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2235" w14:textId="10B08BD4" w:rsidR="00BD5588" w:rsidRPr="00444AE8" w:rsidRDefault="00E56C0F" w:rsidP="002C26C3">
      <w:pPr>
        <w:pStyle w:val="Title"/>
        <w:spacing w:before="130"/>
        <w:ind w:firstLine="539"/>
        <w:rPr>
          <w:b/>
          <w:bCs/>
          <w:sz w:val="24"/>
          <w:szCs w:val="24"/>
          <w:lang w:eastAsia="lv-LV"/>
        </w:rPr>
      </w:pPr>
      <w:r w:rsidRPr="00444AE8">
        <w:rPr>
          <w:b/>
          <w:bCs/>
          <w:sz w:val="24"/>
          <w:szCs w:val="24"/>
          <w:lang w:eastAsia="lv-LV"/>
        </w:rPr>
        <w:t>Ministru kabineta rīkojuma projekta</w:t>
      </w:r>
      <w:r w:rsidR="002925BA" w:rsidRPr="00444AE8">
        <w:rPr>
          <w:b/>
          <w:bCs/>
          <w:sz w:val="24"/>
          <w:szCs w:val="24"/>
          <w:lang w:eastAsia="lv-LV"/>
        </w:rPr>
        <w:t xml:space="preserve"> </w:t>
      </w:r>
      <w:r w:rsidRPr="00444AE8">
        <w:rPr>
          <w:b/>
          <w:bCs/>
          <w:sz w:val="24"/>
          <w:szCs w:val="24"/>
          <w:lang w:eastAsia="lv-LV"/>
        </w:rPr>
        <w:t>“</w:t>
      </w:r>
      <w:r w:rsidR="00505862" w:rsidRPr="00444AE8">
        <w:rPr>
          <w:b/>
          <w:bCs/>
          <w:sz w:val="24"/>
          <w:szCs w:val="24"/>
          <w:lang w:eastAsia="lv-LV"/>
        </w:rPr>
        <w:t>Grozījumi Darbības programmā pārtikas un pamata materiālās palīdzības sniegšanai vistrūcīgākajām personām 2014.–2020. gada plānošanas periodā</w:t>
      </w:r>
      <w:r w:rsidRPr="00444AE8">
        <w:rPr>
          <w:b/>
          <w:bCs/>
          <w:sz w:val="24"/>
          <w:szCs w:val="24"/>
          <w:lang w:eastAsia="lv-LV"/>
        </w:rPr>
        <w:t>” sākotnējās ietekmes novērtējuma ziņojums (anotācija)</w:t>
      </w:r>
    </w:p>
    <w:p w14:paraId="2C75337B" w14:textId="77777777" w:rsidR="00E56C0F" w:rsidRPr="00444AE8" w:rsidRDefault="00E56C0F" w:rsidP="002C26C3">
      <w:pPr>
        <w:pStyle w:val="Title"/>
        <w:spacing w:before="130"/>
        <w:ind w:firstLine="539"/>
        <w:rPr>
          <w:sz w:val="24"/>
          <w:szCs w:val="24"/>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5765"/>
      </w:tblGrid>
      <w:tr w:rsidR="00444AE8" w:rsidRPr="00444AE8" w14:paraId="13E8CFBA" w14:textId="77777777" w:rsidTr="00C40B61">
        <w:trPr>
          <w:cantSplit/>
        </w:trPr>
        <w:tc>
          <w:tcPr>
            <w:tcW w:w="8784" w:type="dxa"/>
            <w:gridSpan w:val="2"/>
            <w:shd w:val="clear" w:color="auto" w:fill="FFFFFF"/>
            <w:vAlign w:val="center"/>
            <w:hideMark/>
          </w:tcPr>
          <w:p w14:paraId="2744C290" w14:textId="77777777" w:rsidR="00BD5588" w:rsidRPr="00444AE8" w:rsidRDefault="00BD5588" w:rsidP="002C26C3">
            <w:pPr>
              <w:jc w:val="center"/>
              <w:rPr>
                <w:b/>
                <w:iCs/>
                <w:lang w:eastAsia="en-US"/>
              </w:rPr>
            </w:pPr>
            <w:r w:rsidRPr="00444AE8">
              <w:rPr>
                <w:b/>
                <w:iCs/>
                <w:lang w:eastAsia="en-US"/>
              </w:rPr>
              <w:t>Tiesību akta projekta anotācijas kopsavilkums</w:t>
            </w:r>
          </w:p>
        </w:tc>
      </w:tr>
      <w:tr w:rsidR="00BD5588" w:rsidRPr="00444AE8" w14:paraId="280F1A43" w14:textId="77777777" w:rsidTr="00C40B61">
        <w:trPr>
          <w:cantSplit/>
          <w:trHeight w:val="42"/>
        </w:trPr>
        <w:tc>
          <w:tcPr>
            <w:tcW w:w="2990" w:type="dxa"/>
            <w:shd w:val="clear" w:color="auto" w:fill="auto"/>
            <w:hideMark/>
          </w:tcPr>
          <w:p w14:paraId="6575DC00" w14:textId="77777777" w:rsidR="00BD5588" w:rsidRPr="00444AE8" w:rsidRDefault="00BD5588" w:rsidP="002C26C3">
            <w:pPr>
              <w:rPr>
                <w:iCs/>
                <w:lang w:eastAsia="en-US"/>
              </w:rPr>
            </w:pPr>
            <w:r w:rsidRPr="00444AE8">
              <w:rPr>
                <w:iCs/>
                <w:lang w:eastAsia="en-US"/>
              </w:rPr>
              <w:t xml:space="preserve">Mērķis, risinājums un projekta spēkā stāšanās laiks </w:t>
            </w:r>
            <w:r w:rsidRPr="00444AE8">
              <w:rPr>
                <w:i/>
                <w:iCs/>
                <w:sz w:val="20"/>
                <w:szCs w:val="20"/>
                <w:lang w:eastAsia="en-US"/>
              </w:rPr>
              <w:t>(500 zīmes bez atstarpēm)</w:t>
            </w:r>
          </w:p>
        </w:tc>
        <w:tc>
          <w:tcPr>
            <w:tcW w:w="5794" w:type="dxa"/>
            <w:shd w:val="clear" w:color="auto" w:fill="auto"/>
            <w:hideMark/>
          </w:tcPr>
          <w:p w14:paraId="487F297E" w14:textId="3820D637" w:rsidR="0008133F" w:rsidRPr="00444AE8" w:rsidRDefault="004F6C30" w:rsidP="002C26C3">
            <w:pPr>
              <w:ind w:left="110" w:right="212"/>
              <w:jc w:val="both"/>
              <w:rPr>
                <w:bCs/>
              </w:rPr>
            </w:pPr>
            <w:r w:rsidRPr="00444AE8">
              <w:rPr>
                <w:bCs/>
              </w:rPr>
              <w:t xml:space="preserve">Ministru kabineta </w:t>
            </w:r>
            <w:r w:rsidR="00DD13B6" w:rsidRPr="00444AE8">
              <w:rPr>
                <w:bCs/>
              </w:rPr>
              <w:t xml:space="preserve">(turpmāk – MK) </w:t>
            </w:r>
            <w:r w:rsidRPr="00444AE8">
              <w:rPr>
                <w:bCs/>
              </w:rPr>
              <w:t>rīkojuma projekta “Grozījumi Darbības programmā pārtikas un pamata materiālās palīdzības sniegšanai vistr</w:t>
            </w:r>
            <w:r w:rsidR="006862DC" w:rsidRPr="00444AE8">
              <w:rPr>
                <w:bCs/>
              </w:rPr>
              <w:t>ūcīgākajām personām 2014.–2020. </w:t>
            </w:r>
            <w:r w:rsidRPr="00444AE8">
              <w:rPr>
                <w:bCs/>
              </w:rPr>
              <w:t xml:space="preserve">gada plānošanas periodā” (turpmāk – Rīkojuma projekts) </w:t>
            </w:r>
            <w:r w:rsidRPr="00444AE8">
              <w:rPr>
                <w:b/>
                <w:bCs/>
              </w:rPr>
              <w:t>mērķis</w:t>
            </w:r>
            <w:r w:rsidRPr="00444AE8">
              <w:rPr>
                <w:bCs/>
              </w:rPr>
              <w:t xml:space="preserve"> ir </w:t>
            </w:r>
            <w:r w:rsidR="00427EF6" w:rsidRPr="00444AE8">
              <w:rPr>
                <w:bCs/>
              </w:rPr>
              <w:t>precizēt</w:t>
            </w:r>
            <w:r w:rsidRPr="00444AE8">
              <w:rPr>
                <w:bCs/>
              </w:rPr>
              <w:t xml:space="preserve"> </w:t>
            </w:r>
            <w:r w:rsidR="00AA78C4" w:rsidRPr="00444AE8">
              <w:rPr>
                <w:bCs/>
              </w:rPr>
              <w:t>Darbības programmas</w:t>
            </w:r>
            <w:r w:rsidR="00E8634B" w:rsidRPr="00444AE8">
              <w:rPr>
                <w:bCs/>
              </w:rPr>
              <w:t xml:space="preserve"> pārtikas un pamata materiālās palīdzības sniegšanai vistr</w:t>
            </w:r>
            <w:r w:rsidR="006862DC" w:rsidRPr="00444AE8">
              <w:rPr>
                <w:bCs/>
              </w:rPr>
              <w:t>ūcīgākajām personām 2014.–2020. </w:t>
            </w:r>
            <w:r w:rsidR="00E8634B" w:rsidRPr="00444AE8">
              <w:rPr>
                <w:bCs/>
              </w:rPr>
              <w:t xml:space="preserve">gada plānošanas periodā (turpmāk </w:t>
            </w:r>
            <w:r w:rsidR="006862DC" w:rsidRPr="00444AE8">
              <w:rPr>
                <w:bCs/>
              </w:rPr>
              <w:t>–</w:t>
            </w:r>
            <w:r w:rsidR="00E8634B" w:rsidRPr="00444AE8">
              <w:rPr>
                <w:bCs/>
              </w:rPr>
              <w:t xml:space="preserve"> d</w:t>
            </w:r>
            <w:r w:rsidRPr="00444AE8">
              <w:rPr>
                <w:bCs/>
              </w:rPr>
              <w:t>arbības programm</w:t>
            </w:r>
            <w:r w:rsidR="00E8634B" w:rsidRPr="00444AE8">
              <w:rPr>
                <w:bCs/>
              </w:rPr>
              <w:t>a)</w:t>
            </w:r>
            <w:r w:rsidR="00AA78C4" w:rsidRPr="00444AE8">
              <w:rPr>
                <w:bCs/>
              </w:rPr>
              <w:t xml:space="preserve"> finanšu plānu, ņemot vērā lēmumu par papildu finanšu līdzekļu piešķiršanu no </w:t>
            </w:r>
            <w:r w:rsidR="00986E3C" w:rsidRPr="00444AE8">
              <w:rPr>
                <w:bCs/>
              </w:rPr>
              <w:t xml:space="preserve">REACT-EU </w:t>
            </w:r>
            <w:r w:rsidR="00AA78C4" w:rsidRPr="00444AE8">
              <w:rPr>
                <w:bCs/>
              </w:rPr>
              <w:t>instrumenta</w:t>
            </w:r>
            <w:r w:rsidR="0008133F" w:rsidRPr="00444AE8">
              <w:rPr>
                <w:bCs/>
              </w:rPr>
              <w:t>.</w:t>
            </w:r>
          </w:p>
          <w:p w14:paraId="14A066BF" w14:textId="2493E3C8" w:rsidR="00F64C5A" w:rsidRPr="00444AE8" w:rsidRDefault="0008133F" w:rsidP="002C26C3">
            <w:pPr>
              <w:ind w:left="110" w:right="212"/>
              <w:jc w:val="both"/>
              <w:rPr>
                <w:bCs/>
              </w:rPr>
            </w:pPr>
            <w:r w:rsidRPr="00444AE8">
              <w:rPr>
                <w:b/>
                <w:bCs/>
              </w:rPr>
              <w:t>Risinājums:</w:t>
            </w:r>
            <w:r w:rsidR="004F6C30" w:rsidRPr="00444AE8">
              <w:rPr>
                <w:bCs/>
              </w:rPr>
              <w:t xml:space="preserve"> </w:t>
            </w:r>
            <w:r w:rsidR="00BC049A" w:rsidRPr="00444AE8">
              <w:rPr>
                <w:bCs/>
              </w:rPr>
              <w:t>rasta</w:t>
            </w:r>
            <w:r w:rsidR="00C61F14" w:rsidRPr="00444AE8">
              <w:rPr>
                <w:bCs/>
              </w:rPr>
              <w:t xml:space="preserve"> iespēja </w:t>
            </w:r>
            <w:proofErr w:type="spellStart"/>
            <w:r w:rsidR="00BC049A" w:rsidRPr="00444AE8">
              <w:rPr>
                <w:bCs/>
              </w:rPr>
              <w:t>Covid-19</w:t>
            </w:r>
            <w:proofErr w:type="spellEnd"/>
            <w:r w:rsidR="00BC049A" w:rsidRPr="00444AE8">
              <w:rPr>
                <w:bCs/>
              </w:rPr>
              <w:t xml:space="preserve"> pandēmijas izraisītās ārkārtējās situācijas laikā </w:t>
            </w:r>
            <w:r w:rsidR="00C61F14" w:rsidRPr="00444AE8">
              <w:rPr>
                <w:bCs/>
              </w:rPr>
              <w:t xml:space="preserve">pieaugušam zemu ienākumu mājsaimniecību </w:t>
            </w:r>
            <w:r w:rsidR="00DF5F48" w:rsidRPr="00444AE8">
              <w:rPr>
                <w:bCs/>
              </w:rPr>
              <w:t>un krīzes situācijā nonākuš</w:t>
            </w:r>
            <w:r w:rsidR="00A752E3" w:rsidRPr="00444AE8">
              <w:rPr>
                <w:bCs/>
              </w:rPr>
              <w:t>o</w:t>
            </w:r>
            <w:r w:rsidR="00DF5F48" w:rsidRPr="00444AE8">
              <w:rPr>
                <w:bCs/>
              </w:rPr>
              <w:t xml:space="preserve"> mājsaimniecīb</w:t>
            </w:r>
            <w:r w:rsidR="00A752E3" w:rsidRPr="00444AE8">
              <w:rPr>
                <w:bCs/>
              </w:rPr>
              <w:t>u skaitam</w:t>
            </w:r>
            <w:r w:rsidR="00C61F14" w:rsidRPr="00444AE8">
              <w:rPr>
                <w:bCs/>
              </w:rPr>
              <w:t xml:space="preserve"> </w:t>
            </w:r>
            <w:r w:rsidR="00E261BE" w:rsidRPr="00444AE8">
              <w:rPr>
                <w:bCs/>
              </w:rPr>
              <w:t>saņem</w:t>
            </w:r>
            <w:r w:rsidR="00F64C5A" w:rsidRPr="00444AE8">
              <w:rPr>
                <w:bCs/>
              </w:rPr>
              <w:t>t</w:t>
            </w:r>
            <w:r w:rsidR="00C61F14" w:rsidRPr="00444AE8">
              <w:rPr>
                <w:bCs/>
              </w:rPr>
              <w:t xml:space="preserve"> </w:t>
            </w:r>
            <w:r w:rsidR="00427EF6" w:rsidRPr="00444AE8">
              <w:rPr>
                <w:bCs/>
              </w:rPr>
              <w:t xml:space="preserve">Eiropas Atbalsta fonda vistrūcīgākajām personām (turpmāk – </w:t>
            </w:r>
            <w:r w:rsidR="00D11464" w:rsidRPr="00444AE8">
              <w:rPr>
                <w:bCs/>
              </w:rPr>
              <w:t>Fonds</w:t>
            </w:r>
            <w:r w:rsidR="00C61F14" w:rsidRPr="00444AE8">
              <w:rPr>
                <w:bCs/>
              </w:rPr>
              <w:t xml:space="preserve">) līdzfinansēto pārtikas un </w:t>
            </w:r>
            <w:r w:rsidR="004F6C30" w:rsidRPr="00444AE8">
              <w:rPr>
                <w:bCs/>
              </w:rPr>
              <w:t>pamata materiālo palīdzību</w:t>
            </w:r>
            <w:r w:rsidR="008318AF" w:rsidRPr="00444AE8">
              <w:rPr>
                <w:bCs/>
              </w:rPr>
              <w:t xml:space="preserve">, kā arī </w:t>
            </w:r>
            <w:r w:rsidR="00E261BE" w:rsidRPr="00444AE8">
              <w:rPr>
                <w:bCs/>
              </w:rPr>
              <w:t xml:space="preserve">nodrošināt </w:t>
            </w:r>
            <w:r w:rsidR="00721FCB" w:rsidRPr="00444AE8">
              <w:rPr>
                <w:bCs/>
              </w:rPr>
              <w:t xml:space="preserve">Fonda atbalsta </w:t>
            </w:r>
            <w:r w:rsidR="00F64C5A" w:rsidRPr="00444AE8">
              <w:rPr>
                <w:bCs/>
              </w:rPr>
              <w:t>s</w:t>
            </w:r>
            <w:r w:rsidR="00721FCB" w:rsidRPr="00444AE8">
              <w:rPr>
                <w:bCs/>
              </w:rPr>
              <w:t xml:space="preserve">atura pielāgošanu aktuālajai situācijai </w:t>
            </w:r>
            <w:r w:rsidR="00F64C5A" w:rsidRPr="00444AE8">
              <w:rPr>
                <w:bCs/>
              </w:rPr>
              <w:t>epi</w:t>
            </w:r>
            <w:r w:rsidR="00721FCB" w:rsidRPr="00444AE8">
              <w:rPr>
                <w:bCs/>
              </w:rPr>
              <w:t>demioloģiskās drošības prasību ievēro</w:t>
            </w:r>
            <w:r w:rsidR="002B1D1D" w:rsidRPr="00444AE8">
              <w:rPr>
                <w:bCs/>
              </w:rPr>
              <w:t>šanai</w:t>
            </w:r>
            <w:r w:rsidR="00B47564" w:rsidRPr="00444AE8">
              <w:rPr>
                <w:bCs/>
              </w:rPr>
              <w:t>.</w:t>
            </w:r>
          </w:p>
          <w:p w14:paraId="7585C623" w14:textId="10B3A99E" w:rsidR="0008133F" w:rsidRPr="00444AE8" w:rsidRDefault="0008133F" w:rsidP="002C26C3">
            <w:pPr>
              <w:ind w:left="110" w:right="212"/>
              <w:jc w:val="both"/>
              <w:rPr>
                <w:i/>
                <w:iCs/>
                <w:lang w:eastAsia="en-US"/>
              </w:rPr>
            </w:pPr>
            <w:r w:rsidRPr="00444AE8">
              <w:rPr>
                <w:bCs/>
              </w:rPr>
              <w:t xml:space="preserve">Prognozētais Rīkojuma projekta </w:t>
            </w:r>
            <w:r w:rsidRPr="00444AE8">
              <w:rPr>
                <w:b/>
                <w:bCs/>
              </w:rPr>
              <w:t>spēkā stāšanās laiks</w:t>
            </w:r>
            <w:r w:rsidR="004A67F2" w:rsidRPr="00444AE8">
              <w:rPr>
                <w:bCs/>
              </w:rPr>
              <w:t xml:space="preserve"> ir 2021. gada </w:t>
            </w:r>
            <w:r w:rsidR="00DD2F30">
              <w:rPr>
                <w:bCs/>
              </w:rPr>
              <w:t>aprīlis</w:t>
            </w:r>
            <w:r w:rsidRPr="00444AE8">
              <w:rPr>
                <w:bCs/>
              </w:rPr>
              <w:t>.</w:t>
            </w:r>
          </w:p>
        </w:tc>
      </w:tr>
    </w:tbl>
    <w:p w14:paraId="666F4565" w14:textId="77777777" w:rsidR="00BD5588" w:rsidRPr="00444AE8" w:rsidRDefault="00BD5588" w:rsidP="002C26C3">
      <w:pPr>
        <w:pStyle w:val="Title"/>
        <w:spacing w:before="130"/>
        <w:ind w:firstLine="539"/>
        <w:jc w:val="both"/>
        <w:rPr>
          <w:sz w:val="24"/>
          <w:szCs w:val="24"/>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2442"/>
        <w:gridCol w:w="5784"/>
      </w:tblGrid>
      <w:tr w:rsidR="00444AE8" w:rsidRPr="00444AE8" w14:paraId="2A94857C" w14:textId="77777777" w:rsidTr="00C40B61">
        <w:tc>
          <w:tcPr>
            <w:tcW w:w="5000" w:type="pct"/>
            <w:gridSpan w:val="3"/>
            <w:vAlign w:val="center"/>
            <w:hideMark/>
          </w:tcPr>
          <w:p w14:paraId="256C9E3A" w14:textId="38241350" w:rsidR="00BD5588" w:rsidRPr="00444AE8" w:rsidRDefault="00BD5588" w:rsidP="002C26C3">
            <w:pPr>
              <w:jc w:val="center"/>
              <w:rPr>
                <w:b/>
                <w:bCs/>
              </w:rPr>
            </w:pPr>
            <w:r w:rsidRPr="00444AE8">
              <w:rPr>
                <w:b/>
                <w:bCs/>
              </w:rPr>
              <w:t>I. Tiesību akta projekta izstrādes nepieciešamība</w:t>
            </w:r>
          </w:p>
        </w:tc>
      </w:tr>
      <w:tr w:rsidR="00A75A0C" w:rsidRPr="00444AE8" w14:paraId="5E08886C" w14:textId="77777777" w:rsidTr="00C40B61">
        <w:tc>
          <w:tcPr>
            <w:tcW w:w="294" w:type="pct"/>
            <w:hideMark/>
          </w:tcPr>
          <w:p w14:paraId="1ED1AD15" w14:textId="77777777" w:rsidR="00BD5588" w:rsidRPr="00444AE8" w:rsidRDefault="00BD5588" w:rsidP="002C26C3">
            <w:pPr>
              <w:jc w:val="center"/>
            </w:pPr>
            <w:r w:rsidRPr="00444AE8">
              <w:t>1.</w:t>
            </w:r>
          </w:p>
        </w:tc>
        <w:tc>
          <w:tcPr>
            <w:tcW w:w="1397" w:type="pct"/>
            <w:hideMark/>
          </w:tcPr>
          <w:p w14:paraId="6CE9B998" w14:textId="589AC483" w:rsidR="00517EBA" w:rsidRPr="00444AE8" w:rsidRDefault="00BD5588" w:rsidP="002C26C3">
            <w:r w:rsidRPr="00444AE8">
              <w:t>Pamatojums</w:t>
            </w:r>
          </w:p>
          <w:p w14:paraId="324E811C" w14:textId="08BBD90E" w:rsidR="00BD5588" w:rsidRPr="00444AE8" w:rsidRDefault="00BD5588" w:rsidP="002C26C3"/>
        </w:tc>
        <w:tc>
          <w:tcPr>
            <w:tcW w:w="3309" w:type="pct"/>
            <w:hideMark/>
          </w:tcPr>
          <w:p w14:paraId="5D81FA8C" w14:textId="09E2CF17" w:rsidR="00BD5588" w:rsidRPr="00444AE8" w:rsidRDefault="00D11464" w:rsidP="002C26C3">
            <w:pPr>
              <w:ind w:left="110" w:right="212"/>
              <w:jc w:val="both"/>
              <w:rPr>
                <w:bCs/>
              </w:rPr>
            </w:pPr>
            <w:r w:rsidRPr="00444AE8">
              <w:rPr>
                <w:bCs/>
              </w:rPr>
              <w:t>Darbības programma</w:t>
            </w:r>
            <w:r w:rsidR="00427EF6" w:rsidRPr="00444AE8">
              <w:rPr>
                <w:bCs/>
              </w:rPr>
              <w:t xml:space="preserve"> </w:t>
            </w:r>
            <w:r w:rsidR="00E56C0F" w:rsidRPr="00444AE8">
              <w:rPr>
                <w:bCs/>
              </w:rPr>
              <w:t xml:space="preserve">ir apstiprināta ar </w:t>
            </w:r>
            <w:r w:rsidR="00DD13B6" w:rsidRPr="00444AE8">
              <w:rPr>
                <w:bCs/>
              </w:rPr>
              <w:t>MK</w:t>
            </w:r>
            <w:r w:rsidR="00E2179C" w:rsidRPr="00444AE8">
              <w:rPr>
                <w:bCs/>
              </w:rPr>
              <w:t xml:space="preserve"> 2014. gada 3. septembra Rīkojumu Nr. </w:t>
            </w:r>
            <w:r w:rsidR="00427EF6" w:rsidRPr="00444AE8">
              <w:rPr>
                <w:bCs/>
              </w:rPr>
              <w:t>475 un 2014. gada 30. oktobrī ar Eiropas Komisijas īstenošanas lēmumu C(2014)8214final.</w:t>
            </w:r>
            <w:r w:rsidR="001B79BA" w:rsidRPr="00444AE8">
              <w:rPr>
                <w:bCs/>
              </w:rPr>
              <w:t xml:space="preserve"> Darbības programmas grozījumi apstiprināti ar MK 2018. gada 12. decembra Rīkojumu Nr. 707 un </w:t>
            </w:r>
            <w:r w:rsidR="00E23220" w:rsidRPr="00444AE8">
              <w:rPr>
                <w:bCs/>
              </w:rPr>
              <w:t>2019. gada 23</w:t>
            </w:r>
            <w:r w:rsidR="001B79BA" w:rsidRPr="00444AE8">
              <w:rPr>
                <w:bCs/>
              </w:rPr>
              <w:t>. </w:t>
            </w:r>
            <w:r w:rsidR="00E23220" w:rsidRPr="00444AE8">
              <w:rPr>
                <w:bCs/>
              </w:rPr>
              <w:t xml:space="preserve">janvārī </w:t>
            </w:r>
            <w:r w:rsidR="001B79BA" w:rsidRPr="00444AE8">
              <w:rPr>
                <w:bCs/>
              </w:rPr>
              <w:t xml:space="preserve">ar Eiropas Komisijas īstenošanas lēmumu </w:t>
            </w:r>
            <w:r w:rsidR="00DF2609" w:rsidRPr="00444AE8">
              <w:rPr>
                <w:bCs/>
              </w:rPr>
              <w:t>C(2019)643</w:t>
            </w:r>
            <w:r w:rsidR="004463E4" w:rsidRPr="00444AE8">
              <w:rPr>
                <w:bCs/>
              </w:rPr>
              <w:t>final.</w:t>
            </w:r>
          </w:p>
          <w:p w14:paraId="17E53ABB" w14:textId="77777777" w:rsidR="006966B2" w:rsidRPr="00444AE8" w:rsidRDefault="000F2CBB" w:rsidP="002C26C3">
            <w:pPr>
              <w:spacing w:before="120"/>
              <w:ind w:left="110" w:right="212"/>
              <w:jc w:val="both"/>
              <w:rPr>
                <w:bCs/>
              </w:rPr>
            </w:pPr>
            <w:r w:rsidRPr="00444AE8">
              <w:rPr>
                <w:bCs/>
              </w:rPr>
              <w:t xml:space="preserve">Darbības programma izstrādāta saskaņā ar </w:t>
            </w:r>
            <w:r w:rsidR="00427EF6" w:rsidRPr="00444AE8">
              <w:rPr>
                <w:bCs/>
              </w:rPr>
              <w:t xml:space="preserve">Eiropas Parlamenta un Padomes </w:t>
            </w:r>
            <w:r w:rsidR="00FB4A26" w:rsidRPr="00444AE8">
              <w:rPr>
                <w:bCs/>
              </w:rPr>
              <w:t>Regulu (ES) Nr. 223/2014 (2014. gada 11. marts) par Eiropas A</w:t>
            </w:r>
            <w:r w:rsidR="00427EF6" w:rsidRPr="00444AE8">
              <w:rPr>
                <w:bCs/>
              </w:rPr>
              <w:t>tbalsta fondu vistrūcīgākajām personām</w:t>
            </w:r>
            <w:r w:rsidR="003B38BC" w:rsidRPr="00444AE8">
              <w:rPr>
                <w:bCs/>
              </w:rPr>
              <w:t xml:space="preserve"> (turpmāk – Regula) </w:t>
            </w:r>
            <w:r w:rsidRPr="00444AE8">
              <w:rPr>
                <w:bCs/>
              </w:rPr>
              <w:t xml:space="preserve">un saskaņā ar Regulas </w:t>
            </w:r>
            <w:r w:rsidR="00FB4A26" w:rsidRPr="00444AE8">
              <w:rPr>
                <w:bCs/>
              </w:rPr>
              <w:t>9. panta 1. </w:t>
            </w:r>
            <w:r w:rsidR="003B38BC" w:rsidRPr="00444AE8">
              <w:rPr>
                <w:bCs/>
              </w:rPr>
              <w:t>daļu</w:t>
            </w:r>
            <w:r w:rsidRPr="00444AE8">
              <w:rPr>
                <w:bCs/>
              </w:rPr>
              <w:t xml:space="preserve"> dalībvalstij ir ties</w:t>
            </w:r>
            <w:r w:rsidR="00862131" w:rsidRPr="00444AE8">
              <w:rPr>
                <w:bCs/>
              </w:rPr>
              <w:t xml:space="preserve">ības </w:t>
            </w:r>
            <w:r w:rsidR="003B38BC" w:rsidRPr="00444AE8">
              <w:rPr>
                <w:bCs/>
              </w:rPr>
              <w:t>iesniegt Eiropas Komisijai</w:t>
            </w:r>
            <w:r w:rsidR="00FB4A26" w:rsidRPr="00444AE8">
              <w:rPr>
                <w:bCs/>
              </w:rPr>
              <w:t xml:space="preserve"> </w:t>
            </w:r>
            <w:r w:rsidR="003B38BC" w:rsidRPr="00444AE8">
              <w:rPr>
                <w:bCs/>
              </w:rPr>
              <w:t>(turpmāk – EK) pieprasījumu grozīt darbības programmu.</w:t>
            </w:r>
          </w:p>
          <w:p w14:paraId="6857DA2D" w14:textId="77777777" w:rsidR="004205D0" w:rsidRPr="00444AE8" w:rsidRDefault="000F2CBB" w:rsidP="002C26C3">
            <w:pPr>
              <w:spacing w:before="120"/>
              <w:ind w:left="110" w:right="212"/>
              <w:jc w:val="both"/>
              <w:rPr>
                <w:bCs/>
              </w:rPr>
            </w:pPr>
            <w:r w:rsidRPr="00444AE8">
              <w:rPr>
                <w:bCs/>
              </w:rPr>
              <w:t xml:space="preserve">EK attiecīgi nepieciešamības gadījumā </w:t>
            </w:r>
            <w:r w:rsidR="00464EEE" w:rsidRPr="00444AE8">
              <w:rPr>
                <w:bCs/>
              </w:rPr>
              <w:t xml:space="preserve">var </w:t>
            </w:r>
            <w:r w:rsidRPr="00444AE8">
              <w:rPr>
                <w:bCs/>
              </w:rPr>
              <w:t>snie</w:t>
            </w:r>
            <w:r w:rsidR="00464EEE" w:rsidRPr="00444AE8">
              <w:rPr>
                <w:bCs/>
              </w:rPr>
              <w:t>gt</w:t>
            </w:r>
            <w:r w:rsidRPr="00444AE8">
              <w:rPr>
                <w:bCs/>
              </w:rPr>
              <w:t xml:space="preserve"> sav</w:t>
            </w:r>
            <w:r w:rsidR="00464EEE" w:rsidRPr="00444AE8">
              <w:rPr>
                <w:bCs/>
              </w:rPr>
              <w:t>a</w:t>
            </w:r>
            <w:r w:rsidRPr="00444AE8">
              <w:rPr>
                <w:bCs/>
              </w:rPr>
              <w:t xml:space="preserve">s </w:t>
            </w:r>
            <w:r w:rsidR="00464EEE" w:rsidRPr="00444AE8">
              <w:rPr>
                <w:bCs/>
              </w:rPr>
              <w:t>piezīmes par grozījumu redakciju</w:t>
            </w:r>
            <w:r w:rsidRPr="00444AE8">
              <w:rPr>
                <w:bCs/>
              </w:rPr>
              <w:t>.</w:t>
            </w:r>
          </w:p>
          <w:p w14:paraId="2DF7D45B" w14:textId="75E70AE2" w:rsidR="001E121F" w:rsidRPr="00444AE8" w:rsidRDefault="00D11464" w:rsidP="002C26C3">
            <w:pPr>
              <w:spacing w:before="120"/>
              <w:ind w:left="110" w:right="212"/>
              <w:jc w:val="both"/>
              <w:rPr>
                <w:bCs/>
              </w:rPr>
            </w:pPr>
            <w:r w:rsidRPr="00444AE8">
              <w:rPr>
                <w:bCs/>
              </w:rPr>
              <w:lastRenderedPageBreak/>
              <w:t xml:space="preserve">Rīkojuma </w:t>
            </w:r>
            <w:r w:rsidR="00B47564" w:rsidRPr="00444AE8">
              <w:rPr>
                <w:bCs/>
              </w:rPr>
              <w:t xml:space="preserve">projekts izstrādāts pēc Labklājības </w:t>
            </w:r>
            <w:r w:rsidR="00A2247A" w:rsidRPr="00444AE8">
              <w:rPr>
                <w:bCs/>
              </w:rPr>
              <w:t xml:space="preserve">un Finanšu </w:t>
            </w:r>
            <w:r w:rsidR="00B47564" w:rsidRPr="00444AE8">
              <w:rPr>
                <w:bCs/>
              </w:rPr>
              <w:t>ministrijas iniciatīvas</w:t>
            </w:r>
            <w:r w:rsidR="006966B2" w:rsidRPr="00444AE8">
              <w:rPr>
                <w:bCs/>
              </w:rPr>
              <w:t xml:space="preserve"> </w:t>
            </w:r>
            <w:r w:rsidR="00DF0965" w:rsidRPr="00444AE8">
              <w:rPr>
                <w:bCs/>
              </w:rPr>
              <w:t xml:space="preserve">(atbalstīta 08.02.2021. valdību veidojošo partiju koalīcijas sadarbības padomes sēdē) </w:t>
            </w:r>
            <w:r w:rsidR="00B47564" w:rsidRPr="00444AE8">
              <w:rPr>
                <w:bCs/>
              </w:rPr>
              <w:t>atbilstoši</w:t>
            </w:r>
            <w:r w:rsidR="006966B2" w:rsidRPr="00444AE8">
              <w:rPr>
                <w:bCs/>
              </w:rPr>
              <w:t xml:space="preserve"> EIROPAS PARLAMENTA UN PADOMES Regulas</w:t>
            </w:r>
            <w:r w:rsidR="004205D0" w:rsidRPr="00444AE8">
              <w:rPr>
                <w:bCs/>
              </w:rPr>
              <w:t xml:space="preserve"> (ES) 2020/2221 (2020. gada 23. </w:t>
            </w:r>
            <w:r w:rsidR="006966B2" w:rsidRPr="00444AE8">
              <w:rPr>
                <w:bCs/>
              </w:rPr>
              <w:t>de</w:t>
            </w:r>
            <w:r w:rsidR="004205D0" w:rsidRPr="00444AE8">
              <w:rPr>
                <w:bCs/>
              </w:rPr>
              <w:t>cembris), ar ko Regulu (ES) Nr. </w:t>
            </w:r>
            <w:r w:rsidR="000422C3" w:rsidRPr="00444AE8">
              <w:rPr>
                <w:bCs/>
              </w:rPr>
              <w:t>1303/2013</w:t>
            </w:r>
            <w:r w:rsidR="00DC7C52" w:rsidRPr="00444AE8">
              <w:rPr>
                <w:rStyle w:val="FootnoteReference"/>
                <w:bCs/>
              </w:rPr>
              <w:footnoteReference w:id="1"/>
            </w:r>
            <w:r w:rsidR="000422C3" w:rsidRPr="00444AE8">
              <w:rPr>
                <w:bCs/>
              </w:rPr>
              <w:t xml:space="preserve"> </w:t>
            </w:r>
            <w:r w:rsidR="006966B2" w:rsidRPr="00444AE8">
              <w:rPr>
                <w:bCs/>
              </w:rPr>
              <w:t xml:space="preserve">groza attiecībā uz papildu resursiem un īstenošanas kārtību, lai palīdzētu veicināt ar </w:t>
            </w:r>
            <w:proofErr w:type="spellStart"/>
            <w:r w:rsidR="006966B2" w:rsidRPr="00444AE8">
              <w:rPr>
                <w:bCs/>
              </w:rPr>
              <w:t>Covid-19</w:t>
            </w:r>
            <w:proofErr w:type="spellEnd"/>
            <w:r w:rsidR="006966B2" w:rsidRPr="00444AE8">
              <w:rPr>
                <w:bCs/>
              </w:rPr>
              <w:t xml:space="preserve"> pandēmiju un tās sociālajām sekām saistītās krīzes seku pārvarēšanu un sagatavoties zaļai, digitālai un noturīgai ekonomikas atveseļošanai</w:t>
            </w:r>
            <w:r w:rsidR="00520974" w:rsidRPr="00444AE8">
              <w:rPr>
                <w:bCs/>
              </w:rPr>
              <w:t xml:space="preserve"> </w:t>
            </w:r>
            <w:r w:rsidR="006966B2" w:rsidRPr="00444AE8">
              <w:rPr>
                <w:bCs/>
              </w:rPr>
              <w:t>(REACT-EU)</w:t>
            </w:r>
            <w:r w:rsidR="009D1017" w:rsidRPr="00444AE8">
              <w:rPr>
                <w:bCs/>
              </w:rPr>
              <w:t>.</w:t>
            </w:r>
          </w:p>
          <w:p w14:paraId="6527C911" w14:textId="2308CD15" w:rsidR="001E121F" w:rsidRPr="00444AE8" w:rsidRDefault="009D1017" w:rsidP="002C26C3">
            <w:pPr>
              <w:spacing w:before="120"/>
              <w:ind w:left="110" w:right="212"/>
              <w:jc w:val="both"/>
              <w:rPr>
                <w:bCs/>
              </w:rPr>
            </w:pPr>
            <w:r w:rsidRPr="00444AE8">
              <w:rPr>
                <w:bCs/>
              </w:rPr>
              <w:t>Regulas (ES) Nr. 1303/2013</w:t>
            </w:r>
            <w:r w:rsidR="0035244A" w:rsidRPr="00444AE8">
              <w:rPr>
                <w:bCs/>
              </w:rPr>
              <w:t xml:space="preserve"> 92. b panta</w:t>
            </w:r>
            <w:r w:rsidR="001E121F" w:rsidRPr="00444AE8">
              <w:rPr>
                <w:bCs/>
              </w:rPr>
              <w:t>:</w:t>
            </w:r>
          </w:p>
          <w:p w14:paraId="2A61BAE6" w14:textId="23B0661D" w:rsidR="00B0331E" w:rsidRPr="00444AE8" w:rsidRDefault="009D1017" w:rsidP="002C26C3">
            <w:pPr>
              <w:pStyle w:val="ListParagraph"/>
              <w:numPr>
                <w:ilvl w:val="0"/>
                <w:numId w:val="31"/>
              </w:numPr>
              <w:spacing w:after="0" w:line="240" w:lineRule="auto"/>
              <w:ind w:left="499" w:right="210" w:hanging="284"/>
              <w:jc w:val="both"/>
              <w:rPr>
                <w:rFonts w:ascii="Times New Roman" w:hAnsi="Times New Roman" w:cs="Times New Roman"/>
                <w:bCs/>
                <w:sz w:val="24"/>
                <w:szCs w:val="24"/>
              </w:rPr>
            </w:pPr>
            <w:r w:rsidRPr="00444AE8">
              <w:rPr>
                <w:rFonts w:ascii="Times New Roman" w:hAnsi="Times New Roman" w:cs="Times New Roman"/>
                <w:sz w:val="24"/>
                <w:szCs w:val="24"/>
              </w:rPr>
              <w:t>5. </w:t>
            </w:r>
            <w:r w:rsidR="001E121F" w:rsidRPr="00444AE8">
              <w:rPr>
                <w:rFonts w:ascii="Times New Roman" w:hAnsi="Times New Roman" w:cs="Times New Roman"/>
                <w:sz w:val="24"/>
                <w:szCs w:val="24"/>
              </w:rPr>
              <w:t xml:space="preserve">punkta septītajā daļā paredzēta </w:t>
            </w:r>
            <w:r w:rsidR="001E121F" w:rsidRPr="00444AE8">
              <w:rPr>
                <w:rFonts w:ascii="Times New Roman" w:hAnsi="Times New Roman" w:cs="Times New Roman"/>
                <w:bCs/>
                <w:sz w:val="24"/>
                <w:szCs w:val="24"/>
                <w:u w:val="single"/>
              </w:rPr>
              <w:t>iespēja</w:t>
            </w:r>
            <w:r w:rsidR="00B47564" w:rsidRPr="00444AE8">
              <w:rPr>
                <w:rFonts w:ascii="Times New Roman" w:hAnsi="Times New Roman" w:cs="Times New Roman"/>
                <w:bCs/>
                <w:sz w:val="24"/>
                <w:szCs w:val="24"/>
                <w:u w:val="single"/>
              </w:rPr>
              <w:t xml:space="preserve"> </w:t>
            </w:r>
            <w:r w:rsidR="002A1781" w:rsidRPr="00444AE8">
              <w:rPr>
                <w:rFonts w:ascii="Times New Roman" w:hAnsi="Times New Roman" w:cs="Times New Roman"/>
                <w:bCs/>
                <w:sz w:val="24"/>
                <w:szCs w:val="24"/>
                <w:u w:val="single"/>
              </w:rPr>
              <w:t>palielināt</w:t>
            </w:r>
            <w:r w:rsidR="00914982" w:rsidRPr="00444AE8">
              <w:rPr>
                <w:rFonts w:ascii="Times New Roman" w:hAnsi="Times New Roman" w:cs="Times New Roman"/>
                <w:bCs/>
                <w:sz w:val="24"/>
                <w:szCs w:val="24"/>
                <w:u w:val="single"/>
              </w:rPr>
              <w:t xml:space="preserve"> atbalstu</w:t>
            </w:r>
            <w:r w:rsidR="002A1781" w:rsidRPr="00444AE8">
              <w:rPr>
                <w:rFonts w:ascii="Times New Roman" w:hAnsi="Times New Roman" w:cs="Times New Roman"/>
                <w:bCs/>
                <w:sz w:val="24"/>
                <w:szCs w:val="24"/>
                <w:u w:val="single"/>
              </w:rPr>
              <w:t xml:space="preserve"> Fondam</w:t>
            </w:r>
            <w:r w:rsidR="00914982" w:rsidRPr="00444AE8">
              <w:rPr>
                <w:rFonts w:ascii="Times New Roman" w:hAnsi="Times New Roman" w:cs="Times New Roman"/>
                <w:bCs/>
                <w:sz w:val="24"/>
                <w:szCs w:val="24"/>
              </w:rPr>
              <w:t xml:space="preserve"> nolūkā pievērsties to cilvēku situācijai, kurus vēl nepieredzētā mērā skārusi </w:t>
            </w:r>
            <w:proofErr w:type="spellStart"/>
            <w:r w:rsidR="00914982" w:rsidRPr="00444AE8">
              <w:rPr>
                <w:rFonts w:ascii="Times New Roman" w:hAnsi="Times New Roman" w:cs="Times New Roman"/>
                <w:bCs/>
                <w:sz w:val="24"/>
                <w:szCs w:val="24"/>
              </w:rPr>
              <w:t>Covid-19</w:t>
            </w:r>
            <w:proofErr w:type="spellEnd"/>
            <w:r w:rsidR="00914982" w:rsidRPr="00444AE8">
              <w:rPr>
                <w:rFonts w:ascii="Times New Roman" w:hAnsi="Times New Roman" w:cs="Times New Roman"/>
                <w:bCs/>
                <w:sz w:val="24"/>
                <w:szCs w:val="24"/>
              </w:rPr>
              <w:t xml:space="preserve"> krīze</w:t>
            </w:r>
            <w:r w:rsidR="001E121F" w:rsidRPr="00444AE8">
              <w:rPr>
                <w:rFonts w:ascii="Times New Roman" w:hAnsi="Times New Roman" w:cs="Times New Roman"/>
                <w:bCs/>
                <w:sz w:val="24"/>
                <w:szCs w:val="24"/>
              </w:rPr>
              <w:t>;</w:t>
            </w:r>
          </w:p>
          <w:p w14:paraId="76FDC008" w14:textId="63A77D2B" w:rsidR="002F0706" w:rsidRPr="00444AE8" w:rsidRDefault="0035244A" w:rsidP="002C26C3">
            <w:pPr>
              <w:pStyle w:val="ListParagraph"/>
              <w:numPr>
                <w:ilvl w:val="0"/>
                <w:numId w:val="31"/>
              </w:numPr>
              <w:spacing w:after="0" w:line="240" w:lineRule="auto"/>
              <w:ind w:left="499" w:right="210" w:hanging="284"/>
              <w:jc w:val="both"/>
              <w:rPr>
                <w:rFonts w:ascii="Times New Roman" w:hAnsi="Times New Roman" w:cs="Times New Roman"/>
                <w:bCs/>
                <w:sz w:val="24"/>
                <w:szCs w:val="24"/>
              </w:rPr>
            </w:pPr>
            <w:r w:rsidRPr="00444AE8">
              <w:rPr>
                <w:rFonts w:ascii="Times New Roman" w:hAnsi="Times New Roman" w:cs="Times New Roman"/>
                <w:sz w:val="24"/>
                <w:szCs w:val="24"/>
              </w:rPr>
              <w:t xml:space="preserve">9. punkta pirmajā daļā </w:t>
            </w:r>
            <w:r w:rsidR="002F0706" w:rsidRPr="00444AE8">
              <w:rPr>
                <w:rFonts w:ascii="Times New Roman" w:hAnsi="Times New Roman" w:cs="Times New Roman"/>
                <w:sz w:val="24"/>
                <w:szCs w:val="24"/>
              </w:rPr>
              <w:t xml:space="preserve">noteikts, ka </w:t>
            </w:r>
            <w:r w:rsidR="002F0706" w:rsidRPr="00444AE8">
              <w:rPr>
                <w:rFonts w:ascii="Times New Roman" w:hAnsi="Times New Roman" w:cs="Times New Roman"/>
                <w:bCs/>
                <w:iCs/>
                <w:sz w:val="24"/>
                <w:szCs w:val="24"/>
              </w:rPr>
              <w:t>REACT-EU</w:t>
            </w:r>
            <w:r w:rsidR="002F0706" w:rsidRPr="00444AE8">
              <w:rPr>
                <w:rFonts w:ascii="Times New Roman" w:hAnsi="Times New Roman" w:cs="Times New Roman"/>
                <w:bCs/>
                <w:i/>
                <w:iCs/>
                <w:sz w:val="24"/>
                <w:szCs w:val="24"/>
              </w:rPr>
              <w:t xml:space="preserve"> </w:t>
            </w:r>
            <w:r w:rsidR="002F0706" w:rsidRPr="00444AE8">
              <w:rPr>
                <w:rFonts w:ascii="Times New Roman" w:hAnsi="Times New Roman" w:cs="Times New Roman"/>
                <w:sz w:val="24"/>
                <w:szCs w:val="24"/>
              </w:rPr>
              <w:t xml:space="preserve">resursus, ko </w:t>
            </w:r>
            <w:r w:rsidR="002F0706" w:rsidRPr="00444AE8">
              <w:rPr>
                <w:rFonts w:ascii="Times New Roman" w:hAnsi="Times New Roman" w:cs="Times New Roman"/>
                <w:bCs/>
                <w:sz w:val="24"/>
                <w:szCs w:val="24"/>
              </w:rPr>
              <w:t xml:space="preserve">izmanto Fondam, </w:t>
            </w:r>
            <w:r w:rsidR="002F0706" w:rsidRPr="00444AE8">
              <w:rPr>
                <w:rFonts w:ascii="Times New Roman" w:hAnsi="Times New Roman" w:cs="Times New Roman"/>
                <w:bCs/>
                <w:sz w:val="24"/>
                <w:szCs w:val="24"/>
                <w:u w:val="single"/>
              </w:rPr>
              <w:t xml:space="preserve">nav </w:t>
            </w:r>
            <w:r w:rsidR="002C27EA" w:rsidRPr="00444AE8">
              <w:rPr>
                <w:rFonts w:ascii="Times New Roman" w:hAnsi="Times New Roman" w:cs="Times New Roman"/>
                <w:bCs/>
                <w:sz w:val="24"/>
                <w:szCs w:val="24"/>
                <w:u w:val="single"/>
              </w:rPr>
              <w:t>jāplāno saskaņā ar jauno tematisko mērķi</w:t>
            </w:r>
            <w:r w:rsidR="002F0706" w:rsidRPr="00444AE8">
              <w:rPr>
                <w:rFonts w:ascii="Times New Roman" w:hAnsi="Times New Roman" w:cs="Times New Roman"/>
                <w:bCs/>
                <w:sz w:val="24"/>
                <w:szCs w:val="24"/>
              </w:rPr>
              <w:t xml:space="preserve"> “Palīdzēt veicināt ar </w:t>
            </w:r>
            <w:proofErr w:type="spellStart"/>
            <w:r w:rsidR="002F0706" w:rsidRPr="00444AE8">
              <w:rPr>
                <w:rFonts w:ascii="Times New Roman" w:hAnsi="Times New Roman" w:cs="Times New Roman"/>
                <w:bCs/>
                <w:sz w:val="24"/>
                <w:szCs w:val="24"/>
              </w:rPr>
              <w:t>Covid-19</w:t>
            </w:r>
            <w:proofErr w:type="spellEnd"/>
            <w:r w:rsidR="002F0706" w:rsidRPr="00444AE8">
              <w:rPr>
                <w:rFonts w:ascii="Times New Roman" w:hAnsi="Times New Roman" w:cs="Times New Roman"/>
                <w:bCs/>
                <w:sz w:val="24"/>
                <w:szCs w:val="24"/>
              </w:rPr>
              <w:t xml:space="preserve"> pandēmiju un tās sociālajām sekām saistītās krīzes seku pārvarēšanu un sagatavoties zaļai, digitālai un notur</w:t>
            </w:r>
            <w:r w:rsidR="007C6624" w:rsidRPr="00444AE8">
              <w:rPr>
                <w:rFonts w:ascii="Times New Roman" w:hAnsi="Times New Roman" w:cs="Times New Roman"/>
                <w:bCs/>
                <w:sz w:val="24"/>
                <w:szCs w:val="24"/>
              </w:rPr>
              <w:t>īgai ekonomikas atveseļošanai”.</w:t>
            </w:r>
          </w:p>
          <w:p w14:paraId="63F8E225" w14:textId="0BB7E031" w:rsidR="00DA47F3" w:rsidRPr="00444AE8" w:rsidRDefault="00E970BE" w:rsidP="002C26C3">
            <w:pPr>
              <w:spacing w:before="120"/>
              <w:ind w:left="110" w:right="212"/>
              <w:jc w:val="both"/>
              <w:rPr>
                <w:bCs/>
              </w:rPr>
            </w:pPr>
            <w:r w:rsidRPr="00444AE8">
              <w:rPr>
                <w:bCs/>
              </w:rPr>
              <w:t>Rīkoj</w:t>
            </w:r>
            <w:r w:rsidR="00FF624C" w:rsidRPr="00444AE8">
              <w:rPr>
                <w:bCs/>
              </w:rPr>
              <w:t>uma projekta izstrādē vērā ņemta</w:t>
            </w:r>
            <w:r w:rsidRPr="00444AE8">
              <w:rPr>
                <w:bCs/>
              </w:rPr>
              <w:t xml:space="preserve"> arī </w:t>
            </w:r>
            <w:r w:rsidR="00FF624C" w:rsidRPr="00444AE8">
              <w:rPr>
                <w:bCs/>
              </w:rPr>
              <w:t xml:space="preserve">EIROPAS PARLAMENTA UN PADOMES REGULA (ES) 2021/177 (2021. gada 10. februāris), ar ko groza Regulu (ES) Nr. 223/2014 attiecībā uz īpašu pasākumu ieviešanu ar </w:t>
            </w:r>
            <w:proofErr w:type="spellStart"/>
            <w:r w:rsidR="00FF624C" w:rsidRPr="00444AE8">
              <w:rPr>
                <w:bCs/>
              </w:rPr>
              <w:t>Covid-19</w:t>
            </w:r>
            <w:proofErr w:type="spellEnd"/>
            <w:r w:rsidR="00FF624C" w:rsidRPr="00444AE8">
              <w:rPr>
                <w:bCs/>
              </w:rPr>
              <w:t xml:space="preserve"> uzliesmojumu saistītās krīzes risināšanai.</w:t>
            </w:r>
          </w:p>
        </w:tc>
      </w:tr>
      <w:tr w:rsidR="00A75A0C" w:rsidRPr="00444AE8" w14:paraId="4E67868D" w14:textId="77777777" w:rsidTr="00C40B61">
        <w:tc>
          <w:tcPr>
            <w:tcW w:w="294" w:type="pct"/>
          </w:tcPr>
          <w:p w14:paraId="3CFF0902" w14:textId="70A9AB4F" w:rsidR="008F0C62" w:rsidRPr="00444AE8" w:rsidRDefault="008F0C62" w:rsidP="002C26C3">
            <w:pPr>
              <w:jc w:val="center"/>
            </w:pPr>
            <w:r w:rsidRPr="00444AE8">
              <w:lastRenderedPageBreak/>
              <w:t>2.</w:t>
            </w:r>
          </w:p>
        </w:tc>
        <w:tc>
          <w:tcPr>
            <w:tcW w:w="1397" w:type="pct"/>
          </w:tcPr>
          <w:p w14:paraId="1F097289" w14:textId="1C43C822" w:rsidR="0052397F" w:rsidRPr="00444AE8" w:rsidRDefault="008F0C62" w:rsidP="002C26C3">
            <w:r w:rsidRPr="00444AE8">
              <w:t>Pašreizējā situācija un problēmas, kuru risināšanai tiesību akta projekts izstrādāts, tiesiskā regulējuma mērķis un būtība</w:t>
            </w:r>
          </w:p>
          <w:p w14:paraId="64E31A06" w14:textId="77777777" w:rsidR="008F0C62" w:rsidRPr="00444AE8" w:rsidRDefault="008F0C62" w:rsidP="002C26C3"/>
        </w:tc>
        <w:tc>
          <w:tcPr>
            <w:tcW w:w="3309" w:type="pct"/>
          </w:tcPr>
          <w:p w14:paraId="625B9DC3" w14:textId="42F1D302" w:rsidR="0016778E" w:rsidRPr="00444AE8" w:rsidRDefault="0016778E" w:rsidP="002C26C3">
            <w:pPr>
              <w:ind w:right="68"/>
              <w:jc w:val="both"/>
              <w:rPr>
                <w:b/>
              </w:rPr>
            </w:pPr>
            <w:r w:rsidRPr="00444AE8">
              <w:rPr>
                <w:b/>
              </w:rPr>
              <w:t>2.1. Pašreizējā situācija</w:t>
            </w:r>
            <w:r w:rsidR="007D7945" w:rsidRPr="00444AE8">
              <w:rPr>
                <w:b/>
              </w:rPr>
              <w:t xml:space="preserve"> un problēmas</w:t>
            </w:r>
            <w:r w:rsidRPr="00444AE8">
              <w:rPr>
                <w:b/>
              </w:rPr>
              <w:t>:</w:t>
            </w:r>
          </w:p>
          <w:p w14:paraId="381D5271" w14:textId="29A0BF23" w:rsidR="00F72F5E" w:rsidRPr="00444AE8" w:rsidRDefault="002818C8" w:rsidP="002C26C3">
            <w:pPr>
              <w:ind w:right="68"/>
              <w:jc w:val="both"/>
            </w:pPr>
            <w:r w:rsidRPr="00444AE8">
              <w:t xml:space="preserve">Latvijā Fonda atbalstu (pārtiku un pamata materiālo palīdzību) no 2015. gada līdz 2019. gadam ikgadēji saņēma vidēji 67,2 tūkst. unikālo personu </w:t>
            </w:r>
            <w:r w:rsidR="00D6503A" w:rsidRPr="00444AE8">
              <w:t>zemu ienākumu mājsaimniecībās un mājsaimniecības, kas nonāk</w:t>
            </w:r>
            <w:r w:rsidR="00520974" w:rsidRPr="00444AE8">
              <w:t>ušas</w:t>
            </w:r>
            <w:r w:rsidR="006C62FD" w:rsidRPr="00444AE8">
              <w:t xml:space="preserve"> krīzes situācijā.</w:t>
            </w:r>
            <w:r w:rsidR="00886960" w:rsidRPr="00444AE8">
              <w:t xml:space="preserve"> </w:t>
            </w:r>
            <w:r w:rsidR="00D6503A" w:rsidRPr="00444AE8">
              <w:t>Ievērojams īpatsvars mājsaimniecību ir tādas, kuru locekļi nevar vai kuriem ir apgrūtinātas iespējas mainīt savu situāciju (mājsaimniecības ar bērniem, cilvēki ar invaliditāti, seniori, p</w:t>
            </w:r>
            <w:r w:rsidR="000625D9" w:rsidRPr="00444AE8">
              <w:t>ersonas krīzes situācijā u.c.).</w:t>
            </w:r>
          </w:p>
          <w:p w14:paraId="23210BCC" w14:textId="5F4D0E54" w:rsidR="0024767D" w:rsidRPr="00444AE8" w:rsidRDefault="00520974" w:rsidP="002C26C3">
            <w:pPr>
              <w:ind w:right="68"/>
              <w:jc w:val="both"/>
            </w:pPr>
            <w:r w:rsidRPr="00444AE8">
              <w:t xml:space="preserve">No </w:t>
            </w:r>
            <w:r w:rsidR="0024767D" w:rsidRPr="00444AE8">
              <w:t xml:space="preserve">01.01.2021. </w:t>
            </w:r>
            <w:r w:rsidR="006B0FAE" w:rsidRPr="00444AE8">
              <w:t xml:space="preserve">Fonda atbalstu </w:t>
            </w:r>
            <w:r w:rsidR="00514983" w:rsidRPr="00444AE8">
              <w:t>(pārtik</w:t>
            </w:r>
            <w:r w:rsidR="0017334E" w:rsidRPr="00444AE8">
              <w:t>u</w:t>
            </w:r>
            <w:r w:rsidR="00514983" w:rsidRPr="00444AE8">
              <w:t xml:space="preserve"> un pamata materiāl</w:t>
            </w:r>
            <w:r w:rsidR="0017334E" w:rsidRPr="00444AE8">
              <w:t>o</w:t>
            </w:r>
            <w:r w:rsidR="00514983" w:rsidRPr="00444AE8">
              <w:t xml:space="preserve"> palīdzīb</w:t>
            </w:r>
            <w:r w:rsidR="0017334E" w:rsidRPr="00444AE8">
              <w:t>u</w:t>
            </w:r>
            <w:r w:rsidR="00514983" w:rsidRPr="00444AE8">
              <w:t xml:space="preserve">) </w:t>
            </w:r>
            <w:r w:rsidR="00653EA4" w:rsidRPr="00444AE8">
              <w:t xml:space="preserve">var saņemt personas, kas uzrāda </w:t>
            </w:r>
            <w:r w:rsidR="0024767D" w:rsidRPr="00444AE8">
              <w:t>derīgu pašvaldības sociālā dienesta izsniegtu izziņu par atbilstību:</w:t>
            </w:r>
          </w:p>
          <w:p w14:paraId="45CE5478" w14:textId="6D77B851" w:rsidR="0024767D" w:rsidRPr="00444AE8" w:rsidRDefault="0024767D" w:rsidP="002C26C3">
            <w:pPr>
              <w:numPr>
                <w:ilvl w:val="0"/>
                <w:numId w:val="20"/>
              </w:numPr>
              <w:tabs>
                <w:tab w:val="clear" w:pos="720"/>
                <w:tab w:val="num" w:pos="321"/>
              </w:tabs>
              <w:ind w:left="321" w:right="68" w:hanging="284"/>
              <w:jc w:val="both"/>
            </w:pPr>
            <w:r w:rsidRPr="00444AE8">
              <w:t>trūcīgas mājsaimniecības statusam (mājsaimniecības, kurās ienākumi nepārsniedz 272 </w:t>
            </w:r>
            <w:proofErr w:type="spellStart"/>
            <w:r w:rsidRPr="00444AE8">
              <w:t>euro</w:t>
            </w:r>
            <w:proofErr w:type="spellEnd"/>
            <w:r w:rsidRPr="00444AE8">
              <w:t xml:space="preserve"> pirmajai vai </w:t>
            </w:r>
            <w:r w:rsidRPr="00444AE8">
              <w:lastRenderedPageBreak/>
              <w:t>vienīgajai personai mājsaimniecībā, bet katrai nākamai personai 190 </w:t>
            </w:r>
            <w:proofErr w:type="spellStart"/>
            <w:r w:rsidRPr="00444AE8">
              <w:t>euro</w:t>
            </w:r>
            <w:proofErr w:type="spellEnd"/>
            <w:r w:rsidRPr="00444AE8">
              <w:t>);</w:t>
            </w:r>
          </w:p>
          <w:p w14:paraId="178B64C0" w14:textId="0D6D0FEF" w:rsidR="0024767D" w:rsidRPr="00444AE8" w:rsidRDefault="0024767D" w:rsidP="002C26C3">
            <w:pPr>
              <w:numPr>
                <w:ilvl w:val="0"/>
                <w:numId w:val="20"/>
              </w:numPr>
              <w:tabs>
                <w:tab w:val="clear" w:pos="720"/>
                <w:tab w:val="num" w:pos="321"/>
              </w:tabs>
              <w:ind w:left="321" w:right="68" w:hanging="284"/>
              <w:jc w:val="both"/>
            </w:pPr>
            <w:r w:rsidRPr="00444AE8">
              <w:t>maznodrošinātas mājsaimniecības statusam (mājsaimniecības, kurās ienākumi nepārsniedz 327 </w:t>
            </w:r>
            <w:proofErr w:type="spellStart"/>
            <w:r w:rsidRPr="00444AE8">
              <w:t>euro</w:t>
            </w:r>
            <w:proofErr w:type="spellEnd"/>
            <w:r w:rsidRPr="00444AE8">
              <w:t xml:space="preserve"> pirmajai vai vienīgajai personai mājsaimniecībā, bet katrai nākamai personai 229 </w:t>
            </w:r>
            <w:proofErr w:type="spellStart"/>
            <w:r w:rsidRPr="00444AE8">
              <w:t>euro</w:t>
            </w:r>
            <w:proofErr w:type="spellEnd"/>
            <w:r w:rsidRPr="00444AE8">
              <w:t>).</w:t>
            </w:r>
          </w:p>
          <w:p w14:paraId="59A4D577" w14:textId="77777777" w:rsidR="0024767D" w:rsidRPr="00444AE8" w:rsidRDefault="0024767D" w:rsidP="002C26C3">
            <w:pPr>
              <w:numPr>
                <w:ilvl w:val="0"/>
                <w:numId w:val="20"/>
              </w:numPr>
              <w:tabs>
                <w:tab w:val="clear" w:pos="720"/>
                <w:tab w:val="num" w:pos="321"/>
              </w:tabs>
              <w:ind w:left="321" w:right="68" w:hanging="284"/>
              <w:jc w:val="both"/>
            </w:pPr>
            <w:r w:rsidRPr="00444AE8">
              <w:t>krīzes situācijā nonākušās mājsaimniecības statusam.</w:t>
            </w:r>
          </w:p>
          <w:p w14:paraId="566165F0" w14:textId="26A5AFFC" w:rsidR="00653EA4" w:rsidRPr="00444AE8" w:rsidRDefault="00520974" w:rsidP="002C26C3">
            <w:pPr>
              <w:spacing w:before="120"/>
              <w:ind w:right="68"/>
              <w:jc w:val="both"/>
            </w:pPr>
            <w:r w:rsidRPr="00444AE8">
              <w:t xml:space="preserve">Gatavo </w:t>
            </w:r>
            <w:r w:rsidR="001F274F" w:rsidRPr="00444AE8">
              <w:t>maltīšu saņemšana Fonda atbalstītajās zupas virtuvēs</w:t>
            </w:r>
            <w:r w:rsidRPr="00444AE8">
              <w:t xml:space="preserve"> ir </w:t>
            </w:r>
            <w:r w:rsidR="00514983" w:rsidRPr="00444AE8">
              <w:t>bez nosacījumiem.</w:t>
            </w:r>
          </w:p>
          <w:p w14:paraId="25BE4B50" w14:textId="4709D238" w:rsidR="0014031D" w:rsidRPr="00444AE8" w:rsidRDefault="00957CFC" w:rsidP="002C26C3">
            <w:pPr>
              <w:spacing w:before="120"/>
              <w:ind w:right="68"/>
              <w:jc w:val="both"/>
              <w:rPr>
                <w:noProof/>
              </w:rPr>
            </w:pPr>
            <w:r w:rsidRPr="00444AE8">
              <w:t>Jebkura</w:t>
            </w:r>
            <w:r w:rsidR="00514983" w:rsidRPr="00444AE8">
              <w:t xml:space="preserve"> ārkārtas situācija un </w:t>
            </w:r>
            <w:r w:rsidRPr="00444AE8">
              <w:t>krīzes apstāk</w:t>
            </w:r>
            <w:r w:rsidR="004E756E" w:rsidRPr="00444AE8">
              <w:t xml:space="preserve">ļi rada papildu </w:t>
            </w:r>
            <w:r w:rsidR="00514983" w:rsidRPr="00444AE8">
              <w:t xml:space="preserve">sociālus </w:t>
            </w:r>
            <w:r w:rsidR="009C7217" w:rsidRPr="00444AE8">
              <w:t xml:space="preserve">un ekonomiskus </w:t>
            </w:r>
            <w:r w:rsidR="004E756E" w:rsidRPr="00444AE8">
              <w:t xml:space="preserve">riskus </w:t>
            </w:r>
            <w:r w:rsidR="001F05A2" w:rsidRPr="00444AE8">
              <w:t>tai sabiedrības da</w:t>
            </w:r>
            <w:r w:rsidR="00886960" w:rsidRPr="00444AE8">
              <w:t>ļai</w:t>
            </w:r>
            <w:r w:rsidR="004E756E" w:rsidRPr="00444AE8">
              <w:t xml:space="preserve">, </w:t>
            </w:r>
            <w:r w:rsidR="00514983" w:rsidRPr="00444AE8">
              <w:t xml:space="preserve">kura </w:t>
            </w:r>
            <w:r w:rsidR="004E756E" w:rsidRPr="00444AE8">
              <w:t>jau</w:t>
            </w:r>
            <w:r w:rsidR="00514983" w:rsidRPr="00444AE8">
              <w:rPr>
                <w:noProof/>
              </w:rPr>
              <w:t xml:space="preserve"> atrodas nelabvēlīgā situācijā</w:t>
            </w:r>
            <w:r w:rsidR="00514983" w:rsidRPr="00444AE8">
              <w:t xml:space="preserve"> </w:t>
            </w:r>
            <w:r w:rsidR="009C7217" w:rsidRPr="00444AE8">
              <w:t xml:space="preserve">un </w:t>
            </w:r>
            <w:r w:rsidR="004E756E" w:rsidRPr="00444AE8">
              <w:t xml:space="preserve">ir </w:t>
            </w:r>
            <w:r w:rsidR="00514983" w:rsidRPr="00444AE8">
              <w:t xml:space="preserve">pakļauta </w:t>
            </w:r>
            <w:r w:rsidR="004E756E" w:rsidRPr="00444AE8">
              <w:t xml:space="preserve">nabadzības un </w:t>
            </w:r>
            <w:r w:rsidR="00EC3406" w:rsidRPr="00444AE8">
              <w:rPr>
                <w:noProof/>
              </w:rPr>
              <w:t>sociālās atstumtības risk</w:t>
            </w:r>
            <w:r w:rsidR="009C7217" w:rsidRPr="00444AE8">
              <w:rPr>
                <w:noProof/>
              </w:rPr>
              <w:t>am</w:t>
            </w:r>
            <w:r w:rsidR="00EC3406" w:rsidRPr="00444AE8">
              <w:rPr>
                <w:noProof/>
              </w:rPr>
              <w:t>.</w:t>
            </w:r>
          </w:p>
          <w:p w14:paraId="00DEA15B" w14:textId="796AC36E" w:rsidR="00FE6833" w:rsidRPr="00444AE8" w:rsidRDefault="000625D9" w:rsidP="002C26C3">
            <w:pPr>
              <w:spacing w:before="120"/>
              <w:ind w:right="68"/>
              <w:jc w:val="both"/>
            </w:pPr>
            <w:r w:rsidRPr="00444AE8">
              <w:t>2020. </w:t>
            </w:r>
            <w:r w:rsidR="009C7217" w:rsidRPr="00444AE8">
              <w:t>gadā v</w:t>
            </w:r>
            <w:r w:rsidR="00FE6833" w:rsidRPr="00444AE8">
              <w:t xml:space="preserve">ērojams Fonda atbalsta saņēmēju skaita pieaugums </w:t>
            </w:r>
            <w:proofErr w:type="spellStart"/>
            <w:r w:rsidR="00D6503A" w:rsidRPr="00444AE8">
              <w:t>Covid-19</w:t>
            </w:r>
            <w:proofErr w:type="spellEnd"/>
            <w:r w:rsidR="00D6503A" w:rsidRPr="00444AE8">
              <w:t xml:space="preserve"> uzliesmojuma </w:t>
            </w:r>
            <w:r w:rsidR="002B7F51" w:rsidRPr="00444AE8">
              <w:t>ietekmē izsludinātās pirmās ārkārtējās situācijas laikā</w:t>
            </w:r>
            <w:r w:rsidRPr="00444AE8">
              <w:t xml:space="preserve"> </w:t>
            </w:r>
            <w:r w:rsidR="00FE6833" w:rsidRPr="00444AE8">
              <w:t xml:space="preserve">gada otrajā ceturksnī un otrās ārkārtējās situācijas laika gada pēdējā ceturksnī (skat. </w:t>
            </w:r>
            <w:r w:rsidR="007E3305" w:rsidRPr="00444AE8">
              <w:t>1. attēlu</w:t>
            </w:r>
            <w:r w:rsidR="00FE6833" w:rsidRPr="00444AE8">
              <w:t>).</w:t>
            </w:r>
            <w:r w:rsidR="00C314E9" w:rsidRPr="00444AE8">
              <w:t xml:space="preserve"> </w:t>
            </w:r>
            <w:r w:rsidR="009C7217" w:rsidRPr="00444AE8">
              <w:t xml:space="preserve">Pieaugoša </w:t>
            </w:r>
            <w:r w:rsidR="00C314E9" w:rsidRPr="00444AE8">
              <w:t xml:space="preserve">tendence </w:t>
            </w:r>
            <w:r w:rsidR="009C7217" w:rsidRPr="00444AE8">
              <w:t xml:space="preserve">turpinās </w:t>
            </w:r>
            <w:r w:rsidR="00C314E9" w:rsidRPr="00444AE8">
              <w:t>arī 2021. gada pirmajā ceturksnī.</w:t>
            </w:r>
          </w:p>
          <w:p w14:paraId="4D9221C3" w14:textId="420A6512" w:rsidR="00476A78" w:rsidRPr="00444AE8" w:rsidRDefault="000625D9" w:rsidP="002C26C3">
            <w:pPr>
              <w:spacing w:before="120"/>
              <w:ind w:right="68"/>
              <w:jc w:val="both"/>
            </w:pPr>
            <w:r w:rsidRPr="00444AE8">
              <w:t xml:space="preserve">Vienlaikus ievērojami </w:t>
            </w:r>
            <w:proofErr w:type="gramStart"/>
            <w:r w:rsidR="00886960" w:rsidRPr="00444AE8">
              <w:t>(</w:t>
            </w:r>
            <w:proofErr w:type="gramEnd"/>
            <w:r w:rsidR="00886960" w:rsidRPr="00444AE8">
              <w:t>par 41,</w:t>
            </w:r>
            <w:r w:rsidR="00D653B0" w:rsidRPr="00444AE8">
              <w:t>4% salīdzinot ar 2019.</w:t>
            </w:r>
            <w:r w:rsidR="00886960" w:rsidRPr="00444AE8">
              <w:t xml:space="preserve">  </w:t>
            </w:r>
            <w:r w:rsidR="00D653B0" w:rsidRPr="00444AE8">
              <w:t>gadu) pi</w:t>
            </w:r>
            <w:r w:rsidRPr="00444AE8">
              <w:t>eau</w:t>
            </w:r>
            <w:r w:rsidR="009C7217" w:rsidRPr="00444AE8">
              <w:t xml:space="preserve">dzis </w:t>
            </w:r>
            <w:r w:rsidR="00D6503A" w:rsidRPr="00444AE8">
              <w:t>krīzes si</w:t>
            </w:r>
            <w:r w:rsidRPr="00444AE8">
              <w:t>tuācijā nonākušo</w:t>
            </w:r>
            <w:r w:rsidR="00C7371D" w:rsidRPr="00444AE8">
              <w:t xml:space="preserve"> personu skaits, kas 2020. gadā </w:t>
            </w:r>
            <w:r w:rsidRPr="00444AE8">
              <w:t xml:space="preserve">sasniedza </w:t>
            </w:r>
            <w:r w:rsidR="008D3B4C" w:rsidRPr="00444AE8">
              <w:t>6 896 unik</w:t>
            </w:r>
            <w:r w:rsidR="004B5427" w:rsidRPr="00444AE8">
              <w:t>ālas personas</w:t>
            </w:r>
            <w:r w:rsidR="00223783" w:rsidRPr="00444AE8">
              <w:t xml:space="preserve">, no tām </w:t>
            </w:r>
            <w:r w:rsidR="00D653B0" w:rsidRPr="00444AE8">
              <w:t>47</w:t>
            </w:r>
            <w:r w:rsidR="00223783" w:rsidRPr="00444AE8">
              <w:t>%</w:t>
            </w:r>
            <w:r w:rsidR="00D653B0" w:rsidRPr="00444AE8">
              <w:t xml:space="preserve"> </w:t>
            </w:r>
            <w:r w:rsidR="00223783" w:rsidRPr="00444AE8">
              <w:t>bērnu</w:t>
            </w:r>
            <w:r w:rsidR="00D653B0" w:rsidRPr="00444AE8">
              <w:t>.</w:t>
            </w:r>
          </w:p>
          <w:p w14:paraId="07280EBF" w14:textId="33D47450" w:rsidR="00FE6833" w:rsidRPr="00444AE8" w:rsidRDefault="007E3305" w:rsidP="002C26C3">
            <w:pPr>
              <w:spacing w:before="120"/>
              <w:ind w:right="68"/>
              <w:jc w:val="right"/>
            </w:pPr>
            <w:r w:rsidRPr="00444AE8">
              <w:t>1. attēls</w:t>
            </w:r>
          </w:p>
          <w:p w14:paraId="53E4B905" w14:textId="3E674891" w:rsidR="007E3305" w:rsidRPr="00444AE8" w:rsidRDefault="00A75A0C" w:rsidP="002C26C3">
            <w:pPr>
              <w:spacing w:before="120"/>
              <w:ind w:right="68"/>
              <w:jc w:val="center"/>
            </w:pPr>
            <w:r>
              <w:rPr>
                <w:noProof/>
              </w:rPr>
              <w:drawing>
                <wp:inline distT="0" distB="0" distL="0" distR="0" wp14:anchorId="2962B76B" wp14:editId="309BE8D9">
                  <wp:extent cx="3105786" cy="2367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0244" cy="2394186"/>
                          </a:xfrm>
                          <a:prstGeom prst="rect">
                            <a:avLst/>
                          </a:prstGeom>
                          <a:noFill/>
                        </pic:spPr>
                      </pic:pic>
                    </a:graphicData>
                  </a:graphic>
                </wp:inline>
              </w:drawing>
            </w:r>
          </w:p>
          <w:p w14:paraId="7D0F75BC" w14:textId="0BDE67F4" w:rsidR="00402DCA" w:rsidRPr="00444AE8" w:rsidRDefault="004D669E" w:rsidP="002C26C3">
            <w:pPr>
              <w:spacing w:before="120"/>
              <w:ind w:right="68"/>
              <w:jc w:val="both"/>
            </w:pPr>
            <w:r w:rsidRPr="00444AE8">
              <w:t>Atzīmējams,</w:t>
            </w:r>
            <w:r w:rsidR="004B5427" w:rsidRPr="00444AE8">
              <w:t xml:space="preserve"> ka, lai gan 2020. gada otrajā pusgadā vērojams pavasarī strauji pieaugušā bezdarbnieku kopējā skaita pakāpenisks samazinājums, tomēr ilgstošo bezdarbnieku īpatsvars tajā pieaug (skat. 2. attēlu)</w:t>
            </w:r>
            <w:r w:rsidR="00D653B0" w:rsidRPr="00444AE8">
              <w:t>. Šī tendence pamato</w:t>
            </w:r>
            <w:r w:rsidR="004B5427" w:rsidRPr="00444AE8">
              <w:t xml:space="preserve"> Fonda atbalstāmo personu </w:t>
            </w:r>
            <w:r w:rsidR="00D653B0" w:rsidRPr="00444AE8">
              <w:t>(</w:t>
            </w:r>
            <w:r w:rsidR="007957D2" w:rsidRPr="00444AE8">
              <w:t>darbspējas vecumā</w:t>
            </w:r>
            <w:r w:rsidR="00D653B0" w:rsidRPr="00444AE8">
              <w:t xml:space="preserve">) </w:t>
            </w:r>
            <w:r w:rsidR="004B5427" w:rsidRPr="00444AE8">
              <w:t>skaita pieaugumu.</w:t>
            </w:r>
          </w:p>
          <w:p w14:paraId="2EC111DE" w14:textId="77777777" w:rsidR="005966A0" w:rsidRPr="00444AE8" w:rsidRDefault="005966A0" w:rsidP="002C26C3">
            <w:pPr>
              <w:spacing w:before="120"/>
              <w:ind w:right="68"/>
              <w:jc w:val="right"/>
            </w:pPr>
          </w:p>
          <w:p w14:paraId="3FD7500F" w14:textId="77777777" w:rsidR="005966A0" w:rsidRPr="00444AE8" w:rsidRDefault="005966A0" w:rsidP="002C26C3">
            <w:pPr>
              <w:spacing w:before="120"/>
              <w:ind w:right="68"/>
              <w:jc w:val="right"/>
            </w:pPr>
          </w:p>
          <w:p w14:paraId="5524961F" w14:textId="44600904" w:rsidR="00402DCA" w:rsidRPr="00444AE8" w:rsidRDefault="00402DCA" w:rsidP="002C26C3">
            <w:pPr>
              <w:spacing w:before="120"/>
              <w:ind w:right="68"/>
              <w:jc w:val="right"/>
            </w:pPr>
            <w:r w:rsidRPr="00444AE8">
              <w:lastRenderedPageBreak/>
              <w:t>2. attēls</w:t>
            </w:r>
          </w:p>
          <w:p w14:paraId="13E80E2F" w14:textId="482CCE22" w:rsidR="008B1B80" w:rsidRPr="00444AE8" w:rsidRDefault="00B47D1A" w:rsidP="002C26C3">
            <w:pPr>
              <w:spacing w:before="120"/>
              <w:ind w:right="68"/>
              <w:jc w:val="center"/>
              <w:rPr>
                <w:noProof/>
              </w:rPr>
            </w:pPr>
            <w:r>
              <w:rPr>
                <w:noProof/>
              </w:rPr>
              <w:drawing>
                <wp:inline distT="0" distB="0" distL="0" distR="0" wp14:anchorId="09176FB5" wp14:editId="4D757F76">
                  <wp:extent cx="3242348" cy="22068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4281" cy="2235369"/>
                          </a:xfrm>
                          <a:prstGeom prst="rect">
                            <a:avLst/>
                          </a:prstGeom>
                          <a:noFill/>
                        </pic:spPr>
                      </pic:pic>
                    </a:graphicData>
                  </a:graphic>
                </wp:inline>
              </w:drawing>
            </w:r>
          </w:p>
          <w:p w14:paraId="64DC23D6" w14:textId="317241A6" w:rsidR="00C314E9" w:rsidRPr="00444AE8" w:rsidRDefault="00402DCA" w:rsidP="002C26C3">
            <w:pPr>
              <w:spacing w:before="120"/>
              <w:ind w:right="68"/>
              <w:jc w:val="both"/>
              <w:rPr>
                <w:i/>
              </w:rPr>
            </w:pPr>
            <w:r w:rsidRPr="00444AE8">
              <w:rPr>
                <w:i/>
              </w:rPr>
              <w:t>Avots: NVA</w:t>
            </w:r>
          </w:p>
          <w:p w14:paraId="4111BC2E" w14:textId="374192AF" w:rsidR="001E2656" w:rsidRPr="00444AE8" w:rsidRDefault="00B34046" w:rsidP="002C26C3">
            <w:pPr>
              <w:spacing w:before="120"/>
              <w:ind w:right="68"/>
              <w:jc w:val="both"/>
              <w:rPr>
                <w:bCs/>
              </w:rPr>
            </w:pPr>
            <w:r w:rsidRPr="00444AE8">
              <w:t>Atzīmējams, ka atbalstām</w:t>
            </w:r>
            <w:r w:rsidR="003F3D63" w:rsidRPr="00444AE8">
              <w:t>o</w:t>
            </w:r>
            <w:r w:rsidRPr="00444AE8">
              <w:t xml:space="preserve"> </w:t>
            </w:r>
            <w:r w:rsidR="003F3D63" w:rsidRPr="00444AE8">
              <w:t>personu loku</w:t>
            </w:r>
            <w:r w:rsidR="00523568" w:rsidRPr="00444AE8">
              <w:t xml:space="preserve">, iespējami, </w:t>
            </w:r>
            <w:r w:rsidR="003F3D63" w:rsidRPr="00444AE8">
              <w:t>veido bezdarbnieki, kuri iepriekš saņēmuši atalgojumu</w:t>
            </w:r>
            <w:r w:rsidRPr="00444AE8">
              <w:t xml:space="preserve"> </w:t>
            </w:r>
            <w:r w:rsidR="003F3D63" w:rsidRPr="00444AE8">
              <w:t xml:space="preserve">minimālās </w:t>
            </w:r>
            <w:r w:rsidR="007957D2" w:rsidRPr="00444AE8">
              <w:t>algas apmēr</w:t>
            </w:r>
            <w:r w:rsidR="003F3D63" w:rsidRPr="00444AE8">
              <w:t>ā, kā arī</w:t>
            </w:r>
            <w:r w:rsidRPr="00444AE8">
              <w:t xml:space="preserve"> iepriekš </w:t>
            </w:r>
            <w:r w:rsidR="003F3D63" w:rsidRPr="00444AE8">
              <w:t xml:space="preserve">daļējā </w:t>
            </w:r>
            <w:r w:rsidRPr="00444AE8">
              <w:t>ēnas ekonomikā strādājošie</w:t>
            </w:r>
            <w:r w:rsidR="004C37AC" w:rsidRPr="00444AE8">
              <w:t xml:space="preserve">, kuru ienākumi ievērojami samazinājušies, nonākot bezdarba situācijā vai dīkstāvē. </w:t>
            </w:r>
            <w:r w:rsidR="00917FAB" w:rsidRPr="00444AE8">
              <w:t>Š</w:t>
            </w:r>
            <w:r w:rsidR="003F3D63" w:rsidRPr="00444AE8">
              <w:t>ajās mājsaimniecībās</w:t>
            </w:r>
            <w:r w:rsidR="000E6190" w:rsidRPr="00444AE8">
              <w:t xml:space="preserve"> </w:t>
            </w:r>
            <w:r w:rsidR="006C3820" w:rsidRPr="00444AE8">
              <w:t>līdztekus personām</w:t>
            </w:r>
            <w:r w:rsidR="000E6190" w:rsidRPr="00444AE8">
              <w:t xml:space="preserve"> darbspējas vecum</w:t>
            </w:r>
            <w:r w:rsidR="006C3820" w:rsidRPr="00444AE8">
              <w:t xml:space="preserve">ā </w:t>
            </w:r>
            <w:r w:rsidR="003F3D63" w:rsidRPr="00444AE8">
              <w:t xml:space="preserve">nereti </w:t>
            </w:r>
            <w:r w:rsidR="00917FAB" w:rsidRPr="00444AE8">
              <w:t>ir mazi</w:t>
            </w:r>
            <w:r w:rsidR="006C3820" w:rsidRPr="00444AE8">
              <w:t xml:space="preserve"> </w:t>
            </w:r>
            <w:r w:rsidR="00917FAB" w:rsidRPr="00444AE8">
              <w:t>un skolas vecuma bērni.</w:t>
            </w:r>
            <w:r w:rsidR="00691A1A" w:rsidRPr="00444AE8">
              <w:t xml:space="preserve"> </w:t>
            </w:r>
            <w:r w:rsidR="00440C32" w:rsidRPr="00444AE8">
              <w:t xml:space="preserve">Šo </w:t>
            </w:r>
            <w:r w:rsidR="00523568" w:rsidRPr="00444AE8">
              <w:t>pieņēmumu</w:t>
            </w:r>
            <w:r w:rsidR="00440C32" w:rsidRPr="00444AE8">
              <w:t xml:space="preserve"> apstiprina izdalīto Fonda atbalsta komplektu skaits, kas paredzēts ģimenēm ar maziem bērniem līdz divu gadu vecumam un skolas vecuma bērniem.</w:t>
            </w:r>
            <w:r w:rsidR="00DD7FB2" w:rsidRPr="00444AE8">
              <w:t xml:space="preserve"> </w:t>
            </w:r>
            <w:r w:rsidR="00D11999" w:rsidRPr="00444AE8">
              <w:t xml:space="preserve">Salīdzinot datus pret iepriekšējā gada analogo periodu, 2020. gada otrajā ceturksnī izdalītais </w:t>
            </w:r>
            <w:r w:rsidR="00D11999" w:rsidRPr="00444AE8">
              <w:rPr>
                <w:bCs/>
              </w:rPr>
              <w:t>papildu pārtikas komplektu skaits</w:t>
            </w:r>
            <w:r w:rsidR="007957D2" w:rsidRPr="00444AE8">
              <w:rPr>
                <w:bCs/>
              </w:rPr>
              <w:t xml:space="preserve"> maziem bērniem līdz divu </w:t>
            </w:r>
            <w:r w:rsidR="00D11999" w:rsidRPr="00444AE8">
              <w:rPr>
                <w:bCs/>
              </w:rPr>
              <w:t>gadu vecumam palielin</w:t>
            </w:r>
            <w:r w:rsidR="00F841F2" w:rsidRPr="00444AE8">
              <w:rPr>
                <w:bCs/>
              </w:rPr>
              <w:t>ājā</w:t>
            </w:r>
            <w:r w:rsidR="00D11999" w:rsidRPr="00444AE8">
              <w:rPr>
                <w:bCs/>
              </w:rPr>
              <w:t xml:space="preserve">s par 32,5 %, papildu higiēnas preču komplektu skaits </w:t>
            </w:r>
            <w:r w:rsidR="006C3820" w:rsidRPr="00444AE8">
              <w:rPr>
                <w:bCs/>
              </w:rPr>
              <w:t xml:space="preserve">maziem </w:t>
            </w:r>
            <w:r w:rsidR="00D11999" w:rsidRPr="00444AE8">
              <w:rPr>
                <w:bCs/>
              </w:rPr>
              <w:t xml:space="preserve">bērniem līdz </w:t>
            </w:r>
            <w:r w:rsidR="007957D2" w:rsidRPr="00444AE8">
              <w:rPr>
                <w:bCs/>
              </w:rPr>
              <w:t>divu</w:t>
            </w:r>
            <w:r w:rsidR="00D11999" w:rsidRPr="00444AE8">
              <w:rPr>
                <w:bCs/>
              </w:rPr>
              <w:t xml:space="preserve"> gadu vecumam – par 30,4 %, bet mācību piederumu komplektu skaits</w:t>
            </w:r>
            <w:r w:rsidR="00AE60AE" w:rsidRPr="00444AE8">
              <w:rPr>
                <w:bCs/>
              </w:rPr>
              <w:t xml:space="preserve"> </w:t>
            </w:r>
            <w:r w:rsidR="006C3820" w:rsidRPr="00444AE8">
              <w:rPr>
                <w:bCs/>
              </w:rPr>
              <w:t xml:space="preserve">bērniem </w:t>
            </w:r>
            <w:r w:rsidR="00AE60AE" w:rsidRPr="00444AE8">
              <w:rPr>
                <w:bCs/>
              </w:rPr>
              <w:t xml:space="preserve">vecumā no </w:t>
            </w:r>
            <w:r w:rsidR="007957D2" w:rsidRPr="00444AE8">
              <w:rPr>
                <w:bCs/>
              </w:rPr>
              <w:t>pieciem</w:t>
            </w:r>
            <w:r w:rsidR="00AE60AE" w:rsidRPr="00444AE8">
              <w:rPr>
                <w:bCs/>
              </w:rPr>
              <w:t xml:space="preserve"> līdz </w:t>
            </w:r>
            <w:r w:rsidR="00D11999" w:rsidRPr="00444AE8">
              <w:rPr>
                <w:bCs/>
              </w:rPr>
              <w:t>16 gadiem</w:t>
            </w:r>
            <w:r w:rsidR="00176C7A" w:rsidRPr="00444AE8">
              <w:rPr>
                <w:bCs/>
              </w:rPr>
              <w:t xml:space="preserve"> – par 81,7 % (skat. 1. tabulu).</w:t>
            </w:r>
          </w:p>
          <w:p w14:paraId="69A52534" w14:textId="5291568F" w:rsidR="00176C7A" w:rsidRPr="00444AE8" w:rsidRDefault="00176C7A" w:rsidP="002C26C3">
            <w:pPr>
              <w:spacing w:before="120"/>
              <w:ind w:right="68"/>
              <w:jc w:val="right"/>
              <w:rPr>
                <w:bCs/>
              </w:rPr>
            </w:pPr>
            <w:r w:rsidRPr="00444AE8">
              <w:rPr>
                <w:bCs/>
              </w:rPr>
              <w:t>1. tabula</w:t>
            </w:r>
          </w:p>
          <w:tbl>
            <w:tblPr>
              <w:tblW w:w="5640" w:type="dxa"/>
              <w:tblLook w:val="04A0" w:firstRow="1" w:lastRow="0" w:firstColumn="1" w:lastColumn="0" w:noHBand="0" w:noVBand="1"/>
            </w:tblPr>
            <w:tblGrid>
              <w:gridCol w:w="2860"/>
              <w:gridCol w:w="917"/>
              <w:gridCol w:w="901"/>
              <w:gridCol w:w="962"/>
            </w:tblGrid>
            <w:tr w:rsidR="00444AE8" w:rsidRPr="00444AE8" w14:paraId="2044504A" w14:textId="77777777" w:rsidTr="00966601">
              <w:trPr>
                <w:trHeight w:val="510"/>
              </w:trPr>
              <w:tc>
                <w:tcPr>
                  <w:tcW w:w="2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D909B9D" w14:textId="77777777" w:rsidR="00966601" w:rsidRPr="00444AE8" w:rsidRDefault="00966601" w:rsidP="002C26C3">
                  <w:pPr>
                    <w:jc w:val="center"/>
                    <w:rPr>
                      <w:b/>
                      <w:bCs/>
                      <w:sz w:val="18"/>
                      <w:szCs w:val="18"/>
                    </w:rPr>
                  </w:pPr>
                  <w:r w:rsidRPr="00444AE8">
                    <w:rPr>
                      <w:b/>
                      <w:bCs/>
                      <w:sz w:val="18"/>
                      <w:szCs w:val="18"/>
                    </w:rPr>
                    <w:t>Izdalītais Fonda atbalsts</w:t>
                  </w:r>
                </w:p>
              </w:tc>
              <w:tc>
                <w:tcPr>
                  <w:tcW w:w="940" w:type="dxa"/>
                  <w:tcBorders>
                    <w:top w:val="single" w:sz="8" w:space="0" w:color="auto"/>
                    <w:left w:val="nil"/>
                    <w:bottom w:val="single" w:sz="8" w:space="0" w:color="auto"/>
                    <w:right w:val="single" w:sz="4" w:space="0" w:color="auto"/>
                  </w:tcBorders>
                  <w:shd w:val="clear" w:color="000000" w:fill="D9D9D9"/>
                  <w:vAlign w:val="center"/>
                  <w:hideMark/>
                </w:tcPr>
                <w:p w14:paraId="4FAEA5FC" w14:textId="0EA9CE1E" w:rsidR="00966601" w:rsidRPr="00444AE8" w:rsidRDefault="00966601" w:rsidP="002C26C3">
                  <w:pPr>
                    <w:jc w:val="center"/>
                    <w:rPr>
                      <w:b/>
                      <w:bCs/>
                      <w:sz w:val="18"/>
                      <w:szCs w:val="18"/>
                    </w:rPr>
                  </w:pPr>
                  <w:r w:rsidRPr="00444AE8">
                    <w:rPr>
                      <w:b/>
                      <w:bCs/>
                      <w:sz w:val="18"/>
                      <w:szCs w:val="18"/>
                    </w:rPr>
                    <w:t>2019.</w:t>
                  </w:r>
                  <w:r w:rsidR="0012266E" w:rsidRPr="00444AE8">
                    <w:rPr>
                      <w:b/>
                      <w:bCs/>
                      <w:sz w:val="18"/>
                      <w:szCs w:val="18"/>
                    </w:rPr>
                    <w:t> </w:t>
                  </w:r>
                  <w:r w:rsidRPr="00444AE8">
                    <w:rPr>
                      <w:b/>
                      <w:bCs/>
                      <w:sz w:val="18"/>
                      <w:szCs w:val="18"/>
                    </w:rPr>
                    <w:t>g. 2.cet.</w:t>
                  </w:r>
                </w:p>
              </w:tc>
              <w:tc>
                <w:tcPr>
                  <w:tcW w:w="920" w:type="dxa"/>
                  <w:tcBorders>
                    <w:top w:val="single" w:sz="8" w:space="0" w:color="auto"/>
                    <w:left w:val="nil"/>
                    <w:bottom w:val="single" w:sz="8" w:space="0" w:color="auto"/>
                    <w:right w:val="single" w:sz="4" w:space="0" w:color="auto"/>
                  </w:tcBorders>
                  <w:shd w:val="clear" w:color="000000" w:fill="D9D9D9"/>
                  <w:vAlign w:val="center"/>
                  <w:hideMark/>
                </w:tcPr>
                <w:p w14:paraId="7A22871D" w14:textId="23550947" w:rsidR="00966601" w:rsidRPr="00444AE8" w:rsidRDefault="00966601" w:rsidP="002C26C3">
                  <w:pPr>
                    <w:jc w:val="center"/>
                    <w:rPr>
                      <w:b/>
                      <w:bCs/>
                      <w:sz w:val="18"/>
                      <w:szCs w:val="18"/>
                    </w:rPr>
                  </w:pPr>
                  <w:r w:rsidRPr="00444AE8">
                    <w:rPr>
                      <w:b/>
                      <w:bCs/>
                      <w:sz w:val="18"/>
                      <w:szCs w:val="18"/>
                    </w:rPr>
                    <w:t>2020.</w:t>
                  </w:r>
                  <w:r w:rsidR="0012266E" w:rsidRPr="00444AE8">
                    <w:rPr>
                      <w:b/>
                      <w:bCs/>
                      <w:sz w:val="18"/>
                      <w:szCs w:val="18"/>
                    </w:rPr>
                    <w:t> </w:t>
                  </w:r>
                  <w:r w:rsidRPr="00444AE8">
                    <w:rPr>
                      <w:b/>
                      <w:bCs/>
                      <w:sz w:val="18"/>
                      <w:szCs w:val="18"/>
                    </w:rPr>
                    <w:t>g. 2.cet.</w:t>
                  </w:r>
                </w:p>
              </w:tc>
              <w:tc>
                <w:tcPr>
                  <w:tcW w:w="920" w:type="dxa"/>
                  <w:tcBorders>
                    <w:top w:val="single" w:sz="8" w:space="0" w:color="auto"/>
                    <w:left w:val="nil"/>
                    <w:bottom w:val="single" w:sz="8" w:space="0" w:color="auto"/>
                    <w:right w:val="single" w:sz="8" w:space="0" w:color="auto"/>
                  </w:tcBorders>
                  <w:shd w:val="clear" w:color="000000" w:fill="D9D9D9"/>
                  <w:vAlign w:val="bottom"/>
                  <w:hideMark/>
                </w:tcPr>
                <w:p w14:paraId="19A66A2F" w14:textId="77777777" w:rsidR="00966601" w:rsidRPr="00444AE8" w:rsidRDefault="00966601" w:rsidP="002C26C3">
                  <w:pPr>
                    <w:jc w:val="center"/>
                    <w:rPr>
                      <w:b/>
                      <w:bCs/>
                      <w:sz w:val="18"/>
                      <w:szCs w:val="18"/>
                    </w:rPr>
                  </w:pPr>
                  <w:r w:rsidRPr="00444AE8">
                    <w:rPr>
                      <w:b/>
                      <w:bCs/>
                      <w:sz w:val="18"/>
                      <w:szCs w:val="18"/>
                    </w:rPr>
                    <w:t>Izmaiņas, %</w:t>
                  </w:r>
                </w:p>
              </w:tc>
            </w:tr>
            <w:tr w:rsidR="00444AE8" w:rsidRPr="00444AE8" w14:paraId="5AF56FA7" w14:textId="77777777" w:rsidTr="0020779D">
              <w:trPr>
                <w:trHeight w:val="410"/>
              </w:trPr>
              <w:tc>
                <w:tcPr>
                  <w:tcW w:w="2860" w:type="dxa"/>
                  <w:tcBorders>
                    <w:top w:val="nil"/>
                    <w:left w:val="single" w:sz="8" w:space="0" w:color="auto"/>
                    <w:bottom w:val="single" w:sz="4" w:space="0" w:color="auto"/>
                    <w:right w:val="single" w:sz="8" w:space="0" w:color="auto"/>
                  </w:tcBorders>
                  <w:shd w:val="clear" w:color="000000" w:fill="D9D9D9"/>
                  <w:vAlign w:val="center"/>
                  <w:hideMark/>
                </w:tcPr>
                <w:p w14:paraId="77C8D7BC" w14:textId="77777777" w:rsidR="00966601" w:rsidRPr="00444AE8" w:rsidRDefault="00966601" w:rsidP="002C26C3">
                  <w:pPr>
                    <w:rPr>
                      <w:b/>
                      <w:bCs/>
                      <w:sz w:val="16"/>
                      <w:szCs w:val="16"/>
                    </w:rPr>
                  </w:pPr>
                  <w:r w:rsidRPr="00444AE8">
                    <w:rPr>
                      <w:b/>
                      <w:bCs/>
                      <w:sz w:val="16"/>
                      <w:szCs w:val="16"/>
                    </w:rPr>
                    <w:t>Pārtikas komplekti individuālai izdalei</w:t>
                  </w:r>
                </w:p>
              </w:tc>
              <w:tc>
                <w:tcPr>
                  <w:tcW w:w="940" w:type="dxa"/>
                  <w:tcBorders>
                    <w:top w:val="nil"/>
                    <w:left w:val="nil"/>
                    <w:bottom w:val="single" w:sz="4" w:space="0" w:color="auto"/>
                    <w:right w:val="single" w:sz="4" w:space="0" w:color="auto"/>
                  </w:tcBorders>
                  <w:shd w:val="clear" w:color="auto" w:fill="auto"/>
                  <w:vAlign w:val="center"/>
                  <w:hideMark/>
                </w:tcPr>
                <w:p w14:paraId="6F09319E" w14:textId="4CE3B889" w:rsidR="00966601" w:rsidRPr="00444AE8" w:rsidRDefault="00966601" w:rsidP="002C26C3">
                  <w:pPr>
                    <w:rPr>
                      <w:sz w:val="18"/>
                      <w:szCs w:val="18"/>
                    </w:rPr>
                  </w:pPr>
                  <w:r w:rsidRPr="00444AE8">
                    <w:rPr>
                      <w:sz w:val="18"/>
                      <w:szCs w:val="18"/>
                    </w:rPr>
                    <w:t xml:space="preserve">   83 232 </w:t>
                  </w:r>
                </w:p>
              </w:tc>
              <w:tc>
                <w:tcPr>
                  <w:tcW w:w="920" w:type="dxa"/>
                  <w:tcBorders>
                    <w:top w:val="nil"/>
                    <w:left w:val="nil"/>
                    <w:bottom w:val="single" w:sz="4" w:space="0" w:color="auto"/>
                    <w:right w:val="single" w:sz="4" w:space="0" w:color="auto"/>
                  </w:tcBorders>
                  <w:shd w:val="clear" w:color="auto" w:fill="auto"/>
                  <w:vAlign w:val="center"/>
                  <w:hideMark/>
                </w:tcPr>
                <w:p w14:paraId="4EC17102" w14:textId="0BA6D700" w:rsidR="00966601" w:rsidRPr="00444AE8" w:rsidRDefault="00966601" w:rsidP="002C26C3">
                  <w:pPr>
                    <w:rPr>
                      <w:sz w:val="18"/>
                      <w:szCs w:val="18"/>
                    </w:rPr>
                  </w:pPr>
                  <w:r w:rsidRPr="00444AE8">
                    <w:rPr>
                      <w:sz w:val="18"/>
                      <w:szCs w:val="18"/>
                    </w:rPr>
                    <w:t xml:space="preserve">  98 293 </w:t>
                  </w:r>
                </w:p>
              </w:tc>
              <w:tc>
                <w:tcPr>
                  <w:tcW w:w="920" w:type="dxa"/>
                  <w:tcBorders>
                    <w:top w:val="nil"/>
                    <w:left w:val="nil"/>
                    <w:bottom w:val="single" w:sz="4" w:space="0" w:color="auto"/>
                    <w:right w:val="single" w:sz="8" w:space="0" w:color="auto"/>
                  </w:tcBorders>
                  <w:shd w:val="clear" w:color="auto" w:fill="auto"/>
                  <w:vAlign w:val="center"/>
                  <w:hideMark/>
                </w:tcPr>
                <w:p w14:paraId="6E19483E" w14:textId="77777777" w:rsidR="00966601" w:rsidRPr="00444AE8" w:rsidRDefault="00966601" w:rsidP="002C26C3">
                  <w:pPr>
                    <w:jc w:val="center"/>
                    <w:rPr>
                      <w:sz w:val="18"/>
                      <w:szCs w:val="18"/>
                    </w:rPr>
                  </w:pPr>
                  <w:r w:rsidRPr="00444AE8">
                    <w:rPr>
                      <w:sz w:val="18"/>
                      <w:szCs w:val="18"/>
                    </w:rPr>
                    <w:t>18.10</w:t>
                  </w:r>
                </w:p>
              </w:tc>
            </w:tr>
            <w:tr w:rsidR="00444AE8" w:rsidRPr="00444AE8" w14:paraId="7C24BAC5" w14:textId="77777777" w:rsidTr="0020779D">
              <w:trPr>
                <w:trHeight w:val="271"/>
              </w:trPr>
              <w:tc>
                <w:tcPr>
                  <w:tcW w:w="2860" w:type="dxa"/>
                  <w:tcBorders>
                    <w:top w:val="nil"/>
                    <w:left w:val="single" w:sz="8" w:space="0" w:color="auto"/>
                    <w:bottom w:val="single" w:sz="4" w:space="0" w:color="auto"/>
                    <w:right w:val="single" w:sz="8" w:space="0" w:color="auto"/>
                  </w:tcBorders>
                  <w:shd w:val="clear" w:color="000000" w:fill="D9D9D9"/>
                  <w:vAlign w:val="center"/>
                  <w:hideMark/>
                </w:tcPr>
                <w:p w14:paraId="14C940B3" w14:textId="77777777" w:rsidR="00966601" w:rsidRPr="00444AE8" w:rsidRDefault="00966601" w:rsidP="002C26C3">
                  <w:pPr>
                    <w:rPr>
                      <w:b/>
                      <w:bCs/>
                      <w:sz w:val="16"/>
                      <w:szCs w:val="16"/>
                    </w:rPr>
                  </w:pPr>
                  <w:r w:rsidRPr="00444AE8">
                    <w:rPr>
                      <w:b/>
                      <w:bCs/>
                      <w:sz w:val="16"/>
                      <w:szCs w:val="16"/>
                    </w:rPr>
                    <w:t>Papildus pārtikas komplekti maziem bērniem līdz 2 gadiem</w:t>
                  </w:r>
                </w:p>
              </w:tc>
              <w:tc>
                <w:tcPr>
                  <w:tcW w:w="940" w:type="dxa"/>
                  <w:tcBorders>
                    <w:top w:val="nil"/>
                    <w:left w:val="nil"/>
                    <w:bottom w:val="single" w:sz="4" w:space="0" w:color="auto"/>
                    <w:right w:val="single" w:sz="4" w:space="0" w:color="auto"/>
                  </w:tcBorders>
                  <w:shd w:val="clear" w:color="auto" w:fill="auto"/>
                  <w:vAlign w:val="center"/>
                  <w:hideMark/>
                </w:tcPr>
                <w:p w14:paraId="07C3BD24" w14:textId="572B4D17" w:rsidR="00966601" w:rsidRPr="00444AE8" w:rsidRDefault="00966601" w:rsidP="002C26C3">
                  <w:pPr>
                    <w:rPr>
                      <w:sz w:val="18"/>
                      <w:szCs w:val="18"/>
                    </w:rPr>
                  </w:pPr>
                  <w:r w:rsidRPr="00444AE8">
                    <w:rPr>
                      <w:sz w:val="18"/>
                      <w:szCs w:val="18"/>
                    </w:rPr>
                    <w:t xml:space="preserve">   1 096 </w:t>
                  </w:r>
                </w:p>
              </w:tc>
              <w:tc>
                <w:tcPr>
                  <w:tcW w:w="920" w:type="dxa"/>
                  <w:tcBorders>
                    <w:top w:val="nil"/>
                    <w:left w:val="nil"/>
                    <w:bottom w:val="single" w:sz="4" w:space="0" w:color="auto"/>
                    <w:right w:val="single" w:sz="4" w:space="0" w:color="auto"/>
                  </w:tcBorders>
                  <w:shd w:val="clear" w:color="auto" w:fill="auto"/>
                  <w:vAlign w:val="center"/>
                  <w:hideMark/>
                </w:tcPr>
                <w:p w14:paraId="7B3BC4B3" w14:textId="1A92CE2E" w:rsidR="00966601" w:rsidRPr="00444AE8" w:rsidRDefault="00966601" w:rsidP="002C26C3">
                  <w:pPr>
                    <w:rPr>
                      <w:sz w:val="18"/>
                      <w:szCs w:val="18"/>
                    </w:rPr>
                  </w:pPr>
                  <w:r w:rsidRPr="00444AE8">
                    <w:rPr>
                      <w:sz w:val="18"/>
                      <w:szCs w:val="18"/>
                    </w:rPr>
                    <w:t xml:space="preserve">   1 452 </w:t>
                  </w:r>
                </w:p>
              </w:tc>
              <w:tc>
                <w:tcPr>
                  <w:tcW w:w="920" w:type="dxa"/>
                  <w:tcBorders>
                    <w:top w:val="nil"/>
                    <w:left w:val="nil"/>
                    <w:bottom w:val="single" w:sz="4" w:space="0" w:color="auto"/>
                    <w:right w:val="single" w:sz="8" w:space="0" w:color="auto"/>
                  </w:tcBorders>
                  <w:shd w:val="clear" w:color="auto" w:fill="auto"/>
                  <w:vAlign w:val="center"/>
                  <w:hideMark/>
                </w:tcPr>
                <w:p w14:paraId="3EF5F0D4" w14:textId="77777777" w:rsidR="00966601" w:rsidRPr="00444AE8" w:rsidRDefault="00966601" w:rsidP="002C26C3">
                  <w:pPr>
                    <w:jc w:val="center"/>
                    <w:rPr>
                      <w:sz w:val="18"/>
                      <w:szCs w:val="18"/>
                    </w:rPr>
                  </w:pPr>
                  <w:r w:rsidRPr="00444AE8">
                    <w:rPr>
                      <w:sz w:val="18"/>
                      <w:szCs w:val="18"/>
                    </w:rPr>
                    <w:t>32.48</w:t>
                  </w:r>
                </w:p>
              </w:tc>
            </w:tr>
            <w:tr w:rsidR="00444AE8" w:rsidRPr="00444AE8" w14:paraId="42BCDF3B" w14:textId="77777777" w:rsidTr="0020779D">
              <w:trPr>
                <w:trHeight w:val="305"/>
              </w:trPr>
              <w:tc>
                <w:tcPr>
                  <w:tcW w:w="2860" w:type="dxa"/>
                  <w:tcBorders>
                    <w:top w:val="nil"/>
                    <w:left w:val="single" w:sz="8" w:space="0" w:color="auto"/>
                    <w:bottom w:val="single" w:sz="4" w:space="0" w:color="auto"/>
                    <w:right w:val="single" w:sz="8" w:space="0" w:color="auto"/>
                  </w:tcBorders>
                  <w:shd w:val="clear" w:color="000000" w:fill="D9D9D9"/>
                  <w:vAlign w:val="center"/>
                  <w:hideMark/>
                </w:tcPr>
                <w:p w14:paraId="281E1BE4" w14:textId="77777777" w:rsidR="00966601" w:rsidRPr="00444AE8" w:rsidRDefault="00966601" w:rsidP="002C26C3">
                  <w:pPr>
                    <w:rPr>
                      <w:b/>
                      <w:bCs/>
                      <w:sz w:val="16"/>
                      <w:szCs w:val="16"/>
                    </w:rPr>
                  </w:pPr>
                  <w:r w:rsidRPr="00444AE8">
                    <w:rPr>
                      <w:b/>
                      <w:bCs/>
                      <w:sz w:val="16"/>
                      <w:szCs w:val="16"/>
                    </w:rPr>
                    <w:t>Saimniecības un higiēnas preču komplekti</w:t>
                  </w:r>
                </w:p>
              </w:tc>
              <w:tc>
                <w:tcPr>
                  <w:tcW w:w="940" w:type="dxa"/>
                  <w:tcBorders>
                    <w:top w:val="nil"/>
                    <w:left w:val="nil"/>
                    <w:bottom w:val="single" w:sz="4" w:space="0" w:color="auto"/>
                    <w:right w:val="single" w:sz="4" w:space="0" w:color="auto"/>
                  </w:tcBorders>
                  <w:shd w:val="clear" w:color="auto" w:fill="auto"/>
                  <w:vAlign w:val="center"/>
                  <w:hideMark/>
                </w:tcPr>
                <w:p w14:paraId="2620CB47" w14:textId="37347FEE" w:rsidR="00966601" w:rsidRPr="00444AE8" w:rsidRDefault="00966601" w:rsidP="002C26C3">
                  <w:pPr>
                    <w:rPr>
                      <w:sz w:val="18"/>
                      <w:szCs w:val="18"/>
                    </w:rPr>
                  </w:pPr>
                  <w:r w:rsidRPr="00444AE8">
                    <w:rPr>
                      <w:sz w:val="18"/>
                      <w:szCs w:val="18"/>
                    </w:rPr>
                    <w:t xml:space="preserve">   45 902 </w:t>
                  </w:r>
                </w:p>
              </w:tc>
              <w:tc>
                <w:tcPr>
                  <w:tcW w:w="920" w:type="dxa"/>
                  <w:tcBorders>
                    <w:top w:val="nil"/>
                    <w:left w:val="nil"/>
                    <w:bottom w:val="single" w:sz="4" w:space="0" w:color="auto"/>
                    <w:right w:val="single" w:sz="4" w:space="0" w:color="auto"/>
                  </w:tcBorders>
                  <w:shd w:val="clear" w:color="auto" w:fill="auto"/>
                  <w:vAlign w:val="center"/>
                  <w:hideMark/>
                </w:tcPr>
                <w:p w14:paraId="53232747" w14:textId="4B75151A" w:rsidR="00966601" w:rsidRPr="00444AE8" w:rsidRDefault="00966601" w:rsidP="002C26C3">
                  <w:pPr>
                    <w:rPr>
                      <w:sz w:val="18"/>
                      <w:szCs w:val="18"/>
                    </w:rPr>
                  </w:pPr>
                  <w:r w:rsidRPr="00444AE8">
                    <w:rPr>
                      <w:sz w:val="18"/>
                      <w:szCs w:val="18"/>
                    </w:rPr>
                    <w:t xml:space="preserve">  49 811 </w:t>
                  </w:r>
                </w:p>
              </w:tc>
              <w:tc>
                <w:tcPr>
                  <w:tcW w:w="920" w:type="dxa"/>
                  <w:tcBorders>
                    <w:top w:val="nil"/>
                    <w:left w:val="nil"/>
                    <w:bottom w:val="single" w:sz="4" w:space="0" w:color="auto"/>
                    <w:right w:val="single" w:sz="8" w:space="0" w:color="auto"/>
                  </w:tcBorders>
                  <w:shd w:val="clear" w:color="auto" w:fill="auto"/>
                  <w:vAlign w:val="center"/>
                  <w:hideMark/>
                </w:tcPr>
                <w:p w14:paraId="06A6A963" w14:textId="77777777" w:rsidR="00966601" w:rsidRPr="00444AE8" w:rsidRDefault="00966601" w:rsidP="002C26C3">
                  <w:pPr>
                    <w:jc w:val="center"/>
                    <w:rPr>
                      <w:sz w:val="18"/>
                      <w:szCs w:val="18"/>
                    </w:rPr>
                  </w:pPr>
                  <w:r w:rsidRPr="00444AE8">
                    <w:rPr>
                      <w:sz w:val="18"/>
                      <w:szCs w:val="18"/>
                    </w:rPr>
                    <w:t>8.52</w:t>
                  </w:r>
                </w:p>
              </w:tc>
            </w:tr>
            <w:tr w:rsidR="00444AE8" w:rsidRPr="00444AE8" w14:paraId="3E16A19C" w14:textId="77777777" w:rsidTr="0020779D">
              <w:trPr>
                <w:trHeight w:val="353"/>
              </w:trPr>
              <w:tc>
                <w:tcPr>
                  <w:tcW w:w="2860" w:type="dxa"/>
                  <w:tcBorders>
                    <w:top w:val="nil"/>
                    <w:left w:val="single" w:sz="8" w:space="0" w:color="auto"/>
                    <w:bottom w:val="single" w:sz="4" w:space="0" w:color="auto"/>
                    <w:right w:val="single" w:sz="8" w:space="0" w:color="auto"/>
                  </w:tcBorders>
                  <w:shd w:val="clear" w:color="000000" w:fill="D9D9D9"/>
                  <w:vAlign w:val="center"/>
                  <w:hideMark/>
                </w:tcPr>
                <w:p w14:paraId="62CCB0F9" w14:textId="77777777" w:rsidR="00966601" w:rsidRPr="00444AE8" w:rsidRDefault="00966601" w:rsidP="002C26C3">
                  <w:pPr>
                    <w:rPr>
                      <w:b/>
                      <w:bCs/>
                      <w:sz w:val="16"/>
                      <w:szCs w:val="16"/>
                    </w:rPr>
                  </w:pPr>
                  <w:r w:rsidRPr="00444AE8">
                    <w:rPr>
                      <w:b/>
                      <w:bCs/>
                      <w:sz w:val="16"/>
                      <w:szCs w:val="16"/>
                    </w:rPr>
                    <w:t>Papildus higiēnas preču komplekti maziem bērniem līdz 2 gadiem</w:t>
                  </w:r>
                </w:p>
              </w:tc>
              <w:tc>
                <w:tcPr>
                  <w:tcW w:w="940" w:type="dxa"/>
                  <w:tcBorders>
                    <w:top w:val="nil"/>
                    <w:left w:val="nil"/>
                    <w:bottom w:val="single" w:sz="4" w:space="0" w:color="auto"/>
                    <w:right w:val="single" w:sz="4" w:space="0" w:color="auto"/>
                  </w:tcBorders>
                  <w:shd w:val="clear" w:color="auto" w:fill="auto"/>
                  <w:vAlign w:val="center"/>
                  <w:hideMark/>
                </w:tcPr>
                <w:p w14:paraId="61AE38CA" w14:textId="612448A5" w:rsidR="00966601" w:rsidRPr="00444AE8" w:rsidRDefault="00966601" w:rsidP="002C26C3">
                  <w:pPr>
                    <w:rPr>
                      <w:sz w:val="18"/>
                      <w:szCs w:val="18"/>
                    </w:rPr>
                  </w:pPr>
                  <w:r w:rsidRPr="00444AE8">
                    <w:rPr>
                      <w:sz w:val="18"/>
                      <w:szCs w:val="18"/>
                    </w:rPr>
                    <w:t xml:space="preserve">    928 </w:t>
                  </w:r>
                </w:p>
              </w:tc>
              <w:tc>
                <w:tcPr>
                  <w:tcW w:w="920" w:type="dxa"/>
                  <w:tcBorders>
                    <w:top w:val="nil"/>
                    <w:left w:val="nil"/>
                    <w:bottom w:val="single" w:sz="4" w:space="0" w:color="auto"/>
                    <w:right w:val="single" w:sz="4" w:space="0" w:color="auto"/>
                  </w:tcBorders>
                  <w:shd w:val="clear" w:color="auto" w:fill="auto"/>
                  <w:vAlign w:val="center"/>
                  <w:hideMark/>
                </w:tcPr>
                <w:p w14:paraId="73C592A5" w14:textId="44FE98D3" w:rsidR="00966601" w:rsidRPr="00444AE8" w:rsidRDefault="00966601" w:rsidP="002C26C3">
                  <w:pPr>
                    <w:rPr>
                      <w:sz w:val="18"/>
                      <w:szCs w:val="18"/>
                    </w:rPr>
                  </w:pPr>
                  <w:r w:rsidRPr="00444AE8">
                    <w:rPr>
                      <w:sz w:val="18"/>
                      <w:szCs w:val="18"/>
                    </w:rPr>
                    <w:t xml:space="preserve">   1 210 </w:t>
                  </w:r>
                </w:p>
              </w:tc>
              <w:tc>
                <w:tcPr>
                  <w:tcW w:w="920" w:type="dxa"/>
                  <w:tcBorders>
                    <w:top w:val="nil"/>
                    <w:left w:val="nil"/>
                    <w:bottom w:val="single" w:sz="4" w:space="0" w:color="auto"/>
                    <w:right w:val="single" w:sz="8" w:space="0" w:color="auto"/>
                  </w:tcBorders>
                  <w:shd w:val="clear" w:color="auto" w:fill="auto"/>
                  <w:vAlign w:val="center"/>
                  <w:hideMark/>
                </w:tcPr>
                <w:p w14:paraId="7D97A80B" w14:textId="77777777" w:rsidR="00966601" w:rsidRPr="00444AE8" w:rsidRDefault="00966601" w:rsidP="002C26C3">
                  <w:pPr>
                    <w:jc w:val="center"/>
                    <w:rPr>
                      <w:sz w:val="18"/>
                      <w:szCs w:val="18"/>
                    </w:rPr>
                  </w:pPr>
                  <w:r w:rsidRPr="00444AE8">
                    <w:rPr>
                      <w:sz w:val="18"/>
                      <w:szCs w:val="18"/>
                    </w:rPr>
                    <w:t>30.39</w:t>
                  </w:r>
                </w:p>
              </w:tc>
            </w:tr>
            <w:tr w:rsidR="00444AE8" w:rsidRPr="00444AE8" w14:paraId="5D7A7D2D" w14:textId="77777777" w:rsidTr="0020779D">
              <w:trPr>
                <w:trHeight w:val="273"/>
              </w:trPr>
              <w:tc>
                <w:tcPr>
                  <w:tcW w:w="2860" w:type="dxa"/>
                  <w:tcBorders>
                    <w:top w:val="nil"/>
                    <w:left w:val="single" w:sz="8" w:space="0" w:color="auto"/>
                    <w:bottom w:val="single" w:sz="4" w:space="0" w:color="auto"/>
                    <w:right w:val="single" w:sz="8" w:space="0" w:color="auto"/>
                  </w:tcBorders>
                  <w:shd w:val="clear" w:color="000000" w:fill="D9D9D9"/>
                  <w:vAlign w:val="center"/>
                  <w:hideMark/>
                </w:tcPr>
                <w:p w14:paraId="0542C201" w14:textId="77777777" w:rsidR="00966601" w:rsidRPr="00444AE8" w:rsidRDefault="00966601" w:rsidP="002C26C3">
                  <w:pPr>
                    <w:rPr>
                      <w:b/>
                      <w:bCs/>
                      <w:sz w:val="16"/>
                      <w:szCs w:val="16"/>
                    </w:rPr>
                  </w:pPr>
                  <w:r w:rsidRPr="00444AE8">
                    <w:rPr>
                      <w:b/>
                      <w:bCs/>
                      <w:sz w:val="16"/>
                      <w:szCs w:val="16"/>
                    </w:rPr>
                    <w:t>Mācību piederumu komplekti bērniem 5-16 gadiem</w:t>
                  </w:r>
                </w:p>
              </w:tc>
              <w:tc>
                <w:tcPr>
                  <w:tcW w:w="940" w:type="dxa"/>
                  <w:tcBorders>
                    <w:top w:val="nil"/>
                    <w:left w:val="nil"/>
                    <w:bottom w:val="single" w:sz="4" w:space="0" w:color="auto"/>
                    <w:right w:val="single" w:sz="4" w:space="0" w:color="auto"/>
                  </w:tcBorders>
                  <w:shd w:val="clear" w:color="auto" w:fill="auto"/>
                  <w:vAlign w:val="center"/>
                  <w:hideMark/>
                </w:tcPr>
                <w:p w14:paraId="6D195C27" w14:textId="2E91FBDC" w:rsidR="00966601" w:rsidRPr="00444AE8" w:rsidRDefault="00966601" w:rsidP="002C26C3">
                  <w:pPr>
                    <w:rPr>
                      <w:sz w:val="18"/>
                      <w:szCs w:val="18"/>
                    </w:rPr>
                  </w:pPr>
                  <w:r w:rsidRPr="00444AE8">
                    <w:rPr>
                      <w:sz w:val="18"/>
                      <w:szCs w:val="18"/>
                    </w:rPr>
                    <w:t xml:space="preserve">   1 116 </w:t>
                  </w:r>
                </w:p>
              </w:tc>
              <w:tc>
                <w:tcPr>
                  <w:tcW w:w="920" w:type="dxa"/>
                  <w:tcBorders>
                    <w:top w:val="nil"/>
                    <w:left w:val="nil"/>
                    <w:bottom w:val="single" w:sz="4" w:space="0" w:color="auto"/>
                    <w:right w:val="single" w:sz="4" w:space="0" w:color="auto"/>
                  </w:tcBorders>
                  <w:shd w:val="clear" w:color="auto" w:fill="auto"/>
                  <w:vAlign w:val="center"/>
                  <w:hideMark/>
                </w:tcPr>
                <w:p w14:paraId="00F1426D" w14:textId="70740FCB" w:rsidR="00966601" w:rsidRPr="00444AE8" w:rsidRDefault="00966601" w:rsidP="002C26C3">
                  <w:pPr>
                    <w:rPr>
                      <w:sz w:val="18"/>
                      <w:szCs w:val="18"/>
                    </w:rPr>
                  </w:pPr>
                  <w:r w:rsidRPr="00444AE8">
                    <w:rPr>
                      <w:sz w:val="18"/>
                      <w:szCs w:val="18"/>
                    </w:rPr>
                    <w:t xml:space="preserve">    2 028 </w:t>
                  </w:r>
                </w:p>
              </w:tc>
              <w:tc>
                <w:tcPr>
                  <w:tcW w:w="920" w:type="dxa"/>
                  <w:tcBorders>
                    <w:top w:val="nil"/>
                    <w:left w:val="nil"/>
                    <w:bottom w:val="single" w:sz="4" w:space="0" w:color="auto"/>
                    <w:right w:val="single" w:sz="8" w:space="0" w:color="auto"/>
                  </w:tcBorders>
                  <w:shd w:val="clear" w:color="auto" w:fill="auto"/>
                  <w:vAlign w:val="center"/>
                  <w:hideMark/>
                </w:tcPr>
                <w:p w14:paraId="428E059F" w14:textId="77777777" w:rsidR="00966601" w:rsidRPr="00444AE8" w:rsidRDefault="00966601" w:rsidP="002C26C3">
                  <w:pPr>
                    <w:jc w:val="center"/>
                    <w:rPr>
                      <w:sz w:val="18"/>
                      <w:szCs w:val="18"/>
                    </w:rPr>
                  </w:pPr>
                  <w:r w:rsidRPr="00444AE8">
                    <w:rPr>
                      <w:sz w:val="18"/>
                      <w:szCs w:val="18"/>
                    </w:rPr>
                    <w:t>81.72</w:t>
                  </w:r>
                </w:p>
              </w:tc>
            </w:tr>
            <w:tr w:rsidR="00444AE8" w:rsidRPr="00444AE8" w14:paraId="19F7C18E" w14:textId="77777777" w:rsidTr="0020779D">
              <w:trPr>
                <w:trHeight w:val="321"/>
              </w:trPr>
              <w:tc>
                <w:tcPr>
                  <w:tcW w:w="2860" w:type="dxa"/>
                  <w:tcBorders>
                    <w:top w:val="nil"/>
                    <w:left w:val="single" w:sz="8" w:space="0" w:color="auto"/>
                    <w:bottom w:val="single" w:sz="8" w:space="0" w:color="auto"/>
                    <w:right w:val="single" w:sz="8" w:space="0" w:color="auto"/>
                  </w:tcBorders>
                  <w:shd w:val="clear" w:color="000000" w:fill="D9D9D9"/>
                  <w:vAlign w:val="center"/>
                  <w:hideMark/>
                </w:tcPr>
                <w:p w14:paraId="3F21198A" w14:textId="77777777" w:rsidR="00966601" w:rsidRPr="00444AE8" w:rsidRDefault="00966601" w:rsidP="002C26C3">
                  <w:pPr>
                    <w:rPr>
                      <w:b/>
                      <w:bCs/>
                      <w:sz w:val="16"/>
                      <w:szCs w:val="16"/>
                    </w:rPr>
                  </w:pPr>
                  <w:r w:rsidRPr="00444AE8">
                    <w:rPr>
                      <w:b/>
                      <w:bCs/>
                      <w:sz w:val="16"/>
                      <w:szCs w:val="16"/>
                    </w:rPr>
                    <w:t>Gatavās maltītes</w:t>
                  </w:r>
                </w:p>
              </w:tc>
              <w:tc>
                <w:tcPr>
                  <w:tcW w:w="940" w:type="dxa"/>
                  <w:tcBorders>
                    <w:top w:val="nil"/>
                    <w:left w:val="nil"/>
                    <w:bottom w:val="single" w:sz="8" w:space="0" w:color="auto"/>
                    <w:right w:val="single" w:sz="4" w:space="0" w:color="auto"/>
                  </w:tcBorders>
                  <w:shd w:val="clear" w:color="auto" w:fill="auto"/>
                  <w:vAlign w:val="center"/>
                  <w:hideMark/>
                </w:tcPr>
                <w:p w14:paraId="73DD9613" w14:textId="4F1CAB15" w:rsidR="00966601" w:rsidRPr="00444AE8" w:rsidRDefault="00966601" w:rsidP="002C26C3">
                  <w:pPr>
                    <w:rPr>
                      <w:sz w:val="18"/>
                      <w:szCs w:val="18"/>
                    </w:rPr>
                  </w:pPr>
                  <w:r w:rsidRPr="00444AE8">
                    <w:rPr>
                      <w:sz w:val="18"/>
                      <w:szCs w:val="18"/>
                    </w:rPr>
                    <w:t xml:space="preserve">  82 800 </w:t>
                  </w:r>
                </w:p>
              </w:tc>
              <w:tc>
                <w:tcPr>
                  <w:tcW w:w="920" w:type="dxa"/>
                  <w:tcBorders>
                    <w:top w:val="nil"/>
                    <w:left w:val="nil"/>
                    <w:bottom w:val="single" w:sz="8" w:space="0" w:color="auto"/>
                    <w:right w:val="single" w:sz="4" w:space="0" w:color="auto"/>
                  </w:tcBorders>
                  <w:shd w:val="clear" w:color="auto" w:fill="auto"/>
                  <w:vAlign w:val="center"/>
                  <w:hideMark/>
                </w:tcPr>
                <w:p w14:paraId="16D35A08" w14:textId="15FACE3D" w:rsidR="00966601" w:rsidRPr="00444AE8" w:rsidRDefault="00966601" w:rsidP="002C26C3">
                  <w:pPr>
                    <w:rPr>
                      <w:sz w:val="18"/>
                      <w:szCs w:val="18"/>
                    </w:rPr>
                  </w:pPr>
                  <w:r w:rsidRPr="00444AE8">
                    <w:rPr>
                      <w:sz w:val="18"/>
                      <w:szCs w:val="18"/>
                    </w:rPr>
                    <w:t xml:space="preserve">  111 300 </w:t>
                  </w:r>
                </w:p>
              </w:tc>
              <w:tc>
                <w:tcPr>
                  <w:tcW w:w="920" w:type="dxa"/>
                  <w:tcBorders>
                    <w:top w:val="nil"/>
                    <w:left w:val="nil"/>
                    <w:bottom w:val="single" w:sz="8" w:space="0" w:color="auto"/>
                    <w:right w:val="single" w:sz="8" w:space="0" w:color="auto"/>
                  </w:tcBorders>
                  <w:shd w:val="clear" w:color="auto" w:fill="auto"/>
                  <w:vAlign w:val="center"/>
                  <w:hideMark/>
                </w:tcPr>
                <w:p w14:paraId="45319396" w14:textId="77777777" w:rsidR="00966601" w:rsidRPr="00444AE8" w:rsidRDefault="00966601" w:rsidP="002C26C3">
                  <w:pPr>
                    <w:jc w:val="center"/>
                    <w:rPr>
                      <w:sz w:val="18"/>
                      <w:szCs w:val="18"/>
                    </w:rPr>
                  </w:pPr>
                  <w:r w:rsidRPr="00444AE8">
                    <w:rPr>
                      <w:sz w:val="18"/>
                      <w:szCs w:val="18"/>
                    </w:rPr>
                    <w:t>34.42</w:t>
                  </w:r>
                </w:p>
              </w:tc>
            </w:tr>
          </w:tbl>
          <w:p w14:paraId="6646B949" w14:textId="3D8E1767" w:rsidR="009C4AC0" w:rsidRPr="00444AE8" w:rsidRDefault="0017334E" w:rsidP="002C26C3">
            <w:pPr>
              <w:spacing w:before="120"/>
              <w:ind w:right="68"/>
              <w:jc w:val="both"/>
              <w:rPr>
                <w:iCs/>
              </w:rPr>
            </w:pPr>
            <w:r w:rsidRPr="00444AE8">
              <w:t>Saistībā ar normatīvajā regulējumā</w:t>
            </w:r>
            <w:r w:rsidRPr="00444AE8">
              <w:rPr>
                <w:vertAlign w:val="superscript"/>
              </w:rPr>
              <w:footnoteReference w:id="2"/>
            </w:r>
            <w:r w:rsidRPr="00444AE8">
              <w:t xml:space="preserve"> noteikto par trūcīgas un maznodrošinātas </w:t>
            </w:r>
            <w:r w:rsidR="0053375D" w:rsidRPr="00444AE8">
              <w:t>personas statusu apliecinošas</w:t>
            </w:r>
            <w:r w:rsidRPr="00444AE8">
              <w:t xml:space="preserve"> izziņas derīguma termiņa automātisku pagarināšan</w:t>
            </w:r>
            <w:r w:rsidR="009C4D42" w:rsidRPr="00444AE8">
              <w:t>u</w:t>
            </w:r>
            <w:r w:rsidRPr="00444AE8">
              <w:t xml:space="preserve"> līdz mēnesim </w:t>
            </w:r>
            <w:r w:rsidRPr="00444AE8">
              <w:lastRenderedPageBreak/>
              <w:t xml:space="preserve">pēc ārkārtējās situācijas beigām, </w:t>
            </w:r>
            <w:r w:rsidR="009D6947" w:rsidRPr="00444AE8">
              <w:rPr>
                <w:iCs/>
              </w:rPr>
              <w:t xml:space="preserve">Fonda atbalsta saņemšanas ilgums </w:t>
            </w:r>
            <w:r w:rsidR="009C4D42" w:rsidRPr="00444AE8">
              <w:rPr>
                <w:iCs/>
              </w:rPr>
              <w:t xml:space="preserve">vienai personai </w:t>
            </w:r>
            <w:r w:rsidR="009D6947" w:rsidRPr="00444AE8">
              <w:rPr>
                <w:iCs/>
              </w:rPr>
              <w:t>ievērojami palielinājies</w:t>
            </w:r>
            <w:r w:rsidR="009C4D42" w:rsidRPr="00444AE8">
              <w:rPr>
                <w:iCs/>
              </w:rPr>
              <w:t>. Ņ</w:t>
            </w:r>
            <w:r w:rsidR="009D6947" w:rsidRPr="00444AE8">
              <w:rPr>
                <w:iCs/>
              </w:rPr>
              <w:t xml:space="preserve">emot vērā, ka 2020. gada laikā ārkārtējā situācija izsludināta </w:t>
            </w:r>
            <w:r w:rsidR="009C4D42" w:rsidRPr="00444AE8">
              <w:rPr>
                <w:iCs/>
              </w:rPr>
              <w:t xml:space="preserve">divas reizes (no </w:t>
            </w:r>
            <w:r w:rsidR="007C11DB" w:rsidRPr="00444AE8">
              <w:rPr>
                <w:iCs/>
              </w:rPr>
              <w:t>12</w:t>
            </w:r>
            <w:r w:rsidR="009C4D42" w:rsidRPr="00444AE8">
              <w:rPr>
                <w:iCs/>
              </w:rPr>
              <w:t>.</w:t>
            </w:r>
            <w:r w:rsidR="00BA28C3" w:rsidRPr="00444AE8">
              <w:rPr>
                <w:iCs/>
              </w:rPr>
              <w:t> </w:t>
            </w:r>
            <w:r w:rsidR="007C11DB" w:rsidRPr="00444AE8">
              <w:rPr>
                <w:iCs/>
              </w:rPr>
              <w:t xml:space="preserve">marta </w:t>
            </w:r>
            <w:r w:rsidR="00BA28C3" w:rsidRPr="00444AE8">
              <w:rPr>
                <w:iCs/>
              </w:rPr>
              <w:t xml:space="preserve">līdz </w:t>
            </w:r>
            <w:r w:rsidR="007C11DB" w:rsidRPr="00444AE8">
              <w:rPr>
                <w:iCs/>
              </w:rPr>
              <w:t>9.</w:t>
            </w:r>
            <w:r w:rsidR="00BA28C3" w:rsidRPr="00444AE8">
              <w:rPr>
                <w:iCs/>
              </w:rPr>
              <w:t> </w:t>
            </w:r>
            <w:r w:rsidR="007C11DB" w:rsidRPr="00444AE8">
              <w:rPr>
                <w:iCs/>
              </w:rPr>
              <w:t xml:space="preserve">jūnijam </w:t>
            </w:r>
            <w:r w:rsidR="009C4D42" w:rsidRPr="00444AE8">
              <w:rPr>
                <w:iCs/>
              </w:rPr>
              <w:t xml:space="preserve">un </w:t>
            </w:r>
            <w:r w:rsidR="007C11DB" w:rsidRPr="00444AE8">
              <w:rPr>
                <w:iCs/>
              </w:rPr>
              <w:t>9.</w:t>
            </w:r>
            <w:r w:rsidR="00BA28C3" w:rsidRPr="00444AE8">
              <w:rPr>
                <w:iCs/>
              </w:rPr>
              <w:t> </w:t>
            </w:r>
            <w:r w:rsidR="007C11DB" w:rsidRPr="00444AE8">
              <w:rPr>
                <w:iCs/>
              </w:rPr>
              <w:t>novembra līdz 2021.</w:t>
            </w:r>
            <w:r w:rsidR="00BA28C3" w:rsidRPr="00444AE8">
              <w:rPr>
                <w:iCs/>
              </w:rPr>
              <w:t> </w:t>
            </w:r>
            <w:r w:rsidR="007C11DB" w:rsidRPr="00444AE8">
              <w:rPr>
                <w:iCs/>
              </w:rPr>
              <w:t>gada 6.</w:t>
            </w:r>
            <w:r w:rsidR="00BA28C3" w:rsidRPr="00444AE8">
              <w:rPr>
                <w:iCs/>
              </w:rPr>
              <w:t> </w:t>
            </w:r>
            <w:r w:rsidR="007C11DB" w:rsidRPr="00444AE8">
              <w:rPr>
                <w:iCs/>
              </w:rPr>
              <w:t>aprīlim)</w:t>
            </w:r>
            <w:r w:rsidR="009C4D42" w:rsidRPr="00444AE8">
              <w:rPr>
                <w:iCs/>
              </w:rPr>
              <w:t xml:space="preserve">, </w:t>
            </w:r>
            <w:r w:rsidR="001D248F" w:rsidRPr="00444AE8">
              <w:rPr>
                <w:iCs/>
              </w:rPr>
              <w:t>ierast</w:t>
            </w:r>
            <w:r w:rsidR="009C4D42" w:rsidRPr="00444AE8">
              <w:rPr>
                <w:iCs/>
              </w:rPr>
              <w:t>ais</w:t>
            </w:r>
            <w:r w:rsidR="001D248F" w:rsidRPr="00444AE8">
              <w:rPr>
                <w:iCs/>
              </w:rPr>
              <w:t xml:space="preserve"> viena</w:t>
            </w:r>
            <w:r w:rsidR="009C4D42" w:rsidRPr="00444AE8">
              <w:rPr>
                <w:iCs/>
              </w:rPr>
              <w:t>s</w:t>
            </w:r>
            <w:r w:rsidR="001D248F" w:rsidRPr="00444AE8">
              <w:rPr>
                <w:iCs/>
              </w:rPr>
              <w:t xml:space="preserve"> persona</w:t>
            </w:r>
            <w:r w:rsidR="009C4D42" w:rsidRPr="00444AE8">
              <w:rPr>
                <w:iCs/>
              </w:rPr>
              <w:t>s</w:t>
            </w:r>
            <w:r w:rsidR="001D248F" w:rsidRPr="00444AE8">
              <w:rPr>
                <w:iCs/>
              </w:rPr>
              <w:t xml:space="preserve"> F</w:t>
            </w:r>
            <w:r w:rsidR="0029184B" w:rsidRPr="00444AE8">
              <w:rPr>
                <w:iCs/>
              </w:rPr>
              <w:t xml:space="preserve">onda </w:t>
            </w:r>
            <w:r w:rsidR="009C4D42" w:rsidRPr="00444AE8">
              <w:rPr>
                <w:iCs/>
              </w:rPr>
              <w:t>atbalsta saņemšanas ilgums pieauga no</w:t>
            </w:r>
            <w:r w:rsidR="001D248F" w:rsidRPr="00444AE8">
              <w:rPr>
                <w:iCs/>
              </w:rPr>
              <w:t xml:space="preserve"> vidēji 5 – </w:t>
            </w:r>
            <w:r w:rsidR="009C4D42" w:rsidRPr="00444AE8">
              <w:rPr>
                <w:iCs/>
              </w:rPr>
              <w:t>8 </w:t>
            </w:r>
            <w:r w:rsidR="001D248F" w:rsidRPr="00444AE8">
              <w:rPr>
                <w:iCs/>
              </w:rPr>
              <w:t>mēneš</w:t>
            </w:r>
            <w:r w:rsidR="009C4D42" w:rsidRPr="00444AE8">
              <w:rPr>
                <w:iCs/>
              </w:rPr>
              <w:t xml:space="preserve">iem </w:t>
            </w:r>
            <w:r w:rsidR="001D248F" w:rsidRPr="00444AE8">
              <w:rPr>
                <w:iCs/>
              </w:rPr>
              <w:t>gada ietvaros</w:t>
            </w:r>
            <w:r w:rsidR="009C4D42" w:rsidRPr="00444AE8">
              <w:rPr>
                <w:iCs/>
              </w:rPr>
              <w:t xml:space="preserve"> līdz </w:t>
            </w:r>
            <w:r w:rsidR="001D248F" w:rsidRPr="00444AE8">
              <w:rPr>
                <w:iCs/>
              </w:rPr>
              <w:t xml:space="preserve">10 un vairāk </w:t>
            </w:r>
            <w:r w:rsidR="009C4D42" w:rsidRPr="00444AE8">
              <w:rPr>
                <w:iCs/>
              </w:rPr>
              <w:t>mēnešiem 2020. gadā</w:t>
            </w:r>
            <w:r w:rsidR="001D248F" w:rsidRPr="00444AE8">
              <w:rPr>
                <w:iCs/>
              </w:rPr>
              <w:t xml:space="preserve">. </w:t>
            </w:r>
            <w:r w:rsidR="00CF415E" w:rsidRPr="00444AE8">
              <w:rPr>
                <w:iCs/>
              </w:rPr>
              <w:t xml:space="preserve">Piebilstams, ka šāda </w:t>
            </w:r>
            <w:r w:rsidR="009C4D42" w:rsidRPr="00444AE8">
              <w:rPr>
                <w:iCs/>
              </w:rPr>
              <w:t xml:space="preserve">tendence </w:t>
            </w:r>
            <w:r w:rsidR="0053375D" w:rsidRPr="00444AE8">
              <w:rPr>
                <w:iCs/>
              </w:rPr>
              <w:t>saglabāsies</w:t>
            </w:r>
            <w:r w:rsidR="00CF415E" w:rsidRPr="00444AE8">
              <w:rPr>
                <w:iCs/>
              </w:rPr>
              <w:t xml:space="preserve"> arī 2021. gad</w:t>
            </w:r>
            <w:r w:rsidR="00343B3B" w:rsidRPr="00444AE8">
              <w:rPr>
                <w:iCs/>
              </w:rPr>
              <w:t xml:space="preserve">a </w:t>
            </w:r>
            <w:r w:rsidR="007C11DB" w:rsidRPr="00444AE8">
              <w:rPr>
                <w:iCs/>
              </w:rPr>
              <w:t>pirmajā pusgadā.</w:t>
            </w:r>
          </w:p>
          <w:p w14:paraId="436851B3" w14:textId="7B4658C1" w:rsidR="007B07B8" w:rsidRPr="00444AE8" w:rsidRDefault="00DC6D9D" w:rsidP="002C26C3">
            <w:pPr>
              <w:spacing w:before="120"/>
              <w:ind w:right="68"/>
              <w:jc w:val="both"/>
            </w:pPr>
            <w:r w:rsidRPr="00444AE8">
              <w:t>Papildus veikta</w:t>
            </w:r>
            <w:r w:rsidR="00424FEF" w:rsidRPr="00444AE8">
              <w:t xml:space="preserve"> </w:t>
            </w:r>
            <w:r w:rsidR="00971F1C" w:rsidRPr="00444AE8">
              <w:t xml:space="preserve">Fonda </w:t>
            </w:r>
            <w:r w:rsidR="00424FEF" w:rsidRPr="00444AE8">
              <w:t xml:space="preserve">atbalsta satura </w:t>
            </w:r>
            <w:r w:rsidR="005C0F31" w:rsidRPr="00444AE8">
              <w:t>pielāgošan</w:t>
            </w:r>
            <w:r w:rsidRPr="00444AE8">
              <w:t>a,</w:t>
            </w:r>
            <w:r w:rsidR="00161C42" w:rsidRPr="00444AE8">
              <w:t xml:space="preserve"> </w:t>
            </w:r>
            <w:r w:rsidRPr="00444AE8">
              <w:t xml:space="preserve">lai palielinātu atbalsta saņēmēju iespējas </w:t>
            </w:r>
            <w:r w:rsidR="00971F1C" w:rsidRPr="00444AE8">
              <w:t>ievērot</w:t>
            </w:r>
            <w:r w:rsidR="00424FEF" w:rsidRPr="00444AE8">
              <w:t xml:space="preserve"> epidemioloģiskās droš</w:t>
            </w:r>
            <w:r w:rsidR="00650F51" w:rsidRPr="00444AE8">
              <w:t>ības prasības un rekomendācijas,</w:t>
            </w:r>
            <w:r w:rsidR="00CF3301" w:rsidRPr="00444AE8">
              <w:t xml:space="preserve"> </w:t>
            </w:r>
            <w:r w:rsidR="00874FD3" w:rsidRPr="00444AE8">
              <w:t xml:space="preserve">Fonda </w:t>
            </w:r>
            <w:r w:rsidR="00CF3301" w:rsidRPr="00444AE8">
              <w:t xml:space="preserve">pamata materiālās palīdzības </w:t>
            </w:r>
            <w:r w:rsidR="00650F51" w:rsidRPr="00444AE8">
              <w:t>preču komplektu papildinot</w:t>
            </w:r>
            <w:r w:rsidR="00CF3301" w:rsidRPr="00444AE8">
              <w:t xml:space="preserve"> ar roku dezinfekcijas līdzekli. </w:t>
            </w:r>
          </w:p>
          <w:p w14:paraId="5987855C" w14:textId="0E68CD48" w:rsidR="00DC6D9D" w:rsidRPr="00444AE8" w:rsidRDefault="00BC2175" w:rsidP="002C26C3">
            <w:pPr>
              <w:spacing w:before="120"/>
              <w:ind w:right="68"/>
              <w:jc w:val="both"/>
            </w:pPr>
            <w:r w:rsidRPr="00444AE8">
              <w:t>Turklāt</w:t>
            </w:r>
            <w:r w:rsidR="00463B0D" w:rsidRPr="00444AE8">
              <w:t xml:space="preserve"> </w:t>
            </w:r>
            <w:r w:rsidR="00DC6D9D" w:rsidRPr="00444AE8">
              <w:t>atbilstoši</w:t>
            </w:r>
            <w:r w:rsidR="00463B0D" w:rsidRPr="00444AE8">
              <w:t xml:space="preserve"> </w:t>
            </w:r>
            <w:r w:rsidR="009D1D94" w:rsidRPr="00444AE8">
              <w:rPr>
                <w:bCs/>
              </w:rPr>
              <w:t>Regulas (ES) Nr. 2020/559</w:t>
            </w:r>
            <w:r w:rsidR="007D6FCF" w:rsidRPr="00444AE8">
              <w:rPr>
                <w:rStyle w:val="FootnoteReference"/>
                <w:bCs/>
              </w:rPr>
              <w:footnoteReference w:id="3"/>
            </w:r>
            <w:r w:rsidR="00AE0268" w:rsidRPr="00444AE8">
              <w:rPr>
                <w:bCs/>
              </w:rPr>
              <w:t xml:space="preserve"> </w:t>
            </w:r>
            <w:r w:rsidR="009D1D94" w:rsidRPr="00444AE8">
              <w:rPr>
                <w:bCs/>
              </w:rPr>
              <w:t>nosacījumiem</w:t>
            </w:r>
            <w:r w:rsidR="007D6FCF" w:rsidRPr="00444AE8">
              <w:t xml:space="preserve"> </w:t>
            </w:r>
            <w:r w:rsidR="008A5FF7" w:rsidRPr="00444AE8">
              <w:rPr>
                <w:bCs/>
              </w:rPr>
              <w:t xml:space="preserve">Fonda finansējuma ietvaros </w:t>
            </w:r>
            <w:r w:rsidR="00DC6D9D" w:rsidRPr="00444AE8">
              <w:rPr>
                <w:bCs/>
              </w:rPr>
              <w:t xml:space="preserve">ir iespēja </w:t>
            </w:r>
            <w:r w:rsidR="008A5FF7" w:rsidRPr="00444AE8">
              <w:rPr>
                <w:bCs/>
              </w:rPr>
              <w:t xml:space="preserve">iegādāties </w:t>
            </w:r>
            <w:r w:rsidR="00463B0D" w:rsidRPr="00444AE8">
              <w:t>individuālo</w:t>
            </w:r>
            <w:r w:rsidR="008A5FF7" w:rsidRPr="00444AE8">
              <w:t>s</w:t>
            </w:r>
            <w:r w:rsidR="00463B0D" w:rsidRPr="00444AE8">
              <w:t xml:space="preserve"> aizsargmateriālu</w:t>
            </w:r>
            <w:r w:rsidR="008A5FF7" w:rsidRPr="00444AE8">
              <w:t>s</w:t>
            </w:r>
            <w:r w:rsidR="00463B0D" w:rsidRPr="00444AE8">
              <w:t xml:space="preserve"> un </w:t>
            </w:r>
            <w:r w:rsidR="008A5FF7" w:rsidRPr="00444AE8">
              <w:t>dezinfekcijas līdzekļus Fonda partnerorganizācijām</w:t>
            </w:r>
            <w:r w:rsidR="00A97FA2" w:rsidRPr="00444AE8">
              <w:t xml:space="preserve"> (turpmāk – PO)</w:t>
            </w:r>
            <w:r w:rsidR="008A5FF7" w:rsidRPr="00444AE8">
              <w:t xml:space="preserve"> atbalsta sniegšanai drošā vidē, tādējādi izpildot epidemioloģiskās prasības un </w:t>
            </w:r>
            <w:r w:rsidR="00CD1BA7" w:rsidRPr="00444AE8">
              <w:t>kavējo</w:t>
            </w:r>
            <w:r w:rsidR="008A5FF7" w:rsidRPr="00444AE8">
              <w:t xml:space="preserve">t </w:t>
            </w:r>
            <w:proofErr w:type="spellStart"/>
            <w:r w:rsidR="008A5FF7" w:rsidRPr="00444AE8">
              <w:t>Covid-19</w:t>
            </w:r>
            <w:proofErr w:type="spellEnd"/>
            <w:r w:rsidR="008A5FF7" w:rsidRPr="00444AE8">
              <w:t xml:space="preserve"> infekcijas </w:t>
            </w:r>
            <w:r w:rsidR="00CC3BA0" w:rsidRPr="00444AE8">
              <w:t xml:space="preserve">tālāko </w:t>
            </w:r>
            <w:r w:rsidR="008A5FF7" w:rsidRPr="00444AE8">
              <w:t>izplatīšanu.</w:t>
            </w:r>
          </w:p>
          <w:p w14:paraId="58709CC6" w14:textId="334DA23D" w:rsidR="004719AF" w:rsidRPr="00444AE8" w:rsidRDefault="00DC6D9D" w:rsidP="002C26C3">
            <w:pPr>
              <w:spacing w:before="120"/>
              <w:ind w:right="68"/>
              <w:jc w:val="both"/>
            </w:pPr>
            <w:r w:rsidRPr="00444AE8">
              <w:t xml:space="preserve">Šīs iespējas izmantošanu ietekmē </w:t>
            </w:r>
            <w:r w:rsidR="003E06E9" w:rsidRPr="00444AE8">
              <w:t xml:space="preserve">Fonda </w:t>
            </w:r>
            <w:r w:rsidR="00BC4BEF" w:rsidRPr="00444AE8">
              <w:t xml:space="preserve">pieejamā </w:t>
            </w:r>
            <w:r w:rsidR="003E06E9" w:rsidRPr="00444AE8">
              <w:t>finans</w:t>
            </w:r>
            <w:r w:rsidR="00A25B5C" w:rsidRPr="00444AE8">
              <w:t>ējuma</w:t>
            </w:r>
            <w:r w:rsidRPr="00444AE8">
              <w:t xml:space="preserve"> ap</w:t>
            </w:r>
            <w:r w:rsidR="00BC4BEF" w:rsidRPr="00444AE8">
              <w:t>mērs</w:t>
            </w:r>
            <w:r w:rsidRPr="00444AE8">
              <w:t xml:space="preserve"> </w:t>
            </w:r>
            <w:r w:rsidR="00A25B5C" w:rsidRPr="00444AE8">
              <w:t xml:space="preserve">un </w:t>
            </w:r>
            <w:r w:rsidR="00BC4BEF" w:rsidRPr="00444AE8">
              <w:t xml:space="preserve">pieaugoša vajadzība nodrošināt </w:t>
            </w:r>
            <w:r w:rsidR="00A25B5C" w:rsidRPr="00444AE8">
              <w:t xml:space="preserve">pārtikas </w:t>
            </w:r>
            <w:r w:rsidR="00BC4BEF" w:rsidRPr="00444AE8">
              <w:t xml:space="preserve">atbalstu </w:t>
            </w:r>
            <w:r w:rsidR="00A25B5C" w:rsidRPr="00444AE8">
              <w:t xml:space="preserve">un pamata materiālās </w:t>
            </w:r>
            <w:r w:rsidR="00BC4BEF" w:rsidRPr="00444AE8">
              <w:t>palīdzību.</w:t>
            </w:r>
            <w:r w:rsidR="00A25B5C" w:rsidRPr="00444AE8">
              <w:t xml:space="preserve"> </w:t>
            </w:r>
            <w:r w:rsidR="00BC4BEF" w:rsidRPr="00444AE8">
              <w:t xml:space="preserve">Izrietoši </w:t>
            </w:r>
            <w:r w:rsidR="00A25B5C" w:rsidRPr="00444AE8">
              <w:t xml:space="preserve">individuālie aizsargmateriāli un dezinfekcijas līdzekļi </w:t>
            </w:r>
            <w:r w:rsidR="00A97FA2" w:rsidRPr="00444AE8">
              <w:t>PO</w:t>
            </w:r>
            <w:r w:rsidR="00A25B5C" w:rsidRPr="00444AE8">
              <w:t xml:space="preserve"> </w:t>
            </w:r>
            <w:r w:rsidR="00A97FA2" w:rsidRPr="00444AE8">
              <w:t xml:space="preserve">no Fonda finansējuma </w:t>
            </w:r>
            <w:r w:rsidR="00A25B5C" w:rsidRPr="00444AE8">
              <w:t xml:space="preserve">netika iegādāti. </w:t>
            </w:r>
            <w:r w:rsidR="00A97FA2" w:rsidRPr="00444AE8">
              <w:t>2020. gada laikā PO vajadzība pēc aizsargmateriāliem un dezinfekcijas līdzekļiem daļ</w:t>
            </w:r>
            <w:r w:rsidR="00192CA7" w:rsidRPr="00444AE8">
              <w:t>ēji</w:t>
            </w:r>
            <w:r w:rsidR="00A97FA2" w:rsidRPr="00444AE8">
              <w:t xml:space="preserve"> tika apmierināta valsts </w:t>
            </w:r>
            <w:r w:rsidR="00BC4BEF" w:rsidRPr="00444AE8">
              <w:t>centralizēti veiktā</w:t>
            </w:r>
            <w:r w:rsidR="00A97FA2" w:rsidRPr="00444AE8">
              <w:t xml:space="preserve"> iepirkuma</w:t>
            </w:r>
            <w:r w:rsidR="00BC4BEF" w:rsidRPr="00444AE8">
              <w:t xml:space="preserve"> ietvaros.</w:t>
            </w:r>
          </w:p>
          <w:p w14:paraId="7A155AA7" w14:textId="436C472B" w:rsidR="0014161D" w:rsidRPr="00444AE8" w:rsidRDefault="0014161D" w:rsidP="002C26C3">
            <w:pPr>
              <w:spacing w:before="120"/>
              <w:ind w:right="68"/>
              <w:jc w:val="both"/>
              <w:rPr>
                <w:bCs/>
              </w:rPr>
            </w:pPr>
            <w:r w:rsidRPr="00444AE8">
              <w:rPr>
                <w:iCs/>
              </w:rPr>
              <w:t>Ņemot vērā šajā apakšpunktā aprakstīto situāciju, veidojas papildus slogs uz esošās Fonda darbības programmas finansējuma atlikumu, kas sakrīt ar plānošanas perioda (2014.-2020. g.) beigām. Bez finansējuma palielināšanas tas rada milzīgu risku atbalsta sniegšanas pārtraukšanai.</w:t>
            </w:r>
          </w:p>
          <w:p w14:paraId="052CAF1F" w14:textId="249924A9" w:rsidR="007D7945" w:rsidRPr="00444AE8" w:rsidRDefault="007D7945" w:rsidP="002C26C3">
            <w:pPr>
              <w:spacing w:before="120"/>
              <w:ind w:right="68"/>
              <w:jc w:val="both"/>
              <w:rPr>
                <w:b/>
                <w:iCs/>
              </w:rPr>
            </w:pPr>
            <w:r w:rsidRPr="00444AE8">
              <w:rPr>
                <w:b/>
                <w:iCs/>
              </w:rPr>
              <w:t>2.2. Tiesiskā regulējuma mērķis un būtība:</w:t>
            </w:r>
          </w:p>
          <w:p w14:paraId="33F6DBC3" w14:textId="2FAEF410" w:rsidR="00E87209" w:rsidRPr="00444AE8" w:rsidRDefault="00632306" w:rsidP="002C26C3">
            <w:pPr>
              <w:spacing w:before="120"/>
              <w:ind w:right="68"/>
              <w:jc w:val="both"/>
            </w:pPr>
            <w:r w:rsidRPr="00444AE8">
              <w:rPr>
                <w:iCs/>
              </w:rPr>
              <w:t xml:space="preserve">Risinot </w:t>
            </w:r>
            <w:r w:rsidR="005E2ED7" w:rsidRPr="00444AE8">
              <w:rPr>
                <w:iCs/>
              </w:rPr>
              <w:t>2.1. apakšpunkt</w:t>
            </w:r>
            <w:r w:rsidR="0014161D" w:rsidRPr="00444AE8">
              <w:rPr>
                <w:iCs/>
              </w:rPr>
              <w:t>ā aprakstīto situāciju,</w:t>
            </w:r>
            <w:r w:rsidR="00930FDB" w:rsidRPr="00444AE8">
              <w:rPr>
                <w:iCs/>
              </w:rPr>
              <w:t xml:space="preserve"> kas </w:t>
            </w:r>
            <w:r w:rsidR="00C40125" w:rsidRPr="00444AE8">
              <w:rPr>
                <w:iCs/>
              </w:rPr>
              <w:t xml:space="preserve">pamatā </w:t>
            </w:r>
            <w:r w:rsidR="00930FDB" w:rsidRPr="00444AE8">
              <w:rPr>
                <w:iCs/>
              </w:rPr>
              <w:t xml:space="preserve">radusies </w:t>
            </w:r>
            <w:proofErr w:type="spellStart"/>
            <w:r w:rsidR="00930FDB" w:rsidRPr="00444AE8">
              <w:rPr>
                <w:iCs/>
              </w:rPr>
              <w:t>Covid-19</w:t>
            </w:r>
            <w:proofErr w:type="spellEnd"/>
            <w:r w:rsidR="00930FDB" w:rsidRPr="00444AE8">
              <w:rPr>
                <w:iCs/>
              </w:rPr>
              <w:t xml:space="preserve"> krīzes ietekmē, un ņemot vērā Regulas (ES) Nr. </w:t>
            </w:r>
            <w:r w:rsidR="00930FDB" w:rsidRPr="00444AE8">
              <w:rPr>
                <w:bCs/>
              </w:rPr>
              <w:t>2020/2221 noteikto iespēju papildus finanšu līdzekļu piešķir</w:t>
            </w:r>
            <w:r w:rsidR="007466D3" w:rsidRPr="00444AE8">
              <w:rPr>
                <w:bCs/>
              </w:rPr>
              <w:t>šanai</w:t>
            </w:r>
            <w:r w:rsidR="00930FDB" w:rsidRPr="00444AE8">
              <w:rPr>
                <w:bCs/>
              </w:rPr>
              <w:t>,</w:t>
            </w:r>
            <w:r w:rsidR="00D6503A" w:rsidRPr="00444AE8">
              <w:t xml:space="preserve"> veikts aprēķins par </w:t>
            </w:r>
            <w:r w:rsidR="00E87209" w:rsidRPr="00444AE8">
              <w:t xml:space="preserve">Fonda </w:t>
            </w:r>
            <w:r w:rsidR="002F42ED" w:rsidRPr="00444AE8">
              <w:t xml:space="preserve">darbības programmai </w:t>
            </w:r>
            <w:r w:rsidR="00E87209" w:rsidRPr="00444AE8">
              <w:t xml:space="preserve">no REACT-EU piešķiramo </w:t>
            </w:r>
            <w:r w:rsidR="00D6503A" w:rsidRPr="00444AE8">
              <w:t xml:space="preserve">papildu </w:t>
            </w:r>
            <w:r w:rsidR="00E87209" w:rsidRPr="00444AE8">
              <w:t>finansējumu</w:t>
            </w:r>
            <w:r w:rsidR="00BA1E5E" w:rsidRPr="00444AE8">
              <w:t xml:space="preserve"> – </w:t>
            </w:r>
            <w:r w:rsidR="000838BA" w:rsidRPr="00444AE8">
              <w:t>7 931 </w:t>
            </w:r>
            <w:r w:rsidR="00DD7AF3" w:rsidRPr="00444AE8">
              <w:t>64</w:t>
            </w:r>
            <w:r w:rsidR="00DD7AF3">
              <w:t>1</w:t>
            </w:r>
            <w:r w:rsidR="00DD7AF3" w:rsidRPr="00444AE8">
              <w:t> </w:t>
            </w:r>
            <w:proofErr w:type="spellStart"/>
            <w:r w:rsidR="008377BD" w:rsidRPr="00444AE8">
              <w:t>euro</w:t>
            </w:r>
            <w:proofErr w:type="spellEnd"/>
            <w:r w:rsidR="00E87209" w:rsidRPr="00444AE8">
              <w:t xml:space="preserve"> apmērā, ko papildina</w:t>
            </w:r>
            <w:r w:rsidR="002F42ED" w:rsidRPr="00444AE8">
              <w:t xml:space="preserve"> </w:t>
            </w:r>
            <w:r w:rsidR="007D1A85" w:rsidRPr="00444AE8">
              <w:t>Latvijas valsts budžeta</w:t>
            </w:r>
            <w:r w:rsidR="000838BA" w:rsidRPr="00444AE8">
              <w:t xml:space="preserve"> līdzfinansējums 1 399 </w:t>
            </w:r>
            <w:r w:rsidR="00DD7AF3" w:rsidRPr="00444AE8">
              <w:t>70</w:t>
            </w:r>
            <w:r w:rsidR="00DD7AF3">
              <w:t>2</w:t>
            </w:r>
            <w:r w:rsidR="00DD7AF3" w:rsidRPr="00444AE8">
              <w:t> </w:t>
            </w:r>
            <w:proofErr w:type="spellStart"/>
            <w:r w:rsidR="008377BD" w:rsidRPr="00444AE8">
              <w:t>euro</w:t>
            </w:r>
            <w:proofErr w:type="spellEnd"/>
            <w:r w:rsidR="008377BD" w:rsidRPr="00444AE8">
              <w:t xml:space="preserve"> </w:t>
            </w:r>
            <w:r w:rsidR="002F42ED" w:rsidRPr="00444AE8">
              <w:t>apmērā</w:t>
            </w:r>
            <w:r w:rsidRPr="00444AE8">
              <w:t>.</w:t>
            </w:r>
            <w:r w:rsidR="00AE3BB0" w:rsidRPr="00444AE8">
              <w:t xml:space="preserve"> </w:t>
            </w:r>
            <w:r w:rsidRPr="00444AE8">
              <w:t>K</w:t>
            </w:r>
            <w:r w:rsidR="00E87209" w:rsidRPr="00444AE8">
              <w:t xml:space="preserve">opsummā </w:t>
            </w:r>
            <w:r w:rsidR="00AE3BB0" w:rsidRPr="00444AE8">
              <w:t xml:space="preserve">finansējums palielināts par </w:t>
            </w:r>
            <w:r w:rsidR="007D1A85" w:rsidRPr="00444AE8">
              <w:t>9 331 343 </w:t>
            </w:r>
            <w:proofErr w:type="spellStart"/>
            <w:r w:rsidR="008377BD" w:rsidRPr="00444AE8">
              <w:t>euro</w:t>
            </w:r>
            <w:proofErr w:type="spellEnd"/>
            <w:r w:rsidR="007D1A85" w:rsidRPr="00444AE8">
              <w:t xml:space="preserve"> un 2014</w:t>
            </w:r>
            <w:r w:rsidR="00AE3BB0" w:rsidRPr="00444AE8">
              <w:t>.-2020.</w:t>
            </w:r>
            <w:r w:rsidR="007D1A85" w:rsidRPr="00444AE8">
              <w:t xml:space="preserve"> gada </w:t>
            </w:r>
            <w:r w:rsidR="00AE3BB0" w:rsidRPr="00444AE8">
              <w:t xml:space="preserve">plānošanas periodā ir </w:t>
            </w:r>
            <w:r w:rsidR="000838BA" w:rsidRPr="00444AE8">
              <w:t>57 595 425 </w:t>
            </w:r>
            <w:proofErr w:type="spellStart"/>
            <w:r w:rsidR="008377BD" w:rsidRPr="00444AE8">
              <w:t>euro</w:t>
            </w:r>
            <w:proofErr w:type="spellEnd"/>
            <w:r w:rsidR="00E87209" w:rsidRPr="00444AE8">
              <w:t>.</w:t>
            </w:r>
            <w:r w:rsidR="00CC0053" w:rsidRPr="00444AE8">
              <w:t xml:space="preserve"> </w:t>
            </w:r>
          </w:p>
          <w:p w14:paraId="2A5DFB66" w14:textId="03B6810E" w:rsidR="00291967" w:rsidRDefault="002F42ED" w:rsidP="002C26C3">
            <w:pPr>
              <w:spacing w:before="120"/>
              <w:ind w:right="68"/>
              <w:jc w:val="both"/>
            </w:pPr>
            <w:r w:rsidRPr="00444AE8">
              <w:lastRenderedPageBreak/>
              <w:t>Darbības programmas finanšu plāna grozījumos norād</w:t>
            </w:r>
            <w:r w:rsidR="00DB638A" w:rsidRPr="00444AE8">
              <w:t>ītas</w:t>
            </w:r>
            <w:r w:rsidRPr="00444AE8">
              <w:t xml:space="preserve"> papildus Fonda 2021.</w:t>
            </w:r>
            <w:r w:rsidR="007D1A85" w:rsidRPr="00444AE8">
              <w:t> </w:t>
            </w:r>
            <w:r w:rsidRPr="00444AE8">
              <w:t xml:space="preserve">gada saistības </w:t>
            </w:r>
            <w:r w:rsidR="00FE2949" w:rsidRPr="00444AE8">
              <w:t>6 123 379</w:t>
            </w:r>
            <w:r w:rsidR="007D1A85" w:rsidRPr="00444AE8">
              <w:t> </w:t>
            </w:r>
            <w:proofErr w:type="spellStart"/>
            <w:r w:rsidR="008377BD" w:rsidRPr="00444AE8">
              <w:t>euro</w:t>
            </w:r>
            <w:proofErr w:type="spellEnd"/>
            <w:r w:rsidR="008377BD" w:rsidRPr="00444AE8">
              <w:t xml:space="preserve"> </w:t>
            </w:r>
            <w:r w:rsidR="00DB638A" w:rsidRPr="00444AE8">
              <w:t>apmērā,</w:t>
            </w:r>
            <w:r w:rsidRPr="00444AE8">
              <w:t xml:space="preserve"> indikatīvi iezīmējot 2022.</w:t>
            </w:r>
            <w:r w:rsidR="007D1A85" w:rsidRPr="00444AE8">
              <w:t> </w:t>
            </w:r>
            <w:r w:rsidRPr="00444AE8">
              <w:t>gada saistīb</w:t>
            </w:r>
            <w:r w:rsidR="00DB638A" w:rsidRPr="00444AE8">
              <w:t>a</w:t>
            </w:r>
            <w:r w:rsidRPr="00444AE8">
              <w:t>s</w:t>
            </w:r>
            <w:r w:rsidR="00DB638A" w:rsidRPr="00444AE8">
              <w:t xml:space="preserve"> 1 808</w:t>
            </w:r>
            <w:r w:rsidR="007D1A85" w:rsidRPr="00444AE8">
              <w:t> 262 </w:t>
            </w:r>
            <w:proofErr w:type="spellStart"/>
            <w:r w:rsidR="008377BD" w:rsidRPr="00444AE8">
              <w:t>euro</w:t>
            </w:r>
            <w:proofErr w:type="spellEnd"/>
            <w:r w:rsidR="008377BD" w:rsidRPr="00444AE8">
              <w:t xml:space="preserve"> </w:t>
            </w:r>
            <w:r w:rsidR="00291967" w:rsidRPr="00444AE8">
              <w:t>apmērā</w:t>
            </w:r>
            <w:r w:rsidRPr="00444AE8">
              <w:t>, kā arī paredz</w:t>
            </w:r>
            <w:r w:rsidR="00291967" w:rsidRPr="00444AE8">
              <w:t>ēts</w:t>
            </w:r>
            <w:r w:rsidRPr="00444AE8">
              <w:t xml:space="preserve"> atbilstoš</w:t>
            </w:r>
            <w:r w:rsidR="00291967" w:rsidRPr="00444AE8">
              <w:t>s</w:t>
            </w:r>
            <w:r w:rsidRPr="00444AE8">
              <w:t xml:space="preserve"> līdzfinansējum</w:t>
            </w:r>
            <w:r w:rsidR="007B07B8" w:rsidRPr="00444AE8">
              <w:t>s 1 080 597</w:t>
            </w:r>
            <w:r w:rsidR="007D1A85" w:rsidRPr="00444AE8">
              <w:t> </w:t>
            </w:r>
            <w:proofErr w:type="spellStart"/>
            <w:r w:rsidR="008377BD" w:rsidRPr="00444AE8">
              <w:t>euro</w:t>
            </w:r>
            <w:proofErr w:type="spellEnd"/>
            <w:r w:rsidR="008377BD" w:rsidRPr="00444AE8">
              <w:t xml:space="preserve"> </w:t>
            </w:r>
            <w:r w:rsidR="00291967" w:rsidRPr="00444AE8">
              <w:t>2021.</w:t>
            </w:r>
            <w:r w:rsidR="007D1A85" w:rsidRPr="00444AE8">
              <w:t> </w:t>
            </w:r>
            <w:r w:rsidR="00291967" w:rsidRPr="00444AE8">
              <w:t>gadam un i</w:t>
            </w:r>
            <w:r w:rsidR="007D1A85" w:rsidRPr="00444AE8">
              <w:t>ezīmēts līdzfinansējums 319 105 </w:t>
            </w:r>
            <w:proofErr w:type="spellStart"/>
            <w:r w:rsidR="008377BD" w:rsidRPr="00444AE8">
              <w:t>euro</w:t>
            </w:r>
            <w:proofErr w:type="spellEnd"/>
            <w:r w:rsidR="008377BD" w:rsidRPr="00444AE8">
              <w:t xml:space="preserve"> </w:t>
            </w:r>
            <w:r w:rsidR="00291967" w:rsidRPr="00444AE8">
              <w:t>2022.</w:t>
            </w:r>
            <w:r w:rsidR="007D1A85" w:rsidRPr="00444AE8">
              <w:t> </w:t>
            </w:r>
            <w:r w:rsidR="00291967" w:rsidRPr="00444AE8">
              <w:t>gadam.</w:t>
            </w:r>
          </w:p>
          <w:p w14:paraId="0B81AD03" w14:textId="72AA1D50" w:rsidR="00A16290" w:rsidRPr="00C85BF2" w:rsidRDefault="00A16290" w:rsidP="002C26C3">
            <w:pPr>
              <w:spacing w:before="120"/>
              <w:ind w:left="37" w:right="68"/>
              <w:jc w:val="both"/>
            </w:pPr>
            <w:r w:rsidRPr="00C85BF2">
              <w:t>Vienlaikus atbilstošas izmaiņas tiek veiktas MK 03.09.2014. rīkojumā Nr. 475 "Par Darbības programmu pārtikas un pamata materiālās palīdzības sniegšanai vistrūcīgākajām personām 2014.–2020. gada plānošanas periodā" iekļautajā darbības programmas kopsavilkumā</w:t>
            </w:r>
            <w:r w:rsidR="0029365A" w:rsidRPr="00C85BF2">
              <w:t>, precizējot informāciju par kopējo finansējumu, kā arī veicot citus redakcionālos precizējumus.</w:t>
            </w:r>
          </w:p>
          <w:p w14:paraId="7B43A2D2" w14:textId="697DEE6B" w:rsidR="0082610A" w:rsidRPr="00444AE8" w:rsidRDefault="00CC0053" w:rsidP="002C26C3">
            <w:pPr>
              <w:spacing w:before="120"/>
              <w:ind w:right="68"/>
              <w:jc w:val="both"/>
            </w:pPr>
            <w:r w:rsidRPr="00444AE8">
              <w:t xml:space="preserve">Rīkojuma par darbības programmas grozījumiem, palielinot kopējo pieejamo finansējumu, </w:t>
            </w:r>
            <w:r w:rsidRPr="00444AE8">
              <w:rPr>
                <w:b/>
              </w:rPr>
              <w:t>mērķis</w:t>
            </w:r>
            <w:r w:rsidRPr="00444AE8">
              <w:t xml:space="preserve"> ir nodrošināt:</w:t>
            </w:r>
          </w:p>
          <w:p w14:paraId="6B583055" w14:textId="5EAB4208" w:rsidR="0082610A" w:rsidRPr="00444AE8" w:rsidRDefault="0082610A" w:rsidP="002C26C3">
            <w:pPr>
              <w:pStyle w:val="ListParagraph"/>
              <w:numPr>
                <w:ilvl w:val="0"/>
                <w:numId w:val="22"/>
              </w:numPr>
              <w:spacing w:after="0" w:line="240" w:lineRule="auto"/>
              <w:ind w:left="324" w:right="68" w:hanging="284"/>
              <w:jc w:val="both"/>
              <w:rPr>
                <w:rFonts w:ascii="Times New Roman" w:hAnsi="Times New Roman" w:cs="Times New Roman"/>
                <w:sz w:val="24"/>
                <w:szCs w:val="24"/>
              </w:rPr>
            </w:pPr>
            <w:r w:rsidRPr="00444AE8">
              <w:rPr>
                <w:rFonts w:ascii="Times New Roman" w:hAnsi="Times New Roman" w:cs="Times New Roman"/>
                <w:sz w:val="24"/>
                <w:szCs w:val="24"/>
              </w:rPr>
              <w:t>pārtikas un pamata materiālās palīdzība</w:t>
            </w:r>
            <w:r w:rsidR="00A607D7" w:rsidRPr="00444AE8">
              <w:rPr>
                <w:rFonts w:ascii="Times New Roman" w:hAnsi="Times New Roman" w:cs="Times New Roman"/>
                <w:sz w:val="24"/>
                <w:szCs w:val="24"/>
              </w:rPr>
              <w:t xml:space="preserve">s preču </w:t>
            </w:r>
            <w:r w:rsidR="00CC0053" w:rsidRPr="00444AE8">
              <w:rPr>
                <w:rFonts w:ascii="Times New Roman" w:hAnsi="Times New Roman" w:cs="Times New Roman"/>
                <w:sz w:val="24"/>
                <w:szCs w:val="24"/>
              </w:rPr>
              <w:t>iegādi un izdali</w:t>
            </w:r>
            <w:r w:rsidR="003774CE" w:rsidRPr="00444AE8">
              <w:rPr>
                <w:rFonts w:ascii="Times New Roman" w:hAnsi="Times New Roman" w:cs="Times New Roman"/>
                <w:sz w:val="24"/>
                <w:szCs w:val="24"/>
              </w:rPr>
              <w:t>, kā arī saistīto papildpasākumu organizēšan</w:t>
            </w:r>
            <w:r w:rsidR="00CC0053" w:rsidRPr="00444AE8">
              <w:rPr>
                <w:rFonts w:ascii="Times New Roman" w:hAnsi="Times New Roman" w:cs="Times New Roman"/>
                <w:sz w:val="24"/>
                <w:szCs w:val="24"/>
              </w:rPr>
              <w:t>u</w:t>
            </w:r>
            <w:r w:rsidRPr="00444AE8">
              <w:rPr>
                <w:rFonts w:ascii="Times New Roman" w:hAnsi="Times New Roman" w:cs="Times New Roman"/>
                <w:sz w:val="24"/>
                <w:szCs w:val="24"/>
              </w:rPr>
              <w:t xml:space="preserve"> p</w:t>
            </w:r>
            <w:r w:rsidR="00A607D7" w:rsidRPr="00444AE8">
              <w:rPr>
                <w:rFonts w:ascii="Times New Roman" w:hAnsi="Times New Roman" w:cs="Times New Roman"/>
                <w:sz w:val="24"/>
                <w:szCs w:val="24"/>
              </w:rPr>
              <w:t xml:space="preserve">alielinātam </w:t>
            </w:r>
            <w:r w:rsidRPr="00444AE8">
              <w:rPr>
                <w:rFonts w:ascii="Times New Roman" w:hAnsi="Times New Roman" w:cs="Times New Roman"/>
                <w:sz w:val="24"/>
                <w:szCs w:val="24"/>
              </w:rPr>
              <w:t>Fonda atbalsta saņēmēju skaitam;</w:t>
            </w:r>
          </w:p>
          <w:p w14:paraId="7A93B2B1" w14:textId="39A7D04F" w:rsidR="0082610A" w:rsidRPr="00444AE8" w:rsidRDefault="00A607D7" w:rsidP="002C26C3">
            <w:pPr>
              <w:pStyle w:val="ListParagraph"/>
              <w:numPr>
                <w:ilvl w:val="0"/>
                <w:numId w:val="22"/>
              </w:numPr>
              <w:spacing w:after="0" w:line="240" w:lineRule="auto"/>
              <w:ind w:left="324" w:right="68" w:hanging="284"/>
              <w:jc w:val="both"/>
              <w:rPr>
                <w:rFonts w:ascii="Times New Roman" w:hAnsi="Times New Roman" w:cs="Times New Roman"/>
                <w:sz w:val="24"/>
                <w:szCs w:val="24"/>
              </w:rPr>
            </w:pPr>
            <w:r w:rsidRPr="00444AE8">
              <w:rPr>
                <w:rFonts w:ascii="Times New Roman" w:hAnsi="Times New Roman" w:cs="Times New Roman"/>
                <w:sz w:val="24"/>
                <w:szCs w:val="24"/>
              </w:rPr>
              <w:t xml:space="preserve">individuālo </w:t>
            </w:r>
            <w:r w:rsidR="00D6503A" w:rsidRPr="00444AE8">
              <w:rPr>
                <w:rFonts w:ascii="Times New Roman" w:hAnsi="Times New Roman" w:cs="Times New Roman"/>
                <w:sz w:val="24"/>
                <w:szCs w:val="24"/>
              </w:rPr>
              <w:t xml:space="preserve">aizsardzības </w:t>
            </w:r>
            <w:r w:rsidRPr="00444AE8">
              <w:rPr>
                <w:rFonts w:ascii="Times New Roman" w:hAnsi="Times New Roman" w:cs="Times New Roman"/>
                <w:sz w:val="24"/>
                <w:szCs w:val="24"/>
              </w:rPr>
              <w:t>līdzekļu</w:t>
            </w:r>
            <w:r w:rsidR="00606AC1" w:rsidRPr="00444AE8">
              <w:rPr>
                <w:rFonts w:ascii="Times New Roman" w:hAnsi="Times New Roman" w:cs="Times New Roman"/>
                <w:sz w:val="24"/>
                <w:szCs w:val="24"/>
              </w:rPr>
              <w:t xml:space="preserve"> </w:t>
            </w:r>
            <w:r w:rsidR="00D6503A" w:rsidRPr="00444AE8">
              <w:rPr>
                <w:rFonts w:ascii="Times New Roman" w:hAnsi="Times New Roman" w:cs="Times New Roman"/>
                <w:sz w:val="24"/>
                <w:szCs w:val="24"/>
              </w:rPr>
              <w:t xml:space="preserve">– </w:t>
            </w:r>
            <w:proofErr w:type="gramStart"/>
            <w:r w:rsidR="00D6503A" w:rsidRPr="00444AE8">
              <w:rPr>
                <w:rFonts w:ascii="Times New Roman" w:hAnsi="Times New Roman" w:cs="Times New Roman"/>
                <w:sz w:val="24"/>
                <w:szCs w:val="24"/>
              </w:rPr>
              <w:t>roku dezi</w:t>
            </w:r>
            <w:r w:rsidR="00BB7EBA" w:rsidRPr="00444AE8">
              <w:rPr>
                <w:rFonts w:ascii="Times New Roman" w:hAnsi="Times New Roman" w:cs="Times New Roman"/>
                <w:sz w:val="24"/>
                <w:szCs w:val="24"/>
              </w:rPr>
              <w:t>nfekcijas līdzekļa iegādi</w:t>
            </w:r>
            <w:proofErr w:type="gramEnd"/>
            <w:r w:rsidR="00BA1E5E" w:rsidRPr="00444AE8">
              <w:rPr>
                <w:rFonts w:ascii="Times New Roman" w:hAnsi="Times New Roman" w:cs="Times New Roman"/>
                <w:sz w:val="24"/>
                <w:szCs w:val="24"/>
              </w:rPr>
              <w:t xml:space="preserve"> </w:t>
            </w:r>
            <w:r w:rsidR="00BB7EBA" w:rsidRPr="00444AE8">
              <w:rPr>
                <w:rFonts w:ascii="Times New Roman" w:hAnsi="Times New Roman" w:cs="Times New Roman"/>
                <w:sz w:val="24"/>
                <w:szCs w:val="24"/>
              </w:rPr>
              <w:t>un izdali</w:t>
            </w:r>
            <w:r w:rsidR="009E18DC" w:rsidRPr="00444AE8">
              <w:rPr>
                <w:rFonts w:ascii="Times New Roman" w:hAnsi="Times New Roman" w:cs="Times New Roman"/>
                <w:sz w:val="24"/>
                <w:szCs w:val="24"/>
              </w:rPr>
              <w:t xml:space="preserve"> </w:t>
            </w:r>
            <w:r w:rsidR="00D6503A" w:rsidRPr="00444AE8">
              <w:rPr>
                <w:rFonts w:ascii="Times New Roman" w:hAnsi="Times New Roman" w:cs="Times New Roman"/>
                <w:sz w:val="24"/>
                <w:szCs w:val="24"/>
              </w:rPr>
              <w:t>(vienam ceturksnim)</w:t>
            </w:r>
            <w:r w:rsidR="009D6DCC" w:rsidRPr="00444AE8">
              <w:rPr>
                <w:rFonts w:ascii="Times New Roman" w:hAnsi="Times New Roman" w:cs="Times New Roman"/>
                <w:sz w:val="24"/>
                <w:szCs w:val="24"/>
              </w:rPr>
              <w:t>.</w:t>
            </w:r>
          </w:p>
          <w:p w14:paraId="20EA8977" w14:textId="167019C1" w:rsidR="00410CBF" w:rsidRPr="00444AE8" w:rsidRDefault="00596E97" w:rsidP="002C26C3">
            <w:pPr>
              <w:ind w:left="40" w:right="68"/>
              <w:jc w:val="both"/>
            </w:pPr>
            <w:r w:rsidRPr="00444AE8">
              <w:t xml:space="preserve">Vienlaikus darbības programmas grozījumi ļauj mazināt Fonda atbalsta sniegšanas pārtraukšanas risku, kas ir īpaši </w:t>
            </w:r>
            <w:r w:rsidR="009F08C1" w:rsidRPr="00444AE8">
              <w:t>būtiski</w:t>
            </w:r>
            <w:r w:rsidRPr="00444AE8">
              <w:t xml:space="preserve"> jebkuras krīzes apstākļos un arī pārejas posmā starp diviem plānošanas periodiem.</w:t>
            </w:r>
          </w:p>
          <w:p w14:paraId="4BDA0B67" w14:textId="226DD261" w:rsidR="00A34DD0" w:rsidRPr="003B63A9" w:rsidRDefault="00A34DD0" w:rsidP="002C26C3">
            <w:pPr>
              <w:ind w:left="40" w:right="68"/>
              <w:jc w:val="both"/>
            </w:pPr>
            <w:r w:rsidRPr="00444AE8">
              <w:t>No papildu piešķirtajiem līdzekļiem p</w:t>
            </w:r>
            <w:r w:rsidR="005D5B18" w:rsidRPr="00444AE8">
              <w:t xml:space="preserve">ārtikas atbalsta iegādei </w:t>
            </w:r>
            <w:r w:rsidR="00AF6B53" w:rsidRPr="00444AE8">
              <w:t>4 557 805 </w:t>
            </w:r>
            <w:proofErr w:type="spellStart"/>
            <w:r w:rsidR="008377BD" w:rsidRPr="00444AE8">
              <w:t>euro</w:t>
            </w:r>
            <w:proofErr w:type="spellEnd"/>
            <w:r w:rsidR="008377BD" w:rsidRPr="00444AE8">
              <w:t xml:space="preserve">, </w:t>
            </w:r>
            <w:r w:rsidR="005D5B18" w:rsidRPr="00444AE8">
              <w:t xml:space="preserve">samaksai par to izdali mērķa grupai indikatīvi tiks novirzīti </w:t>
            </w:r>
            <w:r w:rsidR="008377BD" w:rsidRPr="00444AE8">
              <w:t>227 891 </w:t>
            </w:r>
            <w:proofErr w:type="spellStart"/>
            <w:r w:rsidR="008377BD" w:rsidRPr="00444AE8">
              <w:t>euro</w:t>
            </w:r>
            <w:proofErr w:type="spellEnd"/>
            <w:r w:rsidR="005D5B18" w:rsidRPr="00444AE8">
              <w:t>, be</w:t>
            </w:r>
            <w:r w:rsidR="007740EA" w:rsidRPr="00444AE8">
              <w:t xml:space="preserve">t pamata materiālajai palīdzības iegādei </w:t>
            </w:r>
            <w:r w:rsidR="00035916" w:rsidRPr="00444AE8">
              <w:t>3 5</w:t>
            </w:r>
            <w:r w:rsidR="008377BD" w:rsidRPr="00444AE8">
              <w:t>0</w:t>
            </w:r>
            <w:r w:rsidR="00035916" w:rsidRPr="00444AE8">
              <w:t>1 0</w:t>
            </w:r>
            <w:r w:rsidR="008377BD" w:rsidRPr="00444AE8">
              <w:t>82</w:t>
            </w:r>
            <w:r w:rsidR="00035916" w:rsidRPr="00444AE8">
              <w:t> </w:t>
            </w:r>
            <w:proofErr w:type="spellStart"/>
            <w:r w:rsidR="00035916" w:rsidRPr="00444AE8">
              <w:t>euro</w:t>
            </w:r>
            <w:proofErr w:type="spellEnd"/>
            <w:r w:rsidR="00035916" w:rsidRPr="00444AE8">
              <w:t xml:space="preserve"> </w:t>
            </w:r>
            <w:r w:rsidR="007740EA" w:rsidRPr="00444AE8">
              <w:t xml:space="preserve">un </w:t>
            </w:r>
            <w:r w:rsidR="00AD0D52" w:rsidRPr="00444AE8">
              <w:t>samaksai par izdal</w:t>
            </w:r>
            <w:r w:rsidR="007740EA" w:rsidRPr="00444AE8">
              <w:t>i</w:t>
            </w:r>
            <w:r w:rsidR="005D5B18" w:rsidRPr="00444AE8">
              <w:t xml:space="preserve"> – </w:t>
            </w:r>
            <w:r w:rsidR="008377BD" w:rsidRPr="00444AE8">
              <w:t>175 054 </w:t>
            </w:r>
            <w:proofErr w:type="spellStart"/>
            <w:r w:rsidR="008377BD" w:rsidRPr="00444AE8">
              <w:t>euro</w:t>
            </w:r>
            <w:proofErr w:type="spellEnd"/>
            <w:r w:rsidR="005D5B18" w:rsidRPr="00444AE8">
              <w:t>.</w:t>
            </w:r>
            <w:r w:rsidRPr="00444AE8">
              <w:t xml:space="preserve"> Papildpasākumu organizēšanai – </w:t>
            </w:r>
            <w:r w:rsidR="008377BD" w:rsidRPr="00444AE8">
              <w:t>402 944 </w:t>
            </w:r>
            <w:proofErr w:type="spellStart"/>
            <w:r w:rsidR="008377BD" w:rsidRPr="00444AE8">
              <w:t>euro</w:t>
            </w:r>
            <w:proofErr w:type="spellEnd"/>
            <w:r w:rsidRPr="00444AE8">
              <w:t>.</w:t>
            </w:r>
          </w:p>
          <w:p w14:paraId="5B5E68DB" w14:textId="073B85E8" w:rsidR="009D6DCC" w:rsidRPr="00444AE8" w:rsidRDefault="00661474" w:rsidP="002C26C3">
            <w:pPr>
              <w:ind w:left="40" w:right="68"/>
              <w:jc w:val="both"/>
            </w:pPr>
            <w:r w:rsidRPr="00444AE8">
              <w:t xml:space="preserve">Atkarībā no situācijas </w:t>
            </w:r>
            <w:r w:rsidR="005A53F2" w:rsidRPr="00444AE8">
              <w:t xml:space="preserve">tālākās </w:t>
            </w:r>
            <w:r w:rsidRPr="00444AE8">
              <w:t xml:space="preserve">attīstības </w:t>
            </w:r>
            <w:r w:rsidR="00364DA9" w:rsidRPr="00444AE8">
              <w:t>un,</w:t>
            </w:r>
            <w:r w:rsidRPr="00444AE8">
              <w:t xml:space="preserve"> ņemot vērā </w:t>
            </w:r>
            <w:proofErr w:type="spellStart"/>
            <w:r w:rsidRPr="00444AE8">
              <w:t>Covid-19</w:t>
            </w:r>
            <w:proofErr w:type="spellEnd"/>
            <w:r w:rsidRPr="00444AE8">
              <w:t xml:space="preserve"> krīzes ietekmi 2021. gadā, </w:t>
            </w:r>
            <w:proofErr w:type="spellStart"/>
            <w:r w:rsidRPr="00444AE8">
              <w:t>Covid-19</w:t>
            </w:r>
            <w:proofErr w:type="spellEnd"/>
            <w:r w:rsidRPr="00444AE8">
              <w:t xml:space="preserve"> infekcijas iz</w:t>
            </w:r>
            <w:r w:rsidR="00364DA9" w:rsidRPr="00444AE8">
              <w:t>platību un ar to saistītās epidemioloģiskas</w:t>
            </w:r>
            <w:r w:rsidRPr="00444AE8">
              <w:t xml:space="preserve"> prasības</w:t>
            </w:r>
            <w:r w:rsidR="00364DA9" w:rsidRPr="00444AE8">
              <w:t>, kā arī informāciju par individuālo</w:t>
            </w:r>
            <w:r w:rsidR="007E1229">
              <w:t xml:space="preserve"> aizsardzības līdzekļu</w:t>
            </w:r>
            <w:r w:rsidR="00364DA9" w:rsidRPr="00444AE8">
              <w:t xml:space="preserve">, tostarp sejas masku, centralizētu iepirkšanu </w:t>
            </w:r>
            <w:r w:rsidR="007B07B8" w:rsidRPr="00444AE8">
              <w:t>trūcīgiem un maznodrošin</w:t>
            </w:r>
            <w:r w:rsidR="00364DA9" w:rsidRPr="00444AE8">
              <w:t xml:space="preserve">ātiem iedzīvotājiem, kā arī </w:t>
            </w:r>
            <w:r w:rsidR="002566ED">
              <w:t>prioritārajām institūcijām</w:t>
            </w:r>
            <w:r w:rsidR="002566ED">
              <w:rPr>
                <w:rStyle w:val="FootnoteReference"/>
              </w:rPr>
              <w:footnoteReference w:id="4"/>
            </w:r>
            <w:r w:rsidR="00364DA9" w:rsidRPr="00444AE8">
              <w:t>:</w:t>
            </w:r>
          </w:p>
          <w:p w14:paraId="5A2B90C0" w14:textId="1618A1E4" w:rsidR="0082610A" w:rsidRPr="00444AE8" w:rsidRDefault="00D47B6C" w:rsidP="002C26C3">
            <w:pPr>
              <w:pStyle w:val="ListParagraph"/>
              <w:numPr>
                <w:ilvl w:val="0"/>
                <w:numId w:val="22"/>
              </w:numPr>
              <w:spacing w:after="0" w:line="240" w:lineRule="auto"/>
              <w:ind w:left="324" w:right="68" w:hanging="284"/>
              <w:jc w:val="both"/>
              <w:rPr>
                <w:rFonts w:ascii="Times New Roman" w:hAnsi="Times New Roman" w:cs="Times New Roman"/>
                <w:sz w:val="24"/>
                <w:szCs w:val="24"/>
              </w:rPr>
            </w:pPr>
            <w:r w:rsidRPr="00444AE8">
              <w:rPr>
                <w:rFonts w:ascii="Times New Roman" w:hAnsi="Times New Roman" w:cs="Times New Roman"/>
                <w:sz w:val="24"/>
                <w:szCs w:val="24"/>
              </w:rPr>
              <w:t xml:space="preserve">iespējama </w:t>
            </w:r>
            <w:r w:rsidR="00D6503A" w:rsidRPr="00444AE8">
              <w:rPr>
                <w:rFonts w:ascii="Times New Roman" w:hAnsi="Times New Roman" w:cs="Times New Roman"/>
                <w:sz w:val="24"/>
                <w:szCs w:val="24"/>
              </w:rPr>
              <w:t>vairākkārt lietojamo mazgājamo higiēnisko sejas masku iegā</w:t>
            </w:r>
            <w:r w:rsidR="00BA1E5E" w:rsidRPr="00444AE8">
              <w:rPr>
                <w:rFonts w:ascii="Times New Roman" w:hAnsi="Times New Roman" w:cs="Times New Roman"/>
                <w:sz w:val="24"/>
                <w:szCs w:val="24"/>
              </w:rPr>
              <w:t xml:space="preserve">de </w:t>
            </w:r>
            <w:r w:rsidR="009E18DC" w:rsidRPr="00444AE8">
              <w:rPr>
                <w:rFonts w:ascii="Times New Roman" w:hAnsi="Times New Roman" w:cs="Times New Roman"/>
                <w:sz w:val="24"/>
                <w:szCs w:val="24"/>
              </w:rPr>
              <w:t>un izdale</w:t>
            </w:r>
            <w:r w:rsidR="00BA1E5E" w:rsidRPr="00444AE8">
              <w:rPr>
                <w:rFonts w:ascii="Times New Roman" w:hAnsi="Times New Roman" w:cs="Times New Roman"/>
                <w:sz w:val="24"/>
                <w:szCs w:val="24"/>
              </w:rPr>
              <w:t xml:space="preserve"> 2022. </w:t>
            </w:r>
            <w:r w:rsidR="0082610A" w:rsidRPr="00444AE8">
              <w:rPr>
                <w:rFonts w:ascii="Times New Roman" w:hAnsi="Times New Roman" w:cs="Times New Roman"/>
                <w:sz w:val="24"/>
                <w:szCs w:val="24"/>
              </w:rPr>
              <w:t>gadā (vienam ceturksnim</w:t>
            </w:r>
            <w:r w:rsidRPr="00444AE8">
              <w:rPr>
                <w:rFonts w:ascii="Times New Roman" w:hAnsi="Times New Roman" w:cs="Times New Roman"/>
                <w:sz w:val="24"/>
                <w:szCs w:val="24"/>
              </w:rPr>
              <w:t xml:space="preserve">), </w:t>
            </w:r>
          </w:p>
          <w:p w14:paraId="3C5BE3AD" w14:textId="7309500A" w:rsidR="00606AC1" w:rsidRDefault="005A53F2" w:rsidP="002C26C3">
            <w:pPr>
              <w:pStyle w:val="ListParagraph"/>
              <w:numPr>
                <w:ilvl w:val="0"/>
                <w:numId w:val="22"/>
              </w:numPr>
              <w:spacing w:before="120" w:line="240" w:lineRule="auto"/>
              <w:ind w:left="321" w:right="68" w:hanging="284"/>
              <w:jc w:val="both"/>
              <w:rPr>
                <w:rFonts w:ascii="Times New Roman" w:hAnsi="Times New Roman" w:cs="Times New Roman"/>
                <w:sz w:val="24"/>
                <w:szCs w:val="24"/>
              </w:rPr>
            </w:pPr>
            <w:r w:rsidRPr="00444AE8">
              <w:rPr>
                <w:rFonts w:ascii="Times New Roman" w:hAnsi="Times New Roman" w:cs="Times New Roman"/>
                <w:sz w:val="24"/>
                <w:szCs w:val="24"/>
              </w:rPr>
              <w:t xml:space="preserve">iespējama individuālo aizsargmateriālu un dezinfekcijas līdzekļu iegāde </w:t>
            </w:r>
            <w:r w:rsidR="0016371D" w:rsidRPr="00444AE8">
              <w:rPr>
                <w:rFonts w:ascii="Times New Roman" w:hAnsi="Times New Roman" w:cs="Times New Roman"/>
                <w:sz w:val="24"/>
                <w:szCs w:val="24"/>
              </w:rPr>
              <w:t xml:space="preserve">Fonda </w:t>
            </w:r>
            <w:r w:rsidRPr="00444AE8">
              <w:rPr>
                <w:rFonts w:ascii="Times New Roman" w:hAnsi="Times New Roman" w:cs="Times New Roman"/>
                <w:sz w:val="24"/>
                <w:szCs w:val="24"/>
              </w:rPr>
              <w:t>PO atbalsta sniegšanas drošā vidē nodrošināšanai.</w:t>
            </w:r>
          </w:p>
          <w:p w14:paraId="2B2B60C6" w14:textId="3C661C77" w:rsidR="00671A27" w:rsidRPr="00DA7A17" w:rsidRDefault="00671A27" w:rsidP="002C26C3">
            <w:pPr>
              <w:jc w:val="both"/>
              <w:rPr>
                <w:rFonts w:eastAsia="SimSun"/>
                <w:kern w:val="3"/>
              </w:rPr>
            </w:pPr>
            <w:bookmarkStart w:id="0" w:name="_GoBack"/>
            <w:r w:rsidRPr="00DA7A17">
              <w:rPr>
                <w:rFonts w:eastAsia="SimSun"/>
                <w:kern w:val="3"/>
              </w:rPr>
              <w:lastRenderedPageBreak/>
              <w:t>Fonda atbalsta preču komplektu iepirkumi tiks veikti, ievērojot publiskā iepirkuma tiesisko regulējumu un nodrošinot pārredzamu, nediskriminējošu, beznosacījumu un konkurenci nodrošinošu procedūru.</w:t>
            </w:r>
          </w:p>
          <w:bookmarkEnd w:id="0"/>
          <w:p w14:paraId="537A3750" w14:textId="789EF4F1" w:rsidR="00857D8B" w:rsidRPr="00444AE8" w:rsidRDefault="00D6503A" w:rsidP="002C26C3">
            <w:pPr>
              <w:spacing w:before="120"/>
              <w:ind w:right="68"/>
              <w:jc w:val="both"/>
            </w:pPr>
            <w:r w:rsidRPr="00444AE8">
              <w:t>Aprēķinā paredzēti izdevumi tehniskajai palīdzībai</w:t>
            </w:r>
            <w:r w:rsidR="00006206" w:rsidRPr="00444AE8">
              <w:t xml:space="preserve"> 5</w:t>
            </w:r>
            <w:r w:rsidR="00A65F45" w:rsidRPr="00444AE8">
              <w:t> </w:t>
            </w:r>
            <w:r w:rsidR="00006206" w:rsidRPr="00444AE8">
              <w:t xml:space="preserve">% apmērā </w:t>
            </w:r>
            <w:r w:rsidR="00950F05" w:rsidRPr="00444AE8">
              <w:t>(</w:t>
            </w:r>
            <w:r w:rsidR="009C1843" w:rsidRPr="00444AE8">
              <w:t>466 567 </w:t>
            </w:r>
            <w:proofErr w:type="spellStart"/>
            <w:r w:rsidR="008377BD" w:rsidRPr="00444AE8">
              <w:t>euro</w:t>
            </w:r>
            <w:proofErr w:type="spellEnd"/>
            <w:r w:rsidR="00950F05" w:rsidRPr="00444AE8">
              <w:t xml:space="preserve">) </w:t>
            </w:r>
            <w:r w:rsidR="00006206" w:rsidRPr="00444AE8">
              <w:t>no papildus piešķirtā finansējuma</w:t>
            </w:r>
            <w:r w:rsidR="00A65F45" w:rsidRPr="00444AE8">
              <w:t xml:space="preserve">. </w:t>
            </w:r>
            <w:r w:rsidR="00857D8B" w:rsidRPr="00444AE8">
              <w:t>To</w:t>
            </w:r>
            <w:r w:rsidR="00CD0A63" w:rsidRPr="00444AE8">
              <w:t>s</w:t>
            </w:r>
            <w:r w:rsidR="00857D8B" w:rsidRPr="00444AE8">
              <w:t xml:space="preserve"> </w:t>
            </w:r>
            <w:r w:rsidR="009C1843" w:rsidRPr="00444AE8">
              <w:t>plānots</w:t>
            </w:r>
            <w:r w:rsidR="00857D8B" w:rsidRPr="00444AE8">
              <w:t xml:space="preserve"> novirzīt:</w:t>
            </w:r>
          </w:p>
          <w:p w14:paraId="12A8D3DA" w14:textId="494FEA8F" w:rsidR="00857D8B" w:rsidRPr="00444AE8" w:rsidRDefault="00857D8B" w:rsidP="002C26C3">
            <w:pPr>
              <w:numPr>
                <w:ilvl w:val="0"/>
                <w:numId w:val="25"/>
              </w:numPr>
              <w:spacing w:before="120"/>
              <w:ind w:left="321" w:right="68" w:hanging="284"/>
              <w:jc w:val="both"/>
            </w:pPr>
            <w:r w:rsidRPr="00444AE8">
              <w:t>darbības programmas īstenošanai nepieciešamiem tehniskās palīdzības pasākumiem, t.sk. darbības programmas sagatavošanai, pārvaldībai, uzraudzībai, auditam, novērtēšanai un informēšanas pasākumiem</w:t>
            </w:r>
            <w:r w:rsidR="004F2B55" w:rsidRPr="00444AE8">
              <w:t xml:space="preserve"> līdz plānošanas perioda beigām</w:t>
            </w:r>
            <w:r w:rsidR="00AA5965" w:rsidRPr="00444AE8">
              <w:t>,</w:t>
            </w:r>
            <w:r w:rsidR="004F2B55" w:rsidRPr="00444AE8">
              <w:t xml:space="preserve"> ņemot vērā N+3 principu</w:t>
            </w:r>
            <w:r w:rsidRPr="00444AE8">
              <w:t>;</w:t>
            </w:r>
          </w:p>
          <w:p w14:paraId="487BBF52" w14:textId="0A9C9365" w:rsidR="00105B9D" w:rsidRPr="00444AE8" w:rsidRDefault="00857D8B" w:rsidP="002C26C3">
            <w:pPr>
              <w:numPr>
                <w:ilvl w:val="0"/>
                <w:numId w:val="25"/>
              </w:numPr>
              <w:spacing w:before="120"/>
              <w:ind w:left="321" w:right="68" w:hanging="284"/>
              <w:jc w:val="both"/>
            </w:pPr>
            <w:r w:rsidRPr="00444AE8">
              <w:t>nākamā plānošanas perioda sagatavošanai</w:t>
            </w:r>
            <w:r w:rsidR="008F26B6" w:rsidRPr="00444AE8">
              <w:t>, tostarp plānošanas un normatīvo dokumentu izstrādei</w:t>
            </w:r>
            <w:r w:rsidRPr="00444AE8">
              <w:t>,</w:t>
            </w:r>
            <w:r w:rsidR="00B67E03" w:rsidRPr="00444AE8">
              <w:t xml:space="preserve"> informācijas sistēmas izstrādei,</w:t>
            </w:r>
            <w:r w:rsidRPr="00444AE8">
              <w:t xml:space="preserve"> nodrošinot atb</w:t>
            </w:r>
            <w:r w:rsidR="008F26B6" w:rsidRPr="00444AE8">
              <w:t>al</w:t>
            </w:r>
            <w:r w:rsidR="008E3A04" w:rsidRPr="00444AE8">
              <w:t>sta sniegšanas nepārtrauktību.</w:t>
            </w:r>
          </w:p>
        </w:tc>
      </w:tr>
      <w:tr w:rsidR="00A75A0C" w:rsidRPr="00444AE8" w14:paraId="04B45F8A" w14:textId="77777777" w:rsidTr="00C40B61">
        <w:tc>
          <w:tcPr>
            <w:tcW w:w="294" w:type="pct"/>
            <w:hideMark/>
          </w:tcPr>
          <w:p w14:paraId="30AA7E86" w14:textId="31716B0A" w:rsidR="008F0C62" w:rsidRPr="00444AE8" w:rsidRDefault="008F0C62" w:rsidP="002C26C3">
            <w:pPr>
              <w:jc w:val="center"/>
            </w:pPr>
            <w:r w:rsidRPr="00444AE8">
              <w:lastRenderedPageBreak/>
              <w:t>3.</w:t>
            </w:r>
          </w:p>
        </w:tc>
        <w:tc>
          <w:tcPr>
            <w:tcW w:w="1397" w:type="pct"/>
            <w:hideMark/>
          </w:tcPr>
          <w:p w14:paraId="17C4B50C" w14:textId="77777777" w:rsidR="008F0C62" w:rsidRPr="00444AE8" w:rsidRDefault="008F0C62" w:rsidP="002C26C3">
            <w:r w:rsidRPr="00444AE8">
              <w:t>Projekta izstrādē iesaistītās institūcijas un publiskas personas kapitālsabiedrības</w:t>
            </w:r>
          </w:p>
        </w:tc>
        <w:tc>
          <w:tcPr>
            <w:tcW w:w="3309" w:type="pct"/>
            <w:hideMark/>
          </w:tcPr>
          <w:p w14:paraId="70624315" w14:textId="2CBD80DE" w:rsidR="008F0C62" w:rsidRPr="003C4E4B" w:rsidRDefault="009A7DE5" w:rsidP="002C26C3">
            <w:pPr>
              <w:jc w:val="both"/>
            </w:pPr>
            <w:r w:rsidRPr="003C4E4B">
              <w:t>Finanšu ministrija.</w:t>
            </w:r>
          </w:p>
        </w:tc>
      </w:tr>
      <w:tr w:rsidR="00A75A0C" w:rsidRPr="00444AE8" w14:paraId="735EFA50" w14:textId="77777777" w:rsidTr="00C40B61">
        <w:tc>
          <w:tcPr>
            <w:tcW w:w="294" w:type="pct"/>
            <w:hideMark/>
          </w:tcPr>
          <w:p w14:paraId="16C1DB9F" w14:textId="77777777" w:rsidR="008F0C62" w:rsidRPr="00444AE8" w:rsidRDefault="008F0C62" w:rsidP="002C26C3">
            <w:pPr>
              <w:jc w:val="center"/>
            </w:pPr>
            <w:r w:rsidRPr="00444AE8">
              <w:t>4.</w:t>
            </w:r>
          </w:p>
        </w:tc>
        <w:tc>
          <w:tcPr>
            <w:tcW w:w="1397" w:type="pct"/>
            <w:hideMark/>
          </w:tcPr>
          <w:p w14:paraId="261315DD" w14:textId="77777777" w:rsidR="008F0C62" w:rsidRPr="00444AE8" w:rsidRDefault="008F0C62" w:rsidP="002C26C3">
            <w:r w:rsidRPr="00444AE8">
              <w:t>Cita informācija</w:t>
            </w:r>
          </w:p>
        </w:tc>
        <w:tc>
          <w:tcPr>
            <w:tcW w:w="3309" w:type="pct"/>
            <w:hideMark/>
          </w:tcPr>
          <w:p w14:paraId="453A947B" w14:textId="74F48553" w:rsidR="002C47C1" w:rsidRPr="003C4E4B" w:rsidRDefault="003C4E4B" w:rsidP="002C26C3">
            <w:r w:rsidRPr="003C4E4B">
              <w:t>Nav.</w:t>
            </w:r>
          </w:p>
        </w:tc>
      </w:tr>
    </w:tbl>
    <w:p w14:paraId="0DE08E04" w14:textId="462C126F" w:rsidR="008E3D70" w:rsidRPr="00444AE8" w:rsidRDefault="008E3D70" w:rsidP="002C26C3"/>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2442"/>
        <w:gridCol w:w="5784"/>
      </w:tblGrid>
      <w:tr w:rsidR="00444AE8" w:rsidRPr="00444AE8" w14:paraId="51D5E8D1" w14:textId="77777777" w:rsidTr="00C40B61">
        <w:trPr>
          <w:cantSplit/>
        </w:trPr>
        <w:tc>
          <w:tcPr>
            <w:tcW w:w="5000" w:type="pct"/>
            <w:gridSpan w:val="3"/>
            <w:vAlign w:val="center"/>
            <w:hideMark/>
          </w:tcPr>
          <w:p w14:paraId="60D7CCBA" w14:textId="3A84A5FC" w:rsidR="00BD5588" w:rsidRPr="00444AE8" w:rsidRDefault="00BD5588" w:rsidP="002C26C3">
            <w:pPr>
              <w:jc w:val="center"/>
              <w:rPr>
                <w:b/>
                <w:bCs/>
              </w:rPr>
            </w:pPr>
            <w:r w:rsidRPr="00444AE8">
              <w:rPr>
                <w:b/>
                <w:bCs/>
              </w:rPr>
              <w:t>II. Tiesību akta projekta ietekme uz sabiedrību, tautsaimniecības attīstību un administratīvo slogu</w:t>
            </w:r>
          </w:p>
        </w:tc>
      </w:tr>
      <w:tr w:rsidR="00444AE8" w:rsidRPr="00444AE8" w14:paraId="671EACFD" w14:textId="77777777" w:rsidTr="00C40B61">
        <w:trPr>
          <w:cantSplit/>
        </w:trPr>
        <w:tc>
          <w:tcPr>
            <w:tcW w:w="294" w:type="pct"/>
            <w:hideMark/>
          </w:tcPr>
          <w:p w14:paraId="16516D53" w14:textId="77777777" w:rsidR="000F183E" w:rsidRPr="00444AE8" w:rsidRDefault="000F183E" w:rsidP="002C26C3">
            <w:pPr>
              <w:jc w:val="center"/>
            </w:pPr>
            <w:r w:rsidRPr="00444AE8">
              <w:t>1.</w:t>
            </w:r>
          </w:p>
        </w:tc>
        <w:tc>
          <w:tcPr>
            <w:tcW w:w="1397" w:type="pct"/>
            <w:hideMark/>
          </w:tcPr>
          <w:p w14:paraId="4CDBC2FF" w14:textId="77777777" w:rsidR="000F183E" w:rsidRPr="00444AE8" w:rsidRDefault="000F183E" w:rsidP="002C26C3">
            <w:r w:rsidRPr="00444AE8">
              <w:t>Sabiedrības mērķgrupas, kuras tiesiskais regulējums ietekmē vai varētu ietekmēt</w:t>
            </w:r>
          </w:p>
        </w:tc>
        <w:tc>
          <w:tcPr>
            <w:tcW w:w="3309" w:type="pct"/>
            <w:hideMark/>
          </w:tcPr>
          <w:p w14:paraId="0D2C76FC" w14:textId="77777777" w:rsidR="000F183E" w:rsidRPr="00444AE8" w:rsidRDefault="000F183E" w:rsidP="002C26C3">
            <w:pPr>
              <w:pStyle w:val="ListParagraph"/>
              <w:spacing w:before="120" w:after="120" w:line="240" w:lineRule="auto"/>
              <w:ind w:left="318" w:hanging="318"/>
              <w:jc w:val="both"/>
              <w:rPr>
                <w:rFonts w:ascii="Times New Roman" w:hAnsi="Times New Roman" w:cs="Times New Roman"/>
                <w:sz w:val="24"/>
                <w:szCs w:val="24"/>
              </w:rPr>
            </w:pPr>
            <w:r w:rsidRPr="00444AE8">
              <w:rPr>
                <w:rFonts w:ascii="Times New Roman" w:hAnsi="Times New Roman" w:cs="Times New Roman"/>
                <w:sz w:val="24"/>
                <w:szCs w:val="24"/>
              </w:rPr>
              <w:t>Tiešās mērķgrupas:</w:t>
            </w:r>
          </w:p>
          <w:p w14:paraId="7DDD5611" w14:textId="58396187" w:rsidR="000F183E" w:rsidRPr="00444AE8" w:rsidRDefault="00D77D3F" w:rsidP="002C26C3">
            <w:pPr>
              <w:pStyle w:val="ListParagraph"/>
              <w:numPr>
                <w:ilvl w:val="0"/>
                <w:numId w:val="28"/>
              </w:numPr>
              <w:spacing w:before="240" w:line="240" w:lineRule="auto"/>
              <w:ind w:left="321" w:hanging="284"/>
              <w:jc w:val="both"/>
              <w:rPr>
                <w:rFonts w:ascii="Times New Roman" w:hAnsi="Times New Roman" w:cs="Times New Roman"/>
                <w:sz w:val="24"/>
                <w:szCs w:val="24"/>
              </w:rPr>
            </w:pPr>
            <w:r w:rsidRPr="00444AE8">
              <w:rPr>
                <w:rFonts w:ascii="Times New Roman" w:hAnsi="Times New Roman" w:cs="Times New Roman"/>
                <w:sz w:val="24"/>
                <w:szCs w:val="24"/>
              </w:rPr>
              <w:t>mājsaimniecības</w:t>
            </w:r>
            <w:r w:rsidR="000F183E" w:rsidRPr="00444AE8">
              <w:rPr>
                <w:rFonts w:ascii="Times New Roman" w:hAnsi="Times New Roman" w:cs="Times New Roman"/>
                <w:sz w:val="24"/>
                <w:szCs w:val="24"/>
              </w:rPr>
              <w:t>, kuras</w:t>
            </w:r>
          </w:p>
          <w:p w14:paraId="2F3BD70B" w14:textId="77777777" w:rsidR="000F183E" w:rsidRPr="00444AE8" w:rsidRDefault="000F183E" w:rsidP="002C26C3">
            <w:pPr>
              <w:pStyle w:val="ListParagraph"/>
              <w:numPr>
                <w:ilvl w:val="0"/>
                <w:numId w:val="29"/>
              </w:numPr>
              <w:spacing w:before="240" w:line="240" w:lineRule="auto"/>
              <w:ind w:left="746" w:hanging="284"/>
              <w:jc w:val="both"/>
              <w:rPr>
                <w:rFonts w:ascii="Times New Roman" w:hAnsi="Times New Roman" w:cs="Times New Roman"/>
                <w:sz w:val="24"/>
                <w:szCs w:val="24"/>
              </w:rPr>
            </w:pPr>
            <w:r w:rsidRPr="00444AE8">
              <w:rPr>
                <w:rFonts w:ascii="Times New Roman" w:hAnsi="Times New Roman" w:cs="Times New Roman"/>
                <w:sz w:val="24"/>
                <w:szCs w:val="24"/>
              </w:rPr>
              <w:t>atzītas par trūcīgām;</w:t>
            </w:r>
          </w:p>
          <w:p w14:paraId="25B5870E" w14:textId="77777777" w:rsidR="000F183E" w:rsidRPr="00444AE8" w:rsidRDefault="000F183E" w:rsidP="002C26C3">
            <w:pPr>
              <w:pStyle w:val="ListParagraph"/>
              <w:numPr>
                <w:ilvl w:val="0"/>
                <w:numId w:val="29"/>
              </w:numPr>
              <w:spacing w:before="240" w:after="0" w:line="240" w:lineRule="auto"/>
              <w:ind w:left="746" w:hanging="284"/>
              <w:jc w:val="both"/>
              <w:rPr>
                <w:rFonts w:ascii="Times New Roman" w:hAnsi="Times New Roman" w:cs="Times New Roman"/>
                <w:sz w:val="24"/>
                <w:szCs w:val="24"/>
              </w:rPr>
            </w:pPr>
            <w:r w:rsidRPr="00444AE8">
              <w:rPr>
                <w:rFonts w:ascii="Times New Roman" w:hAnsi="Times New Roman" w:cs="Times New Roman"/>
                <w:sz w:val="24"/>
                <w:szCs w:val="24"/>
              </w:rPr>
              <w:t>atzītas par maznodrošinātām un atbilstošām Fonda atbalsta saņemšanai;</w:t>
            </w:r>
          </w:p>
          <w:p w14:paraId="400AF78E" w14:textId="77777777" w:rsidR="000F183E" w:rsidRPr="00444AE8" w:rsidRDefault="000F183E" w:rsidP="002C26C3">
            <w:pPr>
              <w:pStyle w:val="ListParagraph"/>
              <w:numPr>
                <w:ilvl w:val="0"/>
                <w:numId w:val="29"/>
              </w:numPr>
              <w:spacing w:before="240" w:after="0" w:line="240" w:lineRule="auto"/>
              <w:ind w:left="746" w:hanging="284"/>
              <w:jc w:val="both"/>
              <w:rPr>
                <w:rFonts w:ascii="Times New Roman" w:hAnsi="Times New Roman" w:cs="Times New Roman"/>
                <w:sz w:val="24"/>
                <w:szCs w:val="24"/>
              </w:rPr>
            </w:pPr>
            <w:r w:rsidRPr="00444AE8">
              <w:rPr>
                <w:rFonts w:ascii="Times New Roman" w:hAnsi="Times New Roman" w:cs="Times New Roman"/>
                <w:sz w:val="24"/>
                <w:szCs w:val="24"/>
              </w:rPr>
              <w:t>nonākušas krīzes situācijā;</w:t>
            </w:r>
          </w:p>
          <w:p w14:paraId="7FC7E9C2" w14:textId="2A2B31BB" w:rsidR="000F183E" w:rsidRPr="00444AE8" w:rsidRDefault="000F183E" w:rsidP="002C26C3">
            <w:pPr>
              <w:pStyle w:val="ListParagraph"/>
              <w:numPr>
                <w:ilvl w:val="0"/>
                <w:numId w:val="28"/>
              </w:numPr>
              <w:spacing w:line="240" w:lineRule="auto"/>
              <w:ind w:left="321" w:hanging="284"/>
              <w:jc w:val="both"/>
              <w:rPr>
                <w:rFonts w:ascii="Times New Roman" w:hAnsi="Times New Roman" w:cs="Times New Roman"/>
                <w:sz w:val="24"/>
                <w:szCs w:val="24"/>
              </w:rPr>
            </w:pPr>
            <w:r w:rsidRPr="00444AE8">
              <w:rPr>
                <w:rFonts w:ascii="Times New Roman" w:hAnsi="Times New Roman" w:cs="Times New Roman"/>
                <w:sz w:val="24"/>
                <w:szCs w:val="24"/>
              </w:rPr>
              <w:t xml:space="preserve">pašvaldību sociālie dienesti, kuri izsniedz izziņu par trūcīgas </w:t>
            </w:r>
            <w:r w:rsidR="00D77D3F" w:rsidRPr="00444AE8">
              <w:rPr>
                <w:rFonts w:ascii="Times New Roman" w:hAnsi="Times New Roman" w:cs="Times New Roman"/>
                <w:sz w:val="24"/>
                <w:szCs w:val="24"/>
              </w:rPr>
              <w:t xml:space="preserve">mājsaimniecības </w:t>
            </w:r>
            <w:r w:rsidRPr="00444AE8">
              <w:rPr>
                <w:rFonts w:ascii="Times New Roman" w:hAnsi="Times New Roman" w:cs="Times New Roman"/>
                <w:sz w:val="24"/>
                <w:szCs w:val="24"/>
              </w:rPr>
              <w:t xml:space="preserve">statusu, maznodrošinātas </w:t>
            </w:r>
            <w:r w:rsidR="00D77D3F" w:rsidRPr="00444AE8">
              <w:rPr>
                <w:rFonts w:ascii="Times New Roman" w:hAnsi="Times New Roman" w:cs="Times New Roman"/>
                <w:sz w:val="24"/>
                <w:szCs w:val="24"/>
              </w:rPr>
              <w:t xml:space="preserve">mājsaimniecības </w:t>
            </w:r>
            <w:r w:rsidRPr="00444AE8">
              <w:rPr>
                <w:rFonts w:ascii="Times New Roman" w:hAnsi="Times New Roman" w:cs="Times New Roman"/>
                <w:sz w:val="24"/>
                <w:szCs w:val="24"/>
              </w:rPr>
              <w:t>statusu un atbilstību Fonda atbalsta s</w:t>
            </w:r>
            <w:r w:rsidR="00D77D3F" w:rsidRPr="00444AE8">
              <w:rPr>
                <w:rFonts w:ascii="Times New Roman" w:hAnsi="Times New Roman" w:cs="Times New Roman"/>
                <w:sz w:val="24"/>
                <w:szCs w:val="24"/>
              </w:rPr>
              <w:t>aņemšanai vai krīzes situāciju;</w:t>
            </w:r>
          </w:p>
          <w:p w14:paraId="335FBC40" w14:textId="77777777" w:rsidR="000F183E" w:rsidRPr="00444AE8" w:rsidRDefault="000F183E" w:rsidP="002C26C3">
            <w:pPr>
              <w:pStyle w:val="ListParagraph"/>
              <w:numPr>
                <w:ilvl w:val="0"/>
                <w:numId w:val="28"/>
              </w:numPr>
              <w:spacing w:line="240" w:lineRule="auto"/>
              <w:ind w:left="321" w:hanging="284"/>
              <w:jc w:val="both"/>
              <w:rPr>
                <w:rFonts w:ascii="Times New Roman" w:hAnsi="Times New Roman" w:cs="Times New Roman"/>
                <w:sz w:val="24"/>
                <w:szCs w:val="24"/>
              </w:rPr>
            </w:pPr>
            <w:r w:rsidRPr="00444AE8">
              <w:rPr>
                <w:rFonts w:ascii="Times New Roman" w:hAnsi="Times New Roman" w:cs="Times New Roman"/>
                <w:sz w:val="24"/>
                <w:szCs w:val="24"/>
              </w:rPr>
              <w:t>nevalstiskas un reliģiskas organizācijas, pašvaldības vai pašvaldību iestādes, kuras ir partnerorganizācijas.</w:t>
            </w:r>
          </w:p>
          <w:p w14:paraId="25D4932B" w14:textId="7AC5B7FE" w:rsidR="000F183E" w:rsidRPr="00444AE8" w:rsidRDefault="000F183E" w:rsidP="002C26C3">
            <w:pPr>
              <w:jc w:val="both"/>
            </w:pPr>
            <w:r w:rsidRPr="00444AE8">
              <w:t>Netiešā mērķgrupa – pārtikas vai pamata materiālās palīdzības preču piegādātāji, kuri izvēlēti atbilstoši publisko iepirkumu normatīvam regulējumam.</w:t>
            </w:r>
          </w:p>
        </w:tc>
      </w:tr>
      <w:tr w:rsidR="00444AE8" w:rsidRPr="00444AE8" w14:paraId="437BF462" w14:textId="77777777" w:rsidTr="00C40B61">
        <w:trPr>
          <w:cantSplit/>
        </w:trPr>
        <w:tc>
          <w:tcPr>
            <w:tcW w:w="294" w:type="pct"/>
            <w:hideMark/>
          </w:tcPr>
          <w:p w14:paraId="1EDF53FB" w14:textId="367D4542" w:rsidR="001913FC" w:rsidRPr="00444AE8" w:rsidRDefault="001913FC" w:rsidP="002C26C3">
            <w:pPr>
              <w:jc w:val="center"/>
            </w:pPr>
            <w:r w:rsidRPr="00444AE8">
              <w:lastRenderedPageBreak/>
              <w:t>2.</w:t>
            </w:r>
          </w:p>
        </w:tc>
        <w:tc>
          <w:tcPr>
            <w:tcW w:w="1397" w:type="pct"/>
            <w:hideMark/>
          </w:tcPr>
          <w:p w14:paraId="78A59780" w14:textId="77777777" w:rsidR="001913FC" w:rsidRPr="00444AE8" w:rsidRDefault="001913FC" w:rsidP="002C26C3">
            <w:r w:rsidRPr="00444AE8">
              <w:t>Tiesiskā regulējuma ietekme uz tautsaimniecību un administratīvo slogu</w:t>
            </w:r>
          </w:p>
        </w:tc>
        <w:tc>
          <w:tcPr>
            <w:tcW w:w="3309" w:type="pct"/>
            <w:hideMark/>
          </w:tcPr>
          <w:p w14:paraId="1BAC2D07" w14:textId="75B0F1DF" w:rsidR="0043712C" w:rsidRDefault="005D709E" w:rsidP="002C26C3">
            <w:pPr>
              <w:pStyle w:val="ListParagraph"/>
              <w:numPr>
                <w:ilvl w:val="0"/>
                <w:numId w:val="21"/>
              </w:numPr>
              <w:spacing w:line="240" w:lineRule="auto"/>
              <w:ind w:left="324" w:right="113" w:hanging="284"/>
              <w:jc w:val="both"/>
              <w:rPr>
                <w:rFonts w:ascii="Times New Roman" w:hAnsi="Times New Roman" w:cs="Times New Roman"/>
                <w:bCs/>
                <w:iCs/>
                <w:sz w:val="24"/>
                <w:szCs w:val="24"/>
              </w:rPr>
            </w:pPr>
            <w:r>
              <w:rPr>
                <w:rFonts w:ascii="Times New Roman" w:hAnsi="Times New Roman" w:cs="Times New Roman"/>
                <w:bCs/>
                <w:iCs/>
                <w:sz w:val="24"/>
                <w:szCs w:val="24"/>
              </w:rPr>
              <w:t>Tiesiskais</w:t>
            </w:r>
            <w:r w:rsidR="0040288F" w:rsidRPr="00444AE8">
              <w:rPr>
                <w:rFonts w:ascii="Times New Roman" w:hAnsi="Times New Roman" w:cs="Times New Roman"/>
                <w:bCs/>
                <w:iCs/>
                <w:sz w:val="24"/>
                <w:szCs w:val="24"/>
              </w:rPr>
              <w:t xml:space="preserve"> regulējums neparedz tiešu ietekmi uz tautsaimniecību, bet tas saistīts ar </w:t>
            </w:r>
            <w:r w:rsidR="00D76182" w:rsidRPr="00444AE8">
              <w:rPr>
                <w:rFonts w:ascii="Times New Roman" w:hAnsi="Times New Roman" w:cs="Times New Roman"/>
                <w:bCs/>
                <w:iCs/>
                <w:sz w:val="24"/>
                <w:szCs w:val="24"/>
              </w:rPr>
              <w:t xml:space="preserve">papildus </w:t>
            </w:r>
            <w:r w:rsidR="0040288F" w:rsidRPr="00444AE8">
              <w:rPr>
                <w:rFonts w:ascii="Times New Roman" w:hAnsi="Times New Roman" w:cs="Times New Roman"/>
                <w:bCs/>
                <w:iCs/>
                <w:sz w:val="24"/>
                <w:szCs w:val="24"/>
              </w:rPr>
              <w:t>ieguldījumiem nabadzības mazināšanas un sociālās iekļaušanas jomā. Kaut arī pārtikas</w:t>
            </w:r>
            <w:r w:rsidR="005E5C58" w:rsidRPr="00444AE8">
              <w:rPr>
                <w:rFonts w:ascii="Times New Roman" w:hAnsi="Times New Roman" w:cs="Times New Roman"/>
                <w:bCs/>
                <w:iCs/>
                <w:sz w:val="24"/>
                <w:szCs w:val="24"/>
              </w:rPr>
              <w:t xml:space="preserve"> un pamata materiālās palīdzības preču</w:t>
            </w:r>
            <w:r w:rsidR="00A0760F" w:rsidRPr="00444AE8">
              <w:rPr>
                <w:rFonts w:ascii="Times New Roman" w:hAnsi="Times New Roman" w:cs="Times New Roman"/>
                <w:bCs/>
                <w:iCs/>
                <w:sz w:val="24"/>
                <w:szCs w:val="24"/>
              </w:rPr>
              <w:t xml:space="preserve"> izdalīšana vistrūcīgākajām mājsaimniecībām </w:t>
            </w:r>
            <w:r w:rsidR="0040288F" w:rsidRPr="00444AE8">
              <w:rPr>
                <w:rFonts w:ascii="Times New Roman" w:hAnsi="Times New Roman" w:cs="Times New Roman"/>
                <w:bCs/>
                <w:iCs/>
                <w:sz w:val="24"/>
                <w:szCs w:val="24"/>
              </w:rPr>
              <w:t>nevar redzami mainīt kopējo dziļas materiālās nenodrošinātības rādītāju, tomēr atvieglo vistrūcīgāko mājsaimniecību budžeta slogu,</w:t>
            </w:r>
            <w:r w:rsidR="00D76182" w:rsidRPr="00444AE8">
              <w:rPr>
                <w:rFonts w:ascii="Times New Roman" w:hAnsi="Times New Roman" w:cs="Times New Roman"/>
                <w:bCs/>
                <w:iCs/>
                <w:sz w:val="24"/>
                <w:szCs w:val="24"/>
              </w:rPr>
              <w:t xml:space="preserve"> īpaši krīzes situācijā </w:t>
            </w:r>
            <w:proofErr w:type="spellStart"/>
            <w:r w:rsidR="00D76182" w:rsidRPr="00444AE8">
              <w:rPr>
                <w:rFonts w:ascii="Times New Roman" w:hAnsi="Times New Roman" w:cs="Times New Roman"/>
                <w:bCs/>
                <w:iCs/>
                <w:sz w:val="24"/>
                <w:szCs w:val="24"/>
              </w:rPr>
              <w:t>Covid</w:t>
            </w:r>
            <w:proofErr w:type="spellEnd"/>
            <w:r w:rsidR="00D76182" w:rsidRPr="00444AE8">
              <w:rPr>
                <w:rFonts w:ascii="Times New Roman" w:hAnsi="Times New Roman" w:cs="Times New Roman"/>
                <w:bCs/>
                <w:iCs/>
                <w:sz w:val="24"/>
                <w:szCs w:val="24"/>
              </w:rPr>
              <w:t xml:space="preserve"> - 19 pandēmijas ietekmē, kad zināma daļa zemu ienākumu mājsaimniecību pakļauta papildus </w:t>
            </w:r>
            <w:r w:rsidR="00171048" w:rsidRPr="00444AE8">
              <w:rPr>
                <w:rFonts w:ascii="Times New Roman" w:hAnsi="Times New Roman" w:cs="Times New Roman"/>
                <w:bCs/>
                <w:iCs/>
                <w:sz w:val="24"/>
                <w:szCs w:val="24"/>
              </w:rPr>
              <w:t>riskiem, kas lielā mērā saistīti ar nonākšanu bezdarba situācijā.</w:t>
            </w:r>
          </w:p>
          <w:p w14:paraId="65B001F0" w14:textId="77777777" w:rsidR="00397098" w:rsidRPr="00397098" w:rsidRDefault="005D709E" w:rsidP="002C26C3">
            <w:pPr>
              <w:pStyle w:val="ListParagraph"/>
              <w:numPr>
                <w:ilvl w:val="0"/>
                <w:numId w:val="21"/>
              </w:numPr>
              <w:spacing w:line="240" w:lineRule="auto"/>
              <w:ind w:left="324" w:right="113" w:hanging="284"/>
              <w:jc w:val="both"/>
              <w:rPr>
                <w:rFonts w:ascii="Times New Roman" w:hAnsi="Times New Roman" w:cs="Times New Roman"/>
                <w:bCs/>
                <w:iCs/>
                <w:sz w:val="24"/>
                <w:szCs w:val="24"/>
              </w:rPr>
            </w:pPr>
            <w:r w:rsidRPr="00397098">
              <w:rPr>
                <w:rFonts w:ascii="Times New Roman" w:hAnsi="Times New Roman" w:cs="Times New Roman"/>
                <w:bCs/>
                <w:iCs/>
                <w:sz w:val="24"/>
                <w:szCs w:val="24"/>
              </w:rPr>
              <w:t>Tiesiskais regulējums neparedz</w:t>
            </w:r>
            <w:r w:rsidR="00397098" w:rsidRPr="00397098">
              <w:rPr>
                <w:rFonts w:ascii="Times New Roman" w:hAnsi="Times New Roman" w:cs="Times New Roman"/>
                <w:bCs/>
                <w:iCs/>
                <w:sz w:val="24"/>
                <w:szCs w:val="24"/>
              </w:rPr>
              <w:t>:</w:t>
            </w:r>
          </w:p>
          <w:p w14:paraId="67102F1F" w14:textId="14ACF587" w:rsidR="007B2707" w:rsidRPr="00397098" w:rsidRDefault="005D709E" w:rsidP="002C26C3">
            <w:pPr>
              <w:pStyle w:val="ListParagraph"/>
              <w:numPr>
                <w:ilvl w:val="0"/>
                <w:numId w:val="32"/>
              </w:numPr>
              <w:spacing w:line="240" w:lineRule="auto"/>
              <w:ind w:left="706" w:right="113" w:hanging="306"/>
              <w:jc w:val="both"/>
              <w:rPr>
                <w:rFonts w:ascii="Times New Roman" w:hAnsi="Times New Roman" w:cs="Times New Roman"/>
                <w:bCs/>
                <w:iCs/>
                <w:sz w:val="24"/>
                <w:szCs w:val="24"/>
              </w:rPr>
            </w:pPr>
            <w:r w:rsidRPr="00397098">
              <w:rPr>
                <w:rFonts w:ascii="Times New Roman" w:hAnsi="Times New Roman" w:cs="Times New Roman"/>
                <w:bCs/>
                <w:iCs/>
                <w:sz w:val="24"/>
                <w:szCs w:val="24"/>
              </w:rPr>
              <w:t xml:space="preserve">pasākumus, ierobežojumus vai aizliegumus </w:t>
            </w:r>
            <w:proofErr w:type="spellStart"/>
            <w:r w:rsidRPr="00397098">
              <w:rPr>
                <w:rFonts w:ascii="Times New Roman" w:hAnsi="Times New Roman" w:cs="Times New Roman"/>
                <w:bCs/>
                <w:iCs/>
                <w:sz w:val="24"/>
                <w:szCs w:val="24"/>
              </w:rPr>
              <w:t>Covid-19</w:t>
            </w:r>
            <w:proofErr w:type="spellEnd"/>
            <w:r w:rsidRPr="00397098">
              <w:rPr>
                <w:rFonts w:ascii="Times New Roman" w:hAnsi="Times New Roman" w:cs="Times New Roman"/>
                <w:bCs/>
                <w:iCs/>
                <w:sz w:val="24"/>
                <w:szCs w:val="24"/>
              </w:rPr>
              <w:t xml:space="preserve"> izplatības mazināšanai</w:t>
            </w:r>
            <w:r w:rsidR="00397098" w:rsidRPr="00397098">
              <w:rPr>
                <w:rFonts w:ascii="Times New Roman" w:hAnsi="Times New Roman" w:cs="Times New Roman"/>
                <w:bCs/>
                <w:iCs/>
                <w:sz w:val="24"/>
                <w:szCs w:val="24"/>
              </w:rPr>
              <w:t>;</w:t>
            </w:r>
          </w:p>
          <w:p w14:paraId="07A7307E" w14:textId="01BD02EA" w:rsidR="00397098" w:rsidRPr="00397098" w:rsidRDefault="00397098" w:rsidP="002C26C3">
            <w:pPr>
              <w:pStyle w:val="ListParagraph"/>
              <w:numPr>
                <w:ilvl w:val="0"/>
                <w:numId w:val="32"/>
              </w:numPr>
              <w:spacing w:line="240" w:lineRule="auto"/>
              <w:ind w:left="706" w:right="113" w:hanging="306"/>
              <w:jc w:val="both"/>
              <w:rPr>
                <w:rFonts w:ascii="Times New Roman" w:hAnsi="Times New Roman" w:cs="Times New Roman"/>
                <w:bCs/>
                <w:iCs/>
                <w:sz w:val="24"/>
                <w:szCs w:val="24"/>
              </w:rPr>
            </w:pPr>
            <w:r w:rsidRPr="00397098">
              <w:rPr>
                <w:rFonts w:ascii="Times New Roman" w:eastAsia="Times New Roman" w:hAnsi="Times New Roman" w:cs="Times New Roman"/>
                <w:sz w:val="24"/>
                <w:szCs w:val="24"/>
              </w:rPr>
              <w:t xml:space="preserve">nosacījumus, </w:t>
            </w:r>
            <w:r w:rsidRPr="00397098">
              <w:rPr>
                <w:rFonts w:ascii="Times New Roman" w:hAnsi="Times New Roman" w:cs="Times New Roman"/>
                <w:bCs/>
                <w:iCs/>
                <w:sz w:val="24"/>
                <w:szCs w:val="24"/>
              </w:rPr>
              <w:t>kuri skar personu tiesības un likumiskās intereses vai kuri var ietekmēt valsts ekonomiku.</w:t>
            </w:r>
          </w:p>
          <w:p w14:paraId="0B4F506D" w14:textId="37482083" w:rsidR="00D76182" w:rsidRPr="00444AE8" w:rsidRDefault="008E3D70" w:rsidP="002C26C3">
            <w:pPr>
              <w:pStyle w:val="ListParagraph"/>
              <w:numPr>
                <w:ilvl w:val="0"/>
                <w:numId w:val="21"/>
              </w:numPr>
              <w:spacing w:line="240" w:lineRule="auto"/>
              <w:ind w:left="324" w:right="113" w:hanging="284"/>
              <w:jc w:val="both"/>
              <w:rPr>
                <w:rFonts w:ascii="Times New Roman" w:hAnsi="Times New Roman" w:cs="Times New Roman"/>
                <w:bCs/>
                <w:iCs/>
                <w:sz w:val="24"/>
                <w:szCs w:val="24"/>
              </w:rPr>
            </w:pPr>
            <w:r w:rsidRPr="00444AE8">
              <w:rPr>
                <w:rFonts w:ascii="Times New Roman" w:hAnsi="Times New Roman" w:cs="Times New Roman"/>
                <w:bCs/>
                <w:iCs/>
                <w:sz w:val="24"/>
                <w:szCs w:val="24"/>
              </w:rPr>
              <w:t xml:space="preserve">Tiesiskais regulējums neparedz ietekmi uz administratīvo slogu. </w:t>
            </w:r>
            <w:r w:rsidR="0040288F" w:rsidRPr="00444AE8">
              <w:rPr>
                <w:rFonts w:ascii="Times New Roman" w:hAnsi="Times New Roman" w:cs="Times New Roman"/>
                <w:bCs/>
                <w:iCs/>
                <w:sz w:val="24"/>
                <w:szCs w:val="24"/>
              </w:rPr>
              <w:t xml:space="preserve">Saistībā ar normatīvā regulējumā noteikto, ka sociālās palīdzības nodrošināšana ir pašvaldību autonomā funkcija, </w:t>
            </w:r>
            <w:r w:rsidR="00471BDB" w:rsidRPr="00444AE8">
              <w:rPr>
                <w:rFonts w:ascii="Times New Roman" w:hAnsi="Times New Roman" w:cs="Times New Roman"/>
                <w:bCs/>
                <w:iCs/>
                <w:sz w:val="24"/>
                <w:szCs w:val="24"/>
              </w:rPr>
              <w:t>mājsaimniecības</w:t>
            </w:r>
            <w:r w:rsidR="0040288F" w:rsidRPr="00444AE8">
              <w:rPr>
                <w:rFonts w:ascii="Times New Roman" w:hAnsi="Times New Roman" w:cs="Times New Roman"/>
                <w:bCs/>
                <w:iCs/>
                <w:sz w:val="24"/>
                <w:szCs w:val="24"/>
              </w:rPr>
              <w:t xml:space="preserve"> atbilstību Fonda atbalsta saņemšanai apliecina pašvaldības sociālā dienesta (turpmā</w:t>
            </w:r>
            <w:r w:rsidR="00B971B3" w:rsidRPr="00444AE8">
              <w:rPr>
                <w:rFonts w:ascii="Times New Roman" w:hAnsi="Times New Roman" w:cs="Times New Roman"/>
                <w:bCs/>
                <w:iCs/>
                <w:sz w:val="24"/>
                <w:szCs w:val="24"/>
              </w:rPr>
              <w:t>k – sociālais dienests) izziņa.</w:t>
            </w:r>
          </w:p>
          <w:p w14:paraId="7CE39FF2" w14:textId="32AD770D" w:rsidR="001913FC" w:rsidRPr="00444AE8" w:rsidRDefault="00816CA4" w:rsidP="002C26C3">
            <w:pPr>
              <w:pStyle w:val="ListParagraph"/>
              <w:numPr>
                <w:ilvl w:val="0"/>
                <w:numId w:val="21"/>
              </w:numPr>
              <w:spacing w:after="0" w:line="240" w:lineRule="auto"/>
              <w:ind w:left="324" w:right="113" w:hanging="284"/>
              <w:jc w:val="both"/>
              <w:rPr>
                <w:rFonts w:ascii="Times New Roman" w:hAnsi="Times New Roman" w:cs="Times New Roman"/>
                <w:bCs/>
                <w:iCs/>
                <w:sz w:val="24"/>
                <w:szCs w:val="24"/>
              </w:rPr>
            </w:pPr>
            <w:r w:rsidRPr="00444AE8">
              <w:rPr>
                <w:rFonts w:ascii="Times New Roman" w:hAnsi="Times New Roman" w:cs="Times New Roman"/>
                <w:bCs/>
                <w:iCs/>
                <w:sz w:val="24"/>
                <w:szCs w:val="24"/>
              </w:rPr>
              <w:t>Rīkojuma</w:t>
            </w:r>
            <w:r w:rsidR="0040288F" w:rsidRPr="00444AE8">
              <w:rPr>
                <w:rFonts w:ascii="Times New Roman" w:hAnsi="Times New Roman" w:cs="Times New Roman"/>
                <w:bCs/>
                <w:iCs/>
                <w:sz w:val="24"/>
                <w:szCs w:val="24"/>
              </w:rPr>
              <w:t xml:space="preserve"> projekts neparedz jaunus pienākumus informācijas vākšanā, biežumā, apstrādē, uzglabāšanā, nepalielina to apjomu.</w:t>
            </w:r>
            <w:r w:rsidR="006D2949" w:rsidRPr="00444AE8">
              <w:rPr>
                <w:rFonts w:ascii="Times New Roman" w:hAnsi="Times New Roman" w:cs="Times New Roman"/>
                <w:bCs/>
                <w:iCs/>
                <w:sz w:val="24"/>
                <w:szCs w:val="24"/>
              </w:rPr>
              <w:t xml:space="preserve"> N</w:t>
            </w:r>
            <w:r w:rsidR="0040288F" w:rsidRPr="00444AE8">
              <w:rPr>
                <w:rFonts w:ascii="Times New Roman" w:hAnsi="Times New Roman" w:cs="Times New Roman"/>
                <w:bCs/>
                <w:iCs/>
                <w:sz w:val="24"/>
                <w:szCs w:val="24"/>
              </w:rPr>
              <w:t>av paredzētas papildus rīcības vai informācijas pieprasīšana, vai tās apstrāde.</w:t>
            </w:r>
          </w:p>
        </w:tc>
      </w:tr>
      <w:tr w:rsidR="00444AE8" w:rsidRPr="00444AE8" w14:paraId="6C6D2E24" w14:textId="77777777" w:rsidTr="00C40B61">
        <w:trPr>
          <w:cantSplit/>
        </w:trPr>
        <w:tc>
          <w:tcPr>
            <w:tcW w:w="294" w:type="pct"/>
            <w:hideMark/>
          </w:tcPr>
          <w:p w14:paraId="055B3BFB" w14:textId="1531C3CA" w:rsidR="00BD5588" w:rsidRPr="00444AE8" w:rsidRDefault="00BD5588" w:rsidP="002C26C3">
            <w:pPr>
              <w:jc w:val="center"/>
            </w:pPr>
            <w:r w:rsidRPr="00444AE8">
              <w:t>3.</w:t>
            </w:r>
          </w:p>
        </w:tc>
        <w:tc>
          <w:tcPr>
            <w:tcW w:w="1397" w:type="pct"/>
            <w:hideMark/>
          </w:tcPr>
          <w:p w14:paraId="1818C0A3" w14:textId="77777777" w:rsidR="00BD5588" w:rsidRPr="00444AE8" w:rsidRDefault="00BD5588" w:rsidP="002C26C3">
            <w:r w:rsidRPr="00444AE8">
              <w:t>Administratīvo izmaksu monetārs novērtējums</w:t>
            </w:r>
          </w:p>
        </w:tc>
        <w:tc>
          <w:tcPr>
            <w:tcW w:w="3309" w:type="pct"/>
            <w:hideMark/>
          </w:tcPr>
          <w:p w14:paraId="08A2E664" w14:textId="77777777" w:rsidR="00BD5588" w:rsidRPr="00444AE8" w:rsidRDefault="00461626" w:rsidP="002C26C3">
            <w:r w:rsidRPr="00444AE8">
              <w:t>Projekts šo jomu neskar.</w:t>
            </w:r>
          </w:p>
        </w:tc>
      </w:tr>
      <w:tr w:rsidR="00444AE8" w:rsidRPr="00444AE8" w14:paraId="0F183BA7" w14:textId="77777777" w:rsidTr="00C40B61">
        <w:trPr>
          <w:cantSplit/>
        </w:trPr>
        <w:tc>
          <w:tcPr>
            <w:tcW w:w="294" w:type="pct"/>
            <w:hideMark/>
          </w:tcPr>
          <w:p w14:paraId="3390148A" w14:textId="77777777" w:rsidR="00BD5588" w:rsidRPr="00444AE8" w:rsidRDefault="00BD5588" w:rsidP="002C26C3">
            <w:pPr>
              <w:jc w:val="center"/>
            </w:pPr>
            <w:r w:rsidRPr="00444AE8">
              <w:t>4.</w:t>
            </w:r>
          </w:p>
        </w:tc>
        <w:tc>
          <w:tcPr>
            <w:tcW w:w="1397" w:type="pct"/>
            <w:hideMark/>
          </w:tcPr>
          <w:p w14:paraId="3970B68B" w14:textId="77777777" w:rsidR="00BD5588" w:rsidRPr="00444AE8" w:rsidRDefault="00BD5588" w:rsidP="002C26C3">
            <w:r w:rsidRPr="00444AE8">
              <w:t>Atbilstības izmaksu monetārs novērtējums</w:t>
            </w:r>
          </w:p>
        </w:tc>
        <w:tc>
          <w:tcPr>
            <w:tcW w:w="3309" w:type="pct"/>
            <w:hideMark/>
          </w:tcPr>
          <w:p w14:paraId="3417C61E" w14:textId="7CB220A1" w:rsidR="00BD5588" w:rsidRPr="00444AE8" w:rsidRDefault="001B562B" w:rsidP="002C26C3">
            <w:pPr>
              <w:rPr>
                <w:highlight w:val="yellow"/>
              </w:rPr>
            </w:pPr>
            <w:r w:rsidRPr="00444AE8">
              <w:t>Projekts šo jomu neskar.</w:t>
            </w:r>
          </w:p>
        </w:tc>
      </w:tr>
      <w:tr w:rsidR="00BD5588" w:rsidRPr="00444AE8" w14:paraId="50BF9763" w14:textId="77777777" w:rsidTr="00C40B61">
        <w:trPr>
          <w:cantSplit/>
        </w:trPr>
        <w:tc>
          <w:tcPr>
            <w:tcW w:w="294" w:type="pct"/>
            <w:hideMark/>
          </w:tcPr>
          <w:p w14:paraId="2FB52579" w14:textId="77777777" w:rsidR="00BD5588" w:rsidRPr="00444AE8" w:rsidRDefault="00BD5588" w:rsidP="002C26C3">
            <w:pPr>
              <w:jc w:val="center"/>
            </w:pPr>
            <w:r w:rsidRPr="00444AE8">
              <w:t>5.</w:t>
            </w:r>
          </w:p>
        </w:tc>
        <w:tc>
          <w:tcPr>
            <w:tcW w:w="1397" w:type="pct"/>
            <w:hideMark/>
          </w:tcPr>
          <w:p w14:paraId="536B6873" w14:textId="77777777" w:rsidR="00BD5588" w:rsidRPr="00444AE8" w:rsidRDefault="00BD5588" w:rsidP="002C26C3">
            <w:r w:rsidRPr="00444AE8">
              <w:t>Cita informācija</w:t>
            </w:r>
          </w:p>
        </w:tc>
        <w:tc>
          <w:tcPr>
            <w:tcW w:w="3309" w:type="pct"/>
            <w:hideMark/>
          </w:tcPr>
          <w:p w14:paraId="5A92E748" w14:textId="77777777" w:rsidR="00BD5588" w:rsidRPr="00444AE8" w:rsidRDefault="00461626" w:rsidP="002C26C3">
            <w:r w:rsidRPr="00444AE8">
              <w:t>Nav.</w:t>
            </w:r>
          </w:p>
        </w:tc>
      </w:tr>
    </w:tbl>
    <w:p w14:paraId="297DC77D" w14:textId="77777777" w:rsidR="00942AA8" w:rsidRPr="00444AE8" w:rsidRDefault="00942AA8" w:rsidP="002C26C3">
      <w:pPr>
        <w:pStyle w:val="Title"/>
        <w:spacing w:before="130"/>
        <w:jc w:val="both"/>
        <w:rPr>
          <w:sz w:val="24"/>
          <w:szCs w:val="24"/>
        </w:rPr>
      </w:pPr>
    </w:p>
    <w:tbl>
      <w:tblPr>
        <w:tblW w:w="5586"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3"/>
        <w:gridCol w:w="1157"/>
        <w:gridCol w:w="1080"/>
        <w:gridCol w:w="1080"/>
        <w:gridCol w:w="1080"/>
        <w:gridCol w:w="742"/>
        <w:gridCol w:w="1050"/>
        <w:gridCol w:w="1514"/>
      </w:tblGrid>
      <w:tr w:rsidR="00983A28" w:rsidRPr="00983A28" w14:paraId="4CF81BF0" w14:textId="77777777" w:rsidTr="004E087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A7E5E65" w14:textId="77777777" w:rsidR="00872939" w:rsidRPr="00983A28" w:rsidRDefault="00872939" w:rsidP="002C26C3">
            <w:pPr>
              <w:rPr>
                <w:b/>
                <w:bCs/>
                <w:iCs/>
              </w:rPr>
            </w:pPr>
            <w:r w:rsidRPr="00983A28">
              <w:rPr>
                <w:b/>
                <w:bCs/>
                <w:iCs/>
              </w:rPr>
              <w:t>III. Tiesību akta projekta ietekme uz valsts budžetu un pašvaldību budžetiem</w:t>
            </w:r>
          </w:p>
        </w:tc>
      </w:tr>
      <w:tr w:rsidR="00532369" w:rsidRPr="00983A28" w14:paraId="5A832F42" w14:textId="77777777" w:rsidTr="001941DD">
        <w:trPr>
          <w:tblCellSpacing w:w="15" w:type="dxa"/>
        </w:trPr>
        <w:tc>
          <w:tcPr>
            <w:tcW w:w="796" w:type="pct"/>
            <w:vMerge w:val="restart"/>
            <w:tcBorders>
              <w:top w:val="outset" w:sz="6" w:space="0" w:color="auto"/>
              <w:left w:val="outset" w:sz="6" w:space="0" w:color="auto"/>
              <w:bottom w:val="outset" w:sz="6" w:space="0" w:color="auto"/>
              <w:right w:val="outset" w:sz="6" w:space="0" w:color="auto"/>
            </w:tcBorders>
            <w:vAlign w:val="center"/>
            <w:hideMark/>
          </w:tcPr>
          <w:p w14:paraId="65549875" w14:textId="77777777" w:rsidR="00872939" w:rsidRPr="00983A28" w:rsidRDefault="00872939" w:rsidP="002C26C3">
            <w:pPr>
              <w:jc w:val="center"/>
              <w:rPr>
                <w:iCs/>
              </w:rPr>
            </w:pPr>
            <w:r w:rsidRPr="00983A28">
              <w:rPr>
                <w:iCs/>
              </w:rPr>
              <w:t>Rādītāji</w:t>
            </w:r>
          </w:p>
        </w:tc>
        <w:tc>
          <w:tcPr>
            <w:tcW w:w="122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69AB46" w14:textId="02B99494" w:rsidR="00872939" w:rsidRPr="00983A28" w:rsidRDefault="007F4BAB" w:rsidP="002C26C3">
            <w:pPr>
              <w:jc w:val="center"/>
              <w:rPr>
                <w:iCs/>
              </w:rPr>
            </w:pPr>
            <w:r w:rsidRPr="00983A28">
              <w:rPr>
                <w:iCs/>
              </w:rPr>
              <w:t>2021</w:t>
            </w:r>
          </w:p>
        </w:tc>
        <w:tc>
          <w:tcPr>
            <w:tcW w:w="2918" w:type="pct"/>
            <w:gridSpan w:val="5"/>
            <w:tcBorders>
              <w:top w:val="outset" w:sz="6" w:space="0" w:color="auto"/>
              <w:left w:val="outset" w:sz="6" w:space="0" w:color="auto"/>
              <w:bottom w:val="outset" w:sz="6" w:space="0" w:color="auto"/>
              <w:right w:val="outset" w:sz="6" w:space="0" w:color="auto"/>
            </w:tcBorders>
            <w:vAlign w:val="center"/>
            <w:hideMark/>
          </w:tcPr>
          <w:p w14:paraId="65DC9669" w14:textId="77777777" w:rsidR="00872939" w:rsidRPr="00983A28" w:rsidRDefault="00872939" w:rsidP="002C26C3">
            <w:pPr>
              <w:jc w:val="center"/>
              <w:rPr>
                <w:iCs/>
              </w:rPr>
            </w:pPr>
            <w:r w:rsidRPr="00983A28">
              <w:rPr>
                <w:iCs/>
              </w:rPr>
              <w:t>Turpmākie trīs gadi (</w:t>
            </w:r>
            <w:proofErr w:type="spellStart"/>
            <w:r w:rsidRPr="00983A28">
              <w:rPr>
                <w:i/>
                <w:iCs/>
              </w:rPr>
              <w:t>euro</w:t>
            </w:r>
            <w:proofErr w:type="spellEnd"/>
            <w:r w:rsidRPr="00983A28">
              <w:rPr>
                <w:iCs/>
              </w:rPr>
              <w:t>)</w:t>
            </w:r>
          </w:p>
        </w:tc>
      </w:tr>
      <w:tr w:rsidR="008B2C05" w:rsidRPr="00983A28" w14:paraId="39964448" w14:textId="77777777" w:rsidTr="001941DD">
        <w:trPr>
          <w:tblCellSpacing w:w="15" w:type="dxa"/>
        </w:trPr>
        <w:tc>
          <w:tcPr>
            <w:tcW w:w="796" w:type="pct"/>
            <w:vMerge/>
            <w:tcBorders>
              <w:top w:val="outset" w:sz="6" w:space="0" w:color="auto"/>
              <w:left w:val="outset" w:sz="6" w:space="0" w:color="auto"/>
              <w:bottom w:val="outset" w:sz="6" w:space="0" w:color="auto"/>
              <w:right w:val="outset" w:sz="6" w:space="0" w:color="auto"/>
            </w:tcBorders>
            <w:vAlign w:val="center"/>
            <w:hideMark/>
          </w:tcPr>
          <w:p w14:paraId="75B8CD24" w14:textId="77777777" w:rsidR="00872939" w:rsidRPr="00983A28" w:rsidRDefault="00872939" w:rsidP="002C26C3">
            <w:pPr>
              <w:rPr>
                <w:iCs/>
              </w:rPr>
            </w:pPr>
          </w:p>
        </w:tc>
        <w:tc>
          <w:tcPr>
            <w:tcW w:w="1221" w:type="pct"/>
            <w:gridSpan w:val="2"/>
            <w:vMerge/>
            <w:tcBorders>
              <w:top w:val="outset" w:sz="6" w:space="0" w:color="auto"/>
              <w:left w:val="outset" w:sz="6" w:space="0" w:color="auto"/>
              <w:bottom w:val="outset" w:sz="6" w:space="0" w:color="auto"/>
              <w:right w:val="outset" w:sz="6" w:space="0" w:color="auto"/>
            </w:tcBorders>
            <w:vAlign w:val="center"/>
            <w:hideMark/>
          </w:tcPr>
          <w:p w14:paraId="4DA2D9EF" w14:textId="77777777" w:rsidR="00872939" w:rsidRPr="00983A28" w:rsidRDefault="00872939" w:rsidP="002C26C3">
            <w:pPr>
              <w:rPr>
                <w:iCs/>
              </w:rPr>
            </w:pPr>
          </w:p>
        </w:tc>
        <w:tc>
          <w:tcPr>
            <w:tcW w:w="1156" w:type="pct"/>
            <w:gridSpan w:val="2"/>
            <w:tcBorders>
              <w:top w:val="outset" w:sz="6" w:space="0" w:color="auto"/>
              <w:left w:val="outset" w:sz="6" w:space="0" w:color="auto"/>
              <w:bottom w:val="outset" w:sz="6" w:space="0" w:color="auto"/>
              <w:right w:val="outset" w:sz="6" w:space="0" w:color="auto"/>
            </w:tcBorders>
            <w:vAlign w:val="center"/>
            <w:hideMark/>
          </w:tcPr>
          <w:p w14:paraId="7B8F8967" w14:textId="274F7B5E" w:rsidR="00872939" w:rsidRPr="00983A28" w:rsidRDefault="007F4BAB" w:rsidP="002C26C3">
            <w:pPr>
              <w:jc w:val="center"/>
              <w:rPr>
                <w:iCs/>
              </w:rPr>
            </w:pPr>
            <w:r w:rsidRPr="00983A28">
              <w:rPr>
                <w:iCs/>
              </w:rPr>
              <w:t>2022</w:t>
            </w:r>
          </w:p>
        </w:tc>
        <w:tc>
          <w:tcPr>
            <w:tcW w:w="956" w:type="pct"/>
            <w:gridSpan w:val="2"/>
            <w:tcBorders>
              <w:top w:val="outset" w:sz="6" w:space="0" w:color="auto"/>
              <w:left w:val="outset" w:sz="6" w:space="0" w:color="auto"/>
              <w:bottom w:val="outset" w:sz="6" w:space="0" w:color="auto"/>
              <w:right w:val="outset" w:sz="6" w:space="0" w:color="auto"/>
            </w:tcBorders>
            <w:vAlign w:val="center"/>
            <w:hideMark/>
          </w:tcPr>
          <w:p w14:paraId="4C971D9E" w14:textId="16B8F000" w:rsidR="00872939" w:rsidRPr="00983A28" w:rsidRDefault="007F4BAB" w:rsidP="002C26C3">
            <w:pPr>
              <w:jc w:val="center"/>
              <w:rPr>
                <w:iCs/>
              </w:rPr>
            </w:pPr>
            <w:r w:rsidRPr="00983A28">
              <w:rPr>
                <w:iCs/>
              </w:rPr>
              <w:t>2023</w:t>
            </w:r>
          </w:p>
        </w:tc>
        <w:tc>
          <w:tcPr>
            <w:tcW w:w="774" w:type="pct"/>
            <w:tcBorders>
              <w:top w:val="outset" w:sz="6" w:space="0" w:color="auto"/>
              <w:left w:val="outset" w:sz="6" w:space="0" w:color="auto"/>
              <w:bottom w:val="outset" w:sz="6" w:space="0" w:color="auto"/>
              <w:right w:val="outset" w:sz="6" w:space="0" w:color="auto"/>
            </w:tcBorders>
            <w:vAlign w:val="center"/>
            <w:hideMark/>
          </w:tcPr>
          <w:p w14:paraId="5C581123" w14:textId="4BEA2613" w:rsidR="00872939" w:rsidRPr="00983A28" w:rsidRDefault="007F4BAB" w:rsidP="002C26C3">
            <w:pPr>
              <w:jc w:val="center"/>
              <w:rPr>
                <w:iCs/>
              </w:rPr>
            </w:pPr>
            <w:r w:rsidRPr="00983A28">
              <w:rPr>
                <w:iCs/>
              </w:rPr>
              <w:t>2024</w:t>
            </w:r>
          </w:p>
        </w:tc>
      </w:tr>
      <w:tr w:rsidR="008B2C05" w:rsidRPr="00983A28" w14:paraId="6D186E22" w14:textId="77777777" w:rsidTr="001941DD">
        <w:trPr>
          <w:tblCellSpacing w:w="15" w:type="dxa"/>
        </w:trPr>
        <w:tc>
          <w:tcPr>
            <w:tcW w:w="796" w:type="pct"/>
            <w:vMerge/>
            <w:tcBorders>
              <w:top w:val="outset" w:sz="6" w:space="0" w:color="auto"/>
              <w:left w:val="outset" w:sz="6" w:space="0" w:color="auto"/>
              <w:bottom w:val="outset" w:sz="6" w:space="0" w:color="auto"/>
              <w:right w:val="outset" w:sz="6" w:space="0" w:color="auto"/>
            </w:tcBorders>
            <w:vAlign w:val="center"/>
            <w:hideMark/>
          </w:tcPr>
          <w:p w14:paraId="54C64C75" w14:textId="77777777" w:rsidR="00872939" w:rsidRPr="00983A28" w:rsidRDefault="00872939" w:rsidP="002C26C3">
            <w:pPr>
              <w:rPr>
                <w:iCs/>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566FF739" w14:textId="77777777" w:rsidR="00872939" w:rsidRPr="00983A28" w:rsidRDefault="00872939" w:rsidP="002C26C3">
            <w:pPr>
              <w:rPr>
                <w:iCs/>
                <w:sz w:val="20"/>
                <w:szCs w:val="20"/>
              </w:rPr>
            </w:pPr>
            <w:r w:rsidRPr="00983A28">
              <w:rPr>
                <w:iCs/>
                <w:sz w:val="20"/>
                <w:szCs w:val="20"/>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206C33EE" w14:textId="77777777" w:rsidR="00872939" w:rsidRPr="00983A28" w:rsidRDefault="00872939" w:rsidP="002C26C3">
            <w:pPr>
              <w:rPr>
                <w:iCs/>
                <w:sz w:val="20"/>
                <w:szCs w:val="20"/>
              </w:rPr>
            </w:pPr>
            <w:r w:rsidRPr="00983A28">
              <w:rPr>
                <w:iCs/>
                <w:sz w:val="20"/>
                <w:szCs w:val="20"/>
              </w:rPr>
              <w:t>izmaiņas kārtējā gadā, salīdzinot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7210EC5A" w14:textId="77777777" w:rsidR="00872939" w:rsidRPr="00983A28" w:rsidRDefault="00872939" w:rsidP="002C26C3">
            <w:pPr>
              <w:rPr>
                <w:iCs/>
                <w:sz w:val="20"/>
                <w:szCs w:val="20"/>
              </w:rPr>
            </w:pPr>
            <w:r w:rsidRPr="00983A28">
              <w:rPr>
                <w:iCs/>
                <w:sz w:val="20"/>
                <w:szCs w:val="20"/>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0E48300F" w14:textId="2BA16B1E" w:rsidR="00872939" w:rsidRPr="00983A28" w:rsidRDefault="00872939" w:rsidP="00515EE4">
            <w:pPr>
              <w:rPr>
                <w:iCs/>
                <w:sz w:val="20"/>
                <w:szCs w:val="20"/>
              </w:rPr>
            </w:pPr>
            <w:r w:rsidRPr="00983A28">
              <w:rPr>
                <w:iCs/>
                <w:sz w:val="20"/>
                <w:szCs w:val="20"/>
              </w:rPr>
              <w:t xml:space="preserve">izmaiņas, salīdzinot ar vidēja termiņa budžeta ietvaru </w:t>
            </w:r>
            <w:r w:rsidR="00515EE4" w:rsidRPr="00515EE4">
              <w:rPr>
                <w:iCs/>
                <w:sz w:val="18"/>
                <w:szCs w:val="18"/>
              </w:rPr>
              <w:t>2022. </w:t>
            </w:r>
            <w:r w:rsidRPr="00515EE4">
              <w:rPr>
                <w:iCs/>
                <w:sz w:val="18"/>
                <w:szCs w:val="18"/>
              </w:rPr>
              <w:t>gadam</w:t>
            </w:r>
          </w:p>
        </w:tc>
        <w:tc>
          <w:tcPr>
            <w:tcW w:w="386" w:type="pct"/>
            <w:tcBorders>
              <w:top w:val="outset" w:sz="6" w:space="0" w:color="auto"/>
              <w:left w:val="outset" w:sz="6" w:space="0" w:color="auto"/>
              <w:bottom w:val="outset" w:sz="6" w:space="0" w:color="auto"/>
              <w:right w:val="outset" w:sz="6" w:space="0" w:color="auto"/>
            </w:tcBorders>
            <w:vAlign w:val="center"/>
            <w:hideMark/>
          </w:tcPr>
          <w:p w14:paraId="02687091" w14:textId="77777777" w:rsidR="00872939" w:rsidRPr="00983A28" w:rsidRDefault="00872939" w:rsidP="002C26C3">
            <w:pPr>
              <w:rPr>
                <w:iCs/>
                <w:sz w:val="20"/>
                <w:szCs w:val="20"/>
              </w:rPr>
            </w:pPr>
            <w:r w:rsidRPr="00983A28">
              <w:rPr>
                <w:iCs/>
                <w:sz w:val="20"/>
                <w:szCs w:val="20"/>
              </w:rPr>
              <w:t>saskaņā ar vidēja termiņa budžeta ietvaru</w:t>
            </w:r>
          </w:p>
        </w:tc>
        <w:tc>
          <w:tcPr>
            <w:tcW w:w="553" w:type="pct"/>
            <w:tcBorders>
              <w:top w:val="outset" w:sz="6" w:space="0" w:color="auto"/>
              <w:left w:val="outset" w:sz="6" w:space="0" w:color="auto"/>
              <w:bottom w:val="outset" w:sz="6" w:space="0" w:color="auto"/>
              <w:right w:val="outset" w:sz="6" w:space="0" w:color="auto"/>
            </w:tcBorders>
            <w:vAlign w:val="center"/>
            <w:hideMark/>
          </w:tcPr>
          <w:p w14:paraId="7BB3183B" w14:textId="2FD738CD" w:rsidR="00872939" w:rsidRPr="00983A28" w:rsidRDefault="00872939" w:rsidP="00515EE4">
            <w:pPr>
              <w:rPr>
                <w:iCs/>
                <w:sz w:val="20"/>
                <w:szCs w:val="20"/>
              </w:rPr>
            </w:pPr>
            <w:r w:rsidRPr="00983A28">
              <w:rPr>
                <w:iCs/>
                <w:sz w:val="20"/>
                <w:szCs w:val="20"/>
              </w:rPr>
              <w:t xml:space="preserve">izmaiņas, salīdzinot ar vidēja termiņa budžeta ietvaru </w:t>
            </w:r>
            <w:r w:rsidR="00515EE4" w:rsidRPr="00515EE4">
              <w:rPr>
                <w:iCs/>
                <w:sz w:val="18"/>
                <w:szCs w:val="18"/>
              </w:rPr>
              <w:t>2023. </w:t>
            </w:r>
            <w:r w:rsidRPr="00515EE4">
              <w:rPr>
                <w:iCs/>
                <w:sz w:val="18"/>
                <w:szCs w:val="18"/>
              </w:rPr>
              <w:t>gadam</w:t>
            </w:r>
          </w:p>
        </w:tc>
        <w:tc>
          <w:tcPr>
            <w:tcW w:w="774" w:type="pct"/>
            <w:tcBorders>
              <w:top w:val="outset" w:sz="6" w:space="0" w:color="auto"/>
              <w:left w:val="outset" w:sz="6" w:space="0" w:color="auto"/>
              <w:bottom w:val="outset" w:sz="6" w:space="0" w:color="auto"/>
              <w:right w:val="outset" w:sz="6" w:space="0" w:color="auto"/>
            </w:tcBorders>
            <w:vAlign w:val="center"/>
            <w:hideMark/>
          </w:tcPr>
          <w:p w14:paraId="20B57A10" w14:textId="07C5AB64" w:rsidR="00872939" w:rsidRPr="00983A28" w:rsidRDefault="00872939" w:rsidP="00515EE4">
            <w:pPr>
              <w:rPr>
                <w:iCs/>
                <w:sz w:val="20"/>
                <w:szCs w:val="20"/>
              </w:rPr>
            </w:pPr>
            <w:r w:rsidRPr="00983A28">
              <w:rPr>
                <w:iCs/>
                <w:sz w:val="20"/>
                <w:szCs w:val="20"/>
              </w:rPr>
              <w:t xml:space="preserve">izmaiņas, salīdzinot ar vidēja termiņa budžeta ietvaru </w:t>
            </w:r>
            <w:r w:rsidR="00515EE4" w:rsidRPr="00515EE4">
              <w:rPr>
                <w:iCs/>
                <w:sz w:val="18"/>
                <w:szCs w:val="18"/>
              </w:rPr>
              <w:t>2023. </w:t>
            </w:r>
            <w:r w:rsidRPr="00515EE4">
              <w:rPr>
                <w:iCs/>
                <w:sz w:val="18"/>
                <w:szCs w:val="18"/>
              </w:rPr>
              <w:t>gadam</w:t>
            </w:r>
          </w:p>
        </w:tc>
      </w:tr>
      <w:tr w:rsidR="008B2C05" w:rsidRPr="00983A28" w14:paraId="5CFA2972"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vAlign w:val="center"/>
            <w:hideMark/>
          </w:tcPr>
          <w:p w14:paraId="5D4602A4" w14:textId="77777777" w:rsidR="00872939" w:rsidRPr="00983A28" w:rsidRDefault="00872939" w:rsidP="002C26C3">
            <w:pPr>
              <w:jc w:val="center"/>
              <w:rPr>
                <w:i/>
                <w:iCs/>
                <w:sz w:val="16"/>
                <w:szCs w:val="16"/>
              </w:rPr>
            </w:pPr>
            <w:r w:rsidRPr="00983A28">
              <w:rPr>
                <w:i/>
                <w:iCs/>
                <w:sz w:val="16"/>
                <w:szCs w:val="16"/>
              </w:rPr>
              <w:t>1</w:t>
            </w:r>
          </w:p>
        </w:tc>
        <w:tc>
          <w:tcPr>
            <w:tcW w:w="635" w:type="pct"/>
            <w:tcBorders>
              <w:top w:val="outset" w:sz="6" w:space="0" w:color="auto"/>
              <w:left w:val="outset" w:sz="6" w:space="0" w:color="auto"/>
              <w:bottom w:val="outset" w:sz="6" w:space="0" w:color="auto"/>
              <w:right w:val="outset" w:sz="6" w:space="0" w:color="auto"/>
            </w:tcBorders>
            <w:vAlign w:val="center"/>
            <w:hideMark/>
          </w:tcPr>
          <w:p w14:paraId="61E023D2" w14:textId="77777777" w:rsidR="00872939" w:rsidRPr="00983A28" w:rsidRDefault="00872939" w:rsidP="002C26C3">
            <w:pPr>
              <w:jc w:val="center"/>
              <w:rPr>
                <w:i/>
                <w:iCs/>
                <w:sz w:val="16"/>
                <w:szCs w:val="16"/>
              </w:rPr>
            </w:pPr>
            <w:r w:rsidRPr="00983A28">
              <w:rPr>
                <w:i/>
                <w:iCs/>
                <w:sz w:val="16"/>
                <w:szCs w:val="16"/>
              </w:rPr>
              <w:t>2</w:t>
            </w:r>
          </w:p>
        </w:tc>
        <w:tc>
          <w:tcPr>
            <w:tcW w:w="570" w:type="pct"/>
            <w:tcBorders>
              <w:top w:val="outset" w:sz="6" w:space="0" w:color="auto"/>
              <w:left w:val="outset" w:sz="6" w:space="0" w:color="auto"/>
              <w:bottom w:val="outset" w:sz="6" w:space="0" w:color="auto"/>
              <w:right w:val="outset" w:sz="6" w:space="0" w:color="auto"/>
            </w:tcBorders>
            <w:vAlign w:val="center"/>
            <w:hideMark/>
          </w:tcPr>
          <w:p w14:paraId="6ECB0BBF" w14:textId="77777777" w:rsidR="00872939" w:rsidRPr="00983A28" w:rsidRDefault="00872939" w:rsidP="002C26C3">
            <w:pPr>
              <w:jc w:val="center"/>
              <w:rPr>
                <w:i/>
                <w:iCs/>
                <w:sz w:val="16"/>
                <w:szCs w:val="16"/>
              </w:rPr>
            </w:pPr>
            <w:r w:rsidRPr="00983A28">
              <w:rPr>
                <w:i/>
                <w:iCs/>
                <w:sz w:val="16"/>
                <w:szCs w:val="16"/>
              </w:rPr>
              <w:t>3</w:t>
            </w:r>
          </w:p>
        </w:tc>
        <w:tc>
          <w:tcPr>
            <w:tcW w:w="570" w:type="pct"/>
            <w:tcBorders>
              <w:top w:val="outset" w:sz="6" w:space="0" w:color="auto"/>
              <w:left w:val="outset" w:sz="6" w:space="0" w:color="auto"/>
              <w:bottom w:val="outset" w:sz="6" w:space="0" w:color="auto"/>
              <w:right w:val="outset" w:sz="6" w:space="0" w:color="auto"/>
            </w:tcBorders>
            <w:vAlign w:val="center"/>
            <w:hideMark/>
          </w:tcPr>
          <w:p w14:paraId="7E8EA421" w14:textId="77777777" w:rsidR="00872939" w:rsidRPr="00983A28" w:rsidRDefault="00872939" w:rsidP="002C26C3">
            <w:pPr>
              <w:jc w:val="center"/>
              <w:rPr>
                <w:i/>
                <w:iCs/>
                <w:sz w:val="16"/>
                <w:szCs w:val="16"/>
              </w:rPr>
            </w:pPr>
            <w:r w:rsidRPr="00983A28">
              <w:rPr>
                <w:i/>
                <w:iCs/>
                <w:sz w:val="16"/>
                <w:szCs w:val="16"/>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413B8F08" w14:textId="77777777" w:rsidR="00872939" w:rsidRPr="00983A28" w:rsidRDefault="00872939" w:rsidP="002C26C3">
            <w:pPr>
              <w:jc w:val="center"/>
              <w:rPr>
                <w:i/>
                <w:iCs/>
                <w:sz w:val="16"/>
                <w:szCs w:val="16"/>
              </w:rPr>
            </w:pPr>
            <w:r w:rsidRPr="00983A28">
              <w:rPr>
                <w:i/>
                <w:iCs/>
                <w:sz w:val="16"/>
                <w:szCs w:val="16"/>
              </w:rPr>
              <w:t>5</w:t>
            </w:r>
          </w:p>
        </w:tc>
        <w:tc>
          <w:tcPr>
            <w:tcW w:w="386" w:type="pct"/>
            <w:tcBorders>
              <w:top w:val="outset" w:sz="6" w:space="0" w:color="auto"/>
              <w:left w:val="outset" w:sz="6" w:space="0" w:color="auto"/>
              <w:bottom w:val="outset" w:sz="6" w:space="0" w:color="auto"/>
              <w:right w:val="outset" w:sz="6" w:space="0" w:color="auto"/>
            </w:tcBorders>
            <w:vAlign w:val="center"/>
            <w:hideMark/>
          </w:tcPr>
          <w:p w14:paraId="24EB084A" w14:textId="77777777" w:rsidR="00872939" w:rsidRPr="00983A28" w:rsidRDefault="00872939" w:rsidP="002C26C3">
            <w:pPr>
              <w:jc w:val="center"/>
              <w:rPr>
                <w:i/>
                <w:iCs/>
                <w:sz w:val="16"/>
                <w:szCs w:val="16"/>
              </w:rPr>
            </w:pPr>
            <w:r w:rsidRPr="00983A28">
              <w:rPr>
                <w:i/>
                <w:iCs/>
                <w:sz w:val="16"/>
                <w:szCs w:val="16"/>
              </w:rPr>
              <w:t>6</w:t>
            </w:r>
          </w:p>
        </w:tc>
        <w:tc>
          <w:tcPr>
            <w:tcW w:w="553" w:type="pct"/>
            <w:tcBorders>
              <w:top w:val="outset" w:sz="6" w:space="0" w:color="auto"/>
              <w:left w:val="outset" w:sz="6" w:space="0" w:color="auto"/>
              <w:bottom w:val="outset" w:sz="6" w:space="0" w:color="auto"/>
              <w:right w:val="outset" w:sz="6" w:space="0" w:color="auto"/>
            </w:tcBorders>
            <w:vAlign w:val="center"/>
            <w:hideMark/>
          </w:tcPr>
          <w:p w14:paraId="67A9C550" w14:textId="77777777" w:rsidR="00872939" w:rsidRPr="00983A28" w:rsidRDefault="00872939" w:rsidP="002C26C3">
            <w:pPr>
              <w:jc w:val="center"/>
              <w:rPr>
                <w:i/>
                <w:iCs/>
                <w:sz w:val="16"/>
                <w:szCs w:val="16"/>
              </w:rPr>
            </w:pPr>
            <w:r w:rsidRPr="00983A28">
              <w:rPr>
                <w:i/>
                <w:iCs/>
                <w:sz w:val="16"/>
                <w:szCs w:val="16"/>
              </w:rPr>
              <w:t>7</w:t>
            </w:r>
          </w:p>
        </w:tc>
        <w:tc>
          <w:tcPr>
            <w:tcW w:w="774" w:type="pct"/>
            <w:tcBorders>
              <w:top w:val="outset" w:sz="6" w:space="0" w:color="auto"/>
              <w:left w:val="outset" w:sz="6" w:space="0" w:color="auto"/>
              <w:bottom w:val="outset" w:sz="6" w:space="0" w:color="auto"/>
              <w:right w:val="outset" w:sz="6" w:space="0" w:color="auto"/>
            </w:tcBorders>
            <w:vAlign w:val="center"/>
            <w:hideMark/>
          </w:tcPr>
          <w:p w14:paraId="7703845F" w14:textId="77777777" w:rsidR="00872939" w:rsidRPr="00983A28" w:rsidRDefault="00872939" w:rsidP="002C26C3">
            <w:pPr>
              <w:jc w:val="center"/>
              <w:rPr>
                <w:i/>
                <w:iCs/>
                <w:sz w:val="16"/>
                <w:szCs w:val="16"/>
              </w:rPr>
            </w:pPr>
            <w:r w:rsidRPr="00983A28">
              <w:rPr>
                <w:i/>
                <w:iCs/>
                <w:sz w:val="16"/>
                <w:szCs w:val="16"/>
              </w:rPr>
              <w:t>8</w:t>
            </w:r>
          </w:p>
        </w:tc>
      </w:tr>
      <w:tr w:rsidR="008B2C05" w:rsidRPr="00983A28" w14:paraId="1BC31784"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0414DADA" w14:textId="77777777" w:rsidR="00872939" w:rsidRPr="00B60149" w:rsidRDefault="00872939" w:rsidP="002C26C3">
            <w:pPr>
              <w:rPr>
                <w:b/>
                <w:iCs/>
                <w:sz w:val="20"/>
                <w:szCs w:val="20"/>
              </w:rPr>
            </w:pPr>
            <w:r w:rsidRPr="00B60149">
              <w:rPr>
                <w:b/>
                <w:iCs/>
                <w:sz w:val="20"/>
                <w:szCs w:val="20"/>
              </w:rPr>
              <w:lastRenderedPageBreak/>
              <w:t>1. Budžeta ieņēmumi</w:t>
            </w:r>
          </w:p>
        </w:tc>
        <w:tc>
          <w:tcPr>
            <w:tcW w:w="635" w:type="pct"/>
            <w:tcBorders>
              <w:top w:val="outset" w:sz="6" w:space="0" w:color="auto"/>
              <w:left w:val="outset" w:sz="6" w:space="0" w:color="auto"/>
              <w:bottom w:val="outset" w:sz="6" w:space="0" w:color="auto"/>
              <w:right w:val="outset" w:sz="6" w:space="0" w:color="auto"/>
            </w:tcBorders>
            <w:vAlign w:val="center"/>
            <w:hideMark/>
          </w:tcPr>
          <w:p w14:paraId="2F1C87E8" w14:textId="6339AD69" w:rsidR="00872939" w:rsidRPr="00983A28" w:rsidRDefault="00E85AB6" w:rsidP="002C26C3">
            <w:pPr>
              <w:jc w:val="center"/>
              <w:rPr>
                <w:iCs/>
              </w:rPr>
            </w:pPr>
            <w:r>
              <w:rPr>
                <w:iCs/>
              </w:rPr>
              <w:t>6 34</w:t>
            </w:r>
            <w:r w:rsidR="001941DD">
              <w:rPr>
                <w:iCs/>
              </w:rPr>
              <w:t>5 266</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969749" w14:textId="6C1955CF" w:rsidR="00872939" w:rsidRPr="00983A28" w:rsidRDefault="001941DD" w:rsidP="002C26C3">
            <w:pPr>
              <w:jc w:val="center"/>
              <w:rPr>
                <w:iCs/>
              </w:rPr>
            </w:pPr>
            <w:r>
              <w:rPr>
                <w:iCs/>
              </w:rPr>
              <w:t>4 980 929</w:t>
            </w:r>
          </w:p>
        </w:tc>
        <w:tc>
          <w:tcPr>
            <w:tcW w:w="570" w:type="pct"/>
            <w:tcBorders>
              <w:top w:val="outset" w:sz="6" w:space="0" w:color="auto"/>
              <w:left w:val="outset" w:sz="6" w:space="0" w:color="auto"/>
              <w:bottom w:val="outset" w:sz="6" w:space="0" w:color="auto"/>
              <w:right w:val="outset" w:sz="6" w:space="0" w:color="auto"/>
            </w:tcBorders>
            <w:vAlign w:val="center"/>
            <w:hideMark/>
          </w:tcPr>
          <w:p w14:paraId="5036BAB6" w14:textId="74D7BF49" w:rsidR="00872939" w:rsidRPr="00983A28" w:rsidRDefault="008B2C05" w:rsidP="001941DD">
            <w:pPr>
              <w:jc w:val="center"/>
              <w:rPr>
                <w:iCs/>
              </w:rPr>
            </w:pPr>
            <w:r>
              <w:rPr>
                <w:iCs/>
              </w:rPr>
              <w:t>3 </w:t>
            </w:r>
            <w:r w:rsidR="001941DD">
              <w:rPr>
                <w:iCs/>
              </w:rPr>
              <w:t>242</w:t>
            </w:r>
            <w:r>
              <w:rPr>
                <w:iCs/>
              </w:rPr>
              <w:t> </w:t>
            </w:r>
            <w:r w:rsidR="001941DD">
              <w:rPr>
                <w:iCs/>
              </w:rPr>
              <w:t>166</w:t>
            </w:r>
          </w:p>
        </w:tc>
        <w:tc>
          <w:tcPr>
            <w:tcW w:w="570" w:type="pct"/>
            <w:tcBorders>
              <w:top w:val="outset" w:sz="6" w:space="0" w:color="auto"/>
              <w:left w:val="outset" w:sz="6" w:space="0" w:color="auto"/>
              <w:bottom w:val="outset" w:sz="6" w:space="0" w:color="auto"/>
              <w:right w:val="outset" w:sz="6" w:space="0" w:color="auto"/>
            </w:tcBorders>
            <w:vAlign w:val="center"/>
            <w:hideMark/>
          </w:tcPr>
          <w:p w14:paraId="5EA5C73C" w14:textId="66F96DB9" w:rsidR="00872939" w:rsidRPr="00983A28" w:rsidRDefault="008B2C05" w:rsidP="001941DD">
            <w:pPr>
              <w:jc w:val="center"/>
              <w:rPr>
                <w:iCs/>
              </w:rPr>
            </w:pPr>
            <w:r>
              <w:rPr>
                <w:iCs/>
              </w:rPr>
              <w:t>3 </w:t>
            </w:r>
            <w:r w:rsidR="001941DD">
              <w:rPr>
                <w:iCs/>
              </w:rPr>
              <w:t>889</w:t>
            </w:r>
            <w:r>
              <w:rPr>
                <w:iCs/>
              </w:rPr>
              <w:t> </w:t>
            </w:r>
            <w:r w:rsidR="001941DD">
              <w:rPr>
                <w:iCs/>
              </w:rPr>
              <w:t>817</w:t>
            </w:r>
          </w:p>
        </w:tc>
        <w:tc>
          <w:tcPr>
            <w:tcW w:w="386" w:type="pct"/>
            <w:tcBorders>
              <w:top w:val="outset" w:sz="6" w:space="0" w:color="auto"/>
              <w:left w:val="outset" w:sz="6" w:space="0" w:color="auto"/>
              <w:bottom w:val="outset" w:sz="6" w:space="0" w:color="auto"/>
              <w:right w:val="outset" w:sz="6" w:space="0" w:color="auto"/>
            </w:tcBorders>
            <w:vAlign w:val="center"/>
            <w:hideMark/>
          </w:tcPr>
          <w:p w14:paraId="18D930F3" w14:textId="1D3B1082" w:rsidR="00872939" w:rsidRPr="00983A28" w:rsidRDefault="008B2C05" w:rsidP="002C26C3">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F37A02F" w14:textId="7DF5073E" w:rsidR="00872939" w:rsidRPr="00983A28" w:rsidRDefault="008B2C05" w:rsidP="002C26C3">
            <w:pPr>
              <w:jc w:val="center"/>
              <w:rPr>
                <w:iCs/>
              </w:rPr>
            </w:pPr>
            <w:r>
              <w:rPr>
                <w:iCs/>
              </w:rPr>
              <w:t>144 176</w:t>
            </w:r>
          </w:p>
        </w:tc>
        <w:tc>
          <w:tcPr>
            <w:tcW w:w="774" w:type="pct"/>
            <w:tcBorders>
              <w:top w:val="outset" w:sz="6" w:space="0" w:color="auto"/>
              <w:left w:val="outset" w:sz="6" w:space="0" w:color="auto"/>
              <w:bottom w:val="outset" w:sz="6" w:space="0" w:color="auto"/>
              <w:right w:val="outset" w:sz="6" w:space="0" w:color="auto"/>
            </w:tcBorders>
            <w:vAlign w:val="center"/>
            <w:hideMark/>
          </w:tcPr>
          <w:p w14:paraId="740916F8" w14:textId="3C23C252" w:rsidR="00872939" w:rsidRPr="00983A28" w:rsidRDefault="008B2C05" w:rsidP="002C26C3">
            <w:pPr>
              <w:jc w:val="center"/>
              <w:rPr>
                <w:iCs/>
              </w:rPr>
            </w:pPr>
            <w:r>
              <w:rPr>
                <w:iCs/>
              </w:rPr>
              <w:t>0</w:t>
            </w:r>
          </w:p>
        </w:tc>
      </w:tr>
      <w:tr w:rsidR="001941DD" w:rsidRPr="00983A28" w14:paraId="34A41D18"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2669DA54" w14:textId="77777777" w:rsidR="001941DD" w:rsidRPr="00983A28" w:rsidRDefault="001941DD" w:rsidP="001941DD">
            <w:pPr>
              <w:rPr>
                <w:iCs/>
                <w:sz w:val="20"/>
                <w:szCs w:val="20"/>
              </w:rPr>
            </w:pPr>
            <w:r w:rsidRPr="00983A28">
              <w:rPr>
                <w:iCs/>
                <w:sz w:val="20"/>
                <w:szCs w:val="20"/>
              </w:rPr>
              <w:t>1.1. valsts pamatbudžets, tai skaitā ieņēmumi no maksas pakalpojumiem un citi pašu ieņēmumi</w:t>
            </w:r>
          </w:p>
        </w:tc>
        <w:tc>
          <w:tcPr>
            <w:tcW w:w="635" w:type="pct"/>
            <w:tcBorders>
              <w:top w:val="outset" w:sz="6" w:space="0" w:color="auto"/>
              <w:left w:val="outset" w:sz="6" w:space="0" w:color="auto"/>
              <w:bottom w:val="outset" w:sz="6" w:space="0" w:color="auto"/>
              <w:right w:val="outset" w:sz="6" w:space="0" w:color="auto"/>
            </w:tcBorders>
            <w:vAlign w:val="center"/>
          </w:tcPr>
          <w:p w14:paraId="45E984E8" w14:textId="33D01468" w:rsidR="001941DD" w:rsidRPr="00983A28" w:rsidRDefault="00E85AB6" w:rsidP="001941DD">
            <w:pPr>
              <w:jc w:val="center"/>
              <w:rPr>
                <w:iCs/>
              </w:rPr>
            </w:pPr>
            <w:r>
              <w:rPr>
                <w:iCs/>
              </w:rPr>
              <w:t>6 34</w:t>
            </w:r>
            <w:r w:rsidR="001941DD">
              <w:rPr>
                <w:iCs/>
              </w:rPr>
              <w:t>5 266</w:t>
            </w:r>
          </w:p>
        </w:tc>
        <w:tc>
          <w:tcPr>
            <w:tcW w:w="570" w:type="pct"/>
            <w:tcBorders>
              <w:top w:val="outset" w:sz="6" w:space="0" w:color="auto"/>
              <w:left w:val="outset" w:sz="6" w:space="0" w:color="auto"/>
              <w:bottom w:val="outset" w:sz="6" w:space="0" w:color="auto"/>
              <w:right w:val="outset" w:sz="6" w:space="0" w:color="auto"/>
            </w:tcBorders>
            <w:vAlign w:val="center"/>
          </w:tcPr>
          <w:p w14:paraId="2A9CA18F" w14:textId="46408F6A" w:rsidR="001941DD" w:rsidRPr="00983A28" w:rsidRDefault="001941DD" w:rsidP="001941DD">
            <w:pPr>
              <w:jc w:val="center"/>
              <w:rPr>
                <w:iCs/>
              </w:rPr>
            </w:pPr>
            <w:r>
              <w:rPr>
                <w:iCs/>
              </w:rPr>
              <w:t>4 980 929</w:t>
            </w:r>
          </w:p>
        </w:tc>
        <w:tc>
          <w:tcPr>
            <w:tcW w:w="570" w:type="pct"/>
            <w:tcBorders>
              <w:top w:val="outset" w:sz="6" w:space="0" w:color="auto"/>
              <w:left w:val="outset" w:sz="6" w:space="0" w:color="auto"/>
              <w:bottom w:val="outset" w:sz="6" w:space="0" w:color="auto"/>
              <w:right w:val="outset" w:sz="6" w:space="0" w:color="auto"/>
            </w:tcBorders>
            <w:vAlign w:val="center"/>
          </w:tcPr>
          <w:p w14:paraId="55EEA64B" w14:textId="35CABF28" w:rsidR="001941DD" w:rsidRPr="00983A28" w:rsidRDefault="001941DD" w:rsidP="001941DD">
            <w:pPr>
              <w:jc w:val="center"/>
              <w:rPr>
                <w:iCs/>
              </w:rPr>
            </w:pPr>
            <w:r>
              <w:rPr>
                <w:iCs/>
              </w:rPr>
              <w:t>3 242 166</w:t>
            </w:r>
          </w:p>
        </w:tc>
        <w:tc>
          <w:tcPr>
            <w:tcW w:w="570" w:type="pct"/>
            <w:tcBorders>
              <w:top w:val="outset" w:sz="6" w:space="0" w:color="auto"/>
              <w:left w:val="outset" w:sz="6" w:space="0" w:color="auto"/>
              <w:bottom w:val="outset" w:sz="6" w:space="0" w:color="auto"/>
              <w:right w:val="outset" w:sz="6" w:space="0" w:color="auto"/>
            </w:tcBorders>
            <w:vAlign w:val="center"/>
          </w:tcPr>
          <w:p w14:paraId="3F6E5FB1" w14:textId="3E143FB7" w:rsidR="001941DD" w:rsidRPr="00983A28" w:rsidRDefault="001941DD" w:rsidP="001941DD">
            <w:pPr>
              <w:jc w:val="center"/>
              <w:rPr>
                <w:iCs/>
              </w:rPr>
            </w:pPr>
            <w:r>
              <w:rPr>
                <w:iCs/>
              </w:rPr>
              <w:t>3 889 817</w:t>
            </w:r>
          </w:p>
        </w:tc>
        <w:tc>
          <w:tcPr>
            <w:tcW w:w="386" w:type="pct"/>
            <w:tcBorders>
              <w:top w:val="outset" w:sz="6" w:space="0" w:color="auto"/>
              <w:left w:val="outset" w:sz="6" w:space="0" w:color="auto"/>
              <w:bottom w:val="outset" w:sz="6" w:space="0" w:color="auto"/>
              <w:right w:val="outset" w:sz="6" w:space="0" w:color="auto"/>
            </w:tcBorders>
            <w:vAlign w:val="center"/>
          </w:tcPr>
          <w:p w14:paraId="0859D7FB" w14:textId="29DD35AF"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79BF6104" w14:textId="26614B20" w:rsidR="001941DD" w:rsidRPr="00983A28" w:rsidRDefault="001941DD" w:rsidP="001941DD">
            <w:pPr>
              <w:jc w:val="center"/>
              <w:rPr>
                <w:iCs/>
              </w:rPr>
            </w:pPr>
            <w:r>
              <w:rPr>
                <w:iCs/>
              </w:rPr>
              <w:t>144 176</w:t>
            </w:r>
          </w:p>
        </w:tc>
        <w:tc>
          <w:tcPr>
            <w:tcW w:w="774" w:type="pct"/>
            <w:tcBorders>
              <w:top w:val="outset" w:sz="6" w:space="0" w:color="auto"/>
              <w:left w:val="outset" w:sz="6" w:space="0" w:color="auto"/>
              <w:bottom w:val="outset" w:sz="6" w:space="0" w:color="auto"/>
              <w:right w:val="outset" w:sz="6" w:space="0" w:color="auto"/>
            </w:tcBorders>
            <w:vAlign w:val="center"/>
          </w:tcPr>
          <w:p w14:paraId="3DF9D66E" w14:textId="7D8BC836" w:rsidR="001941DD" w:rsidRPr="00983A28" w:rsidRDefault="001941DD" w:rsidP="001941DD">
            <w:pPr>
              <w:jc w:val="center"/>
              <w:rPr>
                <w:iCs/>
              </w:rPr>
            </w:pPr>
            <w:r>
              <w:rPr>
                <w:iCs/>
              </w:rPr>
              <w:t>0</w:t>
            </w:r>
          </w:p>
        </w:tc>
      </w:tr>
      <w:tr w:rsidR="001941DD" w:rsidRPr="00983A28" w14:paraId="0B9C6322"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16FCE11C" w14:textId="77777777" w:rsidR="001941DD" w:rsidRPr="00983A28" w:rsidRDefault="001941DD" w:rsidP="001941DD">
            <w:pPr>
              <w:rPr>
                <w:iCs/>
                <w:sz w:val="20"/>
                <w:szCs w:val="20"/>
              </w:rPr>
            </w:pPr>
            <w:r w:rsidRPr="00983A28">
              <w:rPr>
                <w:iCs/>
                <w:sz w:val="20"/>
                <w:szCs w:val="20"/>
              </w:rPr>
              <w:t>1.2. valsts speciālais budžets</w:t>
            </w:r>
          </w:p>
        </w:tc>
        <w:tc>
          <w:tcPr>
            <w:tcW w:w="635" w:type="pct"/>
            <w:tcBorders>
              <w:top w:val="outset" w:sz="6" w:space="0" w:color="auto"/>
              <w:left w:val="outset" w:sz="6" w:space="0" w:color="auto"/>
              <w:bottom w:val="outset" w:sz="6" w:space="0" w:color="auto"/>
              <w:right w:val="outset" w:sz="6" w:space="0" w:color="auto"/>
            </w:tcBorders>
            <w:vAlign w:val="center"/>
          </w:tcPr>
          <w:p w14:paraId="7E54BC45" w14:textId="5DC2C2F0"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13C79FC0" w14:textId="13BD5884"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6C4845D0" w14:textId="61F985EF"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2BAB3E31" w14:textId="3C9414B1" w:rsidR="001941DD" w:rsidRPr="00983A28" w:rsidRDefault="001941DD" w:rsidP="001941DD">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tcPr>
          <w:p w14:paraId="637D9A91" w14:textId="17EA8F3D"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649F926D" w14:textId="1C85CED6"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tcPr>
          <w:p w14:paraId="58C15310" w14:textId="545C99A5" w:rsidR="001941DD" w:rsidRPr="00983A28" w:rsidRDefault="001941DD" w:rsidP="001941DD">
            <w:pPr>
              <w:jc w:val="center"/>
              <w:rPr>
                <w:iCs/>
              </w:rPr>
            </w:pPr>
            <w:r>
              <w:rPr>
                <w:iCs/>
              </w:rPr>
              <w:t>0</w:t>
            </w:r>
          </w:p>
        </w:tc>
      </w:tr>
      <w:tr w:rsidR="001941DD" w:rsidRPr="00983A28" w14:paraId="368211E0"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0993CC6C" w14:textId="77777777" w:rsidR="001941DD" w:rsidRPr="00983A28" w:rsidRDefault="001941DD" w:rsidP="001941DD">
            <w:pPr>
              <w:rPr>
                <w:iCs/>
                <w:sz w:val="20"/>
                <w:szCs w:val="20"/>
              </w:rPr>
            </w:pPr>
            <w:r w:rsidRPr="00983A28">
              <w:rPr>
                <w:iCs/>
                <w:sz w:val="20"/>
                <w:szCs w:val="20"/>
              </w:rPr>
              <w:t>1.3. pašvaldību budžets</w:t>
            </w:r>
          </w:p>
        </w:tc>
        <w:tc>
          <w:tcPr>
            <w:tcW w:w="635" w:type="pct"/>
            <w:tcBorders>
              <w:top w:val="outset" w:sz="6" w:space="0" w:color="auto"/>
              <w:left w:val="outset" w:sz="6" w:space="0" w:color="auto"/>
              <w:bottom w:val="outset" w:sz="6" w:space="0" w:color="auto"/>
              <w:right w:val="outset" w:sz="6" w:space="0" w:color="auto"/>
            </w:tcBorders>
            <w:vAlign w:val="center"/>
          </w:tcPr>
          <w:p w14:paraId="06160023" w14:textId="64771FD3"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150FFB56" w14:textId="490CD052"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2129C3B2" w14:textId="0BA0BE7F"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5A455902" w14:textId="30B8C669" w:rsidR="001941DD" w:rsidRPr="00983A28" w:rsidRDefault="001941DD" w:rsidP="001941DD">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tcPr>
          <w:p w14:paraId="3174774C" w14:textId="3BA06D6E"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5C1162B8" w14:textId="1492F326"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tcPr>
          <w:p w14:paraId="22050AF5" w14:textId="6486B8A4" w:rsidR="001941DD" w:rsidRPr="00983A28" w:rsidRDefault="001941DD" w:rsidP="001941DD">
            <w:pPr>
              <w:jc w:val="center"/>
              <w:rPr>
                <w:iCs/>
              </w:rPr>
            </w:pPr>
            <w:r>
              <w:rPr>
                <w:iCs/>
              </w:rPr>
              <w:t>0</w:t>
            </w:r>
          </w:p>
        </w:tc>
      </w:tr>
      <w:tr w:rsidR="001941DD" w:rsidRPr="00983A28" w14:paraId="6802CE55"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36F4930B" w14:textId="77777777" w:rsidR="001941DD" w:rsidRPr="00B60149" w:rsidRDefault="001941DD" w:rsidP="001941DD">
            <w:pPr>
              <w:rPr>
                <w:b/>
                <w:iCs/>
                <w:sz w:val="20"/>
                <w:szCs w:val="20"/>
              </w:rPr>
            </w:pPr>
            <w:r w:rsidRPr="00B60149">
              <w:rPr>
                <w:b/>
                <w:iCs/>
                <w:sz w:val="20"/>
                <w:szCs w:val="20"/>
              </w:rPr>
              <w:t>2. Budžeta izdevumi</w:t>
            </w:r>
          </w:p>
        </w:tc>
        <w:tc>
          <w:tcPr>
            <w:tcW w:w="635" w:type="pct"/>
            <w:tcBorders>
              <w:top w:val="outset" w:sz="6" w:space="0" w:color="auto"/>
              <w:left w:val="outset" w:sz="6" w:space="0" w:color="auto"/>
              <w:bottom w:val="outset" w:sz="6" w:space="0" w:color="auto"/>
              <w:right w:val="outset" w:sz="6" w:space="0" w:color="auto"/>
            </w:tcBorders>
            <w:vAlign w:val="center"/>
          </w:tcPr>
          <w:p w14:paraId="5FB9F093" w14:textId="0E2294D2" w:rsidR="001941DD" w:rsidRPr="00983A28" w:rsidRDefault="001941DD" w:rsidP="001941DD">
            <w:pPr>
              <w:jc w:val="center"/>
              <w:rPr>
                <w:iCs/>
              </w:rPr>
            </w:pPr>
            <w:r>
              <w:rPr>
                <w:iCs/>
              </w:rPr>
              <w:t>7 465 019</w:t>
            </w:r>
          </w:p>
        </w:tc>
        <w:tc>
          <w:tcPr>
            <w:tcW w:w="570" w:type="pct"/>
            <w:tcBorders>
              <w:top w:val="outset" w:sz="6" w:space="0" w:color="auto"/>
              <w:left w:val="outset" w:sz="6" w:space="0" w:color="auto"/>
              <w:bottom w:val="outset" w:sz="6" w:space="0" w:color="auto"/>
              <w:right w:val="outset" w:sz="6" w:space="0" w:color="auto"/>
            </w:tcBorders>
            <w:vAlign w:val="center"/>
          </w:tcPr>
          <w:p w14:paraId="7B4F2099" w14:textId="0FFBD986" w:rsidR="001941DD" w:rsidRPr="00983A28" w:rsidRDefault="001941DD" w:rsidP="001941DD">
            <w:pPr>
              <w:jc w:val="center"/>
              <w:rPr>
                <w:iCs/>
              </w:rPr>
            </w:pPr>
            <w:r>
              <w:rPr>
                <w:iCs/>
              </w:rPr>
              <w:t>5 859 917</w:t>
            </w:r>
          </w:p>
        </w:tc>
        <w:tc>
          <w:tcPr>
            <w:tcW w:w="570" w:type="pct"/>
            <w:tcBorders>
              <w:top w:val="outset" w:sz="6" w:space="0" w:color="auto"/>
              <w:left w:val="outset" w:sz="6" w:space="0" w:color="auto"/>
              <w:bottom w:val="outset" w:sz="6" w:space="0" w:color="auto"/>
              <w:right w:val="outset" w:sz="6" w:space="0" w:color="auto"/>
            </w:tcBorders>
            <w:vAlign w:val="center"/>
          </w:tcPr>
          <w:p w14:paraId="25A28EAF" w14:textId="3B01CE00" w:rsidR="001941DD" w:rsidRPr="00983A28" w:rsidRDefault="001941DD" w:rsidP="001941DD">
            <w:pPr>
              <w:jc w:val="center"/>
              <w:rPr>
                <w:iCs/>
              </w:rPr>
            </w:pPr>
            <w:r>
              <w:rPr>
                <w:iCs/>
              </w:rPr>
              <w:t>3 814 313</w:t>
            </w:r>
          </w:p>
        </w:tc>
        <w:tc>
          <w:tcPr>
            <w:tcW w:w="570" w:type="pct"/>
            <w:tcBorders>
              <w:top w:val="outset" w:sz="6" w:space="0" w:color="auto"/>
              <w:left w:val="outset" w:sz="6" w:space="0" w:color="auto"/>
              <w:bottom w:val="outset" w:sz="6" w:space="0" w:color="auto"/>
              <w:right w:val="outset" w:sz="6" w:space="0" w:color="auto"/>
            </w:tcBorders>
            <w:vAlign w:val="center"/>
          </w:tcPr>
          <w:p w14:paraId="6848A836" w14:textId="5D2B927A" w:rsidR="001941DD" w:rsidRPr="00983A28" w:rsidRDefault="001941DD" w:rsidP="001941DD">
            <w:pPr>
              <w:jc w:val="center"/>
              <w:rPr>
                <w:iCs/>
              </w:rPr>
            </w:pPr>
            <w:r>
              <w:rPr>
                <w:iCs/>
              </w:rPr>
              <w:t>4 576 255</w:t>
            </w:r>
          </w:p>
        </w:tc>
        <w:tc>
          <w:tcPr>
            <w:tcW w:w="386" w:type="pct"/>
            <w:tcBorders>
              <w:top w:val="outset" w:sz="6" w:space="0" w:color="auto"/>
              <w:left w:val="outset" w:sz="6" w:space="0" w:color="auto"/>
              <w:bottom w:val="outset" w:sz="6" w:space="0" w:color="auto"/>
              <w:right w:val="outset" w:sz="6" w:space="0" w:color="auto"/>
            </w:tcBorders>
            <w:vAlign w:val="center"/>
          </w:tcPr>
          <w:p w14:paraId="466A1B40" w14:textId="6B9F44E2"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6FA434D9" w14:textId="5CF38350" w:rsidR="001941DD" w:rsidRPr="00983A28" w:rsidRDefault="001941DD" w:rsidP="001941DD">
            <w:pPr>
              <w:jc w:val="center"/>
              <w:rPr>
                <w:iCs/>
              </w:rPr>
            </w:pPr>
            <w:r>
              <w:rPr>
                <w:iCs/>
              </w:rPr>
              <w:t>169 619</w:t>
            </w:r>
          </w:p>
        </w:tc>
        <w:tc>
          <w:tcPr>
            <w:tcW w:w="774" w:type="pct"/>
            <w:tcBorders>
              <w:top w:val="outset" w:sz="6" w:space="0" w:color="auto"/>
              <w:left w:val="outset" w:sz="6" w:space="0" w:color="auto"/>
              <w:bottom w:val="outset" w:sz="6" w:space="0" w:color="auto"/>
              <w:right w:val="outset" w:sz="6" w:space="0" w:color="auto"/>
            </w:tcBorders>
            <w:vAlign w:val="center"/>
          </w:tcPr>
          <w:p w14:paraId="098C576E" w14:textId="05017AF1" w:rsidR="001941DD" w:rsidRPr="00983A28" w:rsidRDefault="001941DD" w:rsidP="001941DD">
            <w:pPr>
              <w:jc w:val="center"/>
              <w:rPr>
                <w:iCs/>
              </w:rPr>
            </w:pPr>
            <w:r>
              <w:rPr>
                <w:iCs/>
              </w:rPr>
              <w:t>0</w:t>
            </w:r>
          </w:p>
        </w:tc>
      </w:tr>
      <w:tr w:rsidR="001941DD" w:rsidRPr="00983A28" w14:paraId="4D699FFA"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4EB275A2" w14:textId="77777777" w:rsidR="001941DD" w:rsidRPr="00983A28" w:rsidRDefault="001941DD" w:rsidP="001941DD">
            <w:pPr>
              <w:rPr>
                <w:iCs/>
                <w:sz w:val="20"/>
                <w:szCs w:val="20"/>
              </w:rPr>
            </w:pPr>
            <w:r w:rsidRPr="00983A28">
              <w:rPr>
                <w:iCs/>
                <w:sz w:val="20"/>
                <w:szCs w:val="20"/>
              </w:rPr>
              <w:t>2.1. valsts pamatbudžets</w:t>
            </w:r>
          </w:p>
        </w:tc>
        <w:tc>
          <w:tcPr>
            <w:tcW w:w="635" w:type="pct"/>
            <w:tcBorders>
              <w:top w:val="outset" w:sz="6" w:space="0" w:color="auto"/>
              <w:left w:val="outset" w:sz="6" w:space="0" w:color="auto"/>
              <w:bottom w:val="outset" w:sz="6" w:space="0" w:color="auto"/>
              <w:right w:val="outset" w:sz="6" w:space="0" w:color="auto"/>
            </w:tcBorders>
            <w:vAlign w:val="center"/>
          </w:tcPr>
          <w:p w14:paraId="2F57B121" w14:textId="566086D6" w:rsidR="001941DD" w:rsidRPr="00983A28" w:rsidRDefault="001941DD" w:rsidP="001941DD">
            <w:pPr>
              <w:jc w:val="center"/>
              <w:rPr>
                <w:iCs/>
              </w:rPr>
            </w:pPr>
            <w:r>
              <w:rPr>
                <w:iCs/>
              </w:rPr>
              <w:t>7 465 019</w:t>
            </w:r>
          </w:p>
        </w:tc>
        <w:tc>
          <w:tcPr>
            <w:tcW w:w="570" w:type="pct"/>
            <w:tcBorders>
              <w:top w:val="outset" w:sz="6" w:space="0" w:color="auto"/>
              <w:left w:val="outset" w:sz="6" w:space="0" w:color="auto"/>
              <w:bottom w:val="outset" w:sz="6" w:space="0" w:color="auto"/>
              <w:right w:val="outset" w:sz="6" w:space="0" w:color="auto"/>
            </w:tcBorders>
            <w:vAlign w:val="center"/>
          </w:tcPr>
          <w:p w14:paraId="5232FA55" w14:textId="5021947C" w:rsidR="001941DD" w:rsidRPr="00983A28" w:rsidRDefault="001941DD" w:rsidP="001941DD">
            <w:pPr>
              <w:jc w:val="center"/>
              <w:rPr>
                <w:iCs/>
              </w:rPr>
            </w:pPr>
            <w:r>
              <w:rPr>
                <w:iCs/>
              </w:rPr>
              <w:t>5 859 917</w:t>
            </w:r>
          </w:p>
        </w:tc>
        <w:tc>
          <w:tcPr>
            <w:tcW w:w="570" w:type="pct"/>
            <w:tcBorders>
              <w:top w:val="outset" w:sz="6" w:space="0" w:color="auto"/>
              <w:left w:val="outset" w:sz="6" w:space="0" w:color="auto"/>
              <w:bottom w:val="outset" w:sz="6" w:space="0" w:color="auto"/>
              <w:right w:val="outset" w:sz="6" w:space="0" w:color="auto"/>
            </w:tcBorders>
            <w:vAlign w:val="center"/>
          </w:tcPr>
          <w:p w14:paraId="08BA6354" w14:textId="334A4399" w:rsidR="001941DD" w:rsidRPr="00983A28" w:rsidRDefault="001941DD" w:rsidP="001941DD">
            <w:pPr>
              <w:jc w:val="center"/>
              <w:rPr>
                <w:iCs/>
              </w:rPr>
            </w:pPr>
            <w:r>
              <w:rPr>
                <w:iCs/>
              </w:rPr>
              <w:t>3 814 313</w:t>
            </w:r>
          </w:p>
        </w:tc>
        <w:tc>
          <w:tcPr>
            <w:tcW w:w="570" w:type="pct"/>
            <w:tcBorders>
              <w:top w:val="outset" w:sz="6" w:space="0" w:color="auto"/>
              <w:left w:val="outset" w:sz="6" w:space="0" w:color="auto"/>
              <w:bottom w:val="outset" w:sz="6" w:space="0" w:color="auto"/>
              <w:right w:val="outset" w:sz="6" w:space="0" w:color="auto"/>
            </w:tcBorders>
            <w:vAlign w:val="center"/>
          </w:tcPr>
          <w:p w14:paraId="718135D3" w14:textId="4310034C" w:rsidR="001941DD" w:rsidRPr="00983A28" w:rsidRDefault="001941DD" w:rsidP="001941DD">
            <w:pPr>
              <w:jc w:val="center"/>
              <w:rPr>
                <w:iCs/>
              </w:rPr>
            </w:pPr>
            <w:r>
              <w:rPr>
                <w:iCs/>
              </w:rPr>
              <w:t>4 576 255</w:t>
            </w:r>
          </w:p>
        </w:tc>
        <w:tc>
          <w:tcPr>
            <w:tcW w:w="386" w:type="pct"/>
            <w:tcBorders>
              <w:top w:val="outset" w:sz="6" w:space="0" w:color="auto"/>
              <w:left w:val="outset" w:sz="6" w:space="0" w:color="auto"/>
              <w:bottom w:val="outset" w:sz="6" w:space="0" w:color="auto"/>
              <w:right w:val="outset" w:sz="6" w:space="0" w:color="auto"/>
            </w:tcBorders>
            <w:vAlign w:val="center"/>
          </w:tcPr>
          <w:p w14:paraId="04FAD538" w14:textId="585B55B9"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25D278AC" w14:textId="42F46F40" w:rsidR="001941DD" w:rsidRPr="00983A28" w:rsidRDefault="001941DD" w:rsidP="001941DD">
            <w:pPr>
              <w:jc w:val="center"/>
              <w:rPr>
                <w:iCs/>
              </w:rPr>
            </w:pPr>
            <w:r>
              <w:rPr>
                <w:iCs/>
              </w:rPr>
              <w:t>169 619</w:t>
            </w:r>
          </w:p>
        </w:tc>
        <w:tc>
          <w:tcPr>
            <w:tcW w:w="774" w:type="pct"/>
            <w:tcBorders>
              <w:top w:val="outset" w:sz="6" w:space="0" w:color="auto"/>
              <w:left w:val="outset" w:sz="6" w:space="0" w:color="auto"/>
              <w:bottom w:val="outset" w:sz="6" w:space="0" w:color="auto"/>
              <w:right w:val="outset" w:sz="6" w:space="0" w:color="auto"/>
            </w:tcBorders>
            <w:vAlign w:val="center"/>
          </w:tcPr>
          <w:p w14:paraId="166C2239" w14:textId="365CCA4F" w:rsidR="001941DD" w:rsidRPr="00983A28" w:rsidRDefault="001941DD" w:rsidP="001941DD">
            <w:pPr>
              <w:jc w:val="center"/>
              <w:rPr>
                <w:iCs/>
              </w:rPr>
            </w:pPr>
            <w:r>
              <w:rPr>
                <w:iCs/>
              </w:rPr>
              <w:t>0</w:t>
            </w:r>
          </w:p>
        </w:tc>
      </w:tr>
      <w:tr w:rsidR="001941DD" w:rsidRPr="00983A28" w14:paraId="77004FCE"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19FB5FBC" w14:textId="244CFA96" w:rsidR="001941DD" w:rsidRPr="00983A28" w:rsidRDefault="001941DD" w:rsidP="001941DD">
            <w:pPr>
              <w:rPr>
                <w:iCs/>
                <w:sz w:val="20"/>
                <w:szCs w:val="20"/>
              </w:rPr>
            </w:pPr>
            <w:r w:rsidRPr="00983A28">
              <w:rPr>
                <w:iCs/>
                <w:sz w:val="20"/>
                <w:szCs w:val="20"/>
              </w:rPr>
              <w:t>Labklājības ministrijas budžeta apakšprogrammā 70.22.00. Eiropas Atbalsta fonda vistrūcīgākajām personām (2014-2020) pasākumu īstenošana</w:t>
            </w:r>
          </w:p>
        </w:tc>
        <w:tc>
          <w:tcPr>
            <w:tcW w:w="635" w:type="pct"/>
            <w:tcBorders>
              <w:top w:val="outset" w:sz="6" w:space="0" w:color="auto"/>
              <w:left w:val="outset" w:sz="6" w:space="0" w:color="auto"/>
              <w:bottom w:val="outset" w:sz="6" w:space="0" w:color="auto"/>
              <w:right w:val="outset" w:sz="6" w:space="0" w:color="auto"/>
            </w:tcBorders>
            <w:vAlign w:val="center"/>
          </w:tcPr>
          <w:p w14:paraId="5B94732E" w14:textId="23E208E2" w:rsidR="001941DD" w:rsidRPr="00983A28" w:rsidRDefault="001941DD" w:rsidP="001941DD">
            <w:pPr>
              <w:jc w:val="center"/>
              <w:rPr>
                <w:iCs/>
              </w:rPr>
            </w:pPr>
            <w:r>
              <w:rPr>
                <w:iCs/>
              </w:rPr>
              <w:t>159 644</w:t>
            </w:r>
          </w:p>
        </w:tc>
        <w:tc>
          <w:tcPr>
            <w:tcW w:w="570" w:type="pct"/>
            <w:tcBorders>
              <w:top w:val="outset" w:sz="6" w:space="0" w:color="auto"/>
              <w:left w:val="outset" w:sz="6" w:space="0" w:color="auto"/>
              <w:bottom w:val="outset" w:sz="6" w:space="0" w:color="auto"/>
              <w:right w:val="outset" w:sz="6" w:space="0" w:color="auto"/>
            </w:tcBorders>
            <w:vAlign w:val="center"/>
          </w:tcPr>
          <w:p w14:paraId="69139B47" w14:textId="7954A39B" w:rsidR="001941DD" w:rsidRPr="00983A28" w:rsidRDefault="001941DD" w:rsidP="001941DD">
            <w:pPr>
              <w:jc w:val="center"/>
              <w:rPr>
                <w:iCs/>
              </w:rPr>
            </w:pPr>
            <w:r>
              <w:rPr>
                <w:iCs/>
              </w:rPr>
              <w:t>18 000</w:t>
            </w:r>
          </w:p>
        </w:tc>
        <w:tc>
          <w:tcPr>
            <w:tcW w:w="570" w:type="pct"/>
            <w:tcBorders>
              <w:top w:val="outset" w:sz="6" w:space="0" w:color="auto"/>
              <w:left w:val="outset" w:sz="6" w:space="0" w:color="auto"/>
              <w:bottom w:val="outset" w:sz="6" w:space="0" w:color="auto"/>
              <w:right w:val="outset" w:sz="6" w:space="0" w:color="auto"/>
            </w:tcBorders>
            <w:vAlign w:val="center"/>
          </w:tcPr>
          <w:p w14:paraId="3038DE64" w14:textId="7E400D63" w:rsidR="001941DD" w:rsidRPr="00983A28" w:rsidRDefault="001941DD" w:rsidP="001941DD">
            <w:pPr>
              <w:jc w:val="center"/>
              <w:rPr>
                <w:iCs/>
              </w:rPr>
            </w:pPr>
            <w:r>
              <w:rPr>
                <w:iCs/>
              </w:rPr>
              <w:t>122 879</w:t>
            </w:r>
          </w:p>
        </w:tc>
        <w:tc>
          <w:tcPr>
            <w:tcW w:w="570" w:type="pct"/>
            <w:tcBorders>
              <w:top w:val="outset" w:sz="6" w:space="0" w:color="auto"/>
              <w:left w:val="outset" w:sz="6" w:space="0" w:color="auto"/>
              <w:bottom w:val="outset" w:sz="6" w:space="0" w:color="auto"/>
              <w:right w:val="outset" w:sz="6" w:space="0" w:color="auto"/>
            </w:tcBorders>
            <w:vAlign w:val="center"/>
          </w:tcPr>
          <w:p w14:paraId="10B875E0" w14:textId="2EB9559D" w:rsidR="001941DD" w:rsidRPr="00983A28" w:rsidRDefault="001941DD" w:rsidP="001941DD">
            <w:pPr>
              <w:jc w:val="center"/>
              <w:rPr>
                <w:iCs/>
              </w:rPr>
            </w:pPr>
            <w:r>
              <w:rPr>
                <w:iCs/>
              </w:rPr>
              <w:t>88 216</w:t>
            </w:r>
          </w:p>
        </w:tc>
        <w:tc>
          <w:tcPr>
            <w:tcW w:w="386" w:type="pct"/>
            <w:tcBorders>
              <w:top w:val="outset" w:sz="6" w:space="0" w:color="auto"/>
              <w:left w:val="outset" w:sz="6" w:space="0" w:color="auto"/>
              <w:bottom w:val="outset" w:sz="6" w:space="0" w:color="auto"/>
              <w:right w:val="outset" w:sz="6" w:space="0" w:color="auto"/>
            </w:tcBorders>
            <w:vAlign w:val="center"/>
          </w:tcPr>
          <w:p w14:paraId="0F8EDA29" w14:textId="17164267"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76540AD1" w14:textId="0FC9B666" w:rsidR="001941DD" w:rsidRPr="00983A28" w:rsidRDefault="001941DD" w:rsidP="001941DD">
            <w:pPr>
              <w:jc w:val="center"/>
              <w:rPr>
                <w:iCs/>
              </w:rPr>
            </w:pPr>
            <w:r>
              <w:rPr>
                <w:iCs/>
              </w:rPr>
              <w:t>86 522</w:t>
            </w:r>
          </w:p>
        </w:tc>
        <w:tc>
          <w:tcPr>
            <w:tcW w:w="774" w:type="pct"/>
            <w:tcBorders>
              <w:top w:val="outset" w:sz="6" w:space="0" w:color="auto"/>
              <w:left w:val="outset" w:sz="6" w:space="0" w:color="auto"/>
              <w:bottom w:val="outset" w:sz="6" w:space="0" w:color="auto"/>
              <w:right w:val="outset" w:sz="6" w:space="0" w:color="auto"/>
            </w:tcBorders>
            <w:vAlign w:val="center"/>
          </w:tcPr>
          <w:p w14:paraId="112FEF69" w14:textId="48671A3B" w:rsidR="001941DD" w:rsidRPr="00983A28" w:rsidRDefault="001941DD" w:rsidP="001941DD">
            <w:pPr>
              <w:jc w:val="center"/>
              <w:rPr>
                <w:iCs/>
              </w:rPr>
            </w:pPr>
            <w:r>
              <w:rPr>
                <w:iCs/>
              </w:rPr>
              <w:t>0</w:t>
            </w:r>
          </w:p>
        </w:tc>
      </w:tr>
      <w:tr w:rsidR="001941DD" w:rsidRPr="00983A28" w14:paraId="115D72B7"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69098AB1" w14:textId="2E122E57" w:rsidR="001941DD" w:rsidRPr="00983A28" w:rsidRDefault="001941DD" w:rsidP="001941DD">
            <w:pPr>
              <w:rPr>
                <w:iCs/>
                <w:sz w:val="20"/>
                <w:szCs w:val="20"/>
              </w:rPr>
            </w:pPr>
            <w:r w:rsidRPr="00983A28">
              <w:rPr>
                <w:iCs/>
                <w:sz w:val="20"/>
                <w:szCs w:val="20"/>
              </w:rPr>
              <w:t>Sabiedrības integrācijas fonda budžeta apakšprogrammā 70.22.00. Eiropas Atbalsta fonda vistrūcīgākajām personām (2014-2020) pasākumu īstenošana</w:t>
            </w:r>
          </w:p>
        </w:tc>
        <w:tc>
          <w:tcPr>
            <w:tcW w:w="635" w:type="pct"/>
            <w:tcBorders>
              <w:top w:val="outset" w:sz="6" w:space="0" w:color="auto"/>
              <w:left w:val="outset" w:sz="6" w:space="0" w:color="auto"/>
              <w:bottom w:val="outset" w:sz="6" w:space="0" w:color="auto"/>
              <w:right w:val="outset" w:sz="6" w:space="0" w:color="auto"/>
            </w:tcBorders>
            <w:vAlign w:val="center"/>
          </w:tcPr>
          <w:p w14:paraId="2E1A8597" w14:textId="699FE8A1" w:rsidR="001941DD" w:rsidRPr="00983A28" w:rsidRDefault="001941DD" w:rsidP="001941DD">
            <w:pPr>
              <w:jc w:val="center"/>
              <w:rPr>
                <w:iCs/>
              </w:rPr>
            </w:pPr>
            <w:r>
              <w:rPr>
                <w:iCs/>
              </w:rPr>
              <w:t>7 276 470</w:t>
            </w:r>
          </w:p>
        </w:tc>
        <w:tc>
          <w:tcPr>
            <w:tcW w:w="570" w:type="pct"/>
            <w:tcBorders>
              <w:top w:val="outset" w:sz="6" w:space="0" w:color="auto"/>
              <w:left w:val="outset" w:sz="6" w:space="0" w:color="auto"/>
              <w:bottom w:val="outset" w:sz="6" w:space="0" w:color="auto"/>
              <w:right w:val="outset" w:sz="6" w:space="0" w:color="auto"/>
            </w:tcBorders>
            <w:vAlign w:val="center"/>
          </w:tcPr>
          <w:p w14:paraId="4A83AACD" w14:textId="1A636CC6" w:rsidR="001941DD" w:rsidRPr="00983A28" w:rsidRDefault="001941DD" w:rsidP="001941DD">
            <w:pPr>
              <w:jc w:val="center"/>
              <w:rPr>
                <w:iCs/>
              </w:rPr>
            </w:pPr>
            <w:r>
              <w:rPr>
                <w:iCs/>
              </w:rPr>
              <w:t>5 841 917</w:t>
            </w:r>
          </w:p>
        </w:tc>
        <w:tc>
          <w:tcPr>
            <w:tcW w:w="570" w:type="pct"/>
            <w:tcBorders>
              <w:top w:val="outset" w:sz="6" w:space="0" w:color="auto"/>
              <w:left w:val="outset" w:sz="6" w:space="0" w:color="auto"/>
              <w:bottom w:val="outset" w:sz="6" w:space="0" w:color="auto"/>
              <w:right w:val="outset" w:sz="6" w:space="0" w:color="auto"/>
            </w:tcBorders>
            <w:vAlign w:val="center"/>
          </w:tcPr>
          <w:p w14:paraId="383C561C" w14:textId="190E24DB" w:rsidR="001941DD" w:rsidRPr="00983A28" w:rsidRDefault="001941DD" w:rsidP="001941DD">
            <w:pPr>
              <w:jc w:val="center"/>
              <w:rPr>
                <w:iCs/>
              </w:rPr>
            </w:pPr>
            <w:r>
              <w:rPr>
                <w:iCs/>
              </w:rPr>
              <w:t>3 691 434</w:t>
            </w:r>
          </w:p>
        </w:tc>
        <w:tc>
          <w:tcPr>
            <w:tcW w:w="570" w:type="pct"/>
            <w:tcBorders>
              <w:top w:val="outset" w:sz="6" w:space="0" w:color="auto"/>
              <w:left w:val="outset" w:sz="6" w:space="0" w:color="auto"/>
              <w:bottom w:val="outset" w:sz="6" w:space="0" w:color="auto"/>
              <w:right w:val="outset" w:sz="6" w:space="0" w:color="auto"/>
            </w:tcBorders>
            <w:vAlign w:val="center"/>
          </w:tcPr>
          <w:p w14:paraId="7DC04FA1" w14:textId="3F059C18" w:rsidR="001941DD" w:rsidRPr="00983A28" w:rsidRDefault="001941DD" w:rsidP="001941DD">
            <w:pPr>
              <w:jc w:val="center"/>
              <w:rPr>
                <w:iCs/>
              </w:rPr>
            </w:pPr>
            <w:r>
              <w:rPr>
                <w:iCs/>
              </w:rPr>
              <w:t>4 459 134</w:t>
            </w:r>
          </w:p>
        </w:tc>
        <w:tc>
          <w:tcPr>
            <w:tcW w:w="386" w:type="pct"/>
            <w:tcBorders>
              <w:top w:val="outset" w:sz="6" w:space="0" w:color="auto"/>
              <w:left w:val="outset" w:sz="6" w:space="0" w:color="auto"/>
              <w:bottom w:val="outset" w:sz="6" w:space="0" w:color="auto"/>
              <w:right w:val="outset" w:sz="6" w:space="0" w:color="auto"/>
            </w:tcBorders>
            <w:vAlign w:val="center"/>
          </w:tcPr>
          <w:p w14:paraId="55BBBD10" w14:textId="554220F4"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1E50E61B" w14:textId="75BE92E1" w:rsidR="001941DD" w:rsidRPr="00983A28" w:rsidRDefault="001941DD" w:rsidP="001941DD">
            <w:pPr>
              <w:jc w:val="center"/>
              <w:rPr>
                <w:iCs/>
              </w:rPr>
            </w:pPr>
            <w:r>
              <w:rPr>
                <w:iCs/>
              </w:rPr>
              <w:t>68 644</w:t>
            </w:r>
          </w:p>
        </w:tc>
        <w:tc>
          <w:tcPr>
            <w:tcW w:w="774" w:type="pct"/>
            <w:tcBorders>
              <w:top w:val="outset" w:sz="6" w:space="0" w:color="auto"/>
              <w:left w:val="outset" w:sz="6" w:space="0" w:color="auto"/>
              <w:bottom w:val="outset" w:sz="6" w:space="0" w:color="auto"/>
              <w:right w:val="outset" w:sz="6" w:space="0" w:color="auto"/>
            </w:tcBorders>
            <w:vAlign w:val="center"/>
          </w:tcPr>
          <w:p w14:paraId="209864BD" w14:textId="2B15B641" w:rsidR="001941DD" w:rsidRPr="00983A28" w:rsidRDefault="001941DD" w:rsidP="001941DD">
            <w:pPr>
              <w:jc w:val="center"/>
              <w:rPr>
                <w:iCs/>
              </w:rPr>
            </w:pPr>
            <w:r>
              <w:rPr>
                <w:iCs/>
              </w:rPr>
              <w:t>0</w:t>
            </w:r>
          </w:p>
        </w:tc>
      </w:tr>
      <w:tr w:rsidR="001941DD" w:rsidRPr="00983A28" w14:paraId="25B38644"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60783554" w14:textId="54107E38" w:rsidR="001941DD" w:rsidRPr="00983A28" w:rsidRDefault="001941DD" w:rsidP="001941DD">
            <w:pPr>
              <w:rPr>
                <w:iCs/>
                <w:sz w:val="20"/>
                <w:szCs w:val="20"/>
              </w:rPr>
            </w:pPr>
            <w:r w:rsidRPr="00983A28">
              <w:rPr>
                <w:iCs/>
                <w:sz w:val="20"/>
                <w:szCs w:val="20"/>
              </w:rPr>
              <w:t xml:space="preserve">t.sk. Pārtikas un pamata </w:t>
            </w:r>
            <w:proofErr w:type="spellStart"/>
            <w:r w:rsidRPr="00983A28">
              <w:rPr>
                <w:iCs/>
                <w:sz w:val="20"/>
                <w:szCs w:val="20"/>
              </w:rPr>
              <w:t>mat</w:t>
            </w:r>
            <w:proofErr w:type="spellEnd"/>
            <w:r w:rsidRPr="00983A28">
              <w:rPr>
                <w:iCs/>
                <w:sz w:val="20"/>
                <w:szCs w:val="20"/>
              </w:rPr>
              <w:t xml:space="preserve">. </w:t>
            </w:r>
            <w:proofErr w:type="spellStart"/>
            <w:r w:rsidRPr="00983A28">
              <w:rPr>
                <w:iCs/>
                <w:sz w:val="20"/>
                <w:szCs w:val="20"/>
              </w:rPr>
              <w:t>nenodr</w:t>
            </w:r>
            <w:proofErr w:type="spellEnd"/>
            <w:r w:rsidRPr="00983A28">
              <w:rPr>
                <w:iCs/>
                <w:sz w:val="20"/>
                <w:szCs w:val="20"/>
              </w:rPr>
              <w:t>.</w:t>
            </w:r>
          </w:p>
        </w:tc>
        <w:tc>
          <w:tcPr>
            <w:tcW w:w="635" w:type="pct"/>
            <w:tcBorders>
              <w:top w:val="outset" w:sz="6" w:space="0" w:color="auto"/>
              <w:left w:val="outset" w:sz="6" w:space="0" w:color="auto"/>
              <w:bottom w:val="outset" w:sz="6" w:space="0" w:color="auto"/>
              <w:right w:val="outset" w:sz="6" w:space="0" w:color="auto"/>
            </w:tcBorders>
            <w:vAlign w:val="center"/>
          </w:tcPr>
          <w:p w14:paraId="7EA2CB47" w14:textId="19FB69BC" w:rsidR="001941DD" w:rsidRPr="00983A28" w:rsidRDefault="001941DD" w:rsidP="001941DD">
            <w:pPr>
              <w:jc w:val="center"/>
              <w:rPr>
                <w:iCs/>
              </w:rPr>
            </w:pPr>
            <w:r>
              <w:rPr>
                <w:iCs/>
              </w:rPr>
              <w:t>7 130 528</w:t>
            </w:r>
          </w:p>
        </w:tc>
        <w:tc>
          <w:tcPr>
            <w:tcW w:w="570" w:type="pct"/>
            <w:tcBorders>
              <w:top w:val="outset" w:sz="6" w:space="0" w:color="auto"/>
              <w:left w:val="outset" w:sz="6" w:space="0" w:color="auto"/>
              <w:bottom w:val="outset" w:sz="6" w:space="0" w:color="auto"/>
              <w:right w:val="outset" w:sz="6" w:space="0" w:color="auto"/>
            </w:tcBorders>
            <w:vAlign w:val="center"/>
          </w:tcPr>
          <w:p w14:paraId="465D54FC" w14:textId="0F770595" w:rsidR="001941DD" w:rsidRPr="00983A28" w:rsidRDefault="001941DD" w:rsidP="001941DD">
            <w:pPr>
              <w:jc w:val="center"/>
              <w:rPr>
                <w:iCs/>
              </w:rPr>
            </w:pPr>
            <w:r>
              <w:rPr>
                <w:iCs/>
              </w:rPr>
              <w:t>5 713 917</w:t>
            </w:r>
          </w:p>
        </w:tc>
        <w:tc>
          <w:tcPr>
            <w:tcW w:w="570" w:type="pct"/>
            <w:tcBorders>
              <w:top w:val="outset" w:sz="6" w:space="0" w:color="auto"/>
              <w:left w:val="outset" w:sz="6" w:space="0" w:color="auto"/>
              <w:bottom w:val="outset" w:sz="6" w:space="0" w:color="auto"/>
              <w:right w:val="outset" w:sz="6" w:space="0" w:color="auto"/>
            </w:tcBorders>
            <w:vAlign w:val="center"/>
          </w:tcPr>
          <w:p w14:paraId="05921A7F" w14:textId="3A3B5B86" w:rsidR="001941DD" w:rsidRPr="00983A28" w:rsidRDefault="001941DD" w:rsidP="001941DD">
            <w:pPr>
              <w:jc w:val="center"/>
              <w:rPr>
                <w:iCs/>
              </w:rPr>
            </w:pPr>
            <w:r>
              <w:rPr>
                <w:iCs/>
              </w:rPr>
              <w:t>3 691 434</w:t>
            </w:r>
          </w:p>
        </w:tc>
        <w:tc>
          <w:tcPr>
            <w:tcW w:w="570" w:type="pct"/>
            <w:tcBorders>
              <w:top w:val="outset" w:sz="6" w:space="0" w:color="auto"/>
              <w:left w:val="outset" w:sz="6" w:space="0" w:color="auto"/>
              <w:bottom w:val="outset" w:sz="6" w:space="0" w:color="auto"/>
              <w:right w:val="outset" w:sz="6" w:space="0" w:color="auto"/>
            </w:tcBorders>
            <w:vAlign w:val="center"/>
          </w:tcPr>
          <w:p w14:paraId="510F3089" w14:textId="1B53A5B9" w:rsidR="001941DD" w:rsidRPr="00983A28" w:rsidRDefault="001941DD" w:rsidP="001941DD">
            <w:pPr>
              <w:jc w:val="center"/>
              <w:rPr>
                <w:iCs/>
              </w:rPr>
            </w:pPr>
            <w:r>
              <w:rPr>
                <w:iCs/>
              </w:rPr>
              <w:t>4 312 866</w:t>
            </w:r>
          </w:p>
        </w:tc>
        <w:tc>
          <w:tcPr>
            <w:tcW w:w="386" w:type="pct"/>
            <w:tcBorders>
              <w:top w:val="outset" w:sz="6" w:space="0" w:color="auto"/>
              <w:left w:val="outset" w:sz="6" w:space="0" w:color="auto"/>
              <w:bottom w:val="outset" w:sz="6" w:space="0" w:color="auto"/>
              <w:right w:val="outset" w:sz="6" w:space="0" w:color="auto"/>
            </w:tcBorders>
            <w:vAlign w:val="center"/>
          </w:tcPr>
          <w:p w14:paraId="4EC5CCAA" w14:textId="73095A75"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154967E2" w14:textId="48E039CF"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tcPr>
          <w:p w14:paraId="3C22FF93" w14:textId="5D16850D" w:rsidR="001941DD" w:rsidRPr="00983A28" w:rsidRDefault="001941DD" w:rsidP="001941DD">
            <w:pPr>
              <w:jc w:val="center"/>
              <w:rPr>
                <w:iCs/>
              </w:rPr>
            </w:pPr>
            <w:r>
              <w:rPr>
                <w:iCs/>
              </w:rPr>
              <w:t>0</w:t>
            </w:r>
          </w:p>
        </w:tc>
      </w:tr>
      <w:tr w:rsidR="001941DD" w:rsidRPr="00983A28" w14:paraId="387AE0BE"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6FC1E911" w14:textId="08072DA4" w:rsidR="001941DD" w:rsidRPr="00983A28" w:rsidRDefault="001941DD" w:rsidP="001941DD">
            <w:pPr>
              <w:rPr>
                <w:iCs/>
                <w:sz w:val="20"/>
                <w:szCs w:val="20"/>
              </w:rPr>
            </w:pPr>
            <w:r w:rsidRPr="00983A28">
              <w:rPr>
                <w:iCs/>
                <w:sz w:val="20"/>
                <w:szCs w:val="20"/>
              </w:rPr>
              <w:t>TP</w:t>
            </w:r>
          </w:p>
        </w:tc>
        <w:tc>
          <w:tcPr>
            <w:tcW w:w="635" w:type="pct"/>
            <w:tcBorders>
              <w:top w:val="outset" w:sz="6" w:space="0" w:color="auto"/>
              <w:left w:val="outset" w:sz="6" w:space="0" w:color="auto"/>
              <w:bottom w:val="outset" w:sz="6" w:space="0" w:color="auto"/>
              <w:right w:val="outset" w:sz="6" w:space="0" w:color="auto"/>
            </w:tcBorders>
            <w:vAlign w:val="center"/>
          </w:tcPr>
          <w:p w14:paraId="7D173486" w14:textId="33E5473E" w:rsidR="001941DD" w:rsidRPr="00983A28" w:rsidRDefault="001941DD" w:rsidP="001941DD">
            <w:pPr>
              <w:jc w:val="center"/>
              <w:rPr>
                <w:iCs/>
              </w:rPr>
            </w:pPr>
            <w:r>
              <w:rPr>
                <w:iCs/>
              </w:rPr>
              <w:t>137 288</w:t>
            </w:r>
          </w:p>
        </w:tc>
        <w:tc>
          <w:tcPr>
            <w:tcW w:w="570" w:type="pct"/>
            <w:tcBorders>
              <w:top w:val="outset" w:sz="6" w:space="0" w:color="auto"/>
              <w:left w:val="outset" w:sz="6" w:space="0" w:color="auto"/>
              <w:bottom w:val="outset" w:sz="6" w:space="0" w:color="auto"/>
              <w:right w:val="outset" w:sz="6" w:space="0" w:color="auto"/>
            </w:tcBorders>
            <w:vAlign w:val="center"/>
          </w:tcPr>
          <w:p w14:paraId="7E46E28D" w14:textId="544B7E7B" w:rsidR="001941DD" w:rsidRPr="00983A28" w:rsidRDefault="001941DD" w:rsidP="001941DD">
            <w:pPr>
              <w:jc w:val="center"/>
              <w:rPr>
                <w:iCs/>
              </w:rPr>
            </w:pPr>
            <w:r>
              <w:rPr>
                <w:iCs/>
              </w:rPr>
              <w:t>128 000</w:t>
            </w:r>
          </w:p>
        </w:tc>
        <w:tc>
          <w:tcPr>
            <w:tcW w:w="570" w:type="pct"/>
            <w:tcBorders>
              <w:top w:val="outset" w:sz="6" w:space="0" w:color="auto"/>
              <w:left w:val="outset" w:sz="6" w:space="0" w:color="auto"/>
              <w:bottom w:val="outset" w:sz="6" w:space="0" w:color="auto"/>
              <w:right w:val="outset" w:sz="6" w:space="0" w:color="auto"/>
            </w:tcBorders>
            <w:vAlign w:val="center"/>
          </w:tcPr>
          <w:p w14:paraId="006E2E64" w14:textId="6F400F58"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1DF66CD9" w14:textId="72828651" w:rsidR="001941DD" w:rsidRPr="00983A28" w:rsidRDefault="001941DD" w:rsidP="001941DD">
            <w:pPr>
              <w:jc w:val="center"/>
              <w:rPr>
                <w:iCs/>
              </w:rPr>
            </w:pPr>
            <w:r>
              <w:rPr>
                <w:iCs/>
              </w:rPr>
              <w:t>137 288</w:t>
            </w:r>
          </w:p>
        </w:tc>
        <w:tc>
          <w:tcPr>
            <w:tcW w:w="386" w:type="pct"/>
            <w:tcBorders>
              <w:top w:val="outset" w:sz="6" w:space="0" w:color="auto"/>
              <w:left w:val="outset" w:sz="6" w:space="0" w:color="auto"/>
              <w:bottom w:val="outset" w:sz="6" w:space="0" w:color="auto"/>
              <w:right w:val="outset" w:sz="6" w:space="0" w:color="auto"/>
            </w:tcBorders>
            <w:vAlign w:val="center"/>
          </w:tcPr>
          <w:p w14:paraId="11BA955B" w14:textId="1467BF0D"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3E007ED7" w14:textId="6805D37F" w:rsidR="001941DD" w:rsidRPr="00983A28" w:rsidRDefault="001941DD" w:rsidP="001941DD">
            <w:pPr>
              <w:jc w:val="center"/>
              <w:rPr>
                <w:iCs/>
              </w:rPr>
            </w:pPr>
            <w:r>
              <w:rPr>
                <w:iCs/>
              </w:rPr>
              <w:t>68 644</w:t>
            </w:r>
          </w:p>
        </w:tc>
        <w:tc>
          <w:tcPr>
            <w:tcW w:w="774" w:type="pct"/>
            <w:tcBorders>
              <w:top w:val="outset" w:sz="6" w:space="0" w:color="auto"/>
              <w:left w:val="outset" w:sz="6" w:space="0" w:color="auto"/>
              <w:bottom w:val="outset" w:sz="6" w:space="0" w:color="auto"/>
              <w:right w:val="outset" w:sz="6" w:space="0" w:color="auto"/>
            </w:tcBorders>
            <w:vAlign w:val="center"/>
          </w:tcPr>
          <w:p w14:paraId="340ED7D5" w14:textId="428FA693" w:rsidR="001941DD" w:rsidRPr="00983A28" w:rsidRDefault="001941DD" w:rsidP="001941DD">
            <w:pPr>
              <w:jc w:val="center"/>
              <w:rPr>
                <w:iCs/>
              </w:rPr>
            </w:pPr>
            <w:r>
              <w:rPr>
                <w:iCs/>
              </w:rPr>
              <w:t>0</w:t>
            </w:r>
          </w:p>
        </w:tc>
      </w:tr>
      <w:tr w:rsidR="001941DD" w:rsidRPr="00983A28" w14:paraId="283168A4"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532FBC2E" w14:textId="4E2B3841" w:rsidR="001941DD" w:rsidRPr="00983A28" w:rsidRDefault="001941DD" w:rsidP="001941DD">
            <w:pPr>
              <w:rPr>
                <w:iCs/>
                <w:sz w:val="20"/>
                <w:szCs w:val="20"/>
              </w:rPr>
            </w:pPr>
            <w:r w:rsidRPr="00983A28">
              <w:rPr>
                <w:iCs/>
                <w:sz w:val="20"/>
                <w:szCs w:val="20"/>
              </w:rPr>
              <w:t>Neattiecināmie</w:t>
            </w:r>
          </w:p>
        </w:tc>
        <w:tc>
          <w:tcPr>
            <w:tcW w:w="635" w:type="pct"/>
            <w:tcBorders>
              <w:top w:val="outset" w:sz="6" w:space="0" w:color="auto"/>
              <w:left w:val="outset" w:sz="6" w:space="0" w:color="auto"/>
              <w:bottom w:val="outset" w:sz="6" w:space="0" w:color="auto"/>
              <w:right w:val="outset" w:sz="6" w:space="0" w:color="auto"/>
            </w:tcBorders>
            <w:vAlign w:val="center"/>
          </w:tcPr>
          <w:p w14:paraId="695314D0" w14:textId="7ACBF893" w:rsidR="001941DD" w:rsidRPr="00983A28" w:rsidRDefault="001941DD" w:rsidP="001941DD">
            <w:pPr>
              <w:jc w:val="center"/>
              <w:rPr>
                <w:iCs/>
              </w:rPr>
            </w:pPr>
            <w:r>
              <w:rPr>
                <w:iCs/>
              </w:rPr>
              <w:t>8 654</w:t>
            </w:r>
          </w:p>
        </w:tc>
        <w:tc>
          <w:tcPr>
            <w:tcW w:w="570" w:type="pct"/>
            <w:tcBorders>
              <w:top w:val="outset" w:sz="6" w:space="0" w:color="auto"/>
              <w:left w:val="outset" w:sz="6" w:space="0" w:color="auto"/>
              <w:bottom w:val="outset" w:sz="6" w:space="0" w:color="auto"/>
              <w:right w:val="outset" w:sz="6" w:space="0" w:color="auto"/>
            </w:tcBorders>
            <w:vAlign w:val="center"/>
          </w:tcPr>
          <w:p w14:paraId="3352632E" w14:textId="7E0C078D"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7AB39999" w14:textId="2E8A98A5"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57188422" w14:textId="57027617" w:rsidR="001941DD" w:rsidRPr="00983A28" w:rsidRDefault="001941DD" w:rsidP="001941DD">
            <w:pPr>
              <w:jc w:val="center"/>
              <w:rPr>
                <w:iCs/>
              </w:rPr>
            </w:pPr>
            <w:r>
              <w:rPr>
                <w:iCs/>
              </w:rPr>
              <w:t>8 980</w:t>
            </w:r>
          </w:p>
        </w:tc>
        <w:tc>
          <w:tcPr>
            <w:tcW w:w="386" w:type="pct"/>
            <w:tcBorders>
              <w:top w:val="outset" w:sz="6" w:space="0" w:color="auto"/>
              <w:left w:val="outset" w:sz="6" w:space="0" w:color="auto"/>
              <w:bottom w:val="outset" w:sz="6" w:space="0" w:color="auto"/>
              <w:right w:val="outset" w:sz="6" w:space="0" w:color="auto"/>
            </w:tcBorders>
            <w:vAlign w:val="center"/>
          </w:tcPr>
          <w:p w14:paraId="6291E870" w14:textId="1479257A"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128EF399" w14:textId="069F79FD"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tcPr>
          <w:p w14:paraId="1123DF12" w14:textId="2F178905" w:rsidR="001941DD" w:rsidRPr="00983A28" w:rsidRDefault="001941DD" w:rsidP="001941DD">
            <w:pPr>
              <w:jc w:val="center"/>
              <w:rPr>
                <w:iCs/>
              </w:rPr>
            </w:pPr>
            <w:r>
              <w:rPr>
                <w:iCs/>
              </w:rPr>
              <w:t>0</w:t>
            </w:r>
          </w:p>
        </w:tc>
      </w:tr>
      <w:tr w:rsidR="001941DD" w:rsidRPr="00983A28" w14:paraId="3A610853"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tcPr>
          <w:p w14:paraId="1B79FD41" w14:textId="5EFFEC0B" w:rsidR="001941DD" w:rsidRPr="00983A28" w:rsidRDefault="001941DD" w:rsidP="001941DD">
            <w:pPr>
              <w:rPr>
                <w:iCs/>
                <w:sz w:val="20"/>
                <w:szCs w:val="20"/>
              </w:rPr>
            </w:pPr>
            <w:r w:rsidRPr="00983A28">
              <w:rPr>
                <w:iCs/>
                <w:sz w:val="20"/>
                <w:szCs w:val="20"/>
              </w:rPr>
              <w:t xml:space="preserve">Finanšu ministrijas budžeta apakšprogrammā 70.22.00. Eiropas Atbalsta fonda </w:t>
            </w:r>
            <w:r w:rsidRPr="00983A28">
              <w:rPr>
                <w:iCs/>
                <w:sz w:val="20"/>
                <w:szCs w:val="20"/>
              </w:rPr>
              <w:lastRenderedPageBreak/>
              <w:t>vistrūcīgākajām personām (2014-2020) pasākumu īstenošana</w:t>
            </w:r>
          </w:p>
        </w:tc>
        <w:tc>
          <w:tcPr>
            <w:tcW w:w="635" w:type="pct"/>
            <w:tcBorders>
              <w:top w:val="outset" w:sz="6" w:space="0" w:color="auto"/>
              <w:left w:val="outset" w:sz="6" w:space="0" w:color="auto"/>
              <w:bottom w:val="outset" w:sz="6" w:space="0" w:color="auto"/>
              <w:right w:val="outset" w:sz="6" w:space="0" w:color="auto"/>
            </w:tcBorders>
            <w:vAlign w:val="center"/>
          </w:tcPr>
          <w:p w14:paraId="31F56C73" w14:textId="5B564630" w:rsidR="001941DD" w:rsidRPr="00983A28" w:rsidRDefault="001941DD" w:rsidP="001941DD">
            <w:pPr>
              <w:jc w:val="center"/>
              <w:rPr>
                <w:iCs/>
              </w:rPr>
            </w:pPr>
            <w:r>
              <w:rPr>
                <w:iCs/>
              </w:rPr>
              <w:lastRenderedPageBreak/>
              <w:t>28 905</w:t>
            </w:r>
          </w:p>
        </w:tc>
        <w:tc>
          <w:tcPr>
            <w:tcW w:w="570" w:type="pct"/>
            <w:tcBorders>
              <w:top w:val="outset" w:sz="6" w:space="0" w:color="auto"/>
              <w:left w:val="outset" w:sz="6" w:space="0" w:color="auto"/>
              <w:bottom w:val="outset" w:sz="6" w:space="0" w:color="auto"/>
              <w:right w:val="outset" w:sz="6" w:space="0" w:color="auto"/>
            </w:tcBorders>
            <w:vAlign w:val="center"/>
          </w:tcPr>
          <w:p w14:paraId="2F4E3658" w14:textId="17CF7D66"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tcPr>
          <w:p w14:paraId="66879B25" w14:textId="77777777" w:rsidR="001941DD" w:rsidRPr="00983A28" w:rsidRDefault="001941DD" w:rsidP="001941DD">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tcPr>
          <w:p w14:paraId="7B57B7B9" w14:textId="62E44D23" w:rsidR="001941DD" w:rsidRPr="00983A28" w:rsidRDefault="001941DD" w:rsidP="001941DD">
            <w:pPr>
              <w:jc w:val="center"/>
              <w:rPr>
                <w:iCs/>
              </w:rPr>
            </w:pPr>
            <w:r>
              <w:rPr>
                <w:iCs/>
              </w:rPr>
              <w:t>28 905</w:t>
            </w:r>
          </w:p>
        </w:tc>
        <w:tc>
          <w:tcPr>
            <w:tcW w:w="386" w:type="pct"/>
            <w:tcBorders>
              <w:top w:val="outset" w:sz="6" w:space="0" w:color="auto"/>
              <w:left w:val="outset" w:sz="6" w:space="0" w:color="auto"/>
              <w:bottom w:val="outset" w:sz="6" w:space="0" w:color="auto"/>
              <w:right w:val="outset" w:sz="6" w:space="0" w:color="auto"/>
            </w:tcBorders>
            <w:vAlign w:val="center"/>
          </w:tcPr>
          <w:p w14:paraId="6F3039E0" w14:textId="429674CC"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28294861" w14:textId="3F49362B" w:rsidR="001941DD" w:rsidRPr="00983A28" w:rsidRDefault="001941DD" w:rsidP="001941DD">
            <w:pPr>
              <w:jc w:val="center"/>
              <w:rPr>
                <w:iCs/>
              </w:rPr>
            </w:pPr>
            <w:r>
              <w:rPr>
                <w:iCs/>
              </w:rPr>
              <w:t>14 453</w:t>
            </w:r>
          </w:p>
        </w:tc>
        <w:tc>
          <w:tcPr>
            <w:tcW w:w="774" w:type="pct"/>
            <w:tcBorders>
              <w:top w:val="outset" w:sz="6" w:space="0" w:color="auto"/>
              <w:left w:val="outset" w:sz="6" w:space="0" w:color="auto"/>
              <w:bottom w:val="outset" w:sz="6" w:space="0" w:color="auto"/>
              <w:right w:val="outset" w:sz="6" w:space="0" w:color="auto"/>
            </w:tcBorders>
            <w:vAlign w:val="center"/>
          </w:tcPr>
          <w:p w14:paraId="52CA6A68" w14:textId="76AFE9D5" w:rsidR="001941DD" w:rsidRPr="00983A28" w:rsidRDefault="001941DD" w:rsidP="001941DD">
            <w:pPr>
              <w:jc w:val="center"/>
              <w:rPr>
                <w:iCs/>
              </w:rPr>
            </w:pPr>
            <w:r>
              <w:rPr>
                <w:iCs/>
              </w:rPr>
              <w:t>0</w:t>
            </w:r>
          </w:p>
        </w:tc>
      </w:tr>
      <w:tr w:rsidR="001941DD" w:rsidRPr="00983A28" w14:paraId="62999D11"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682B074B" w14:textId="77777777" w:rsidR="001941DD" w:rsidRPr="00983A28" w:rsidRDefault="001941DD" w:rsidP="001941DD">
            <w:pPr>
              <w:rPr>
                <w:iCs/>
                <w:sz w:val="20"/>
                <w:szCs w:val="20"/>
              </w:rPr>
            </w:pPr>
            <w:r w:rsidRPr="00983A28">
              <w:rPr>
                <w:iCs/>
                <w:sz w:val="20"/>
                <w:szCs w:val="20"/>
              </w:rPr>
              <w:t>2.2. valsts speciālais budžets</w:t>
            </w:r>
          </w:p>
        </w:tc>
        <w:tc>
          <w:tcPr>
            <w:tcW w:w="635" w:type="pct"/>
            <w:tcBorders>
              <w:top w:val="outset" w:sz="6" w:space="0" w:color="auto"/>
              <w:left w:val="outset" w:sz="6" w:space="0" w:color="auto"/>
              <w:bottom w:val="outset" w:sz="6" w:space="0" w:color="auto"/>
              <w:right w:val="outset" w:sz="6" w:space="0" w:color="auto"/>
            </w:tcBorders>
            <w:vAlign w:val="center"/>
            <w:hideMark/>
          </w:tcPr>
          <w:p w14:paraId="55C3C167" w14:textId="3CA55AEE"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1DF819B" w14:textId="2E9E266B"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067BF473" w14:textId="04349511"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C5D8AC9" w14:textId="70475782" w:rsidR="001941DD" w:rsidRPr="00983A28" w:rsidRDefault="001941DD" w:rsidP="001941DD">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hideMark/>
          </w:tcPr>
          <w:p w14:paraId="0BA224E7" w14:textId="7BF5081D"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666E6A43" w14:textId="02454457"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4EF7CF5" w14:textId="365B5E33" w:rsidR="001941DD" w:rsidRPr="00983A28" w:rsidRDefault="001941DD" w:rsidP="001941DD">
            <w:pPr>
              <w:jc w:val="center"/>
              <w:rPr>
                <w:iCs/>
              </w:rPr>
            </w:pPr>
            <w:r>
              <w:rPr>
                <w:iCs/>
              </w:rPr>
              <w:t>0</w:t>
            </w:r>
          </w:p>
        </w:tc>
      </w:tr>
      <w:tr w:rsidR="001941DD" w:rsidRPr="00983A28" w14:paraId="6B1B8F92"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3A2B7BC1" w14:textId="77777777" w:rsidR="001941DD" w:rsidRPr="00983A28" w:rsidRDefault="001941DD" w:rsidP="001941DD">
            <w:pPr>
              <w:rPr>
                <w:iCs/>
                <w:sz w:val="20"/>
                <w:szCs w:val="20"/>
              </w:rPr>
            </w:pPr>
            <w:r w:rsidRPr="00983A28">
              <w:rPr>
                <w:iCs/>
                <w:sz w:val="20"/>
                <w:szCs w:val="20"/>
              </w:rPr>
              <w:t>2.3. pašvaldību budžets</w:t>
            </w:r>
          </w:p>
        </w:tc>
        <w:tc>
          <w:tcPr>
            <w:tcW w:w="635" w:type="pct"/>
            <w:tcBorders>
              <w:top w:val="outset" w:sz="6" w:space="0" w:color="auto"/>
              <w:left w:val="outset" w:sz="6" w:space="0" w:color="auto"/>
              <w:bottom w:val="outset" w:sz="6" w:space="0" w:color="auto"/>
              <w:right w:val="outset" w:sz="6" w:space="0" w:color="auto"/>
            </w:tcBorders>
            <w:vAlign w:val="center"/>
            <w:hideMark/>
          </w:tcPr>
          <w:p w14:paraId="31376824" w14:textId="6A39A4E4"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5A2FC6E" w14:textId="4077B1EB"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8BAC926" w14:textId="4AF15E36" w:rsidR="001941DD" w:rsidRPr="00983A28" w:rsidRDefault="001941DD" w:rsidP="001941DD">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0C391B1" w14:textId="28B80F4A" w:rsidR="001941DD" w:rsidRPr="00983A28" w:rsidRDefault="001941DD" w:rsidP="001941DD">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hideMark/>
          </w:tcPr>
          <w:p w14:paraId="29B919CE" w14:textId="382F6346"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3D1FB9E5" w14:textId="0D0042A9" w:rsidR="001941DD" w:rsidRPr="00983A28" w:rsidRDefault="001941DD" w:rsidP="001941DD">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052B59AA" w14:textId="5E09F2C8" w:rsidR="001941DD" w:rsidRPr="00983A28" w:rsidRDefault="001941DD" w:rsidP="001941DD">
            <w:pPr>
              <w:jc w:val="center"/>
              <w:rPr>
                <w:iCs/>
              </w:rPr>
            </w:pPr>
            <w:r>
              <w:rPr>
                <w:iCs/>
              </w:rPr>
              <w:t>0</w:t>
            </w:r>
          </w:p>
        </w:tc>
      </w:tr>
      <w:tr w:rsidR="001941DD" w:rsidRPr="00983A28" w14:paraId="6048B898"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1B5FB274" w14:textId="77777777" w:rsidR="001941DD" w:rsidRPr="00C07CBA" w:rsidRDefault="001941DD" w:rsidP="001941DD">
            <w:pPr>
              <w:rPr>
                <w:b/>
                <w:iCs/>
                <w:sz w:val="20"/>
                <w:szCs w:val="20"/>
              </w:rPr>
            </w:pPr>
            <w:r w:rsidRPr="00C07CBA">
              <w:rPr>
                <w:b/>
                <w:iCs/>
                <w:sz w:val="20"/>
                <w:szCs w:val="20"/>
              </w:rPr>
              <w:t>3. Finansiālā ietekme</w:t>
            </w:r>
          </w:p>
        </w:tc>
        <w:tc>
          <w:tcPr>
            <w:tcW w:w="635" w:type="pct"/>
            <w:tcBorders>
              <w:top w:val="outset" w:sz="6" w:space="0" w:color="auto"/>
              <w:left w:val="outset" w:sz="6" w:space="0" w:color="auto"/>
              <w:bottom w:val="outset" w:sz="6" w:space="0" w:color="auto"/>
              <w:right w:val="outset" w:sz="6" w:space="0" w:color="auto"/>
            </w:tcBorders>
            <w:vAlign w:val="center"/>
            <w:hideMark/>
          </w:tcPr>
          <w:p w14:paraId="414DBA86" w14:textId="394B4BE8" w:rsidR="001941DD" w:rsidRPr="00983A28" w:rsidRDefault="001B0641" w:rsidP="001941DD">
            <w:pPr>
              <w:jc w:val="center"/>
              <w:rPr>
                <w:iCs/>
              </w:rPr>
            </w:pPr>
            <w:r>
              <w:rPr>
                <w:iCs/>
              </w:rPr>
              <w:t>-1 119 753</w:t>
            </w:r>
          </w:p>
        </w:tc>
        <w:tc>
          <w:tcPr>
            <w:tcW w:w="570" w:type="pct"/>
            <w:tcBorders>
              <w:top w:val="outset" w:sz="6" w:space="0" w:color="auto"/>
              <w:left w:val="outset" w:sz="6" w:space="0" w:color="auto"/>
              <w:bottom w:val="outset" w:sz="6" w:space="0" w:color="auto"/>
              <w:right w:val="outset" w:sz="6" w:space="0" w:color="auto"/>
            </w:tcBorders>
            <w:vAlign w:val="center"/>
            <w:hideMark/>
          </w:tcPr>
          <w:p w14:paraId="5DF96ADD" w14:textId="34AE07F9" w:rsidR="001941DD" w:rsidRPr="00983A28" w:rsidRDefault="001941DD" w:rsidP="001B0641">
            <w:pPr>
              <w:jc w:val="center"/>
              <w:rPr>
                <w:iCs/>
              </w:rPr>
            </w:pPr>
            <w:r>
              <w:rPr>
                <w:iCs/>
              </w:rPr>
              <w:t>-</w:t>
            </w:r>
            <w:r w:rsidR="001B0641">
              <w:rPr>
                <w:iCs/>
              </w:rPr>
              <w:t>878 988</w:t>
            </w:r>
          </w:p>
        </w:tc>
        <w:tc>
          <w:tcPr>
            <w:tcW w:w="570" w:type="pct"/>
            <w:tcBorders>
              <w:top w:val="outset" w:sz="6" w:space="0" w:color="auto"/>
              <w:left w:val="outset" w:sz="6" w:space="0" w:color="auto"/>
              <w:bottom w:val="outset" w:sz="6" w:space="0" w:color="auto"/>
              <w:right w:val="outset" w:sz="6" w:space="0" w:color="auto"/>
            </w:tcBorders>
            <w:vAlign w:val="center"/>
            <w:hideMark/>
          </w:tcPr>
          <w:p w14:paraId="4485855D" w14:textId="5669D0D0" w:rsidR="001941DD" w:rsidRPr="00983A28" w:rsidRDefault="001B0641" w:rsidP="001941DD">
            <w:pPr>
              <w:jc w:val="center"/>
              <w:rPr>
                <w:iCs/>
              </w:rPr>
            </w:pPr>
            <w:r>
              <w:rPr>
                <w:iCs/>
              </w:rPr>
              <w:t>-572 147</w:t>
            </w:r>
          </w:p>
        </w:tc>
        <w:tc>
          <w:tcPr>
            <w:tcW w:w="570" w:type="pct"/>
            <w:tcBorders>
              <w:top w:val="outset" w:sz="6" w:space="0" w:color="auto"/>
              <w:left w:val="outset" w:sz="6" w:space="0" w:color="auto"/>
              <w:bottom w:val="outset" w:sz="6" w:space="0" w:color="auto"/>
              <w:right w:val="outset" w:sz="6" w:space="0" w:color="auto"/>
            </w:tcBorders>
            <w:vAlign w:val="center"/>
            <w:hideMark/>
          </w:tcPr>
          <w:p w14:paraId="515A1BE6" w14:textId="6DDBFAF6" w:rsidR="001941DD" w:rsidRPr="00983A28" w:rsidRDefault="001B0641" w:rsidP="001941DD">
            <w:pPr>
              <w:jc w:val="center"/>
              <w:rPr>
                <w:iCs/>
              </w:rPr>
            </w:pPr>
            <w:r>
              <w:rPr>
                <w:iCs/>
              </w:rPr>
              <w:t>-686 438</w:t>
            </w:r>
          </w:p>
        </w:tc>
        <w:tc>
          <w:tcPr>
            <w:tcW w:w="386" w:type="pct"/>
            <w:tcBorders>
              <w:top w:val="outset" w:sz="6" w:space="0" w:color="auto"/>
              <w:left w:val="outset" w:sz="6" w:space="0" w:color="auto"/>
              <w:bottom w:val="outset" w:sz="6" w:space="0" w:color="auto"/>
              <w:right w:val="outset" w:sz="6" w:space="0" w:color="auto"/>
            </w:tcBorders>
            <w:vAlign w:val="center"/>
            <w:hideMark/>
          </w:tcPr>
          <w:p w14:paraId="08ED1B9A" w14:textId="4A60FC9E" w:rsidR="001941DD" w:rsidRPr="00983A28" w:rsidRDefault="001941DD" w:rsidP="001941DD">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0B489CA5" w14:textId="34E5D39F" w:rsidR="001941DD" w:rsidRPr="00983A28" w:rsidRDefault="001941DD" w:rsidP="001941DD">
            <w:pPr>
              <w:jc w:val="center"/>
              <w:rPr>
                <w:iCs/>
              </w:rPr>
            </w:pPr>
            <w:r>
              <w:rPr>
                <w:iCs/>
              </w:rPr>
              <w:t>-25 443</w:t>
            </w:r>
          </w:p>
        </w:tc>
        <w:tc>
          <w:tcPr>
            <w:tcW w:w="774" w:type="pct"/>
            <w:tcBorders>
              <w:top w:val="outset" w:sz="6" w:space="0" w:color="auto"/>
              <w:left w:val="outset" w:sz="6" w:space="0" w:color="auto"/>
              <w:bottom w:val="outset" w:sz="6" w:space="0" w:color="auto"/>
              <w:right w:val="outset" w:sz="6" w:space="0" w:color="auto"/>
            </w:tcBorders>
            <w:vAlign w:val="center"/>
            <w:hideMark/>
          </w:tcPr>
          <w:p w14:paraId="7BAE142B" w14:textId="6FF4526D" w:rsidR="001941DD" w:rsidRPr="00983A28" w:rsidRDefault="001941DD" w:rsidP="001941DD">
            <w:pPr>
              <w:jc w:val="center"/>
              <w:rPr>
                <w:iCs/>
              </w:rPr>
            </w:pPr>
            <w:r>
              <w:rPr>
                <w:iCs/>
              </w:rPr>
              <w:t>0</w:t>
            </w:r>
          </w:p>
        </w:tc>
      </w:tr>
      <w:tr w:rsidR="001B0641" w:rsidRPr="00983A28" w14:paraId="35A9F24B" w14:textId="77777777" w:rsidTr="001B0641">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60DE8C8A" w14:textId="77777777" w:rsidR="001B0641" w:rsidRPr="00983A28" w:rsidRDefault="001B0641" w:rsidP="001B0641">
            <w:pPr>
              <w:rPr>
                <w:iCs/>
                <w:sz w:val="20"/>
                <w:szCs w:val="20"/>
              </w:rPr>
            </w:pPr>
            <w:r w:rsidRPr="00983A28">
              <w:rPr>
                <w:iCs/>
                <w:sz w:val="20"/>
                <w:szCs w:val="20"/>
              </w:rPr>
              <w:t>3.1. valsts pamatbudžets</w:t>
            </w:r>
          </w:p>
        </w:tc>
        <w:tc>
          <w:tcPr>
            <w:tcW w:w="635" w:type="pct"/>
            <w:tcBorders>
              <w:top w:val="outset" w:sz="6" w:space="0" w:color="auto"/>
              <w:left w:val="outset" w:sz="6" w:space="0" w:color="auto"/>
              <w:bottom w:val="outset" w:sz="6" w:space="0" w:color="auto"/>
              <w:right w:val="outset" w:sz="6" w:space="0" w:color="auto"/>
            </w:tcBorders>
            <w:vAlign w:val="center"/>
          </w:tcPr>
          <w:p w14:paraId="54C2647F" w14:textId="72CF30E9" w:rsidR="001B0641" w:rsidRPr="00983A28" w:rsidRDefault="001B0641" w:rsidP="001B0641">
            <w:pPr>
              <w:jc w:val="center"/>
              <w:rPr>
                <w:iCs/>
              </w:rPr>
            </w:pPr>
            <w:r>
              <w:rPr>
                <w:iCs/>
              </w:rPr>
              <w:t>-1 119 753</w:t>
            </w:r>
          </w:p>
        </w:tc>
        <w:tc>
          <w:tcPr>
            <w:tcW w:w="570" w:type="pct"/>
            <w:tcBorders>
              <w:top w:val="outset" w:sz="6" w:space="0" w:color="auto"/>
              <w:left w:val="outset" w:sz="6" w:space="0" w:color="auto"/>
              <w:bottom w:val="outset" w:sz="6" w:space="0" w:color="auto"/>
              <w:right w:val="outset" w:sz="6" w:space="0" w:color="auto"/>
            </w:tcBorders>
            <w:vAlign w:val="center"/>
          </w:tcPr>
          <w:p w14:paraId="40963839" w14:textId="119457A1" w:rsidR="001B0641" w:rsidRPr="00983A28" w:rsidRDefault="001B0641" w:rsidP="001B0641">
            <w:pPr>
              <w:jc w:val="center"/>
              <w:rPr>
                <w:iCs/>
              </w:rPr>
            </w:pPr>
            <w:r>
              <w:rPr>
                <w:iCs/>
              </w:rPr>
              <w:t>-878 988</w:t>
            </w:r>
          </w:p>
        </w:tc>
        <w:tc>
          <w:tcPr>
            <w:tcW w:w="570" w:type="pct"/>
            <w:tcBorders>
              <w:top w:val="outset" w:sz="6" w:space="0" w:color="auto"/>
              <w:left w:val="outset" w:sz="6" w:space="0" w:color="auto"/>
              <w:bottom w:val="outset" w:sz="6" w:space="0" w:color="auto"/>
              <w:right w:val="outset" w:sz="6" w:space="0" w:color="auto"/>
            </w:tcBorders>
            <w:vAlign w:val="center"/>
          </w:tcPr>
          <w:p w14:paraId="5DF7C59C" w14:textId="02F26E12" w:rsidR="001B0641" w:rsidRPr="00983A28" w:rsidRDefault="001B0641" w:rsidP="001B0641">
            <w:pPr>
              <w:jc w:val="center"/>
              <w:rPr>
                <w:iCs/>
              </w:rPr>
            </w:pPr>
            <w:r>
              <w:rPr>
                <w:iCs/>
              </w:rPr>
              <w:t>-572 147</w:t>
            </w:r>
          </w:p>
        </w:tc>
        <w:tc>
          <w:tcPr>
            <w:tcW w:w="570" w:type="pct"/>
            <w:tcBorders>
              <w:top w:val="outset" w:sz="6" w:space="0" w:color="auto"/>
              <w:left w:val="outset" w:sz="6" w:space="0" w:color="auto"/>
              <w:bottom w:val="outset" w:sz="6" w:space="0" w:color="auto"/>
              <w:right w:val="outset" w:sz="6" w:space="0" w:color="auto"/>
            </w:tcBorders>
            <w:vAlign w:val="center"/>
          </w:tcPr>
          <w:p w14:paraId="0564E8E3" w14:textId="29754CF5" w:rsidR="001B0641" w:rsidRPr="00983A28" w:rsidRDefault="001B0641" w:rsidP="001B0641">
            <w:pPr>
              <w:jc w:val="center"/>
              <w:rPr>
                <w:iCs/>
              </w:rPr>
            </w:pPr>
            <w:r>
              <w:rPr>
                <w:iCs/>
              </w:rPr>
              <w:t>-686 438</w:t>
            </w:r>
          </w:p>
        </w:tc>
        <w:tc>
          <w:tcPr>
            <w:tcW w:w="386" w:type="pct"/>
            <w:tcBorders>
              <w:top w:val="outset" w:sz="6" w:space="0" w:color="auto"/>
              <w:left w:val="outset" w:sz="6" w:space="0" w:color="auto"/>
              <w:bottom w:val="outset" w:sz="6" w:space="0" w:color="auto"/>
              <w:right w:val="outset" w:sz="6" w:space="0" w:color="auto"/>
            </w:tcBorders>
            <w:vAlign w:val="center"/>
          </w:tcPr>
          <w:p w14:paraId="0B46FF92" w14:textId="14161120" w:rsidR="001B0641" w:rsidRPr="00983A28" w:rsidRDefault="001B0641" w:rsidP="001B0641">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tcPr>
          <w:p w14:paraId="3DC732DF" w14:textId="2D9BB2FF" w:rsidR="001B0641" w:rsidRPr="00983A28" w:rsidRDefault="001B0641" w:rsidP="001B0641">
            <w:pPr>
              <w:jc w:val="center"/>
              <w:rPr>
                <w:iCs/>
              </w:rPr>
            </w:pPr>
            <w:r>
              <w:rPr>
                <w:iCs/>
              </w:rPr>
              <w:t>-25 443</w:t>
            </w:r>
          </w:p>
        </w:tc>
        <w:tc>
          <w:tcPr>
            <w:tcW w:w="774" w:type="pct"/>
            <w:tcBorders>
              <w:top w:val="outset" w:sz="6" w:space="0" w:color="auto"/>
              <w:left w:val="outset" w:sz="6" w:space="0" w:color="auto"/>
              <w:bottom w:val="outset" w:sz="6" w:space="0" w:color="auto"/>
              <w:right w:val="outset" w:sz="6" w:space="0" w:color="auto"/>
            </w:tcBorders>
            <w:vAlign w:val="center"/>
          </w:tcPr>
          <w:p w14:paraId="1DF75CA5" w14:textId="492EA738" w:rsidR="001B0641" w:rsidRPr="00983A28" w:rsidRDefault="001B0641" w:rsidP="001B0641">
            <w:pPr>
              <w:jc w:val="center"/>
              <w:rPr>
                <w:iCs/>
              </w:rPr>
            </w:pPr>
            <w:r>
              <w:rPr>
                <w:iCs/>
              </w:rPr>
              <w:t>0</w:t>
            </w:r>
          </w:p>
        </w:tc>
      </w:tr>
      <w:tr w:rsidR="001B0641" w:rsidRPr="00983A28" w14:paraId="770B33C1"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53C1049B" w14:textId="77777777" w:rsidR="001B0641" w:rsidRPr="00983A28" w:rsidRDefault="001B0641" w:rsidP="001B0641">
            <w:pPr>
              <w:rPr>
                <w:iCs/>
                <w:sz w:val="20"/>
                <w:szCs w:val="20"/>
              </w:rPr>
            </w:pPr>
            <w:r w:rsidRPr="00983A28">
              <w:rPr>
                <w:iCs/>
                <w:sz w:val="20"/>
                <w:szCs w:val="20"/>
              </w:rPr>
              <w:t>3.2. speciālais budžets</w:t>
            </w:r>
          </w:p>
        </w:tc>
        <w:tc>
          <w:tcPr>
            <w:tcW w:w="635" w:type="pct"/>
            <w:tcBorders>
              <w:top w:val="outset" w:sz="6" w:space="0" w:color="auto"/>
              <w:left w:val="outset" w:sz="6" w:space="0" w:color="auto"/>
              <w:bottom w:val="outset" w:sz="6" w:space="0" w:color="auto"/>
              <w:right w:val="outset" w:sz="6" w:space="0" w:color="auto"/>
            </w:tcBorders>
            <w:vAlign w:val="center"/>
            <w:hideMark/>
          </w:tcPr>
          <w:p w14:paraId="2EDA9496" w14:textId="18C590BA"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2831603" w14:textId="6E4DE2F8"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9F02A8F" w14:textId="3D093529"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D9D9601" w14:textId="2549437B" w:rsidR="001B0641" w:rsidRPr="00983A28" w:rsidRDefault="001B0641" w:rsidP="001B0641">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hideMark/>
          </w:tcPr>
          <w:p w14:paraId="419066FA" w14:textId="06AE9A82" w:rsidR="001B0641" w:rsidRPr="00983A28" w:rsidRDefault="001B0641" w:rsidP="001B0641">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5BCB4AA7" w14:textId="736A1203" w:rsidR="001B0641" w:rsidRPr="00983A28" w:rsidRDefault="001B0641" w:rsidP="001B0641">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20FBCD99" w14:textId="47420469" w:rsidR="001B0641" w:rsidRPr="00983A28" w:rsidRDefault="001B0641" w:rsidP="001B0641">
            <w:pPr>
              <w:jc w:val="center"/>
              <w:rPr>
                <w:iCs/>
              </w:rPr>
            </w:pPr>
            <w:r>
              <w:rPr>
                <w:iCs/>
              </w:rPr>
              <w:t>0</w:t>
            </w:r>
          </w:p>
        </w:tc>
      </w:tr>
      <w:tr w:rsidR="001B0641" w:rsidRPr="00983A28" w14:paraId="4417715C"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03CD76C4" w14:textId="77777777" w:rsidR="001B0641" w:rsidRPr="00983A28" w:rsidRDefault="001B0641" w:rsidP="001B0641">
            <w:pPr>
              <w:rPr>
                <w:iCs/>
                <w:sz w:val="20"/>
                <w:szCs w:val="20"/>
              </w:rPr>
            </w:pPr>
            <w:r w:rsidRPr="00983A28">
              <w:rPr>
                <w:iCs/>
                <w:sz w:val="20"/>
                <w:szCs w:val="20"/>
              </w:rPr>
              <w:t>3.3. pašvaldību budžets</w:t>
            </w:r>
          </w:p>
        </w:tc>
        <w:tc>
          <w:tcPr>
            <w:tcW w:w="635" w:type="pct"/>
            <w:tcBorders>
              <w:top w:val="outset" w:sz="6" w:space="0" w:color="auto"/>
              <w:left w:val="outset" w:sz="6" w:space="0" w:color="auto"/>
              <w:bottom w:val="outset" w:sz="6" w:space="0" w:color="auto"/>
              <w:right w:val="outset" w:sz="6" w:space="0" w:color="auto"/>
            </w:tcBorders>
            <w:vAlign w:val="center"/>
            <w:hideMark/>
          </w:tcPr>
          <w:p w14:paraId="7C51F638" w14:textId="4AB00BC8"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F5FCB4F" w14:textId="5EC0D71D"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9079766" w14:textId="27095D1C"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3480E14" w14:textId="2D45D264" w:rsidR="001B0641" w:rsidRPr="00983A28" w:rsidRDefault="001B0641" w:rsidP="001B0641">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hideMark/>
          </w:tcPr>
          <w:p w14:paraId="3E50EFEE" w14:textId="6AA50A49" w:rsidR="001B0641" w:rsidRPr="00983A28" w:rsidRDefault="001B0641" w:rsidP="001B0641">
            <w:pPr>
              <w:jc w:val="center"/>
              <w:rPr>
                <w:iCs/>
              </w:rPr>
            </w:pPr>
            <w:r>
              <w:rPr>
                <w:iCs/>
              </w:rPr>
              <w:t>0</w:t>
            </w:r>
          </w:p>
        </w:tc>
        <w:tc>
          <w:tcPr>
            <w:tcW w:w="553" w:type="pct"/>
            <w:tcBorders>
              <w:top w:val="outset" w:sz="6" w:space="0" w:color="auto"/>
              <w:left w:val="outset" w:sz="6" w:space="0" w:color="auto"/>
              <w:bottom w:val="outset" w:sz="6" w:space="0" w:color="auto"/>
              <w:right w:val="outset" w:sz="6" w:space="0" w:color="auto"/>
            </w:tcBorders>
            <w:vAlign w:val="center"/>
            <w:hideMark/>
          </w:tcPr>
          <w:p w14:paraId="42114F0F" w14:textId="5888890E" w:rsidR="001B0641" w:rsidRPr="00983A28" w:rsidRDefault="001B0641" w:rsidP="001B0641">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2D12C4DF" w14:textId="08FEC591" w:rsidR="001B0641" w:rsidRPr="00983A28" w:rsidRDefault="001B0641" w:rsidP="001B0641">
            <w:pPr>
              <w:jc w:val="center"/>
              <w:rPr>
                <w:iCs/>
              </w:rPr>
            </w:pPr>
            <w:r>
              <w:rPr>
                <w:iCs/>
              </w:rPr>
              <w:t>0</w:t>
            </w:r>
          </w:p>
        </w:tc>
      </w:tr>
      <w:tr w:rsidR="001B0641" w:rsidRPr="00983A28" w14:paraId="3A57E795"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5264A1CD" w14:textId="77777777" w:rsidR="001B0641" w:rsidRPr="00983A28" w:rsidRDefault="001B0641" w:rsidP="001B0641">
            <w:pPr>
              <w:rPr>
                <w:iCs/>
                <w:sz w:val="20"/>
                <w:szCs w:val="20"/>
              </w:rPr>
            </w:pPr>
            <w:r w:rsidRPr="00983A28">
              <w:rPr>
                <w:iCs/>
                <w:sz w:val="20"/>
                <w:szCs w:val="20"/>
              </w:rPr>
              <w:t>4. Finanšu līdzekļi papildu izdevumu finansēšanai (kompensējošu izdevumu samazinājumu norāda ar "+" zīmi)</w:t>
            </w:r>
          </w:p>
        </w:tc>
        <w:tc>
          <w:tcPr>
            <w:tcW w:w="635" w:type="pct"/>
            <w:tcBorders>
              <w:top w:val="outset" w:sz="6" w:space="0" w:color="auto"/>
              <w:left w:val="outset" w:sz="6" w:space="0" w:color="auto"/>
              <w:bottom w:val="outset" w:sz="6" w:space="0" w:color="auto"/>
              <w:right w:val="outset" w:sz="6" w:space="0" w:color="auto"/>
            </w:tcBorders>
            <w:vAlign w:val="center"/>
            <w:hideMark/>
          </w:tcPr>
          <w:p w14:paraId="79A004F8" w14:textId="77777777" w:rsidR="001B0641" w:rsidRPr="00983A28" w:rsidRDefault="001B0641" w:rsidP="001B0641">
            <w:pPr>
              <w:jc w:val="center"/>
              <w:rPr>
                <w:iCs/>
              </w:rPr>
            </w:pPr>
            <w:r w:rsidRPr="00983A28">
              <w:rPr>
                <w:iCs/>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0AEB9396" w14:textId="6907D863" w:rsidR="001B0641" w:rsidRPr="00983A28" w:rsidRDefault="001B0641" w:rsidP="001B0641">
            <w:pPr>
              <w:jc w:val="center"/>
              <w:rPr>
                <w:iCs/>
              </w:rPr>
            </w:pPr>
            <w:r>
              <w:rPr>
                <w:iCs/>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0A898DC7" w14:textId="77777777" w:rsidR="001B0641" w:rsidRPr="00983A28" w:rsidRDefault="001B0641" w:rsidP="001B0641">
            <w:pPr>
              <w:jc w:val="center"/>
              <w:rPr>
                <w:iCs/>
              </w:rPr>
            </w:pPr>
            <w:r w:rsidRPr="00983A28">
              <w:rPr>
                <w:iCs/>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5A10CC2E" w14:textId="6D052A80" w:rsidR="001B0641" w:rsidRPr="00983A28" w:rsidRDefault="001B0641" w:rsidP="001B0641">
            <w:pPr>
              <w:jc w:val="center"/>
              <w:rPr>
                <w:iCs/>
              </w:rPr>
            </w:pPr>
            <w:r>
              <w:rPr>
                <w:iCs/>
              </w:rPr>
              <w:t>0</w:t>
            </w:r>
          </w:p>
        </w:tc>
        <w:tc>
          <w:tcPr>
            <w:tcW w:w="386" w:type="pct"/>
            <w:tcBorders>
              <w:top w:val="outset" w:sz="6" w:space="0" w:color="auto"/>
              <w:left w:val="outset" w:sz="6" w:space="0" w:color="auto"/>
              <w:bottom w:val="outset" w:sz="6" w:space="0" w:color="auto"/>
              <w:right w:val="outset" w:sz="6" w:space="0" w:color="auto"/>
            </w:tcBorders>
            <w:vAlign w:val="center"/>
            <w:hideMark/>
          </w:tcPr>
          <w:p w14:paraId="5175E617" w14:textId="77777777" w:rsidR="001B0641" w:rsidRPr="00983A28" w:rsidRDefault="001B0641" w:rsidP="001B0641">
            <w:pPr>
              <w:jc w:val="center"/>
              <w:rPr>
                <w:iCs/>
              </w:rPr>
            </w:pPr>
            <w:r w:rsidRPr="00983A28">
              <w:rPr>
                <w:iCs/>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3308D0FB" w14:textId="6BEAF9BD" w:rsidR="001B0641" w:rsidRPr="00983A28" w:rsidRDefault="001B0641" w:rsidP="001B0641">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7445F1BD" w14:textId="307BACE4" w:rsidR="001B0641" w:rsidRPr="00983A28" w:rsidRDefault="001B0641" w:rsidP="001B0641">
            <w:pPr>
              <w:jc w:val="center"/>
              <w:rPr>
                <w:iCs/>
              </w:rPr>
            </w:pPr>
            <w:r>
              <w:rPr>
                <w:iCs/>
              </w:rPr>
              <w:t>0</w:t>
            </w:r>
          </w:p>
        </w:tc>
      </w:tr>
      <w:tr w:rsidR="001B0641" w:rsidRPr="00983A28" w14:paraId="50738B2E"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595C05C9" w14:textId="77777777" w:rsidR="001B0641" w:rsidRPr="00B60149" w:rsidRDefault="001B0641" w:rsidP="001B0641">
            <w:pPr>
              <w:rPr>
                <w:b/>
                <w:iCs/>
                <w:sz w:val="20"/>
                <w:szCs w:val="20"/>
              </w:rPr>
            </w:pPr>
            <w:r w:rsidRPr="00B60149">
              <w:rPr>
                <w:b/>
                <w:iCs/>
                <w:sz w:val="20"/>
                <w:szCs w:val="20"/>
              </w:rPr>
              <w:t>5. Precizēta finansiālā ietekme</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14:paraId="3E35B0CB" w14:textId="77777777" w:rsidR="001B0641" w:rsidRPr="00983A28" w:rsidRDefault="001B0641" w:rsidP="001B0641">
            <w:pPr>
              <w:jc w:val="center"/>
              <w:rPr>
                <w:iCs/>
              </w:rPr>
            </w:pPr>
            <w:r w:rsidRPr="00983A28">
              <w:rPr>
                <w:iCs/>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2CCC3F54" w14:textId="03CAB01D" w:rsidR="001B0641" w:rsidRPr="00983A28" w:rsidRDefault="009408A6" w:rsidP="001B0641">
            <w:pPr>
              <w:jc w:val="center"/>
              <w:rPr>
                <w:iCs/>
              </w:rPr>
            </w:pPr>
            <w:r>
              <w:rPr>
                <w:iCs/>
              </w:rPr>
              <w:t>-878 988</w:t>
            </w:r>
          </w:p>
        </w:tc>
        <w:tc>
          <w:tcPr>
            <w:tcW w:w="570" w:type="pct"/>
            <w:vMerge w:val="restart"/>
            <w:tcBorders>
              <w:top w:val="outset" w:sz="6" w:space="0" w:color="auto"/>
              <w:left w:val="outset" w:sz="6" w:space="0" w:color="auto"/>
              <w:bottom w:val="outset" w:sz="6" w:space="0" w:color="auto"/>
              <w:right w:val="outset" w:sz="6" w:space="0" w:color="auto"/>
            </w:tcBorders>
            <w:vAlign w:val="center"/>
            <w:hideMark/>
          </w:tcPr>
          <w:p w14:paraId="56C5B7F9" w14:textId="77777777" w:rsidR="001B0641" w:rsidRPr="00983A28" w:rsidRDefault="001B0641" w:rsidP="001B0641">
            <w:pPr>
              <w:jc w:val="center"/>
              <w:rPr>
                <w:iCs/>
              </w:rPr>
            </w:pPr>
            <w:r w:rsidRPr="00983A28">
              <w:rPr>
                <w:iCs/>
              </w:rPr>
              <w:t>X</w:t>
            </w:r>
          </w:p>
        </w:tc>
        <w:tc>
          <w:tcPr>
            <w:tcW w:w="570" w:type="pct"/>
            <w:tcBorders>
              <w:top w:val="outset" w:sz="6" w:space="0" w:color="auto"/>
              <w:left w:val="outset" w:sz="6" w:space="0" w:color="auto"/>
              <w:bottom w:val="outset" w:sz="6" w:space="0" w:color="auto"/>
              <w:right w:val="outset" w:sz="6" w:space="0" w:color="auto"/>
            </w:tcBorders>
            <w:vAlign w:val="center"/>
            <w:hideMark/>
          </w:tcPr>
          <w:p w14:paraId="7A2FACB6" w14:textId="197E956D" w:rsidR="001B0641" w:rsidRPr="00983A28" w:rsidRDefault="009408A6" w:rsidP="001B0641">
            <w:pPr>
              <w:jc w:val="center"/>
              <w:rPr>
                <w:iCs/>
              </w:rPr>
            </w:pPr>
            <w:r>
              <w:rPr>
                <w:iCs/>
              </w:rPr>
              <w:t>-686 438</w:t>
            </w:r>
          </w:p>
        </w:tc>
        <w:tc>
          <w:tcPr>
            <w:tcW w:w="386" w:type="pct"/>
            <w:vMerge w:val="restart"/>
            <w:tcBorders>
              <w:top w:val="outset" w:sz="6" w:space="0" w:color="auto"/>
              <w:left w:val="outset" w:sz="6" w:space="0" w:color="auto"/>
              <w:bottom w:val="outset" w:sz="6" w:space="0" w:color="auto"/>
              <w:right w:val="outset" w:sz="6" w:space="0" w:color="auto"/>
            </w:tcBorders>
            <w:vAlign w:val="center"/>
            <w:hideMark/>
          </w:tcPr>
          <w:p w14:paraId="60EB137A" w14:textId="77777777" w:rsidR="001B0641" w:rsidRPr="00983A28" w:rsidRDefault="001B0641" w:rsidP="001B0641">
            <w:pPr>
              <w:jc w:val="center"/>
              <w:rPr>
                <w:iCs/>
              </w:rPr>
            </w:pPr>
            <w:r w:rsidRPr="00983A28">
              <w:rPr>
                <w:iCs/>
              </w:rPr>
              <w:t>X</w:t>
            </w:r>
          </w:p>
        </w:tc>
        <w:tc>
          <w:tcPr>
            <w:tcW w:w="553" w:type="pct"/>
            <w:tcBorders>
              <w:top w:val="outset" w:sz="6" w:space="0" w:color="auto"/>
              <w:left w:val="outset" w:sz="6" w:space="0" w:color="auto"/>
              <w:bottom w:val="outset" w:sz="6" w:space="0" w:color="auto"/>
              <w:right w:val="outset" w:sz="6" w:space="0" w:color="auto"/>
            </w:tcBorders>
            <w:vAlign w:val="center"/>
            <w:hideMark/>
          </w:tcPr>
          <w:p w14:paraId="355712AD" w14:textId="067F790B" w:rsidR="001B0641" w:rsidRPr="00983A28" w:rsidRDefault="009408A6" w:rsidP="001B0641">
            <w:pPr>
              <w:jc w:val="center"/>
              <w:rPr>
                <w:iCs/>
              </w:rPr>
            </w:pPr>
            <w:r>
              <w:rPr>
                <w:iCs/>
              </w:rPr>
              <w:t>-25 443</w:t>
            </w:r>
          </w:p>
        </w:tc>
        <w:tc>
          <w:tcPr>
            <w:tcW w:w="774" w:type="pct"/>
            <w:tcBorders>
              <w:top w:val="outset" w:sz="6" w:space="0" w:color="auto"/>
              <w:left w:val="outset" w:sz="6" w:space="0" w:color="auto"/>
              <w:bottom w:val="outset" w:sz="6" w:space="0" w:color="auto"/>
              <w:right w:val="outset" w:sz="6" w:space="0" w:color="auto"/>
            </w:tcBorders>
            <w:vAlign w:val="center"/>
            <w:hideMark/>
          </w:tcPr>
          <w:p w14:paraId="68744B24" w14:textId="032B70C8" w:rsidR="001B0641" w:rsidRPr="00983A28" w:rsidRDefault="001B0641" w:rsidP="001B0641">
            <w:pPr>
              <w:jc w:val="center"/>
              <w:rPr>
                <w:iCs/>
              </w:rPr>
            </w:pPr>
            <w:r>
              <w:rPr>
                <w:iCs/>
              </w:rPr>
              <w:t>0</w:t>
            </w:r>
          </w:p>
        </w:tc>
      </w:tr>
      <w:tr w:rsidR="001B0641" w:rsidRPr="00983A28" w14:paraId="76C138E0"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7BAF3B26" w14:textId="77777777" w:rsidR="001B0641" w:rsidRPr="00983A28" w:rsidRDefault="001B0641" w:rsidP="001B0641">
            <w:pPr>
              <w:rPr>
                <w:iCs/>
                <w:sz w:val="20"/>
                <w:szCs w:val="20"/>
              </w:rPr>
            </w:pPr>
            <w:r w:rsidRPr="00983A28">
              <w:rPr>
                <w:iCs/>
                <w:sz w:val="20"/>
                <w:szCs w:val="20"/>
              </w:rPr>
              <w:t>5.1. valsts pamatbudžets</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0C7D2009"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742BD3B" w14:textId="122E407C" w:rsidR="001B0641" w:rsidRPr="00983A28" w:rsidRDefault="009408A6" w:rsidP="001B0641">
            <w:pPr>
              <w:jc w:val="center"/>
              <w:rPr>
                <w:iCs/>
              </w:rPr>
            </w:pPr>
            <w:r>
              <w:rPr>
                <w:iCs/>
              </w:rPr>
              <w:t>-878 988</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1662509C"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54BB31C9" w14:textId="45DC5DDC" w:rsidR="001B0641" w:rsidRPr="00983A28" w:rsidRDefault="009408A6" w:rsidP="001B0641">
            <w:pPr>
              <w:jc w:val="center"/>
              <w:rPr>
                <w:iCs/>
              </w:rPr>
            </w:pPr>
            <w:r>
              <w:rPr>
                <w:iCs/>
              </w:rPr>
              <w:t>-686 438</w:t>
            </w:r>
          </w:p>
        </w:tc>
        <w:tc>
          <w:tcPr>
            <w:tcW w:w="386" w:type="pct"/>
            <w:vMerge/>
            <w:tcBorders>
              <w:top w:val="outset" w:sz="6" w:space="0" w:color="auto"/>
              <w:left w:val="outset" w:sz="6" w:space="0" w:color="auto"/>
              <w:bottom w:val="outset" w:sz="6" w:space="0" w:color="auto"/>
              <w:right w:val="outset" w:sz="6" w:space="0" w:color="auto"/>
            </w:tcBorders>
            <w:vAlign w:val="center"/>
            <w:hideMark/>
          </w:tcPr>
          <w:p w14:paraId="2C71BFF1" w14:textId="77777777" w:rsidR="001B0641" w:rsidRPr="00983A28" w:rsidRDefault="001B0641" w:rsidP="001B0641">
            <w:pPr>
              <w:jc w:val="center"/>
              <w:rPr>
                <w:iCs/>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22DD44D0" w14:textId="0FC234F1" w:rsidR="001B0641" w:rsidRPr="00983A28" w:rsidRDefault="009408A6" w:rsidP="001B0641">
            <w:pPr>
              <w:jc w:val="center"/>
              <w:rPr>
                <w:iCs/>
              </w:rPr>
            </w:pPr>
            <w:r>
              <w:rPr>
                <w:iCs/>
              </w:rPr>
              <w:t>-25 443</w:t>
            </w:r>
          </w:p>
        </w:tc>
        <w:tc>
          <w:tcPr>
            <w:tcW w:w="774" w:type="pct"/>
            <w:tcBorders>
              <w:top w:val="outset" w:sz="6" w:space="0" w:color="auto"/>
              <w:left w:val="outset" w:sz="6" w:space="0" w:color="auto"/>
              <w:bottom w:val="outset" w:sz="6" w:space="0" w:color="auto"/>
              <w:right w:val="outset" w:sz="6" w:space="0" w:color="auto"/>
            </w:tcBorders>
            <w:vAlign w:val="center"/>
            <w:hideMark/>
          </w:tcPr>
          <w:p w14:paraId="1DA5A540" w14:textId="34924A86" w:rsidR="001B0641" w:rsidRPr="00983A28" w:rsidRDefault="001B0641" w:rsidP="001B0641">
            <w:pPr>
              <w:jc w:val="center"/>
              <w:rPr>
                <w:iCs/>
              </w:rPr>
            </w:pPr>
            <w:r>
              <w:rPr>
                <w:iCs/>
              </w:rPr>
              <w:t>0</w:t>
            </w:r>
          </w:p>
        </w:tc>
      </w:tr>
      <w:tr w:rsidR="001B0641" w:rsidRPr="00983A28" w14:paraId="54E15496"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6DAFE527" w14:textId="77777777" w:rsidR="001B0641" w:rsidRPr="00983A28" w:rsidRDefault="001B0641" w:rsidP="001B0641">
            <w:pPr>
              <w:rPr>
                <w:iCs/>
                <w:sz w:val="20"/>
                <w:szCs w:val="20"/>
              </w:rPr>
            </w:pPr>
            <w:r w:rsidRPr="00983A28">
              <w:rPr>
                <w:iCs/>
                <w:sz w:val="20"/>
                <w:szCs w:val="20"/>
              </w:rPr>
              <w:t>5.2. speciālais budžets</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0FF70C12"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1396CE9B" w14:textId="5ED96BCF" w:rsidR="001B0641" w:rsidRPr="00983A28" w:rsidRDefault="001B0641" w:rsidP="001B0641">
            <w:pPr>
              <w:jc w:val="center"/>
              <w:rPr>
                <w:iCs/>
              </w:rPr>
            </w:pPr>
            <w:r>
              <w:rPr>
                <w:iCs/>
              </w:rPr>
              <w:t>0</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1B80CF67"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7A153A6" w14:textId="474E595F" w:rsidR="001B0641" w:rsidRPr="00983A28" w:rsidRDefault="001B0641" w:rsidP="001B0641">
            <w:pPr>
              <w:jc w:val="center"/>
              <w:rPr>
                <w:iCs/>
              </w:rPr>
            </w:pPr>
            <w:r>
              <w:rPr>
                <w:iCs/>
              </w:rPr>
              <w:t>0</w:t>
            </w:r>
          </w:p>
        </w:tc>
        <w:tc>
          <w:tcPr>
            <w:tcW w:w="386" w:type="pct"/>
            <w:vMerge/>
            <w:tcBorders>
              <w:top w:val="outset" w:sz="6" w:space="0" w:color="auto"/>
              <w:left w:val="outset" w:sz="6" w:space="0" w:color="auto"/>
              <w:bottom w:val="outset" w:sz="6" w:space="0" w:color="auto"/>
              <w:right w:val="outset" w:sz="6" w:space="0" w:color="auto"/>
            </w:tcBorders>
            <w:vAlign w:val="center"/>
            <w:hideMark/>
          </w:tcPr>
          <w:p w14:paraId="4312C7BE" w14:textId="77777777" w:rsidR="001B0641" w:rsidRPr="00983A28" w:rsidRDefault="001B0641" w:rsidP="001B0641">
            <w:pPr>
              <w:jc w:val="center"/>
              <w:rPr>
                <w:iCs/>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4285A5F4" w14:textId="0D5ABE63" w:rsidR="001B0641" w:rsidRPr="00983A28" w:rsidRDefault="001B0641" w:rsidP="001B0641">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1C3C6AFE" w14:textId="6B41D46A" w:rsidR="001B0641" w:rsidRPr="00983A28" w:rsidRDefault="001B0641" w:rsidP="001B0641">
            <w:pPr>
              <w:jc w:val="center"/>
              <w:rPr>
                <w:iCs/>
              </w:rPr>
            </w:pPr>
            <w:r>
              <w:rPr>
                <w:iCs/>
              </w:rPr>
              <w:t>0</w:t>
            </w:r>
          </w:p>
        </w:tc>
      </w:tr>
      <w:tr w:rsidR="001B0641" w:rsidRPr="00983A28" w14:paraId="2CCD494D"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6376CED0" w14:textId="77777777" w:rsidR="001B0641" w:rsidRPr="00983A28" w:rsidRDefault="001B0641" w:rsidP="001B0641">
            <w:pPr>
              <w:rPr>
                <w:iCs/>
                <w:sz w:val="20"/>
                <w:szCs w:val="20"/>
              </w:rPr>
            </w:pPr>
            <w:r w:rsidRPr="00983A28">
              <w:rPr>
                <w:iCs/>
                <w:sz w:val="20"/>
                <w:szCs w:val="20"/>
              </w:rPr>
              <w:t>5.3. pašvaldību budžets</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5FE8F6F9"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0757A080" w14:textId="5609D87D" w:rsidR="001B0641" w:rsidRPr="00983A28" w:rsidRDefault="001B0641" w:rsidP="001B0641">
            <w:pPr>
              <w:jc w:val="center"/>
              <w:rPr>
                <w:iCs/>
              </w:rPr>
            </w:pPr>
            <w:r>
              <w:rPr>
                <w:iCs/>
              </w:rPr>
              <w:t>0</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47B51382" w14:textId="77777777" w:rsidR="001B0641" w:rsidRPr="00983A28" w:rsidRDefault="001B0641" w:rsidP="001B0641">
            <w:pPr>
              <w:jc w:val="center"/>
              <w:rPr>
                <w:iCs/>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08BA473C" w14:textId="23C7741F" w:rsidR="001B0641" w:rsidRPr="00983A28" w:rsidRDefault="001B0641" w:rsidP="001B0641">
            <w:pPr>
              <w:jc w:val="center"/>
              <w:rPr>
                <w:iCs/>
              </w:rPr>
            </w:pPr>
            <w:r>
              <w:rPr>
                <w:iCs/>
              </w:rPr>
              <w:t>0</w:t>
            </w:r>
          </w:p>
        </w:tc>
        <w:tc>
          <w:tcPr>
            <w:tcW w:w="386" w:type="pct"/>
            <w:vMerge/>
            <w:tcBorders>
              <w:top w:val="outset" w:sz="6" w:space="0" w:color="auto"/>
              <w:left w:val="outset" w:sz="6" w:space="0" w:color="auto"/>
              <w:bottom w:val="outset" w:sz="6" w:space="0" w:color="auto"/>
              <w:right w:val="outset" w:sz="6" w:space="0" w:color="auto"/>
            </w:tcBorders>
            <w:vAlign w:val="center"/>
            <w:hideMark/>
          </w:tcPr>
          <w:p w14:paraId="6D4B7693" w14:textId="77777777" w:rsidR="001B0641" w:rsidRPr="00983A28" w:rsidRDefault="001B0641" w:rsidP="001B0641">
            <w:pPr>
              <w:jc w:val="center"/>
              <w:rPr>
                <w:iCs/>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0310E4EF" w14:textId="6D469761" w:rsidR="001B0641" w:rsidRPr="00983A28" w:rsidRDefault="001B0641" w:rsidP="001B0641">
            <w:pPr>
              <w:jc w:val="center"/>
              <w:rPr>
                <w:iCs/>
              </w:rPr>
            </w:pPr>
            <w:r>
              <w:rPr>
                <w:iCs/>
              </w:rPr>
              <w:t>0</w:t>
            </w:r>
          </w:p>
        </w:tc>
        <w:tc>
          <w:tcPr>
            <w:tcW w:w="774" w:type="pct"/>
            <w:tcBorders>
              <w:top w:val="outset" w:sz="6" w:space="0" w:color="auto"/>
              <w:left w:val="outset" w:sz="6" w:space="0" w:color="auto"/>
              <w:bottom w:val="outset" w:sz="6" w:space="0" w:color="auto"/>
              <w:right w:val="outset" w:sz="6" w:space="0" w:color="auto"/>
            </w:tcBorders>
            <w:vAlign w:val="center"/>
            <w:hideMark/>
          </w:tcPr>
          <w:p w14:paraId="3A2B5E4B" w14:textId="577EE044" w:rsidR="001B0641" w:rsidRPr="00983A28" w:rsidRDefault="001B0641" w:rsidP="001B0641">
            <w:pPr>
              <w:jc w:val="center"/>
              <w:rPr>
                <w:iCs/>
              </w:rPr>
            </w:pPr>
            <w:r>
              <w:rPr>
                <w:iCs/>
              </w:rPr>
              <w:t>0</w:t>
            </w:r>
          </w:p>
        </w:tc>
      </w:tr>
      <w:tr w:rsidR="001B0641" w:rsidRPr="00983A28" w14:paraId="4712AA84"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5A81E896" w14:textId="77777777" w:rsidR="001B0641" w:rsidRPr="00B60149" w:rsidRDefault="001B0641" w:rsidP="001B0641">
            <w:pPr>
              <w:rPr>
                <w:b/>
                <w:iCs/>
                <w:sz w:val="20"/>
                <w:szCs w:val="20"/>
              </w:rPr>
            </w:pPr>
            <w:r w:rsidRPr="00B60149">
              <w:rPr>
                <w:b/>
                <w:iCs/>
                <w:sz w:val="20"/>
                <w:szCs w:val="20"/>
              </w:rPr>
              <w:t>6. Detalizēts ieņēmumu un izdevumu aprēķins (ja nepieciešams, detalizētu ieņēmumu un izdevumu aprēķinu var pievienot anotācijas pielikumā)</w:t>
            </w:r>
          </w:p>
        </w:tc>
        <w:tc>
          <w:tcPr>
            <w:tcW w:w="4155" w:type="pct"/>
            <w:gridSpan w:val="7"/>
            <w:tcBorders>
              <w:top w:val="outset" w:sz="6" w:space="0" w:color="auto"/>
              <w:left w:val="outset" w:sz="6" w:space="0" w:color="auto"/>
              <w:bottom w:val="outset" w:sz="6" w:space="0" w:color="auto"/>
              <w:right w:val="outset" w:sz="6" w:space="0" w:color="auto"/>
            </w:tcBorders>
            <w:vAlign w:val="center"/>
            <w:hideMark/>
          </w:tcPr>
          <w:p w14:paraId="76575808" w14:textId="5CF95193" w:rsidR="00B97773" w:rsidRDefault="00B97773" w:rsidP="00B97773">
            <w:pPr>
              <w:pStyle w:val="naisf"/>
              <w:ind w:left="129" w:firstLine="0"/>
            </w:pPr>
            <w:r>
              <w:t>EAFVP darbības programmai (DP) kārtējā gada un vidēja termiņa valsts b</w:t>
            </w:r>
            <w:r w:rsidR="005C3224">
              <w:t xml:space="preserve">udžetā paredzēts finansējums – </w:t>
            </w:r>
            <w:r>
              <w:t>11 279 332</w:t>
            </w:r>
            <w:r w:rsidR="005C3224">
              <w:t xml:space="preserve"> EUR, tostarp budžeta ieņēmumu </w:t>
            </w:r>
            <w:r>
              <w:t>sadaļā - 85% ES finansējums (9 587 432 EUR) un finansiālās ietekmes sadaļā -</w:t>
            </w:r>
            <w:r w:rsidR="005C3224">
              <w:t xml:space="preserve"> </w:t>
            </w:r>
            <w:r>
              <w:t>15 % LV finansējums (1 691 900 EUR).</w:t>
            </w:r>
          </w:p>
          <w:p w14:paraId="14B3DB1E" w14:textId="70CA0368" w:rsidR="00B97773" w:rsidRDefault="00B97773" w:rsidP="00B97773">
            <w:pPr>
              <w:pStyle w:val="naisf"/>
              <w:ind w:left="129" w:firstLine="0"/>
            </w:pPr>
            <w:r>
              <w:t xml:space="preserve">DP ietvaros pieejamais finansējuma </w:t>
            </w:r>
            <w:r w:rsidR="005C3224">
              <w:t>atlikums no budžeta resora “74. </w:t>
            </w:r>
            <w:r>
              <w:t>Gadskārtējā valsts budžeta izpildes procesā pārdalāmais finansējums” budžeta programmas 80.00.00 “Nesadalītais finansējums ES politiku instrumentu un pārējās ārvalstu finanšu palīdzības līdzfinansēto projektu un pasākumu īstenošanai” – 1 274 448 EUR, tostarp budžeta ieņēmumu sadaļā - 85% ES finansējums (1 083 281 EUR) un finansiālās ietekmes sadaļā - 15 % LV finansējums (191 167 EUR). Indikatīvais finansējuma sadalījums DP īstenošanai (SIF):</w:t>
            </w:r>
          </w:p>
          <w:p w14:paraId="1A3AB8C8" w14:textId="52E9C246" w:rsidR="00B97773" w:rsidRDefault="00B97773" w:rsidP="00B97773">
            <w:pPr>
              <w:pStyle w:val="naisf"/>
              <w:ind w:left="129" w:firstLine="0"/>
            </w:pPr>
            <w:r>
              <w:t>2021. gadā – 1 162 007 EUR;</w:t>
            </w:r>
          </w:p>
          <w:p w14:paraId="44C4A59F" w14:textId="59CF7EF6" w:rsidR="001B0641" w:rsidRPr="00A344E8" w:rsidRDefault="00B97773" w:rsidP="00B97773">
            <w:pPr>
              <w:pStyle w:val="naisf"/>
              <w:spacing w:before="0" w:after="0"/>
              <w:ind w:left="129" w:firstLine="0"/>
            </w:pPr>
            <w:r>
              <w:lastRenderedPageBreak/>
              <w:t>2022. gadā – 112 441 EUR.</w:t>
            </w:r>
          </w:p>
        </w:tc>
      </w:tr>
      <w:tr w:rsidR="001B0641" w:rsidRPr="00983A28" w14:paraId="42C674D9"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3224570E" w14:textId="5841419C" w:rsidR="001B0641" w:rsidRPr="00983A28" w:rsidRDefault="001B0641" w:rsidP="001B0641">
            <w:pPr>
              <w:rPr>
                <w:iCs/>
                <w:sz w:val="20"/>
                <w:szCs w:val="20"/>
              </w:rPr>
            </w:pPr>
            <w:r w:rsidRPr="00983A28">
              <w:rPr>
                <w:iCs/>
                <w:sz w:val="20"/>
                <w:szCs w:val="20"/>
              </w:rPr>
              <w:lastRenderedPageBreak/>
              <w:t>6.1. detalizēts ieņēmumu aprēķins</w:t>
            </w:r>
          </w:p>
        </w:tc>
        <w:tc>
          <w:tcPr>
            <w:tcW w:w="4155" w:type="pct"/>
            <w:gridSpan w:val="7"/>
            <w:tcBorders>
              <w:top w:val="outset" w:sz="6" w:space="0" w:color="auto"/>
              <w:left w:val="outset" w:sz="6" w:space="0" w:color="auto"/>
              <w:bottom w:val="outset" w:sz="6" w:space="0" w:color="auto"/>
              <w:right w:val="outset" w:sz="6" w:space="0" w:color="auto"/>
            </w:tcBorders>
            <w:vAlign w:val="center"/>
            <w:hideMark/>
          </w:tcPr>
          <w:p w14:paraId="7C646DAC" w14:textId="77777777" w:rsidR="000A5359" w:rsidRPr="000A5359" w:rsidRDefault="000A5359" w:rsidP="000A5359">
            <w:pPr>
              <w:pStyle w:val="naisf"/>
              <w:spacing w:after="0"/>
              <w:ind w:left="202" w:firstLine="0"/>
            </w:pPr>
            <w:r w:rsidRPr="000A5359">
              <w:t xml:space="preserve">Papildus ES finansējums atbilstoši Eiropas Parlamenta un Padomes Regulai (ES) 2021/177 (10.02.2021.), ar ko groza Regulu (ES) Nr. 223/2014 attiecībā uz īpašu pasākumu ieviešanu ar </w:t>
            </w:r>
            <w:proofErr w:type="spellStart"/>
            <w:r w:rsidRPr="000A5359">
              <w:t>Covid-19</w:t>
            </w:r>
            <w:proofErr w:type="spellEnd"/>
            <w:r w:rsidRPr="000A5359">
              <w:t xml:space="preserve"> uzliesmojumu saistītās krīzes risināšanai (REACT-EU instrumenta finansējums) - 7 931 641 EUR, kas ir 85% no pieejamā REACT-EU instrumenta finansējuma (9 331 343 EUR), t.sk.:</w:t>
            </w:r>
          </w:p>
          <w:p w14:paraId="33D04D8E" w14:textId="77777777" w:rsidR="000A5359" w:rsidRPr="000A5359" w:rsidRDefault="000A5359" w:rsidP="000A5359">
            <w:pPr>
              <w:pStyle w:val="naisf"/>
              <w:spacing w:after="0"/>
              <w:ind w:left="202"/>
            </w:pPr>
            <w:r w:rsidRPr="000A5359">
              <w:t>2021. gadā – 3 993 223 EUR;</w:t>
            </w:r>
          </w:p>
          <w:p w14:paraId="593C13FB" w14:textId="77777777" w:rsidR="000A5359" w:rsidRPr="000A5359" w:rsidRDefault="000A5359" w:rsidP="000A5359">
            <w:pPr>
              <w:pStyle w:val="naisf"/>
              <w:spacing w:after="0"/>
              <w:ind w:left="202"/>
            </w:pPr>
            <w:r w:rsidRPr="000A5359">
              <w:t>2022. gadā – 3 794 242 EUR;</w:t>
            </w:r>
          </w:p>
          <w:p w14:paraId="70D76464" w14:textId="77777777" w:rsidR="000A5359" w:rsidRPr="000A5359" w:rsidRDefault="000A5359" w:rsidP="000A5359">
            <w:pPr>
              <w:pStyle w:val="naisf"/>
              <w:spacing w:after="0"/>
              <w:ind w:left="202"/>
            </w:pPr>
            <w:r w:rsidRPr="000A5359">
              <w:t>2023. gadā – 144 176 EUR.</w:t>
            </w:r>
          </w:p>
          <w:p w14:paraId="372C8A67" w14:textId="123332DD" w:rsidR="001B0641" w:rsidRPr="009810AF" w:rsidRDefault="000A5359" w:rsidP="000A5359">
            <w:pPr>
              <w:pStyle w:val="naisf"/>
              <w:spacing w:before="0" w:after="0"/>
              <w:ind w:left="202" w:firstLine="0"/>
            </w:pPr>
            <w:r w:rsidRPr="000A5359">
              <w:t>Indikatīvi prognozētais ieņēmumu finansējuma sadalījums pa gadiem var tikt precizēts atbilstoši ES normatīvā regulējuma izmaiņām, kā arī sociāli ekonomiskās un epidemioloģiskās situācijas izmaiņām.</w:t>
            </w:r>
          </w:p>
        </w:tc>
      </w:tr>
      <w:tr w:rsidR="001B0641" w:rsidRPr="00983A28" w14:paraId="4D66FDD8"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527D8418" w14:textId="77777777" w:rsidR="001B0641" w:rsidRPr="00983A28" w:rsidRDefault="001B0641" w:rsidP="001B0641">
            <w:pPr>
              <w:rPr>
                <w:iCs/>
                <w:sz w:val="20"/>
                <w:szCs w:val="20"/>
              </w:rPr>
            </w:pPr>
            <w:r w:rsidRPr="00983A28">
              <w:rPr>
                <w:iCs/>
                <w:sz w:val="20"/>
                <w:szCs w:val="20"/>
              </w:rPr>
              <w:t>6.2. detalizēts izdevumu aprēķins</w:t>
            </w:r>
          </w:p>
        </w:tc>
        <w:tc>
          <w:tcPr>
            <w:tcW w:w="4155" w:type="pct"/>
            <w:gridSpan w:val="7"/>
            <w:tcBorders>
              <w:top w:val="outset" w:sz="6" w:space="0" w:color="auto"/>
              <w:left w:val="outset" w:sz="6" w:space="0" w:color="auto"/>
              <w:bottom w:val="outset" w:sz="6" w:space="0" w:color="auto"/>
              <w:right w:val="outset" w:sz="6" w:space="0" w:color="auto"/>
            </w:tcBorders>
            <w:vAlign w:val="center"/>
            <w:hideMark/>
          </w:tcPr>
          <w:p w14:paraId="7DF33CD5" w14:textId="77777777" w:rsidR="00EF3243" w:rsidRDefault="00EF3243" w:rsidP="00EF3243">
            <w:pPr>
              <w:pStyle w:val="naisf"/>
              <w:spacing w:after="0"/>
              <w:ind w:left="202" w:firstLine="0"/>
            </w:pPr>
            <w:r w:rsidRPr="00EF3243">
              <w:t xml:space="preserve">Papildus - finansējums atbilstoši Eiropas Parlamenta un Padomes Regulai (ES) 2021/177 (10.02.2021.), ar ko groza Regulu (ES) Nr. 223/2014 attiecībā uz īpašu pasākumu ieviešanu ar </w:t>
            </w:r>
            <w:proofErr w:type="spellStart"/>
            <w:r w:rsidRPr="00EF3243">
              <w:t>Covid-19</w:t>
            </w:r>
            <w:proofErr w:type="spellEnd"/>
            <w:r w:rsidRPr="00EF3243">
              <w:t xml:space="preserve"> uzliesmojumu saistītās krīzes risināšanai (REACT-EU instrumenta finansējums) - 9 331 343 EUR.</w:t>
            </w:r>
          </w:p>
          <w:p w14:paraId="056F0AD0" w14:textId="77777777" w:rsidR="00EF3243" w:rsidRDefault="00EF3243" w:rsidP="00EF3243">
            <w:pPr>
              <w:pStyle w:val="naisf"/>
              <w:spacing w:after="0"/>
              <w:ind w:left="202" w:firstLine="0"/>
            </w:pPr>
            <w:r w:rsidRPr="00EF3243">
              <w:t>Indikatīvais finansējuma sadalījums:</w:t>
            </w:r>
          </w:p>
          <w:p w14:paraId="544136B5" w14:textId="0FFE9040" w:rsidR="00EF3243" w:rsidRPr="00EF3243" w:rsidRDefault="00EF3243" w:rsidP="00EF3243">
            <w:pPr>
              <w:pStyle w:val="naisf"/>
              <w:spacing w:after="0"/>
              <w:ind w:left="202" w:firstLine="0"/>
            </w:pPr>
            <w:r w:rsidRPr="00EF3243">
              <w:t>2021. gadā – 4 697 910 EUR, t.sk.:</w:t>
            </w:r>
          </w:p>
          <w:p w14:paraId="64DCA920" w14:textId="77777777" w:rsidR="00EF3243" w:rsidRPr="00EF3243" w:rsidRDefault="00EF3243" w:rsidP="00EF3243">
            <w:pPr>
              <w:pStyle w:val="naisf"/>
              <w:numPr>
                <w:ilvl w:val="0"/>
                <w:numId w:val="35"/>
              </w:numPr>
              <w:spacing w:after="0"/>
            </w:pPr>
            <w:r w:rsidRPr="00EF3243">
              <w:t>4 551 910 EUR – finansējums pārtikas un pamata materiālās nenodrošinātības mazināšanai (SIF), t. sk., izmaksas komplektu iegādei, 5% netiešās izmaksas partnerorganizācijām par komplektu izdali un 5% netiešās izmaksas partnerorganizācijām par papildpasākumu īstenošanu;</w:t>
            </w:r>
          </w:p>
          <w:p w14:paraId="005115A2" w14:textId="77777777" w:rsidR="00EF3243" w:rsidRPr="00EF3243" w:rsidRDefault="00EF3243" w:rsidP="00EF3243">
            <w:pPr>
              <w:pStyle w:val="naisf"/>
              <w:numPr>
                <w:ilvl w:val="0"/>
                <w:numId w:val="35"/>
              </w:numPr>
              <w:spacing w:after="0"/>
            </w:pPr>
            <w:r w:rsidRPr="00EF3243">
              <w:t>18 000 EUR - finansējums EAFVP vadošās un sertifikācijas iestādes (LM) funkciju nodrošināšanai (t.sk. 2021.-2027. gada plānošanas perioda normatīvā regulējuma izstrādes nodrošināšanai);</w:t>
            </w:r>
          </w:p>
          <w:p w14:paraId="41B795A2" w14:textId="77777777" w:rsidR="00EF3243" w:rsidRPr="00EF3243" w:rsidRDefault="00EF3243" w:rsidP="00EF3243">
            <w:pPr>
              <w:pStyle w:val="naisf"/>
              <w:numPr>
                <w:ilvl w:val="0"/>
                <w:numId w:val="35"/>
              </w:numPr>
              <w:spacing w:after="0"/>
            </w:pPr>
            <w:r w:rsidRPr="00EF3243">
              <w:t>128 000 EUR - finansējums EAFVP sadarbības iestādei (SIF) 2021.-2027. gada plānošanas perioda informācijas sistēmas izstrādei.</w:t>
            </w:r>
          </w:p>
          <w:p w14:paraId="3AF44105" w14:textId="77777777" w:rsidR="00EF3243" w:rsidRPr="00EF3243" w:rsidRDefault="00EF3243" w:rsidP="00EF3243">
            <w:pPr>
              <w:pStyle w:val="naisf"/>
              <w:spacing w:after="0"/>
            </w:pPr>
            <w:r w:rsidRPr="00EF3243">
              <w:t>2022. gadā – 4 463 814 EUR, t.sk.:</w:t>
            </w:r>
          </w:p>
          <w:p w14:paraId="476F2486" w14:textId="77777777" w:rsidR="00EF3243" w:rsidRPr="00EF3243" w:rsidRDefault="00EF3243" w:rsidP="00EF3243">
            <w:pPr>
              <w:pStyle w:val="naisf"/>
              <w:numPr>
                <w:ilvl w:val="0"/>
                <w:numId w:val="36"/>
              </w:numPr>
              <w:spacing w:after="0"/>
            </w:pPr>
            <w:r w:rsidRPr="00EF3243">
              <w:t>4 312 866 EUR - finansējums pārtikas un pamata materiālās nenodrošinātības mazināšanai (SIF), t. sk., izmaksas komplektu iegādei, 5% netiešās izmaksas partnerorganizācijām par komplektu izdali un 5% netiešās izmaksas partnerorganizācijām par papildpasākumu īstenošanu;</w:t>
            </w:r>
          </w:p>
          <w:p w14:paraId="0DD8FC01" w14:textId="77777777" w:rsidR="00EF3243" w:rsidRPr="00EF3243" w:rsidRDefault="00EF3243" w:rsidP="00EF3243">
            <w:pPr>
              <w:pStyle w:val="naisf"/>
              <w:numPr>
                <w:ilvl w:val="0"/>
                <w:numId w:val="36"/>
              </w:numPr>
              <w:spacing w:after="0"/>
            </w:pPr>
            <w:r w:rsidRPr="00EF3243">
              <w:t>88 216 EUR - finansējums 2014.-2020. gada plānošanas perioda EAFVP vadošās iestādes un sertifikācijas iestādes (LM) funkciju nodrošināšanai un 2021.-2027. gada plānošanas perioda normatīvā regulējuma izstrādes nodrošināšanai, kā arī datu apmaiņas risinājuma izvērtējumam sniegtā atbalsta elektroniskai uzskaitei;</w:t>
            </w:r>
          </w:p>
          <w:p w14:paraId="5848653D" w14:textId="77777777" w:rsidR="00EF3243" w:rsidRPr="00EF3243" w:rsidRDefault="00EF3243" w:rsidP="00EF3243">
            <w:pPr>
              <w:pStyle w:val="naisf"/>
              <w:numPr>
                <w:ilvl w:val="0"/>
                <w:numId w:val="36"/>
              </w:numPr>
              <w:spacing w:after="0"/>
            </w:pPr>
            <w:r w:rsidRPr="00EF3243">
              <w:t xml:space="preserve">33 827 EUR - finansējums 2014.-2020. gada plānošanas perioda EAFVP sadarbības iestādes (SIF) funkciju nodrošināšanai; </w:t>
            </w:r>
          </w:p>
          <w:p w14:paraId="6C60BBCF" w14:textId="77777777" w:rsidR="00EF3243" w:rsidRPr="00EF3243" w:rsidRDefault="00EF3243" w:rsidP="00EF3243">
            <w:pPr>
              <w:pStyle w:val="naisf"/>
              <w:numPr>
                <w:ilvl w:val="0"/>
                <w:numId w:val="36"/>
              </w:numPr>
              <w:spacing w:after="0"/>
            </w:pPr>
            <w:r w:rsidRPr="00EF3243">
              <w:t>28 905 EUR - finansējums 2014.-2020. gada plānošanas perioda EAFVP revīzijas iestādes (FM) funkciju nodrošināšanai.</w:t>
            </w:r>
          </w:p>
          <w:p w14:paraId="5611EE8E" w14:textId="77777777" w:rsidR="00EF3243" w:rsidRPr="00EF3243" w:rsidRDefault="00EF3243" w:rsidP="00EF3243">
            <w:pPr>
              <w:pStyle w:val="naisf"/>
              <w:spacing w:after="0"/>
            </w:pPr>
            <w:r w:rsidRPr="00EF3243">
              <w:lastRenderedPageBreak/>
              <w:t>2023. gadā – 169 619, t.sk.:</w:t>
            </w:r>
          </w:p>
          <w:p w14:paraId="08F9AF41" w14:textId="77777777" w:rsidR="00EF3243" w:rsidRPr="00EF3243" w:rsidRDefault="00EF3243" w:rsidP="00EF3243">
            <w:pPr>
              <w:pStyle w:val="naisf"/>
              <w:numPr>
                <w:ilvl w:val="0"/>
                <w:numId w:val="37"/>
              </w:numPr>
              <w:spacing w:after="0"/>
            </w:pPr>
            <w:r w:rsidRPr="00EF3243">
              <w:t>86 522 EUR - finansējums 2014.-2020. gada plānošanas perioda EAFVP vadošās un sertifikācijas iestādes (LM) funkciju nodrošināšanai 6 mēnešiem un 2021.-2027. gada plānošanas perioda normatīvā regulējuma izstrādes nodrošināšanai;</w:t>
            </w:r>
          </w:p>
          <w:p w14:paraId="6DC51924" w14:textId="77777777" w:rsidR="00EF3243" w:rsidRPr="00EF3243" w:rsidRDefault="00EF3243" w:rsidP="00EF3243">
            <w:pPr>
              <w:pStyle w:val="naisf"/>
              <w:numPr>
                <w:ilvl w:val="0"/>
                <w:numId w:val="37"/>
              </w:numPr>
              <w:spacing w:after="0"/>
            </w:pPr>
            <w:r w:rsidRPr="00EF3243">
              <w:t>68 644 EUR - finansējums 2014.-2020. gada plānošanas perioda EAFVP sadarbības iestādes (SIF) funkciju nodrošināšanai 6 mēnešiem;</w:t>
            </w:r>
          </w:p>
          <w:p w14:paraId="3D6273B0" w14:textId="77777777" w:rsidR="00EF3243" w:rsidRPr="00EF3243" w:rsidRDefault="00EF3243" w:rsidP="00EF3243">
            <w:pPr>
              <w:pStyle w:val="naisf"/>
              <w:numPr>
                <w:ilvl w:val="0"/>
                <w:numId w:val="37"/>
              </w:numPr>
              <w:spacing w:after="0"/>
            </w:pPr>
            <w:r w:rsidRPr="00EF3243">
              <w:t xml:space="preserve">14 453 EUR - finansējums 2014.-2020. gada plānošanas perioda EAFVP revīzijas iestādes (FM) funkciju nodrošināšanai 6 mēnešiem. </w:t>
            </w:r>
          </w:p>
          <w:p w14:paraId="34383788" w14:textId="77777777" w:rsidR="00EF3243" w:rsidRDefault="00EF3243" w:rsidP="00EF3243">
            <w:pPr>
              <w:pStyle w:val="naisf"/>
              <w:spacing w:after="0"/>
              <w:ind w:left="202" w:firstLine="0"/>
            </w:pPr>
            <w:r w:rsidRPr="00EF3243">
              <w:t>Indikatīvi prognozētais finansējums izdevumiem var tikt precizēts atbilstoši sociāli ekonomiskās un epidemioloģiskās situācijas izmaiņām, iepirkumu rezultātiem un atbalsta saņēmēju skaita izmaiņām.</w:t>
            </w:r>
          </w:p>
          <w:p w14:paraId="77F430E5" w14:textId="6BB729F4" w:rsidR="00EF3243" w:rsidRPr="00EF3243" w:rsidRDefault="00EF3243" w:rsidP="00EF3243">
            <w:pPr>
              <w:pStyle w:val="naisf"/>
              <w:spacing w:after="0"/>
              <w:ind w:left="202" w:firstLine="0"/>
              <w:rPr>
                <w:b/>
              </w:rPr>
            </w:pPr>
            <w:r w:rsidRPr="00EF3243">
              <w:rPr>
                <w:b/>
              </w:rPr>
              <w:t>Fiskālā ietekme</w:t>
            </w:r>
          </w:p>
          <w:p w14:paraId="6E04B70D" w14:textId="77777777" w:rsidR="00EF3243" w:rsidRPr="00EF3243" w:rsidRDefault="00EF3243" w:rsidP="00EF3243">
            <w:pPr>
              <w:pStyle w:val="naisf"/>
              <w:spacing w:after="0"/>
              <w:ind w:left="202" w:firstLine="0"/>
            </w:pPr>
            <w:r w:rsidRPr="00EF3243">
              <w:t>LV puses līdzfinansējums, kas ir 15% no pieejamā REACT-EU instrumenta finansējuma (9 331 343 EUR) – 1 399 702 EUR, t.sk.:</w:t>
            </w:r>
          </w:p>
          <w:p w14:paraId="45EF6349" w14:textId="77777777" w:rsidR="00EF3243" w:rsidRPr="00EF3243" w:rsidRDefault="00EF3243" w:rsidP="00EF3243">
            <w:pPr>
              <w:pStyle w:val="naisf"/>
              <w:spacing w:after="0"/>
              <w:ind w:left="202"/>
            </w:pPr>
            <w:r w:rsidRPr="00EF3243">
              <w:t>2021. gadā – 704 687 EUR;</w:t>
            </w:r>
          </w:p>
          <w:p w14:paraId="0BC0C136" w14:textId="77777777" w:rsidR="00EF3243" w:rsidRPr="00EF3243" w:rsidRDefault="00EF3243" w:rsidP="00EF3243">
            <w:pPr>
              <w:pStyle w:val="naisf"/>
              <w:spacing w:after="0"/>
              <w:ind w:left="202"/>
            </w:pPr>
            <w:r w:rsidRPr="00EF3243">
              <w:t>2022. gadā – 669 572 EUR</w:t>
            </w:r>
          </w:p>
          <w:p w14:paraId="7CC0F859" w14:textId="77777777" w:rsidR="00EF3243" w:rsidRPr="00EF3243" w:rsidRDefault="00EF3243" w:rsidP="00EF3243">
            <w:pPr>
              <w:pStyle w:val="naisf"/>
              <w:spacing w:after="0"/>
              <w:ind w:left="202"/>
            </w:pPr>
            <w:r w:rsidRPr="00EF3243">
              <w:t>2023. gadā – 25 443 EUR.</w:t>
            </w:r>
          </w:p>
          <w:p w14:paraId="503C4211" w14:textId="77777777" w:rsidR="00EF3243" w:rsidRPr="00EF3243" w:rsidRDefault="00EF3243" w:rsidP="00EF3243">
            <w:pPr>
              <w:pStyle w:val="naisf"/>
              <w:spacing w:after="0"/>
              <w:ind w:left="202" w:firstLine="0"/>
            </w:pPr>
            <w:r w:rsidRPr="00EF3243">
              <w:t>Pēc DP grozījumu projekta stāšanās spēkā LM, SIF un FM normatīvajos aktos noteiktajā kārtībā nepieciešamo finansējumu DP 2021. gadam lūgs pārdalīt no budžeta resora “74. Gadskārtējā valsts budžeta izpildes procesā pārdalāmais finansējums” budžeta programmas 80.00.00 “Nesadalītais finansējums ES politiku instrumentu un pārējās ārvalstu finanšu palīdzības līdzfinansēto projektu un pasākumu īstenošanai”.</w:t>
            </w:r>
          </w:p>
          <w:p w14:paraId="34416FB3" w14:textId="72D06B40" w:rsidR="001B0641" w:rsidRPr="00EF3243" w:rsidRDefault="00EF3243" w:rsidP="00EF3243">
            <w:pPr>
              <w:pStyle w:val="naisf"/>
              <w:spacing w:before="0" w:after="0"/>
              <w:ind w:left="202" w:firstLine="0"/>
            </w:pPr>
            <w:r w:rsidRPr="00EF3243">
              <w:t>Par DP nepieciešamo finansējumu 2022. un 2023. gadam LM, SIF un FM sniegs priekšlikumu valsts budžeta bāzes sagatavošanas un izskatīšanas procesā.</w:t>
            </w:r>
          </w:p>
        </w:tc>
      </w:tr>
      <w:tr w:rsidR="001B0641" w:rsidRPr="00983A28" w14:paraId="44033577"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03251CD1" w14:textId="77777777" w:rsidR="001B0641" w:rsidRPr="00983A28" w:rsidRDefault="001B0641" w:rsidP="001B0641">
            <w:pPr>
              <w:rPr>
                <w:iCs/>
                <w:sz w:val="20"/>
                <w:szCs w:val="20"/>
              </w:rPr>
            </w:pPr>
            <w:r w:rsidRPr="00983A28">
              <w:rPr>
                <w:iCs/>
                <w:sz w:val="20"/>
                <w:szCs w:val="20"/>
              </w:rPr>
              <w:lastRenderedPageBreak/>
              <w:t>7. Amata vietu skaita izmaiņas</w:t>
            </w:r>
          </w:p>
        </w:tc>
        <w:tc>
          <w:tcPr>
            <w:tcW w:w="4155" w:type="pct"/>
            <w:gridSpan w:val="7"/>
            <w:tcBorders>
              <w:top w:val="outset" w:sz="6" w:space="0" w:color="auto"/>
              <w:left w:val="outset" w:sz="6" w:space="0" w:color="auto"/>
              <w:bottom w:val="outset" w:sz="6" w:space="0" w:color="auto"/>
              <w:right w:val="outset" w:sz="6" w:space="0" w:color="auto"/>
            </w:tcBorders>
            <w:hideMark/>
          </w:tcPr>
          <w:p w14:paraId="41CF2D21" w14:textId="64CA1F4B" w:rsidR="001B0641" w:rsidRPr="00983A28" w:rsidRDefault="001B0641" w:rsidP="001B0641">
            <w:pPr>
              <w:rPr>
                <w:iCs/>
              </w:rPr>
            </w:pPr>
            <w:r>
              <w:rPr>
                <w:iCs/>
              </w:rPr>
              <w:t>Nav izmaiņu.</w:t>
            </w:r>
          </w:p>
        </w:tc>
      </w:tr>
      <w:tr w:rsidR="001B0641" w:rsidRPr="00983A28" w14:paraId="045D1D31" w14:textId="77777777" w:rsidTr="001941DD">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14:paraId="4A26E4FB" w14:textId="77777777" w:rsidR="001B0641" w:rsidRPr="00983A28" w:rsidRDefault="001B0641" w:rsidP="001B0641">
            <w:pPr>
              <w:rPr>
                <w:iCs/>
                <w:sz w:val="20"/>
                <w:szCs w:val="20"/>
              </w:rPr>
            </w:pPr>
            <w:r w:rsidRPr="00983A28">
              <w:rPr>
                <w:iCs/>
                <w:sz w:val="20"/>
                <w:szCs w:val="20"/>
              </w:rPr>
              <w:t>8. Cita informācija</w:t>
            </w:r>
          </w:p>
        </w:tc>
        <w:tc>
          <w:tcPr>
            <w:tcW w:w="4155" w:type="pct"/>
            <w:gridSpan w:val="7"/>
            <w:tcBorders>
              <w:top w:val="outset" w:sz="6" w:space="0" w:color="auto"/>
              <w:left w:val="outset" w:sz="6" w:space="0" w:color="auto"/>
              <w:bottom w:val="outset" w:sz="6" w:space="0" w:color="auto"/>
              <w:right w:val="outset" w:sz="6" w:space="0" w:color="auto"/>
            </w:tcBorders>
            <w:hideMark/>
          </w:tcPr>
          <w:p w14:paraId="512B475A" w14:textId="493F90E9" w:rsidR="001B0641" w:rsidRPr="00983A28" w:rsidRDefault="001B0641" w:rsidP="001B0641">
            <w:pPr>
              <w:rPr>
                <w:iCs/>
              </w:rPr>
            </w:pPr>
            <w:r>
              <w:rPr>
                <w:iCs/>
              </w:rPr>
              <w:t>Nav</w:t>
            </w:r>
          </w:p>
        </w:tc>
      </w:tr>
    </w:tbl>
    <w:p w14:paraId="5EC985B5" w14:textId="77777777" w:rsidR="00872939" w:rsidRPr="00444AE8" w:rsidRDefault="00872939" w:rsidP="002C26C3">
      <w:pPr>
        <w:pStyle w:val="Title"/>
        <w:spacing w:before="130"/>
        <w:jc w:val="both"/>
        <w:rPr>
          <w:sz w:val="24"/>
          <w:szCs w:val="24"/>
        </w:rPr>
      </w:pPr>
    </w:p>
    <w:tbl>
      <w:tblPr>
        <w:tblW w:w="52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2"/>
        <w:gridCol w:w="2429"/>
        <w:gridCol w:w="5791"/>
      </w:tblGrid>
      <w:tr w:rsidR="00444AE8" w:rsidRPr="00444AE8" w14:paraId="33ED046F" w14:textId="77777777" w:rsidTr="00E7036E">
        <w:tc>
          <w:tcPr>
            <w:tcW w:w="8742" w:type="dxa"/>
            <w:gridSpan w:val="3"/>
            <w:vAlign w:val="center"/>
            <w:hideMark/>
          </w:tcPr>
          <w:p w14:paraId="17766428" w14:textId="77777777" w:rsidR="0083707D" w:rsidRPr="00444AE8" w:rsidRDefault="0083707D" w:rsidP="002C26C3">
            <w:pPr>
              <w:jc w:val="center"/>
              <w:rPr>
                <w:b/>
                <w:bCs/>
              </w:rPr>
            </w:pPr>
            <w:r w:rsidRPr="00444AE8">
              <w:rPr>
                <w:b/>
                <w:bCs/>
              </w:rPr>
              <w:t>IV. Tiesību akta projekta ietekme uz spēkā esošo tiesību normu sistēmu</w:t>
            </w:r>
          </w:p>
        </w:tc>
      </w:tr>
      <w:tr w:rsidR="00444AE8" w:rsidRPr="00444AE8" w14:paraId="484F5995" w14:textId="77777777" w:rsidTr="00E7036E">
        <w:tc>
          <w:tcPr>
            <w:tcW w:w="522" w:type="dxa"/>
            <w:hideMark/>
          </w:tcPr>
          <w:p w14:paraId="26CFEF1E" w14:textId="77777777" w:rsidR="0083707D" w:rsidRPr="00444AE8" w:rsidRDefault="0083707D" w:rsidP="002C26C3">
            <w:pPr>
              <w:jc w:val="center"/>
            </w:pPr>
            <w:r w:rsidRPr="00444AE8">
              <w:t>1.</w:t>
            </w:r>
          </w:p>
        </w:tc>
        <w:tc>
          <w:tcPr>
            <w:tcW w:w="2429" w:type="dxa"/>
            <w:hideMark/>
          </w:tcPr>
          <w:p w14:paraId="12150EBE" w14:textId="77777777" w:rsidR="0083707D" w:rsidRPr="00444AE8" w:rsidRDefault="0083707D" w:rsidP="002C26C3">
            <w:r w:rsidRPr="00444AE8">
              <w:t>Saistītie tiesību aktu projekti</w:t>
            </w:r>
          </w:p>
        </w:tc>
        <w:tc>
          <w:tcPr>
            <w:tcW w:w="5791" w:type="dxa"/>
            <w:hideMark/>
          </w:tcPr>
          <w:p w14:paraId="4CE35561" w14:textId="043BAE33" w:rsidR="00405A5E" w:rsidRPr="00444AE8" w:rsidRDefault="0040288F" w:rsidP="002C26C3">
            <w:pPr>
              <w:ind w:right="44"/>
              <w:jc w:val="both"/>
              <w:rPr>
                <w:shd w:val="clear" w:color="auto" w:fill="FFFFFF"/>
              </w:rPr>
            </w:pPr>
            <w:r w:rsidRPr="00444AE8">
              <w:t xml:space="preserve">Vienlaikus ar </w:t>
            </w:r>
            <w:r w:rsidRPr="00444AE8">
              <w:rPr>
                <w:bCs/>
              </w:rPr>
              <w:t xml:space="preserve">Rīkojuma projektu </w:t>
            </w:r>
            <w:r w:rsidR="00046631" w:rsidRPr="00444AE8">
              <w:t xml:space="preserve">izstrādāti arī grozījumi </w:t>
            </w:r>
            <w:r w:rsidR="00166AC7" w:rsidRPr="00444AE8">
              <w:t>Ministru kabineta 25.11.2014. noteikumos Nr.</w:t>
            </w:r>
            <w:r w:rsidR="00405A5E" w:rsidRPr="00444AE8">
              <w:t> </w:t>
            </w:r>
            <w:r w:rsidR="00166AC7" w:rsidRPr="00444AE8">
              <w:t>727 “Darbības programmas "Pārtikas un pamata materiālās palīdzības sniegšana vistrūcīgākajām personām 2014.-2020.</w:t>
            </w:r>
            <w:r w:rsidR="00720083" w:rsidRPr="00444AE8">
              <w:t> </w:t>
            </w:r>
            <w:r w:rsidR="00166AC7" w:rsidRPr="00444AE8">
              <w:t xml:space="preserve">gada plānošanas </w:t>
            </w:r>
            <w:r w:rsidR="00DA6CE3" w:rsidRPr="00444AE8">
              <w:t>periodā" īstenošanas noteikumi”, to 2. punktā nosakot Fonda</w:t>
            </w:r>
            <w:r w:rsidR="00DA6CE3" w:rsidRPr="00444AE8">
              <w:rPr>
                <w:shd w:val="clear" w:color="auto" w:fill="FFFFFF"/>
              </w:rPr>
              <w:t xml:space="preserve"> kopējo attiecināmo finansējumu</w:t>
            </w:r>
            <w:r w:rsidR="007B3168" w:rsidRPr="00444AE8">
              <w:rPr>
                <w:shd w:val="clear" w:color="auto" w:fill="FFFFFF"/>
              </w:rPr>
              <w:t xml:space="preserve"> 57 595 425 </w:t>
            </w:r>
            <w:proofErr w:type="spellStart"/>
            <w:r w:rsidR="007B3168" w:rsidRPr="00444AE8">
              <w:rPr>
                <w:shd w:val="clear" w:color="auto" w:fill="FFFFFF"/>
              </w:rPr>
              <w:t>euro</w:t>
            </w:r>
            <w:proofErr w:type="spellEnd"/>
            <w:r w:rsidR="007B3168" w:rsidRPr="00444AE8">
              <w:rPr>
                <w:shd w:val="clear" w:color="auto" w:fill="FFFFFF"/>
              </w:rPr>
              <w:t>, tai skaitā Fonda finansējumu 48 956</w:t>
            </w:r>
            <w:r w:rsidR="009302EB" w:rsidRPr="00444AE8">
              <w:rPr>
                <w:shd w:val="clear" w:color="auto" w:fill="FFFFFF"/>
              </w:rPr>
              <w:t> </w:t>
            </w:r>
            <w:r w:rsidR="007B3168" w:rsidRPr="00444AE8">
              <w:rPr>
                <w:shd w:val="clear" w:color="auto" w:fill="FFFFFF"/>
              </w:rPr>
              <w:t>110</w:t>
            </w:r>
            <w:r w:rsidR="009302EB" w:rsidRPr="00444AE8">
              <w:rPr>
                <w:shd w:val="clear" w:color="auto" w:fill="FFFFFF"/>
              </w:rPr>
              <w:t> </w:t>
            </w:r>
            <w:proofErr w:type="spellStart"/>
            <w:r w:rsidR="007B3168" w:rsidRPr="00444AE8">
              <w:rPr>
                <w:shd w:val="clear" w:color="auto" w:fill="FFFFFF"/>
              </w:rPr>
              <w:t>euro</w:t>
            </w:r>
            <w:proofErr w:type="spellEnd"/>
            <w:r w:rsidR="007B3168" w:rsidRPr="00444AE8">
              <w:rPr>
                <w:shd w:val="clear" w:color="auto" w:fill="FFFFFF"/>
              </w:rPr>
              <w:t xml:space="preserve"> </w:t>
            </w:r>
            <w:r w:rsidR="00405A5E" w:rsidRPr="00444AE8">
              <w:rPr>
                <w:shd w:val="clear" w:color="auto" w:fill="FFFFFF"/>
              </w:rPr>
              <w:t xml:space="preserve">un valsts budžeta finansējums </w:t>
            </w:r>
            <w:r w:rsidR="007B3168" w:rsidRPr="00444AE8">
              <w:rPr>
                <w:shd w:val="clear" w:color="auto" w:fill="FFFFFF"/>
              </w:rPr>
              <w:t>8 639 315</w:t>
            </w:r>
            <w:r w:rsidR="00405A5E" w:rsidRPr="00444AE8">
              <w:rPr>
                <w:shd w:val="clear" w:color="auto" w:fill="FFFFFF"/>
              </w:rPr>
              <w:t> </w:t>
            </w:r>
            <w:proofErr w:type="spellStart"/>
            <w:r w:rsidR="00405A5E" w:rsidRPr="00444AE8">
              <w:rPr>
                <w:iCs/>
                <w:shd w:val="clear" w:color="auto" w:fill="FFFFFF"/>
              </w:rPr>
              <w:t>euro</w:t>
            </w:r>
            <w:proofErr w:type="spellEnd"/>
            <w:r w:rsidR="00405A5E" w:rsidRPr="00444AE8">
              <w:rPr>
                <w:shd w:val="clear" w:color="auto" w:fill="FFFFFF"/>
              </w:rPr>
              <w:t>.</w:t>
            </w:r>
          </w:p>
        </w:tc>
      </w:tr>
      <w:tr w:rsidR="00444AE8" w:rsidRPr="00444AE8" w14:paraId="68406200" w14:textId="77777777" w:rsidTr="00E7036E">
        <w:tc>
          <w:tcPr>
            <w:tcW w:w="522" w:type="dxa"/>
            <w:hideMark/>
          </w:tcPr>
          <w:p w14:paraId="272C7FD3" w14:textId="77777777" w:rsidR="0083707D" w:rsidRPr="00444AE8" w:rsidRDefault="0083707D" w:rsidP="002C26C3">
            <w:pPr>
              <w:jc w:val="center"/>
            </w:pPr>
            <w:r w:rsidRPr="00444AE8">
              <w:t>2.</w:t>
            </w:r>
          </w:p>
        </w:tc>
        <w:tc>
          <w:tcPr>
            <w:tcW w:w="2429" w:type="dxa"/>
            <w:hideMark/>
          </w:tcPr>
          <w:p w14:paraId="71307B32" w14:textId="77777777" w:rsidR="0083707D" w:rsidRPr="00105B9D" w:rsidRDefault="0083707D" w:rsidP="002C26C3">
            <w:r w:rsidRPr="00105B9D">
              <w:t>Atbildīgā institūcija</w:t>
            </w:r>
          </w:p>
        </w:tc>
        <w:tc>
          <w:tcPr>
            <w:tcW w:w="5791" w:type="dxa"/>
            <w:hideMark/>
          </w:tcPr>
          <w:p w14:paraId="6BF31A2F" w14:textId="7235A671" w:rsidR="0083707D" w:rsidRPr="00105B9D" w:rsidRDefault="00E8634B" w:rsidP="002C26C3">
            <w:r w:rsidRPr="00105B9D">
              <w:t>L</w:t>
            </w:r>
            <w:r w:rsidR="00646E8E" w:rsidRPr="00105B9D">
              <w:t>abklājības ministrija.</w:t>
            </w:r>
          </w:p>
        </w:tc>
      </w:tr>
      <w:tr w:rsidR="00444AE8" w:rsidRPr="00444AE8" w14:paraId="3A5C3C8D" w14:textId="77777777" w:rsidTr="00E7036E">
        <w:tc>
          <w:tcPr>
            <w:tcW w:w="522" w:type="dxa"/>
            <w:hideMark/>
          </w:tcPr>
          <w:p w14:paraId="08FC8D9E" w14:textId="77777777" w:rsidR="0083707D" w:rsidRPr="00444AE8" w:rsidRDefault="0083707D" w:rsidP="002C26C3">
            <w:pPr>
              <w:jc w:val="center"/>
            </w:pPr>
            <w:r w:rsidRPr="00444AE8">
              <w:t>3.</w:t>
            </w:r>
          </w:p>
        </w:tc>
        <w:tc>
          <w:tcPr>
            <w:tcW w:w="2429" w:type="dxa"/>
            <w:hideMark/>
          </w:tcPr>
          <w:p w14:paraId="5BD1A44A" w14:textId="77777777" w:rsidR="0083707D" w:rsidRPr="00105B9D" w:rsidRDefault="0083707D" w:rsidP="002C26C3">
            <w:r w:rsidRPr="00105B9D">
              <w:t>Cita informācija</w:t>
            </w:r>
          </w:p>
        </w:tc>
        <w:tc>
          <w:tcPr>
            <w:tcW w:w="5791" w:type="dxa"/>
            <w:hideMark/>
          </w:tcPr>
          <w:p w14:paraId="14988613" w14:textId="5BD2226D" w:rsidR="004B3A93" w:rsidRPr="00105B9D" w:rsidRDefault="00105B9D" w:rsidP="002C26C3">
            <w:pPr>
              <w:jc w:val="both"/>
            </w:pPr>
            <w:r w:rsidRPr="00105B9D">
              <w:t>Nav.</w:t>
            </w:r>
          </w:p>
        </w:tc>
      </w:tr>
    </w:tbl>
    <w:p w14:paraId="414E19F3" w14:textId="77777777" w:rsidR="00277AF4" w:rsidRPr="00444AE8" w:rsidRDefault="00277AF4" w:rsidP="00A012FD">
      <w:pPr>
        <w:pStyle w:val="Title"/>
        <w:spacing w:before="130"/>
        <w:jc w:val="both"/>
        <w:rPr>
          <w:sz w:val="24"/>
          <w:szCs w:val="24"/>
        </w:rPr>
      </w:pPr>
    </w:p>
    <w:tbl>
      <w:tblPr>
        <w:tblW w:w="52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42"/>
      </w:tblGrid>
      <w:tr w:rsidR="00444AE8" w:rsidRPr="00444AE8" w14:paraId="0AF3C2DD" w14:textId="77777777" w:rsidTr="00C40B61">
        <w:trPr>
          <w:cantSplit/>
        </w:trPr>
        <w:tc>
          <w:tcPr>
            <w:tcW w:w="8786" w:type="dxa"/>
            <w:vAlign w:val="center"/>
            <w:hideMark/>
          </w:tcPr>
          <w:p w14:paraId="0705F77A" w14:textId="77777777" w:rsidR="006B4398" w:rsidRPr="00444AE8" w:rsidRDefault="006B4398" w:rsidP="002C26C3">
            <w:pPr>
              <w:jc w:val="center"/>
              <w:rPr>
                <w:b/>
                <w:bCs/>
              </w:rPr>
            </w:pPr>
            <w:r w:rsidRPr="00444AE8">
              <w:rPr>
                <w:b/>
                <w:bCs/>
              </w:rPr>
              <w:t>V. Tiesību akta projekta atbilstība Latvijas Republikas starptautiskajām saistībām</w:t>
            </w:r>
          </w:p>
        </w:tc>
      </w:tr>
      <w:tr w:rsidR="00444AE8" w:rsidRPr="00444AE8" w14:paraId="15A04772" w14:textId="77777777" w:rsidTr="00C40B61">
        <w:trPr>
          <w:cantSplit/>
        </w:trPr>
        <w:tc>
          <w:tcPr>
            <w:tcW w:w="8786" w:type="dxa"/>
            <w:hideMark/>
          </w:tcPr>
          <w:p w14:paraId="44874CF6" w14:textId="77777777" w:rsidR="006B4398" w:rsidRPr="00444AE8" w:rsidRDefault="006B4398" w:rsidP="002C26C3">
            <w:pPr>
              <w:jc w:val="center"/>
            </w:pPr>
            <w:r w:rsidRPr="00444AE8">
              <w:t>Projekts šo jomu neskar</w:t>
            </w:r>
          </w:p>
        </w:tc>
      </w:tr>
    </w:tbl>
    <w:p w14:paraId="6065B61F" w14:textId="77777777" w:rsidR="00277AF4" w:rsidRPr="00444AE8" w:rsidRDefault="00277AF4" w:rsidP="00A012FD">
      <w:pPr>
        <w:pStyle w:val="Title"/>
        <w:spacing w:before="130"/>
        <w:jc w:val="both"/>
        <w:rPr>
          <w:sz w:val="24"/>
          <w:szCs w:val="24"/>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2442"/>
        <w:gridCol w:w="5784"/>
      </w:tblGrid>
      <w:tr w:rsidR="00444AE8" w:rsidRPr="00444AE8" w14:paraId="76C3A82A" w14:textId="77777777" w:rsidTr="00C40B61">
        <w:trPr>
          <w:cantSplit/>
        </w:trPr>
        <w:tc>
          <w:tcPr>
            <w:tcW w:w="5000" w:type="pct"/>
            <w:gridSpan w:val="3"/>
            <w:vAlign w:val="center"/>
            <w:hideMark/>
          </w:tcPr>
          <w:p w14:paraId="5F69BEA5" w14:textId="5D77E6B6" w:rsidR="00BD5588" w:rsidRPr="00444AE8" w:rsidRDefault="00BD5588" w:rsidP="002C26C3">
            <w:pPr>
              <w:jc w:val="center"/>
              <w:rPr>
                <w:b/>
                <w:bCs/>
                <w:highlight w:val="yellow"/>
              </w:rPr>
            </w:pPr>
            <w:r w:rsidRPr="00444AE8">
              <w:rPr>
                <w:b/>
                <w:bCs/>
              </w:rPr>
              <w:t>VI. Sabiedrības līdzdalība un komunikācijas aktivitātes</w:t>
            </w:r>
          </w:p>
        </w:tc>
      </w:tr>
      <w:tr w:rsidR="00444AE8" w:rsidRPr="00444AE8" w14:paraId="7B12AD9B" w14:textId="77777777" w:rsidTr="00C40B61">
        <w:trPr>
          <w:cantSplit/>
        </w:trPr>
        <w:tc>
          <w:tcPr>
            <w:tcW w:w="294" w:type="pct"/>
            <w:hideMark/>
          </w:tcPr>
          <w:p w14:paraId="4B17467F" w14:textId="77777777" w:rsidR="00046631" w:rsidRPr="00444AE8" w:rsidRDefault="00046631" w:rsidP="002C26C3">
            <w:pPr>
              <w:jc w:val="center"/>
            </w:pPr>
            <w:r w:rsidRPr="00444AE8">
              <w:t>1.</w:t>
            </w:r>
          </w:p>
        </w:tc>
        <w:tc>
          <w:tcPr>
            <w:tcW w:w="1397" w:type="pct"/>
            <w:shd w:val="clear" w:color="auto" w:fill="auto"/>
            <w:hideMark/>
          </w:tcPr>
          <w:p w14:paraId="56F85E10" w14:textId="77777777" w:rsidR="00046631" w:rsidRPr="00444AE8" w:rsidRDefault="00046631" w:rsidP="002C26C3">
            <w:r w:rsidRPr="00444AE8">
              <w:t>Plānotās sabiedrības līdzdalības un komunikācijas aktivitātes saistībā ar projektu</w:t>
            </w:r>
          </w:p>
        </w:tc>
        <w:tc>
          <w:tcPr>
            <w:tcW w:w="3309" w:type="pct"/>
            <w:shd w:val="clear" w:color="auto" w:fill="auto"/>
            <w:hideMark/>
          </w:tcPr>
          <w:p w14:paraId="7E3D5765" w14:textId="16C08583" w:rsidR="00046631" w:rsidRPr="00444AE8" w:rsidRDefault="00046631" w:rsidP="002C26C3">
            <w:pPr>
              <w:tabs>
                <w:tab w:val="left" w:pos="855"/>
              </w:tabs>
              <w:jc w:val="both"/>
              <w:rPr>
                <w:iCs/>
              </w:rPr>
            </w:pPr>
            <w:r w:rsidRPr="00444AE8">
              <w:rPr>
                <w:iCs/>
              </w:rPr>
              <w:t xml:space="preserve">Sabiedrības līdzdalību </w:t>
            </w:r>
            <w:r w:rsidR="00896A71" w:rsidRPr="00444AE8">
              <w:rPr>
                <w:iCs/>
              </w:rPr>
              <w:t>Rīkojuma</w:t>
            </w:r>
            <w:r w:rsidR="00BD1149">
              <w:rPr>
                <w:iCs/>
              </w:rPr>
              <w:t xml:space="preserve"> projekta izstrādē</w:t>
            </w:r>
            <w:r w:rsidR="00A217F0" w:rsidRPr="00444AE8">
              <w:rPr>
                <w:iCs/>
              </w:rPr>
              <w:t xml:space="preserve"> nodrošina </w:t>
            </w:r>
            <w:r w:rsidRPr="00444AE8">
              <w:rPr>
                <w:iCs/>
              </w:rPr>
              <w:t xml:space="preserve">Fonda konsultatīvās darba grupas iesaiste </w:t>
            </w:r>
            <w:r w:rsidR="00AF628D" w:rsidRPr="00444AE8">
              <w:rPr>
                <w:iCs/>
              </w:rPr>
              <w:t xml:space="preserve">(2021. gada </w:t>
            </w:r>
            <w:r w:rsidR="002A6B31">
              <w:rPr>
                <w:iCs/>
              </w:rPr>
              <w:t>23</w:t>
            </w:r>
            <w:r w:rsidR="00AF628D" w:rsidRPr="00444AE8">
              <w:rPr>
                <w:iCs/>
              </w:rPr>
              <w:t>. marts</w:t>
            </w:r>
            <w:r w:rsidR="00A217F0" w:rsidRPr="00444AE8">
              <w:rPr>
                <w:iCs/>
              </w:rPr>
              <w:t>).</w:t>
            </w:r>
          </w:p>
          <w:p w14:paraId="113D632F" w14:textId="79F13C3B" w:rsidR="00046631" w:rsidRPr="00444AE8" w:rsidRDefault="00046631" w:rsidP="002C26C3">
            <w:pPr>
              <w:ind w:left="37" w:right="252"/>
              <w:jc w:val="both"/>
              <w:rPr>
                <w:iCs/>
              </w:rPr>
            </w:pPr>
          </w:p>
        </w:tc>
      </w:tr>
      <w:tr w:rsidR="00444AE8" w:rsidRPr="00444AE8" w14:paraId="132D14B3" w14:textId="77777777" w:rsidTr="00166AC7">
        <w:trPr>
          <w:cantSplit/>
        </w:trPr>
        <w:tc>
          <w:tcPr>
            <w:tcW w:w="294" w:type="pct"/>
            <w:shd w:val="clear" w:color="auto" w:fill="auto"/>
            <w:hideMark/>
          </w:tcPr>
          <w:p w14:paraId="169B019B" w14:textId="5E40D5C0" w:rsidR="00046631" w:rsidRPr="00444AE8" w:rsidRDefault="00046631" w:rsidP="002C26C3">
            <w:pPr>
              <w:jc w:val="center"/>
            </w:pPr>
            <w:r w:rsidRPr="00444AE8">
              <w:t>2.</w:t>
            </w:r>
          </w:p>
        </w:tc>
        <w:tc>
          <w:tcPr>
            <w:tcW w:w="1397" w:type="pct"/>
            <w:shd w:val="clear" w:color="auto" w:fill="auto"/>
            <w:hideMark/>
          </w:tcPr>
          <w:p w14:paraId="5399592B" w14:textId="77777777" w:rsidR="00046631" w:rsidRPr="00444AE8" w:rsidRDefault="00046631" w:rsidP="002C26C3">
            <w:r w:rsidRPr="00444AE8">
              <w:t>Sabiedrības līdzdalība projekta izstrādē</w:t>
            </w:r>
          </w:p>
        </w:tc>
        <w:tc>
          <w:tcPr>
            <w:tcW w:w="3309" w:type="pct"/>
            <w:shd w:val="clear" w:color="auto" w:fill="auto"/>
          </w:tcPr>
          <w:p w14:paraId="3CFEB9DC" w14:textId="4CDAF0F4" w:rsidR="007B082A" w:rsidRPr="00444AE8" w:rsidRDefault="00046631" w:rsidP="002C26C3">
            <w:pPr>
              <w:ind w:right="42"/>
              <w:jc w:val="both"/>
            </w:pPr>
            <w:r w:rsidRPr="00444AE8">
              <w:t xml:space="preserve">Fonda Konsultatīvā darba grupa </w:t>
            </w:r>
            <w:r w:rsidR="00E46A16" w:rsidRPr="00444AE8">
              <w:t xml:space="preserve">ikgadējās novērtēšanas sanāksmē (27.11.2020.) </w:t>
            </w:r>
            <w:r w:rsidRPr="00444AE8">
              <w:t>pozitīvi novērtēja Fonda vadošā</w:t>
            </w:r>
            <w:r w:rsidR="000A1F8C" w:rsidRPr="00444AE8">
              <w:t>s</w:t>
            </w:r>
            <w:r w:rsidR="00E46A16" w:rsidRPr="00444AE8">
              <w:t xml:space="preserve"> iestādes ieceri </w:t>
            </w:r>
            <w:r w:rsidR="00E52EAF" w:rsidRPr="00444AE8">
              <w:t>par papildus finanšu līdzekļu piesaisti no REACT-EU</w:t>
            </w:r>
            <w:r w:rsidR="007465BA" w:rsidRPr="00444AE8">
              <w:t xml:space="preserve"> instrumenta, kā arī priekšlikumu </w:t>
            </w:r>
            <w:r w:rsidR="00E46A16" w:rsidRPr="00444AE8">
              <w:t>papildināt pamata materiālās palīdzības komplektu ar higiēniskām sejas maskām pie nosacījuma, ja to nenodrošina valsts vai pašvaldību īstenoto pasākumu ietvaros.</w:t>
            </w:r>
          </w:p>
        </w:tc>
      </w:tr>
      <w:tr w:rsidR="00444AE8" w:rsidRPr="00444AE8" w14:paraId="388BC388" w14:textId="77777777" w:rsidTr="00C40B61">
        <w:trPr>
          <w:cantSplit/>
        </w:trPr>
        <w:tc>
          <w:tcPr>
            <w:tcW w:w="294" w:type="pct"/>
            <w:shd w:val="clear" w:color="auto" w:fill="auto"/>
            <w:hideMark/>
          </w:tcPr>
          <w:p w14:paraId="437FE075" w14:textId="73EE10FC" w:rsidR="00046631" w:rsidRPr="00444AE8" w:rsidRDefault="00046631" w:rsidP="002C26C3">
            <w:pPr>
              <w:jc w:val="center"/>
            </w:pPr>
            <w:r w:rsidRPr="00444AE8">
              <w:t>3.</w:t>
            </w:r>
          </w:p>
        </w:tc>
        <w:tc>
          <w:tcPr>
            <w:tcW w:w="1397" w:type="pct"/>
            <w:shd w:val="clear" w:color="auto" w:fill="auto"/>
            <w:hideMark/>
          </w:tcPr>
          <w:p w14:paraId="1BD2C2A5" w14:textId="77777777" w:rsidR="00046631" w:rsidRPr="00444AE8" w:rsidRDefault="00046631" w:rsidP="002C26C3">
            <w:r w:rsidRPr="00444AE8">
              <w:t>Sabiedrības līdzdalības rezultāti</w:t>
            </w:r>
          </w:p>
        </w:tc>
        <w:tc>
          <w:tcPr>
            <w:tcW w:w="3309" w:type="pct"/>
            <w:shd w:val="clear" w:color="auto" w:fill="auto"/>
            <w:hideMark/>
          </w:tcPr>
          <w:p w14:paraId="7F81FB1F" w14:textId="3666FDB0" w:rsidR="007B082A" w:rsidRPr="00444AE8" w:rsidRDefault="00BD1149" w:rsidP="002C26C3">
            <w:pPr>
              <w:tabs>
                <w:tab w:val="left" w:pos="321"/>
              </w:tabs>
              <w:ind w:right="60"/>
              <w:jc w:val="both"/>
              <w:rPr>
                <w:iCs/>
              </w:rPr>
            </w:pPr>
            <w:r>
              <w:rPr>
                <w:iCs/>
              </w:rPr>
              <w:t>Fonda</w:t>
            </w:r>
            <w:r w:rsidRPr="00BD1149">
              <w:rPr>
                <w:iCs/>
              </w:rPr>
              <w:t xml:space="preserve"> konsultatīvās darba grupas </w:t>
            </w:r>
            <w:r>
              <w:rPr>
                <w:iCs/>
              </w:rPr>
              <w:t>dalībnieki sniedza viedokli un priekšlikumus par Rīkojuma projekta precizēšanu. Priekšlikumi ir ņemti vērā.</w:t>
            </w:r>
          </w:p>
        </w:tc>
      </w:tr>
      <w:tr w:rsidR="00166AC7" w:rsidRPr="00444AE8" w14:paraId="28A6D3BD" w14:textId="77777777" w:rsidTr="00C40B61">
        <w:trPr>
          <w:cantSplit/>
        </w:trPr>
        <w:tc>
          <w:tcPr>
            <w:tcW w:w="294" w:type="pct"/>
            <w:shd w:val="clear" w:color="auto" w:fill="auto"/>
            <w:hideMark/>
          </w:tcPr>
          <w:p w14:paraId="64D90834" w14:textId="77777777" w:rsidR="00166AC7" w:rsidRPr="00444AE8" w:rsidRDefault="00166AC7" w:rsidP="002C26C3">
            <w:pPr>
              <w:jc w:val="center"/>
            </w:pPr>
            <w:r w:rsidRPr="00444AE8">
              <w:t>4.</w:t>
            </w:r>
          </w:p>
        </w:tc>
        <w:tc>
          <w:tcPr>
            <w:tcW w:w="1397" w:type="pct"/>
            <w:shd w:val="clear" w:color="auto" w:fill="auto"/>
            <w:hideMark/>
          </w:tcPr>
          <w:p w14:paraId="751C9DE3" w14:textId="77777777" w:rsidR="00166AC7" w:rsidRPr="00444AE8" w:rsidRDefault="00166AC7" w:rsidP="002C26C3">
            <w:r w:rsidRPr="00444AE8">
              <w:t>Cita informācija</w:t>
            </w:r>
          </w:p>
        </w:tc>
        <w:tc>
          <w:tcPr>
            <w:tcW w:w="3309" w:type="pct"/>
            <w:shd w:val="clear" w:color="auto" w:fill="auto"/>
            <w:hideMark/>
          </w:tcPr>
          <w:p w14:paraId="65E1F5FD" w14:textId="1F299F68" w:rsidR="00166AC7" w:rsidRPr="00444AE8" w:rsidRDefault="00984D8C" w:rsidP="002C26C3">
            <w:r w:rsidRPr="00444AE8">
              <w:rPr>
                <w:iCs/>
              </w:rPr>
              <w:t>Nav</w:t>
            </w:r>
          </w:p>
        </w:tc>
      </w:tr>
    </w:tbl>
    <w:p w14:paraId="71BA30F9" w14:textId="77777777" w:rsidR="001B1A3C" w:rsidRPr="00444AE8" w:rsidRDefault="001B1A3C" w:rsidP="002C26C3">
      <w:pPr>
        <w:pStyle w:val="Title"/>
        <w:spacing w:before="130"/>
        <w:ind w:firstLine="539"/>
        <w:jc w:val="both"/>
        <w:rPr>
          <w:sz w:val="24"/>
          <w:szCs w:val="24"/>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4"/>
        <w:gridCol w:w="2442"/>
        <w:gridCol w:w="5784"/>
      </w:tblGrid>
      <w:tr w:rsidR="00444AE8" w:rsidRPr="00444AE8" w14:paraId="2903BBE8" w14:textId="77777777" w:rsidTr="00C40B61">
        <w:trPr>
          <w:cantSplit/>
        </w:trPr>
        <w:tc>
          <w:tcPr>
            <w:tcW w:w="5000" w:type="pct"/>
            <w:gridSpan w:val="3"/>
            <w:vAlign w:val="center"/>
            <w:hideMark/>
          </w:tcPr>
          <w:p w14:paraId="124981C2" w14:textId="77777777" w:rsidR="00BD5588" w:rsidRPr="00444AE8" w:rsidRDefault="00BD5588" w:rsidP="002C26C3">
            <w:pPr>
              <w:jc w:val="center"/>
              <w:rPr>
                <w:b/>
                <w:bCs/>
              </w:rPr>
            </w:pPr>
            <w:r w:rsidRPr="00444AE8">
              <w:rPr>
                <w:b/>
                <w:bCs/>
              </w:rPr>
              <w:t>VII. Tiesību akta projekta izpildes nodrošināšana un tās ietekme uz institūcijām</w:t>
            </w:r>
          </w:p>
        </w:tc>
      </w:tr>
      <w:tr w:rsidR="00444AE8" w:rsidRPr="00444AE8" w14:paraId="6A94A9C7" w14:textId="77777777" w:rsidTr="00C40B61">
        <w:trPr>
          <w:cantSplit/>
        </w:trPr>
        <w:tc>
          <w:tcPr>
            <w:tcW w:w="294" w:type="pct"/>
            <w:hideMark/>
          </w:tcPr>
          <w:p w14:paraId="0F4C7140" w14:textId="77777777" w:rsidR="00BD5588" w:rsidRPr="00444AE8" w:rsidRDefault="00BD5588" w:rsidP="002C26C3">
            <w:pPr>
              <w:jc w:val="center"/>
            </w:pPr>
            <w:r w:rsidRPr="00444AE8">
              <w:t>1.</w:t>
            </w:r>
          </w:p>
        </w:tc>
        <w:tc>
          <w:tcPr>
            <w:tcW w:w="1397" w:type="pct"/>
            <w:hideMark/>
          </w:tcPr>
          <w:p w14:paraId="02A1600C" w14:textId="77777777" w:rsidR="00BD5588" w:rsidRPr="00444AE8" w:rsidRDefault="00BD5588" w:rsidP="002C26C3">
            <w:r w:rsidRPr="00444AE8">
              <w:t>Projekta izpildē iesaistītās institūcijas</w:t>
            </w:r>
          </w:p>
        </w:tc>
        <w:tc>
          <w:tcPr>
            <w:tcW w:w="3309" w:type="pct"/>
            <w:hideMark/>
          </w:tcPr>
          <w:p w14:paraId="77D8446E" w14:textId="73B8A358" w:rsidR="00BD5588" w:rsidRPr="00444AE8" w:rsidRDefault="00E8634B" w:rsidP="002C26C3">
            <w:pPr>
              <w:jc w:val="both"/>
            </w:pPr>
            <w:r w:rsidRPr="00444AE8">
              <w:t>L</w:t>
            </w:r>
            <w:r w:rsidR="006F1351" w:rsidRPr="00444AE8">
              <w:t>abklājības ministrija</w:t>
            </w:r>
          </w:p>
          <w:p w14:paraId="03EE5DE4" w14:textId="3EC635B5" w:rsidR="00046631" w:rsidRPr="00444AE8" w:rsidRDefault="00046631" w:rsidP="002C26C3">
            <w:pPr>
              <w:jc w:val="both"/>
            </w:pPr>
            <w:r w:rsidRPr="00444AE8">
              <w:t>Sabiedrības integrācijas fonds</w:t>
            </w:r>
          </w:p>
        </w:tc>
      </w:tr>
      <w:tr w:rsidR="00444AE8" w:rsidRPr="00444AE8" w14:paraId="293D4712" w14:textId="77777777" w:rsidTr="00C40B61">
        <w:trPr>
          <w:cantSplit/>
        </w:trPr>
        <w:tc>
          <w:tcPr>
            <w:tcW w:w="294" w:type="pct"/>
            <w:hideMark/>
          </w:tcPr>
          <w:p w14:paraId="64421FBB" w14:textId="77777777" w:rsidR="006B5440" w:rsidRPr="00444AE8" w:rsidRDefault="006B5440" w:rsidP="002C26C3">
            <w:pPr>
              <w:jc w:val="center"/>
            </w:pPr>
            <w:r w:rsidRPr="00444AE8">
              <w:t>2.</w:t>
            </w:r>
          </w:p>
        </w:tc>
        <w:tc>
          <w:tcPr>
            <w:tcW w:w="1397" w:type="pct"/>
            <w:hideMark/>
          </w:tcPr>
          <w:p w14:paraId="57C841CB" w14:textId="77777777" w:rsidR="006B5440" w:rsidRPr="00444AE8" w:rsidRDefault="006B5440" w:rsidP="002C26C3">
            <w:r w:rsidRPr="00444AE8">
              <w:t>Projekta izpildes ietekme uz pārvaldes funkcijām un institucionālo struktūru.</w:t>
            </w:r>
            <w:r w:rsidRPr="00444AE8">
              <w:br/>
              <w:t>Jaunu institūciju izveide, esošu institūciju likvidācija vai reorganizācija, to ietekme uz institūcijas cilvēkresursiem</w:t>
            </w:r>
          </w:p>
        </w:tc>
        <w:tc>
          <w:tcPr>
            <w:tcW w:w="3309" w:type="pct"/>
            <w:hideMark/>
          </w:tcPr>
          <w:p w14:paraId="3890E210" w14:textId="68844CC6" w:rsidR="006B5440" w:rsidRPr="00444AE8" w:rsidRDefault="00046631" w:rsidP="002C26C3">
            <w:pPr>
              <w:pStyle w:val="ListParagraph"/>
              <w:shd w:val="clear" w:color="auto" w:fill="FFFFFF"/>
              <w:spacing w:after="0" w:line="240" w:lineRule="auto"/>
              <w:ind w:left="0" w:right="57"/>
              <w:contextualSpacing w:val="0"/>
              <w:jc w:val="both"/>
              <w:rPr>
                <w:rFonts w:ascii="Times New Roman" w:hAnsi="Times New Roman" w:cs="Times New Roman"/>
                <w:sz w:val="24"/>
                <w:szCs w:val="24"/>
              </w:rPr>
            </w:pPr>
            <w:r w:rsidRPr="00444AE8">
              <w:rPr>
                <w:rFonts w:ascii="Times New Roman" w:hAnsi="Times New Roman"/>
                <w:sz w:val="24"/>
                <w:szCs w:val="24"/>
              </w:rPr>
              <w:t>Rīkojuma projekts neparedz funkciju paplašināšanu vai sašaurināšanu, kā arī neietekmē pieejamos cilvēkresursus</w:t>
            </w:r>
            <w:r w:rsidR="00160701" w:rsidRPr="00444AE8">
              <w:rPr>
                <w:rFonts w:ascii="Times New Roman" w:hAnsi="Times New Roman"/>
                <w:sz w:val="24"/>
                <w:szCs w:val="24"/>
              </w:rPr>
              <w:t>, neparedz veidot jaunas institūcijas vai reorganizēt esošās.</w:t>
            </w:r>
          </w:p>
        </w:tc>
      </w:tr>
      <w:tr w:rsidR="006B5440" w:rsidRPr="00444AE8" w14:paraId="3F0C0D87" w14:textId="77777777" w:rsidTr="00C40B61">
        <w:trPr>
          <w:cantSplit/>
        </w:trPr>
        <w:tc>
          <w:tcPr>
            <w:tcW w:w="294" w:type="pct"/>
            <w:hideMark/>
          </w:tcPr>
          <w:p w14:paraId="2EDC4D6A" w14:textId="77777777" w:rsidR="006B5440" w:rsidRPr="00444AE8" w:rsidRDefault="006B5440" w:rsidP="002C26C3">
            <w:pPr>
              <w:jc w:val="center"/>
            </w:pPr>
            <w:r w:rsidRPr="00444AE8">
              <w:t>3.</w:t>
            </w:r>
          </w:p>
        </w:tc>
        <w:tc>
          <w:tcPr>
            <w:tcW w:w="1397" w:type="pct"/>
            <w:hideMark/>
          </w:tcPr>
          <w:p w14:paraId="5492A71C" w14:textId="77777777" w:rsidR="006B5440" w:rsidRPr="00444AE8" w:rsidRDefault="006B5440" w:rsidP="002C26C3">
            <w:r w:rsidRPr="00444AE8">
              <w:t>Cita informācija</w:t>
            </w:r>
          </w:p>
        </w:tc>
        <w:tc>
          <w:tcPr>
            <w:tcW w:w="3309" w:type="pct"/>
            <w:hideMark/>
          </w:tcPr>
          <w:p w14:paraId="1921C194" w14:textId="728F27DA" w:rsidR="006B5440" w:rsidRPr="00444AE8" w:rsidRDefault="00DC7511" w:rsidP="002C26C3">
            <w:r w:rsidRPr="00444AE8">
              <w:t>Nav</w:t>
            </w:r>
          </w:p>
        </w:tc>
      </w:tr>
    </w:tbl>
    <w:p w14:paraId="10EDF3A4" w14:textId="77777777" w:rsidR="00160701" w:rsidRDefault="00160701" w:rsidP="002C26C3">
      <w:pPr>
        <w:tabs>
          <w:tab w:val="left" w:pos="4680"/>
        </w:tabs>
      </w:pPr>
    </w:p>
    <w:p w14:paraId="333E617E" w14:textId="77777777" w:rsidR="00DA6054" w:rsidRPr="00444AE8" w:rsidRDefault="00DA6054" w:rsidP="002C26C3">
      <w:pPr>
        <w:tabs>
          <w:tab w:val="left" w:pos="4680"/>
        </w:tabs>
      </w:pPr>
    </w:p>
    <w:p w14:paraId="5876CECE" w14:textId="07AC7E02" w:rsidR="00EE7372" w:rsidRPr="00444AE8" w:rsidRDefault="00824E52" w:rsidP="002C26C3">
      <w:pPr>
        <w:tabs>
          <w:tab w:val="left" w:pos="4680"/>
        </w:tabs>
        <w:ind w:left="567"/>
      </w:pPr>
      <w:r w:rsidRPr="00444AE8">
        <w:t>Labklājības ministre</w:t>
      </w:r>
      <w:r w:rsidR="00EE7372" w:rsidRPr="00444AE8">
        <w:tab/>
      </w:r>
      <w:r w:rsidR="00EE7372" w:rsidRPr="00444AE8">
        <w:tab/>
      </w:r>
      <w:r w:rsidR="00EE7372" w:rsidRPr="00444AE8">
        <w:tab/>
      </w:r>
      <w:r w:rsidRPr="00444AE8">
        <w:t xml:space="preserve">Ramona </w:t>
      </w:r>
      <w:proofErr w:type="spellStart"/>
      <w:r w:rsidRPr="00444AE8">
        <w:t>Petraviča</w:t>
      </w:r>
      <w:proofErr w:type="spellEnd"/>
    </w:p>
    <w:p w14:paraId="60E89D6F" w14:textId="77777777" w:rsidR="00EE7372" w:rsidRPr="00444AE8" w:rsidRDefault="00EE7372" w:rsidP="002C26C3">
      <w:pPr>
        <w:tabs>
          <w:tab w:val="left" w:pos="4680"/>
        </w:tabs>
      </w:pPr>
    </w:p>
    <w:p w14:paraId="422D84C3" w14:textId="7B2EE667" w:rsidR="00160701" w:rsidRPr="00444AE8" w:rsidRDefault="00160701" w:rsidP="002C26C3">
      <w:pPr>
        <w:tabs>
          <w:tab w:val="left" w:pos="4680"/>
        </w:tabs>
      </w:pPr>
    </w:p>
    <w:p w14:paraId="3142E496" w14:textId="0ED006F9" w:rsidR="00EE7372" w:rsidRPr="003F23F7" w:rsidRDefault="007520D8" w:rsidP="002C26C3">
      <w:pPr>
        <w:tabs>
          <w:tab w:val="left" w:pos="4680"/>
        </w:tabs>
        <w:ind w:left="567"/>
      </w:pPr>
      <w:r w:rsidRPr="003F23F7">
        <w:t>Valsts sekretārs</w:t>
      </w:r>
      <w:r w:rsidRPr="003F23F7">
        <w:tab/>
      </w:r>
      <w:r w:rsidRPr="003F23F7">
        <w:tab/>
      </w:r>
      <w:r w:rsidRPr="003F23F7">
        <w:tab/>
        <w:t>Ingus Alliks</w:t>
      </w:r>
    </w:p>
    <w:p w14:paraId="60CFFB98" w14:textId="25F3D6F4" w:rsidR="00EE7372" w:rsidRPr="003F23F7" w:rsidRDefault="00EE7372" w:rsidP="002C26C3">
      <w:pPr>
        <w:tabs>
          <w:tab w:val="left" w:pos="4680"/>
        </w:tabs>
      </w:pPr>
    </w:p>
    <w:p w14:paraId="59B77758" w14:textId="77777777" w:rsidR="004F77E2" w:rsidRPr="003F23F7" w:rsidRDefault="004F77E2" w:rsidP="002C26C3">
      <w:pPr>
        <w:rPr>
          <w:sz w:val="20"/>
          <w:szCs w:val="20"/>
        </w:rPr>
      </w:pPr>
    </w:p>
    <w:p w14:paraId="51C10C77" w14:textId="2ABCCDC4" w:rsidR="005E5C58" w:rsidRPr="00E76F87" w:rsidRDefault="005E5C58" w:rsidP="002C26C3">
      <w:pPr>
        <w:rPr>
          <w:sz w:val="16"/>
          <w:szCs w:val="16"/>
        </w:rPr>
      </w:pPr>
      <w:r w:rsidRPr="00E76F87">
        <w:rPr>
          <w:sz w:val="16"/>
          <w:szCs w:val="16"/>
        </w:rPr>
        <w:fldChar w:fldCharType="begin"/>
      </w:r>
      <w:r w:rsidRPr="00E76F87">
        <w:rPr>
          <w:sz w:val="16"/>
          <w:szCs w:val="16"/>
        </w:rPr>
        <w:instrText xml:space="preserve"> TIME \@ "dd.MM.yyyy H:mm" </w:instrText>
      </w:r>
      <w:r w:rsidRPr="00E76F87">
        <w:rPr>
          <w:sz w:val="16"/>
          <w:szCs w:val="16"/>
        </w:rPr>
        <w:fldChar w:fldCharType="separate"/>
      </w:r>
      <w:r w:rsidR="00DA7A17">
        <w:rPr>
          <w:noProof/>
          <w:sz w:val="16"/>
          <w:szCs w:val="16"/>
        </w:rPr>
        <w:t>21.04.2021 14:31</w:t>
      </w:r>
      <w:r w:rsidRPr="00E76F87">
        <w:rPr>
          <w:sz w:val="16"/>
          <w:szCs w:val="16"/>
        </w:rPr>
        <w:fldChar w:fldCharType="end"/>
      </w:r>
    </w:p>
    <w:p w14:paraId="76080898" w14:textId="40D97CCF" w:rsidR="005E5C58" w:rsidRPr="00E76F87" w:rsidRDefault="00012CAE" w:rsidP="002C26C3">
      <w:pPr>
        <w:jc w:val="both"/>
        <w:rPr>
          <w:sz w:val="16"/>
          <w:szCs w:val="16"/>
        </w:rPr>
      </w:pPr>
      <w:r>
        <w:rPr>
          <w:sz w:val="16"/>
          <w:szCs w:val="16"/>
        </w:rPr>
        <w:t>3415</w:t>
      </w:r>
    </w:p>
    <w:p w14:paraId="57ABE1B0" w14:textId="0925DEF6" w:rsidR="005E5C58" w:rsidRPr="00E76F87" w:rsidRDefault="006814D5" w:rsidP="002C26C3">
      <w:pPr>
        <w:rPr>
          <w:sz w:val="16"/>
          <w:szCs w:val="16"/>
        </w:rPr>
      </w:pPr>
      <w:r w:rsidRPr="00E76F87">
        <w:rPr>
          <w:sz w:val="16"/>
          <w:szCs w:val="16"/>
        </w:rPr>
        <w:t xml:space="preserve">A. Stratane, </w:t>
      </w:r>
      <w:r w:rsidR="005E5C58" w:rsidRPr="00E76F87">
        <w:rPr>
          <w:sz w:val="16"/>
          <w:szCs w:val="16"/>
        </w:rPr>
        <w:t>67201653</w:t>
      </w:r>
    </w:p>
    <w:p w14:paraId="2F4F77FB" w14:textId="5149F022" w:rsidR="003E2979" w:rsidRPr="00E76F87" w:rsidRDefault="00DA7A17" w:rsidP="002C26C3">
      <w:pPr>
        <w:rPr>
          <w:sz w:val="16"/>
          <w:szCs w:val="16"/>
        </w:rPr>
      </w:pPr>
      <w:hyperlink r:id="rId10" w:history="1">
        <w:r w:rsidR="006814D5" w:rsidRPr="00E76F87">
          <w:rPr>
            <w:rStyle w:val="Hyperlink"/>
            <w:color w:val="auto"/>
            <w:sz w:val="16"/>
            <w:szCs w:val="16"/>
            <w:u w:val="none"/>
          </w:rPr>
          <w:t>Aurika.Stratane@lm.gov.lv</w:t>
        </w:r>
      </w:hyperlink>
    </w:p>
    <w:sectPr w:rsidR="003E2979" w:rsidRPr="00E76F87" w:rsidSect="00872939">
      <w:headerReference w:type="default" r:id="rId11"/>
      <w:footerReference w:type="default" r:id="rId12"/>
      <w:headerReference w:type="first" r:id="rId13"/>
      <w:footerReference w:type="first" r:id="rId14"/>
      <w:pgSz w:w="11906" w:h="16838"/>
      <w:pgMar w:top="1440" w:right="18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4E06A" w14:textId="77777777" w:rsidR="00515EE4" w:rsidRDefault="00515EE4" w:rsidP="00A96BDE">
      <w:r>
        <w:separator/>
      </w:r>
    </w:p>
  </w:endnote>
  <w:endnote w:type="continuationSeparator" w:id="0">
    <w:p w14:paraId="1A46C1BC" w14:textId="77777777" w:rsidR="00515EE4" w:rsidRDefault="00515EE4"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C454" w14:textId="099F2BE1" w:rsidR="00515EE4" w:rsidRPr="006814D5" w:rsidRDefault="00515EE4" w:rsidP="006814D5">
    <w:pPr>
      <w:pStyle w:val="Footer"/>
      <w:rPr>
        <w:sz w:val="18"/>
        <w:szCs w:val="18"/>
      </w:rPr>
    </w:pPr>
    <w:r w:rsidRPr="006814D5">
      <w:rPr>
        <w:sz w:val="20"/>
        <w:szCs w:val="20"/>
      </w:rPr>
      <w:fldChar w:fldCharType="begin"/>
    </w:r>
    <w:r w:rsidRPr="00861BA2">
      <w:rPr>
        <w:sz w:val="20"/>
        <w:szCs w:val="20"/>
      </w:rPr>
      <w:instrText xml:space="preserve"> FILENAME   \* MERGEFORMAT </w:instrText>
    </w:r>
    <w:r w:rsidRPr="006814D5">
      <w:rPr>
        <w:sz w:val="20"/>
        <w:szCs w:val="20"/>
      </w:rPr>
      <w:fldChar w:fldCharType="separate"/>
    </w:r>
    <w:r w:rsidR="00777655" w:rsidRPr="00777655">
      <w:rPr>
        <w:noProof/>
        <w:sz w:val="18"/>
        <w:szCs w:val="18"/>
      </w:rPr>
      <w:t>LMAnot_140421_DP_groz</w:t>
    </w:r>
    <w:r w:rsidRPr="006814D5">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139E" w14:textId="173C4021" w:rsidR="00515EE4" w:rsidRPr="007467C5" w:rsidRDefault="00515EE4" w:rsidP="00352E89">
    <w:pPr>
      <w:pStyle w:val="Footer"/>
      <w:rPr>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B36817">
      <w:rPr>
        <w:noProof/>
        <w:sz w:val="20"/>
        <w:szCs w:val="20"/>
      </w:rPr>
      <w:t>LMAnot_140421_DP_groz</w:t>
    </w:r>
    <w:r w:rsidRPr="00861BA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190F" w14:textId="77777777" w:rsidR="00515EE4" w:rsidRDefault="00515EE4" w:rsidP="00A96BDE">
      <w:r>
        <w:separator/>
      </w:r>
    </w:p>
  </w:footnote>
  <w:footnote w:type="continuationSeparator" w:id="0">
    <w:p w14:paraId="6FCE403C" w14:textId="77777777" w:rsidR="00515EE4" w:rsidRDefault="00515EE4" w:rsidP="00A96BDE">
      <w:r>
        <w:continuationSeparator/>
      </w:r>
    </w:p>
  </w:footnote>
  <w:footnote w:id="1">
    <w:p w14:paraId="5A58BEBC" w14:textId="13302961" w:rsidR="00515EE4" w:rsidRPr="00DC7C52" w:rsidRDefault="00515EE4" w:rsidP="00DC7C52">
      <w:pPr>
        <w:pStyle w:val="FootnoteText"/>
        <w:ind w:right="-666"/>
        <w:jc w:val="both"/>
        <w:rPr>
          <w:sz w:val="16"/>
          <w:szCs w:val="16"/>
        </w:rPr>
      </w:pPr>
      <w:r w:rsidRPr="00DC7C52">
        <w:rPr>
          <w:rStyle w:val="FootnoteReference"/>
          <w:sz w:val="16"/>
          <w:szCs w:val="16"/>
        </w:rPr>
        <w:footnoteRef/>
      </w:r>
      <w:r w:rsidRPr="00DC7C52">
        <w:rPr>
          <w:sz w:val="16"/>
          <w:szCs w:val="16"/>
        </w:rPr>
        <w:t xml:space="preserve"> Eiropas Parlam</w:t>
      </w:r>
      <w:r>
        <w:rPr>
          <w:sz w:val="16"/>
          <w:szCs w:val="16"/>
        </w:rPr>
        <w:t>enta un Padomes Regula (ES) Nr. 1303/2013 (2013. gada 17. </w:t>
      </w:r>
      <w:r w:rsidRPr="00DC7C52">
        <w:rPr>
          <w:sz w:val="16"/>
          <w:szCs w:val="16"/>
        </w:rPr>
        <w:t>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w:t>
      </w:r>
      <w:r>
        <w:rPr>
          <w:sz w:val="16"/>
          <w:szCs w:val="16"/>
        </w:rPr>
        <w:t>omes Regulu (EK) Nr. 1083/2006</w:t>
      </w:r>
    </w:p>
  </w:footnote>
  <w:footnote w:id="2">
    <w:p w14:paraId="53C14FB5" w14:textId="77777777" w:rsidR="00515EE4" w:rsidRDefault="00515EE4" w:rsidP="0017334E">
      <w:pPr>
        <w:pStyle w:val="FootnoteText"/>
      </w:pPr>
      <w:r w:rsidRPr="008858C8">
        <w:rPr>
          <w:rStyle w:val="FootnoteReference"/>
        </w:rPr>
        <w:footnoteRef/>
      </w:r>
      <w:r w:rsidRPr="008858C8">
        <w:t xml:space="preserve"> Sociālo pakalpojumu un sociālās palīdzības likuma pārejas noteikumu 36.punkts</w:t>
      </w:r>
    </w:p>
  </w:footnote>
  <w:footnote w:id="3">
    <w:p w14:paraId="74ED31AF" w14:textId="3FC59165" w:rsidR="00515EE4" w:rsidRPr="007D6FCF" w:rsidRDefault="00515EE4" w:rsidP="007D6FCF">
      <w:pPr>
        <w:pStyle w:val="FootnoteText"/>
        <w:jc w:val="both"/>
        <w:rPr>
          <w:sz w:val="18"/>
          <w:szCs w:val="18"/>
        </w:rPr>
      </w:pPr>
      <w:r w:rsidRPr="007D6FCF">
        <w:rPr>
          <w:rStyle w:val="FootnoteReference"/>
          <w:sz w:val="18"/>
          <w:szCs w:val="18"/>
        </w:rPr>
        <w:footnoteRef/>
      </w:r>
      <w:r w:rsidRPr="007D6FCF">
        <w:rPr>
          <w:sz w:val="18"/>
          <w:szCs w:val="18"/>
        </w:rPr>
        <w:t xml:space="preserve"> </w:t>
      </w:r>
      <w:r w:rsidRPr="00CF114C">
        <w:rPr>
          <w:bCs/>
          <w:sz w:val="18"/>
          <w:szCs w:val="18"/>
        </w:rPr>
        <w:t>EIROPAS PARLAMENTA UN PADOMES (</w:t>
      </w:r>
      <w:r w:rsidRPr="00CF114C">
        <w:rPr>
          <w:sz w:val="18"/>
          <w:szCs w:val="18"/>
        </w:rPr>
        <w:t xml:space="preserve">2020. gada 23. aprīlis) </w:t>
      </w:r>
      <w:r w:rsidRPr="00CF114C">
        <w:rPr>
          <w:bCs/>
          <w:sz w:val="18"/>
          <w:szCs w:val="18"/>
        </w:rPr>
        <w:t xml:space="preserve">Regula (ES) Nr. 2020/559, ar ko Regulu (ES) Nr. 223/2014 groza attiecībā uz īpašu pasākumu ieviešanu </w:t>
      </w:r>
      <w:proofErr w:type="spellStart"/>
      <w:r w:rsidRPr="00CF114C">
        <w:rPr>
          <w:bCs/>
          <w:sz w:val="18"/>
          <w:szCs w:val="18"/>
        </w:rPr>
        <w:t>Covid-19</w:t>
      </w:r>
      <w:proofErr w:type="spellEnd"/>
      <w:r w:rsidRPr="00CF114C">
        <w:rPr>
          <w:bCs/>
          <w:sz w:val="18"/>
          <w:szCs w:val="18"/>
        </w:rPr>
        <w:t xml:space="preserve"> uzliesmojuma risināšanai</w:t>
      </w:r>
    </w:p>
  </w:footnote>
  <w:footnote w:id="4">
    <w:p w14:paraId="5C0597B1" w14:textId="1F706B2D" w:rsidR="00515EE4" w:rsidRPr="002566ED" w:rsidRDefault="00515EE4" w:rsidP="002566ED">
      <w:pPr>
        <w:pStyle w:val="FootnoteText"/>
        <w:jc w:val="both"/>
        <w:rPr>
          <w:sz w:val="18"/>
          <w:szCs w:val="18"/>
        </w:rPr>
      </w:pPr>
      <w:r w:rsidRPr="002566ED">
        <w:rPr>
          <w:rStyle w:val="FootnoteReference"/>
          <w:sz w:val="18"/>
          <w:szCs w:val="18"/>
        </w:rPr>
        <w:footnoteRef/>
      </w:r>
      <w:r w:rsidRPr="002566ED">
        <w:rPr>
          <w:sz w:val="18"/>
          <w:szCs w:val="18"/>
        </w:rPr>
        <w:t xml:space="preserve"> MK 09.06.2020. noteikumu Nr. 380 “Noteikumi par prioritāro institūciju un vajadzību sarakstā iekļautajām institūcijām nepieciešamajiem epidemioloģiskās drošības nodrošināšanas resursiem”</w:t>
      </w:r>
      <w:r>
        <w:rPr>
          <w:sz w:val="18"/>
          <w:szCs w:val="18"/>
        </w:rPr>
        <w:t xml:space="preserve"> 2.4.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30792"/>
      <w:docPartObj>
        <w:docPartGallery w:val="Page Numbers (Top of Page)"/>
        <w:docPartUnique/>
      </w:docPartObj>
    </w:sdtPr>
    <w:sdtEndPr>
      <w:rPr>
        <w:noProof/>
      </w:rPr>
    </w:sdtEndPr>
    <w:sdtContent>
      <w:p w14:paraId="39CCD10C" w14:textId="55957749" w:rsidR="00515EE4" w:rsidRDefault="00515EE4" w:rsidP="005B7DA1">
        <w:pPr>
          <w:pStyle w:val="Header"/>
          <w:jc w:val="center"/>
        </w:pPr>
        <w:r>
          <w:fldChar w:fldCharType="begin"/>
        </w:r>
        <w:r>
          <w:instrText xml:space="preserve"> PAGE   \* MERGEFORMAT </w:instrText>
        </w:r>
        <w:r>
          <w:fldChar w:fldCharType="separate"/>
        </w:r>
        <w:r w:rsidR="00DA7A17">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7939" w14:textId="77777777" w:rsidR="00515EE4" w:rsidRDefault="00515EE4" w:rsidP="006A1C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A3BE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56F96"/>
    <w:multiLevelType w:val="hybridMultilevel"/>
    <w:tmpl w:val="92AC6C0E"/>
    <w:lvl w:ilvl="0" w:tplc="04260001">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051C454C"/>
    <w:multiLevelType w:val="hybridMultilevel"/>
    <w:tmpl w:val="2E0CE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45A4C"/>
    <w:multiLevelType w:val="hybridMultilevel"/>
    <w:tmpl w:val="AD46FDEA"/>
    <w:lvl w:ilvl="0" w:tplc="C5807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7462722"/>
    <w:multiLevelType w:val="hybridMultilevel"/>
    <w:tmpl w:val="F01E3D72"/>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72563F"/>
    <w:multiLevelType w:val="hybridMultilevel"/>
    <w:tmpl w:val="9CCCE62C"/>
    <w:lvl w:ilvl="0" w:tplc="CA76A9A2">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9B4A80"/>
    <w:multiLevelType w:val="hybridMultilevel"/>
    <w:tmpl w:val="A1548756"/>
    <w:lvl w:ilvl="0" w:tplc="0B6C9D6A">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9" w15:restartNumberingAfterBreak="0">
    <w:nsid w:val="11BC0C6F"/>
    <w:multiLevelType w:val="hybridMultilevel"/>
    <w:tmpl w:val="41244F58"/>
    <w:lvl w:ilvl="0" w:tplc="0B6C9D6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24D5067"/>
    <w:multiLevelType w:val="hybridMultilevel"/>
    <w:tmpl w:val="78503BB8"/>
    <w:lvl w:ilvl="0" w:tplc="32B80916">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1"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3AA1184"/>
    <w:multiLevelType w:val="hybridMultilevel"/>
    <w:tmpl w:val="5C28BF9A"/>
    <w:lvl w:ilvl="0" w:tplc="32B80916">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15:restartNumberingAfterBreak="0">
    <w:nsid w:val="1ADB7AA0"/>
    <w:multiLevelType w:val="hybridMultilevel"/>
    <w:tmpl w:val="3ECA2776"/>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EA2CC3"/>
    <w:multiLevelType w:val="hybridMultilevel"/>
    <w:tmpl w:val="F4E6B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F886AFE"/>
    <w:multiLevelType w:val="hybridMultilevel"/>
    <w:tmpl w:val="A2063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F60F0"/>
    <w:multiLevelType w:val="hybridMultilevel"/>
    <w:tmpl w:val="4316F5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3A6CC2"/>
    <w:multiLevelType w:val="hybridMultilevel"/>
    <w:tmpl w:val="7D8CF16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09729D7"/>
    <w:multiLevelType w:val="hybridMultilevel"/>
    <w:tmpl w:val="1BE6B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0B7E41"/>
    <w:multiLevelType w:val="hybridMultilevel"/>
    <w:tmpl w:val="9828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294686D"/>
    <w:multiLevelType w:val="hybridMultilevel"/>
    <w:tmpl w:val="714CD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EF5C8F"/>
    <w:multiLevelType w:val="hybridMultilevel"/>
    <w:tmpl w:val="54DAAB7C"/>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8C3E80"/>
    <w:multiLevelType w:val="multilevel"/>
    <w:tmpl w:val="FF9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24CD3"/>
    <w:multiLevelType w:val="multilevel"/>
    <w:tmpl w:val="E86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D2AF5"/>
    <w:multiLevelType w:val="hybridMultilevel"/>
    <w:tmpl w:val="6B4A9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B90D7A"/>
    <w:multiLevelType w:val="hybridMultilevel"/>
    <w:tmpl w:val="5A366218"/>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951C10"/>
    <w:multiLevelType w:val="hybridMultilevel"/>
    <w:tmpl w:val="AF6C66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752546"/>
    <w:multiLevelType w:val="hybridMultilevel"/>
    <w:tmpl w:val="53066E12"/>
    <w:lvl w:ilvl="0" w:tplc="05D6455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031E4A"/>
    <w:multiLevelType w:val="hybridMultilevel"/>
    <w:tmpl w:val="743ED308"/>
    <w:lvl w:ilvl="0" w:tplc="2CF6505C">
      <w:start w:val="1"/>
      <w:numFmt w:val="decimal"/>
      <w:lvlText w:val="%1."/>
      <w:lvlJc w:val="left"/>
      <w:pPr>
        <w:ind w:left="503" w:hanging="39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2" w15:restartNumberingAfterBreak="0">
    <w:nsid w:val="7062220D"/>
    <w:multiLevelType w:val="hybridMultilevel"/>
    <w:tmpl w:val="83D85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00D02"/>
    <w:multiLevelType w:val="hybridMultilevel"/>
    <w:tmpl w:val="94AE5D24"/>
    <w:lvl w:ilvl="0" w:tplc="0B6C9D6A">
      <w:start w:val="1"/>
      <w:numFmt w:val="bullet"/>
      <w:lvlText w:val=""/>
      <w:lvlJc w:val="left"/>
      <w:pPr>
        <w:ind w:left="760" w:hanging="360"/>
      </w:pPr>
      <w:rPr>
        <w:rFonts w:ascii="Symbol" w:hAnsi="Symbol"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34" w15:restartNumberingAfterBreak="0">
    <w:nsid w:val="71C7294B"/>
    <w:multiLevelType w:val="hybridMultilevel"/>
    <w:tmpl w:val="47842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B02AD9"/>
    <w:multiLevelType w:val="hybridMultilevel"/>
    <w:tmpl w:val="08A642CA"/>
    <w:lvl w:ilvl="0" w:tplc="0B6C9D6A">
      <w:start w:val="1"/>
      <w:numFmt w:val="bullet"/>
      <w:lvlText w:val=""/>
      <w:lvlJc w:val="left"/>
      <w:pPr>
        <w:ind w:left="830" w:hanging="360"/>
      </w:pPr>
      <w:rPr>
        <w:rFonts w:ascii="Symbol" w:hAnsi="Symbol" w:hint="default"/>
      </w:rPr>
    </w:lvl>
    <w:lvl w:ilvl="1" w:tplc="04260003" w:tentative="1">
      <w:start w:val="1"/>
      <w:numFmt w:val="bullet"/>
      <w:lvlText w:val="o"/>
      <w:lvlJc w:val="left"/>
      <w:pPr>
        <w:ind w:left="1550" w:hanging="360"/>
      </w:pPr>
      <w:rPr>
        <w:rFonts w:ascii="Courier New" w:hAnsi="Courier New" w:cs="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cs="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cs="Courier New" w:hint="default"/>
      </w:rPr>
    </w:lvl>
    <w:lvl w:ilvl="8" w:tplc="04260005" w:tentative="1">
      <w:start w:val="1"/>
      <w:numFmt w:val="bullet"/>
      <w:lvlText w:val=""/>
      <w:lvlJc w:val="left"/>
      <w:pPr>
        <w:ind w:left="6590" w:hanging="360"/>
      </w:pPr>
      <w:rPr>
        <w:rFonts w:ascii="Wingdings" w:hAnsi="Wingdings" w:hint="default"/>
      </w:rPr>
    </w:lvl>
  </w:abstractNum>
  <w:abstractNum w:abstractNumId="36" w15:restartNumberingAfterBreak="0">
    <w:nsid w:val="7EDE5CBB"/>
    <w:multiLevelType w:val="hybridMultilevel"/>
    <w:tmpl w:val="65C6EFF0"/>
    <w:lvl w:ilvl="0" w:tplc="32B80916">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5"/>
  </w:num>
  <w:num w:numId="2">
    <w:abstractNumId w:val="28"/>
  </w:num>
  <w:num w:numId="3">
    <w:abstractNumId w:val="18"/>
  </w:num>
  <w:num w:numId="4">
    <w:abstractNumId w:val="26"/>
  </w:num>
  <w:num w:numId="5">
    <w:abstractNumId w:val="11"/>
  </w:num>
  <w:num w:numId="6">
    <w:abstractNumId w:val="29"/>
  </w:num>
  <w:num w:numId="7">
    <w:abstractNumId w:val="24"/>
  </w:num>
  <w:num w:numId="8">
    <w:abstractNumId w:val="34"/>
  </w:num>
  <w:num w:numId="9">
    <w:abstractNumId w:val="19"/>
  </w:num>
  <w:num w:numId="10">
    <w:abstractNumId w:val="36"/>
  </w:num>
  <w:num w:numId="11">
    <w:abstractNumId w:val="0"/>
  </w:num>
  <w:num w:numId="12">
    <w:abstractNumId w:val="7"/>
  </w:num>
  <w:num w:numId="13">
    <w:abstractNumId w:val="1"/>
  </w:num>
  <w:num w:numId="14">
    <w:abstractNumId w:val="2"/>
  </w:num>
  <w:num w:numId="15">
    <w:abstractNumId w:val="30"/>
  </w:num>
  <w:num w:numId="16">
    <w:abstractNumId w:val="3"/>
  </w:num>
  <w:num w:numId="17">
    <w:abstractNumId w:val="17"/>
  </w:num>
  <w:num w:numId="18">
    <w:abstractNumId w:val="15"/>
  </w:num>
  <w:num w:numId="19">
    <w:abstractNumId w:val="22"/>
  </w:num>
  <w:num w:numId="20">
    <w:abstractNumId w:val="23"/>
  </w:num>
  <w:num w:numId="21">
    <w:abstractNumId w:val="6"/>
  </w:num>
  <w:num w:numId="22">
    <w:abstractNumId w:val="25"/>
  </w:num>
  <w:num w:numId="23">
    <w:abstractNumId w:val="13"/>
  </w:num>
  <w:num w:numId="24">
    <w:abstractNumId w:val="14"/>
  </w:num>
  <w:num w:numId="25">
    <w:abstractNumId w:val="9"/>
  </w:num>
  <w:num w:numId="26">
    <w:abstractNumId w:val="31"/>
  </w:num>
  <w:num w:numId="27">
    <w:abstractNumId w:val="20"/>
  </w:num>
  <w:num w:numId="28">
    <w:abstractNumId w:val="16"/>
  </w:num>
  <w:num w:numId="29">
    <w:abstractNumId w:val="8"/>
  </w:num>
  <w:num w:numId="30">
    <w:abstractNumId w:val="27"/>
  </w:num>
  <w:num w:numId="31">
    <w:abstractNumId w:val="35"/>
  </w:num>
  <w:num w:numId="32">
    <w:abstractNumId w:val="33"/>
  </w:num>
  <w:num w:numId="33">
    <w:abstractNumId w:val="21"/>
  </w:num>
  <w:num w:numId="34">
    <w:abstractNumId w:val="32"/>
  </w:num>
  <w:num w:numId="35">
    <w:abstractNumId w:val="12"/>
  </w:num>
  <w:num w:numId="36">
    <w:abstractNumId w:val="1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ED3"/>
    <w:rsid w:val="00006206"/>
    <w:rsid w:val="00011981"/>
    <w:rsid w:val="00012CAE"/>
    <w:rsid w:val="00013A4F"/>
    <w:rsid w:val="00017662"/>
    <w:rsid w:val="000304C5"/>
    <w:rsid w:val="00032878"/>
    <w:rsid w:val="00034749"/>
    <w:rsid w:val="00035916"/>
    <w:rsid w:val="0003733B"/>
    <w:rsid w:val="00040EEA"/>
    <w:rsid w:val="000412E1"/>
    <w:rsid w:val="000422C3"/>
    <w:rsid w:val="00046631"/>
    <w:rsid w:val="00056D2E"/>
    <w:rsid w:val="000625D9"/>
    <w:rsid w:val="00067EF3"/>
    <w:rsid w:val="00070222"/>
    <w:rsid w:val="00072315"/>
    <w:rsid w:val="0007343C"/>
    <w:rsid w:val="000769AE"/>
    <w:rsid w:val="0008133F"/>
    <w:rsid w:val="000838BA"/>
    <w:rsid w:val="00087CF0"/>
    <w:rsid w:val="000904AD"/>
    <w:rsid w:val="0009113C"/>
    <w:rsid w:val="00093020"/>
    <w:rsid w:val="00094365"/>
    <w:rsid w:val="00094F37"/>
    <w:rsid w:val="000956DE"/>
    <w:rsid w:val="00096A3E"/>
    <w:rsid w:val="000A1590"/>
    <w:rsid w:val="000A1F8C"/>
    <w:rsid w:val="000A27BD"/>
    <w:rsid w:val="000A3E08"/>
    <w:rsid w:val="000A48E8"/>
    <w:rsid w:val="000A5359"/>
    <w:rsid w:val="000A7B17"/>
    <w:rsid w:val="000B59FF"/>
    <w:rsid w:val="000C0DD0"/>
    <w:rsid w:val="000C5A4A"/>
    <w:rsid w:val="000D1367"/>
    <w:rsid w:val="000D4584"/>
    <w:rsid w:val="000D7381"/>
    <w:rsid w:val="000E03F8"/>
    <w:rsid w:val="000E6190"/>
    <w:rsid w:val="000F183E"/>
    <w:rsid w:val="000F2CBB"/>
    <w:rsid w:val="000F791A"/>
    <w:rsid w:val="00100A3D"/>
    <w:rsid w:val="00103294"/>
    <w:rsid w:val="00104E43"/>
    <w:rsid w:val="00105B9D"/>
    <w:rsid w:val="00117C04"/>
    <w:rsid w:val="0012266E"/>
    <w:rsid w:val="001359BC"/>
    <w:rsid w:val="001377AB"/>
    <w:rsid w:val="00137C0D"/>
    <w:rsid w:val="00137E58"/>
    <w:rsid w:val="0014031D"/>
    <w:rsid w:val="00140F8D"/>
    <w:rsid w:val="0014161D"/>
    <w:rsid w:val="001417EB"/>
    <w:rsid w:val="00142DFE"/>
    <w:rsid w:val="00150801"/>
    <w:rsid w:val="00152BF3"/>
    <w:rsid w:val="00153AA8"/>
    <w:rsid w:val="00154A9C"/>
    <w:rsid w:val="0015763F"/>
    <w:rsid w:val="00157ADF"/>
    <w:rsid w:val="00160701"/>
    <w:rsid w:val="00161C42"/>
    <w:rsid w:val="00163248"/>
    <w:rsid w:val="0016371D"/>
    <w:rsid w:val="001657C7"/>
    <w:rsid w:val="00166AC7"/>
    <w:rsid w:val="001673E0"/>
    <w:rsid w:val="0016778E"/>
    <w:rsid w:val="00171048"/>
    <w:rsid w:val="00171682"/>
    <w:rsid w:val="0017334E"/>
    <w:rsid w:val="00176C7A"/>
    <w:rsid w:val="001775A7"/>
    <w:rsid w:val="0018727B"/>
    <w:rsid w:val="001913FC"/>
    <w:rsid w:val="00192CA7"/>
    <w:rsid w:val="00193562"/>
    <w:rsid w:val="001941DD"/>
    <w:rsid w:val="0019538F"/>
    <w:rsid w:val="001B0641"/>
    <w:rsid w:val="001B1A3C"/>
    <w:rsid w:val="001B45C9"/>
    <w:rsid w:val="001B4F63"/>
    <w:rsid w:val="001B562B"/>
    <w:rsid w:val="001B79BA"/>
    <w:rsid w:val="001C320F"/>
    <w:rsid w:val="001C550B"/>
    <w:rsid w:val="001D248F"/>
    <w:rsid w:val="001E121F"/>
    <w:rsid w:val="001E2656"/>
    <w:rsid w:val="001E379D"/>
    <w:rsid w:val="001E725D"/>
    <w:rsid w:val="001F05A2"/>
    <w:rsid w:val="001F1621"/>
    <w:rsid w:val="001F274F"/>
    <w:rsid w:val="001F621E"/>
    <w:rsid w:val="001F7FF7"/>
    <w:rsid w:val="0020779D"/>
    <w:rsid w:val="002177C1"/>
    <w:rsid w:val="00217C8D"/>
    <w:rsid w:val="00223783"/>
    <w:rsid w:val="00237CBD"/>
    <w:rsid w:val="0024767D"/>
    <w:rsid w:val="00250255"/>
    <w:rsid w:val="00253BB7"/>
    <w:rsid w:val="00255CA2"/>
    <w:rsid w:val="002566ED"/>
    <w:rsid w:val="00262B2A"/>
    <w:rsid w:val="00263EFB"/>
    <w:rsid w:val="00277AF4"/>
    <w:rsid w:val="00277E5C"/>
    <w:rsid w:val="002818C8"/>
    <w:rsid w:val="00281A6A"/>
    <w:rsid w:val="002823D0"/>
    <w:rsid w:val="00283B3A"/>
    <w:rsid w:val="002852AB"/>
    <w:rsid w:val="0029184B"/>
    <w:rsid w:val="00291967"/>
    <w:rsid w:val="002925BA"/>
    <w:rsid w:val="0029365A"/>
    <w:rsid w:val="00295211"/>
    <w:rsid w:val="0029576A"/>
    <w:rsid w:val="002A1781"/>
    <w:rsid w:val="002A6B31"/>
    <w:rsid w:val="002A7646"/>
    <w:rsid w:val="002B001C"/>
    <w:rsid w:val="002B1D1D"/>
    <w:rsid w:val="002B6AE4"/>
    <w:rsid w:val="002B6C9D"/>
    <w:rsid w:val="002B7F51"/>
    <w:rsid w:val="002C0E63"/>
    <w:rsid w:val="002C26C3"/>
    <w:rsid w:val="002C27EA"/>
    <w:rsid w:val="002C47C1"/>
    <w:rsid w:val="002C516B"/>
    <w:rsid w:val="002D1644"/>
    <w:rsid w:val="002F0706"/>
    <w:rsid w:val="002F322D"/>
    <w:rsid w:val="002F42ED"/>
    <w:rsid w:val="002F5146"/>
    <w:rsid w:val="00307DB3"/>
    <w:rsid w:val="00313784"/>
    <w:rsid w:val="00317DFB"/>
    <w:rsid w:val="00323163"/>
    <w:rsid w:val="00337CE3"/>
    <w:rsid w:val="00337D93"/>
    <w:rsid w:val="0034087A"/>
    <w:rsid w:val="00340A01"/>
    <w:rsid w:val="00343B3B"/>
    <w:rsid w:val="00345D32"/>
    <w:rsid w:val="00346F63"/>
    <w:rsid w:val="0035244A"/>
    <w:rsid w:val="00352E89"/>
    <w:rsid w:val="00353989"/>
    <w:rsid w:val="00353A62"/>
    <w:rsid w:val="00354BD1"/>
    <w:rsid w:val="00355DCF"/>
    <w:rsid w:val="003638A1"/>
    <w:rsid w:val="00364DA9"/>
    <w:rsid w:val="00376C5F"/>
    <w:rsid w:val="003774CE"/>
    <w:rsid w:val="003822D6"/>
    <w:rsid w:val="003903AE"/>
    <w:rsid w:val="00397098"/>
    <w:rsid w:val="003A6690"/>
    <w:rsid w:val="003B38BC"/>
    <w:rsid w:val="003B3D5C"/>
    <w:rsid w:val="003B63A9"/>
    <w:rsid w:val="003C47D9"/>
    <w:rsid w:val="003C4E4B"/>
    <w:rsid w:val="003D3F5C"/>
    <w:rsid w:val="003D46CC"/>
    <w:rsid w:val="003D4BED"/>
    <w:rsid w:val="003E06E9"/>
    <w:rsid w:val="003E2118"/>
    <w:rsid w:val="003E2979"/>
    <w:rsid w:val="003E2E78"/>
    <w:rsid w:val="003E35DA"/>
    <w:rsid w:val="003F23F7"/>
    <w:rsid w:val="003F3D63"/>
    <w:rsid w:val="003F6148"/>
    <w:rsid w:val="0040117A"/>
    <w:rsid w:val="0040288F"/>
    <w:rsid w:val="00402DCA"/>
    <w:rsid w:val="00403FAD"/>
    <w:rsid w:val="00404732"/>
    <w:rsid w:val="00405A5E"/>
    <w:rsid w:val="00405DEB"/>
    <w:rsid w:val="00410CBF"/>
    <w:rsid w:val="00414D90"/>
    <w:rsid w:val="00416360"/>
    <w:rsid w:val="004205D0"/>
    <w:rsid w:val="00422984"/>
    <w:rsid w:val="00424FEF"/>
    <w:rsid w:val="00427428"/>
    <w:rsid w:val="00427EF6"/>
    <w:rsid w:val="00430D1F"/>
    <w:rsid w:val="00432CE2"/>
    <w:rsid w:val="004361DA"/>
    <w:rsid w:val="0043712C"/>
    <w:rsid w:val="00440C32"/>
    <w:rsid w:val="00444AD0"/>
    <w:rsid w:val="00444AE8"/>
    <w:rsid w:val="004463E4"/>
    <w:rsid w:val="004545FC"/>
    <w:rsid w:val="00461626"/>
    <w:rsid w:val="00463B0D"/>
    <w:rsid w:val="0046441C"/>
    <w:rsid w:val="00464EEE"/>
    <w:rsid w:val="004719AF"/>
    <w:rsid w:val="00471BDB"/>
    <w:rsid w:val="00471EED"/>
    <w:rsid w:val="0047379C"/>
    <w:rsid w:val="00474437"/>
    <w:rsid w:val="00476A78"/>
    <w:rsid w:val="00477B6D"/>
    <w:rsid w:val="00477E32"/>
    <w:rsid w:val="00485365"/>
    <w:rsid w:val="00485C7D"/>
    <w:rsid w:val="00487BE8"/>
    <w:rsid w:val="00490D93"/>
    <w:rsid w:val="00495757"/>
    <w:rsid w:val="004A08B8"/>
    <w:rsid w:val="004A5312"/>
    <w:rsid w:val="004A67F2"/>
    <w:rsid w:val="004B1534"/>
    <w:rsid w:val="004B329D"/>
    <w:rsid w:val="004B3A93"/>
    <w:rsid w:val="004B5427"/>
    <w:rsid w:val="004C1C95"/>
    <w:rsid w:val="004C37AC"/>
    <w:rsid w:val="004C3FDA"/>
    <w:rsid w:val="004C60F2"/>
    <w:rsid w:val="004D5444"/>
    <w:rsid w:val="004D669E"/>
    <w:rsid w:val="004D6FE4"/>
    <w:rsid w:val="004E087C"/>
    <w:rsid w:val="004E12EF"/>
    <w:rsid w:val="004E30E1"/>
    <w:rsid w:val="004E4CDC"/>
    <w:rsid w:val="004E5504"/>
    <w:rsid w:val="004E62C3"/>
    <w:rsid w:val="004E6FE9"/>
    <w:rsid w:val="004E756E"/>
    <w:rsid w:val="004F2B55"/>
    <w:rsid w:val="004F4F76"/>
    <w:rsid w:val="004F6C30"/>
    <w:rsid w:val="004F77E2"/>
    <w:rsid w:val="00500D3E"/>
    <w:rsid w:val="00505862"/>
    <w:rsid w:val="00505A76"/>
    <w:rsid w:val="00510220"/>
    <w:rsid w:val="005136E6"/>
    <w:rsid w:val="00514158"/>
    <w:rsid w:val="00514983"/>
    <w:rsid w:val="00515EE4"/>
    <w:rsid w:val="00517EBA"/>
    <w:rsid w:val="00520974"/>
    <w:rsid w:val="00523568"/>
    <w:rsid w:val="0052397F"/>
    <w:rsid w:val="0052542E"/>
    <w:rsid w:val="00526B31"/>
    <w:rsid w:val="00531622"/>
    <w:rsid w:val="00532369"/>
    <w:rsid w:val="0053375D"/>
    <w:rsid w:val="00540B7D"/>
    <w:rsid w:val="00546403"/>
    <w:rsid w:val="00556BDF"/>
    <w:rsid w:val="005626D2"/>
    <w:rsid w:val="00580023"/>
    <w:rsid w:val="00583CE4"/>
    <w:rsid w:val="005871AF"/>
    <w:rsid w:val="00587EC9"/>
    <w:rsid w:val="005966A0"/>
    <w:rsid w:val="00596E97"/>
    <w:rsid w:val="005A3108"/>
    <w:rsid w:val="005A4042"/>
    <w:rsid w:val="005A53F2"/>
    <w:rsid w:val="005B2F11"/>
    <w:rsid w:val="005B389E"/>
    <w:rsid w:val="005B3B1C"/>
    <w:rsid w:val="005B41F6"/>
    <w:rsid w:val="005B79B1"/>
    <w:rsid w:val="005B7DA1"/>
    <w:rsid w:val="005C0F31"/>
    <w:rsid w:val="005C3224"/>
    <w:rsid w:val="005C3D82"/>
    <w:rsid w:val="005D2F79"/>
    <w:rsid w:val="005D5B18"/>
    <w:rsid w:val="005D5FA7"/>
    <w:rsid w:val="005D709E"/>
    <w:rsid w:val="005E138F"/>
    <w:rsid w:val="005E26EC"/>
    <w:rsid w:val="005E2744"/>
    <w:rsid w:val="005E28E2"/>
    <w:rsid w:val="005E2ED7"/>
    <w:rsid w:val="005E3E77"/>
    <w:rsid w:val="005E5C58"/>
    <w:rsid w:val="005E61EE"/>
    <w:rsid w:val="005E655B"/>
    <w:rsid w:val="005E768C"/>
    <w:rsid w:val="005F20A4"/>
    <w:rsid w:val="005F4252"/>
    <w:rsid w:val="005F456B"/>
    <w:rsid w:val="00600281"/>
    <w:rsid w:val="00601224"/>
    <w:rsid w:val="00603DF9"/>
    <w:rsid w:val="0060482C"/>
    <w:rsid w:val="00606AC1"/>
    <w:rsid w:val="0060754A"/>
    <w:rsid w:val="00616F87"/>
    <w:rsid w:val="00617C19"/>
    <w:rsid w:val="006229CB"/>
    <w:rsid w:val="00632306"/>
    <w:rsid w:val="00641154"/>
    <w:rsid w:val="00646E8E"/>
    <w:rsid w:val="00650F51"/>
    <w:rsid w:val="00653EA4"/>
    <w:rsid w:val="00661474"/>
    <w:rsid w:val="00661A67"/>
    <w:rsid w:val="00671A27"/>
    <w:rsid w:val="006814D5"/>
    <w:rsid w:val="00683753"/>
    <w:rsid w:val="0068625B"/>
    <w:rsid w:val="006862DC"/>
    <w:rsid w:val="0069034D"/>
    <w:rsid w:val="006903B6"/>
    <w:rsid w:val="00691A1A"/>
    <w:rsid w:val="0069310B"/>
    <w:rsid w:val="00695EB6"/>
    <w:rsid w:val="006966B2"/>
    <w:rsid w:val="006A1CF4"/>
    <w:rsid w:val="006A4505"/>
    <w:rsid w:val="006B0FAE"/>
    <w:rsid w:val="006B17A1"/>
    <w:rsid w:val="006B4398"/>
    <w:rsid w:val="006B4A4B"/>
    <w:rsid w:val="006B5440"/>
    <w:rsid w:val="006B7855"/>
    <w:rsid w:val="006C0BE8"/>
    <w:rsid w:val="006C3820"/>
    <w:rsid w:val="006C62FD"/>
    <w:rsid w:val="006D011B"/>
    <w:rsid w:val="006D2949"/>
    <w:rsid w:val="006D31F5"/>
    <w:rsid w:val="006D69D6"/>
    <w:rsid w:val="006F1351"/>
    <w:rsid w:val="006F36DE"/>
    <w:rsid w:val="006F4812"/>
    <w:rsid w:val="006F56C1"/>
    <w:rsid w:val="006F6A9E"/>
    <w:rsid w:val="006F6C30"/>
    <w:rsid w:val="00702E0B"/>
    <w:rsid w:val="00703E95"/>
    <w:rsid w:val="00705807"/>
    <w:rsid w:val="0070580D"/>
    <w:rsid w:val="0070599E"/>
    <w:rsid w:val="00714274"/>
    <w:rsid w:val="00716FB2"/>
    <w:rsid w:val="00720083"/>
    <w:rsid w:val="00721FCB"/>
    <w:rsid w:val="0072513F"/>
    <w:rsid w:val="00731D96"/>
    <w:rsid w:val="00734D03"/>
    <w:rsid w:val="00736BD6"/>
    <w:rsid w:val="007419FE"/>
    <w:rsid w:val="00745BBB"/>
    <w:rsid w:val="007465BA"/>
    <w:rsid w:val="007466D3"/>
    <w:rsid w:val="007467C5"/>
    <w:rsid w:val="00750E0E"/>
    <w:rsid w:val="007520D8"/>
    <w:rsid w:val="00752352"/>
    <w:rsid w:val="007740EA"/>
    <w:rsid w:val="00776409"/>
    <w:rsid w:val="00776DFF"/>
    <w:rsid w:val="00777655"/>
    <w:rsid w:val="007779AA"/>
    <w:rsid w:val="00784D6C"/>
    <w:rsid w:val="00791238"/>
    <w:rsid w:val="007927ED"/>
    <w:rsid w:val="007957D2"/>
    <w:rsid w:val="00796516"/>
    <w:rsid w:val="00796682"/>
    <w:rsid w:val="007A743E"/>
    <w:rsid w:val="007B07B8"/>
    <w:rsid w:val="007B082A"/>
    <w:rsid w:val="007B2707"/>
    <w:rsid w:val="007B3168"/>
    <w:rsid w:val="007C11DB"/>
    <w:rsid w:val="007C12DB"/>
    <w:rsid w:val="007C27F7"/>
    <w:rsid w:val="007C2BF6"/>
    <w:rsid w:val="007C6624"/>
    <w:rsid w:val="007D1A85"/>
    <w:rsid w:val="007D6FCF"/>
    <w:rsid w:val="007D701B"/>
    <w:rsid w:val="007D7945"/>
    <w:rsid w:val="007E1229"/>
    <w:rsid w:val="007E3305"/>
    <w:rsid w:val="007E47C9"/>
    <w:rsid w:val="007F4BAB"/>
    <w:rsid w:val="007F5F4F"/>
    <w:rsid w:val="007F774F"/>
    <w:rsid w:val="00801697"/>
    <w:rsid w:val="0081609B"/>
    <w:rsid w:val="00816CA4"/>
    <w:rsid w:val="00824E52"/>
    <w:rsid w:val="0082610A"/>
    <w:rsid w:val="008267F1"/>
    <w:rsid w:val="008318AF"/>
    <w:rsid w:val="008352AF"/>
    <w:rsid w:val="00835AE7"/>
    <w:rsid w:val="00836D64"/>
    <w:rsid w:val="0083707D"/>
    <w:rsid w:val="008377BD"/>
    <w:rsid w:val="00842473"/>
    <w:rsid w:val="0084438F"/>
    <w:rsid w:val="008454C0"/>
    <w:rsid w:val="00856A62"/>
    <w:rsid w:val="00857D8B"/>
    <w:rsid w:val="00862131"/>
    <w:rsid w:val="008621AA"/>
    <w:rsid w:val="0086560D"/>
    <w:rsid w:val="008675BE"/>
    <w:rsid w:val="008705AF"/>
    <w:rsid w:val="00872939"/>
    <w:rsid w:val="00873ED0"/>
    <w:rsid w:val="00874FD3"/>
    <w:rsid w:val="0087508E"/>
    <w:rsid w:val="00875EAC"/>
    <w:rsid w:val="008858C8"/>
    <w:rsid w:val="00886960"/>
    <w:rsid w:val="00887D70"/>
    <w:rsid w:val="0089540E"/>
    <w:rsid w:val="00895AC1"/>
    <w:rsid w:val="00896A71"/>
    <w:rsid w:val="008A0B96"/>
    <w:rsid w:val="008A5602"/>
    <w:rsid w:val="008A5FF7"/>
    <w:rsid w:val="008B1B80"/>
    <w:rsid w:val="008B2C05"/>
    <w:rsid w:val="008C18E8"/>
    <w:rsid w:val="008C3C48"/>
    <w:rsid w:val="008C3CBB"/>
    <w:rsid w:val="008C3F35"/>
    <w:rsid w:val="008C4A73"/>
    <w:rsid w:val="008C684F"/>
    <w:rsid w:val="008D3B4C"/>
    <w:rsid w:val="008E3A04"/>
    <w:rsid w:val="008E3D70"/>
    <w:rsid w:val="008E4C87"/>
    <w:rsid w:val="008E689F"/>
    <w:rsid w:val="008F0C62"/>
    <w:rsid w:val="008F1499"/>
    <w:rsid w:val="008F26B6"/>
    <w:rsid w:val="00900010"/>
    <w:rsid w:val="00914982"/>
    <w:rsid w:val="00915BC9"/>
    <w:rsid w:val="00917FAB"/>
    <w:rsid w:val="0092501B"/>
    <w:rsid w:val="0092504F"/>
    <w:rsid w:val="00927C7F"/>
    <w:rsid w:val="009302EB"/>
    <w:rsid w:val="00930BD3"/>
    <w:rsid w:val="00930FDB"/>
    <w:rsid w:val="00931717"/>
    <w:rsid w:val="0093275A"/>
    <w:rsid w:val="00932C51"/>
    <w:rsid w:val="009345B6"/>
    <w:rsid w:val="00937FDA"/>
    <w:rsid w:val="009408A6"/>
    <w:rsid w:val="00942AA8"/>
    <w:rsid w:val="00950F05"/>
    <w:rsid w:val="00953DDE"/>
    <w:rsid w:val="00956711"/>
    <w:rsid w:val="00957CFC"/>
    <w:rsid w:val="00960317"/>
    <w:rsid w:val="00963EA9"/>
    <w:rsid w:val="009652CA"/>
    <w:rsid w:val="00966601"/>
    <w:rsid w:val="009673CB"/>
    <w:rsid w:val="00967BED"/>
    <w:rsid w:val="009711CA"/>
    <w:rsid w:val="00971F1C"/>
    <w:rsid w:val="00973E6D"/>
    <w:rsid w:val="009747E8"/>
    <w:rsid w:val="009774B7"/>
    <w:rsid w:val="00977FCB"/>
    <w:rsid w:val="009810AF"/>
    <w:rsid w:val="00983A28"/>
    <w:rsid w:val="00984CE6"/>
    <w:rsid w:val="00984D8C"/>
    <w:rsid w:val="00986E3C"/>
    <w:rsid w:val="00986F45"/>
    <w:rsid w:val="00994652"/>
    <w:rsid w:val="0099520D"/>
    <w:rsid w:val="009961CF"/>
    <w:rsid w:val="009A7203"/>
    <w:rsid w:val="009A7449"/>
    <w:rsid w:val="009A7DE5"/>
    <w:rsid w:val="009B0231"/>
    <w:rsid w:val="009B5669"/>
    <w:rsid w:val="009B7F8D"/>
    <w:rsid w:val="009C1843"/>
    <w:rsid w:val="009C4AC0"/>
    <w:rsid w:val="009C4D42"/>
    <w:rsid w:val="009C5581"/>
    <w:rsid w:val="009C7217"/>
    <w:rsid w:val="009D1017"/>
    <w:rsid w:val="009D1D94"/>
    <w:rsid w:val="009D4761"/>
    <w:rsid w:val="009D4F8F"/>
    <w:rsid w:val="009D63B0"/>
    <w:rsid w:val="009D6947"/>
    <w:rsid w:val="009D6DCC"/>
    <w:rsid w:val="009E18DC"/>
    <w:rsid w:val="009E5FD5"/>
    <w:rsid w:val="009F08C1"/>
    <w:rsid w:val="009F2441"/>
    <w:rsid w:val="009F2FFD"/>
    <w:rsid w:val="009F4ED4"/>
    <w:rsid w:val="00A012FD"/>
    <w:rsid w:val="00A03646"/>
    <w:rsid w:val="00A04E5D"/>
    <w:rsid w:val="00A059E5"/>
    <w:rsid w:val="00A0760F"/>
    <w:rsid w:val="00A123BD"/>
    <w:rsid w:val="00A16290"/>
    <w:rsid w:val="00A217F0"/>
    <w:rsid w:val="00A2247A"/>
    <w:rsid w:val="00A25B5C"/>
    <w:rsid w:val="00A26BFC"/>
    <w:rsid w:val="00A30E20"/>
    <w:rsid w:val="00A32AFB"/>
    <w:rsid w:val="00A344E8"/>
    <w:rsid w:val="00A34DD0"/>
    <w:rsid w:val="00A3521B"/>
    <w:rsid w:val="00A35883"/>
    <w:rsid w:val="00A40FAE"/>
    <w:rsid w:val="00A410F9"/>
    <w:rsid w:val="00A451C2"/>
    <w:rsid w:val="00A51959"/>
    <w:rsid w:val="00A54740"/>
    <w:rsid w:val="00A5536F"/>
    <w:rsid w:val="00A558DD"/>
    <w:rsid w:val="00A607D7"/>
    <w:rsid w:val="00A63886"/>
    <w:rsid w:val="00A65F45"/>
    <w:rsid w:val="00A71EEE"/>
    <w:rsid w:val="00A74089"/>
    <w:rsid w:val="00A752E3"/>
    <w:rsid w:val="00A75802"/>
    <w:rsid w:val="00A75A0C"/>
    <w:rsid w:val="00A809C6"/>
    <w:rsid w:val="00A816D6"/>
    <w:rsid w:val="00A81A85"/>
    <w:rsid w:val="00A8366C"/>
    <w:rsid w:val="00A87696"/>
    <w:rsid w:val="00A923A9"/>
    <w:rsid w:val="00A96BBA"/>
    <w:rsid w:val="00A96BDE"/>
    <w:rsid w:val="00A97FA2"/>
    <w:rsid w:val="00AA177B"/>
    <w:rsid w:val="00AA46FF"/>
    <w:rsid w:val="00AA4FDD"/>
    <w:rsid w:val="00AA5965"/>
    <w:rsid w:val="00AA78C4"/>
    <w:rsid w:val="00AB164A"/>
    <w:rsid w:val="00AB3DD3"/>
    <w:rsid w:val="00AD0D52"/>
    <w:rsid w:val="00AD1F4C"/>
    <w:rsid w:val="00AD5A73"/>
    <w:rsid w:val="00AD69C8"/>
    <w:rsid w:val="00AD6A66"/>
    <w:rsid w:val="00AD779A"/>
    <w:rsid w:val="00AE0268"/>
    <w:rsid w:val="00AE3564"/>
    <w:rsid w:val="00AE3BB0"/>
    <w:rsid w:val="00AE3F64"/>
    <w:rsid w:val="00AE42BE"/>
    <w:rsid w:val="00AE5F30"/>
    <w:rsid w:val="00AE60AE"/>
    <w:rsid w:val="00AF628D"/>
    <w:rsid w:val="00AF6B53"/>
    <w:rsid w:val="00B0331E"/>
    <w:rsid w:val="00B105A5"/>
    <w:rsid w:val="00B15C9E"/>
    <w:rsid w:val="00B16124"/>
    <w:rsid w:val="00B17241"/>
    <w:rsid w:val="00B220ED"/>
    <w:rsid w:val="00B307F2"/>
    <w:rsid w:val="00B3232E"/>
    <w:rsid w:val="00B34046"/>
    <w:rsid w:val="00B361FC"/>
    <w:rsid w:val="00B36817"/>
    <w:rsid w:val="00B37FA3"/>
    <w:rsid w:val="00B40CC2"/>
    <w:rsid w:val="00B44450"/>
    <w:rsid w:val="00B468F0"/>
    <w:rsid w:val="00B47564"/>
    <w:rsid w:val="00B47D1A"/>
    <w:rsid w:val="00B51610"/>
    <w:rsid w:val="00B56B32"/>
    <w:rsid w:val="00B60149"/>
    <w:rsid w:val="00B617ED"/>
    <w:rsid w:val="00B619E7"/>
    <w:rsid w:val="00B63DB5"/>
    <w:rsid w:val="00B67E03"/>
    <w:rsid w:val="00B82ECD"/>
    <w:rsid w:val="00B94112"/>
    <w:rsid w:val="00B953FD"/>
    <w:rsid w:val="00B971B3"/>
    <w:rsid w:val="00B97773"/>
    <w:rsid w:val="00BA1E5E"/>
    <w:rsid w:val="00BA246A"/>
    <w:rsid w:val="00BA28C3"/>
    <w:rsid w:val="00BA5699"/>
    <w:rsid w:val="00BB0EF3"/>
    <w:rsid w:val="00BB1F90"/>
    <w:rsid w:val="00BB47F6"/>
    <w:rsid w:val="00BB7EBA"/>
    <w:rsid w:val="00BC049A"/>
    <w:rsid w:val="00BC0631"/>
    <w:rsid w:val="00BC2166"/>
    <w:rsid w:val="00BC2175"/>
    <w:rsid w:val="00BC3431"/>
    <w:rsid w:val="00BC4BEF"/>
    <w:rsid w:val="00BC6C54"/>
    <w:rsid w:val="00BD0ADB"/>
    <w:rsid w:val="00BD1149"/>
    <w:rsid w:val="00BD4388"/>
    <w:rsid w:val="00BD5588"/>
    <w:rsid w:val="00BD5BC0"/>
    <w:rsid w:val="00BF1BB7"/>
    <w:rsid w:val="00BF1EEE"/>
    <w:rsid w:val="00BF49AC"/>
    <w:rsid w:val="00BF7502"/>
    <w:rsid w:val="00C01535"/>
    <w:rsid w:val="00C05988"/>
    <w:rsid w:val="00C07CBA"/>
    <w:rsid w:val="00C17043"/>
    <w:rsid w:val="00C22361"/>
    <w:rsid w:val="00C27877"/>
    <w:rsid w:val="00C314E9"/>
    <w:rsid w:val="00C33E71"/>
    <w:rsid w:val="00C35E3B"/>
    <w:rsid w:val="00C40125"/>
    <w:rsid w:val="00C40B61"/>
    <w:rsid w:val="00C430B2"/>
    <w:rsid w:val="00C43703"/>
    <w:rsid w:val="00C4443F"/>
    <w:rsid w:val="00C4507B"/>
    <w:rsid w:val="00C57086"/>
    <w:rsid w:val="00C6005D"/>
    <w:rsid w:val="00C61F14"/>
    <w:rsid w:val="00C63316"/>
    <w:rsid w:val="00C7371D"/>
    <w:rsid w:val="00C85BF2"/>
    <w:rsid w:val="00C94C05"/>
    <w:rsid w:val="00C96CE1"/>
    <w:rsid w:val="00CA1D2D"/>
    <w:rsid w:val="00CB0F66"/>
    <w:rsid w:val="00CB1C28"/>
    <w:rsid w:val="00CB6784"/>
    <w:rsid w:val="00CB6D96"/>
    <w:rsid w:val="00CC0053"/>
    <w:rsid w:val="00CC041F"/>
    <w:rsid w:val="00CC265B"/>
    <w:rsid w:val="00CC3BA0"/>
    <w:rsid w:val="00CC3C1F"/>
    <w:rsid w:val="00CC6F23"/>
    <w:rsid w:val="00CD0A63"/>
    <w:rsid w:val="00CD1692"/>
    <w:rsid w:val="00CD1BA7"/>
    <w:rsid w:val="00CE08B9"/>
    <w:rsid w:val="00CE2E27"/>
    <w:rsid w:val="00CF114C"/>
    <w:rsid w:val="00CF3301"/>
    <w:rsid w:val="00CF415E"/>
    <w:rsid w:val="00CF4539"/>
    <w:rsid w:val="00CF4EC3"/>
    <w:rsid w:val="00D00965"/>
    <w:rsid w:val="00D026DC"/>
    <w:rsid w:val="00D0550B"/>
    <w:rsid w:val="00D11464"/>
    <w:rsid w:val="00D11999"/>
    <w:rsid w:val="00D12C6C"/>
    <w:rsid w:val="00D15DD1"/>
    <w:rsid w:val="00D202B6"/>
    <w:rsid w:val="00D247A1"/>
    <w:rsid w:val="00D34162"/>
    <w:rsid w:val="00D34AC2"/>
    <w:rsid w:val="00D4390B"/>
    <w:rsid w:val="00D4770A"/>
    <w:rsid w:val="00D47B6C"/>
    <w:rsid w:val="00D57787"/>
    <w:rsid w:val="00D60923"/>
    <w:rsid w:val="00D6503A"/>
    <w:rsid w:val="00D653B0"/>
    <w:rsid w:val="00D655B9"/>
    <w:rsid w:val="00D76182"/>
    <w:rsid w:val="00D77D3F"/>
    <w:rsid w:val="00D8138B"/>
    <w:rsid w:val="00D8163A"/>
    <w:rsid w:val="00D84375"/>
    <w:rsid w:val="00DA47F3"/>
    <w:rsid w:val="00DA6054"/>
    <w:rsid w:val="00DA6A88"/>
    <w:rsid w:val="00DA6CE3"/>
    <w:rsid w:val="00DA7273"/>
    <w:rsid w:val="00DA7A17"/>
    <w:rsid w:val="00DA7C40"/>
    <w:rsid w:val="00DB638A"/>
    <w:rsid w:val="00DB6F38"/>
    <w:rsid w:val="00DC6B00"/>
    <w:rsid w:val="00DC6D9D"/>
    <w:rsid w:val="00DC7511"/>
    <w:rsid w:val="00DC7C52"/>
    <w:rsid w:val="00DD13B6"/>
    <w:rsid w:val="00DD15C5"/>
    <w:rsid w:val="00DD2F30"/>
    <w:rsid w:val="00DD7AF3"/>
    <w:rsid w:val="00DD7FB2"/>
    <w:rsid w:val="00DE23FF"/>
    <w:rsid w:val="00DE535C"/>
    <w:rsid w:val="00DF0965"/>
    <w:rsid w:val="00DF2609"/>
    <w:rsid w:val="00DF3D21"/>
    <w:rsid w:val="00DF5F48"/>
    <w:rsid w:val="00E06D6C"/>
    <w:rsid w:val="00E11BD0"/>
    <w:rsid w:val="00E12E23"/>
    <w:rsid w:val="00E13BBD"/>
    <w:rsid w:val="00E20956"/>
    <w:rsid w:val="00E2179C"/>
    <w:rsid w:val="00E23220"/>
    <w:rsid w:val="00E261BE"/>
    <w:rsid w:val="00E33527"/>
    <w:rsid w:val="00E3549F"/>
    <w:rsid w:val="00E356D4"/>
    <w:rsid w:val="00E44472"/>
    <w:rsid w:val="00E4473F"/>
    <w:rsid w:val="00E46A16"/>
    <w:rsid w:val="00E47F91"/>
    <w:rsid w:val="00E52EAF"/>
    <w:rsid w:val="00E5476B"/>
    <w:rsid w:val="00E56C0F"/>
    <w:rsid w:val="00E56E92"/>
    <w:rsid w:val="00E633A9"/>
    <w:rsid w:val="00E67C05"/>
    <w:rsid w:val="00E7036E"/>
    <w:rsid w:val="00E76614"/>
    <w:rsid w:val="00E76F87"/>
    <w:rsid w:val="00E84D10"/>
    <w:rsid w:val="00E85AB6"/>
    <w:rsid w:val="00E8634B"/>
    <w:rsid w:val="00E867C5"/>
    <w:rsid w:val="00E87209"/>
    <w:rsid w:val="00E970BE"/>
    <w:rsid w:val="00EA5F2F"/>
    <w:rsid w:val="00EA6B2C"/>
    <w:rsid w:val="00EB4417"/>
    <w:rsid w:val="00EC16A9"/>
    <w:rsid w:val="00EC3406"/>
    <w:rsid w:val="00EC5FB6"/>
    <w:rsid w:val="00ED4BCB"/>
    <w:rsid w:val="00ED7749"/>
    <w:rsid w:val="00EE25FB"/>
    <w:rsid w:val="00EE48CD"/>
    <w:rsid w:val="00EE7372"/>
    <w:rsid w:val="00EF0DD0"/>
    <w:rsid w:val="00EF3243"/>
    <w:rsid w:val="00EF4823"/>
    <w:rsid w:val="00F00A8D"/>
    <w:rsid w:val="00F035D8"/>
    <w:rsid w:val="00F043C9"/>
    <w:rsid w:val="00F0627E"/>
    <w:rsid w:val="00F07B6E"/>
    <w:rsid w:val="00F272AE"/>
    <w:rsid w:val="00F3068C"/>
    <w:rsid w:val="00F36588"/>
    <w:rsid w:val="00F36B98"/>
    <w:rsid w:val="00F40422"/>
    <w:rsid w:val="00F405EE"/>
    <w:rsid w:val="00F44FB3"/>
    <w:rsid w:val="00F515BE"/>
    <w:rsid w:val="00F560C0"/>
    <w:rsid w:val="00F56EA9"/>
    <w:rsid w:val="00F601E4"/>
    <w:rsid w:val="00F605F2"/>
    <w:rsid w:val="00F60A10"/>
    <w:rsid w:val="00F63BB2"/>
    <w:rsid w:val="00F64C5A"/>
    <w:rsid w:val="00F64F73"/>
    <w:rsid w:val="00F67333"/>
    <w:rsid w:val="00F70B47"/>
    <w:rsid w:val="00F72F5E"/>
    <w:rsid w:val="00F73541"/>
    <w:rsid w:val="00F7425D"/>
    <w:rsid w:val="00F83D7C"/>
    <w:rsid w:val="00F841F2"/>
    <w:rsid w:val="00F8609A"/>
    <w:rsid w:val="00F96A20"/>
    <w:rsid w:val="00FA3024"/>
    <w:rsid w:val="00FA56EC"/>
    <w:rsid w:val="00FA6B73"/>
    <w:rsid w:val="00FB0262"/>
    <w:rsid w:val="00FB3E18"/>
    <w:rsid w:val="00FB4A26"/>
    <w:rsid w:val="00FB55E3"/>
    <w:rsid w:val="00FC706E"/>
    <w:rsid w:val="00FD01BE"/>
    <w:rsid w:val="00FD1A8D"/>
    <w:rsid w:val="00FD7D45"/>
    <w:rsid w:val="00FE0177"/>
    <w:rsid w:val="00FE1FD8"/>
    <w:rsid w:val="00FE2949"/>
    <w:rsid w:val="00FE570B"/>
    <w:rsid w:val="00FE6833"/>
    <w:rsid w:val="00FF624C"/>
    <w:rsid w:val="00FF6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8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
    <w:link w:val="ListParagraph"/>
    <w:uiPriority w:val="34"/>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semiHidden/>
    <w:unhideWhenUsed/>
    <w:rsid w:val="0083707D"/>
    <w:rPr>
      <w:sz w:val="20"/>
      <w:szCs w:val="20"/>
    </w:rPr>
  </w:style>
  <w:style w:type="character" w:customStyle="1" w:styleId="CommentTextChar">
    <w:name w:val="Comment Text Char"/>
    <w:basedOn w:val="DefaultParagraphFont"/>
    <w:link w:val="CommentText"/>
    <w:uiPriority w:val="99"/>
    <w:semiHidden/>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Virsraksts1">
    <w:name w:val="Virsraksts 1"/>
    <w:rsid w:val="000F183E"/>
    <w:pPr>
      <w:spacing w:after="0" w:line="240" w:lineRule="auto"/>
    </w:pPr>
    <w:rPr>
      <w:rFonts w:ascii="Times New Roman" w:eastAsia="Times New Roman" w:hAnsi="Times New Roman" w:cs="Times New Roman"/>
      <w:b/>
      <w:i/>
      <w:sz w:val="24"/>
      <w:szCs w:val="28"/>
      <w:lang w:eastAsia="lv-LV"/>
    </w:rPr>
  </w:style>
  <w:style w:type="paragraph" w:customStyle="1" w:styleId="Default">
    <w:name w:val="Default"/>
    <w:rsid w:val="00463B0D"/>
    <w:pPr>
      <w:autoSpaceDE w:val="0"/>
      <w:autoSpaceDN w:val="0"/>
      <w:adjustRightInd w:val="0"/>
      <w:spacing w:after="0" w:line="240" w:lineRule="auto"/>
    </w:pPr>
    <w:rPr>
      <w:rFonts w:ascii="EUAlbertina" w:hAnsi="EUAlbertina" w:cs="EUAlbertina"/>
      <w:color w:val="000000"/>
      <w:sz w:val="24"/>
      <w:szCs w:val="24"/>
    </w:rPr>
  </w:style>
  <w:style w:type="paragraph" w:customStyle="1" w:styleId="naisf">
    <w:name w:val="naisf"/>
    <w:basedOn w:val="Normal"/>
    <w:rsid w:val="00A344E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741026409">
      <w:bodyDiv w:val="1"/>
      <w:marLeft w:val="0"/>
      <w:marRight w:val="0"/>
      <w:marTop w:val="0"/>
      <w:marBottom w:val="0"/>
      <w:divBdr>
        <w:top w:val="none" w:sz="0" w:space="0" w:color="auto"/>
        <w:left w:val="none" w:sz="0" w:space="0" w:color="auto"/>
        <w:bottom w:val="none" w:sz="0" w:space="0" w:color="auto"/>
        <w:right w:val="none" w:sz="0" w:space="0" w:color="auto"/>
      </w:divBdr>
    </w:div>
    <w:div w:id="1012218535">
      <w:bodyDiv w:val="1"/>
      <w:marLeft w:val="0"/>
      <w:marRight w:val="0"/>
      <w:marTop w:val="0"/>
      <w:marBottom w:val="0"/>
      <w:divBdr>
        <w:top w:val="none" w:sz="0" w:space="0" w:color="auto"/>
        <w:left w:val="none" w:sz="0" w:space="0" w:color="auto"/>
        <w:bottom w:val="none" w:sz="0" w:space="0" w:color="auto"/>
        <w:right w:val="none" w:sz="0" w:space="0" w:color="auto"/>
      </w:divBdr>
    </w:div>
    <w:div w:id="1380400626">
      <w:bodyDiv w:val="1"/>
      <w:marLeft w:val="0"/>
      <w:marRight w:val="0"/>
      <w:marTop w:val="0"/>
      <w:marBottom w:val="0"/>
      <w:divBdr>
        <w:top w:val="none" w:sz="0" w:space="0" w:color="auto"/>
        <w:left w:val="none" w:sz="0" w:space="0" w:color="auto"/>
        <w:bottom w:val="none" w:sz="0" w:space="0" w:color="auto"/>
        <w:right w:val="none" w:sz="0" w:space="0" w:color="auto"/>
      </w:divBdr>
    </w:div>
    <w:div w:id="1471442661">
      <w:bodyDiv w:val="1"/>
      <w:marLeft w:val="0"/>
      <w:marRight w:val="0"/>
      <w:marTop w:val="0"/>
      <w:marBottom w:val="0"/>
      <w:divBdr>
        <w:top w:val="none" w:sz="0" w:space="0" w:color="auto"/>
        <w:left w:val="none" w:sz="0" w:space="0" w:color="auto"/>
        <w:bottom w:val="none" w:sz="0" w:space="0" w:color="auto"/>
        <w:right w:val="none" w:sz="0" w:space="0" w:color="auto"/>
      </w:divBdr>
    </w:div>
    <w:div w:id="1892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rika.Stratane@l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1605-6C06-41B7-B9EF-29DD4DF1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15785</Words>
  <Characters>8998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jolanta.balduncika@fm.gov.lv</dc:creator>
  <dc:description>Tālr.: 67059479, E-pasts: jolanta.balduncika@fm.gov.lv</dc:description>
  <cp:lastModifiedBy>Aurika Stratane</cp:lastModifiedBy>
  <cp:revision>131</cp:revision>
  <cp:lastPrinted>2018-11-09T09:35:00Z</cp:lastPrinted>
  <dcterms:created xsi:type="dcterms:W3CDTF">2021-03-12T11:47:00Z</dcterms:created>
  <dcterms:modified xsi:type="dcterms:W3CDTF">2021-04-21T11:31:00Z</dcterms:modified>
</cp:coreProperties>
</file>