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4260"/>
      </w:tblGrid>
      <w:tr w:rsidR="00BE4298" w:rsidRPr="00BF3933" w14:paraId="349BB900" w14:textId="77777777" w:rsidTr="00315C47">
        <w:tc>
          <w:tcPr>
            <w:tcW w:w="4262" w:type="dxa"/>
          </w:tcPr>
          <w:p w14:paraId="33AB39D8" w14:textId="20107B06" w:rsidR="00BE4298" w:rsidRPr="00BF3933" w:rsidRDefault="00BE4298" w:rsidP="00DC3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4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 gada</w:t>
            </w:r>
          </w:p>
          <w:p w14:paraId="4AD6F447" w14:textId="77777777" w:rsidR="00BE4298" w:rsidRPr="00BF3933" w:rsidRDefault="00BE4298" w:rsidP="00DC3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4260" w:type="dxa"/>
          </w:tcPr>
          <w:p w14:paraId="33661558" w14:textId="77777777" w:rsidR="00BE4298" w:rsidRPr="00BF3933" w:rsidRDefault="00BE4298" w:rsidP="00DC3C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14:paraId="6E4DAABB" w14:textId="77777777" w:rsidR="00BE4298" w:rsidRPr="00BF3933" w:rsidRDefault="00BE4298" w:rsidP="00DC3C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    §   )</w:t>
            </w:r>
          </w:p>
        </w:tc>
      </w:tr>
    </w:tbl>
    <w:p w14:paraId="55151296" w14:textId="77777777" w:rsidR="00BE4298" w:rsidRDefault="00BE4298" w:rsidP="00E74EB7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2476D950" w14:textId="60B54C61" w:rsidR="00E74EB7" w:rsidRPr="000260C6" w:rsidRDefault="007358DB" w:rsidP="00E74EB7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„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valsts sociālās apdrošināšanas </w:t>
      </w:r>
      <w:r w:rsidR="0026332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obligāto un brīvprātīgo 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iemaksu objekta </w:t>
      </w:r>
      <w:r w:rsidR="00E57F91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minimālo un 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>maksimālo apmēru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14:paraId="4947FDD3" w14:textId="679E3CB5" w:rsidR="007358DB" w:rsidRDefault="00E74EB7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0260C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Izdoti saskaņā ar likuma "</w:t>
      </w:r>
      <w:hyperlink r:id="rId8" w:tgtFrame="_blank" w:history="1">
        <w:r w:rsidRPr="000260C6">
          <w:rPr>
            <w:rFonts w:ascii="Times New Roman" w:hAnsi="Times New Roman" w:cs="Times New Roman"/>
            <w:i/>
            <w:iCs/>
            <w:sz w:val="24"/>
            <w:szCs w:val="24"/>
            <w:lang w:eastAsia="lv-LV"/>
          </w:rPr>
          <w:t>Par valsts sociālo apdrošināšanu</w:t>
        </w:r>
      </w:hyperlink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" 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br/>
        <w:t>14.</w:t>
      </w:r>
      <w:r w:rsidR="00494D0A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panta </w:t>
      </w:r>
      <w:r w:rsidR="007358DB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otro, 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piekto un sesto daļu</w:t>
      </w:r>
      <w:r w:rsidR="007358DB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69E1671C" w14:textId="77777777" w:rsidR="007358DB" w:rsidRDefault="007358DB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1" w:name="p-80287"/>
      <w:bookmarkStart w:id="2" w:name="p1"/>
      <w:bookmarkEnd w:id="1"/>
      <w:bookmarkEnd w:id="2"/>
    </w:p>
    <w:p w14:paraId="0999A62F" w14:textId="675A3922" w:rsidR="00FB155A" w:rsidRPr="00F45492" w:rsidRDefault="00CE3A91" w:rsidP="00F45492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45492">
        <w:rPr>
          <w:rFonts w:ascii="Times New Roman" w:hAnsi="Times New Roman" w:cs="Times New Roman"/>
          <w:sz w:val="28"/>
          <w:szCs w:val="28"/>
          <w:lang w:eastAsia="lv-LV"/>
        </w:rPr>
        <w:t>Noteikumi nosaka</w:t>
      </w:r>
      <w:r w:rsidR="00FB155A" w:rsidRPr="00F45492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212C9A9F" w14:textId="1DD572DC" w:rsidR="00C15CAF" w:rsidRDefault="00CE3A91" w:rsidP="00F4549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4549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15CAF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C15CAF" w:rsidRPr="00C15CAF">
        <w:rPr>
          <w:rFonts w:ascii="Times New Roman" w:hAnsi="Times New Roman" w:cs="Times New Roman"/>
          <w:sz w:val="28"/>
          <w:szCs w:val="28"/>
          <w:lang w:eastAsia="lv-LV"/>
        </w:rPr>
        <w:t xml:space="preserve">bligāto iemaksu objekta minimālo apmēru </w:t>
      </w:r>
      <w:proofErr w:type="spellStart"/>
      <w:r w:rsidR="00A37F36">
        <w:rPr>
          <w:rFonts w:ascii="Times New Roman" w:hAnsi="Times New Roman" w:cs="Times New Roman"/>
          <w:sz w:val="28"/>
          <w:szCs w:val="28"/>
          <w:lang w:eastAsia="lv-LV"/>
        </w:rPr>
        <w:t>pašnodarbinātajiem</w:t>
      </w:r>
      <w:proofErr w:type="spellEnd"/>
      <w:r w:rsidR="00A37F3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15CAF" w:rsidRPr="00C15CAF">
        <w:rPr>
          <w:rFonts w:ascii="Times New Roman" w:hAnsi="Times New Roman" w:cs="Times New Roman"/>
          <w:sz w:val="28"/>
          <w:szCs w:val="28"/>
          <w:lang w:eastAsia="lv-LV"/>
        </w:rPr>
        <w:t>un tā noteikšanas kārtību</w:t>
      </w:r>
      <w:r w:rsidR="00C15CAF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231DE61C" w14:textId="7E2D8860" w:rsidR="00C15CAF" w:rsidRDefault="00C15CAF" w:rsidP="00F4549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o</w:t>
      </w:r>
      <w:r w:rsidRPr="00C15CAF">
        <w:rPr>
          <w:rFonts w:ascii="Times New Roman" w:hAnsi="Times New Roman" w:cs="Times New Roman"/>
          <w:sz w:val="28"/>
          <w:szCs w:val="28"/>
          <w:lang w:eastAsia="lv-LV"/>
        </w:rPr>
        <w:t>bligāto iemaksu objekta maksimālā apmēra noteikšanas kārtību</w:t>
      </w:r>
      <w:r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073D86C0" w14:textId="554D15DE" w:rsidR="00CE3A91" w:rsidRPr="00F45492" w:rsidRDefault="00C15CAF" w:rsidP="00F4549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15CAF" w:rsidDel="00C15CA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b</w:t>
      </w:r>
      <w:r w:rsidRPr="00C15CAF">
        <w:rPr>
          <w:rFonts w:ascii="Times New Roman" w:hAnsi="Times New Roman" w:cs="Times New Roman"/>
          <w:sz w:val="28"/>
          <w:szCs w:val="28"/>
          <w:lang w:eastAsia="lv-LV"/>
        </w:rPr>
        <w:t>rīvprātīgo apdrošināšanas iemaksu objekta minimālo apmēru un maksimālā apmēra noteikšanas kārtību</w:t>
      </w:r>
      <w:r w:rsidR="00CE3A91" w:rsidRPr="00F45492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2EBB0384" w14:textId="076E6AF1" w:rsidR="00063CF2" w:rsidRDefault="00CE3A91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C702A">
        <w:rPr>
          <w:rFonts w:ascii="Times New Roman" w:hAnsi="Times New Roman" w:cs="Times New Roman"/>
          <w:sz w:val="28"/>
          <w:szCs w:val="28"/>
          <w:lang w:eastAsia="lv-LV"/>
        </w:rPr>
        <w:t xml:space="preserve">2. </w:t>
      </w:r>
      <w:r w:rsidR="00B80419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FB155A" w:rsidRPr="00FB155A">
        <w:rPr>
          <w:rFonts w:ascii="Times New Roman" w:hAnsi="Times New Roman" w:cs="Times New Roman"/>
          <w:sz w:val="28"/>
          <w:szCs w:val="28"/>
          <w:lang w:eastAsia="lv-LV"/>
        </w:rPr>
        <w:t xml:space="preserve">bligāto iemaksu objekta </w:t>
      </w:r>
      <w:r w:rsidR="00063CF2" w:rsidRPr="000C702A">
        <w:rPr>
          <w:rFonts w:ascii="Times New Roman" w:hAnsi="Times New Roman" w:cs="Times New Roman"/>
          <w:sz w:val="28"/>
          <w:szCs w:val="28"/>
          <w:lang w:eastAsia="lv-LV"/>
        </w:rPr>
        <w:t xml:space="preserve"> minimālais apmērs </w:t>
      </w:r>
      <w:proofErr w:type="spellStart"/>
      <w:r w:rsidR="00063CF2" w:rsidRPr="000C702A">
        <w:rPr>
          <w:rFonts w:ascii="Times New Roman" w:hAnsi="Times New Roman" w:cs="Times New Roman"/>
          <w:sz w:val="28"/>
          <w:szCs w:val="28"/>
          <w:lang w:eastAsia="lv-LV"/>
        </w:rPr>
        <w:t>pašnodarbinātajam</w:t>
      </w:r>
      <w:proofErr w:type="spellEnd"/>
      <w:r w:rsidR="00063CF2" w:rsidRPr="000C702A">
        <w:rPr>
          <w:rFonts w:ascii="Times New Roman" w:hAnsi="Times New Roman" w:cs="Times New Roman"/>
          <w:sz w:val="28"/>
          <w:szCs w:val="28"/>
          <w:lang w:eastAsia="lv-LV"/>
        </w:rPr>
        <w:t>, kur</w:t>
      </w:r>
      <w:r w:rsidR="009C44B7" w:rsidRPr="000C702A">
        <w:rPr>
          <w:rFonts w:ascii="Times New Roman" w:hAnsi="Times New Roman" w:cs="Times New Roman"/>
          <w:sz w:val="28"/>
          <w:szCs w:val="28"/>
          <w:lang w:eastAsia="lv-LV"/>
        </w:rPr>
        <w:t xml:space="preserve">a ienākumi mēnesī sasniedz vai pārsniedz Ministru kabineta noteikto minimālo mēneša darba algu, </w:t>
      </w:r>
      <w:r w:rsidR="00063CF2" w:rsidRPr="000C702A">
        <w:rPr>
          <w:rFonts w:ascii="Times New Roman" w:hAnsi="Times New Roman" w:cs="Times New Roman"/>
          <w:sz w:val="28"/>
          <w:szCs w:val="28"/>
          <w:lang w:eastAsia="lv-LV"/>
        </w:rPr>
        <w:t>ir Ministru kabineta noteiktā minimālā mēneša darba alga</w:t>
      </w:r>
      <w:r w:rsidR="009C44B7" w:rsidRPr="000C702A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5F41245" w14:textId="5EB02CF8" w:rsidR="00CE3A91" w:rsidRPr="00CE3A91" w:rsidRDefault="009C44B7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B3ED9">
        <w:rPr>
          <w:rFonts w:ascii="Times New Roman" w:hAnsi="Times New Roman" w:cs="Times New Roman"/>
          <w:sz w:val="28"/>
          <w:szCs w:val="28"/>
          <w:lang w:eastAsia="lv-LV"/>
        </w:rPr>
        <w:t xml:space="preserve">3. </w:t>
      </w:r>
      <w:r w:rsidR="00CE3A91" w:rsidRPr="00BB3ED9">
        <w:rPr>
          <w:rFonts w:ascii="Times New Roman" w:hAnsi="Times New Roman" w:cs="Times New Roman"/>
          <w:sz w:val="28"/>
          <w:szCs w:val="28"/>
          <w:lang w:eastAsia="lv-LV"/>
        </w:rPr>
        <w:t>Iemaksu objekta minimālais gada apmērs brīvprātīgi apdrošinātai personai ir 12 Ministru kabineta noteiktās minimālās mēneša darba algas.</w:t>
      </w:r>
    </w:p>
    <w:p w14:paraId="5E3558A2" w14:textId="22242B31" w:rsidR="00CE3A91" w:rsidRPr="00CE3A91" w:rsidRDefault="009C44B7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A5694E">
        <w:rPr>
          <w:rFonts w:ascii="Times New Roman" w:hAnsi="Times New Roman" w:cs="Times New Roman"/>
          <w:sz w:val="28"/>
          <w:szCs w:val="28"/>
          <w:lang w:eastAsia="lv-LV"/>
        </w:rPr>
        <w:t>B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rīvprātīgi apdrošinātai personai, kur</w:t>
      </w:r>
      <w:r w:rsidR="00A5694E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 brīvprātīgi apdrošinātās personas statuss bijis mazāk par gadu</w:t>
      </w:r>
      <w:r w:rsidR="00EC3BF0">
        <w:rPr>
          <w:rFonts w:ascii="Times New Roman" w:hAnsi="Times New Roman" w:cs="Times New Roman"/>
          <w:sz w:val="28"/>
          <w:szCs w:val="28"/>
          <w:lang w:eastAsia="lv-LV"/>
        </w:rPr>
        <w:t xml:space="preserve"> vai nepilnu kalendāra mēnesi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, iemaksu objekta minimālo apmēru nosaka proporcionāli to mēnešu skaitam, kuros personai kalendāra gadā bijis brīvprātīgi apdrošinātās personas statuss</w:t>
      </w:r>
      <w:r w:rsidR="00E0113B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C6A9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011D97D9" w14:textId="4A71D2F6" w:rsidR="00CE3A91" w:rsidRPr="00CE3A91" w:rsidRDefault="009A2170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. Šo noteikumu </w:t>
      </w:r>
      <w:r w:rsidR="009C44B7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. un </w:t>
      </w:r>
      <w:r w:rsidR="009C44B7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40D33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punktā noteikto attiecībā uz brīvprātīgo iemaksu objekta minimālo apmēru neattiecina uz </w:t>
      </w:r>
      <w:r w:rsidR="00A5694E">
        <w:rPr>
          <w:rFonts w:ascii="Times New Roman" w:hAnsi="Times New Roman" w:cs="Times New Roman"/>
          <w:sz w:val="28"/>
          <w:szCs w:val="28"/>
          <w:lang w:eastAsia="lv-LV"/>
        </w:rPr>
        <w:t>profesionāliem sportistiem un laukstrādnieku ienākuma nodokļa maksātājiem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, kuri brīvprātīgi pievienojušies sociālajai apdrošināšanai.</w:t>
      </w:r>
    </w:p>
    <w:p w14:paraId="14A8F710" w14:textId="7A8D0A87" w:rsidR="00CE3A91" w:rsidRPr="00CE3A91" w:rsidRDefault="009A2170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 Ja persona kalendāra gada laikā bijusi vairākos apdrošinātas personas statusos (obligāti apdrošinātās personas statusā, brīvprātīgi apdrošinātās personas statusā), iemaksu objekta maksimālais apmērs visos </w:t>
      </w:r>
      <w:r w:rsidR="00D12A9E">
        <w:rPr>
          <w:rFonts w:ascii="Times New Roman" w:hAnsi="Times New Roman" w:cs="Times New Roman"/>
          <w:sz w:val="28"/>
          <w:szCs w:val="28"/>
          <w:lang w:eastAsia="lv-LV"/>
        </w:rPr>
        <w:t xml:space="preserve">apdrošināšanas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statusos kopā nepārsniedz kārtējam gadam noteikto iemaksu objekta maksimālo apmēru.</w:t>
      </w:r>
    </w:p>
    <w:p w14:paraId="6DD60679" w14:textId="6099AB19" w:rsidR="00CE3A91" w:rsidRPr="00CE3A91" w:rsidRDefault="009A2170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. Labklājības ministrija </w:t>
      </w:r>
      <w:r w:rsidR="000E2C7F">
        <w:rPr>
          <w:rFonts w:ascii="Times New Roman" w:hAnsi="Times New Roman" w:cs="Times New Roman"/>
          <w:sz w:val="28"/>
          <w:szCs w:val="28"/>
          <w:lang w:eastAsia="lv-LV"/>
        </w:rPr>
        <w:t xml:space="preserve">par katriem 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 xml:space="preserve">trim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kalendāra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jiem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 gad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ie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m aprēķina iemaksu objekta maksimālo apmēru. Iemaksu objekta maksimālo apmēru aprēķina, piemērojot </w:t>
      </w:r>
      <w:r w:rsidR="003E5ED7" w:rsidRPr="003E5ED7">
        <w:rPr>
          <w:rFonts w:ascii="Times New Roman" w:hAnsi="Times New Roman" w:cs="Times New Roman"/>
          <w:sz w:val="28"/>
          <w:szCs w:val="28"/>
          <w:lang w:eastAsia="lv-LV"/>
        </w:rPr>
        <w:t>iepriekšējā perioda iemaksu objekta maksimālo apmēru</w:t>
      </w:r>
      <w:r w:rsidR="00C5277D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E5ED7" w:rsidRPr="003E5ED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E5ED7" w:rsidRPr="003E5ED7"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nākamajiem trim kalendāra gadiem </w:t>
      </w:r>
      <w:r w:rsidR="00C5277D">
        <w:rPr>
          <w:rFonts w:ascii="Times New Roman" w:hAnsi="Times New Roman" w:cs="Times New Roman"/>
          <w:sz w:val="28"/>
          <w:szCs w:val="28"/>
          <w:lang w:eastAsia="lv-LV"/>
        </w:rPr>
        <w:t>aprēķināto</w:t>
      </w:r>
      <w:r w:rsidR="003E5ED7" w:rsidRPr="003E5ED7">
        <w:rPr>
          <w:rFonts w:ascii="Times New Roman" w:hAnsi="Times New Roman" w:cs="Times New Roman"/>
          <w:sz w:val="28"/>
          <w:szCs w:val="28"/>
          <w:lang w:eastAsia="lv-LV"/>
        </w:rPr>
        <w:t xml:space="preserve"> tautsaimniecībā nodarbināto mēneša vidējās bruto darba samaksas </w:t>
      </w:r>
      <w:r w:rsidR="00C5277D">
        <w:rPr>
          <w:rFonts w:ascii="Times New Roman" w:hAnsi="Times New Roman" w:cs="Times New Roman"/>
          <w:sz w:val="28"/>
          <w:szCs w:val="28"/>
          <w:lang w:eastAsia="lv-LV"/>
        </w:rPr>
        <w:t>(turpmāk – darba samaksa) izmaiņu indeksu.</w:t>
      </w:r>
      <w:r w:rsidR="003E5ED7" w:rsidRPr="003E5ED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4D8DEA93" w14:textId="7519269C" w:rsidR="00CE3A91" w:rsidRPr="00CE3A91" w:rsidRDefault="009A2170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. Šo noteikumu 7.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punktā minēto darba samaksas izmaiņu indeksu aprēķina, ņemot vērā </w:t>
      </w:r>
      <w:r w:rsidR="00C5277D">
        <w:rPr>
          <w:rFonts w:ascii="Times New Roman" w:hAnsi="Times New Roman" w:cs="Times New Roman"/>
          <w:sz w:val="28"/>
          <w:szCs w:val="28"/>
          <w:lang w:eastAsia="lv-LV"/>
        </w:rPr>
        <w:t xml:space="preserve">aprēķina gadam un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nākamaj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ie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m 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 xml:space="preserve">trim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kalendāra gad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ie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m Finanšu ministrijas prognozēto</w:t>
      </w:r>
      <w:r w:rsidR="00C5277D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 darba samaksas </w:t>
      </w:r>
      <w:r w:rsidR="00C5277D">
        <w:rPr>
          <w:rFonts w:ascii="Times New Roman" w:hAnsi="Times New Roman" w:cs="Times New Roman"/>
          <w:sz w:val="28"/>
          <w:szCs w:val="28"/>
          <w:lang w:eastAsia="lv-LV"/>
        </w:rPr>
        <w:t>izmaiņu indeksus</w:t>
      </w:r>
      <w:r w:rsidR="00215973">
        <w:rPr>
          <w:rFonts w:ascii="Times New Roman" w:hAnsi="Times New Roman" w:cs="Times New Roman"/>
          <w:sz w:val="28"/>
          <w:szCs w:val="28"/>
          <w:lang w:eastAsia="lv-LV"/>
        </w:rPr>
        <w:t xml:space="preserve"> un iepriekšējā aprēķina perioda prognozētos un faktiskos darba samaksas izmaiņu indeksus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, izmantojot šādu formulu:</w:t>
      </w:r>
    </w:p>
    <w:p w14:paraId="75D7CC9C" w14:textId="60EB3205" w:rsidR="00230A35" w:rsidRPr="00B06974" w:rsidRDefault="00C150A5" w:rsidP="00230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(t+1;t+2;t+3)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t+1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t+2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t+2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t+3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t-2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*(1+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t-3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14:paraId="56E8A7C7" w14:textId="0EA93D1E" w:rsidR="00A3246D" w:rsidRDefault="00A3246D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, kur</w:t>
      </w:r>
    </w:p>
    <w:p w14:paraId="5EE82F6B" w14:textId="4C31366B" w:rsidR="00A3246D" w:rsidRPr="00A3246D" w:rsidRDefault="00A3246D" w:rsidP="00A3246D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A3246D">
        <w:rPr>
          <w:rFonts w:ascii="Times New Roman" w:hAnsi="Times New Roman" w:cs="Times New Roman"/>
          <w:sz w:val="28"/>
          <w:szCs w:val="28"/>
          <w:lang w:eastAsia="lv-LV"/>
        </w:rPr>
        <w:t>D</w:t>
      </w:r>
      <w:r w:rsidRPr="00A3246D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(</w:t>
      </w:r>
      <w:r w:rsidRPr="00072AC4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t+1; t+2; t+3</w:t>
      </w:r>
      <w:r w:rsidRPr="00A3246D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)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A3246D">
        <w:rPr>
          <w:rFonts w:ascii="Times New Roman" w:hAnsi="Times New Roman" w:cs="Times New Roman"/>
          <w:sz w:val="28"/>
          <w:szCs w:val="28"/>
          <w:lang w:eastAsia="lv-LV"/>
        </w:rPr>
        <w:t>darba samaksas izmaiņu indekss</w:t>
      </w:r>
      <w:r w:rsidR="00C566BE" w:rsidRPr="00C566BE">
        <w:rPr>
          <w:rFonts w:ascii="Times New Roman" w:hAnsi="Times New Roman" w:cs="Times New Roman"/>
          <w:sz w:val="28"/>
          <w:szCs w:val="28"/>
          <w:lang w:eastAsia="lv-LV"/>
        </w:rPr>
        <w:t xml:space="preserve"> nākamaj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>am</w:t>
      </w:r>
      <w:r w:rsidR="00C566BE" w:rsidRPr="00C566B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>trīs kalendāra gad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>u ciklam</w:t>
      </w:r>
    </w:p>
    <w:p w14:paraId="4481F086" w14:textId="712AB751" w:rsidR="00072AC4" w:rsidRDefault="00072AC4" w:rsidP="00FB2C41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F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t-3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>, F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t-2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>, F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t-1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- </w:t>
      </w:r>
      <w:r w:rsidRPr="00072AC4">
        <w:rPr>
          <w:rFonts w:ascii="Times New Roman" w:hAnsi="Times New Roman" w:cs="Times New Roman"/>
          <w:sz w:val="28"/>
          <w:szCs w:val="28"/>
          <w:lang w:eastAsia="lv-LV"/>
        </w:rPr>
        <w:t xml:space="preserve">faktiskais darba samaksas </w:t>
      </w:r>
      <w:r w:rsidR="00C566BE">
        <w:rPr>
          <w:rFonts w:ascii="Times New Roman" w:hAnsi="Times New Roman" w:cs="Times New Roman"/>
          <w:sz w:val="28"/>
          <w:szCs w:val="28"/>
          <w:lang w:eastAsia="lv-LV"/>
        </w:rPr>
        <w:t>izmaiņu indekss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 xml:space="preserve"> gadam t-3, t-2 un t-1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, kur </w:t>
      </w:r>
      <w:r w:rsidRPr="00072AC4">
        <w:rPr>
          <w:rFonts w:ascii="Times New Roman" w:hAnsi="Times New Roman" w:cs="Times New Roman"/>
          <w:i/>
          <w:sz w:val="28"/>
          <w:szCs w:val="28"/>
          <w:lang w:eastAsia="lv-LV"/>
        </w:rPr>
        <w:t>t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– 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 xml:space="preserve">iemaksu objekta maksimālā apmēra aprēķināšanas </w:t>
      </w:r>
      <w:r>
        <w:rPr>
          <w:rFonts w:ascii="Times New Roman" w:hAnsi="Times New Roman" w:cs="Times New Roman"/>
          <w:sz w:val="28"/>
          <w:szCs w:val="28"/>
          <w:lang w:eastAsia="lv-LV"/>
        </w:rPr>
        <w:t>gads;</w:t>
      </w:r>
    </w:p>
    <w:p w14:paraId="35182D6B" w14:textId="7912EBCC" w:rsidR="00072AC4" w:rsidRDefault="00072AC4" w:rsidP="00FB2C41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</w:t>
      </w:r>
      <w:proofErr w:type="spellEnd"/>
      <w:r w:rsidR="0088434E">
        <w:rPr>
          <w:rFonts w:ascii="Times New Roman" w:hAnsi="Times New Roman" w:cs="Times New Roman"/>
          <w:sz w:val="28"/>
          <w:szCs w:val="28"/>
          <w:lang w:eastAsia="lv-LV"/>
        </w:rPr>
        <w:t>,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t+1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>, P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t+2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>, P</w:t>
      </w:r>
      <w:r w:rsidR="0088434E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 xml:space="preserve">t+3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- </w:t>
      </w:r>
      <w:r w:rsidRPr="00072AC4">
        <w:rPr>
          <w:rFonts w:ascii="Times New Roman" w:hAnsi="Times New Roman" w:cs="Times New Roman"/>
          <w:sz w:val="28"/>
          <w:szCs w:val="28"/>
          <w:lang w:eastAsia="lv-LV"/>
        </w:rPr>
        <w:t xml:space="preserve">prognozētais darba samaksas </w:t>
      </w:r>
      <w:r w:rsidR="00C566BE">
        <w:rPr>
          <w:rFonts w:ascii="Times New Roman" w:hAnsi="Times New Roman" w:cs="Times New Roman"/>
          <w:sz w:val="28"/>
          <w:szCs w:val="28"/>
          <w:lang w:eastAsia="lv-LV"/>
        </w:rPr>
        <w:t>izmaiņu indekss</w:t>
      </w:r>
      <w:r w:rsidR="0088434E">
        <w:rPr>
          <w:rFonts w:ascii="Times New Roman" w:hAnsi="Times New Roman" w:cs="Times New Roman"/>
          <w:sz w:val="28"/>
          <w:szCs w:val="28"/>
          <w:lang w:eastAsia="lv-LV"/>
        </w:rPr>
        <w:t xml:space="preserve"> gadam t, t+1, t+2 un t+3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, kur </w:t>
      </w:r>
      <w:r w:rsidRPr="00072AC4">
        <w:rPr>
          <w:rFonts w:ascii="Times New Roman" w:hAnsi="Times New Roman" w:cs="Times New Roman"/>
          <w:i/>
          <w:sz w:val="28"/>
          <w:szCs w:val="28"/>
          <w:lang w:eastAsia="lv-LV"/>
        </w:rPr>
        <w:t>t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– </w:t>
      </w:r>
      <w:r w:rsidR="0095075B">
        <w:rPr>
          <w:rFonts w:ascii="Times New Roman" w:hAnsi="Times New Roman" w:cs="Times New Roman"/>
          <w:sz w:val="28"/>
          <w:szCs w:val="28"/>
          <w:lang w:eastAsia="lv-LV"/>
        </w:rPr>
        <w:t>iemaksu objekta maksimālā apmēra aprēķināšanas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gads;</w:t>
      </w:r>
    </w:p>
    <w:p w14:paraId="0E3F705F" w14:textId="28728632" w:rsidR="00AD6472" w:rsidRDefault="00C150A5" w:rsidP="00FB2C41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t-3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t-3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t-2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t-3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t-1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t-3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t-3</m:t>
            </m:r>
          </m:sup>
        </m:sSubSup>
      </m:oMath>
      <w:r w:rsidR="0095075B">
        <w:rPr>
          <w:rFonts w:ascii="Times New Roman" w:hAnsi="Times New Roman" w:cs="Times New Roman"/>
          <w:i/>
          <w:sz w:val="28"/>
          <w:szCs w:val="28"/>
          <w:vertAlign w:val="superscript"/>
          <w:lang w:eastAsia="lv-LV"/>
        </w:rPr>
        <w:t xml:space="preserve">, </w:t>
      </w:r>
      <w:r w:rsidR="00072AC4" w:rsidRPr="00072AC4">
        <w:rPr>
          <w:rFonts w:ascii="Times New Roman" w:hAnsi="Times New Roman" w:cs="Times New Roman"/>
          <w:i/>
          <w:sz w:val="28"/>
          <w:szCs w:val="28"/>
          <w:vertAlign w:val="superscript"/>
          <w:lang w:eastAsia="lv-LV"/>
        </w:rPr>
        <w:t xml:space="preserve"> </w:t>
      </w:r>
      <w:r w:rsidR="00072AC4" w:rsidRPr="00072AC4">
        <w:rPr>
          <w:rFonts w:ascii="Times New Roman" w:hAnsi="Times New Roman" w:cs="Times New Roman"/>
          <w:sz w:val="28"/>
          <w:szCs w:val="28"/>
          <w:lang w:eastAsia="lv-LV"/>
        </w:rPr>
        <w:t xml:space="preserve">– darba samaksas </w:t>
      </w:r>
      <w:r w:rsidR="00C566BE">
        <w:rPr>
          <w:rFonts w:ascii="Times New Roman" w:hAnsi="Times New Roman" w:cs="Times New Roman"/>
          <w:sz w:val="28"/>
          <w:szCs w:val="28"/>
          <w:lang w:eastAsia="lv-LV"/>
        </w:rPr>
        <w:t>izmaiņu</w:t>
      </w:r>
      <w:r w:rsidR="00C566BE" w:rsidRPr="00072AC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566BE">
        <w:rPr>
          <w:rFonts w:ascii="Times New Roman" w:hAnsi="Times New Roman" w:cs="Times New Roman"/>
          <w:sz w:val="28"/>
          <w:szCs w:val="28"/>
          <w:lang w:eastAsia="lv-LV"/>
        </w:rPr>
        <w:t xml:space="preserve">indeksa </w:t>
      </w:r>
      <w:r w:rsidR="00072AC4" w:rsidRPr="00072AC4">
        <w:rPr>
          <w:rFonts w:ascii="Times New Roman" w:hAnsi="Times New Roman" w:cs="Times New Roman"/>
          <w:sz w:val="28"/>
          <w:szCs w:val="28"/>
          <w:lang w:eastAsia="lv-LV"/>
        </w:rPr>
        <w:t>prognoze</w:t>
      </w:r>
      <w:r w:rsidR="0095075B">
        <w:rPr>
          <w:rFonts w:ascii="Times New Roman" w:hAnsi="Times New Roman" w:cs="Times New Roman"/>
          <w:sz w:val="28"/>
          <w:szCs w:val="28"/>
          <w:lang w:eastAsia="lv-LV"/>
        </w:rPr>
        <w:t xml:space="preserve"> gadam t-3, t-2, t-1 un t kalendārajā gadā t-3</w:t>
      </w:r>
      <w:r w:rsidR="00072AC4" w:rsidRPr="00072AC4">
        <w:rPr>
          <w:rFonts w:ascii="Times New Roman" w:hAnsi="Times New Roman" w:cs="Times New Roman"/>
          <w:sz w:val="28"/>
          <w:szCs w:val="28"/>
          <w:lang w:eastAsia="lv-LV"/>
        </w:rPr>
        <w:t>, kad tika aprēķināts iepriekšējais maksimālais iemaksu objekts</w:t>
      </w:r>
      <w:r w:rsidR="00072AC4">
        <w:rPr>
          <w:rFonts w:ascii="Times New Roman" w:hAnsi="Times New Roman" w:cs="Times New Roman"/>
          <w:sz w:val="28"/>
          <w:szCs w:val="28"/>
          <w:lang w:eastAsia="lv-LV"/>
        </w:rPr>
        <w:t xml:space="preserve">, kur </w:t>
      </w:r>
      <w:r w:rsidR="00072AC4" w:rsidRPr="00072AC4">
        <w:rPr>
          <w:rFonts w:ascii="Times New Roman" w:hAnsi="Times New Roman" w:cs="Times New Roman"/>
          <w:i/>
          <w:sz w:val="28"/>
          <w:szCs w:val="28"/>
          <w:lang w:eastAsia="lv-LV"/>
        </w:rPr>
        <w:t>t</w:t>
      </w:r>
      <w:r w:rsidR="00072AC4">
        <w:rPr>
          <w:rFonts w:ascii="Times New Roman" w:hAnsi="Times New Roman" w:cs="Times New Roman"/>
          <w:sz w:val="28"/>
          <w:szCs w:val="28"/>
          <w:lang w:eastAsia="lv-LV"/>
        </w:rPr>
        <w:t xml:space="preserve">- </w:t>
      </w:r>
      <w:r w:rsidR="0095075B">
        <w:rPr>
          <w:rFonts w:ascii="Times New Roman" w:hAnsi="Times New Roman" w:cs="Times New Roman"/>
          <w:sz w:val="28"/>
          <w:szCs w:val="28"/>
          <w:lang w:eastAsia="lv-LV"/>
        </w:rPr>
        <w:t>iemaksu objekta maksimālā apmēra aprēķināšanas gads</w:t>
      </w:r>
      <w:r w:rsidR="00AD6472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</w:p>
    <w:p w14:paraId="677EFAF1" w14:textId="08669751" w:rsidR="00CE3A91" w:rsidRPr="00CE3A91" w:rsidRDefault="00BB3ED9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9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1B6DA9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emaksu objekta maksimālo apmēru nākamaj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ie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m 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 xml:space="preserve">trim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kalendāra gad</w:t>
      </w:r>
      <w:r w:rsidR="003E5ED7">
        <w:rPr>
          <w:rFonts w:ascii="Times New Roman" w:hAnsi="Times New Roman" w:cs="Times New Roman"/>
          <w:sz w:val="28"/>
          <w:szCs w:val="28"/>
          <w:lang w:eastAsia="lv-LV"/>
        </w:rPr>
        <w:t>ie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m aprēķina, izmantojot šādu formulu:</w:t>
      </w:r>
    </w:p>
    <w:p w14:paraId="0D6DE245" w14:textId="6DAF1EAB" w:rsidR="00CE3A91" w:rsidRDefault="00A3246D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A3246D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 xml:space="preserve">max(t+1; t+2; t+3) </w:t>
      </w:r>
      <w:r w:rsidRPr="00A3246D">
        <w:rPr>
          <w:rFonts w:ascii="Times New Roman" w:hAnsi="Times New Roman" w:cs="Times New Roman"/>
          <w:sz w:val="28"/>
          <w:szCs w:val="28"/>
          <w:lang w:eastAsia="lv-LV"/>
        </w:rPr>
        <w:t xml:space="preserve">= </w:t>
      </w:r>
      <w:proofErr w:type="spellStart"/>
      <w:r w:rsidRPr="00A3246D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max</w:t>
      </w:r>
      <w:proofErr w:type="spellEnd"/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 xml:space="preserve">(t-2; t-1; t) </w:t>
      </w:r>
      <w:r w:rsidRPr="00A3246D">
        <w:rPr>
          <w:rFonts w:ascii="Times New Roman" w:hAnsi="Times New Roman" w:cs="Times New Roman"/>
          <w:sz w:val="28"/>
          <w:szCs w:val="28"/>
          <w:lang w:eastAsia="lv-LV"/>
        </w:rPr>
        <w:t>* D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(t+1; t+2; t+3)</w:t>
      </w:r>
      <w:r w:rsidR="00E0113B" w:rsidRPr="00137FEA">
        <w:rPr>
          <w:rFonts w:ascii="Times New Roman" w:hAnsi="Times New Roman" w:cs="Times New Roman"/>
          <w:sz w:val="28"/>
          <w:szCs w:val="28"/>
          <w:lang w:eastAsia="lv-LV"/>
        </w:rPr>
        <w:t>, kur</w:t>
      </w:r>
    </w:p>
    <w:p w14:paraId="338C0B3D" w14:textId="39EAE4A1" w:rsidR="00A3246D" w:rsidRDefault="00064E33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64E33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max(t+1; t+2; t+3)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- </w:t>
      </w:r>
      <w:r w:rsidRPr="00064E33">
        <w:rPr>
          <w:rFonts w:ascii="Times New Roman" w:hAnsi="Times New Roman" w:cs="Times New Roman"/>
          <w:sz w:val="28"/>
          <w:szCs w:val="28"/>
          <w:lang w:eastAsia="lv-LV"/>
        </w:rPr>
        <w:t>iemaksu objekta maksimālais apmērs nākamajam trīs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 xml:space="preserve"> kalendāra gadu</w:t>
      </w:r>
      <w:r w:rsidRPr="00064E33">
        <w:rPr>
          <w:rFonts w:ascii="Times New Roman" w:hAnsi="Times New Roman" w:cs="Times New Roman"/>
          <w:sz w:val="28"/>
          <w:szCs w:val="28"/>
          <w:lang w:eastAsia="lv-LV"/>
        </w:rPr>
        <w:t xml:space="preserve"> ciklam</w:t>
      </w:r>
      <w:r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2D43E416" w14:textId="55CB9BE2" w:rsidR="00064E33" w:rsidRPr="00064E33" w:rsidRDefault="00064E33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proofErr w:type="spellStart"/>
      <w:r w:rsidRPr="00064E33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max</w:t>
      </w:r>
      <w:proofErr w:type="spellEnd"/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(t-2; t-1; t)</w:t>
      </w:r>
      <w:r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 xml:space="preserve"> 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 xml:space="preserve">aprēķināšanas gada trīs kalendāra gadu ciklam noteiktais </w:t>
      </w:r>
      <w:r w:rsidRPr="00064E33">
        <w:rPr>
          <w:rFonts w:ascii="Times New Roman" w:hAnsi="Times New Roman" w:cs="Times New Roman"/>
          <w:sz w:val="28"/>
          <w:szCs w:val="28"/>
          <w:lang w:eastAsia="lv-LV"/>
        </w:rPr>
        <w:t>iemaksu objekta maksimālais apmērs</w:t>
      </w:r>
      <w:r w:rsidR="00BB3ED9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636BD114" w14:textId="20E9E923" w:rsidR="00CE3A91" w:rsidRPr="00CE3A91" w:rsidRDefault="00CE3A91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E3A91">
        <w:rPr>
          <w:rFonts w:ascii="Times New Roman" w:hAnsi="Times New Roman" w:cs="Times New Roman"/>
          <w:sz w:val="28"/>
          <w:szCs w:val="28"/>
          <w:lang w:eastAsia="lv-LV"/>
        </w:rPr>
        <w:t>D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(t+1</w:t>
      </w:r>
      <w:r w:rsidR="00E0113B"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; t+2; t+3</w:t>
      </w:r>
      <w:r w:rsidRPr="00137FEA">
        <w:rPr>
          <w:rFonts w:ascii="Times New Roman" w:hAnsi="Times New Roman" w:cs="Times New Roman"/>
          <w:sz w:val="28"/>
          <w:szCs w:val="28"/>
          <w:vertAlign w:val="subscript"/>
          <w:lang w:eastAsia="lv-LV"/>
        </w:rPr>
        <w:t>)</w:t>
      </w:r>
      <w:r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 –darba samaksas izmaiņu indekss</w:t>
      </w:r>
      <w:r w:rsidR="00681412">
        <w:rPr>
          <w:rFonts w:ascii="Times New Roman" w:hAnsi="Times New Roman" w:cs="Times New Roman"/>
          <w:sz w:val="28"/>
          <w:szCs w:val="28"/>
          <w:lang w:eastAsia="lv-LV"/>
        </w:rPr>
        <w:t xml:space="preserve"> nākamajam trīs kalendāra gadu ciklam</w:t>
      </w:r>
      <w:r w:rsidRPr="00CE3A91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63A63857" w14:textId="700B08A3" w:rsidR="00CE3A91" w:rsidRPr="00CE3A91" w:rsidRDefault="00BB3ED9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10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. Aprēķināto iemaksu objekta maksimālo apmēru noapaļo līdz veseliem simtiem </w:t>
      </w:r>
      <w:proofErr w:type="spellStart"/>
      <w:r w:rsidR="00CE3A91" w:rsidRPr="00F45492">
        <w:rPr>
          <w:rFonts w:ascii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CE3A91" w:rsidRPr="00F45492">
        <w:rPr>
          <w:rFonts w:ascii="Times New Roman" w:hAnsi="Times New Roman" w:cs="Times New Roman"/>
          <w:i/>
          <w:sz w:val="28"/>
          <w:szCs w:val="28"/>
          <w:lang w:eastAsia="lv-LV"/>
        </w:rPr>
        <w:t>.</w:t>
      </w:r>
    </w:p>
    <w:p w14:paraId="3947DE28" w14:textId="415A2A6C" w:rsidR="00CE3A91" w:rsidRPr="00CE3A91" w:rsidRDefault="00BB3ED9" w:rsidP="00EC1B85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11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. Atzīt par spēku zaudējušiem Ministru kabineta 20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13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17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decembra noteikumus Nr.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1478 „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valsts sociālās apdrošināšanas obligāto 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 xml:space="preserve">un brīvprātīgo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iemaksu objekta minimālo 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 xml:space="preserve">un maksimālo 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apmēru" (Latvijas Vēstnesis, 20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13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CE3A91">
        <w:rPr>
          <w:rFonts w:ascii="Times New Roman" w:hAnsi="Times New Roman" w:cs="Times New Roman"/>
          <w:sz w:val="28"/>
          <w:szCs w:val="28"/>
          <w:lang w:eastAsia="lv-LV"/>
        </w:rPr>
        <w:t>250</w:t>
      </w:r>
      <w:r w:rsidR="00CE3A91" w:rsidRPr="00CE3A91">
        <w:rPr>
          <w:rFonts w:ascii="Times New Roman" w:hAnsi="Times New Roman" w:cs="Times New Roman"/>
          <w:sz w:val="28"/>
          <w:szCs w:val="28"/>
          <w:lang w:eastAsia="lv-LV"/>
        </w:rPr>
        <w:t>.nr.).</w:t>
      </w:r>
    </w:p>
    <w:p w14:paraId="6139508E" w14:textId="6C26FF71" w:rsidR="003E5ED7" w:rsidRDefault="003E5ED7" w:rsidP="00E74EB7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14:paraId="2F229028" w14:textId="77777777" w:rsidR="00F45492" w:rsidRDefault="00F45492" w:rsidP="00E74EB7">
      <w:pPr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5"/>
        <w:gridCol w:w="2686"/>
      </w:tblGrid>
      <w:tr w:rsidR="00BE4298" w:rsidRPr="00BF3933" w14:paraId="4F0C1936" w14:textId="77777777" w:rsidTr="00E5268F">
        <w:tc>
          <w:tcPr>
            <w:tcW w:w="6828" w:type="dxa"/>
          </w:tcPr>
          <w:p w14:paraId="15F7E246" w14:textId="77777777" w:rsidR="00BE4298" w:rsidRPr="00BF3933" w:rsidRDefault="00DF1EF7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prezidents</w:t>
            </w:r>
            <w:proofErr w:type="spellEnd"/>
          </w:p>
          <w:p w14:paraId="61B057CB" w14:textId="77777777"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E1B6" w14:textId="77777777"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3CA3A" w14:textId="40C4752A" w:rsidR="00BE4298" w:rsidRPr="00BF3933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Labklājības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ministr</w:t>
            </w:r>
            <w:r w:rsidR="00304CC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793" w:type="dxa"/>
          </w:tcPr>
          <w:p w14:paraId="4DA1D502" w14:textId="4BCFA499" w:rsidR="00BE4298" w:rsidRPr="00BF3933" w:rsidRDefault="00304CC0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A.K.Kariņš</w:t>
            </w:r>
            <w:proofErr w:type="spellEnd"/>
          </w:p>
          <w:p w14:paraId="54758192" w14:textId="77777777"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8A1B2" w14:textId="77777777"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FF377" w14:textId="75A525B0" w:rsidR="00BE4298" w:rsidRPr="00BF3933" w:rsidRDefault="00DF1EF7" w:rsidP="00DF1EF7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04CC0">
              <w:rPr>
                <w:rFonts w:ascii="Times New Roman" w:hAnsi="Times New Roman" w:cs="Times New Roman"/>
                <w:sz w:val="28"/>
                <w:szCs w:val="28"/>
              </w:rPr>
              <w:t>.Petraviča</w:t>
            </w:r>
            <w:proofErr w:type="spellEnd"/>
          </w:p>
        </w:tc>
      </w:tr>
    </w:tbl>
    <w:p w14:paraId="1E30058F" w14:textId="77777777" w:rsidR="00BE4298" w:rsidRDefault="00BE4298" w:rsidP="00BE429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14:paraId="335209BB" w14:textId="77777777" w:rsidR="00BE4298" w:rsidRPr="00B40D08" w:rsidRDefault="00BE4298" w:rsidP="00BE429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bookmarkEnd w:id="0"/>
    <w:p w14:paraId="7592B7D1" w14:textId="77777777" w:rsidR="00F51092" w:rsidRPr="00E74EB7" w:rsidRDefault="00F51092" w:rsidP="00E74EB7"/>
    <w:sectPr w:rsidR="00F51092" w:rsidRPr="00E74EB7" w:rsidSect="00F45492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6EC8" w14:textId="77777777" w:rsidR="00C150A5" w:rsidRDefault="00C150A5" w:rsidP="00263325">
      <w:pPr>
        <w:spacing w:after="0" w:line="240" w:lineRule="auto"/>
      </w:pPr>
      <w:r>
        <w:separator/>
      </w:r>
    </w:p>
  </w:endnote>
  <w:endnote w:type="continuationSeparator" w:id="0">
    <w:p w14:paraId="73B6B9CA" w14:textId="77777777" w:rsidR="00C150A5" w:rsidRDefault="00C150A5" w:rsidP="002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B348" w14:textId="28BAA87D" w:rsidR="00263325" w:rsidRPr="00DC3CAE" w:rsidRDefault="00263325" w:rsidP="007358DB">
    <w:pPr>
      <w:jc w:val="both"/>
      <w:rPr>
        <w:sz w:val="20"/>
        <w:szCs w:val="20"/>
      </w:rPr>
    </w:pPr>
    <w:r w:rsidRPr="007358DB">
      <w:rPr>
        <w:rFonts w:ascii="Times New Roman" w:hAnsi="Times New Roman" w:cs="Times New Roman"/>
        <w:sz w:val="20"/>
        <w:szCs w:val="20"/>
      </w:rPr>
      <w:t>LMnot_</w:t>
    </w:r>
    <w:r w:rsidR="00F45492">
      <w:rPr>
        <w:rFonts w:ascii="Times New Roman" w:hAnsi="Times New Roman" w:cs="Times New Roman"/>
        <w:sz w:val="20"/>
        <w:szCs w:val="20"/>
      </w:rPr>
      <w:t>24</w:t>
    </w:r>
    <w:r w:rsidR="00525BB1">
      <w:rPr>
        <w:rFonts w:ascii="Times New Roman" w:hAnsi="Times New Roman" w:cs="Times New Roman"/>
        <w:sz w:val="20"/>
        <w:szCs w:val="20"/>
      </w:rPr>
      <w:t>052021</w:t>
    </w:r>
    <w:r w:rsidR="00CE3A91">
      <w:rPr>
        <w:rFonts w:ascii="Times New Roman" w:hAnsi="Times New Roman" w:cs="Times New Roman"/>
        <w:sz w:val="20"/>
        <w:szCs w:val="20"/>
      </w:rPr>
      <w:t>_iem_min_max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553A" w14:textId="77777777" w:rsidR="00C150A5" w:rsidRDefault="00C150A5" w:rsidP="00263325">
      <w:pPr>
        <w:spacing w:after="0" w:line="240" w:lineRule="auto"/>
      </w:pPr>
      <w:r>
        <w:separator/>
      </w:r>
    </w:p>
  </w:footnote>
  <w:footnote w:type="continuationSeparator" w:id="0">
    <w:p w14:paraId="0F308FE2" w14:textId="77777777" w:rsidR="00C150A5" w:rsidRDefault="00C150A5" w:rsidP="0026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3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B053C9"/>
    <w:multiLevelType w:val="multilevel"/>
    <w:tmpl w:val="783C1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F19322E"/>
    <w:multiLevelType w:val="hybridMultilevel"/>
    <w:tmpl w:val="89E82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92"/>
    <w:rsid w:val="000163E0"/>
    <w:rsid w:val="000260C6"/>
    <w:rsid w:val="000311AC"/>
    <w:rsid w:val="0003786C"/>
    <w:rsid w:val="00062719"/>
    <w:rsid w:val="00063CF2"/>
    <w:rsid w:val="00064E33"/>
    <w:rsid w:val="00065877"/>
    <w:rsid w:val="00072AC4"/>
    <w:rsid w:val="0008649C"/>
    <w:rsid w:val="000C2749"/>
    <w:rsid w:val="000C702A"/>
    <w:rsid w:val="000D3357"/>
    <w:rsid w:val="000E2C7F"/>
    <w:rsid w:val="000E535A"/>
    <w:rsid w:val="00126DA2"/>
    <w:rsid w:val="0013240C"/>
    <w:rsid w:val="00137FEA"/>
    <w:rsid w:val="001408C6"/>
    <w:rsid w:val="001420BF"/>
    <w:rsid w:val="00143C06"/>
    <w:rsid w:val="00147226"/>
    <w:rsid w:val="001A3BA9"/>
    <w:rsid w:val="001B4407"/>
    <w:rsid w:val="001B6DA9"/>
    <w:rsid w:val="001D70CA"/>
    <w:rsid w:val="001F541A"/>
    <w:rsid w:val="00215973"/>
    <w:rsid w:val="00215D8E"/>
    <w:rsid w:val="00225FFA"/>
    <w:rsid w:val="00226675"/>
    <w:rsid w:val="00230A35"/>
    <w:rsid w:val="0024427E"/>
    <w:rsid w:val="00262706"/>
    <w:rsid w:val="00263325"/>
    <w:rsid w:val="002716B0"/>
    <w:rsid w:val="00292D92"/>
    <w:rsid w:val="002A4A40"/>
    <w:rsid w:val="002C121A"/>
    <w:rsid w:val="002C227C"/>
    <w:rsid w:val="002E2046"/>
    <w:rsid w:val="00304CC0"/>
    <w:rsid w:val="00315C47"/>
    <w:rsid w:val="003347CF"/>
    <w:rsid w:val="003A209A"/>
    <w:rsid w:val="003A2C42"/>
    <w:rsid w:val="003E5ED7"/>
    <w:rsid w:val="003F296C"/>
    <w:rsid w:val="003F69FB"/>
    <w:rsid w:val="00406F0D"/>
    <w:rsid w:val="00412431"/>
    <w:rsid w:val="00432CAE"/>
    <w:rsid w:val="0045189A"/>
    <w:rsid w:val="004532E6"/>
    <w:rsid w:val="00494D0A"/>
    <w:rsid w:val="004964BE"/>
    <w:rsid w:val="00497BE3"/>
    <w:rsid w:val="004A61E7"/>
    <w:rsid w:val="004A6247"/>
    <w:rsid w:val="004B6B25"/>
    <w:rsid w:val="004C3490"/>
    <w:rsid w:val="004C602E"/>
    <w:rsid w:val="004C6285"/>
    <w:rsid w:val="004F7139"/>
    <w:rsid w:val="004F7973"/>
    <w:rsid w:val="00525BB1"/>
    <w:rsid w:val="00541D28"/>
    <w:rsid w:val="00550F56"/>
    <w:rsid w:val="00560B0D"/>
    <w:rsid w:val="00581B2A"/>
    <w:rsid w:val="00586F85"/>
    <w:rsid w:val="005906CC"/>
    <w:rsid w:val="00593F24"/>
    <w:rsid w:val="005B0EE0"/>
    <w:rsid w:val="005B6F4B"/>
    <w:rsid w:val="005C6B49"/>
    <w:rsid w:val="00601FFA"/>
    <w:rsid w:val="00667F72"/>
    <w:rsid w:val="00671779"/>
    <w:rsid w:val="00681412"/>
    <w:rsid w:val="00684E62"/>
    <w:rsid w:val="00685A39"/>
    <w:rsid w:val="00701FC3"/>
    <w:rsid w:val="00702A83"/>
    <w:rsid w:val="00713988"/>
    <w:rsid w:val="00714335"/>
    <w:rsid w:val="00732383"/>
    <w:rsid w:val="007358DB"/>
    <w:rsid w:val="00796041"/>
    <w:rsid w:val="007E28F4"/>
    <w:rsid w:val="007F3B70"/>
    <w:rsid w:val="00802958"/>
    <w:rsid w:val="00815392"/>
    <w:rsid w:val="00840E98"/>
    <w:rsid w:val="0084699F"/>
    <w:rsid w:val="00875F48"/>
    <w:rsid w:val="0088434E"/>
    <w:rsid w:val="00897AB2"/>
    <w:rsid w:val="008C5B78"/>
    <w:rsid w:val="008E3A58"/>
    <w:rsid w:val="008E51D9"/>
    <w:rsid w:val="0090145F"/>
    <w:rsid w:val="009458FD"/>
    <w:rsid w:val="0095075B"/>
    <w:rsid w:val="00966657"/>
    <w:rsid w:val="009A2170"/>
    <w:rsid w:val="009A2D0E"/>
    <w:rsid w:val="009B6821"/>
    <w:rsid w:val="009C2EAE"/>
    <w:rsid w:val="009C44B7"/>
    <w:rsid w:val="009F3958"/>
    <w:rsid w:val="00A04E1A"/>
    <w:rsid w:val="00A17298"/>
    <w:rsid w:val="00A21CA9"/>
    <w:rsid w:val="00A3246D"/>
    <w:rsid w:val="00A37F36"/>
    <w:rsid w:val="00A53D56"/>
    <w:rsid w:val="00A5694E"/>
    <w:rsid w:val="00A73A67"/>
    <w:rsid w:val="00AA0286"/>
    <w:rsid w:val="00AD5EA7"/>
    <w:rsid w:val="00AD6472"/>
    <w:rsid w:val="00B061BB"/>
    <w:rsid w:val="00B06974"/>
    <w:rsid w:val="00B23B5D"/>
    <w:rsid w:val="00B550CA"/>
    <w:rsid w:val="00B6707A"/>
    <w:rsid w:val="00B80419"/>
    <w:rsid w:val="00B8719F"/>
    <w:rsid w:val="00B9213C"/>
    <w:rsid w:val="00BA4CB3"/>
    <w:rsid w:val="00BB3ED9"/>
    <w:rsid w:val="00BE0C20"/>
    <w:rsid w:val="00BE4298"/>
    <w:rsid w:val="00BF3B68"/>
    <w:rsid w:val="00BF5472"/>
    <w:rsid w:val="00C11FC4"/>
    <w:rsid w:val="00C150A5"/>
    <w:rsid w:val="00C1580B"/>
    <w:rsid w:val="00C15CAF"/>
    <w:rsid w:val="00C5277D"/>
    <w:rsid w:val="00C566BE"/>
    <w:rsid w:val="00C630AB"/>
    <w:rsid w:val="00C85228"/>
    <w:rsid w:val="00CD4D75"/>
    <w:rsid w:val="00CE3A91"/>
    <w:rsid w:val="00CF7ED1"/>
    <w:rsid w:val="00D12A9E"/>
    <w:rsid w:val="00D24403"/>
    <w:rsid w:val="00D5253E"/>
    <w:rsid w:val="00D57106"/>
    <w:rsid w:val="00D62A04"/>
    <w:rsid w:val="00D65B84"/>
    <w:rsid w:val="00DA7AFC"/>
    <w:rsid w:val="00DC3CAE"/>
    <w:rsid w:val="00DE33F7"/>
    <w:rsid w:val="00DE4F64"/>
    <w:rsid w:val="00DF1EF7"/>
    <w:rsid w:val="00E0113B"/>
    <w:rsid w:val="00E207E5"/>
    <w:rsid w:val="00E23F00"/>
    <w:rsid w:val="00E31DEC"/>
    <w:rsid w:val="00E35473"/>
    <w:rsid w:val="00E40D33"/>
    <w:rsid w:val="00E57F91"/>
    <w:rsid w:val="00E74EB7"/>
    <w:rsid w:val="00EB3388"/>
    <w:rsid w:val="00EB67D5"/>
    <w:rsid w:val="00EB6C1C"/>
    <w:rsid w:val="00EC1B85"/>
    <w:rsid w:val="00EC3BF0"/>
    <w:rsid w:val="00EC6A98"/>
    <w:rsid w:val="00EE2D0A"/>
    <w:rsid w:val="00EF5573"/>
    <w:rsid w:val="00F00C5D"/>
    <w:rsid w:val="00F04B4B"/>
    <w:rsid w:val="00F34AC2"/>
    <w:rsid w:val="00F45492"/>
    <w:rsid w:val="00F51092"/>
    <w:rsid w:val="00F54CFF"/>
    <w:rsid w:val="00F83878"/>
    <w:rsid w:val="00FB14A3"/>
    <w:rsid w:val="00FB155A"/>
    <w:rsid w:val="00FB1AC8"/>
    <w:rsid w:val="00FB2C41"/>
    <w:rsid w:val="00FB620A"/>
    <w:rsid w:val="00FB78DD"/>
    <w:rsid w:val="00FC570A"/>
    <w:rsid w:val="00FC6CB6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91B9D"/>
  <w15:docId w15:val="{5A4FB962-5CA4-4ED3-A548-F065551B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A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  <w:style w:type="paragraph" w:styleId="Revision">
    <w:name w:val="Revision"/>
    <w:hidden/>
    <w:uiPriority w:val="99"/>
    <w:semiHidden/>
    <w:rsid w:val="00B92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9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1FD7-EE01-4E86-AE46-78C5F3B0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2668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sociālās apdrošināšanas obligāto un brīvprātīgo iemaksu objekta minimālo un maksimālo apmēru</vt:lpstr>
      <vt:lpstr>Noteikumi par valsts sociālās apdrošināšanas obligāto un brīvprātīgo iemaksu objekta minimālo un maksimālo apmēru</vt:lpstr>
    </vt:vector>
  </TitlesOfParts>
  <Company>LM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sociālās apdrošināšanas obligāto un brīvprātīgo iemaksu objekta minimālo un maksimālo apmēru</dc:title>
  <dc:subject>Noteikumu projekts</dc:subject>
  <dc:creator>Sandra Rucka</dc:creator>
  <dc:description>S.Rucka tālr.67021607; Sandra.Rucka@lm.gov.lv</dc:description>
  <cp:lastModifiedBy>Sandra Rucka</cp:lastModifiedBy>
  <cp:revision>4</cp:revision>
  <cp:lastPrinted>2021-04-22T08:11:00Z</cp:lastPrinted>
  <dcterms:created xsi:type="dcterms:W3CDTF">2021-05-20T13:53:00Z</dcterms:created>
  <dcterms:modified xsi:type="dcterms:W3CDTF">2021-05-24T11:44:00Z</dcterms:modified>
</cp:coreProperties>
</file>