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130B8" w:rsidR="00280AFA" w:rsidP="00280AFA" w:rsidRDefault="000A34E3" w14:paraId="43FCA7D7" w14:textId="59D7FEB3">
      <w:pPr>
        <w:jc w:val="center"/>
        <w:rPr>
          <w:b/>
          <w:bCs/>
        </w:rPr>
      </w:pPr>
      <w:r w:rsidRPr="003130B8">
        <w:rPr>
          <w:b/>
          <w:bCs/>
        </w:rPr>
        <w:t xml:space="preserve">Ministru kabineta rīkojuma projekta </w:t>
      </w:r>
    </w:p>
    <w:p w:rsidRPr="003130B8" w:rsidR="00FD7418" w:rsidP="00787600" w:rsidRDefault="00305CB7" w14:paraId="189D70AF" w14:textId="30A2B0DF">
      <w:pPr>
        <w:spacing w:after="120"/>
        <w:ind w:firstLine="720"/>
        <w:jc w:val="center"/>
        <w:rPr>
          <w:b/>
        </w:rPr>
      </w:pPr>
      <w:r w:rsidRPr="003130B8">
        <w:t>"</w:t>
      </w:r>
      <w:bookmarkStart w:name="_Hlk32315205" w:id="0"/>
      <w:r w:rsidRPr="003130B8" w:rsidR="00787600">
        <w:rPr>
          <w:b/>
        </w:rPr>
        <w:t xml:space="preserve">Par finansējuma nodrošināšanu Rail Baltica projekta īstenošanai nepieciešamo nekustamo īpašumu </w:t>
      </w:r>
      <w:bookmarkEnd w:id="0"/>
      <w:r w:rsidRPr="003130B8" w:rsidR="00787600">
        <w:rPr>
          <w:b/>
        </w:rPr>
        <w:t>apsaimniekošanai un lokālplānojumu izstrādei</w:t>
      </w:r>
      <w:r w:rsidRPr="003130B8">
        <w:t>"</w:t>
      </w:r>
      <w:r w:rsidRPr="003130B8" w:rsidR="00A707E9">
        <w:rPr>
          <w:b/>
        </w:rPr>
        <w:t xml:space="preserve"> </w:t>
      </w:r>
      <w:r w:rsidRPr="003130B8" w:rsidR="00D47D98">
        <w:rPr>
          <w:b/>
        </w:rPr>
        <w:t>sākotnējās ietekmes novērtējuma ziņojums (anotācija)</w:t>
      </w:r>
    </w:p>
    <w:p w:rsidRPr="003130B8" w:rsidR="00D02649" w:rsidP="00D47D98" w:rsidRDefault="00D02649" w14:paraId="6AF89973" w14:textId="77777777">
      <w:pPr>
        <w:jc w:val="center"/>
        <w:rPr>
          <w:b/>
          <w:bCs/>
        </w:rPr>
      </w:pPr>
    </w:p>
    <w:tbl>
      <w:tblPr>
        <w:tblpPr w:leftFromText="180" w:rightFromText="180" w:vertAnchor="text" w:horzAnchor="margin" w:tblpXSpec="center" w:tblpY="149"/>
        <w:tblW w:w="4998"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3155"/>
        <w:gridCol w:w="5902"/>
      </w:tblGrid>
      <w:tr w:rsidRPr="003130B8" w:rsidR="00F10CDA" w:rsidTr="006F59AA" w14:paraId="1F799A7B" w14:textId="77777777">
        <w:trPr>
          <w:trHeight w:val="419"/>
        </w:trPr>
        <w:tc>
          <w:tcPr>
            <w:tcW w:w="5000" w:type="pct"/>
            <w:gridSpan w:val="2"/>
            <w:vAlign w:val="center"/>
          </w:tcPr>
          <w:p w:rsidRPr="003130B8" w:rsidR="00F10CDA" w:rsidP="006F59AA" w:rsidRDefault="00F10CDA" w14:paraId="5E23D39A" w14:textId="77777777">
            <w:pPr>
              <w:pStyle w:val="naisnod"/>
              <w:spacing w:before="0" w:beforeAutospacing="0" w:after="0" w:afterAutospacing="0"/>
              <w:ind w:left="57" w:right="57"/>
              <w:jc w:val="center"/>
              <w:rPr>
                <w:b/>
              </w:rPr>
            </w:pPr>
            <w:r w:rsidRPr="003130B8">
              <w:rPr>
                <w:b/>
              </w:rPr>
              <w:t xml:space="preserve">Tiesību akta projekta anotācijas </w:t>
            </w:r>
            <w:r w:rsidRPr="003130B8">
              <w:rPr>
                <w:b/>
                <w:bCs/>
                <w:iCs/>
              </w:rPr>
              <w:t>kopsavilkums</w:t>
            </w:r>
          </w:p>
        </w:tc>
      </w:tr>
      <w:tr w:rsidRPr="003130B8" w:rsidR="00F10CDA" w:rsidTr="00F10CDA" w14:paraId="781CFAEF" w14:textId="77777777">
        <w:trPr>
          <w:trHeight w:val="415"/>
        </w:trPr>
        <w:tc>
          <w:tcPr>
            <w:tcW w:w="1742" w:type="pct"/>
          </w:tcPr>
          <w:p w:rsidRPr="003130B8" w:rsidR="00F10CDA" w:rsidP="00F10CDA" w:rsidRDefault="00F10CDA" w14:paraId="17282ADE" w14:textId="77777777">
            <w:pPr>
              <w:pStyle w:val="naiskr"/>
              <w:spacing w:before="0" w:beforeAutospacing="0" w:after="0" w:afterAutospacing="0"/>
              <w:ind w:left="57" w:right="57"/>
            </w:pPr>
            <w:r w:rsidRPr="003130B8">
              <w:rPr>
                <w:iCs/>
              </w:rPr>
              <w:t>Mērķis, risinājums un projekta spēkā stāšanās laiks (500 zīmes bez atstarpēm)</w:t>
            </w:r>
          </w:p>
        </w:tc>
        <w:tc>
          <w:tcPr>
            <w:tcW w:w="3258" w:type="pct"/>
          </w:tcPr>
          <w:p w:rsidRPr="003130B8" w:rsidR="00BA2A96" w:rsidP="00F7611B" w:rsidRDefault="00817914" w14:paraId="02500569" w14:textId="7347D1CE">
            <w:pPr>
              <w:jc w:val="both"/>
              <w:rPr>
                <w:b/>
              </w:rPr>
            </w:pPr>
            <w:r w:rsidRPr="003130B8">
              <w:t xml:space="preserve">Ministru kabineta rīkojuma projekts </w:t>
            </w:r>
            <w:r w:rsidRPr="003130B8" w:rsidR="00305CB7">
              <w:t>"</w:t>
            </w:r>
            <w:r w:rsidRPr="003130B8" w:rsidR="00787600">
              <w:t>Par finansējuma nodrošināšanu Rail Baltica projekta īstenošanai nepieciešamo nekustamo īpašumu apsaimniekošanai un lokālplānojumu izstrādei</w:t>
            </w:r>
            <w:r w:rsidRPr="003130B8" w:rsidR="00305CB7">
              <w:t>"</w:t>
            </w:r>
            <w:r w:rsidRPr="003130B8">
              <w:t xml:space="preserve"> (turpmāk – Rīkojuma projekts) </w:t>
            </w:r>
            <w:r w:rsidRPr="003130B8" w:rsidR="00F32255">
              <w:t xml:space="preserve">izstrādāts, lai </w:t>
            </w:r>
            <w:r w:rsidRPr="003130B8" w:rsidR="00B24AD6">
              <w:t xml:space="preserve">nodrošinātu finansējumu </w:t>
            </w:r>
            <w:r w:rsidRPr="003130B8" w:rsidR="00787600">
              <w:t xml:space="preserve">Rail Baltica projekta īstenošanai </w:t>
            </w:r>
            <w:r w:rsidRPr="003130B8" w:rsidR="00B24AD6">
              <w:t xml:space="preserve">nepieciešamo </w:t>
            </w:r>
            <w:r w:rsidRPr="003130B8" w:rsidR="00787600">
              <w:t>nekustamo īpašumu apsaimniekošanai, nekustamā īpašuma nodokļ</w:t>
            </w:r>
            <w:r w:rsidRPr="003130B8" w:rsidR="00203633">
              <w:t>a</w:t>
            </w:r>
            <w:r w:rsidRPr="003130B8" w:rsidR="00787600">
              <w:t xml:space="preserve"> apmaksai un </w:t>
            </w:r>
            <w:r w:rsidRPr="003130B8" w:rsidR="00C85D02">
              <w:t>lokālplānojumu</w:t>
            </w:r>
            <w:r w:rsidRPr="003130B8" w:rsidR="00787600">
              <w:t xml:space="preserve"> precizēšanai</w:t>
            </w:r>
            <w:r w:rsidRPr="003130B8" w:rsidR="00C007C7">
              <w:t>.</w:t>
            </w:r>
          </w:p>
          <w:p w:rsidRPr="003130B8" w:rsidR="009B59E5" w:rsidP="00F7611B" w:rsidRDefault="00471FE3" w14:paraId="7B013361" w14:textId="407E86CF">
            <w:pPr>
              <w:ind w:right="130"/>
              <w:jc w:val="both"/>
              <w:rPr>
                <w:rFonts w:eastAsia="Calibri"/>
                <w:lang w:eastAsia="en-US"/>
              </w:rPr>
            </w:pPr>
            <w:r w:rsidRPr="003130B8">
              <w:rPr>
                <w:rFonts w:eastAsia="Calibri"/>
                <w:lang w:eastAsia="en-US"/>
              </w:rPr>
              <w:t>Rīkojuma projekts stāsies spēkā tā parakstīšanas brīdī.</w:t>
            </w:r>
          </w:p>
        </w:tc>
      </w:tr>
    </w:tbl>
    <w:p w:rsidRPr="003130B8" w:rsidR="008869D9" w:rsidP="00F7611B" w:rsidRDefault="008869D9" w14:paraId="2D267224" w14:textId="77777777">
      <w:pPr>
        <w:rPr>
          <w:sz w:val="22"/>
          <w:szCs w:val="22"/>
        </w:rPr>
      </w:pPr>
    </w:p>
    <w:tbl>
      <w:tblPr>
        <w:tblpPr w:leftFromText="180" w:rightFromText="180" w:vertAnchor="text" w:horzAnchor="margin" w:tblpXSpec="center" w:tblpY="149"/>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420"/>
        <w:gridCol w:w="2695"/>
        <w:gridCol w:w="5946"/>
      </w:tblGrid>
      <w:tr w:rsidRPr="003130B8" w:rsidR="00551A0F" w:rsidTr="00F90F01" w14:paraId="0A2ECB7D" w14:textId="77777777">
        <w:trPr>
          <w:trHeight w:val="419"/>
        </w:trPr>
        <w:tc>
          <w:tcPr>
            <w:tcW w:w="5000" w:type="pct"/>
            <w:gridSpan w:val="3"/>
            <w:vAlign w:val="center"/>
          </w:tcPr>
          <w:p w:rsidRPr="003130B8" w:rsidR="00551A0F" w:rsidP="00017065" w:rsidRDefault="00551A0F" w14:paraId="72282C0C" w14:textId="77777777">
            <w:pPr>
              <w:pStyle w:val="naisnod"/>
              <w:spacing w:before="0" w:beforeAutospacing="0" w:after="0" w:afterAutospacing="0"/>
              <w:ind w:left="57" w:right="57"/>
              <w:jc w:val="center"/>
              <w:rPr>
                <w:b/>
              </w:rPr>
            </w:pPr>
            <w:r w:rsidRPr="003130B8">
              <w:rPr>
                <w:b/>
              </w:rPr>
              <w:t>I. Tiesību akta projekta izstrādes nepieciešamība</w:t>
            </w:r>
          </w:p>
        </w:tc>
      </w:tr>
      <w:tr w:rsidRPr="003130B8" w:rsidR="00551A0F" w:rsidTr="00F90F01" w14:paraId="26516C0F" w14:textId="77777777">
        <w:trPr>
          <w:trHeight w:val="415"/>
        </w:trPr>
        <w:tc>
          <w:tcPr>
            <w:tcW w:w="232" w:type="pct"/>
          </w:tcPr>
          <w:p w:rsidRPr="003130B8" w:rsidR="00551A0F" w:rsidP="00017065" w:rsidRDefault="00551A0F" w14:paraId="40412917" w14:textId="77777777">
            <w:pPr>
              <w:pStyle w:val="naiskr"/>
              <w:spacing w:before="0" w:beforeAutospacing="0" w:after="0" w:afterAutospacing="0"/>
              <w:ind w:left="57" w:right="57"/>
              <w:jc w:val="center"/>
            </w:pPr>
            <w:r w:rsidRPr="003130B8">
              <w:t>1.</w:t>
            </w:r>
          </w:p>
        </w:tc>
        <w:tc>
          <w:tcPr>
            <w:tcW w:w="1487" w:type="pct"/>
          </w:tcPr>
          <w:p w:rsidRPr="003130B8" w:rsidR="00551A0F" w:rsidP="00017065" w:rsidRDefault="00551A0F" w14:paraId="1ED2376A" w14:textId="77777777">
            <w:pPr>
              <w:pStyle w:val="naiskr"/>
              <w:spacing w:before="0" w:beforeAutospacing="0" w:after="0" w:afterAutospacing="0"/>
              <w:ind w:left="57" w:right="57"/>
            </w:pPr>
            <w:r w:rsidRPr="003130B8">
              <w:t>Pamatojums</w:t>
            </w:r>
          </w:p>
        </w:tc>
        <w:tc>
          <w:tcPr>
            <w:tcW w:w="3281" w:type="pct"/>
          </w:tcPr>
          <w:p w:rsidR="00B24AD6" w:rsidP="00854657" w:rsidRDefault="00B24AD6" w14:paraId="37616872" w14:textId="7945A8D5">
            <w:pPr>
              <w:ind w:right="130"/>
              <w:jc w:val="both"/>
              <w:rPr>
                <w:rFonts w:eastAsia="Calibri"/>
              </w:rPr>
            </w:pPr>
            <w:r w:rsidRPr="003130B8">
              <w:rPr>
                <w:rFonts w:eastAsia="Calibri"/>
              </w:rPr>
              <w:t>Deklarācijas par Artura Krišjāņa Kariņa vadītā Ministru kabineta iecerēto darbību 85.</w:t>
            </w:r>
            <w:r w:rsidRPr="003130B8" w:rsidR="00305CB7">
              <w:rPr>
                <w:rFonts w:eastAsia="Calibri"/>
              </w:rPr>
              <w:t> </w:t>
            </w:r>
            <w:r w:rsidRPr="003130B8">
              <w:rPr>
                <w:rFonts w:eastAsia="Calibri"/>
              </w:rPr>
              <w:t>punkts.</w:t>
            </w:r>
          </w:p>
          <w:p w:rsidRPr="003130B8" w:rsidR="00A00AD2" w:rsidP="00854657" w:rsidRDefault="00A00AD2" w14:paraId="006AED4B" w14:textId="25B55782">
            <w:pPr>
              <w:ind w:right="130"/>
              <w:jc w:val="both"/>
            </w:pPr>
            <w:r>
              <w:t>Ministru kabineta 2018.</w:t>
            </w:r>
            <w:r w:rsidR="00D94B4E">
              <w:t> </w:t>
            </w:r>
            <w:r>
              <w:t>gada 3.</w:t>
            </w:r>
            <w:r w:rsidR="00D94B4E">
              <w:t> </w:t>
            </w:r>
            <w:r>
              <w:t>jūlija noteikumi Nr.</w:t>
            </w:r>
            <w:r w:rsidR="00D94B4E">
              <w:t> </w:t>
            </w:r>
            <w:r>
              <w:t xml:space="preserve">395 </w:t>
            </w:r>
            <w:bookmarkStart w:name="_Hlk68180211" w:id="1"/>
            <w:r>
              <w:t>"</w:t>
            </w:r>
            <w:bookmarkEnd w:id="1"/>
            <w:r>
              <w:t>Eiropas infrastruktūras savienošanas instrumenta finansēto transporta un telekomunikāciju nozares projektu saskaņošanas un īstenošanas uzraudzības kārtība"  7.</w:t>
            </w:r>
            <w:r>
              <w:rPr>
                <w:vertAlign w:val="superscript"/>
              </w:rPr>
              <w:t xml:space="preserve">1  </w:t>
            </w:r>
            <w:r w:rsidRPr="00DD69CE">
              <w:t>punkts</w:t>
            </w:r>
            <w:r>
              <w:t>.</w:t>
            </w:r>
          </w:p>
          <w:p w:rsidRPr="003130B8" w:rsidR="002015B1" w:rsidP="00B937FB" w:rsidRDefault="002015B1" w14:paraId="01A4B21B" w14:textId="7AF3E283">
            <w:pPr>
              <w:ind w:right="130"/>
              <w:jc w:val="both"/>
              <w:rPr>
                <w:szCs w:val="22"/>
              </w:rPr>
            </w:pPr>
          </w:p>
        </w:tc>
      </w:tr>
      <w:tr w:rsidRPr="003130B8" w:rsidR="00D47D98" w:rsidTr="00F90F01" w14:paraId="5589370A" w14:textId="77777777">
        <w:trPr>
          <w:trHeight w:val="472"/>
        </w:trPr>
        <w:tc>
          <w:tcPr>
            <w:tcW w:w="232" w:type="pct"/>
          </w:tcPr>
          <w:p w:rsidRPr="003130B8" w:rsidR="00D47D98" w:rsidP="00D47D98" w:rsidRDefault="00D47D98" w14:paraId="1CAB4269" w14:textId="77777777">
            <w:pPr>
              <w:pStyle w:val="naiskr"/>
              <w:spacing w:before="0" w:beforeAutospacing="0" w:after="0" w:afterAutospacing="0"/>
              <w:ind w:left="57" w:right="57"/>
              <w:jc w:val="center"/>
            </w:pPr>
            <w:r w:rsidRPr="003130B8">
              <w:t>2.</w:t>
            </w:r>
          </w:p>
        </w:tc>
        <w:tc>
          <w:tcPr>
            <w:tcW w:w="1487" w:type="pct"/>
          </w:tcPr>
          <w:p w:rsidRPr="003130B8" w:rsidR="00D47D98" w:rsidP="00D47D98" w:rsidRDefault="00D47D98" w14:paraId="711F75A5" w14:textId="77777777">
            <w:pPr>
              <w:pStyle w:val="naiskr"/>
              <w:tabs>
                <w:tab w:val="left" w:pos="170"/>
              </w:tabs>
              <w:spacing w:before="0" w:beforeAutospacing="0" w:after="0" w:afterAutospacing="0"/>
              <w:ind w:left="57" w:right="57"/>
            </w:pPr>
            <w:r w:rsidRPr="003130B8">
              <w:t>Pašreizējā situācija un problēmas, kuru risināšanai tiesību akta projekts izstrādāts, tiesiskā regulējuma mērķis un būtība</w:t>
            </w:r>
          </w:p>
        </w:tc>
        <w:tc>
          <w:tcPr>
            <w:tcW w:w="3281" w:type="pct"/>
          </w:tcPr>
          <w:p w:rsidRPr="003130B8" w:rsidR="0047697A" w:rsidP="0045639F" w:rsidRDefault="0047697A" w14:paraId="61D491F9" w14:textId="30CBBAA4">
            <w:pPr>
              <w:ind w:firstLine="285"/>
              <w:jc w:val="both"/>
            </w:pPr>
            <w:r w:rsidRPr="003130B8">
              <w:t xml:space="preserve">Rail Baltica projekts (turpmāk – </w:t>
            </w:r>
            <w:r w:rsidRPr="003130B8" w:rsidR="00B24AD6">
              <w:t>RB p</w:t>
            </w:r>
            <w:r w:rsidRPr="003130B8">
              <w:t xml:space="preserve">rojekts) ir Eiropas standarta platuma dzelzceļa transporta Trans-Eiropas transporta tīkla Ziemeļjūras – Baltijas koridora transporta sistēmas elements, kas aptver piecas Eiropas Savienības (turpmāk - ES) dalībvalstis – Igauniju, Latviju, Lietuvu, Poliju un  Somiju, tālākā nākotnē paredzot maršruta pagarinājumu ar savienojumu Tallina – Helsinki. </w:t>
            </w:r>
            <w:r w:rsidRPr="003130B8" w:rsidR="00B24AD6">
              <w:t>RB p</w:t>
            </w:r>
            <w:r w:rsidRPr="003130B8">
              <w:t>rojekta mērķis ir savienot Baltijas valstis ar pārējo ES</w:t>
            </w:r>
            <w:r w:rsidRPr="003130B8" w:rsidR="00895FED">
              <w:t>,</w:t>
            </w:r>
            <w:r w:rsidRPr="003130B8">
              <w:t xml:space="preserve"> izmantojot efektīvu, modernu, drošu, videi draudzīgu un tirgus prasībām atbilstošu dzelzceļa pārvadājumu sistēmu. Ziemeļu - Dienvidu virziena dzelzceļa līnijas attīstība veicinās Baltijas valstu transporta infrastruktūras sistēmas integrāciju ES, kā arī tautsaimniecības konkurētspēju, tās ilgtspējīgu un diversificētu attīstību.</w:t>
            </w:r>
          </w:p>
          <w:p w:rsidRPr="003130B8" w:rsidR="0047697A" w:rsidP="00B14C1B" w:rsidRDefault="0047697A" w14:paraId="32F0D832" w14:textId="660F1752">
            <w:pPr>
              <w:ind w:firstLine="285"/>
              <w:jc w:val="both"/>
            </w:pPr>
            <w:r w:rsidRPr="003130B8">
              <w:t>Eiropas Komisija 2014., 2015., 2016. un 2020.</w:t>
            </w:r>
            <w:r w:rsidRPr="003130B8" w:rsidR="00305CB7">
              <w:t> </w:t>
            </w:r>
            <w:r w:rsidRPr="003130B8">
              <w:t>gadā izsludināja pa vienam projektu iesnieguma konkursam par finanšu palīdzības piešķiršanu no ES Daudzgadu budžeta  2014. – 2020.</w:t>
            </w:r>
            <w:r w:rsidRPr="003130B8" w:rsidR="00305CB7">
              <w:t> </w:t>
            </w:r>
            <w:r w:rsidRPr="003130B8">
              <w:t xml:space="preserve">gadam programmas "Eiropas infrastruktūras savienošanas instruments" (turpmāk – EISI), kuros piedaloties </w:t>
            </w:r>
            <w:r w:rsidRPr="003130B8" w:rsidR="00B24AD6">
              <w:t>RB p</w:t>
            </w:r>
            <w:r w:rsidRPr="003130B8">
              <w:t>rojekts ieguva finansējumu. Tādejādi laika posmā no 2015.</w:t>
            </w:r>
            <w:r w:rsidRPr="003130B8" w:rsidR="00305CB7">
              <w:t> </w:t>
            </w:r>
            <w:r w:rsidRPr="003130B8">
              <w:t>gada līdz 2020.</w:t>
            </w:r>
            <w:r w:rsidRPr="003130B8" w:rsidR="00305CB7">
              <w:t> </w:t>
            </w:r>
            <w:r w:rsidRPr="003130B8">
              <w:t xml:space="preserve">gadam, parakstot </w:t>
            </w:r>
            <w:r w:rsidRPr="003130B8" w:rsidR="0026449F">
              <w:t>piecus</w:t>
            </w:r>
            <w:r w:rsidRPr="003130B8">
              <w:t xml:space="preserve"> finansēšanas līgumus (turpmāk – CEF1, CEF2, CEF3</w:t>
            </w:r>
            <w:r w:rsidRPr="003130B8" w:rsidR="0026449F">
              <w:t>, CEF6-S</w:t>
            </w:r>
            <w:r w:rsidRPr="003130B8">
              <w:t xml:space="preserve"> un CEF6</w:t>
            </w:r>
            <w:r w:rsidRPr="003130B8" w:rsidR="00F378D0">
              <w:t>-W</w:t>
            </w:r>
            <w:r w:rsidRPr="003130B8">
              <w:t xml:space="preserve"> līgumi), Latvija ir apņēmusies </w:t>
            </w:r>
            <w:r w:rsidRPr="003130B8" w:rsidR="00B24AD6">
              <w:t>RB p</w:t>
            </w:r>
            <w:r w:rsidRPr="003130B8">
              <w:t xml:space="preserve">rojektā investēt </w:t>
            </w:r>
            <w:r w:rsidRPr="003130B8">
              <w:lastRenderedPageBreak/>
              <w:t>377</w:t>
            </w:r>
            <w:r w:rsidRPr="003130B8" w:rsidR="00305CB7">
              <w:t> </w:t>
            </w:r>
            <w:r w:rsidRPr="003130B8">
              <w:t>000</w:t>
            </w:r>
            <w:r w:rsidRPr="003130B8" w:rsidR="00305CB7">
              <w:t> </w:t>
            </w:r>
            <w:r w:rsidRPr="003130B8">
              <w:t xml:space="preserve">063 </w:t>
            </w:r>
            <w:proofErr w:type="spellStart"/>
            <w:r w:rsidRPr="003130B8">
              <w:rPr>
                <w:i/>
                <w:iCs/>
              </w:rPr>
              <w:t>euro</w:t>
            </w:r>
            <w:proofErr w:type="spellEnd"/>
            <w:r w:rsidRPr="003130B8">
              <w:t xml:space="preserve">, no kuriem ārvalstu finanšu palīdzības daļa ir 312 733 208 </w:t>
            </w:r>
            <w:proofErr w:type="spellStart"/>
            <w:r w:rsidRPr="003130B8">
              <w:rPr>
                <w:i/>
                <w:iCs/>
              </w:rPr>
              <w:t>euro</w:t>
            </w:r>
            <w:proofErr w:type="spellEnd"/>
            <w:r w:rsidRPr="003130B8">
              <w:t>.</w:t>
            </w:r>
          </w:p>
          <w:p w:rsidRPr="003130B8" w:rsidR="006305C7" w:rsidP="006305C7" w:rsidRDefault="00C9147B" w14:paraId="635DD42B" w14:textId="603C3338">
            <w:pPr>
              <w:spacing w:after="120"/>
              <w:ind w:firstLine="284"/>
              <w:jc w:val="both"/>
            </w:pPr>
            <w:r w:rsidRPr="003130B8">
              <w:t>CEF līgum</w:t>
            </w:r>
            <w:r w:rsidRPr="003130B8" w:rsidR="0063684F">
              <w:t>u ietvarā</w:t>
            </w:r>
            <w:r w:rsidRPr="003130B8">
              <w:t xml:space="preserve"> </w:t>
            </w:r>
            <w:r w:rsidRPr="003130B8" w:rsidR="00B24AD6">
              <w:t xml:space="preserve">tostarp </w:t>
            </w:r>
            <w:r w:rsidRPr="003130B8">
              <w:t xml:space="preserve">paredz finansēt </w:t>
            </w:r>
            <w:r w:rsidRPr="003130B8" w:rsidR="00B24AD6">
              <w:t xml:space="preserve">RB projekta īstenošanai nepieciešamā </w:t>
            </w:r>
            <w:r w:rsidRPr="003130B8">
              <w:t xml:space="preserve">nekustamā īpašuma objektu </w:t>
            </w:r>
            <w:r w:rsidRPr="003130B8" w:rsidR="009F79D3">
              <w:t>(</w:t>
            </w:r>
            <w:r w:rsidRPr="003130B8">
              <w:t>zemes vai ēk</w:t>
            </w:r>
            <w:r w:rsidRPr="003130B8" w:rsidR="009F79D3">
              <w:t>u)</w:t>
            </w:r>
            <w:r w:rsidRPr="003130B8">
              <w:t xml:space="preserve"> atsavināšanas izmaksas un ar atsavināšanu saistītos izdevumus – </w:t>
            </w:r>
            <w:r w:rsidRPr="003130B8" w:rsidR="0063684F">
              <w:t>nekustamā īpašum</w:t>
            </w:r>
            <w:r w:rsidRPr="003130B8" w:rsidR="009F79D3">
              <w:t>a</w:t>
            </w:r>
            <w:r w:rsidRPr="003130B8" w:rsidR="0063684F">
              <w:t xml:space="preserve"> vērtēšanas pakalpojumus,  mērniecības pakalpojumus  un </w:t>
            </w:r>
            <w:r w:rsidRPr="003130B8">
              <w:t>atsavinātā nekustamā īpašuma reģistrāciju. Taču CEF līgum</w:t>
            </w:r>
            <w:r w:rsidRPr="003130B8" w:rsidR="0063684F">
              <w:t>u ietvarā nevar tikt</w:t>
            </w:r>
            <w:r w:rsidRPr="003130B8">
              <w:t xml:space="preserve"> finansē</w:t>
            </w:r>
            <w:r w:rsidRPr="003130B8" w:rsidR="0063684F">
              <w:t>tas</w:t>
            </w:r>
            <w:r w:rsidRPr="003130B8">
              <w:t xml:space="preserve"> izmaksas, kas ir saistītas ar atsavinātā nekustamā īpašuma apsaimniekošanu un atsavinātā</w:t>
            </w:r>
            <w:r w:rsidRPr="003130B8" w:rsidR="009F79D3">
              <w:t xml:space="preserve"> īpašuma</w:t>
            </w:r>
            <w:r w:rsidRPr="003130B8">
              <w:t xml:space="preserve"> nekustamā īpašuma nodokļ</w:t>
            </w:r>
            <w:r w:rsidRPr="003130B8" w:rsidR="009F79D3">
              <w:t>a</w:t>
            </w:r>
            <w:r w:rsidRPr="003130B8">
              <w:t xml:space="preserve"> apmaksu</w:t>
            </w:r>
            <w:r w:rsidR="00A030A7">
              <w:t>. Š</w:t>
            </w:r>
            <w:r w:rsidR="007F779F">
              <w:t xml:space="preserve">ādas izmaksas nebūtu radušās, ja nebūtu </w:t>
            </w:r>
            <w:r w:rsidR="000E7007">
              <w:t>RB projekts, kura vajadzībām tiek atsavināti</w:t>
            </w:r>
            <w:r w:rsidR="007A151E">
              <w:t xml:space="preserve"> vai pārņemti valdījumā</w:t>
            </w:r>
            <w:r w:rsidR="000E7007">
              <w:t xml:space="preserve"> nekustamie īpašumi</w:t>
            </w:r>
            <w:r w:rsidRPr="003130B8">
              <w:t xml:space="preserve">. Pieejamais CEF finansējums </w:t>
            </w:r>
            <w:r w:rsidRPr="003130B8" w:rsidR="0063684F">
              <w:t xml:space="preserve">ar </w:t>
            </w:r>
            <w:r w:rsidRPr="003130B8">
              <w:t>nekustamo īpašumu atsavināšan</w:t>
            </w:r>
            <w:r w:rsidRPr="003130B8" w:rsidR="0063684F">
              <w:t>u saistītajām attiecināmajām izmaksām</w:t>
            </w:r>
            <w:r w:rsidRPr="003130B8">
              <w:t xml:space="preserve"> ir atspoguļots tabulā</w:t>
            </w:r>
            <w:r w:rsidRPr="003130B8" w:rsidR="001C6964">
              <w:t>:</w:t>
            </w:r>
          </w:p>
          <w:p w:rsidRPr="003130B8" w:rsidR="00C9147B" w:rsidP="001C6964" w:rsidRDefault="00C9147B" w14:paraId="028C8129" w14:textId="42CC3344">
            <w:pPr>
              <w:tabs>
                <w:tab w:val="left" w:pos="993"/>
              </w:tabs>
              <w:spacing w:before="120" w:after="120"/>
              <w:contextualSpacing/>
              <w:jc w:val="center"/>
              <w:rPr>
                <w:sz w:val="22"/>
                <w:szCs w:val="22"/>
              </w:rPr>
            </w:pPr>
            <w:r w:rsidRPr="003130B8">
              <w:rPr>
                <w:sz w:val="22"/>
                <w:szCs w:val="22"/>
              </w:rPr>
              <w:t>CEF līgumos paredzētais finansējums nekustamo īpašu</w:t>
            </w:r>
            <w:r w:rsidRPr="003130B8" w:rsidR="003D5AD0">
              <w:rPr>
                <w:sz w:val="22"/>
                <w:szCs w:val="22"/>
              </w:rPr>
              <w:t>mu</w:t>
            </w:r>
            <w:r w:rsidRPr="003130B8">
              <w:rPr>
                <w:sz w:val="22"/>
                <w:szCs w:val="22"/>
              </w:rPr>
              <w:t xml:space="preserve"> atsavināšanai,</w:t>
            </w:r>
            <w:r w:rsidRPr="003130B8">
              <w:rPr>
                <w:i/>
                <w:iCs/>
                <w:sz w:val="22"/>
                <w:szCs w:val="22"/>
              </w:rPr>
              <w:t xml:space="preserve"> </w:t>
            </w:r>
            <w:proofErr w:type="spellStart"/>
            <w:r w:rsidRPr="003130B8">
              <w:rPr>
                <w:i/>
                <w:iCs/>
                <w:sz w:val="22"/>
                <w:szCs w:val="22"/>
              </w:rPr>
              <w:t>euro</w:t>
            </w:r>
            <w:proofErr w:type="spellEnd"/>
          </w:p>
          <w:tbl>
            <w:tblPr>
              <w:tblStyle w:val="TableGrid"/>
              <w:tblpPr w:leftFromText="180" w:rightFromText="180" w:vertAnchor="text" w:tblpXSpec="center" w:tblpY="1"/>
              <w:tblOverlap w:val="never"/>
              <w:tblW w:w="0" w:type="auto"/>
              <w:jc w:val="center"/>
              <w:tblLayout w:type="fixed"/>
              <w:tblLook w:val="04A0" w:firstRow="1" w:lastRow="0" w:firstColumn="1" w:lastColumn="0" w:noHBand="0" w:noVBand="1"/>
            </w:tblPr>
            <w:tblGrid>
              <w:gridCol w:w="1271"/>
              <w:gridCol w:w="1134"/>
              <w:gridCol w:w="1134"/>
              <w:gridCol w:w="1084"/>
              <w:gridCol w:w="1184"/>
            </w:tblGrid>
            <w:tr w:rsidRPr="003130B8" w:rsidR="00F90F01" w:rsidTr="00921B43" w14:paraId="07A84EC2" w14:textId="77777777">
              <w:trPr>
                <w:jc w:val="center"/>
              </w:trPr>
              <w:tc>
                <w:tcPr>
                  <w:tcW w:w="1271" w:type="dxa"/>
                </w:tcPr>
                <w:p w:rsidRPr="003130B8" w:rsidR="00C9147B" w:rsidP="00C9147B" w:rsidRDefault="00C9147B" w14:paraId="6343C1F5" w14:textId="77777777">
                  <w:pPr>
                    <w:tabs>
                      <w:tab w:val="left" w:pos="0"/>
                    </w:tabs>
                    <w:spacing w:after="120"/>
                    <w:jc w:val="both"/>
                    <w:rPr>
                      <w:sz w:val="20"/>
                      <w:szCs w:val="20"/>
                    </w:rPr>
                  </w:pPr>
                </w:p>
              </w:tc>
              <w:tc>
                <w:tcPr>
                  <w:tcW w:w="1134" w:type="dxa"/>
                  <w:vAlign w:val="center"/>
                </w:tcPr>
                <w:p w:rsidRPr="003130B8" w:rsidR="00C9147B" w:rsidP="00C9147B" w:rsidRDefault="00C9147B" w14:paraId="3974B976" w14:textId="77777777">
                  <w:pPr>
                    <w:tabs>
                      <w:tab w:val="left" w:pos="0"/>
                    </w:tabs>
                    <w:jc w:val="center"/>
                    <w:rPr>
                      <w:b/>
                      <w:bCs/>
                      <w:sz w:val="20"/>
                      <w:szCs w:val="20"/>
                    </w:rPr>
                  </w:pPr>
                  <w:r w:rsidRPr="003130B8">
                    <w:rPr>
                      <w:b/>
                      <w:bCs/>
                      <w:sz w:val="20"/>
                      <w:szCs w:val="20"/>
                    </w:rPr>
                    <w:t>CEF1</w:t>
                  </w:r>
                </w:p>
                <w:p w:rsidRPr="003130B8" w:rsidR="00C9147B" w:rsidP="00C9147B" w:rsidRDefault="00C9147B" w14:paraId="4DFBAC19" w14:textId="77777777">
                  <w:pPr>
                    <w:tabs>
                      <w:tab w:val="left" w:pos="0"/>
                    </w:tabs>
                    <w:spacing w:after="120"/>
                    <w:jc w:val="center"/>
                    <w:rPr>
                      <w:b/>
                      <w:bCs/>
                      <w:sz w:val="20"/>
                      <w:szCs w:val="20"/>
                    </w:rPr>
                  </w:pPr>
                  <w:r w:rsidRPr="003130B8">
                    <w:rPr>
                      <w:b/>
                      <w:bCs/>
                      <w:sz w:val="20"/>
                      <w:szCs w:val="20"/>
                    </w:rPr>
                    <w:t>(2018-2022)</w:t>
                  </w:r>
                </w:p>
              </w:tc>
              <w:tc>
                <w:tcPr>
                  <w:tcW w:w="1134" w:type="dxa"/>
                  <w:vAlign w:val="center"/>
                </w:tcPr>
                <w:p w:rsidRPr="003130B8" w:rsidR="00F90F01" w:rsidP="00F90F01" w:rsidRDefault="00C9147B" w14:paraId="2E702BEC" w14:textId="77777777">
                  <w:pPr>
                    <w:tabs>
                      <w:tab w:val="left" w:pos="0"/>
                    </w:tabs>
                    <w:jc w:val="center"/>
                    <w:rPr>
                      <w:b/>
                      <w:bCs/>
                      <w:sz w:val="20"/>
                      <w:szCs w:val="20"/>
                    </w:rPr>
                  </w:pPr>
                  <w:r w:rsidRPr="003130B8">
                    <w:rPr>
                      <w:b/>
                      <w:bCs/>
                      <w:sz w:val="20"/>
                      <w:szCs w:val="20"/>
                    </w:rPr>
                    <w:t>CEF 6 pakalp</w:t>
                  </w:r>
                  <w:r w:rsidRPr="003130B8" w:rsidR="00F90F01">
                    <w:rPr>
                      <w:b/>
                      <w:bCs/>
                      <w:sz w:val="20"/>
                      <w:szCs w:val="20"/>
                    </w:rPr>
                    <w:t>o-</w:t>
                  </w:r>
                </w:p>
                <w:p w:rsidRPr="003130B8" w:rsidR="00C9147B" w:rsidP="00F90F01" w:rsidRDefault="00F90F01" w14:paraId="4B0618D1" w14:textId="0A4F1B21">
                  <w:pPr>
                    <w:tabs>
                      <w:tab w:val="left" w:pos="0"/>
                    </w:tabs>
                    <w:jc w:val="center"/>
                    <w:rPr>
                      <w:b/>
                      <w:bCs/>
                      <w:sz w:val="20"/>
                      <w:szCs w:val="20"/>
                    </w:rPr>
                  </w:pPr>
                  <w:r w:rsidRPr="003130B8">
                    <w:rPr>
                      <w:b/>
                      <w:bCs/>
                      <w:sz w:val="20"/>
                      <w:szCs w:val="20"/>
                    </w:rPr>
                    <w:t>jumi</w:t>
                  </w:r>
                  <w:r w:rsidRPr="003130B8" w:rsidR="00C9147B">
                    <w:rPr>
                      <w:b/>
                      <w:bCs/>
                      <w:sz w:val="20"/>
                      <w:szCs w:val="20"/>
                    </w:rPr>
                    <w:t xml:space="preserve"> (2020-2023)</w:t>
                  </w:r>
                </w:p>
              </w:tc>
              <w:tc>
                <w:tcPr>
                  <w:tcW w:w="1084" w:type="dxa"/>
                  <w:vAlign w:val="center"/>
                </w:tcPr>
                <w:p w:rsidRPr="003130B8" w:rsidR="00C9147B" w:rsidP="00C9147B" w:rsidRDefault="00C9147B" w14:paraId="43F2ECAE" w14:textId="77777777">
                  <w:pPr>
                    <w:tabs>
                      <w:tab w:val="left" w:pos="0"/>
                    </w:tabs>
                    <w:spacing w:after="120"/>
                    <w:jc w:val="center"/>
                    <w:rPr>
                      <w:b/>
                      <w:bCs/>
                      <w:sz w:val="20"/>
                      <w:szCs w:val="20"/>
                    </w:rPr>
                  </w:pPr>
                  <w:r w:rsidRPr="003130B8">
                    <w:rPr>
                      <w:b/>
                      <w:bCs/>
                      <w:sz w:val="20"/>
                      <w:szCs w:val="20"/>
                    </w:rPr>
                    <w:t>CEF6 būvdarbi</w:t>
                  </w:r>
                  <w:r w:rsidRPr="003130B8">
                    <w:rPr>
                      <w:b/>
                      <w:bCs/>
                      <w:i/>
                      <w:iCs/>
                      <w:sz w:val="20"/>
                      <w:szCs w:val="20"/>
                    </w:rPr>
                    <w:t xml:space="preserve"> </w:t>
                  </w:r>
                  <w:r w:rsidRPr="003130B8">
                    <w:rPr>
                      <w:b/>
                      <w:bCs/>
                      <w:sz w:val="20"/>
                      <w:szCs w:val="20"/>
                    </w:rPr>
                    <w:t>(2020-2023)</w:t>
                  </w:r>
                </w:p>
              </w:tc>
              <w:tc>
                <w:tcPr>
                  <w:tcW w:w="1184" w:type="dxa"/>
                  <w:vAlign w:val="center"/>
                </w:tcPr>
                <w:p w:rsidRPr="003130B8" w:rsidR="00C9147B" w:rsidP="00C9147B" w:rsidRDefault="00C9147B" w14:paraId="596EB87C" w14:textId="77777777">
                  <w:pPr>
                    <w:tabs>
                      <w:tab w:val="left" w:pos="0"/>
                    </w:tabs>
                    <w:spacing w:after="120"/>
                    <w:jc w:val="center"/>
                    <w:rPr>
                      <w:b/>
                      <w:bCs/>
                      <w:sz w:val="20"/>
                      <w:szCs w:val="20"/>
                    </w:rPr>
                  </w:pPr>
                  <w:r w:rsidRPr="003130B8">
                    <w:rPr>
                      <w:b/>
                      <w:bCs/>
                      <w:sz w:val="20"/>
                      <w:szCs w:val="20"/>
                    </w:rPr>
                    <w:t>Kopā</w:t>
                  </w:r>
                </w:p>
              </w:tc>
            </w:tr>
            <w:tr w:rsidRPr="003130B8" w:rsidR="00F90F01" w:rsidTr="00921B43" w14:paraId="584C34A1" w14:textId="77777777">
              <w:trPr>
                <w:jc w:val="center"/>
              </w:trPr>
              <w:tc>
                <w:tcPr>
                  <w:tcW w:w="1271" w:type="dxa"/>
                </w:tcPr>
                <w:p w:rsidRPr="003130B8" w:rsidR="00C9147B" w:rsidP="00C9147B" w:rsidRDefault="00C9147B" w14:paraId="5EE2168E" w14:textId="77777777">
                  <w:pPr>
                    <w:tabs>
                      <w:tab w:val="left" w:pos="0"/>
                    </w:tabs>
                    <w:spacing w:after="120"/>
                    <w:jc w:val="both"/>
                    <w:rPr>
                      <w:b/>
                      <w:bCs/>
                      <w:sz w:val="20"/>
                      <w:szCs w:val="20"/>
                    </w:rPr>
                  </w:pPr>
                  <w:r w:rsidRPr="003130B8">
                    <w:rPr>
                      <w:b/>
                      <w:bCs/>
                      <w:sz w:val="20"/>
                      <w:szCs w:val="20"/>
                    </w:rPr>
                    <w:t>EISI</w:t>
                  </w:r>
                </w:p>
              </w:tc>
              <w:tc>
                <w:tcPr>
                  <w:tcW w:w="1134" w:type="dxa"/>
                  <w:vAlign w:val="center"/>
                </w:tcPr>
                <w:p w:rsidRPr="003130B8" w:rsidR="00C9147B" w:rsidP="00C9147B" w:rsidRDefault="00C9147B" w14:paraId="22883AA0" w14:textId="77777777">
                  <w:pPr>
                    <w:tabs>
                      <w:tab w:val="left" w:pos="0"/>
                    </w:tabs>
                    <w:spacing w:after="120"/>
                    <w:jc w:val="right"/>
                    <w:rPr>
                      <w:sz w:val="20"/>
                      <w:szCs w:val="20"/>
                    </w:rPr>
                  </w:pPr>
                  <w:r w:rsidRPr="003130B8">
                    <w:rPr>
                      <w:color w:val="000000"/>
                      <w:sz w:val="20"/>
                      <w:szCs w:val="20"/>
                    </w:rPr>
                    <w:t>26 172 846</w:t>
                  </w:r>
                </w:p>
              </w:tc>
              <w:tc>
                <w:tcPr>
                  <w:tcW w:w="1134" w:type="dxa"/>
                  <w:vAlign w:val="center"/>
                </w:tcPr>
                <w:p w:rsidRPr="003130B8" w:rsidR="00C9147B" w:rsidP="00C9147B" w:rsidRDefault="00C9147B" w14:paraId="5F3DDB53" w14:textId="77777777">
                  <w:pPr>
                    <w:tabs>
                      <w:tab w:val="left" w:pos="0"/>
                    </w:tabs>
                    <w:spacing w:after="120"/>
                    <w:jc w:val="right"/>
                    <w:rPr>
                      <w:sz w:val="20"/>
                      <w:szCs w:val="20"/>
                    </w:rPr>
                  </w:pPr>
                  <w:r w:rsidRPr="003130B8">
                    <w:rPr>
                      <w:color w:val="000000"/>
                      <w:sz w:val="20"/>
                      <w:szCs w:val="20"/>
                    </w:rPr>
                    <w:t>2 082 055</w:t>
                  </w:r>
                </w:p>
              </w:tc>
              <w:tc>
                <w:tcPr>
                  <w:tcW w:w="1084" w:type="dxa"/>
                  <w:vAlign w:val="center"/>
                </w:tcPr>
                <w:p w:rsidRPr="003130B8" w:rsidR="00C9147B" w:rsidP="00C9147B" w:rsidRDefault="00C9147B" w14:paraId="6313D8C4" w14:textId="77777777">
                  <w:pPr>
                    <w:tabs>
                      <w:tab w:val="left" w:pos="0"/>
                    </w:tabs>
                    <w:spacing w:after="120"/>
                    <w:jc w:val="right"/>
                    <w:rPr>
                      <w:sz w:val="20"/>
                      <w:szCs w:val="20"/>
                    </w:rPr>
                  </w:pPr>
                  <w:r w:rsidRPr="003130B8">
                    <w:rPr>
                      <w:color w:val="000000"/>
                      <w:sz w:val="20"/>
                      <w:szCs w:val="20"/>
                    </w:rPr>
                    <w:t>5 876 807</w:t>
                  </w:r>
                </w:p>
              </w:tc>
              <w:tc>
                <w:tcPr>
                  <w:tcW w:w="1184" w:type="dxa"/>
                  <w:vAlign w:val="center"/>
                </w:tcPr>
                <w:p w:rsidRPr="003130B8" w:rsidR="00C9147B" w:rsidP="00C9147B" w:rsidRDefault="00C9147B" w14:paraId="0B6FBA56" w14:textId="77777777">
                  <w:pPr>
                    <w:tabs>
                      <w:tab w:val="left" w:pos="0"/>
                    </w:tabs>
                    <w:spacing w:after="120"/>
                    <w:jc w:val="right"/>
                    <w:rPr>
                      <w:sz w:val="20"/>
                      <w:szCs w:val="20"/>
                    </w:rPr>
                  </w:pPr>
                  <w:r w:rsidRPr="003130B8">
                    <w:rPr>
                      <w:color w:val="000000"/>
                      <w:sz w:val="20"/>
                      <w:szCs w:val="20"/>
                    </w:rPr>
                    <w:t>34 131 708</w:t>
                  </w:r>
                </w:p>
              </w:tc>
            </w:tr>
            <w:tr w:rsidRPr="003130B8" w:rsidR="00F90F01" w:rsidTr="00921B43" w14:paraId="65D3DAC5" w14:textId="77777777">
              <w:trPr>
                <w:jc w:val="center"/>
              </w:trPr>
              <w:tc>
                <w:tcPr>
                  <w:tcW w:w="1271" w:type="dxa"/>
                </w:tcPr>
                <w:p w:rsidRPr="003130B8" w:rsidR="00C9147B" w:rsidP="00C9147B" w:rsidRDefault="00C9147B" w14:paraId="7E8BF7F3" w14:textId="77777777">
                  <w:pPr>
                    <w:tabs>
                      <w:tab w:val="left" w:pos="0"/>
                    </w:tabs>
                    <w:spacing w:after="120"/>
                    <w:jc w:val="both"/>
                    <w:rPr>
                      <w:b/>
                      <w:bCs/>
                      <w:sz w:val="20"/>
                      <w:szCs w:val="20"/>
                    </w:rPr>
                  </w:pPr>
                  <w:r w:rsidRPr="003130B8">
                    <w:rPr>
                      <w:b/>
                      <w:bCs/>
                      <w:sz w:val="20"/>
                      <w:szCs w:val="20"/>
                    </w:rPr>
                    <w:t>Valsts līdzfinansējums</w:t>
                  </w:r>
                </w:p>
              </w:tc>
              <w:tc>
                <w:tcPr>
                  <w:tcW w:w="1134" w:type="dxa"/>
                  <w:vAlign w:val="center"/>
                </w:tcPr>
                <w:p w:rsidRPr="003130B8" w:rsidR="00C9147B" w:rsidP="00C9147B" w:rsidRDefault="00C9147B" w14:paraId="5AB421F5" w14:textId="77777777">
                  <w:pPr>
                    <w:tabs>
                      <w:tab w:val="left" w:pos="0"/>
                    </w:tabs>
                    <w:spacing w:after="120"/>
                    <w:jc w:val="right"/>
                    <w:rPr>
                      <w:sz w:val="20"/>
                      <w:szCs w:val="20"/>
                    </w:rPr>
                  </w:pPr>
                  <w:r w:rsidRPr="003130B8">
                    <w:rPr>
                      <w:color w:val="000000"/>
                      <w:sz w:val="20"/>
                      <w:szCs w:val="20"/>
                    </w:rPr>
                    <w:t>4 618 737</w:t>
                  </w:r>
                </w:p>
              </w:tc>
              <w:tc>
                <w:tcPr>
                  <w:tcW w:w="1134" w:type="dxa"/>
                  <w:vAlign w:val="center"/>
                </w:tcPr>
                <w:p w:rsidRPr="003130B8" w:rsidR="00C9147B" w:rsidP="00C9147B" w:rsidRDefault="00C9147B" w14:paraId="4B87976F" w14:textId="77777777">
                  <w:pPr>
                    <w:tabs>
                      <w:tab w:val="left" w:pos="0"/>
                    </w:tabs>
                    <w:spacing w:after="120"/>
                    <w:jc w:val="right"/>
                    <w:rPr>
                      <w:sz w:val="20"/>
                      <w:szCs w:val="20"/>
                    </w:rPr>
                  </w:pPr>
                  <w:r w:rsidRPr="003130B8">
                    <w:rPr>
                      <w:color w:val="000000"/>
                      <w:sz w:val="20"/>
                      <w:szCs w:val="20"/>
                    </w:rPr>
                    <w:t>367 421</w:t>
                  </w:r>
                </w:p>
              </w:tc>
              <w:tc>
                <w:tcPr>
                  <w:tcW w:w="1084" w:type="dxa"/>
                  <w:vAlign w:val="center"/>
                </w:tcPr>
                <w:p w:rsidRPr="003130B8" w:rsidR="00C9147B" w:rsidP="00C9147B" w:rsidRDefault="00C9147B" w14:paraId="2BC95897" w14:textId="77777777">
                  <w:pPr>
                    <w:tabs>
                      <w:tab w:val="left" w:pos="0"/>
                    </w:tabs>
                    <w:spacing w:after="120"/>
                    <w:jc w:val="right"/>
                    <w:rPr>
                      <w:sz w:val="20"/>
                      <w:szCs w:val="20"/>
                    </w:rPr>
                  </w:pPr>
                  <w:r w:rsidRPr="003130B8">
                    <w:rPr>
                      <w:color w:val="000000"/>
                      <w:sz w:val="20"/>
                      <w:szCs w:val="20"/>
                    </w:rPr>
                    <w:t>1 037 084</w:t>
                  </w:r>
                </w:p>
              </w:tc>
              <w:tc>
                <w:tcPr>
                  <w:tcW w:w="1184" w:type="dxa"/>
                  <w:vAlign w:val="center"/>
                </w:tcPr>
                <w:p w:rsidRPr="003130B8" w:rsidR="00C9147B" w:rsidP="00C9147B" w:rsidRDefault="00C9147B" w14:paraId="66585578" w14:textId="77777777">
                  <w:pPr>
                    <w:tabs>
                      <w:tab w:val="left" w:pos="0"/>
                    </w:tabs>
                    <w:spacing w:after="120"/>
                    <w:jc w:val="right"/>
                    <w:rPr>
                      <w:sz w:val="20"/>
                      <w:szCs w:val="20"/>
                    </w:rPr>
                  </w:pPr>
                  <w:r w:rsidRPr="003130B8">
                    <w:rPr>
                      <w:color w:val="000000"/>
                      <w:sz w:val="20"/>
                      <w:szCs w:val="20"/>
                    </w:rPr>
                    <w:t>6 023 242</w:t>
                  </w:r>
                </w:p>
              </w:tc>
            </w:tr>
            <w:tr w:rsidRPr="003130B8" w:rsidR="00F90F01" w:rsidTr="00921B43" w14:paraId="0BB51413" w14:textId="77777777">
              <w:trPr>
                <w:jc w:val="center"/>
              </w:trPr>
              <w:tc>
                <w:tcPr>
                  <w:tcW w:w="1271" w:type="dxa"/>
                </w:tcPr>
                <w:p w:rsidRPr="003130B8" w:rsidR="00C9147B" w:rsidP="00C9147B" w:rsidRDefault="00C9147B" w14:paraId="0B7CB347" w14:textId="77777777">
                  <w:pPr>
                    <w:tabs>
                      <w:tab w:val="left" w:pos="0"/>
                    </w:tabs>
                    <w:spacing w:after="120"/>
                    <w:jc w:val="both"/>
                    <w:rPr>
                      <w:b/>
                      <w:bCs/>
                      <w:sz w:val="20"/>
                      <w:szCs w:val="20"/>
                    </w:rPr>
                  </w:pPr>
                  <w:r w:rsidRPr="003130B8">
                    <w:rPr>
                      <w:b/>
                      <w:bCs/>
                      <w:sz w:val="20"/>
                      <w:szCs w:val="20"/>
                    </w:rPr>
                    <w:t>Kopā</w:t>
                  </w:r>
                </w:p>
              </w:tc>
              <w:tc>
                <w:tcPr>
                  <w:tcW w:w="1134" w:type="dxa"/>
                  <w:vAlign w:val="center"/>
                </w:tcPr>
                <w:p w:rsidRPr="003130B8" w:rsidR="00C9147B" w:rsidP="00C9147B" w:rsidRDefault="00C9147B" w14:paraId="49F659FF" w14:textId="77777777">
                  <w:pPr>
                    <w:tabs>
                      <w:tab w:val="left" w:pos="0"/>
                    </w:tabs>
                    <w:spacing w:after="120"/>
                    <w:jc w:val="right"/>
                    <w:rPr>
                      <w:sz w:val="20"/>
                      <w:szCs w:val="20"/>
                    </w:rPr>
                  </w:pPr>
                  <w:r w:rsidRPr="003130B8">
                    <w:rPr>
                      <w:color w:val="000000"/>
                      <w:sz w:val="20"/>
                      <w:szCs w:val="20"/>
                    </w:rPr>
                    <w:t>30 791 583</w:t>
                  </w:r>
                </w:p>
              </w:tc>
              <w:tc>
                <w:tcPr>
                  <w:tcW w:w="1134" w:type="dxa"/>
                  <w:vAlign w:val="center"/>
                </w:tcPr>
                <w:p w:rsidRPr="003130B8" w:rsidR="00C9147B" w:rsidP="00C9147B" w:rsidRDefault="00C9147B" w14:paraId="0AE7761D" w14:textId="77777777">
                  <w:pPr>
                    <w:tabs>
                      <w:tab w:val="left" w:pos="0"/>
                    </w:tabs>
                    <w:spacing w:after="120"/>
                    <w:jc w:val="right"/>
                    <w:rPr>
                      <w:sz w:val="20"/>
                      <w:szCs w:val="20"/>
                    </w:rPr>
                  </w:pPr>
                  <w:r w:rsidRPr="003130B8">
                    <w:rPr>
                      <w:color w:val="000000"/>
                      <w:sz w:val="20"/>
                      <w:szCs w:val="20"/>
                    </w:rPr>
                    <w:t>2 449 476</w:t>
                  </w:r>
                </w:p>
              </w:tc>
              <w:tc>
                <w:tcPr>
                  <w:tcW w:w="1084" w:type="dxa"/>
                  <w:vAlign w:val="center"/>
                </w:tcPr>
                <w:p w:rsidRPr="003130B8" w:rsidR="00C9147B" w:rsidP="00C9147B" w:rsidRDefault="00C9147B" w14:paraId="6CAAEE48" w14:textId="77777777">
                  <w:pPr>
                    <w:tabs>
                      <w:tab w:val="left" w:pos="0"/>
                    </w:tabs>
                    <w:spacing w:after="120"/>
                    <w:jc w:val="right"/>
                    <w:rPr>
                      <w:sz w:val="20"/>
                      <w:szCs w:val="20"/>
                    </w:rPr>
                  </w:pPr>
                  <w:r w:rsidRPr="003130B8">
                    <w:rPr>
                      <w:color w:val="000000"/>
                      <w:sz w:val="20"/>
                      <w:szCs w:val="20"/>
                    </w:rPr>
                    <w:t>6 913 891</w:t>
                  </w:r>
                </w:p>
              </w:tc>
              <w:tc>
                <w:tcPr>
                  <w:tcW w:w="1184" w:type="dxa"/>
                  <w:vAlign w:val="center"/>
                </w:tcPr>
                <w:p w:rsidRPr="003130B8" w:rsidR="00C9147B" w:rsidP="00C9147B" w:rsidRDefault="00C9147B" w14:paraId="74841F63" w14:textId="77777777">
                  <w:pPr>
                    <w:tabs>
                      <w:tab w:val="left" w:pos="0"/>
                    </w:tabs>
                    <w:spacing w:after="120"/>
                    <w:jc w:val="right"/>
                    <w:rPr>
                      <w:sz w:val="20"/>
                      <w:szCs w:val="20"/>
                    </w:rPr>
                  </w:pPr>
                  <w:r w:rsidRPr="003130B8">
                    <w:rPr>
                      <w:color w:val="000000"/>
                      <w:sz w:val="20"/>
                      <w:szCs w:val="20"/>
                    </w:rPr>
                    <w:t>40 154 950</w:t>
                  </w:r>
                </w:p>
              </w:tc>
            </w:tr>
          </w:tbl>
          <w:p w:rsidRPr="003130B8" w:rsidR="00C9147B" w:rsidP="00B14C1B" w:rsidRDefault="00C9147B" w14:paraId="0DFDCDF2" w14:textId="608721C5">
            <w:pPr>
              <w:ind w:firstLine="285"/>
              <w:jc w:val="both"/>
            </w:pPr>
            <w:r w:rsidRPr="003130B8">
              <w:t>CEF1 finansēšanas līguma ietvaros plānots atsavināt  309 nekustamos īpašumus, CEF6 līgum</w:t>
            </w:r>
            <w:r w:rsidRPr="003130B8" w:rsidR="009F79D3">
              <w:t>a</w:t>
            </w:r>
            <w:r w:rsidRPr="003130B8">
              <w:t xml:space="preserve"> ietvaros plānots atsavināt 280 nekustamos īpašumus. Līdz 2021.</w:t>
            </w:r>
            <w:r w:rsidRPr="003130B8" w:rsidR="00305CB7">
              <w:t> </w:t>
            </w:r>
            <w:r w:rsidRPr="003130B8">
              <w:t>gadam CEF1 līguma ietvaros ir apgūti 2</w:t>
            </w:r>
            <w:r w:rsidRPr="003130B8" w:rsidR="00305CB7">
              <w:t> </w:t>
            </w:r>
            <w:r w:rsidRPr="003130B8">
              <w:t xml:space="preserve">118 592 </w:t>
            </w:r>
            <w:proofErr w:type="spellStart"/>
            <w:r w:rsidRPr="003130B8">
              <w:rPr>
                <w:i/>
                <w:iCs/>
              </w:rPr>
              <w:t>euro</w:t>
            </w:r>
            <w:proofErr w:type="spellEnd"/>
            <w:r w:rsidRPr="003130B8">
              <w:t xml:space="preserve"> jeb 7</w:t>
            </w:r>
            <w:r w:rsidRPr="003130B8" w:rsidR="00305CB7">
              <w:t> </w:t>
            </w:r>
            <w:r w:rsidRPr="003130B8">
              <w:t>% no pieejamā finansējuma, CEF6 līguma nekustamo īpašumu atsavināšanas aktivitātes finanšu resursu apguve vēl nav uzsākta.</w:t>
            </w:r>
          </w:p>
          <w:p w:rsidRPr="003130B8" w:rsidR="00800A0E" w:rsidP="006305C7" w:rsidRDefault="00C9147B" w14:paraId="2E7E4772" w14:textId="379767A9">
            <w:pPr>
              <w:spacing w:after="120"/>
              <w:ind w:firstLine="284"/>
              <w:jc w:val="both"/>
            </w:pPr>
            <w:r w:rsidRPr="003130B8">
              <w:t xml:space="preserve">Līdz šim </w:t>
            </w:r>
            <w:r w:rsidRPr="003130B8" w:rsidR="00BE0E43">
              <w:t xml:space="preserve">brīdim </w:t>
            </w:r>
            <w:r w:rsidRPr="003130B8">
              <w:t xml:space="preserve">Ministru kabinets (turpmāk – MK) ir pieņēmis lēmumu par 23 privātpersonu (ieskaitot juridisku personu) nekustamo īpašumu atsavināšanu </w:t>
            </w:r>
            <w:r w:rsidRPr="003130B8" w:rsidR="0063684F">
              <w:t>RB p</w:t>
            </w:r>
            <w:r w:rsidRPr="003130B8">
              <w:t xml:space="preserve">rojekta vajadzībām, un vēl 22 privātpersonu nekustamo īpašumu atsavināšanas process atrodas nobeiguma fāzē. Pienākums apsaimniekot atsavināto </w:t>
            </w:r>
            <w:r w:rsidRPr="003130B8" w:rsidR="00BE0E43">
              <w:t xml:space="preserve">nekustamā īpašuma </w:t>
            </w:r>
            <w:r w:rsidRPr="003130B8">
              <w:t xml:space="preserve">objektu sākas ar brīdi, kad īpašums tiek pārņemts vai par to ir veikts ieraksts Zemesgrāmatā, t.i. apsaimniekošanas pienākumi un izmaksas gulstas uz īpašnieku vai valdītāju no brīža, kad tiek iegūts attiecīgais status. </w:t>
            </w:r>
            <w:r w:rsidRPr="003130B8" w:rsidR="00BE0E43">
              <w:t xml:space="preserve">Vienlaikus </w:t>
            </w:r>
            <w:r w:rsidRPr="003130B8">
              <w:t xml:space="preserve">ir atsavināti vai pārņemti 54 publisko personu nekustamie īpašumi, kas nepieciešami Rail Baltica dzelzceļa līnijas būvniecībai. Pienākums apsaimniekot atsavinātos vai pārņemtos </w:t>
            </w:r>
            <w:r w:rsidRPr="003130B8" w:rsidR="00BE0E43">
              <w:t xml:space="preserve">nekustamos </w:t>
            </w:r>
            <w:r w:rsidRPr="003130B8">
              <w:t xml:space="preserve">īpašumus iestājas ar pieņemšanas – nodošanas akta parakstīšanas dienu. Tādejādi </w:t>
            </w:r>
            <w:r w:rsidRPr="003130B8" w:rsidR="00BE0E43">
              <w:t xml:space="preserve"> šo</w:t>
            </w:r>
            <w:r w:rsidRPr="003130B8">
              <w:t xml:space="preserve">brīd Satiksmes ministrijas (turpmāk – Ministrija) valdījumā atrodas 101 nekustamais īpašums, kas </w:t>
            </w:r>
            <w:r w:rsidRPr="003130B8" w:rsidR="00BE0E43">
              <w:t>ir jā</w:t>
            </w:r>
            <w:r w:rsidRPr="003130B8">
              <w:t xml:space="preserve">apsaimnieko un </w:t>
            </w:r>
            <w:r w:rsidRPr="003130B8" w:rsidR="00BE0E43">
              <w:t xml:space="preserve">  par </w:t>
            </w:r>
            <w:r w:rsidRPr="003130B8" w:rsidR="00BE0E43">
              <w:lastRenderedPageBreak/>
              <w:t>kuriem ir jā</w:t>
            </w:r>
            <w:r w:rsidRPr="003130B8">
              <w:t>vei</w:t>
            </w:r>
            <w:r w:rsidRPr="003130B8" w:rsidR="00BE0E43">
              <w:t>c</w:t>
            </w:r>
            <w:r w:rsidRPr="003130B8">
              <w:t xml:space="preserve"> </w:t>
            </w:r>
            <w:r w:rsidRPr="003130B8" w:rsidR="00BE0E43">
              <w:t xml:space="preserve">nekustamā īpašuma </w:t>
            </w:r>
            <w:r w:rsidRPr="003130B8">
              <w:t>nodokļ</w:t>
            </w:r>
            <w:r w:rsidRPr="003130B8" w:rsidR="00BE0E43">
              <w:t>a</w:t>
            </w:r>
            <w:r w:rsidRPr="003130B8">
              <w:t xml:space="preserve"> </w:t>
            </w:r>
            <w:r w:rsidRPr="003130B8" w:rsidR="00C845C9">
              <w:t>maksājumi</w:t>
            </w:r>
            <w:r w:rsidRPr="003130B8">
              <w:t>. Nekustamo īpašumu atsavināšanas gaita ir atspoguļota tabulā</w:t>
            </w:r>
            <w:r w:rsidRPr="003130B8" w:rsidR="00B14C1B">
              <w:t>:</w:t>
            </w:r>
          </w:p>
          <w:p w:rsidRPr="003130B8" w:rsidR="00C9147B" w:rsidP="006305C7" w:rsidRDefault="00C9147B" w14:paraId="0FC142EB" w14:textId="011B31A9">
            <w:pPr>
              <w:tabs>
                <w:tab w:val="left" w:pos="993"/>
              </w:tabs>
              <w:spacing w:before="120"/>
              <w:contextualSpacing/>
              <w:jc w:val="right"/>
              <w:rPr>
                <w:sz w:val="22"/>
                <w:szCs w:val="22"/>
              </w:rPr>
            </w:pPr>
            <w:r w:rsidRPr="003130B8">
              <w:rPr>
                <w:sz w:val="22"/>
                <w:szCs w:val="22"/>
              </w:rPr>
              <w:t>Nekustamo īpašu</w:t>
            </w:r>
            <w:r w:rsidRPr="003130B8" w:rsidR="0063684F">
              <w:rPr>
                <w:sz w:val="22"/>
                <w:szCs w:val="22"/>
              </w:rPr>
              <w:t>mu</w:t>
            </w:r>
            <w:r w:rsidRPr="003130B8">
              <w:rPr>
                <w:sz w:val="22"/>
                <w:szCs w:val="22"/>
              </w:rPr>
              <w:t xml:space="preserve"> atsavināšanas gaita </w:t>
            </w:r>
            <w:r w:rsidRPr="003130B8" w:rsidR="0063684F">
              <w:rPr>
                <w:sz w:val="22"/>
                <w:szCs w:val="22"/>
              </w:rPr>
              <w:t>RB p</w:t>
            </w:r>
            <w:r w:rsidRPr="003130B8">
              <w:rPr>
                <w:sz w:val="22"/>
                <w:szCs w:val="22"/>
              </w:rPr>
              <w:t>rojekta vajadzībām</w:t>
            </w:r>
          </w:p>
          <w:tbl>
            <w:tblPr>
              <w:tblW w:w="5940" w:type="dxa"/>
              <w:tblLayout w:type="fixed"/>
              <w:tblLook w:val="04A0" w:firstRow="1" w:lastRow="0" w:firstColumn="1" w:lastColumn="0" w:noHBand="0" w:noVBand="1"/>
            </w:tblPr>
            <w:tblGrid>
              <w:gridCol w:w="2396"/>
              <w:gridCol w:w="989"/>
              <w:gridCol w:w="854"/>
              <w:gridCol w:w="1701"/>
            </w:tblGrid>
            <w:tr w:rsidRPr="003130B8" w:rsidR="00C9147B" w:rsidTr="00BF3E0E" w14:paraId="0690BC25" w14:textId="77777777">
              <w:trPr>
                <w:trHeight w:val="315"/>
              </w:trPr>
              <w:tc>
                <w:tcPr>
                  <w:tcW w:w="2396"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3130B8" w:rsidR="00C9147B" w:rsidP="005F0B88" w:rsidRDefault="00C9147B" w14:paraId="0430E78C" w14:textId="77777777">
                  <w:pPr>
                    <w:framePr w:hSpace="180" w:wrap="around" w:hAnchor="margin" w:vAnchor="text" w:xAlign="center" w:y="149"/>
                    <w:rPr>
                      <w:color w:val="000000"/>
                      <w:sz w:val="20"/>
                      <w:szCs w:val="20"/>
                    </w:rPr>
                  </w:pPr>
                  <w:bookmarkStart w:name="_Hlk56503087" w:id="2"/>
                  <w:r w:rsidRPr="003130B8">
                    <w:rPr>
                      <w:color w:val="000000"/>
                      <w:sz w:val="20"/>
                      <w:szCs w:val="20"/>
                    </w:rPr>
                    <w:t> </w:t>
                  </w:r>
                </w:p>
              </w:tc>
              <w:tc>
                <w:tcPr>
                  <w:tcW w:w="989" w:type="dxa"/>
                  <w:tcBorders>
                    <w:top w:val="single" w:color="auto" w:sz="8" w:space="0"/>
                    <w:left w:val="nil"/>
                    <w:bottom w:val="single" w:color="auto" w:sz="8" w:space="0"/>
                    <w:right w:val="single" w:color="auto" w:sz="8" w:space="0"/>
                  </w:tcBorders>
                  <w:shd w:val="clear" w:color="auto" w:fill="auto"/>
                  <w:noWrap/>
                  <w:vAlign w:val="center"/>
                  <w:hideMark/>
                </w:tcPr>
                <w:p w:rsidRPr="003130B8" w:rsidR="00C9147B" w:rsidP="005F0B88" w:rsidRDefault="00C9147B" w14:paraId="632FA5D9" w14:textId="77777777">
                  <w:pPr>
                    <w:framePr w:hSpace="180" w:wrap="around" w:hAnchor="margin" w:vAnchor="text" w:xAlign="center" w:y="149"/>
                    <w:jc w:val="center"/>
                    <w:rPr>
                      <w:b/>
                      <w:bCs/>
                      <w:color w:val="000000"/>
                      <w:sz w:val="20"/>
                      <w:szCs w:val="20"/>
                    </w:rPr>
                  </w:pPr>
                  <w:r w:rsidRPr="003130B8">
                    <w:rPr>
                      <w:b/>
                      <w:bCs/>
                      <w:color w:val="000000"/>
                      <w:sz w:val="20"/>
                      <w:szCs w:val="20"/>
                    </w:rPr>
                    <w:t>2019</w:t>
                  </w:r>
                </w:p>
              </w:tc>
              <w:tc>
                <w:tcPr>
                  <w:tcW w:w="854" w:type="dxa"/>
                  <w:tcBorders>
                    <w:top w:val="single" w:color="auto" w:sz="8" w:space="0"/>
                    <w:left w:val="nil"/>
                    <w:bottom w:val="single" w:color="auto" w:sz="8" w:space="0"/>
                    <w:right w:val="single" w:color="auto" w:sz="8" w:space="0"/>
                  </w:tcBorders>
                  <w:shd w:val="clear" w:color="auto" w:fill="auto"/>
                  <w:noWrap/>
                  <w:vAlign w:val="center"/>
                  <w:hideMark/>
                </w:tcPr>
                <w:p w:rsidRPr="003130B8" w:rsidR="00C9147B" w:rsidP="005F0B88" w:rsidRDefault="00C9147B" w14:paraId="35FA5451" w14:textId="77777777">
                  <w:pPr>
                    <w:framePr w:hSpace="180" w:wrap="around" w:hAnchor="margin" w:vAnchor="text" w:xAlign="center" w:y="149"/>
                    <w:jc w:val="center"/>
                    <w:rPr>
                      <w:b/>
                      <w:bCs/>
                      <w:color w:val="000000"/>
                      <w:sz w:val="20"/>
                      <w:szCs w:val="20"/>
                    </w:rPr>
                  </w:pPr>
                  <w:r w:rsidRPr="003130B8">
                    <w:rPr>
                      <w:b/>
                      <w:bCs/>
                      <w:color w:val="000000"/>
                      <w:sz w:val="20"/>
                      <w:szCs w:val="20"/>
                    </w:rPr>
                    <w:t>2020</w:t>
                  </w:r>
                </w:p>
              </w:tc>
              <w:tc>
                <w:tcPr>
                  <w:tcW w:w="1701" w:type="dxa"/>
                  <w:tcBorders>
                    <w:top w:val="single" w:color="auto" w:sz="8" w:space="0"/>
                    <w:left w:val="nil"/>
                    <w:bottom w:val="single" w:color="auto" w:sz="8" w:space="0"/>
                    <w:right w:val="single" w:color="auto" w:sz="8" w:space="0"/>
                  </w:tcBorders>
                  <w:shd w:val="clear" w:color="auto" w:fill="auto"/>
                  <w:noWrap/>
                  <w:vAlign w:val="center"/>
                  <w:hideMark/>
                </w:tcPr>
                <w:p w:rsidRPr="003130B8" w:rsidR="00C9147B" w:rsidP="005F0B88" w:rsidRDefault="00C9147B" w14:paraId="5F818323" w14:textId="77777777">
                  <w:pPr>
                    <w:framePr w:hSpace="180" w:wrap="around" w:hAnchor="margin" w:vAnchor="text" w:xAlign="center" w:y="149"/>
                    <w:jc w:val="center"/>
                    <w:rPr>
                      <w:b/>
                      <w:bCs/>
                      <w:color w:val="000000"/>
                      <w:sz w:val="20"/>
                      <w:szCs w:val="20"/>
                    </w:rPr>
                  </w:pPr>
                  <w:r w:rsidRPr="003130B8">
                    <w:rPr>
                      <w:b/>
                      <w:bCs/>
                      <w:color w:val="000000"/>
                      <w:sz w:val="20"/>
                      <w:szCs w:val="20"/>
                    </w:rPr>
                    <w:t>Plāns - 2021</w:t>
                  </w:r>
                </w:p>
              </w:tc>
            </w:tr>
            <w:tr w:rsidRPr="003130B8" w:rsidR="00C9147B" w:rsidTr="00BF3E0E" w14:paraId="0423F583" w14:textId="77777777">
              <w:trPr>
                <w:trHeight w:val="315"/>
              </w:trPr>
              <w:tc>
                <w:tcPr>
                  <w:tcW w:w="2396" w:type="dxa"/>
                  <w:tcBorders>
                    <w:top w:val="nil"/>
                    <w:left w:val="single" w:color="auto" w:sz="8" w:space="0"/>
                    <w:bottom w:val="single" w:color="auto" w:sz="8" w:space="0"/>
                    <w:right w:val="single" w:color="auto" w:sz="8" w:space="0"/>
                  </w:tcBorders>
                  <w:shd w:val="clear" w:color="auto" w:fill="auto"/>
                  <w:noWrap/>
                  <w:vAlign w:val="center"/>
                  <w:hideMark/>
                </w:tcPr>
                <w:p w:rsidRPr="003130B8" w:rsidR="00C9147B" w:rsidP="005F0B88" w:rsidRDefault="00C9147B" w14:paraId="798E9687" w14:textId="77777777">
                  <w:pPr>
                    <w:framePr w:hSpace="180" w:wrap="around" w:hAnchor="margin" w:vAnchor="text" w:xAlign="center" w:y="149"/>
                    <w:rPr>
                      <w:color w:val="000000"/>
                      <w:sz w:val="20"/>
                      <w:szCs w:val="20"/>
                    </w:rPr>
                  </w:pPr>
                  <w:r w:rsidRPr="003130B8">
                    <w:rPr>
                      <w:color w:val="000000"/>
                      <w:sz w:val="20"/>
                      <w:szCs w:val="20"/>
                    </w:rPr>
                    <w:t>Publisko personu īpašumi</w:t>
                  </w:r>
                </w:p>
              </w:tc>
              <w:tc>
                <w:tcPr>
                  <w:tcW w:w="989" w:type="dxa"/>
                  <w:tcBorders>
                    <w:top w:val="nil"/>
                    <w:left w:val="nil"/>
                    <w:bottom w:val="single" w:color="auto" w:sz="8" w:space="0"/>
                    <w:right w:val="single" w:color="auto" w:sz="8" w:space="0"/>
                  </w:tcBorders>
                  <w:shd w:val="clear" w:color="auto" w:fill="auto"/>
                  <w:noWrap/>
                  <w:vAlign w:val="center"/>
                  <w:hideMark/>
                </w:tcPr>
                <w:p w:rsidRPr="003130B8" w:rsidR="00C9147B" w:rsidP="005F0B88" w:rsidRDefault="00C9147B" w14:paraId="6E31B6FF" w14:textId="77777777">
                  <w:pPr>
                    <w:framePr w:hSpace="180" w:wrap="around" w:hAnchor="margin" w:vAnchor="text" w:xAlign="center" w:y="149"/>
                    <w:jc w:val="center"/>
                    <w:rPr>
                      <w:sz w:val="20"/>
                      <w:szCs w:val="20"/>
                    </w:rPr>
                  </w:pPr>
                  <w:r w:rsidRPr="003130B8">
                    <w:rPr>
                      <w:sz w:val="20"/>
                      <w:szCs w:val="20"/>
                    </w:rPr>
                    <w:t>2</w:t>
                  </w:r>
                </w:p>
              </w:tc>
              <w:tc>
                <w:tcPr>
                  <w:tcW w:w="854" w:type="dxa"/>
                  <w:tcBorders>
                    <w:top w:val="nil"/>
                    <w:left w:val="nil"/>
                    <w:bottom w:val="single" w:color="auto" w:sz="8" w:space="0"/>
                    <w:right w:val="single" w:color="auto" w:sz="8" w:space="0"/>
                  </w:tcBorders>
                  <w:shd w:val="clear" w:color="auto" w:fill="auto"/>
                  <w:noWrap/>
                  <w:vAlign w:val="center"/>
                  <w:hideMark/>
                </w:tcPr>
                <w:p w:rsidRPr="003130B8" w:rsidR="00C9147B" w:rsidP="005F0B88" w:rsidRDefault="00C9147B" w14:paraId="04463B84" w14:textId="77777777">
                  <w:pPr>
                    <w:framePr w:hSpace="180" w:wrap="around" w:hAnchor="margin" w:vAnchor="text" w:xAlign="center" w:y="149"/>
                    <w:jc w:val="center"/>
                    <w:rPr>
                      <w:sz w:val="20"/>
                      <w:szCs w:val="20"/>
                    </w:rPr>
                  </w:pPr>
                  <w:r w:rsidRPr="003130B8">
                    <w:rPr>
                      <w:sz w:val="20"/>
                      <w:szCs w:val="20"/>
                    </w:rPr>
                    <w:t>54</w:t>
                  </w:r>
                </w:p>
              </w:tc>
              <w:tc>
                <w:tcPr>
                  <w:tcW w:w="1701" w:type="dxa"/>
                  <w:tcBorders>
                    <w:top w:val="nil"/>
                    <w:left w:val="nil"/>
                    <w:bottom w:val="single" w:color="auto" w:sz="8" w:space="0"/>
                    <w:right w:val="single" w:color="auto" w:sz="8" w:space="0"/>
                  </w:tcBorders>
                  <w:shd w:val="clear" w:color="auto" w:fill="auto"/>
                  <w:noWrap/>
                  <w:vAlign w:val="center"/>
                  <w:hideMark/>
                </w:tcPr>
                <w:p w:rsidRPr="003130B8" w:rsidR="00C9147B" w:rsidP="005F0B88" w:rsidRDefault="00C9147B" w14:paraId="1565F991" w14:textId="77777777">
                  <w:pPr>
                    <w:framePr w:hSpace="180" w:wrap="around" w:hAnchor="margin" w:vAnchor="text" w:xAlign="center" w:y="149"/>
                    <w:jc w:val="center"/>
                    <w:rPr>
                      <w:sz w:val="20"/>
                      <w:szCs w:val="20"/>
                    </w:rPr>
                  </w:pPr>
                  <w:r w:rsidRPr="003130B8">
                    <w:rPr>
                      <w:sz w:val="20"/>
                      <w:szCs w:val="20"/>
                    </w:rPr>
                    <w:t>18</w:t>
                  </w:r>
                </w:p>
              </w:tc>
            </w:tr>
            <w:tr w:rsidRPr="003130B8" w:rsidR="00C9147B" w:rsidTr="00BF3E0E" w14:paraId="7F52BFF7" w14:textId="77777777">
              <w:trPr>
                <w:trHeight w:val="315"/>
              </w:trPr>
              <w:tc>
                <w:tcPr>
                  <w:tcW w:w="2396" w:type="dxa"/>
                  <w:tcBorders>
                    <w:top w:val="nil"/>
                    <w:left w:val="single" w:color="auto" w:sz="8" w:space="0"/>
                    <w:bottom w:val="single" w:color="auto" w:sz="8" w:space="0"/>
                    <w:right w:val="single" w:color="auto" w:sz="8" w:space="0"/>
                  </w:tcBorders>
                  <w:shd w:val="clear" w:color="auto" w:fill="auto"/>
                  <w:noWrap/>
                  <w:vAlign w:val="center"/>
                  <w:hideMark/>
                </w:tcPr>
                <w:p w:rsidRPr="003130B8" w:rsidR="00C9147B" w:rsidP="005F0B88" w:rsidRDefault="00C9147B" w14:paraId="728E6127" w14:textId="77777777">
                  <w:pPr>
                    <w:framePr w:hSpace="180" w:wrap="around" w:hAnchor="margin" w:vAnchor="text" w:xAlign="center" w:y="149"/>
                    <w:rPr>
                      <w:color w:val="000000"/>
                      <w:sz w:val="20"/>
                      <w:szCs w:val="20"/>
                    </w:rPr>
                  </w:pPr>
                  <w:r w:rsidRPr="003130B8">
                    <w:rPr>
                      <w:color w:val="000000"/>
                      <w:sz w:val="20"/>
                      <w:szCs w:val="20"/>
                    </w:rPr>
                    <w:t>Privāto personu īpašumi</w:t>
                  </w:r>
                </w:p>
              </w:tc>
              <w:tc>
                <w:tcPr>
                  <w:tcW w:w="989" w:type="dxa"/>
                  <w:tcBorders>
                    <w:top w:val="nil"/>
                    <w:left w:val="nil"/>
                    <w:bottom w:val="single" w:color="auto" w:sz="8" w:space="0"/>
                    <w:right w:val="single" w:color="auto" w:sz="8" w:space="0"/>
                  </w:tcBorders>
                  <w:shd w:val="clear" w:color="auto" w:fill="auto"/>
                  <w:noWrap/>
                  <w:vAlign w:val="center"/>
                  <w:hideMark/>
                </w:tcPr>
                <w:p w:rsidRPr="003130B8" w:rsidR="00C9147B" w:rsidP="005F0B88" w:rsidRDefault="00C9147B" w14:paraId="5B3208B5" w14:textId="77777777">
                  <w:pPr>
                    <w:framePr w:hSpace="180" w:wrap="around" w:hAnchor="margin" w:vAnchor="text" w:xAlign="center" w:y="149"/>
                    <w:jc w:val="center"/>
                    <w:rPr>
                      <w:sz w:val="20"/>
                      <w:szCs w:val="20"/>
                    </w:rPr>
                  </w:pPr>
                  <w:r w:rsidRPr="003130B8">
                    <w:rPr>
                      <w:sz w:val="20"/>
                      <w:szCs w:val="20"/>
                    </w:rPr>
                    <w:t>0</w:t>
                  </w:r>
                </w:p>
              </w:tc>
              <w:tc>
                <w:tcPr>
                  <w:tcW w:w="854" w:type="dxa"/>
                  <w:tcBorders>
                    <w:top w:val="nil"/>
                    <w:left w:val="nil"/>
                    <w:bottom w:val="single" w:color="auto" w:sz="8" w:space="0"/>
                    <w:right w:val="single" w:color="auto" w:sz="8" w:space="0"/>
                  </w:tcBorders>
                  <w:shd w:val="clear" w:color="auto" w:fill="auto"/>
                  <w:noWrap/>
                  <w:vAlign w:val="center"/>
                  <w:hideMark/>
                </w:tcPr>
                <w:p w:rsidRPr="003130B8" w:rsidR="00C9147B" w:rsidP="005F0B88" w:rsidRDefault="00C9147B" w14:paraId="2984E531" w14:textId="77777777">
                  <w:pPr>
                    <w:framePr w:hSpace="180" w:wrap="around" w:hAnchor="margin" w:vAnchor="text" w:xAlign="center" w:y="149"/>
                    <w:jc w:val="center"/>
                    <w:rPr>
                      <w:sz w:val="20"/>
                      <w:szCs w:val="20"/>
                    </w:rPr>
                  </w:pPr>
                  <w:r w:rsidRPr="003130B8">
                    <w:rPr>
                      <w:sz w:val="20"/>
                      <w:szCs w:val="20"/>
                    </w:rPr>
                    <w:t>45</w:t>
                  </w:r>
                </w:p>
              </w:tc>
              <w:tc>
                <w:tcPr>
                  <w:tcW w:w="1701" w:type="dxa"/>
                  <w:tcBorders>
                    <w:top w:val="nil"/>
                    <w:left w:val="nil"/>
                    <w:bottom w:val="single" w:color="auto" w:sz="8" w:space="0"/>
                    <w:right w:val="single" w:color="auto" w:sz="8" w:space="0"/>
                  </w:tcBorders>
                  <w:shd w:val="clear" w:color="auto" w:fill="auto"/>
                  <w:noWrap/>
                  <w:vAlign w:val="center"/>
                  <w:hideMark/>
                </w:tcPr>
                <w:p w:rsidRPr="003130B8" w:rsidR="00C9147B" w:rsidP="005F0B88" w:rsidRDefault="00C9147B" w14:paraId="6A594FAE" w14:textId="77777777">
                  <w:pPr>
                    <w:framePr w:hSpace="180" w:wrap="around" w:hAnchor="margin" w:vAnchor="text" w:xAlign="center" w:y="149"/>
                    <w:jc w:val="center"/>
                    <w:rPr>
                      <w:sz w:val="20"/>
                      <w:szCs w:val="20"/>
                    </w:rPr>
                  </w:pPr>
                  <w:r w:rsidRPr="003130B8">
                    <w:rPr>
                      <w:sz w:val="20"/>
                      <w:szCs w:val="20"/>
                    </w:rPr>
                    <w:t>38</w:t>
                  </w:r>
                </w:p>
              </w:tc>
            </w:tr>
            <w:tr w:rsidRPr="003130B8" w:rsidR="00C9147B" w:rsidTr="00BF3E0E" w14:paraId="7A6AC2EC" w14:textId="77777777">
              <w:trPr>
                <w:trHeight w:val="315"/>
              </w:trPr>
              <w:tc>
                <w:tcPr>
                  <w:tcW w:w="2396" w:type="dxa"/>
                  <w:tcBorders>
                    <w:top w:val="nil"/>
                    <w:left w:val="single" w:color="auto" w:sz="8" w:space="0"/>
                    <w:bottom w:val="single" w:color="auto" w:sz="8" w:space="0"/>
                    <w:right w:val="single" w:color="auto" w:sz="8" w:space="0"/>
                  </w:tcBorders>
                  <w:shd w:val="clear" w:color="auto" w:fill="auto"/>
                  <w:noWrap/>
                  <w:vAlign w:val="center"/>
                  <w:hideMark/>
                </w:tcPr>
                <w:p w:rsidRPr="003130B8" w:rsidR="00C9147B" w:rsidP="005F0B88" w:rsidRDefault="00C9147B" w14:paraId="249B6D4E" w14:textId="77777777">
                  <w:pPr>
                    <w:framePr w:hSpace="180" w:wrap="around" w:hAnchor="margin" w:vAnchor="text" w:xAlign="center" w:y="149"/>
                    <w:rPr>
                      <w:color w:val="000000"/>
                      <w:sz w:val="20"/>
                      <w:szCs w:val="20"/>
                    </w:rPr>
                  </w:pPr>
                  <w:r w:rsidRPr="003130B8">
                    <w:rPr>
                      <w:color w:val="000000"/>
                      <w:sz w:val="20"/>
                      <w:szCs w:val="20"/>
                    </w:rPr>
                    <w:t>Īpašumi kopā, gadā</w:t>
                  </w:r>
                </w:p>
              </w:tc>
              <w:tc>
                <w:tcPr>
                  <w:tcW w:w="989" w:type="dxa"/>
                  <w:tcBorders>
                    <w:top w:val="nil"/>
                    <w:left w:val="nil"/>
                    <w:bottom w:val="single" w:color="auto" w:sz="8" w:space="0"/>
                    <w:right w:val="single" w:color="auto" w:sz="8" w:space="0"/>
                  </w:tcBorders>
                  <w:shd w:val="clear" w:color="auto" w:fill="auto"/>
                  <w:noWrap/>
                  <w:vAlign w:val="center"/>
                  <w:hideMark/>
                </w:tcPr>
                <w:p w:rsidRPr="003130B8" w:rsidR="00C9147B" w:rsidP="005F0B88" w:rsidRDefault="00C9147B" w14:paraId="79BD0580" w14:textId="77777777">
                  <w:pPr>
                    <w:framePr w:hSpace="180" w:wrap="around" w:hAnchor="margin" w:vAnchor="text" w:xAlign="center" w:y="149"/>
                    <w:jc w:val="center"/>
                    <w:rPr>
                      <w:sz w:val="20"/>
                      <w:szCs w:val="20"/>
                    </w:rPr>
                  </w:pPr>
                  <w:r w:rsidRPr="003130B8">
                    <w:rPr>
                      <w:sz w:val="20"/>
                      <w:szCs w:val="20"/>
                    </w:rPr>
                    <w:t>2</w:t>
                  </w:r>
                </w:p>
              </w:tc>
              <w:tc>
                <w:tcPr>
                  <w:tcW w:w="854" w:type="dxa"/>
                  <w:tcBorders>
                    <w:top w:val="nil"/>
                    <w:left w:val="nil"/>
                    <w:bottom w:val="single" w:color="auto" w:sz="8" w:space="0"/>
                    <w:right w:val="single" w:color="auto" w:sz="8" w:space="0"/>
                  </w:tcBorders>
                  <w:shd w:val="clear" w:color="auto" w:fill="auto"/>
                  <w:noWrap/>
                  <w:vAlign w:val="center"/>
                  <w:hideMark/>
                </w:tcPr>
                <w:p w:rsidRPr="003130B8" w:rsidR="00C9147B" w:rsidP="005F0B88" w:rsidRDefault="00C9147B" w14:paraId="6388FA3B" w14:textId="77777777">
                  <w:pPr>
                    <w:framePr w:hSpace="180" w:wrap="around" w:hAnchor="margin" w:vAnchor="text" w:xAlign="center" w:y="149"/>
                    <w:jc w:val="center"/>
                    <w:rPr>
                      <w:sz w:val="20"/>
                      <w:szCs w:val="20"/>
                    </w:rPr>
                  </w:pPr>
                  <w:r w:rsidRPr="003130B8">
                    <w:rPr>
                      <w:sz w:val="20"/>
                      <w:szCs w:val="20"/>
                    </w:rPr>
                    <w:t>99</w:t>
                  </w:r>
                </w:p>
              </w:tc>
              <w:tc>
                <w:tcPr>
                  <w:tcW w:w="1701" w:type="dxa"/>
                  <w:tcBorders>
                    <w:top w:val="nil"/>
                    <w:left w:val="nil"/>
                    <w:bottom w:val="single" w:color="auto" w:sz="8" w:space="0"/>
                    <w:right w:val="single" w:color="auto" w:sz="8" w:space="0"/>
                  </w:tcBorders>
                  <w:shd w:val="clear" w:color="auto" w:fill="auto"/>
                  <w:noWrap/>
                  <w:vAlign w:val="center"/>
                  <w:hideMark/>
                </w:tcPr>
                <w:p w:rsidRPr="003130B8" w:rsidR="00C9147B" w:rsidP="005F0B88" w:rsidRDefault="00C9147B" w14:paraId="18F497A8" w14:textId="77777777">
                  <w:pPr>
                    <w:framePr w:hSpace="180" w:wrap="around" w:hAnchor="margin" w:vAnchor="text" w:xAlign="center" w:y="149"/>
                    <w:jc w:val="center"/>
                    <w:rPr>
                      <w:sz w:val="20"/>
                      <w:szCs w:val="20"/>
                    </w:rPr>
                  </w:pPr>
                  <w:r w:rsidRPr="003130B8">
                    <w:rPr>
                      <w:sz w:val="20"/>
                      <w:szCs w:val="20"/>
                    </w:rPr>
                    <w:t>56</w:t>
                  </w:r>
                </w:p>
              </w:tc>
            </w:tr>
            <w:tr w:rsidRPr="003130B8" w:rsidR="00C9147B" w:rsidTr="00BF3E0E" w14:paraId="79599E2F" w14:textId="77777777">
              <w:trPr>
                <w:trHeight w:val="315"/>
              </w:trPr>
              <w:tc>
                <w:tcPr>
                  <w:tcW w:w="2396" w:type="dxa"/>
                  <w:tcBorders>
                    <w:top w:val="nil"/>
                    <w:left w:val="single" w:color="auto" w:sz="8" w:space="0"/>
                    <w:bottom w:val="single" w:color="auto" w:sz="8" w:space="0"/>
                    <w:right w:val="single" w:color="auto" w:sz="8" w:space="0"/>
                  </w:tcBorders>
                  <w:shd w:val="clear" w:color="auto" w:fill="auto"/>
                  <w:noWrap/>
                  <w:vAlign w:val="center"/>
                  <w:hideMark/>
                </w:tcPr>
                <w:p w:rsidRPr="003130B8" w:rsidR="00C9147B" w:rsidP="005F0B88" w:rsidRDefault="00C9147B" w14:paraId="6CC4CF18" w14:textId="77777777">
                  <w:pPr>
                    <w:framePr w:hSpace="180" w:wrap="around" w:hAnchor="margin" w:vAnchor="text" w:xAlign="center" w:y="149"/>
                    <w:rPr>
                      <w:color w:val="000000"/>
                      <w:sz w:val="20"/>
                      <w:szCs w:val="20"/>
                    </w:rPr>
                  </w:pPr>
                  <w:r w:rsidRPr="003130B8">
                    <w:rPr>
                      <w:color w:val="000000"/>
                      <w:sz w:val="20"/>
                      <w:szCs w:val="20"/>
                    </w:rPr>
                    <w:t>Īpašumi kopā, kumulatīvi</w:t>
                  </w:r>
                </w:p>
              </w:tc>
              <w:tc>
                <w:tcPr>
                  <w:tcW w:w="989" w:type="dxa"/>
                  <w:tcBorders>
                    <w:top w:val="nil"/>
                    <w:left w:val="nil"/>
                    <w:bottom w:val="single" w:color="auto" w:sz="8" w:space="0"/>
                    <w:right w:val="single" w:color="auto" w:sz="8" w:space="0"/>
                  </w:tcBorders>
                  <w:shd w:val="clear" w:color="auto" w:fill="auto"/>
                  <w:noWrap/>
                  <w:vAlign w:val="center"/>
                  <w:hideMark/>
                </w:tcPr>
                <w:p w:rsidRPr="003130B8" w:rsidR="00C9147B" w:rsidP="005F0B88" w:rsidRDefault="00C9147B" w14:paraId="5549B332" w14:textId="77777777">
                  <w:pPr>
                    <w:framePr w:hSpace="180" w:wrap="around" w:hAnchor="margin" w:vAnchor="text" w:xAlign="center" w:y="149"/>
                    <w:jc w:val="center"/>
                    <w:rPr>
                      <w:sz w:val="20"/>
                      <w:szCs w:val="20"/>
                    </w:rPr>
                  </w:pPr>
                  <w:r w:rsidRPr="003130B8">
                    <w:rPr>
                      <w:sz w:val="20"/>
                      <w:szCs w:val="20"/>
                    </w:rPr>
                    <w:t>2</w:t>
                  </w:r>
                </w:p>
              </w:tc>
              <w:tc>
                <w:tcPr>
                  <w:tcW w:w="854" w:type="dxa"/>
                  <w:tcBorders>
                    <w:top w:val="nil"/>
                    <w:left w:val="nil"/>
                    <w:bottom w:val="single" w:color="auto" w:sz="8" w:space="0"/>
                    <w:right w:val="single" w:color="auto" w:sz="8" w:space="0"/>
                  </w:tcBorders>
                  <w:shd w:val="clear" w:color="auto" w:fill="auto"/>
                  <w:noWrap/>
                  <w:vAlign w:val="center"/>
                  <w:hideMark/>
                </w:tcPr>
                <w:p w:rsidRPr="003130B8" w:rsidR="00C9147B" w:rsidP="005F0B88" w:rsidRDefault="00C9147B" w14:paraId="076C592A" w14:textId="77777777">
                  <w:pPr>
                    <w:framePr w:hSpace="180" w:wrap="around" w:hAnchor="margin" w:vAnchor="text" w:xAlign="center" w:y="149"/>
                    <w:jc w:val="center"/>
                    <w:rPr>
                      <w:sz w:val="20"/>
                      <w:szCs w:val="20"/>
                    </w:rPr>
                  </w:pPr>
                  <w:r w:rsidRPr="003130B8">
                    <w:rPr>
                      <w:sz w:val="20"/>
                      <w:szCs w:val="20"/>
                    </w:rPr>
                    <w:t>101</w:t>
                  </w:r>
                </w:p>
              </w:tc>
              <w:tc>
                <w:tcPr>
                  <w:tcW w:w="1701" w:type="dxa"/>
                  <w:tcBorders>
                    <w:top w:val="nil"/>
                    <w:left w:val="nil"/>
                    <w:bottom w:val="single" w:color="auto" w:sz="8" w:space="0"/>
                    <w:right w:val="single" w:color="auto" w:sz="8" w:space="0"/>
                  </w:tcBorders>
                  <w:shd w:val="clear" w:color="auto" w:fill="auto"/>
                  <w:noWrap/>
                  <w:vAlign w:val="center"/>
                  <w:hideMark/>
                </w:tcPr>
                <w:p w:rsidRPr="003130B8" w:rsidR="00C9147B" w:rsidP="005F0B88" w:rsidRDefault="00C9147B" w14:paraId="62A5451F" w14:textId="77777777">
                  <w:pPr>
                    <w:framePr w:hSpace="180" w:wrap="around" w:hAnchor="margin" w:vAnchor="text" w:xAlign="center" w:y="149"/>
                    <w:jc w:val="center"/>
                    <w:rPr>
                      <w:sz w:val="20"/>
                      <w:szCs w:val="20"/>
                    </w:rPr>
                  </w:pPr>
                  <w:r w:rsidRPr="003130B8">
                    <w:rPr>
                      <w:sz w:val="20"/>
                      <w:szCs w:val="20"/>
                    </w:rPr>
                    <w:t>157</w:t>
                  </w:r>
                </w:p>
              </w:tc>
            </w:tr>
          </w:tbl>
          <w:p w:rsidRPr="003130B8" w:rsidR="00CB28C1" w:rsidP="004A1CE1" w:rsidRDefault="00C9147B" w14:paraId="4C191C34" w14:textId="44F58A52">
            <w:pPr>
              <w:tabs>
                <w:tab w:val="left" w:pos="240"/>
                <w:tab w:val="center" w:pos="2968"/>
              </w:tabs>
              <w:spacing w:before="120"/>
              <w:ind w:firstLine="282"/>
              <w:contextualSpacing/>
              <w:jc w:val="both"/>
            </w:pPr>
            <w:bookmarkStart w:name="_Hlk58229180" w:id="3"/>
            <w:bookmarkEnd w:id="2"/>
            <w:r w:rsidRPr="003130B8">
              <w:t>Līdz 2020.</w:t>
            </w:r>
            <w:r w:rsidRPr="003130B8" w:rsidR="00305CB7">
              <w:t> </w:t>
            </w:r>
            <w:r w:rsidRPr="003130B8">
              <w:t xml:space="preserve">gada beigām uz Ministrijas vārda Zemesgrāmatā tika reģistrēti 33 nekustamie īpašumi un 68 nekustamie īpašumi tika nodoti Ministrijas valdījumā, noslēdzot līgumus par lietošanas tiesību apgrūtināšanu vai līgumus par zemes lietošanu. </w:t>
            </w:r>
            <w:bookmarkEnd w:id="3"/>
            <w:r w:rsidRPr="003130B8">
              <w:t>2021.</w:t>
            </w:r>
            <w:r w:rsidRPr="003130B8" w:rsidR="00305CB7">
              <w:t> </w:t>
            </w:r>
            <w:r w:rsidRPr="003130B8">
              <w:t xml:space="preserve">gadā plānots atsavināt 56 nekustamos īpašumus un uzsākt 493 nekustamo īpašumu atsavināšanu. </w:t>
            </w:r>
            <w:r w:rsidRPr="00027341">
              <w:t xml:space="preserve">No nekustamā īpašuma atsavināšanas vai iegūšanas valdījumā brīža līdz tā nodošanai būvniecības uzņēmuma rīcībā Ministrijai ir </w:t>
            </w:r>
            <w:r w:rsidRPr="00027341" w:rsidR="0063684F">
              <w:t xml:space="preserve">pienākums </w:t>
            </w:r>
            <w:r w:rsidRPr="00027341">
              <w:t>apsaimniekot atsavinātos nekustamos īpašums, kā arī maksāt nekustamā īpašuma nodok</w:t>
            </w:r>
            <w:r w:rsidRPr="00027341" w:rsidR="009860B2">
              <w:t>li par tiem</w:t>
            </w:r>
            <w:r w:rsidRPr="00027341">
              <w:t>.</w:t>
            </w:r>
            <w:r w:rsidRPr="003130B8">
              <w:t xml:space="preserve"> </w:t>
            </w:r>
            <w:r w:rsidRPr="003130B8" w:rsidR="0063684F">
              <w:t>Prognozētās n</w:t>
            </w:r>
            <w:r w:rsidRPr="003130B8">
              <w:t>ekustamo īpašumu objektu apsaimniekošanas izmaksas 2021.</w:t>
            </w:r>
            <w:r w:rsidRPr="003130B8" w:rsidR="00305CB7">
              <w:t> </w:t>
            </w:r>
            <w:r w:rsidRPr="003130B8">
              <w:t xml:space="preserve">gadam ir balstītas uz vairākiem apsvērumiem: zemes un ēku apsaimniekošanas izmaksu aplēsēm, </w:t>
            </w:r>
            <w:r w:rsidRPr="003130B8" w:rsidR="0063684F">
              <w:t xml:space="preserve">nekustamā īpašuma </w:t>
            </w:r>
            <w:r w:rsidRPr="003130B8">
              <w:t>nodokļ</w:t>
            </w:r>
            <w:r w:rsidRPr="003130B8" w:rsidR="009860B2">
              <w:t>a</w:t>
            </w:r>
            <w:r w:rsidRPr="003130B8">
              <w:t xml:space="preserve"> </w:t>
            </w:r>
            <w:r w:rsidRPr="003130B8" w:rsidR="009860B2">
              <w:t>aprēķinu</w:t>
            </w:r>
            <w:r w:rsidRPr="003130B8">
              <w:t xml:space="preserve">, kā arī administrēšanas izmaksām viena darbinieka slodzes apjomā. Attiecīgais speciālists organizēs atsavināto nekustamo īpašumu apsaimniekošanu, </w:t>
            </w:r>
            <w:r w:rsidRPr="003130B8" w:rsidR="0063684F">
              <w:t xml:space="preserve">ar </w:t>
            </w:r>
            <w:r w:rsidRPr="003130B8">
              <w:t>nekustamo īpašumu apsaimniekošan</w:t>
            </w:r>
            <w:r w:rsidRPr="003130B8" w:rsidR="0063684F">
              <w:t>u saistītus</w:t>
            </w:r>
            <w:r w:rsidRPr="003130B8">
              <w:t xml:space="preserve"> iepirkumus un nodrošinās apsaimniekošanas darbu kvalitātes kontroli</w:t>
            </w:r>
            <w:r w:rsidRPr="003130B8" w:rsidR="00BC3DA5">
              <w:t xml:space="preserve">  kopš šī gada 1. janvāra</w:t>
            </w:r>
            <w:r w:rsidRPr="003130B8">
              <w:t>. Saskaņā ar MK 2003.</w:t>
            </w:r>
            <w:r w:rsidRPr="003130B8" w:rsidR="00305CB7">
              <w:t> </w:t>
            </w:r>
            <w:r w:rsidRPr="003130B8">
              <w:t>gada 29.</w:t>
            </w:r>
            <w:r w:rsidRPr="003130B8" w:rsidR="00305CB7">
              <w:t> </w:t>
            </w:r>
            <w:r w:rsidRPr="003130B8">
              <w:t>aprīļa noteikumu Nr.</w:t>
            </w:r>
            <w:r w:rsidRPr="003130B8" w:rsidR="00305CB7">
              <w:t> </w:t>
            </w:r>
            <w:r w:rsidRPr="003130B8">
              <w:t xml:space="preserve">242 </w:t>
            </w:r>
            <w:r w:rsidRPr="003130B8" w:rsidR="00305CB7">
              <w:t>"</w:t>
            </w:r>
            <w:r w:rsidRPr="003130B8">
              <w:t>Satiksmes ministrijas nolikums</w:t>
            </w:r>
            <w:r w:rsidRPr="003130B8" w:rsidR="00305CB7">
              <w:t>"</w:t>
            </w:r>
            <w:r w:rsidRPr="003130B8">
              <w:t xml:space="preserve"> 5.25</w:t>
            </w:r>
            <w:r w:rsidRPr="003130B8" w:rsidR="00305CB7">
              <w:t>. </w:t>
            </w:r>
            <w:r w:rsidRPr="003130B8">
              <w:t xml:space="preserve">apakšpunktu Ministrija koordinē Rail Baltica valsts publiskās lietošanas dzelzceļa infrastruktūras projekta īstenošanu līdz projekta realizācijai un, noslēdzot deleģēšanas līgumus ar SIA </w:t>
            </w:r>
            <w:r w:rsidRPr="003130B8" w:rsidR="00305CB7">
              <w:t>"</w:t>
            </w:r>
            <w:r w:rsidRPr="003130B8">
              <w:t>Eiropas dzelzceļa līnijas</w:t>
            </w:r>
            <w:r w:rsidRPr="003130B8" w:rsidR="00305CB7">
              <w:t>"</w:t>
            </w:r>
            <w:r w:rsidRPr="003130B8">
              <w:t xml:space="preserve"> (turpmāk </w:t>
            </w:r>
            <w:r w:rsidRPr="003130B8" w:rsidR="00305CB7">
              <w:t>–</w:t>
            </w:r>
            <w:r w:rsidRPr="003130B8">
              <w:t xml:space="preserve"> </w:t>
            </w:r>
            <w:proofErr w:type="spellStart"/>
            <w:r w:rsidRPr="003130B8">
              <w:t>EDzL</w:t>
            </w:r>
            <w:proofErr w:type="spellEnd"/>
            <w:r w:rsidRPr="003130B8">
              <w:t xml:space="preserve">) un AS </w:t>
            </w:r>
            <w:r w:rsidRPr="003130B8" w:rsidR="00305CB7">
              <w:t>"</w:t>
            </w:r>
            <w:r w:rsidRPr="003130B8">
              <w:t>RB Rail</w:t>
            </w:r>
            <w:r w:rsidRPr="003130B8" w:rsidR="00305CB7">
              <w:t>"</w:t>
            </w:r>
            <w:r w:rsidRPr="003130B8">
              <w:t xml:space="preserve">, deleģē tām organizēt infrastruktūras objekta izveidi. Līdz ar to Ministrija pēc MK lēmuma par finansējumu pieņemšanas nekustamo īpašumu apsaimniekošanu deleģēs  </w:t>
            </w:r>
            <w:proofErr w:type="spellStart"/>
            <w:r w:rsidRPr="003130B8">
              <w:t>EDzL</w:t>
            </w:r>
            <w:proofErr w:type="spellEnd"/>
            <w:r w:rsidRPr="003130B8">
              <w:t xml:space="preserve">, ietverot atbilstošus pienākumus, tiesības un kontroles mehānismus starp Ministriju un </w:t>
            </w:r>
            <w:proofErr w:type="spellStart"/>
            <w:r w:rsidRPr="003130B8">
              <w:t>EDzL</w:t>
            </w:r>
            <w:proofErr w:type="spellEnd"/>
            <w:r w:rsidRPr="003130B8">
              <w:t xml:space="preserve"> noslēgtajā deleģēšanas līgumā. Atalgojuma līmeni nekustamo īpašumu apsaimniekošanas speciālistam nosaka </w:t>
            </w:r>
            <w:proofErr w:type="spellStart"/>
            <w:r w:rsidRPr="003130B8">
              <w:t>ED</w:t>
            </w:r>
            <w:r w:rsidRPr="003130B8" w:rsidR="00CB28C1">
              <w:t>z</w:t>
            </w:r>
            <w:r w:rsidRPr="003130B8">
              <w:t>L</w:t>
            </w:r>
            <w:proofErr w:type="spellEnd"/>
            <w:r w:rsidRPr="003130B8">
              <w:t xml:space="preserve"> </w:t>
            </w:r>
            <w:r w:rsidRPr="003130B8" w:rsidR="00305CB7">
              <w:t>"</w:t>
            </w:r>
            <w:r w:rsidRPr="003130B8">
              <w:t>Darba samaksas noteikšanas noteikumi</w:t>
            </w:r>
            <w:r w:rsidRPr="003130B8" w:rsidR="00305CB7">
              <w:t>"</w:t>
            </w:r>
            <w:r w:rsidRPr="003130B8">
              <w:t xml:space="preserve"> (turpmāk – samaksas noteikumi). Provizoriskajiem aprēķiniem tiek izmantota attiecīgā speciālista maksimālā iespējamā likme saskaņā ar samaksas noteikumiem, taču </w:t>
            </w:r>
            <w:r w:rsidRPr="003130B8" w:rsidR="00CB28C1">
              <w:t>faktiskais atalgojums var</w:t>
            </w:r>
            <w:r w:rsidRPr="003130B8">
              <w:t xml:space="preserve"> būt mazāk</w:t>
            </w:r>
            <w:r w:rsidRPr="003130B8" w:rsidR="00CB28C1">
              <w:t>s</w:t>
            </w:r>
            <w:r w:rsidRPr="003130B8">
              <w:t xml:space="preserve"> atkarībā no amata kategorijas un speciālista kvalifikācijas. </w:t>
            </w:r>
          </w:p>
          <w:p w:rsidRPr="003130B8" w:rsidR="00C9147B" w:rsidP="00CB28C1" w:rsidRDefault="00C9147B" w14:paraId="1700020C" w14:textId="11A39ACA">
            <w:pPr>
              <w:spacing w:after="120"/>
            </w:pPr>
            <w:r w:rsidRPr="003130B8">
              <w:t>Apsaimniekošanas izmaksu aplēses ir apkopotas tabulā</w:t>
            </w:r>
            <w:r w:rsidRPr="003130B8" w:rsidR="00B55D3B">
              <w:t>:</w:t>
            </w:r>
          </w:p>
          <w:p w:rsidRPr="003130B8" w:rsidR="00810D6B" w:rsidP="00C85D02" w:rsidRDefault="00C9147B" w14:paraId="60228216" w14:textId="6CFB5E94">
            <w:pPr>
              <w:tabs>
                <w:tab w:val="left" w:pos="993"/>
              </w:tabs>
              <w:contextualSpacing/>
              <w:jc w:val="center"/>
              <w:rPr>
                <w:b/>
                <w:bCs/>
                <w:i/>
                <w:iCs/>
                <w:sz w:val="22"/>
                <w:szCs w:val="22"/>
              </w:rPr>
            </w:pPr>
            <w:r w:rsidRPr="003130B8">
              <w:rPr>
                <w:b/>
                <w:bCs/>
                <w:sz w:val="22"/>
                <w:szCs w:val="22"/>
              </w:rPr>
              <w:t>Nekustamo īpašuma apsaimniekošanas provizoriskās izmaksas 202</w:t>
            </w:r>
            <w:r w:rsidRPr="003130B8" w:rsidR="0002249F">
              <w:rPr>
                <w:b/>
                <w:bCs/>
                <w:sz w:val="22"/>
                <w:szCs w:val="22"/>
              </w:rPr>
              <w:t>1</w:t>
            </w:r>
            <w:r w:rsidRPr="003130B8">
              <w:rPr>
                <w:b/>
                <w:bCs/>
                <w:sz w:val="22"/>
                <w:szCs w:val="22"/>
              </w:rPr>
              <w:t>.</w:t>
            </w:r>
            <w:r w:rsidRPr="003130B8" w:rsidR="00305CB7">
              <w:rPr>
                <w:b/>
                <w:bCs/>
                <w:sz w:val="22"/>
                <w:szCs w:val="22"/>
              </w:rPr>
              <w:t> </w:t>
            </w:r>
            <w:r w:rsidRPr="003130B8">
              <w:rPr>
                <w:b/>
                <w:bCs/>
                <w:sz w:val="22"/>
                <w:szCs w:val="22"/>
              </w:rPr>
              <w:t xml:space="preserve">gadā, </w:t>
            </w:r>
            <w:proofErr w:type="spellStart"/>
            <w:r w:rsidRPr="003130B8">
              <w:rPr>
                <w:b/>
                <w:bCs/>
                <w:i/>
                <w:iCs/>
                <w:sz w:val="22"/>
                <w:szCs w:val="22"/>
              </w:rPr>
              <w:t>euro</w:t>
            </w:r>
            <w:proofErr w:type="spellEnd"/>
          </w:p>
          <w:tbl>
            <w:tblPr>
              <w:tblStyle w:val="TableGrid"/>
              <w:tblW w:w="5243" w:type="dxa"/>
              <w:tblLayout w:type="fixed"/>
              <w:tblLook w:val="04A0" w:firstRow="1" w:lastRow="0" w:firstColumn="1" w:lastColumn="0" w:noHBand="0" w:noVBand="1"/>
            </w:tblPr>
            <w:tblGrid>
              <w:gridCol w:w="3684"/>
              <w:gridCol w:w="1559"/>
            </w:tblGrid>
            <w:tr w:rsidRPr="003130B8" w:rsidR="00C16D79" w:rsidTr="00921B43" w14:paraId="5FB44022" w14:textId="77777777">
              <w:trPr>
                <w:trHeight w:val="300"/>
              </w:trPr>
              <w:tc>
                <w:tcPr>
                  <w:tcW w:w="3684" w:type="dxa"/>
                  <w:noWrap/>
                  <w:vAlign w:val="center"/>
                  <w:hideMark/>
                </w:tcPr>
                <w:p w:rsidRPr="003130B8" w:rsidR="00C16D79" w:rsidP="005F0B88" w:rsidRDefault="00C16D79" w14:paraId="26BDA1C9" w14:textId="51DB6AA2">
                  <w:pPr>
                    <w:framePr w:hSpace="180" w:wrap="around" w:hAnchor="margin" w:vAnchor="text" w:xAlign="center" w:y="149"/>
                    <w:tabs>
                      <w:tab w:val="left" w:pos="993"/>
                    </w:tabs>
                    <w:spacing w:after="120"/>
                    <w:contextualSpacing/>
                    <w:rPr>
                      <w:b/>
                      <w:sz w:val="20"/>
                      <w:szCs w:val="20"/>
                    </w:rPr>
                  </w:pPr>
                  <w:r w:rsidRPr="003130B8">
                    <w:rPr>
                      <w:b/>
                      <w:bCs/>
                      <w:sz w:val="20"/>
                      <w:szCs w:val="20"/>
                    </w:rPr>
                    <w:t>Izmaksu veids</w:t>
                  </w:r>
                </w:p>
              </w:tc>
              <w:tc>
                <w:tcPr>
                  <w:tcW w:w="1559" w:type="dxa"/>
                  <w:noWrap/>
                  <w:vAlign w:val="center"/>
                  <w:hideMark/>
                </w:tcPr>
                <w:p w:rsidRPr="003130B8" w:rsidR="00C16D79" w:rsidP="005F0B88" w:rsidRDefault="00C16D79" w14:paraId="53F456D6" w14:textId="422DF22A">
                  <w:pPr>
                    <w:framePr w:hSpace="180" w:wrap="around" w:hAnchor="margin" w:vAnchor="text" w:xAlign="center" w:y="149"/>
                    <w:tabs>
                      <w:tab w:val="left" w:pos="993"/>
                    </w:tabs>
                    <w:spacing w:after="120"/>
                    <w:contextualSpacing/>
                    <w:jc w:val="center"/>
                    <w:rPr>
                      <w:b/>
                      <w:sz w:val="20"/>
                      <w:szCs w:val="20"/>
                    </w:rPr>
                  </w:pPr>
                  <w:r w:rsidRPr="003130B8">
                    <w:rPr>
                      <w:b/>
                      <w:bCs/>
                      <w:sz w:val="20"/>
                      <w:szCs w:val="20"/>
                    </w:rPr>
                    <w:t>2021 prognoze</w:t>
                  </w:r>
                </w:p>
              </w:tc>
            </w:tr>
            <w:tr w:rsidRPr="003130B8" w:rsidR="00C16D79" w:rsidTr="00921B43" w14:paraId="17B7C08C" w14:textId="77777777">
              <w:trPr>
                <w:trHeight w:val="300"/>
              </w:trPr>
              <w:tc>
                <w:tcPr>
                  <w:tcW w:w="3684" w:type="dxa"/>
                  <w:noWrap/>
                  <w:vAlign w:val="center"/>
                </w:tcPr>
                <w:p w:rsidRPr="003130B8" w:rsidR="00C16D79" w:rsidP="005F0B88" w:rsidRDefault="00C16D79" w14:paraId="210D43E0" w14:textId="77B00893">
                  <w:pPr>
                    <w:framePr w:hSpace="180" w:wrap="around" w:hAnchor="margin" w:vAnchor="text" w:xAlign="center" w:y="149"/>
                    <w:tabs>
                      <w:tab w:val="left" w:pos="993"/>
                    </w:tabs>
                    <w:spacing w:after="120"/>
                    <w:contextualSpacing/>
                    <w:rPr>
                      <w:bCs/>
                      <w:sz w:val="20"/>
                      <w:szCs w:val="20"/>
                    </w:rPr>
                  </w:pPr>
                  <w:r w:rsidRPr="003130B8">
                    <w:rPr>
                      <w:color w:val="000000"/>
                      <w:sz w:val="20"/>
                      <w:szCs w:val="20"/>
                    </w:rPr>
                    <w:lastRenderedPageBreak/>
                    <w:t>No privātpersonām atsavināto zemju apsaimniekošana</w:t>
                  </w:r>
                </w:p>
              </w:tc>
              <w:tc>
                <w:tcPr>
                  <w:tcW w:w="1559" w:type="dxa"/>
                  <w:noWrap/>
                  <w:vAlign w:val="center"/>
                </w:tcPr>
                <w:p w:rsidRPr="003130B8" w:rsidR="00C16D79" w:rsidP="005F0B88" w:rsidRDefault="00C16D79" w14:paraId="14F1B4F4" w14:textId="3745EF02">
                  <w:pPr>
                    <w:framePr w:hSpace="180" w:wrap="around" w:hAnchor="margin" w:vAnchor="text" w:xAlign="center" w:y="149"/>
                    <w:tabs>
                      <w:tab w:val="left" w:pos="993"/>
                    </w:tabs>
                    <w:spacing w:after="120"/>
                    <w:contextualSpacing/>
                    <w:jc w:val="center"/>
                    <w:rPr>
                      <w:color w:val="000000"/>
                      <w:sz w:val="20"/>
                      <w:szCs w:val="20"/>
                    </w:rPr>
                  </w:pPr>
                  <w:r w:rsidRPr="003130B8">
                    <w:rPr>
                      <w:color w:val="000000"/>
                      <w:sz w:val="20"/>
                      <w:szCs w:val="20"/>
                    </w:rPr>
                    <w:t>56 534</w:t>
                  </w:r>
                </w:p>
              </w:tc>
            </w:tr>
            <w:tr w:rsidRPr="003130B8" w:rsidR="00C16D79" w:rsidTr="00921B43" w14:paraId="7403165C" w14:textId="77777777">
              <w:trPr>
                <w:trHeight w:val="300"/>
              </w:trPr>
              <w:tc>
                <w:tcPr>
                  <w:tcW w:w="3684" w:type="dxa"/>
                  <w:noWrap/>
                  <w:vAlign w:val="center"/>
                  <w:hideMark/>
                </w:tcPr>
                <w:p w:rsidRPr="003130B8" w:rsidR="00C16D79" w:rsidP="005F0B88" w:rsidRDefault="00C16D79" w14:paraId="7F626E68" w14:textId="10EEE018">
                  <w:pPr>
                    <w:framePr w:hSpace="180" w:wrap="around" w:hAnchor="margin" w:vAnchor="text" w:xAlign="center" w:y="149"/>
                    <w:tabs>
                      <w:tab w:val="left" w:pos="993"/>
                    </w:tabs>
                    <w:spacing w:after="120"/>
                    <w:contextualSpacing/>
                    <w:rPr>
                      <w:bCs/>
                      <w:sz w:val="20"/>
                      <w:szCs w:val="20"/>
                    </w:rPr>
                  </w:pPr>
                  <w:r w:rsidRPr="003130B8">
                    <w:rPr>
                      <w:color w:val="000000"/>
                      <w:sz w:val="20"/>
                      <w:szCs w:val="20"/>
                    </w:rPr>
                    <w:t>No publiskām personām atsavināto zemju  apsaimniekošana</w:t>
                  </w:r>
                </w:p>
              </w:tc>
              <w:tc>
                <w:tcPr>
                  <w:tcW w:w="1559" w:type="dxa"/>
                  <w:noWrap/>
                  <w:vAlign w:val="center"/>
                  <w:hideMark/>
                </w:tcPr>
                <w:p w:rsidRPr="003130B8" w:rsidR="00C16D79" w:rsidP="005F0B88" w:rsidRDefault="00C16D79" w14:paraId="7E328AC8" w14:textId="3717AD52">
                  <w:pPr>
                    <w:framePr w:hSpace="180" w:wrap="around" w:hAnchor="margin" w:vAnchor="text" w:xAlign="center" w:y="149"/>
                    <w:tabs>
                      <w:tab w:val="left" w:pos="993"/>
                    </w:tabs>
                    <w:spacing w:after="120"/>
                    <w:contextualSpacing/>
                    <w:jc w:val="center"/>
                    <w:rPr>
                      <w:bCs/>
                      <w:sz w:val="20"/>
                      <w:szCs w:val="20"/>
                    </w:rPr>
                  </w:pPr>
                  <w:r w:rsidRPr="003130B8">
                    <w:rPr>
                      <w:color w:val="000000"/>
                      <w:sz w:val="20"/>
                      <w:szCs w:val="20"/>
                    </w:rPr>
                    <w:t>71 746</w:t>
                  </w:r>
                </w:p>
              </w:tc>
            </w:tr>
            <w:tr w:rsidRPr="003130B8" w:rsidR="00C16D79" w:rsidTr="00921B43" w14:paraId="22F31F7F" w14:textId="77777777">
              <w:trPr>
                <w:trHeight w:val="300"/>
              </w:trPr>
              <w:tc>
                <w:tcPr>
                  <w:tcW w:w="3684" w:type="dxa"/>
                  <w:noWrap/>
                  <w:vAlign w:val="center"/>
                  <w:hideMark/>
                </w:tcPr>
                <w:p w:rsidRPr="003130B8" w:rsidR="00C16D79" w:rsidP="005F0B88" w:rsidRDefault="00C16D79" w14:paraId="357DC36E" w14:textId="7AF9DE7D">
                  <w:pPr>
                    <w:framePr w:hSpace="180" w:wrap="around" w:hAnchor="margin" w:vAnchor="text" w:xAlign="center" w:y="149"/>
                    <w:tabs>
                      <w:tab w:val="left" w:pos="993"/>
                    </w:tabs>
                    <w:spacing w:after="120"/>
                    <w:contextualSpacing/>
                    <w:rPr>
                      <w:bCs/>
                      <w:sz w:val="20"/>
                      <w:szCs w:val="20"/>
                    </w:rPr>
                  </w:pPr>
                  <w:r w:rsidRPr="003130B8">
                    <w:rPr>
                      <w:color w:val="000000"/>
                      <w:sz w:val="20"/>
                      <w:szCs w:val="20"/>
                    </w:rPr>
                    <w:t>Ēku apsaimniekošana</w:t>
                  </w:r>
                </w:p>
              </w:tc>
              <w:tc>
                <w:tcPr>
                  <w:tcW w:w="1559" w:type="dxa"/>
                  <w:noWrap/>
                  <w:vAlign w:val="center"/>
                  <w:hideMark/>
                </w:tcPr>
                <w:p w:rsidRPr="003130B8" w:rsidR="00C16D79" w:rsidP="005F0B88" w:rsidRDefault="00C16D79" w14:paraId="34BF1E1D" w14:textId="5ED95B9E">
                  <w:pPr>
                    <w:framePr w:hSpace="180" w:wrap="around" w:hAnchor="margin" w:vAnchor="text" w:xAlign="center" w:y="149"/>
                    <w:tabs>
                      <w:tab w:val="left" w:pos="993"/>
                    </w:tabs>
                    <w:spacing w:after="120"/>
                    <w:contextualSpacing/>
                    <w:jc w:val="center"/>
                    <w:rPr>
                      <w:bCs/>
                      <w:sz w:val="20"/>
                      <w:szCs w:val="20"/>
                    </w:rPr>
                  </w:pPr>
                  <w:r w:rsidRPr="003130B8">
                    <w:rPr>
                      <w:color w:val="000000"/>
                      <w:sz w:val="20"/>
                      <w:szCs w:val="20"/>
                    </w:rPr>
                    <w:t>29 824</w:t>
                  </w:r>
                </w:p>
              </w:tc>
            </w:tr>
            <w:tr w:rsidRPr="003130B8" w:rsidR="00C16D79" w:rsidTr="00921B43" w14:paraId="406978BD" w14:textId="77777777">
              <w:trPr>
                <w:trHeight w:val="300"/>
              </w:trPr>
              <w:tc>
                <w:tcPr>
                  <w:tcW w:w="3684" w:type="dxa"/>
                  <w:noWrap/>
                  <w:vAlign w:val="center"/>
                  <w:hideMark/>
                </w:tcPr>
                <w:p w:rsidRPr="003130B8" w:rsidR="00C16D79" w:rsidP="005F0B88" w:rsidRDefault="00C16D79" w14:paraId="640C0042" w14:textId="539CA021">
                  <w:pPr>
                    <w:framePr w:hSpace="180" w:wrap="around" w:hAnchor="margin" w:vAnchor="text" w:xAlign="center" w:y="149"/>
                    <w:tabs>
                      <w:tab w:val="left" w:pos="993"/>
                    </w:tabs>
                    <w:spacing w:after="120"/>
                    <w:contextualSpacing/>
                    <w:rPr>
                      <w:bCs/>
                      <w:sz w:val="20"/>
                      <w:szCs w:val="20"/>
                    </w:rPr>
                  </w:pPr>
                  <w:r w:rsidRPr="003130B8">
                    <w:rPr>
                      <w:color w:val="000000"/>
                      <w:sz w:val="20"/>
                      <w:szCs w:val="20"/>
                    </w:rPr>
                    <w:t xml:space="preserve">Zemju nekustamā īpašuma nodoklis </w:t>
                  </w:r>
                </w:p>
              </w:tc>
              <w:tc>
                <w:tcPr>
                  <w:tcW w:w="1559" w:type="dxa"/>
                  <w:noWrap/>
                  <w:vAlign w:val="center"/>
                  <w:hideMark/>
                </w:tcPr>
                <w:p w:rsidRPr="003130B8" w:rsidR="00C16D79" w:rsidP="005F0B88" w:rsidRDefault="00C16D79" w14:paraId="3B72DBDD" w14:textId="3AB7E2C3">
                  <w:pPr>
                    <w:framePr w:hSpace="180" w:wrap="around" w:hAnchor="margin" w:vAnchor="text" w:xAlign="center" w:y="149"/>
                    <w:tabs>
                      <w:tab w:val="left" w:pos="993"/>
                    </w:tabs>
                    <w:spacing w:after="120"/>
                    <w:contextualSpacing/>
                    <w:jc w:val="center"/>
                    <w:rPr>
                      <w:bCs/>
                      <w:sz w:val="20"/>
                      <w:szCs w:val="20"/>
                    </w:rPr>
                  </w:pPr>
                  <w:r w:rsidRPr="003130B8">
                    <w:rPr>
                      <w:color w:val="000000"/>
                      <w:sz w:val="20"/>
                      <w:szCs w:val="20"/>
                    </w:rPr>
                    <w:t>4 267</w:t>
                  </w:r>
                </w:p>
              </w:tc>
            </w:tr>
            <w:tr w:rsidRPr="003130B8" w:rsidR="00C16D79" w:rsidTr="00921B43" w14:paraId="6FF1B84B" w14:textId="77777777">
              <w:trPr>
                <w:trHeight w:val="315"/>
              </w:trPr>
              <w:tc>
                <w:tcPr>
                  <w:tcW w:w="3684" w:type="dxa"/>
                  <w:noWrap/>
                  <w:vAlign w:val="center"/>
                  <w:hideMark/>
                </w:tcPr>
                <w:p w:rsidRPr="003130B8" w:rsidR="00C16D79" w:rsidP="005F0B88" w:rsidRDefault="00C16D79" w14:paraId="2949C121" w14:textId="3B832556">
                  <w:pPr>
                    <w:framePr w:hSpace="180" w:wrap="around" w:hAnchor="margin" w:vAnchor="text" w:xAlign="center" w:y="149"/>
                    <w:tabs>
                      <w:tab w:val="left" w:pos="993"/>
                    </w:tabs>
                    <w:spacing w:after="120"/>
                    <w:contextualSpacing/>
                    <w:rPr>
                      <w:bCs/>
                      <w:sz w:val="20"/>
                      <w:szCs w:val="20"/>
                    </w:rPr>
                  </w:pPr>
                  <w:r w:rsidRPr="003130B8">
                    <w:rPr>
                      <w:color w:val="000000"/>
                      <w:sz w:val="20"/>
                      <w:szCs w:val="20"/>
                    </w:rPr>
                    <w:t xml:space="preserve">Ēku nekustamā īpašuma nodoklis </w:t>
                  </w:r>
                </w:p>
              </w:tc>
              <w:tc>
                <w:tcPr>
                  <w:tcW w:w="1559" w:type="dxa"/>
                  <w:noWrap/>
                  <w:vAlign w:val="center"/>
                  <w:hideMark/>
                </w:tcPr>
                <w:p w:rsidRPr="003130B8" w:rsidR="00C16D79" w:rsidP="005F0B88" w:rsidRDefault="00C16D79" w14:paraId="0D82D9FF" w14:textId="313C2D8F">
                  <w:pPr>
                    <w:framePr w:hSpace="180" w:wrap="around" w:hAnchor="margin" w:vAnchor="text" w:xAlign="center" w:y="149"/>
                    <w:tabs>
                      <w:tab w:val="left" w:pos="993"/>
                    </w:tabs>
                    <w:spacing w:after="120"/>
                    <w:contextualSpacing/>
                    <w:jc w:val="center"/>
                    <w:rPr>
                      <w:bCs/>
                      <w:sz w:val="20"/>
                      <w:szCs w:val="20"/>
                    </w:rPr>
                  </w:pPr>
                  <w:r w:rsidRPr="003130B8">
                    <w:rPr>
                      <w:color w:val="000000"/>
                      <w:sz w:val="20"/>
                      <w:szCs w:val="20"/>
                    </w:rPr>
                    <w:t>6 266</w:t>
                  </w:r>
                </w:p>
              </w:tc>
            </w:tr>
            <w:tr w:rsidRPr="003130B8" w:rsidR="002B340B" w:rsidTr="00F046A7" w14:paraId="17FDFC97" w14:textId="77777777">
              <w:trPr>
                <w:trHeight w:val="300"/>
              </w:trPr>
              <w:tc>
                <w:tcPr>
                  <w:tcW w:w="3684" w:type="dxa"/>
                  <w:noWrap/>
                  <w:hideMark/>
                </w:tcPr>
                <w:p w:rsidRPr="003130B8" w:rsidR="002B340B" w:rsidP="005F0B88" w:rsidRDefault="002B340B" w14:paraId="2737F8FA" w14:textId="1D520693">
                  <w:pPr>
                    <w:framePr w:hSpace="180" w:wrap="around" w:hAnchor="margin" w:vAnchor="text" w:xAlign="center" w:y="149"/>
                    <w:tabs>
                      <w:tab w:val="left" w:pos="993"/>
                    </w:tabs>
                    <w:spacing w:after="120"/>
                    <w:contextualSpacing/>
                    <w:rPr>
                      <w:bCs/>
                      <w:sz w:val="20"/>
                      <w:szCs w:val="20"/>
                    </w:rPr>
                  </w:pPr>
                  <w:r w:rsidRPr="003130B8">
                    <w:rPr>
                      <w:sz w:val="20"/>
                      <w:szCs w:val="20"/>
                    </w:rPr>
                    <w:t>Ēku apsaimniekošanas administratīvie izdevumi</w:t>
                  </w:r>
                </w:p>
              </w:tc>
              <w:tc>
                <w:tcPr>
                  <w:tcW w:w="1559" w:type="dxa"/>
                  <w:noWrap/>
                  <w:hideMark/>
                </w:tcPr>
                <w:p w:rsidRPr="003130B8" w:rsidR="002B340B" w:rsidP="005F0B88" w:rsidRDefault="002B340B" w14:paraId="29575FAB" w14:textId="2C50F082">
                  <w:pPr>
                    <w:framePr w:hSpace="180" w:wrap="around" w:hAnchor="margin" w:vAnchor="text" w:xAlign="center" w:y="149"/>
                    <w:tabs>
                      <w:tab w:val="left" w:pos="993"/>
                    </w:tabs>
                    <w:spacing w:after="120"/>
                    <w:contextualSpacing/>
                    <w:jc w:val="center"/>
                    <w:rPr>
                      <w:bCs/>
                      <w:sz w:val="20"/>
                      <w:szCs w:val="20"/>
                    </w:rPr>
                  </w:pPr>
                  <w:r w:rsidRPr="003130B8">
                    <w:rPr>
                      <w:sz w:val="20"/>
                      <w:szCs w:val="20"/>
                    </w:rPr>
                    <w:t>59 257</w:t>
                  </w:r>
                </w:p>
              </w:tc>
            </w:tr>
            <w:tr w:rsidRPr="003130B8" w:rsidR="002B340B" w:rsidTr="00F046A7" w14:paraId="3207CB64" w14:textId="77777777">
              <w:trPr>
                <w:trHeight w:val="315"/>
              </w:trPr>
              <w:tc>
                <w:tcPr>
                  <w:tcW w:w="3684" w:type="dxa"/>
                  <w:noWrap/>
                  <w:hideMark/>
                </w:tcPr>
                <w:p w:rsidRPr="003130B8" w:rsidR="002B340B" w:rsidP="005F0B88" w:rsidRDefault="002B340B" w14:paraId="05CFDBB1" w14:textId="5AC7A149">
                  <w:pPr>
                    <w:framePr w:hSpace="180" w:wrap="around" w:hAnchor="margin" w:vAnchor="text" w:xAlign="center" w:y="149"/>
                    <w:tabs>
                      <w:tab w:val="left" w:pos="993"/>
                    </w:tabs>
                    <w:spacing w:after="120"/>
                    <w:ind w:left="720"/>
                    <w:contextualSpacing/>
                    <w:rPr>
                      <w:bCs/>
                      <w:sz w:val="20"/>
                      <w:szCs w:val="20"/>
                    </w:rPr>
                  </w:pPr>
                  <w:r w:rsidRPr="003130B8">
                    <w:rPr>
                      <w:sz w:val="20"/>
                      <w:szCs w:val="20"/>
                    </w:rPr>
                    <w:t>personāla izmaksas</w:t>
                  </w:r>
                </w:p>
              </w:tc>
              <w:tc>
                <w:tcPr>
                  <w:tcW w:w="1559" w:type="dxa"/>
                  <w:noWrap/>
                  <w:hideMark/>
                </w:tcPr>
                <w:p w:rsidRPr="003130B8" w:rsidR="002B340B" w:rsidP="005F0B88" w:rsidRDefault="002B340B" w14:paraId="122BB692" w14:textId="41A8EDDA">
                  <w:pPr>
                    <w:framePr w:hSpace="180" w:wrap="around" w:hAnchor="margin" w:vAnchor="text" w:xAlign="center" w:y="149"/>
                    <w:tabs>
                      <w:tab w:val="left" w:pos="993"/>
                    </w:tabs>
                    <w:spacing w:after="120"/>
                    <w:contextualSpacing/>
                    <w:jc w:val="center"/>
                    <w:rPr>
                      <w:bCs/>
                      <w:sz w:val="20"/>
                      <w:szCs w:val="20"/>
                    </w:rPr>
                  </w:pPr>
                  <w:r w:rsidRPr="003130B8">
                    <w:rPr>
                      <w:sz w:val="20"/>
                      <w:szCs w:val="20"/>
                    </w:rPr>
                    <w:t>44 122</w:t>
                  </w:r>
                </w:p>
              </w:tc>
            </w:tr>
            <w:tr w:rsidRPr="003130B8" w:rsidR="002B340B" w:rsidTr="00F046A7" w14:paraId="6D8EDB92" w14:textId="77777777">
              <w:trPr>
                <w:trHeight w:val="274"/>
              </w:trPr>
              <w:tc>
                <w:tcPr>
                  <w:tcW w:w="3684" w:type="dxa"/>
                  <w:noWrap/>
                  <w:hideMark/>
                </w:tcPr>
                <w:p w:rsidRPr="003130B8" w:rsidR="002B340B" w:rsidP="005F0B88" w:rsidRDefault="002B340B" w14:paraId="701298B0" w14:textId="566EB43B">
                  <w:pPr>
                    <w:framePr w:hSpace="180" w:wrap="around" w:hAnchor="margin" w:vAnchor="text" w:xAlign="center" w:y="149"/>
                    <w:tabs>
                      <w:tab w:val="left" w:pos="993"/>
                    </w:tabs>
                    <w:spacing w:after="120"/>
                    <w:ind w:left="720"/>
                    <w:contextualSpacing/>
                    <w:rPr>
                      <w:bCs/>
                      <w:sz w:val="20"/>
                      <w:szCs w:val="20"/>
                    </w:rPr>
                  </w:pPr>
                  <w:r w:rsidRPr="003130B8">
                    <w:rPr>
                      <w:sz w:val="20"/>
                      <w:szCs w:val="20"/>
                    </w:rPr>
                    <w:t xml:space="preserve">transporta izmaksas </w:t>
                  </w:r>
                </w:p>
              </w:tc>
              <w:tc>
                <w:tcPr>
                  <w:tcW w:w="1559" w:type="dxa"/>
                  <w:noWrap/>
                  <w:hideMark/>
                </w:tcPr>
                <w:p w:rsidRPr="003130B8" w:rsidR="002B340B" w:rsidP="005F0B88" w:rsidRDefault="002B340B" w14:paraId="14787E38" w14:textId="0EDCE6CB">
                  <w:pPr>
                    <w:framePr w:hSpace="180" w:wrap="around" w:hAnchor="margin" w:vAnchor="text" w:xAlign="center" w:y="149"/>
                    <w:tabs>
                      <w:tab w:val="left" w:pos="993"/>
                    </w:tabs>
                    <w:spacing w:after="120"/>
                    <w:contextualSpacing/>
                    <w:jc w:val="center"/>
                    <w:rPr>
                      <w:bCs/>
                      <w:sz w:val="20"/>
                      <w:szCs w:val="20"/>
                    </w:rPr>
                  </w:pPr>
                  <w:r w:rsidRPr="003130B8">
                    <w:rPr>
                      <w:sz w:val="20"/>
                      <w:szCs w:val="20"/>
                    </w:rPr>
                    <w:t>5 760</w:t>
                  </w:r>
                </w:p>
              </w:tc>
            </w:tr>
            <w:tr w:rsidRPr="003130B8" w:rsidR="002B340B" w:rsidTr="00F046A7" w14:paraId="60683A9E" w14:textId="77777777">
              <w:trPr>
                <w:trHeight w:val="274"/>
              </w:trPr>
              <w:tc>
                <w:tcPr>
                  <w:tcW w:w="3684" w:type="dxa"/>
                  <w:noWrap/>
                  <w:hideMark/>
                </w:tcPr>
                <w:p w:rsidRPr="003130B8" w:rsidR="002B340B" w:rsidP="005F0B88" w:rsidRDefault="002B340B" w14:paraId="1C8A56D8" w14:textId="3D13A44F">
                  <w:pPr>
                    <w:framePr w:hSpace="180" w:wrap="around" w:hAnchor="margin" w:vAnchor="text" w:xAlign="center" w:y="149"/>
                    <w:tabs>
                      <w:tab w:val="left" w:pos="993"/>
                    </w:tabs>
                    <w:spacing w:after="120"/>
                    <w:ind w:left="720"/>
                    <w:contextualSpacing/>
                    <w:rPr>
                      <w:bCs/>
                      <w:sz w:val="20"/>
                      <w:szCs w:val="20"/>
                    </w:rPr>
                  </w:pPr>
                  <w:r w:rsidRPr="003130B8">
                    <w:rPr>
                      <w:sz w:val="20"/>
                      <w:szCs w:val="20"/>
                    </w:rPr>
                    <w:t xml:space="preserve">pārējās izmaksas </w:t>
                  </w:r>
                </w:p>
              </w:tc>
              <w:tc>
                <w:tcPr>
                  <w:tcW w:w="1559" w:type="dxa"/>
                  <w:noWrap/>
                  <w:hideMark/>
                </w:tcPr>
                <w:p w:rsidRPr="003130B8" w:rsidR="002B340B" w:rsidP="005F0B88" w:rsidRDefault="002B340B" w14:paraId="0232580A" w14:textId="6C9F807A">
                  <w:pPr>
                    <w:framePr w:hSpace="180" w:wrap="around" w:hAnchor="margin" w:vAnchor="text" w:xAlign="center" w:y="149"/>
                    <w:tabs>
                      <w:tab w:val="left" w:pos="993"/>
                    </w:tabs>
                    <w:spacing w:after="120"/>
                    <w:contextualSpacing/>
                    <w:jc w:val="center"/>
                    <w:rPr>
                      <w:bCs/>
                      <w:sz w:val="20"/>
                      <w:szCs w:val="20"/>
                    </w:rPr>
                  </w:pPr>
                  <w:r w:rsidRPr="003130B8">
                    <w:rPr>
                      <w:sz w:val="20"/>
                      <w:szCs w:val="20"/>
                    </w:rPr>
                    <w:t>9 375</w:t>
                  </w:r>
                </w:p>
              </w:tc>
            </w:tr>
            <w:tr w:rsidRPr="003130B8" w:rsidR="002B340B" w:rsidTr="00F046A7" w14:paraId="201F456B" w14:textId="77777777">
              <w:trPr>
                <w:trHeight w:val="300"/>
              </w:trPr>
              <w:tc>
                <w:tcPr>
                  <w:tcW w:w="3684" w:type="dxa"/>
                  <w:noWrap/>
                  <w:hideMark/>
                </w:tcPr>
                <w:p w:rsidRPr="003130B8" w:rsidR="002B340B" w:rsidP="005F0B88" w:rsidRDefault="002B340B" w14:paraId="199DA814" w14:textId="2220AE80">
                  <w:pPr>
                    <w:framePr w:hSpace="180" w:wrap="around" w:hAnchor="margin" w:vAnchor="text" w:xAlign="center" w:y="149"/>
                    <w:tabs>
                      <w:tab w:val="left" w:pos="993"/>
                    </w:tabs>
                    <w:spacing w:after="120"/>
                    <w:contextualSpacing/>
                    <w:rPr>
                      <w:b/>
                      <w:bCs/>
                      <w:sz w:val="20"/>
                      <w:szCs w:val="20"/>
                    </w:rPr>
                  </w:pPr>
                  <w:r w:rsidRPr="003130B8">
                    <w:rPr>
                      <w:sz w:val="20"/>
                      <w:szCs w:val="20"/>
                    </w:rPr>
                    <w:t>Kopā</w:t>
                  </w:r>
                </w:p>
              </w:tc>
              <w:tc>
                <w:tcPr>
                  <w:tcW w:w="1559" w:type="dxa"/>
                  <w:noWrap/>
                  <w:hideMark/>
                </w:tcPr>
                <w:p w:rsidRPr="003130B8" w:rsidR="002B340B" w:rsidP="005F0B88" w:rsidRDefault="002B340B" w14:paraId="5045C83A" w14:textId="73F48DD2">
                  <w:pPr>
                    <w:framePr w:hSpace="180" w:wrap="around" w:hAnchor="margin" w:vAnchor="text" w:xAlign="center" w:y="149"/>
                    <w:tabs>
                      <w:tab w:val="left" w:pos="993"/>
                    </w:tabs>
                    <w:spacing w:after="120"/>
                    <w:contextualSpacing/>
                    <w:jc w:val="center"/>
                    <w:rPr>
                      <w:b/>
                      <w:bCs/>
                      <w:sz w:val="20"/>
                      <w:szCs w:val="20"/>
                    </w:rPr>
                  </w:pPr>
                  <w:r w:rsidRPr="003130B8">
                    <w:rPr>
                      <w:sz w:val="20"/>
                      <w:szCs w:val="20"/>
                    </w:rPr>
                    <w:t>227 893</w:t>
                  </w:r>
                </w:p>
              </w:tc>
            </w:tr>
          </w:tbl>
          <w:p w:rsidRPr="003130B8" w:rsidR="00357554" w:rsidP="00F7611B" w:rsidRDefault="00C9147B" w14:paraId="6A82EB58" w14:textId="5322D6F7">
            <w:pPr>
              <w:ind w:firstLine="282"/>
              <w:jc w:val="both"/>
              <w:rPr>
                <w:i/>
                <w:iCs/>
              </w:rPr>
            </w:pPr>
            <w:r w:rsidRPr="003130B8">
              <w:t xml:space="preserve">Tādejādi </w:t>
            </w:r>
            <w:r w:rsidRPr="003130B8" w:rsidR="00F906CA">
              <w:t xml:space="preserve">RB projekta īstenošanas vajadzībām </w:t>
            </w:r>
            <w:r w:rsidRPr="003130B8">
              <w:t>atsavināto nekustamo īpašumu apsaimniekošanas izmaksu segšanai 2021.</w:t>
            </w:r>
            <w:r w:rsidRPr="003130B8" w:rsidR="00305CB7">
              <w:t> </w:t>
            </w:r>
            <w:r w:rsidRPr="003130B8">
              <w:t>gadā Ministrijai nepieciešami</w:t>
            </w:r>
            <w:r w:rsidRPr="003130B8" w:rsidR="00850673">
              <w:t xml:space="preserve"> </w:t>
            </w:r>
            <w:r w:rsidRPr="003130B8" w:rsidR="00E10D53">
              <w:rPr>
                <w:b/>
                <w:bCs/>
              </w:rPr>
              <w:t>22</w:t>
            </w:r>
            <w:r w:rsidRPr="003130B8" w:rsidR="002B340B">
              <w:rPr>
                <w:b/>
                <w:bCs/>
              </w:rPr>
              <w:t>7 893</w:t>
            </w:r>
            <w:r w:rsidRPr="003130B8" w:rsidR="00305CB7">
              <w:t> </w:t>
            </w:r>
            <w:proofErr w:type="spellStart"/>
            <w:r w:rsidRPr="003130B8">
              <w:rPr>
                <w:b/>
                <w:bCs/>
                <w:i/>
                <w:iCs/>
              </w:rPr>
              <w:t>euro</w:t>
            </w:r>
            <w:proofErr w:type="spellEnd"/>
            <w:r w:rsidRPr="003130B8" w:rsidR="00850673">
              <w:rPr>
                <w:b/>
                <w:bCs/>
                <w:i/>
                <w:iCs/>
              </w:rPr>
              <w:t>.</w:t>
            </w:r>
            <w:r w:rsidRPr="003130B8">
              <w:rPr>
                <w:i/>
                <w:iCs/>
              </w:rPr>
              <w:t xml:space="preserve"> </w:t>
            </w:r>
          </w:p>
          <w:p w:rsidRPr="003130B8" w:rsidR="00C9147B" w:rsidP="00684B58" w:rsidRDefault="00684B58" w14:paraId="4BD104AA" w14:textId="57FC34A1">
            <w:pPr>
              <w:ind w:firstLine="284"/>
              <w:jc w:val="both"/>
            </w:pPr>
            <w:r w:rsidRPr="00027341">
              <w:t xml:space="preserve">Jebkura </w:t>
            </w:r>
            <w:r w:rsidRPr="00027341" w:rsidR="00CB28C1">
              <w:t>RB p</w:t>
            </w:r>
            <w:r w:rsidRPr="00027341">
              <w:t>rojekta vajadzībām iegūtā nekustamā īpašuma apsaimniekošana</w:t>
            </w:r>
            <w:r w:rsidRPr="00027341" w:rsidR="00F86D23">
              <w:t xml:space="preserve"> sākas ar brīdi, kad īpašums tiek iegūts valdījumā</w:t>
            </w:r>
            <w:r w:rsidRPr="00027341" w:rsidR="00A845DA">
              <w:t>.</w:t>
            </w:r>
            <w:r w:rsidRPr="003130B8" w:rsidR="00F86D23">
              <w:t xml:space="preserve"> </w:t>
            </w:r>
            <w:r w:rsidRPr="003130B8" w:rsidR="00A845DA">
              <w:t>U</w:t>
            </w:r>
            <w:r w:rsidRPr="003130B8" w:rsidR="00F86D23">
              <w:t>z 2021.</w:t>
            </w:r>
            <w:r w:rsidRPr="003130B8" w:rsidR="00A845DA">
              <w:t> </w:t>
            </w:r>
            <w:r w:rsidRPr="003130B8" w:rsidR="00F86D23">
              <w:t>gada sākumu Ministrijas valdījumā atrodas 101 nekustamais īpašums, kas ir jāapsaimnieko visus 12 mēnešus</w:t>
            </w:r>
            <w:r w:rsidRPr="003130B8" w:rsidR="00A845DA">
              <w:t xml:space="preserve"> un</w:t>
            </w:r>
            <w:r w:rsidRPr="003130B8" w:rsidR="00E41E2D">
              <w:t xml:space="preserve"> kam </w:t>
            </w:r>
            <w:r w:rsidRPr="003130B8" w:rsidR="00A845DA">
              <w:t>nedz RB p</w:t>
            </w:r>
            <w:r w:rsidRPr="003130B8" w:rsidR="00E41E2D">
              <w:t>rojekta</w:t>
            </w:r>
            <w:r w:rsidRPr="003130B8" w:rsidR="00A845DA">
              <w:t>, nedz</w:t>
            </w:r>
            <w:r w:rsidRPr="003130B8" w:rsidR="00BC3DA5">
              <w:t xml:space="preserve"> </w:t>
            </w:r>
            <w:r w:rsidRPr="003130B8" w:rsidR="00E41E2D">
              <w:t>Ministrijas budžetā nav bijis paredzēts finansējums</w:t>
            </w:r>
            <w:r w:rsidRPr="003130B8" w:rsidR="00E14994">
              <w:t>.</w:t>
            </w:r>
            <w:r w:rsidRPr="003130B8" w:rsidR="00E41E2D">
              <w:t xml:space="preserve"> </w:t>
            </w:r>
            <w:r w:rsidRPr="003130B8" w:rsidR="00E14994">
              <w:t>T</w:t>
            </w:r>
            <w:r w:rsidRPr="003130B8" w:rsidR="00E41E2D">
              <w:t xml:space="preserve">as </w:t>
            </w:r>
            <w:r w:rsidRPr="003130B8">
              <w:t>rad</w:t>
            </w:r>
            <w:r w:rsidR="00416CBD">
              <w:t>a</w:t>
            </w:r>
            <w:r w:rsidRPr="003130B8">
              <w:t xml:space="preserve"> papildu finanšu resursu nepieciešamību, kas nebūtu radusies, ja Latvija neīstenotu </w:t>
            </w:r>
            <w:r w:rsidRPr="003130B8" w:rsidR="00CB28C1">
              <w:t>RB p</w:t>
            </w:r>
            <w:r w:rsidRPr="003130B8">
              <w:t xml:space="preserve">rojektu. Viens no </w:t>
            </w:r>
            <w:proofErr w:type="spellStart"/>
            <w:r w:rsidRPr="003130B8">
              <w:t>EDzL</w:t>
            </w:r>
            <w:proofErr w:type="spellEnd"/>
            <w:r w:rsidRPr="003130B8">
              <w:t xml:space="preserve"> dibināšanas mērķiem ir Rail Baltica infrastruktūras būvniecības pārraudzība</w:t>
            </w:r>
            <w:r w:rsidRPr="003130B8" w:rsidR="00F906CA">
              <w:t>.</w:t>
            </w:r>
            <w:r w:rsidRPr="003130B8">
              <w:t xml:space="preserve"> 2020.</w:t>
            </w:r>
            <w:r w:rsidRPr="003130B8" w:rsidR="00305CB7">
              <w:t> </w:t>
            </w:r>
            <w:r w:rsidRPr="003130B8">
              <w:t xml:space="preserve">gadā </w:t>
            </w:r>
            <w:proofErr w:type="spellStart"/>
            <w:r w:rsidRPr="003130B8">
              <w:t>EDzL</w:t>
            </w:r>
            <w:proofErr w:type="spellEnd"/>
            <w:r w:rsidRPr="003130B8">
              <w:t xml:space="preserve"> uzsāk</w:t>
            </w:r>
            <w:r w:rsidRPr="003130B8" w:rsidR="008018B5">
              <w:t>a</w:t>
            </w:r>
            <w:r w:rsidRPr="003130B8">
              <w:t xml:space="preserve"> Rail Baltica infrastruktūras pārvald</w:t>
            </w:r>
            <w:r w:rsidRPr="003130B8" w:rsidR="00CB28C1">
              <w:t>ītāja</w:t>
            </w:r>
            <w:r w:rsidRPr="003130B8">
              <w:t xml:space="preserve"> institūcijas izveidi atbilstoši Ministru kabineta rīkojumam</w:t>
            </w:r>
            <w:r w:rsidRPr="003130B8">
              <w:rPr>
                <w:rStyle w:val="FootnoteReference"/>
              </w:rPr>
              <w:footnoteReference w:id="1"/>
            </w:r>
            <w:r w:rsidRPr="003130B8">
              <w:t xml:space="preserve"> ar mērķi nodrošināt Dzelzceļa likumā noteiktās publiskās lietošanas dzelzceļa infrastruktūras pārvaldītāja funkcijas attiecībā uz Rail Baltica</w:t>
            </w:r>
            <w:r w:rsidRPr="003130B8" w:rsidR="00CB28C1">
              <w:t xml:space="preserve"> infrastruktūru</w:t>
            </w:r>
            <w:r w:rsidRPr="003130B8">
              <w:t xml:space="preserve">. Līdz ar to </w:t>
            </w:r>
            <w:proofErr w:type="spellStart"/>
            <w:r w:rsidRPr="003130B8">
              <w:t>EDzL</w:t>
            </w:r>
            <w:proofErr w:type="spellEnd"/>
            <w:r w:rsidRPr="003130B8">
              <w:t xml:space="preserve"> kā</w:t>
            </w:r>
            <w:r w:rsidRPr="003130B8" w:rsidR="00F906CA">
              <w:t xml:space="preserve"> RB</w:t>
            </w:r>
            <w:r w:rsidRPr="003130B8">
              <w:t xml:space="preserve"> </w:t>
            </w:r>
            <w:r w:rsidRPr="003130B8" w:rsidR="00F906CA">
              <w:t>p</w:t>
            </w:r>
            <w:r w:rsidRPr="003130B8">
              <w:t xml:space="preserve">rojekta īstenošanai izveidotam uzņēmumam nav savu kapitālsabiedrībai raksturīgo ieņēmumu, kā arī </w:t>
            </w:r>
            <w:proofErr w:type="spellStart"/>
            <w:r w:rsidRPr="003130B8">
              <w:t>EDzL</w:t>
            </w:r>
            <w:proofErr w:type="spellEnd"/>
            <w:r w:rsidRPr="003130B8">
              <w:t xml:space="preserve"> </w:t>
            </w:r>
            <w:r w:rsidRPr="00170336" w:rsidR="00837166">
              <w:rPr>
                <w:color w:val="000000" w:themeColor="text1"/>
              </w:rPr>
              <w:t xml:space="preserve">ir viens no RB projekta īstenotājiem, kas nesniedz pakalpojumus tirgū, bet </w:t>
            </w:r>
            <w:r w:rsidR="00837166">
              <w:rPr>
                <w:color w:val="000000" w:themeColor="text1"/>
              </w:rPr>
              <w:t xml:space="preserve">tikai </w:t>
            </w:r>
            <w:r w:rsidRPr="00170336" w:rsidR="00837166">
              <w:rPr>
                <w:color w:val="000000" w:themeColor="text1"/>
              </w:rPr>
              <w:t xml:space="preserve">nodrošina  </w:t>
            </w:r>
            <w:r w:rsidR="00837166">
              <w:rPr>
                <w:color w:val="000000" w:themeColor="text1"/>
              </w:rPr>
              <w:t>d</w:t>
            </w:r>
            <w:r w:rsidRPr="00170336" w:rsidR="00837166">
              <w:rPr>
                <w:color w:val="000000" w:themeColor="text1"/>
              </w:rPr>
              <w:t>eleģēšanas līguma izpildi</w:t>
            </w:r>
            <w:r w:rsidRPr="003130B8" w:rsidDel="00837166" w:rsidR="00837166">
              <w:t xml:space="preserve"> </w:t>
            </w:r>
            <w:r w:rsidRPr="003130B8">
              <w:t xml:space="preserve">. </w:t>
            </w:r>
            <w:proofErr w:type="spellStart"/>
            <w:r w:rsidRPr="003130B8">
              <w:t>EDzL</w:t>
            </w:r>
            <w:proofErr w:type="spellEnd"/>
            <w:r w:rsidRPr="003130B8">
              <w:t xml:space="preserve"> darbības nodrošināšanai un norēķiniem par saņemtajām precēm un pakalpojumiem tiek izlietoti publiskie līdzekļi, kas ir  </w:t>
            </w:r>
            <w:r w:rsidRPr="003130B8" w:rsidR="00CB28C1">
              <w:t>RB p</w:t>
            </w:r>
            <w:r w:rsidRPr="003130B8">
              <w:t xml:space="preserve">rojekta attiecināmās un neattiecināmās izmaksas un iemaksas uzņēmuma pamatkapitālā. Ievērojot </w:t>
            </w:r>
            <w:proofErr w:type="spellStart"/>
            <w:r w:rsidRPr="003130B8">
              <w:t>EDzL</w:t>
            </w:r>
            <w:proofErr w:type="spellEnd"/>
            <w:r w:rsidRPr="003130B8">
              <w:t xml:space="preserve"> mērķus un kompetenci, Ministrija deleģēs </w:t>
            </w:r>
            <w:proofErr w:type="spellStart"/>
            <w:r w:rsidRPr="003130B8">
              <w:t>EDzL</w:t>
            </w:r>
            <w:proofErr w:type="spellEnd"/>
            <w:r w:rsidRPr="003130B8">
              <w:t xml:space="preserve"> organizēt nekustamo īpašumu apsaimniekošanu, ko plānots nodrošināt ar ārpakalpojumu</w:t>
            </w:r>
            <w:r w:rsidRPr="003130B8" w:rsidR="00CB28C1">
              <w:t xml:space="preserve"> iepirkšanu</w:t>
            </w:r>
            <w:r w:rsidRPr="003130B8">
              <w:t>.</w:t>
            </w:r>
          </w:p>
          <w:p w:rsidRPr="00F7611B" w:rsidR="004A1CE1" w:rsidP="00F7611B" w:rsidRDefault="00F50454" w14:paraId="30E748AA" w14:textId="0A7EE468">
            <w:pPr>
              <w:ind w:firstLine="284"/>
              <w:jc w:val="both"/>
            </w:pPr>
            <w:r w:rsidRPr="003130B8">
              <w:t xml:space="preserve">Kopējais provizoriskais </w:t>
            </w:r>
            <w:r w:rsidRPr="003130B8" w:rsidR="00CB28C1">
              <w:t>RB p</w:t>
            </w:r>
            <w:r w:rsidRPr="003130B8">
              <w:t xml:space="preserve">rojekta vajadzībām nepieciešamo (iegūstamo) īpašumu skaits ir 1093 privātpersonu īpašumi un 515 publisko personu īpašumi. </w:t>
            </w:r>
            <w:r w:rsidRPr="003130B8" w:rsidR="00F906CA">
              <w:t xml:space="preserve">Līdzīgi </w:t>
            </w:r>
            <w:r w:rsidRPr="003130B8">
              <w:t>kā attiecībā uz apsaimniekošanas izmaksām 202</w:t>
            </w:r>
            <w:r w:rsidRPr="003130B8" w:rsidR="00C77141">
              <w:t>1</w:t>
            </w:r>
            <w:r w:rsidRPr="003130B8">
              <w:t>.</w:t>
            </w:r>
            <w:r w:rsidRPr="003130B8" w:rsidR="00305CB7">
              <w:t> </w:t>
            </w:r>
            <w:r w:rsidRPr="003130B8">
              <w:t xml:space="preserve">gadā, arī turpmāk </w:t>
            </w:r>
            <w:r w:rsidRPr="003130B8" w:rsidR="00F906CA">
              <w:t>M</w:t>
            </w:r>
            <w:r w:rsidRPr="003130B8">
              <w:t xml:space="preserve">inistrijai būs jāplāno un jānodrošina finanšu resursi </w:t>
            </w:r>
            <w:r w:rsidRPr="003130B8" w:rsidR="00CB28C1">
              <w:t>RB p</w:t>
            </w:r>
            <w:r w:rsidRPr="003130B8">
              <w:t xml:space="preserve">rojekta vajadzībām nepieciešamo nekustamo īpašumu apsaimniekošanas izmaksu segšanai līdz </w:t>
            </w:r>
            <w:r w:rsidRPr="003130B8">
              <w:lastRenderedPageBreak/>
              <w:t xml:space="preserve">nekustamo īpašumu nodošanai būvdarbu veicējam, kurš uz būvdarbu laiku ir atbildīgs par teritoriju. Jāatzīmē, ka apsaimniekošanas izmaksas nevar tikt attiecinātas </w:t>
            </w:r>
            <w:r w:rsidRPr="003130B8" w:rsidR="00CB28C1">
              <w:t>RB p</w:t>
            </w:r>
            <w:r w:rsidRPr="003130B8">
              <w:t xml:space="preserve">rojekta finansēšanas līgumu ietvaros, t.i. tās nevar tikt segtas no finansēšanas līgumos iekļautu aktivitāšu finansējuma, līdz ar to </w:t>
            </w:r>
            <w:r w:rsidRPr="003130B8" w:rsidR="00EC0003">
              <w:t xml:space="preserve">nekustamo īpašumu apsaimniekošanas izmaksas ir </w:t>
            </w:r>
            <w:r w:rsidRPr="003130B8" w:rsidR="00CB28C1">
              <w:t>RB p</w:t>
            </w:r>
            <w:r w:rsidRPr="003130B8" w:rsidR="00EC0003">
              <w:t xml:space="preserve">rojekta netiešās attiecināmās izmaksas, kuras valstij jānodrošina ar mērķi īstenot </w:t>
            </w:r>
            <w:r w:rsidRPr="003130B8" w:rsidR="0035252E">
              <w:t>RB p</w:t>
            </w:r>
            <w:r w:rsidRPr="003130B8" w:rsidR="00EC0003">
              <w:t>rojektu</w:t>
            </w:r>
            <w:r w:rsidRPr="003130B8" w:rsidR="00F906CA">
              <w:t>. Līdz ar to</w:t>
            </w:r>
            <w:r w:rsidRPr="003130B8" w:rsidR="00EC0003">
              <w:t xml:space="preserve"> ir nepieciešams pieņemt MK lēmumu par šo izmaksu segšanu no valsts budžeta atbilstoši </w:t>
            </w:r>
            <w:r w:rsidRPr="003130B8" w:rsidR="0035252E">
              <w:t>RB p</w:t>
            </w:r>
            <w:r w:rsidRPr="003130B8" w:rsidR="00EC0003">
              <w:t>rojekta gaitai, kā to paredz</w:t>
            </w:r>
            <w:r w:rsidRPr="003130B8" w:rsidR="00CB4741">
              <w:t xml:space="preserve"> </w:t>
            </w:r>
            <w:r w:rsidRPr="003130B8" w:rsidR="00EC0003">
              <w:t>MK</w:t>
            </w:r>
            <w:r w:rsidRPr="003130B8" w:rsidR="00CB4741">
              <w:t xml:space="preserve"> </w:t>
            </w:r>
            <w:r w:rsidRPr="003130B8" w:rsidR="00EC0003">
              <w:t>2018.</w:t>
            </w:r>
            <w:r w:rsidRPr="003130B8" w:rsidR="00305CB7">
              <w:t> </w:t>
            </w:r>
            <w:r w:rsidRPr="003130B8" w:rsidR="00EC0003">
              <w:t>gada 3.</w:t>
            </w:r>
            <w:r w:rsidRPr="003130B8" w:rsidR="00305CB7">
              <w:t> </w:t>
            </w:r>
            <w:r w:rsidRPr="003130B8" w:rsidR="00EC0003">
              <w:t>jūlija noteikumu Nr.</w:t>
            </w:r>
            <w:r w:rsidRPr="003130B8" w:rsidR="00305CB7">
              <w:t> </w:t>
            </w:r>
            <w:r w:rsidRPr="003130B8" w:rsidR="00EC0003">
              <w:t>395 "Eiropas infrastruktūras savienošanas instrumenta finansēto transporta un telekomunikāciju nozares projektu saskaņošanas un īstenošanas uzraudzības kārtība" 7.</w:t>
            </w:r>
            <w:r w:rsidRPr="003130B8" w:rsidR="00EC0003">
              <w:rPr>
                <w:vertAlign w:val="superscript"/>
              </w:rPr>
              <w:t>1</w:t>
            </w:r>
            <w:r w:rsidRPr="003130B8" w:rsidR="00305CB7">
              <w:t> p</w:t>
            </w:r>
            <w:r w:rsidRPr="003130B8" w:rsidR="00EC0003">
              <w:t>ants</w:t>
            </w:r>
            <w:r w:rsidRPr="003130B8" w:rsidR="005504E9">
              <w:t xml:space="preserve">. Lai </w:t>
            </w:r>
            <w:r w:rsidRPr="003130B8" w:rsidR="00226C79">
              <w:t xml:space="preserve">noteiktu finansēšanas avotu </w:t>
            </w:r>
            <w:r w:rsidRPr="003130B8" w:rsidR="00E0125D">
              <w:rPr>
                <w:rFonts w:eastAsia="PMingLiU"/>
              </w:rPr>
              <w:t xml:space="preserve"> </w:t>
            </w:r>
            <w:r w:rsidRPr="003130B8" w:rsidR="00587CE3">
              <w:rPr>
                <w:rFonts w:eastAsia="PMingLiU"/>
              </w:rPr>
              <w:t>RB</w:t>
            </w:r>
            <w:r w:rsidRPr="003130B8" w:rsidR="00E0125D">
              <w:rPr>
                <w:rFonts w:eastAsia="PMingLiU"/>
              </w:rPr>
              <w:t xml:space="preserve"> projekta īstenošanai nepieciešamo nekustamo īpašumu apsaimniekošanas izmaksu</w:t>
            </w:r>
            <w:r w:rsidRPr="003130B8" w:rsidR="00732587">
              <w:rPr>
                <w:rFonts w:eastAsia="PMingLiU"/>
              </w:rPr>
              <w:t xml:space="preserve"> segšanai </w:t>
            </w:r>
            <w:r w:rsidRPr="003130B8" w:rsidR="00587CE3">
              <w:rPr>
                <w:rFonts w:eastAsia="PMingLiU"/>
              </w:rPr>
              <w:t xml:space="preserve">pēc </w:t>
            </w:r>
            <w:r w:rsidRPr="003130B8" w:rsidR="00AE0222">
              <w:rPr>
                <w:rFonts w:eastAsia="PMingLiU"/>
              </w:rPr>
              <w:t xml:space="preserve"> </w:t>
            </w:r>
            <w:r w:rsidRPr="003130B8" w:rsidR="00732587">
              <w:rPr>
                <w:rFonts w:eastAsia="PMingLiU"/>
              </w:rPr>
              <w:t>202</w:t>
            </w:r>
            <w:r w:rsidRPr="003130B8" w:rsidR="00587CE3">
              <w:rPr>
                <w:rFonts w:eastAsia="PMingLiU"/>
              </w:rPr>
              <w:t>1</w:t>
            </w:r>
            <w:r w:rsidRPr="003130B8" w:rsidR="00732587">
              <w:rPr>
                <w:rFonts w:eastAsia="PMingLiU"/>
              </w:rPr>
              <w:t>.</w:t>
            </w:r>
            <w:r w:rsidRPr="003130B8" w:rsidR="00305CB7">
              <w:rPr>
                <w:rFonts w:eastAsia="PMingLiU"/>
              </w:rPr>
              <w:t> </w:t>
            </w:r>
            <w:r w:rsidRPr="003130B8" w:rsidR="00732587">
              <w:rPr>
                <w:rFonts w:eastAsia="PMingLiU"/>
              </w:rPr>
              <w:t>gada, Ministrij</w:t>
            </w:r>
            <w:r w:rsidRPr="003130B8" w:rsidR="0035252E">
              <w:rPr>
                <w:rFonts w:eastAsia="PMingLiU"/>
              </w:rPr>
              <w:t>a</w:t>
            </w:r>
            <w:r w:rsidRPr="003130B8" w:rsidR="007177F4">
              <w:rPr>
                <w:rFonts w:eastAsia="PMingLiU"/>
              </w:rPr>
              <w:t xml:space="preserve"> sagatavos </w:t>
            </w:r>
            <w:r w:rsidRPr="003130B8" w:rsidR="0035252E">
              <w:rPr>
                <w:rFonts w:eastAsia="PMingLiU"/>
              </w:rPr>
              <w:t xml:space="preserve">un iesniegs izskatīšanai MK atsevišķu </w:t>
            </w:r>
            <w:r w:rsidRPr="003130B8" w:rsidR="007177F4">
              <w:rPr>
                <w:rFonts w:eastAsia="PMingLiU"/>
              </w:rPr>
              <w:t>informatīv</w:t>
            </w:r>
            <w:r w:rsidRPr="003130B8" w:rsidR="0035252E">
              <w:rPr>
                <w:rFonts w:eastAsia="PMingLiU"/>
              </w:rPr>
              <w:t>o</w:t>
            </w:r>
            <w:r w:rsidRPr="003130B8" w:rsidR="007177F4">
              <w:rPr>
                <w:rFonts w:eastAsia="PMingLiU"/>
              </w:rPr>
              <w:t xml:space="preserve"> ziņojum</w:t>
            </w:r>
            <w:r w:rsidRPr="003130B8" w:rsidR="0035252E">
              <w:rPr>
                <w:rFonts w:eastAsia="PMingLiU"/>
              </w:rPr>
              <w:t>u</w:t>
            </w:r>
            <w:r w:rsidRPr="003130B8" w:rsidR="007177F4">
              <w:rPr>
                <w:rFonts w:eastAsia="PMingLiU"/>
              </w:rPr>
              <w:t>.</w:t>
            </w:r>
          </w:p>
          <w:p w:rsidRPr="003130B8" w:rsidR="00FF3BC4" w:rsidP="00786AB3" w:rsidRDefault="00AA2D9C" w14:paraId="340BE2F0" w14:textId="62F37548">
            <w:pPr>
              <w:spacing w:before="240" w:after="120"/>
              <w:contextualSpacing/>
              <w:rPr>
                <w:b/>
                <w:bCs/>
              </w:rPr>
            </w:pPr>
            <w:r w:rsidRPr="003130B8">
              <w:rPr>
                <w:b/>
                <w:bCs/>
              </w:rPr>
              <w:t xml:space="preserve">Lokālplānojumu izstrāde </w:t>
            </w:r>
          </w:p>
          <w:p w:rsidRPr="003130B8" w:rsidR="00FF3BC4" w:rsidP="00AA2D9C" w:rsidRDefault="00FF3BC4" w14:paraId="470DE5B5" w14:textId="102578B8">
            <w:pPr>
              <w:ind w:firstLine="284"/>
              <w:jc w:val="both"/>
            </w:pPr>
            <w:r w:rsidRPr="003130B8">
              <w:t>2014.</w:t>
            </w:r>
            <w:r w:rsidRPr="003130B8" w:rsidR="00305CB7">
              <w:t> </w:t>
            </w:r>
            <w:r w:rsidRPr="003130B8">
              <w:t>gada aprīlī Ministrija parakstīja Detalizētas tehniskās izpētes (turpmāk – Tehniskā izpēte) un Ietekmes uz vidi novērtējuma (turpmāk – I</w:t>
            </w:r>
            <w:r w:rsidRPr="003130B8" w:rsidR="00AE0222">
              <w:t>V</w:t>
            </w:r>
            <w:r w:rsidRPr="003130B8">
              <w:t xml:space="preserve">N) līgumu, kura Tehniskā specifikācija paredzēja lokālplānojumu izstrādi. Minētā Tehniskā izpēte un IVN tika finansēti Eiropas Komisijas (turpmāk – EK) </w:t>
            </w:r>
            <w:r w:rsidRPr="003130B8" w:rsidR="002B5B08">
              <w:t xml:space="preserve"> projekta Nr.</w:t>
            </w:r>
            <w:r w:rsidRPr="003130B8" w:rsidR="00305CB7">
              <w:t> </w:t>
            </w:r>
            <w:r w:rsidRPr="003130B8" w:rsidR="002B5B08">
              <w:t>2012-LV-27120-S "Dzelzceļa līnijas Rail Baltica Latvijas posma skiču projekta izstrāde un darbību izpēte"</w:t>
            </w:r>
            <w:bookmarkStart w:name="_Hlk57734497" w:id="4"/>
            <w:r w:rsidRPr="003130B8">
              <w:t xml:space="preserve"> </w:t>
            </w:r>
            <w:bookmarkEnd w:id="4"/>
            <w:r w:rsidRPr="003130B8">
              <w:t xml:space="preserve">ietvaros. Tehniskās izpētes un IVN izstrādes rezultātā tika izdots MK </w:t>
            </w:r>
            <w:r w:rsidRPr="003130B8" w:rsidR="002B5B08">
              <w:t>2016.</w:t>
            </w:r>
            <w:r w:rsidRPr="003130B8" w:rsidR="00305CB7">
              <w:t> </w:t>
            </w:r>
            <w:r w:rsidRPr="003130B8" w:rsidR="002B5B08">
              <w:t>gada 24.</w:t>
            </w:r>
            <w:r w:rsidRPr="003130B8" w:rsidR="00305CB7">
              <w:t> </w:t>
            </w:r>
            <w:r w:rsidRPr="003130B8" w:rsidR="002B5B08">
              <w:t xml:space="preserve">augusta </w:t>
            </w:r>
            <w:r w:rsidRPr="003130B8">
              <w:t>rīkojums Nr.</w:t>
            </w:r>
            <w:r w:rsidRPr="003130B8" w:rsidR="00305CB7">
              <w:t> </w:t>
            </w:r>
            <w:r w:rsidRPr="003130B8">
              <w:t xml:space="preserve">467 </w:t>
            </w:r>
            <w:r w:rsidRPr="003130B8" w:rsidR="00305CB7">
              <w:t>"</w:t>
            </w:r>
            <w:r w:rsidRPr="003130B8">
              <w:t>Par Eiropas standarta platuma publiskās lietošanas dzelzceļa infrastruktūras līnijas Rail Baltica būvniecībai paredzētās darbības akceptu</w:t>
            </w:r>
            <w:r w:rsidRPr="003130B8" w:rsidR="00CB4741">
              <w:t>"</w:t>
            </w:r>
            <w:r w:rsidRPr="003130B8">
              <w:t xml:space="preserve">, kas noteica paredzētās darbības (Rail Baltica būvniecība) vietu (dzelzceļa līnijas trases izvietojumu) Latvijas teritorijā. Sekojošais MK </w:t>
            </w:r>
            <w:r w:rsidRPr="003130B8" w:rsidR="002B5B08">
              <w:t>2016.</w:t>
            </w:r>
            <w:r w:rsidRPr="003130B8" w:rsidR="00305CB7">
              <w:t> </w:t>
            </w:r>
            <w:r w:rsidRPr="003130B8" w:rsidR="002B5B08">
              <w:t>gada 24.</w:t>
            </w:r>
            <w:r w:rsidRPr="003130B8" w:rsidR="00305CB7">
              <w:t> </w:t>
            </w:r>
            <w:r w:rsidRPr="003130B8" w:rsidR="002B5B08">
              <w:t xml:space="preserve">augusta </w:t>
            </w:r>
            <w:r w:rsidRPr="003130B8">
              <w:t>rīkojums Nr.</w:t>
            </w:r>
            <w:r w:rsidRPr="003130B8" w:rsidR="00305CB7">
              <w:t> </w:t>
            </w:r>
            <w:r w:rsidRPr="003130B8">
              <w:t xml:space="preserve">468 </w:t>
            </w:r>
            <w:r w:rsidRPr="003130B8" w:rsidR="00305CB7">
              <w:t>"</w:t>
            </w:r>
            <w:r w:rsidRPr="003130B8">
              <w:t>Par nacionālo interešu objekta statusa noteikšanu Eiropas standarta platuma publiskās lietošanas infrastruktūrai Rail Baltica</w:t>
            </w:r>
            <w:r w:rsidRPr="003130B8" w:rsidR="00305CB7">
              <w:t>"</w:t>
            </w:r>
            <w:r w:rsidRPr="003130B8">
              <w:t xml:space="preserve"> noteica nepieciešamību Rail Baltica teritoriju publicēt Teritorijas attīstības plānošanas informācijas sistēmā. Turpmākie MK </w:t>
            </w:r>
            <w:r w:rsidRPr="003130B8" w:rsidR="002B5B08">
              <w:t>2018.</w:t>
            </w:r>
            <w:r w:rsidRPr="003130B8" w:rsidR="00305CB7">
              <w:t> </w:t>
            </w:r>
            <w:r w:rsidRPr="003130B8" w:rsidR="002B5B08">
              <w:t>gada 13.</w:t>
            </w:r>
            <w:r w:rsidRPr="003130B8" w:rsidR="00305CB7">
              <w:t> </w:t>
            </w:r>
            <w:r w:rsidRPr="003130B8" w:rsidR="002B5B08">
              <w:t xml:space="preserve">februāra </w:t>
            </w:r>
            <w:r w:rsidRPr="003130B8">
              <w:t>noteikumi Nr.</w:t>
            </w:r>
            <w:r w:rsidRPr="003130B8" w:rsidR="004A1CE1">
              <w:t> </w:t>
            </w:r>
            <w:r w:rsidRPr="003130B8">
              <w:t xml:space="preserve">91 </w:t>
            </w:r>
            <w:r w:rsidRPr="003130B8" w:rsidR="00CB4741">
              <w:t>"</w:t>
            </w:r>
            <w:r w:rsidRPr="003130B8">
              <w:t>Noteikumi par nacionālo interešu objekta – Eiropas standarta platuma publiskās lietošanas dzelzceļa infrastruktūras  Rail Baltica – teritorijas izmantošanas nosacījumiem</w:t>
            </w:r>
            <w:r w:rsidRPr="003130B8" w:rsidR="00CB4741">
              <w:t>"</w:t>
            </w:r>
            <w:r w:rsidRPr="003130B8">
              <w:t xml:space="preserve"> noteica Rail Baltica teritorijas izmantošanas nosacījumus, kā rezultātā lokālplānojumu izstrāde tika pabeigta. </w:t>
            </w:r>
          </w:p>
          <w:p w:rsidRPr="003130B8" w:rsidR="00FF3BC4" w:rsidP="00AA2D9C" w:rsidRDefault="00FF3BC4" w14:paraId="7B322665" w14:textId="6F591075">
            <w:pPr>
              <w:ind w:firstLine="284"/>
              <w:jc w:val="both"/>
            </w:pPr>
            <w:r w:rsidRPr="003130B8">
              <w:t>2018.</w:t>
            </w:r>
            <w:r w:rsidRPr="003130B8" w:rsidR="00305CB7">
              <w:t> </w:t>
            </w:r>
            <w:r w:rsidRPr="003130B8">
              <w:t>gadā Ministrija uzsāka Rail Baltica dzelzceļa infrastruktūras detalizēto būvprojektu izstrādi saskaņā ar Rail Baltica Tehniskajām vadlīnijām, kas izvirza stingrākas tehniskās prasības nekā sākotnēji tika plānots, tostarp pasažieru vilcienu ātruma palielināšanu līdz 249</w:t>
            </w:r>
            <w:r w:rsidRPr="003130B8" w:rsidR="00305CB7">
              <w:t> </w:t>
            </w:r>
            <w:r w:rsidRPr="003130B8">
              <w:t>km/h un kravas vilcienu ātruma palielināšanu līdz 120</w:t>
            </w:r>
            <w:r w:rsidRPr="003130B8" w:rsidR="00305CB7">
              <w:t> </w:t>
            </w:r>
            <w:r w:rsidRPr="003130B8">
              <w:t xml:space="preserve">km/h, kā rezultātā atsevišķos Rail Baltica dzelzceļa līnijas posmos tiek </w:t>
            </w:r>
            <w:r w:rsidRPr="003130B8">
              <w:lastRenderedPageBreak/>
              <w:t>mainīts trases novietojums. Turklāt 2020.</w:t>
            </w:r>
            <w:r w:rsidRPr="003130B8" w:rsidR="00305CB7">
              <w:t> </w:t>
            </w:r>
            <w:r w:rsidRPr="003130B8">
              <w:t>gadā Baltijas valstis pieņēma lēmumu papildus Rail Baltica starptautiskajiem pārvadājumiem veidot arī reģionālos pārvadājumus, kā rezultātā Latvijas teritorijā tiek veidotas 17 reģionālās stacijas.</w:t>
            </w:r>
          </w:p>
          <w:p w:rsidRPr="003130B8" w:rsidR="0035252E" w:rsidP="00AA2D9C" w:rsidRDefault="00FF3BC4" w14:paraId="56E04AA8" w14:textId="0787D782">
            <w:pPr>
              <w:ind w:firstLine="284"/>
              <w:jc w:val="both"/>
            </w:pPr>
            <w:r w:rsidRPr="003130B8">
              <w:t xml:space="preserve"> Minēto darbību (detalizēto būvprojektu izstrāde) un lēmumu (Rail Baltica reģionālā satiksme) rezultātā nepieciešams precizēt izstrādātos </w:t>
            </w:r>
            <w:proofErr w:type="spellStart"/>
            <w:r w:rsidRPr="003130B8">
              <w:t>lokālplānojumus</w:t>
            </w:r>
            <w:proofErr w:type="spellEnd"/>
            <w:r w:rsidRPr="003130B8">
              <w:t xml:space="preserve">. Tā kā EK lokālplānojumu izstrādi finansēja </w:t>
            </w:r>
            <w:r w:rsidRPr="003130B8" w:rsidR="002B5B08">
              <w:t>projekta Nr.</w:t>
            </w:r>
            <w:r w:rsidRPr="003130B8" w:rsidR="00305CB7">
              <w:t> </w:t>
            </w:r>
            <w:r w:rsidRPr="003130B8" w:rsidR="002B5B08">
              <w:t>2012</w:t>
            </w:r>
            <w:r w:rsidRPr="003130B8" w:rsidR="00CB4741">
              <w:noBreakHyphen/>
            </w:r>
            <w:r w:rsidRPr="003130B8" w:rsidR="002B5B08">
              <w:t>LV</w:t>
            </w:r>
            <w:r w:rsidRPr="003130B8" w:rsidR="00CB4741">
              <w:noBreakHyphen/>
            </w:r>
            <w:r w:rsidRPr="003130B8" w:rsidR="002B5B08">
              <w:t>27120</w:t>
            </w:r>
            <w:r w:rsidRPr="003130B8" w:rsidR="00CB4741">
              <w:noBreakHyphen/>
            </w:r>
            <w:r w:rsidRPr="003130B8" w:rsidR="002B5B08">
              <w:t xml:space="preserve">S "Dzelzceļa līnijas Rail Baltica Latvijas posma skiču projekta izstrāde un darbību izpēte" </w:t>
            </w:r>
            <w:r w:rsidRPr="003130B8">
              <w:t>ietvaros</w:t>
            </w:r>
            <w:r w:rsidRPr="003130B8" w:rsidR="002B5B08">
              <w:t>,</w:t>
            </w:r>
            <w:r w:rsidRPr="003130B8">
              <w:t xml:space="preserve"> un EK finansējuma piešķīruma nosacījumi nepieļauj atkārtotu identiskas aktivitātes (lokālplānojumu izstrāde) finansēšanu, Ministrijai</w:t>
            </w:r>
            <w:r w:rsidRPr="003130B8" w:rsidR="00924998">
              <w:t xml:space="preserve"> </w:t>
            </w:r>
            <w:r w:rsidRPr="003130B8">
              <w:t>lokālplānojumu precizējumu iepirkumam nepieciešams rast citu finanšu resursu</w:t>
            </w:r>
            <w:r w:rsidRPr="003130B8" w:rsidR="002B5B08">
              <w:t xml:space="preserve"> avotu</w:t>
            </w:r>
            <w:r w:rsidRPr="003130B8">
              <w:t>. Tirgus izpēte un ekspertu aplēses rāda, ka</w:t>
            </w:r>
            <w:r w:rsidRPr="003130B8" w:rsidR="00052904">
              <w:t xml:space="preserve"> iepriekš veikto</w:t>
            </w:r>
            <w:r w:rsidRPr="003130B8">
              <w:t xml:space="preserve"> lokālplānojumu precizēšanai varētu būt nepieciešami </w:t>
            </w:r>
            <w:r w:rsidRPr="003130B8">
              <w:rPr>
                <w:b/>
                <w:bCs/>
              </w:rPr>
              <w:t>130</w:t>
            </w:r>
            <w:r w:rsidRPr="003130B8" w:rsidR="00305CB7">
              <w:rPr>
                <w:b/>
                <w:bCs/>
              </w:rPr>
              <w:t> </w:t>
            </w:r>
            <w:r w:rsidRPr="003130B8">
              <w:rPr>
                <w:b/>
                <w:bCs/>
              </w:rPr>
              <w:t>000</w:t>
            </w:r>
            <w:r w:rsidRPr="003130B8" w:rsidR="00305CB7">
              <w:rPr>
                <w:b/>
                <w:bCs/>
              </w:rPr>
              <w:t> </w:t>
            </w:r>
            <w:proofErr w:type="spellStart"/>
            <w:r w:rsidRPr="003130B8">
              <w:rPr>
                <w:b/>
                <w:bCs/>
                <w:i/>
                <w:iCs/>
              </w:rPr>
              <w:t>euro</w:t>
            </w:r>
            <w:proofErr w:type="spellEnd"/>
            <w:r w:rsidRPr="003130B8">
              <w:t>. Lokālplānojumu izstrāde veicama 2021.-2022.</w:t>
            </w:r>
            <w:r w:rsidRPr="003130B8" w:rsidR="00305CB7">
              <w:t> </w:t>
            </w:r>
            <w:r w:rsidRPr="003130B8">
              <w:t>gadā, jo 2023.</w:t>
            </w:r>
            <w:r w:rsidRPr="003130B8" w:rsidR="00305CB7">
              <w:t> </w:t>
            </w:r>
            <w:r w:rsidRPr="003130B8">
              <w:t xml:space="preserve">gadā Latvijas teritorijā tiek uzsākti liela apjoma būvniecības darbi. Lokālplānojumu iepirkums tiks deleģēts </w:t>
            </w:r>
            <w:proofErr w:type="spellStart"/>
            <w:r w:rsidRPr="003130B8">
              <w:t>ED</w:t>
            </w:r>
            <w:r w:rsidRPr="003130B8" w:rsidR="0035252E">
              <w:t>z</w:t>
            </w:r>
            <w:r w:rsidRPr="003130B8">
              <w:t>L</w:t>
            </w:r>
            <w:proofErr w:type="spellEnd"/>
            <w:r w:rsidRPr="003130B8">
              <w:t xml:space="preserve">, kas </w:t>
            </w:r>
            <w:r w:rsidRPr="003130B8" w:rsidR="0035252E">
              <w:t xml:space="preserve">RB </w:t>
            </w:r>
            <w:r w:rsidRPr="003130B8">
              <w:t>projekta ietvaros īsteno Latvijas nacionālās aktivitātes.</w:t>
            </w:r>
          </w:p>
          <w:p w:rsidRPr="003130B8" w:rsidR="00543B30" w:rsidP="00921B43" w:rsidRDefault="00543B30" w14:paraId="0EDFB4CA" w14:textId="3452D465">
            <w:pPr>
              <w:ind w:firstLine="284"/>
              <w:jc w:val="both"/>
            </w:pPr>
            <w:r w:rsidRPr="003130B8">
              <w:t>Rīgā ir plānota četru Rail Baltica reģionālo staciju izveide: Imanta, Zasulauks, Torņakalns un Slāvu tilts</w:t>
            </w:r>
            <w:r w:rsidRPr="003130B8" w:rsidR="00924998">
              <w:t xml:space="preserve">. </w:t>
            </w:r>
            <w:r w:rsidRPr="003130B8">
              <w:t xml:space="preserve">Līdz ar to četru jaunu Rail Baltica reģionālo staciju iekļaušana lokālplānojuma apjomā ir būtiski lokālplānojuma teritorijas un lokālplānojuma darba uzdevuma papildinājumi, jo tas prasīs izstrādāt attiecīgās pilsētas teritorijas transporta infrastruktūras pārbūvi, kā arī līdz šim izstrādāto lokālplānojuma risinājumu pārskatīšanu no transporta organizācijas, vides pieejamības, publiskās ārtelpas, ietekmes uz vidi novērtējuma u.c. aspektiem. </w:t>
            </w:r>
            <w:r w:rsidRPr="003130B8" w:rsidR="00924998">
              <w:t>Sa</w:t>
            </w:r>
            <w:r w:rsidRPr="003130B8" w:rsidR="00726542">
              <w:t>s</w:t>
            </w:r>
            <w:r w:rsidRPr="003130B8" w:rsidR="00924998">
              <w:t xml:space="preserve">kaņā ar </w:t>
            </w:r>
            <w:proofErr w:type="spellStart"/>
            <w:r w:rsidRPr="003130B8" w:rsidR="00924998">
              <w:t>EDzL</w:t>
            </w:r>
            <w:proofErr w:type="spellEnd"/>
            <w:r w:rsidRPr="003130B8" w:rsidR="00924998">
              <w:t xml:space="preserve"> ekspertu viedokli papildus izmaksas varētu veidot </w:t>
            </w:r>
            <w:r w:rsidRPr="003130B8" w:rsidR="00924998">
              <w:rPr>
                <w:b/>
                <w:bCs/>
              </w:rPr>
              <w:t>2</w:t>
            </w:r>
            <w:r w:rsidRPr="003130B8" w:rsidR="00DE1611">
              <w:rPr>
                <w:b/>
                <w:bCs/>
              </w:rPr>
              <w:t>4</w:t>
            </w:r>
            <w:r w:rsidRPr="003130B8" w:rsidR="00924998">
              <w:rPr>
                <w:b/>
                <w:bCs/>
              </w:rPr>
              <w:t> 000</w:t>
            </w:r>
            <w:r w:rsidRPr="003130B8" w:rsidR="00305CB7">
              <w:rPr>
                <w:b/>
                <w:bCs/>
              </w:rPr>
              <w:t> </w:t>
            </w:r>
            <w:proofErr w:type="spellStart"/>
            <w:r w:rsidRPr="003130B8" w:rsidR="00924998">
              <w:rPr>
                <w:b/>
                <w:bCs/>
                <w:i/>
                <w:iCs/>
              </w:rPr>
              <w:t>euro</w:t>
            </w:r>
            <w:proofErr w:type="spellEnd"/>
            <w:r w:rsidRPr="003130B8" w:rsidR="00924998">
              <w:t>.  Staciju lokālplānojumu izstrāde veicama 2021.-2022.</w:t>
            </w:r>
            <w:r w:rsidRPr="003130B8" w:rsidR="00305CB7">
              <w:t> </w:t>
            </w:r>
            <w:r w:rsidRPr="003130B8" w:rsidR="00924998">
              <w:t>gadā.</w:t>
            </w:r>
          </w:p>
          <w:p w:rsidR="00543B30" w:rsidP="00C85D02" w:rsidRDefault="00A40A4C" w14:paraId="1A1ABD5F" w14:textId="146DB8D8">
            <w:pPr>
              <w:ind w:firstLine="284"/>
              <w:jc w:val="both"/>
              <w:rPr>
                <w:b/>
                <w:bCs/>
              </w:rPr>
            </w:pPr>
            <w:r w:rsidRPr="003130B8">
              <w:t>Tādejādi l</w:t>
            </w:r>
            <w:r w:rsidRPr="003130B8" w:rsidR="00924998">
              <w:t>okālplānojumu izstrādei 2021.</w:t>
            </w:r>
            <w:r w:rsidRPr="003130B8" w:rsidR="00305CB7">
              <w:t> </w:t>
            </w:r>
            <w:r w:rsidRPr="003130B8" w:rsidR="00924998">
              <w:t xml:space="preserve">gadā ir nepieciešami </w:t>
            </w:r>
            <w:r w:rsidRPr="003130B8" w:rsidR="00924998">
              <w:rPr>
                <w:b/>
                <w:bCs/>
              </w:rPr>
              <w:t>15</w:t>
            </w:r>
            <w:r w:rsidRPr="003130B8" w:rsidR="00DE1611">
              <w:rPr>
                <w:b/>
                <w:bCs/>
              </w:rPr>
              <w:t>4</w:t>
            </w:r>
            <w:r w:rsidRPr="003130B8" w:rsidR="00924998">
              <w:rPr>
                <w:b/>
                <w:bCs/>
              </w:rPr>
              <w:t> 000</w:t>
            </w:r>
            <w:r w:rsidRPr="003130B8" w:rsidR="00305CB7">
              <w:rPr>
                <w:b/>
                <w:bCs/>
              </w:rPr>
              <w:t> </w:t>
            </w:r>
            <w:proofErr w:type="spellStart"/>
            <w:r w:rsidRPr="003130B8" w:rsidR="00924998">
              <w:rPr>
                <w:b/>
                <w:bCs/>
                <w:i/>
                <w:iCs/>
              </w:rPr>
              <w:t>euro</w:t>
            </w:r>
            <w:proofErr w:type="spellEnd"/>
            <w:r w:rsidRPr="003130B8" w:rsidR="00924998">
              <w:rPr>
                <w:b/>
                <w:bCs/>
              </w:rPr>
              <w:t>.</w:t>
            </w:r>
          </w:p>
          <w:p w:rsidRPr="003130B8" w:rsidR="00E510CF" w:rsidP="00C85D02" w:rsidRDefault="00E510CF" w14:paraId="5058EC91" w14:textId="0B20BE85">
            <w:pPr>
              <w:ind w:firstLine="284"/>
              <w:jc w:val="both"/>
            </w:pPr>
            <w:r>
              <w:rPr>
                <w:b/>
                <w:bCs/>
              </w:rPr>
              <w:t xml:space="preserve">Lai nodrošinātu </w:t>
            </w:r>
            <w:r w:rsidR="004F4A0D">
              <w:rPr>
                <w:b/>
                <w:bCs/>
              </w:rPr>
              <w:t>normatīvajos aktos noteikto</w:t>
            </w:r>
            <w:r w:rsidR="005A3F97">
              <w:rPr>
                <w:b/>
                <w:bCs/>
              </w:rPr>
              <w:t>s</w:t>
            </w:r>
            <w:r w:rsidR="004F4A0D">
              <w:rPr>
                <w:b/>
                <w:bCs/>
              </w:rPr>
              <w:t xml:space="preserve"> pienākumu</w:t>
            </w:r>
            <w:r w:rsidR="005A3F97">
              <w:rPr>
                <w:b/>
                <w:bCs/>
              </w:rPr>
              <w:t>s</w:t>
            </w:r>
            <w:r w:rsidR="004F4A0D">
              <w:rPr>
                <w:b/>
                <w:bCs/>
              </w:rPr>
              <w:t xml:space="preserve"> attiecībā uz nekustamā īpašuma apsaimniekošanu</w:t>
            </w:r>
            <w:r w:rsidR="00483171">
              <w:rPr>
                <w:b/>
                <w:bCs/>
              </w:rPr>
              <w:t xml:space="preserve"> izpildi un </w:t>
            </w:r>
            <w:proofErr w:type="spellStart"/>
            <w:r w:rsidR="00483171">
              <w:rPr>
                <w:b/>
                <w:bCs/>
              </w:rPr>
              <w:t>lokālplānojumu</w:t>
            </w:r>
            <w:proofErr w:type="spellEnd"/>
            <w:r w:rsidR="00483171">
              <w:rPr>
                <w:b/>
                <w:bCs/>
              </w:rPr>
              <w:t xml:space="preserve"> precizēšanu</w:t>
            </w:r>
            <w:r w:rsidR="00D94B4E">
              <w:rPr>
                <w:b/>
                <w:bCs/>
              </w:rPr>
              <w:t>,</w:t>
            </w:r>
            <w:r w:rsidR="00483171">
              <w:rPr>
                <w:b/>
                <w:bCs/>
              </w:rPr>
              <w:t xml:space="preserve"> Ministrija </w:t>
            </w:r>
            <w:r w:rsidR="000B01AB">
              <w:rPr>
                <w:b/>
                <w:bCs/>
              </w:rPr>
              <w:t>deleģēs šos uzdevumus</w:t>
            </w:r>
            <w:r w:rsidR="000B01AB">
              <w:t xml:space="preserve"> </w:t>
            </w:r>
            <w:proofErr w:type="spellStart"/>
            <w:r w:rsidRPr="000B01AB" w:rsidR="000B01AB">
              <w:rPr>
                <w:b/>
                <w:bCs/>
              </w:rPr>
              <w:t>EDzL</w:t>
            </w:r>
            <w:proofErr w:type="spellEnd"/>
            <w:r w:rsidR="005A3F97">
              <w:rPr>
                <w:b/>
                <w:bCs/>
              </w:rPr>
              <w:t xml:space="preserve"> ar deleģēšanas līguma starpniecību.</w:t>
            </w:r>
          </w:p>
          <w:p w:rsidRPr="003130B8" w:rsidR="003C48C0" w:rsidP="003C48C0" w:rsidRDefault="003C48C0" w14:paraId="00AFF1E8" w14:textId="017BEC58">
            <w:pPr>
              <w:ind w:firstLine="284"/>
              <w:jc w:val="both"/>
            </w:pPr>
            <w:proofErr w:type="spellStart"/>
            <w:r w:rsidRPr="003130B8">
              <w:rPr>
                <w:rFonts w:eastAsia="PMingLiU"/>
              </w:rPr>
              <w:t>EDzL</w:t>
            </w:r>
            <w:proofErr w:type="spellEnd"/>
            <w:r w:rsidRPr="003130B8">
              <w:rPr>
                <w:rFonts w:eastAsia="PMingLiU"/>
              </w:rPr>
              <w:t xml:space="preserve"> darbība ir pilnībā saistīta ar RB projekta īstenošanu</w:t>
            </w:r>
            <w:r w:rsidRPr="003130B8">
              <w:rPr>
                <w:rFonts w:eastAsia="Calibri"/>
              </w:rPr>
              <w:t>, ieviešot Ministrijas deleģēt</w:t>
            </w:r>
            <w:r w:rsidRPr="003130B8" w:rsidR="007A529D">
              <w:rPr>
                <w:rFonts w:eastAsia="Calibri"/>
              </w:rPr>
              <w:t>os</w:t>
            </w:r>
            <w:r w:rsidRPr="003130B8">
              <w:rPr>
                <w:rFonts w:eastAsia="Calibri"/>
              </w:rPr>
              <w:t xml:space="preserve"> </w:t>
            </w:r>
            <w:r w:rsidRPr="003130B8" w:rsidR="007A529D">
              <w:rPr>
                <w:rFonts w:eastAsia="Calibri"/>
              </w:rPr>
              <w:t>uzdevumus</w:t>
            </w:r>
            <w:r w:rsidRPr="003130B8">
              <w:rPr>
                <w:rFonts w:eastAsia="Calibri"/>
              </w:rPr>
              <w:t xml:space="preserve">. </w:t>
            </w:r>
            <w:proofErr w:type="spellStart"/>
            <w:r w:rsidRPr="003130B8">
              <w:rPr>
                <w:rFonts w:eastAsia="PMingLiU"/>
              </w:rPr>
              <w:t>EDzL</w:t>
            </w:r>
            <w:proofErr w:type="spellEnd"/>
            <w:r w:rsidRPr="003130B8">
              <w:rPr>
                <w:rFonts w:eastAsia="PMingLiU"/>
              </w:rPr>
              <w:t xml:space="preserve"> ir viens no RB projekta īstenotājiem</w:t>
            </w:r>
            <w:r w:rsidRPr="003130B8" w:rsidR="007A529D">
              <w:rPr>
                <w:rFonts w:eastAsia="PMingLiU"/>
              </w:rPr>
              <w:t>,</w:t>
            </w:r>
            <w:r w:rsidRPr="003130B8">
              <w:rPr>
                <w:rFonts w:eastAsia="PMingLiU"/>
              </w:rPr>
              <w:t xml:space="preserve"> </w:t>
            </w:r>
            <w:r w:rsidRPr="00170336" w:rsidR="00837166">
              <w:rPr>
                <w:color w:val="000000" w:themeColor="text1"/>
              </w:rPr>
              <w:t xml:space="preserve">kas nesniedz pakalpojumus tirgū, bet </w:t>
            </w:r>
            <w:r w:rsidR="00837166">
              <w:rPr>
                <w:color w:val="000000" w:themeColor="text1"/>
              </w:rPr>
              <w:t xml:space="preserve">tikai </w:t>
            </w:r>
            <w:r w:rsidRPr="00170336" w:rsidR="00837166">
              <w:rPr>
                <w:color w:val="000000" w:themeColor="text1"/>
              </w:rPr>
              <w:t xml:space="preserve">nodrošina  </w:t>
            </w:r>
            <w:r w:rsidR="00837166">
              <w:rPr>
                <w:color w:val="000000" w:themeColor="text1"/>
              </w:rPr>
              <w:t>d</w:t>
            </w:r>
            <w:r w:rsidRPr="00170336" w:rsidR="00837166">
              <w:rPr>
                <w:color w:val="000000" w:themeColor="text1"/>
              </w:rPr>
              <w:t>eleģēšanas līguma izpildi</w:t>
            </w:r>
            <w:r w:rsidRPr="003130B8" w:rsidDel="00837166" w:rsidR="00837166">
              <w:t xml:space="preserve"> </w:t>
            </w:r>
            <w:r w:rsidRPr="003130B8">
              <w:rPr>
                <w:rFonts w:eastAsia="PMingLiU"/>
              </w:rPr>
              <w:t xml:space="preserve">, tāpēc </w:t>
            </w:r>
            <w:proofErr w:type="spellStart"/>
            <w:r w:rsidRPr="003130B8">
              <w:rPr>
                <w:rFonts w:eastAsia="PMingLiU"/>
              </w:rPr>
              <w:t>EDzL</w:t>
            </w:r>
            <w:proofErr w:type="spellEnd"/>
            <w:r w:rsidRPr="003130B8">
              <w:rPr>
                <w:rFonts w:eastAsia="PMingLiU"/>
              </w:rPr>
              <w:t xml:space="preserve"> nav savu ienākumu.</w:t>
            </w:r>
            <w:r w:rsidRPr="003130B8">
              <w:rPr>
                <w:rFonts w:eastAsia="Calibri"/>
              </w:rPr>
              <w:t xml:space="preserve"> </w:t>
            </w:r>
            <w:r w:rsidRPr="003130B8">
              <w:t xml:space="preserve">Vienlaikus </w:t>
            </w:r>
            <w:proofErr w:type="spellStart"/>
            <w:r w:rsidRPr="003130B8">
              <w:t>EDzL</w:t>
            </w:r>
            <w:proofErr w:type="spellEnd"/>
            <w:r w:rsidRPr="003130B8">
              <w:t xml:space="preserve"> </w:t>
            </w:r>
            <w:r w:rsidRPr="003130B8" w:rsidR="007A529D">
              <w:t>ir jānodrošina Rail Baltica būvniecībai nepieciešamo nekustamo īpašumu apsaimniekošan</w:t>
            </w:r>
            <w:r w:rsidR="009A3B5D">
              <w:t>u</w:t>
            </w:r>
            <w:r w:rsidRPr="003130B8" w:rsidR="007A529D">
              <w:t xml:space="preserve">, taču šīs </w:t>
            </w:r>
            <w:r w:rsidRPr="003130B8">
              <w:t xml:space="preserve">izmaksas </w:t>
            </w:r>
            <w:proofErr w:type="spellStart"/>
            <w:r w:rsidRPr="003130B8" w:rsidR="007A529D">
              <w:t>EDzL</w:t>
            </w:r>
            <w:proofErr w:type="spellEnd"/>
            <w:r w:rsidRPr="003130B8" w:rsidR="007A529D">
              <w:t xml:space="preserve"> </w:t>
            </w:r>
            <w:r w:rsidRPr="003130B8">
              <w:t>nebūtu radušās, ja RB projekts netiktu īstenots.</w:t>
            </w:r>
          </w:p>
          <w:p w:rsidRPr="003130B8" w:rsidR="003C48C0" w:rsidP="003C48C0" w:rsidRDefault="003C48C0" w14:paraId="78E00295" w14:textId="20D28B5D">
            <w:pPr>
              <w:ind w:firstLine="357"/>
              <w:jc w:val="both"/>
            </w:pPr>
            <w:proofErr w:type="spellStart"/>
            <w:r w:rsidRPr="003130B8">
              <w:rPr>
                <w:rFonts w:eastAsia="Calibri"/>
              </w:rPr>
              <w:t>EDzL</w:t>
            </w:r>
            <w:proofErr w:type="spellEnd"/>
            <w:r w:rsidRPr="003130B8">
              <w:rPr>
                <w:rFonts w:eastAsia="Calibri"/>
              </w:rPr>
              <w:t xml:space="preserve"> </w:t>
            </w:r>
            <w:r w:rsidRPr="003130B8" w:rsidR="007A529D">
              <w:rPr>
                <w:rFonts w:eastAsia="Calibri"/>
              </w:rPr>
              <w:t>un</w:t>
            </w:r>
            <w:r w:rsidRPr="003130B8">
              <w:rPr>
                <w:rFonts w:eastAsia="Calibri"/>
              </w:rPr>
              <w:t xml:space="preserve"> AS </w:t>
            </w:r>
            <w:r w:rsidRPr="003130B8" w:rsidR="00305CB7">
              <w:t>"</w:t>
            </w:r>
            <w:r w:rsidRPr="003130B8">
              <w:rPr>
                <w:rFonts w:eastAsia="Calibri"/>
              </w:rPr>
              <w:t>RB Rail</w:t>
            </w:r>
            <w:r w:rsidRPr="003130B8" w:rsidR="00305CB7">
              <w:t>"</w:t>
            </w:r>
            <w:r w:rsidRPr="003130B8">
              <w:rPr>
                <w:rFonts w:eastAsia="Calibri"/>
              </w:rPr>
              <w:t xml:space="preserve"> </w:t>
            </w:r>
            <w:r w:rsidRPr="003130B8" w:rsidR="007A529D">
              <w:rPr>
                <w:rFonts w:eastAsia="Calibri"/>
              </w:rPr>
              <w:t xml:space="preserve">ir deleģēti uzdevumi, lai </w:t>
            </w:r>
            <w:r w:rsidRPr="003130B8">
              <w:rPr>
                <w:rFonts w:eastAsia="Calibri"/>
              </w:rPr>
              <w:t>nodrošin</w:t>
            </w:r>
            <w:r w:rsidRPr="003130B8" w:rsidR="007A529D">
              <w:rPr>
                <w:rFonts w:eastAsia="Calibri"/>
              </w:rPr>
              <w:t>ātu</w:t>
            </w:r>
            <w:r w:rsidRPr="003130B8">
              <w:rPr>
                <w:rFonts w:eastAsia="Calibri"/>
              </w:rPr>
              <w:t xml:space="preserve"> </w:t>
            </w:r>
            <w:r w:rsidRPr="003130B8">
              <w:t>infrastruktūras objekt</w:t>
            </w:r>
            <w:r w:rsidRPr="003130B8" w:rsidR="007A529D">
              <w:t>u</w:t>
            </w:r>
            <w:r w:rsidRPr="003130B8">
              <w:t xml:space="preserve"> izveid</w:t>
            </w:r>
            <w:r w:rsidRPr="003130B8" w:rsidR="007A529D">
              <w:t>i</w:t>
            </w:r>
            <w:r w:rsidRPr="003130B8">
              <w:t>.</w:t>
            </w:r>
            <w:r w:rsidRPr="003130B8" w:rsidR="00AB2CC3">
              <w:t xml:space="preserve"> Tam nepieciešams iegūt tiesības uz lielu skaitu nekustamo īpašumu, kuri būs </w:t>
            </w:r>
            <w:r w:rsidRPr="003130B8" w:rsidR="00AB2CC3">
              <w:lastRenderedPageBreak/>
              <w:t xml:space="preserve">jāapsaimnieko līdz būvniecības uzsākšanai un būvdarbu starplaikos, ja tādi radīsies. Tā kā apsaimniekošana ir RB projekta netiešās izmaksas, tas nevar tikt attiecinātas no CEF finansēšanas līgumu finanšu resursiem, un ir jāsedz no šim mērķim atvēlētiem valsts budžeta līdzekļiem. </w:t>
            </w:r>
            <w:proofErr w:type="spellStart"/>
            <w:r w:rsidRPr="003130B8" w:rsidR="00AB2CC3">
              <w:t>EDzL</w:t>
            </w:r>
            <w:proofErr w:type="spellEnd"/>
            <w:r w:rsidRPr="003130B8" w:rsidR="00AB2CC3">
              <w:t xml:space="preserve"> nav paredzēts veikt saimniecisko darbību ar tā pārvaldībā esošajiem valsts nekustamajiem īpašumiem.</w:t>
            </w:r>
            <w:r w:rsidRPr="003130B8">
              <w:t xml:space="preserve"> </w:t>
            </w:r>
          </w:p>
          <w:p w:rsidRPr="003130B8" w:rsidR="00587798" w:rsidP="00763792" w:rsidRDefault="003C48C0" w14:paraId="17B964AA" w14:textId="2314AAE4">
            <w:pPr>
              <w:ind w:firstLine="424"/>
              <w:jc w:val="both"/>
            </w:pPr>
            <w:r w:rsidRPr="003130B8">
              <w:t xml:space="preserve">Turklāt nav paredzēts, ka </w:t>
            </w:r>
            <w:proofErr w:type="spellStart"/>
            <w:r w:rsidRPr="003130B8">
              <w:t>EDzL</w:t>
            </w:r>
            <w:proofErr w:type="spellEnd"/>
            <w:r w:rsidRPr="003130B8">
              <w:t xml:space="preserve"> piedāvās infrastruktūras pārvaldīšanas pakalpojumus vai organizēs precizēto lokālplānojumu iepirkumus ārpus RB projekta īstenošanas.</w:t>
            </w:r>
            <w:r w:rsidRPr="003130B8" w:rsidR="007F5F01">
              <w:t xml:space="preserve"> </w:t>
            </w:r>
            <w:proofErr w:type="spellStart"/>
            <w:r w:rsidRPr="003130B8" w:rsidR="007F5F01">
              <w:t>EDzL</w:t>
            </w:r>
            <w:proofErr w:type="spellEnd"/>
            <w:r w:rsidRPr="003130B8" w:rsidR="007F5F01">
              <w:t xml:space="preserve"> nekonkurēs apsaimniekošanas tirgū un neattīstīs tādu kapacitāti, lai piedāvātu pakalpojumus par samaksu citiem. Apsaimniekošana tiks veikta tikai RB projekta vajadzībām, pamatā iepērkot ārpakalpojumu</w:t>
            </w:r>
            <w:r w:rsidRPr="003130B8" w:rsidR="00AB2CC3">
              <w:t xml:space="preserve"> atklāta konkursa kārtībā</w:t>
            </w:r>
            <w:r w:rsidRPr="003130B8" w:rsidR="007F5F01">
              <w:t>.</w:t>
            </w:r>
            <w:r w:rsidRPr="003130B8">
              <w:t xml:space="preserve"> </w:t>
            </w:r>
            <w:r w:rsidRPr="00530101" w:rsidR="00502B25">
              <w:t>Paredzēts, ka apsaimniekošanas pakalpojumu iepirkums tiks veikts, ievērojot publisk</w:t>
            </w:r>
            <w:r w:rsidR="009A3B5D">
              <w:t>o</w:t>
            </w:r>
            <w:r w:rsidRPr="00530101" w:rsidR="00502B25">
              <w:t xml:space="preserve"> iepirkum</w:t>
            </w:r>
            <w:r w:rsidR="009A3B5D">
              <w:t>u</w:t>
            </w:r>
            <w:r w:rsidRPr="00530101" w:rsidR="00502B25">
              <w:t xml:space="preserve"> tiesisko regulējumu</w:t>
            </w:r>
            <w:r w:rsidR="009A3B5D">
              <w:t>,</w:t>
            </w:r>
            <w:r w:rsidRPr="00530101" w:rsidR="00502B25">
              <w:t xml:space="preserve"> un tiks organizēta konkurenci nodrošinoša, pārredzama, nediskriminējoša un beznosacījumu publiskā iepirkuma konkursa procedūra, kas atbilst publiskā iepirkuma principiem. </w:t>
            </w:r>
            <w:r w:rsidRPr="00530101" w:rsidR="00530101">
              <w:t>Tādejādi tiks izslēgta ekonomisko priekšrocību piešķiršana preču piegādātāju un pakalpojumu sniedzēju līmenī.</w:t>
            </w:r>
          </w:p>
          <w:p w:rsidRPr="004756DF" w:rsidR="00FF3BC4" w:rsidP="00763792" w:rsidRDefault="0035252E" w14:paraId="05C4449F" w14:textId="5D8C71BE">
            <w:pPr>
              <w:ind w:firstLine="424"/>
              <w:jc w:val="both"/>
              <w:rPr>
                <w:strike/>
              </w:rPr>
            </w:pPr>
            <w:r w:rsidRPr="00CE1709">
              <w:t>Lai nodrošinātu finansējumu RB projekta īstenošanai nepieciešamo nekustamo īpašumu apsaimniekošanas izmaks</w:t>
            </w:r>
            <w:r w:rsidRPr="000B01AB" w:rsidR="00AA60C1">
              <w:t>u</w:t>
            </w:r>
            <w:r w:rsidRPr="000B01AB">
              <w:t xml:space="preserve"> un </w:t>
            </w:r>
            <w:proofErr w:type="spellStart"/>
            <w:r w:rsidRPr="000B01AB">
              <w:t>lokālplānojumu</w:t>
            </w:r>
            <w:proofErr w:type="spellEnd"/>
            <w:r w:rsidRPr="000B01AB">
              <w:t xml:space="preserve"> precizēšana</w:t>
            </w:r>
            <w:r w:rsidRPr="00CE1709" w:rsidR="00AA60C1">
              <w:t xml:space="preserve">s izmaksu </w:t>
            </w:r>
            <w:r w:rsidRPr="00CE1709" w:rsidR="004756DF">
              <w:t>segšan</w:t>
            </w:r>
            <w:r w:rsidRPr="007C63B9" w:rsidR="004756DF">
              <w:t>ai, Ministrija</w:t>
            </w:r>
            <w:r w:rsidR="00B43E64">
              <w:t xml:space="preserve"> lūdz</w:t>
            </w:r>
            <w:r w:rsidR="001B237C">
              <w:t xml:space="preserve"> atļaut uzņemties papildus valsts </w:t>
            </w:r>
            <w:r w:rsidR="001B237C">
              <w:rPr>
                <w:rFonts w:eastAsia="PMingLiU"/>
              </w:rPr>
              <w:t xml:space="preserve">budžeta saistības Satiksmes ministrijas budžeta apakšprogrammā </w:t>
            </w:r>
            <w:r w:rsidR="001B237C">
              <w:t xml:space="preserve">60.07.00 </w:t>
            </w:r>
            <w:r w:rsidRPr="00F65FED" w:rsidR="004756DF">
              <w:t>"</w:t>
            </w:r>
            <w:r w:rsidR="001B237C">
              <w:t xml:space="preserve">Eiropas transporta infrastruktūras projekti (Rail Baltica)” Rail Baltica projekta īstenošanai </w:t>
            </w:r>
            <w:r w:rsidR="001B237C">
              <w:rPr>
                <w:rFonts w:eastAsia="PMingLiU"/>
              </w:rPr>
              <w:t xml:space="preserve">381 893 </w:t>
            </w:r>
            <w:proofErr w:type="spellStart"/>
            <w:r w:rsidR="001B237C">
              <w:rPr>
                <w:rFonts w:eastAsia="PMingLiU"/>
                <w:i/>
                <w:iCs/>
              </w:rPr>
              <w:t>euro</w:t>
            </w:r>
            <w:proofErr w:type="spellEnd"/>
            <w:r w:rsidR="001B237C">
              <w:rPr>
                <w:rFonts w:eastAsia="PMingLiU"/>
              </w:rPr>
              <w:t xml:space="preserve"> apmērā</w:t>
            </w:r>
            <w:r w:rsidR="00B8303B">
              <w:t xml:space="preserve"> no 74.</w:t>
            </w:r>
            <w:r w:rsidR="004756DF">
              <w:t> </w:t>
            </w:r>
            <w:r w:rsidR="00B8303B">
              <w:t xml:space="preserve">resora </w:t>
            </w:r>
            <w:r w:rsidRPr="00F65FED" w:rsidR="004756DF">
              <w:t>"</w:t>
            </w:r>
            <w:r w:rsidR="00B8303B">
              <w:t>Gadskārtējā valsts budžeta izpildes procesā pārdalāmais finansējums</w:t>
            </w:r>
            <w:r w:rsidRPr="00F65FED" w:rsidR="004756DF">
              <w:t>"</w:t>
            </w:r>
            <w:r w:rsidR="00B8303B">
              <w:t xml:space="preserve"> valsts budžeta programmas 80.00.00 </w:t>
            </w:r>
            <w:r w:rsidRPr="00F65FED" w:rsidR="004756DF">
              <w:t>"</w:t>
            </w:r>
            <w:r w:rsidR="00B8303B">
              <w:t>Nesadalītais finansējums Eiropas Savienības politiku instrumentu un pārējās ārvalstu finanšu palīdzības līdzfinansēto projektu un pasākumu īstenošanai</w:t>
            </w:r>
            <w:r w:rsidRPr="00F65FED" w:rsidR="004756DF">
              <w:t>"</w:t>
            </w:r>
            <w:r w:rsidR="00B8303B">
              <w:t>.</w:t>
            </w:r>
            <w:r w:rsidRPr="007C63B9">
              <w:t xml:space="preserve"> </w:t>
            </w:r>
          </w:p>
        </w:tc>
      </w:tr>
      <w:tr w:rsidRPr="003130B8" w:rsidR="00551A0F" w:rsidTr="00F90F01" w14:paraId="3EFFF5B8" w14:textId="77777777">
        <w:trPr>
          <w:trHeight w:val="476"/>
        </w:trPr>
        <w:tc>
          <w:tcPr>
            <w:tcW w:w="232" w:type="pct"/>
          </w:tcPr>
          <w:p w:rsidRPr="003130B8" w:rsidR="00551A0F" w:rsidP="00017065" w:rsidRDefault="00551A0F" w14:paraId="0C116C14" w14:textId="77777777">
            <w:pPr>
              <w:pStyle w:val="naiskr"/>
              <w:spacing w:before="0" w:beforeAutospacing="0" w:after="0" w:afterAutospacing="0"/>
              <w:ind w:left="57" w:right="57"/>
              <w:jc w:val="center"/>
            </w:pPr>
            <w:r w:rsidRPr="003130B8">
              <w:lastRenderedPageBreak/>
              <w:t>3.</w:t>
            </w:r>
          </w:p>
        </w:tc>
        <w:tc>
          <w:tcPr>
            <w:tcW w:w="1487" w:type="pct"/>
          </w:tcPr>
          <w:p w:rsidRPr="003130B8" w:rsidR="00551A0F" w:rsidP="00017065" w:rsidRDefault="00551A0F" w14:paraId="136BEEE5" w14:textId="4CCDD9C0">
            <w:pPr>
              <w:pStyle w:val="naiskr"/>
              <w:spacing w:before="0" w:beforeAutospacing="0" w:after="0" w:afterAutospacing="0"/>
              <w:ind w:left="57" w:right="57"/>
            </w:pPr>
            <w:r w:rsidRPr="003130B8">
              <w:rPr>
                <w:color w:val="000000" w:themeColor="text1"/>
              </w:rPr>
              <w:t>Projekta izstrādē iesaistītās institūcijas</w:t>
            </w:r>
            <w:r w:rsidRPr="003130B8" w:rsidR="00BA0D43">
              <w:rPr>
                <w:iCs/>
                <w:color w:val="000000" w:themeColor="text1"/>
              </w:rPr>
              <w:t xml:space="preserve"> </w:t>
            </w:r>
            <w:r w:rsidRPr="003130B8" w:rsidR="008C111F">
              <w:rPr>
                <w:iCs/>
                <w:color w:val="000000" w:themeColor="text1"/>
              </w:rPr>
              <w:t>un publiskas personas kapitālsabiedrības</w:t>
            </w:r>
          </w:p>
        </w:tc>
        <w:tc>
          <w:tcPr>
            <w:tcW w:w="3281" w:type="pct"/>
          </w:tcPr>
          <w:p w:rsidRPr="003130B8" w:rsidR="00EE39A4" w:rsidP="004B4548" w:rsidRDefault="00D47D98" w14:paraId="772419D5" w14:textId="5698B995">
            <w:pPr>
              <w:ind w:left="57" w:right="57"/>
              <w:jc w:val="both"/>
            </w:pPr>
            <w:r w:rsidRPr="003130B8">
              <w:t>Satiksmes ministrija</w:t>
            </w:r>
            <w:r w:rsidRPr="003130B8" w:rsidR="004B4548">
              <w:t>.</w:t>
            </w:r>
          </w:p>
        </w:tc>
      </w:tr>
      <w:tr w:rsidRPr="003130B8" w:rsidR="00551A0F" w:rsidTr="00F90F01" w14:paraId="2A351EFD" w14:textId="77777777">
        <w:tc>
          <w:tcPr>
            <w:tcW w:w="232" w:type="pct"/>
          </w:tcPr>
          <w:p w:rsidRPr="003130B8" w:rsidR="00551A0F" w:rsidP="00017065" w:rsidRDefault="00551A0F" w14:paraId="7C8258B3" w14:textId="77777777">
            <w:pPr>
              <w:pStyle w:val="naiskr"/>
              <w:spacing w:before="0" w:beforeAutospacing="0" w:after="0" w:afterAutospacing="0"/>
              <w:ind w:left="57" w:right="57"/>
              <w:jc w:val="center"/>
            </w:pPr>
            <w:r w:rsidRPr="003130B8">
              <w:t>4.</w:t>
            </w:r>
          </w:p>
        </w:tc>
        <w:tc>
          <w:tcPr>
            <w:tcW w:w="1487" w:type="pct"/>
          </w:tcPr>
          <w:p w:rsidRPr="003130B8" w:rsidR="00551A0F" w:rsidP="00017065" w:rsidRDefault="00551A0F" w14:paraId="2F91C875" w14:textId="77777777">
            <w:pPr>
              <w:pStyle w:val="naiskr"/>
              <w:spacing w:before="0" w:beforeAutospacing="0" w:after="0" w:afterAutospacing="0"/>
              <w:ind w:left="57" w:right="57"/>
            </w:pPr>
            <w:r w:rsidRPr="003130B8">
              <w:t>Cita informācija</w:t>
            </w:r>
          </w:p>
        </w:tc>
        <w:tc>
          <w:tcPr>
            <w:tcW w:w="3281" w:type="pct"/>
          </w:tcPr>
          <w:p w:rsidRPr="003130B8" w:rsidR="00551A0F" w:rsidP="00EA4942" w:rsidRDefault="00D47D98" w14:paraId="06C40D0B" w14:textId="77777777">
            <w:pPr>
              <w:pStyle w:val="NormalWeb"/>
              <w:spacing w:before="0" w:after="0"/>
              <w:ind w:right="13"/>
              <w:jc w:val="both"/>
            </w:pPr>
            <w:r w:rsidRPr="003130B8">
              <w:t>Nav.</w:t>
            </w:r>
          </w:p>
        </w:tc>
      </w:tr>
    </w:tbl>
    <w:p w:rsidRPr="003130B8" w:rsidR="002847B9" w:rsidP="00665649" w:rsidRDefault="002847B9" w14:paraId="52F28808" w14:textId="77777777">
      <w:pPr>
        <w:ind w:firstLine="720"/>
      </w:pPr>
    </w:p>
    <w:tbl>
      <w:tblPr>
        <w:tblpPr w:leftFromText="180" w:rightFromText="180" w:vertAnchor="text" w:horzAnchor="margin" w:tblpXSpec="center" w:tblpY="119"/>
        <w:tblW w:w="90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431"/>
        <w:gridCol w:w="2766"/>
        <w:gridCol w:w="5880"/>
      </w:tblGrid>
      <w:tr w:rsidRPr="003130B8" w:rsidR="00551A0F" w:rsidTr="006243B1" w14:paraId="26A3911B" w14:textId="77777777">
        <w:trPr>
          <w:trHeight w:val="556"/>
        </w:trPr>
        <w:tc>
          <w:tcPr>
            <w:tcW w:w="9077" w:type="dxa"/>
            <w:gridSpan w:val="3"/>
            <w:vAlign w:val="center"/>
          </w:tcPr>
          <w:p w:rsidRPr="003130B8" w:rsidR="00551A0F" w:rsidP="00017065" w:rsidRDefault="00551A0F" w14:paraId="3D59769E" w14:textId="77777777">
            <w:pPr>
              <w:pStyle w:val="naisnod"/>
              <w:spacing w:before="0" w:beforeAutospacing="0" w:after="0" w:afterAutospacing="0"/>
              <w:ind w:left="57" w:right="57"/>
              <w:jc w:val="center"/>
              <w:rPr>
                <w:b/>
              </w:rPr>
            </w:pPr>
            <w:r w:rsidRPr="003130B8">
              <w:rPr>
                <w:b/>
              </w:rPr>
              <w:t>II. Tiesību akta projekta ietekme uz sabiedrību, tautsaimniecības attīstību</w:t>
            </w:r>
          </w:p>
          <w:p w:rsidRPr="003130B8" w:rsidR="00551A0F" w:rsidP="00017065" w:rsidRDefault="00551A0F" w14:paraId="2C2871D4" w14:textId="77777777">
            <w:pPr>
              <w:pStyle w:val="naisnod"/>
              <w:spacing w:before="0" w:beforeAutospacing="0" w:after="0" w:afterAutospacing="0"/>
              <w:ind w:left="57" w:right="57"/>
              <w:jc w:val="center"/>
              <w:rPr>
                <w:b/>
              </w:rPr>
            </w:pPr>
            <w:r w:rsidRPr="003130B8">
              <w:rPr>
                <w:b/>
              </w:rPr>
              <w:t>un administratīvo slogu</w:t>
            </w:r>
          </w:p>
        </w:tc>
      </w:tr>
      <w:tr w:rsidRPr="003130B8" w:rsidR="00551A0F" w:rsidTr="006243B1" w14:paraId="38AC62C3" w14:textId="77777777">
        <w:trPr>
          <w:trHeight w:val="467"/>
        </w:trPr>
        <w:tc>
          <w:tcPr>
            <w:tcW w:w="431" w:type="dxa"/>
          </w:tcPr>
          <w:p w:rsidRPr="003130B8" w:rsidR="00551A0F" w:rsidP="00017065" w:rsidRDefault="00551A0F" w14:paraId="6C029066" w14:textId="77777777">
            <w:pPr>
              <w:pStyle w:val="naiskr"/>
              <w:spacing w:before="0" w:beforeAutospacing="0" w:after="0" w:afterAutospacing="0"/>
              <w:ind w:left="57" w:right="57"/>
              <w:jc w:val="both"/>
            </w:pPr>
            <w:r w:rsidRPr="003130B8">
              <w:t>1.</w:t>
            </w:r>
          </w:p>
        </w:tc>
        <w:tc>
          <w:tcPr>
            <w:tcW w:w="2766" w:type="dxa"/>
          </w:tcPr>
          <w:p w:rsidRPr="003130B8" w:rsidR="00551A0F" w:rsidP="00017065" w:rsidRDefault="00551A0F" w14:paraId="396A7FDB" w14:textId="77777777">
            <w:pPr>
              <w:pStyle w:val="naiskr"/>
              <w:spacing w:before="0" w:beforeAutospacing="0" w:after="0" w:afterAutospacing="0"/>
              <w:ind w:left="57" w:right="57"/>
            </w:pPr>
            <w:r w:rsidRPr="003130B8">
              <w:t xml:space="preserve">Sabiedrības </w:t>
            </w:r>
            <w:proofErr w:type="spellStart"/>
            <w:r w:rsidRPr="003130B8">
              <w:t>mērķgrupas</w:t>
            </w:r>
            <w:proofErr w:type="spellEnd"/>
            <w:r w:rsidRPr="003130B8">
              <w:t>, kuras tiesiskais regulējums ietekmē vai varētu ietekmēt</w:t>
            </w:r>
          </w:p>
        </w:tc>
        <w:tc>
          <w:tcPr>
            <w:tcW w:w="5880" w:type="dxa"/>
          </w:tcPr>
          <w:p w:rsidRPr="003130B8" w:rsidR="001211A0" w:rsidP="006243B1" w:rsidRDefault="009B59E5" w14:paraId="19788F06" w14:textId="15284C46">
            <w:pPr>
              <w:shd w:val="clear" w:color="auto" w:fill="FFFFFF"/>
              <w:ind w:right="57"/>
              <w:jc w:val="both"/>
            </w:pPr>
            <w:bookmarkStart w:name="p21" w:id="5"/>
            <w:bookmarkEnd w:id="5"/>
            <w:r w:rsidRPr="003130B8">
              <w:t>Rīkojuma projekts</w:t>
            </w:r>
            <w:r w:rsidRPr="003130B8" w:rsidR="004B4548">
              <w:t xml:space="preserve"> ietekmē </w:t>
            </w:r>
            <w:proofErr w:type="spellStart"/>
            <w:r w:rsidRPr="003130B8" w:rsidR="00573D71">
              <w:t>EDzL</w:t>
            </w:r>
            <w:proofErr w:type="spellEnd"/>
            <w:r w:rsidRPr="003130B8" w:rsidR="00AE0222">
              <w:t xml:space="preserve"> nodarbinātos</w:t>
            </w:r>
            <w:r w:rsidRPr="003130B8" w:rsidR="00376DA9">
              <w:t xml:space="preserve">, jo </w:t>
            </w:r>
            <w:proofErr w:type="spellStart"/>
            <w:r w:rsidRPr="003130B8" w:rsidR="00FB578F">
              <w:t>EDzL</w:t>
            </w:r>
            <w:proofErr w:type="spellEnd"/>
            <w:r w:rsidRPr="003130B8" w:rsidR="00FB578F">
              <w:t xml:space="preserve"> </w:t>
            </w:r>
            <w:r w:rsidRPr="003130B8" w:rsidR="001A1D4D">
              <w:t>tiks deleģēt</w:t>
            </w:r>
            <w:r w:rsidRPr="003130B8" w:rsidR="00AE0222">
              <w:t>s</w:t>
            </w:r>
            <w:r w:rsidRPr="003130B8" w:rsidR="001A1D4D">
              <w:t xml:space="preserve"> papildu </w:t>
            </w:r>
            <w:r w:rsidRPr="003130B8" w:rsidR="001E0E83">
              <w:t>uzdevums – nodrošināt atsavināto īpašumu apsaimniekošanu</w:t>
            </w:r>
            <w:r w:rsidRPr="003130B8" w:rsidR="00046659">
              <w:t>.</w:t>
            </w:r>
          </w:p>
          <w:p w:rsidRPr="003130B8" w:rsidR="0042239C" w:rsidP="006243B1" w:rsidRDefault="009B59E5" w14:paraId="45B7D67D" w14:textId="2EDE2592">
            <w:pPr>
              <w:shd w:val="clear" w:color="auto" w:fill="FFFFFF"/>
              <w:ind w:right="57"/>
              <w:jc w:val="both"/>
            </w:pPr>
            <w:r w:rsidRPr="003130B8">
              <w:t>Rīkojuma projekts</w:t>
            </w:r>
            <w:r w:rsidRPr="003130B8" w:rsidR="001211A0">
              <w:t xml:space="preserve"> n</w:t>
            </w:r>
            <w:r w:rsidRPr="003130B8" w:rsidR="00376DA9">
              <w:t xml:space="preserve">etieši ietekmē jebkuru cilvēku, kurš nākotnē varētu izmantot Rail Baltica </w:t>
            </w:r>
            <w:r w:rsidRPr="003130B8" w:rsidR="00512CF6">
              <w:t>dzelzceļa līniju</w:t>
            </w:r>
            <w:r w:rsidRPr="003130B8" w:rsidR="00376DA9">
              <w:t>, jo</w:t>
            </w:r>
            <w:r w:rsidRPr="003130B8" w:rsidR="00EE606B">
              <w:t xml:space="preserve">, </w:t>
            </w:r>
            <w:r w:rsidRPr="003130B8" w:rsidR="00824F87">
              <w:t>nenodrošinot atsavināto īpašumu apsaimniekošanu, var tikt kavēt</w:t>
            </w:r>
            <w:r w:rsidRPr="003130B8" w:rsidR="000712B7">
              <w:t xml:space="preserve">a </w:t>
            </w:r>
            <w:r w:rsidRPr="003130B8" w:rsidR="00AA60C1">
              <w:t>RB p</w:t>
            </w:r>
            <w:r w:rsidRPr="003130B8" w:rsidR="000712B7">
              <w:t xml:space="preserve">rojekta </w:t>
            </w:r>
            <w:r w:rsidRPr="003130B8" w:rsidR="00AA60C1">
              <w:t>īstenošana</w:t>
            </w:r>
            <w:r w:rsidRPr="003130B8" w:rsidR="00376DA9">
              <w:t>.</w:t>
            </w:r>
          </w:p>
        </w:tc>
      </w:tr>
      <w:tr w:rsidRPr="003130B8" w:rsidR="00607541" w:rsidTr="00BB3200" w14:paraId="1E912B55" w14:textId="77777777">
        <w:trPr>
          <w:trHeight w:val="274"/>
        </w:trPr>
        <w:tc>
          <w:tcPr>
            <w:tcW w:w="431" w:type="dxa"/>
          </w:tcPr>
          <w:p w:rsidRPr="003130B8" w:rsidR="00607541" w:rsidP="00607541" w:rsidRDefault="00607541" w14:paraId="48559527" w14:textId="77777777">
            <w:pPr>
              <w:pStyle w:val="naiskr"/>
              <w:spacing w:before="0" w:beforeAutospacing="0" w:after="0" w:afterAutospacing="0"/>
              <w:ind w:left="57" w:right="57"/>
              <w:jc w:val="both"/>
            </w:pPr>
            <w:r w:rsidRPr="003130B8">
              <w:lastRenderedPageBreak/>
              <w:t>2.</w:t>
            </w:r>
          </w:p>
        </w:tc>
        <w:tc>
          <w:tcPr>
            <w:tcW w:w="2766" w:type="dxa"/>
          </w:tcPr>
          <w:p w:rsidRPr="003130B8" w:rsidR="00607541" w:rsidP="00607541" w:rsidRDefault="00607541" w14:paraId="1647C97E" w14:textId="77777777">
            <w:pPr>
              <w:pStyle w:val="naiskr"/>
              <w:spacing w:before="0" w:beforeAutospacing="0" w:after="0" w:afterAutospacing="0"/>
              <w:ind w:left="57" w:right="57"/>
            </w:pPr>
            <w:r w:rsidRPr="003130B8">
              <w:t>Tiesiskā regulējuma ietekme uz tautsaimniecību un administratīvo slogu</w:t>
            </w:r>
          </w:p>
        </w:tc>
        <w:tc>
          <w:tcPr>
            <w:tcW w:w="5880" w:type="dxa"/>
          </w:tcPr>
          <w:p w:rsidRPr="003130B8" w:rsidR="00607541" w:rsidP="0016067D" w:rsidRDefault="00607541" w14:paraId="5B09B5D2" w14:textId="1B541B9F">
            <w:pPr>
              <w:shd w:val="clear" w:color="auto" w:fill="FFFFFF"/>
              <w:ind w:right="57"/>
              <w:jc w:val="both"/>
            </w:pPr>
            <w:r w:rsidRPr="003130B8">
              <w:t>Rīkojuma projekta tiesiskais regulējums nākotnē varētu ietekmēt tautsaimniecību kā valsts saimniecības nozari, jo</w:t>
            </w:r>
            <w:r w:rsidRPr="003130B8" w:rsidR="008C111F">
              <w:t>,</w:t>
            </w:r>
            <w:r w:rsidRPr="003130B8">
              <w:t xml:space="preserve"> plānojot un īstenojot </w:t>
            </w:r>
            <w:r w:rsidRPr="003130B8" w:rsidR="00AA60C1">
              <w:t>RB</w:t>
            </w:r>
            <w:r w:rsidRPr="003130B8">
              <w:t xml:space="preserve"> projektu</w:t>
            </w:r>
            <w:r w:rsidRPr="003130B8" w:rsidR="008C111F">
              <w:t>,</w:t>
            </w:r>
            <w:r w:rsidRPr="003130B8">
              <w:t xml:space="preserve"> tiek veidota tautsaimniecības vajadzībām, stabilas satiksmes interesēm, kā arī vides aizsardzības prasībām atbilstoša infrastruktūra.</w:t>
            </w:r>
            <w:r w:rsidRPr="003130B8">
              <w:rPr>
                <w:iCs/>
              </w:rPr>
              <w:t xml:space="preserve"> </w:t>
            </w:r>
          </w:p>
        </w:tc>
      </w:tr>
      <w:tr w:rsidRPr="003130B8" w:rsidR="00607541" w:rsidTr="006243B1" w14:paraId="5D06EFE6" w14:textId="77777777">
        <w:trPr>
          <w:trHeight w:val="523"/>
        </w:trPr>
        <w:tc>
          <w:tcPr>
            <w:tcW w:w="431" w:type="dxa"/>
          </w:tcPr>
          <w:p w:rsidRPr="003130B8" w:rsidR="00607541" w:rsidP="00607541" w:rsidRDefault="00607541" w14:paraId="423820E3" w14:textId="77777777">
            <w:pPr>
              <w:pStyle w:val="naiskr"/>
              <w:spacing w:before="0" w:beforeAutospacing="0" w:after="0" w:afterAutospacing="0"/>
              <w:ind w:left="57" w:right="57"/>
              <w:jc w:val="both"/>
            </w:pPr>
            <w:r w:rsidRPr="003130B8">
              <w:t>3.</w:t>
            </w:r>
          </w:p>
        </w:tc>
        <w:tc>
          <w:tcPr>
            <w:tcW w:w="2766" w:type="dxa"/>
          </w:tcPr>
          <w:p w:rsidRPr="003130B8" w:rsidR="00607541" w:rsidP="00607541" w:rsidRDefault="00607541" w14:paraId="7E528977" w14:textId="77777777">
            <w:pPr>
              <w:pStyle w:val="naiskr"/>
              <w:spacing w:before="0" w:beforeAutospacing="0" w:after="0" w:afterAutospacing="0"/>
              <w:ind w:left="57" w:right="57"/>
            </w:pPr>
            <w:r w:rsidRPr="003130B8">
              <w:t>Administratīvo izmaksu monetārs novērtējums</w:t>
            </w:r>
          </w:p>
        </w:tc>
        <w:tc>
          <w:tcPr>
            <w:tcW w:w="5880" w:type="dxa"/>
          </w:tcPr>
          <w:p w:rsidRPr="003130B8" w:rsidR="00607541" w:rsidP="00607541" w:rsidRDefault="00607541" w14:paraId="3F7094BD" w14:textId="417C393D">
            <w:pPr>
              <w:shd w:val="clear" w:color="auto" w:fill="FFFFFF"/>
              <w:ind w:left="57" w:right="57"/>
              <w:jc w:val="both"/>
            </w:pPr>
            <w:r w:rsidRPr="003130B8">
              <w:t>Rīkojuma projekts neparedz jaunas administratīvās izmaksas.</w:t>
            </w:r>
          </w:p>
        </w:tc>
      </w:tr>
      <w:tr w:rsidRPr="003130B8" w:rsidR="00607541" w:rsidTr="006243B1" w14:paraId="78BE4C30" w14:textId="77777777">
        <w:trPr>
          <w:trHeight w:val="523"/>
        </w:trPr>
        <w:tc>
          <w:tcPr>
            <w:tcW w:w="431" w:type="dxa"/>
          </w:tcPr>
          <w:p w:rsidRPr="003130B8" w:rsidR="00607541" w:rsidP="00607541" w:rsidRDefault="00607541" w14:paraId="6E2E3134" w14:textId="77777777">
            <w:pPr>
              <w:pStyle w:val="naiskr"/>
              <w:spacing w:before="0" w:beforeAutospacing="0" w:after="0" w:afterAutospacing="0"/>
              <w:ind w:left="57" w:right="57"/>
              <w:jc w:val="both"/>
            </w:pPr>
            <w:r w:rsidRPr="003130B8">
              <w:t>4.</w:t>
            </w:r>
          </w:p>
        </w:tc>
        <w:tc>
          <w:tcPr>
            <w:tcW w:w="2766" w:type="dxa"/>
          </w:tcPr>
          <w:p w:rsidRPr="003130B8" w:rsidR="00607541" w:rsidP="00607541" w:rsidRDefault="00607541" w14:paraId="7D22923F" w14:textId="77777777">
            <w:pPr>
              <w:pStyle w:val="naiskr"/>
              <w:spacing w:before="0" w:beforeAutospacing="0" w:after="0" w:afterAutospacing="0"/>
              <w:ind w:left="57" w:right="57"/>
            </w:pPr>
            <w:r w:rsidRPr="003130B8">
              <w:rPr>
                <w:iCs/>
              </w:rPr>
              <w:t>Atbilstības izmaksu monetārs novērtējums</w:t>
            </w:r>
          </w:p>
        </w:tc>
        <w:tc>
          <w:tcPr>
            <w:tcW w:w="5880" w:type="dxa"/>
          </w:tcPr>
          <w:p w:rsidRPr="003130B8" w:rsidR="00607541" w:rsidP="00607541" w:rsidRDefault="00607541" w14:paraId="32516C8E" w14:textId="2AA9691A">
            <w:pPr>
              <w:shd w:val="clear" w:color="auto" w:fill="FFFFFF"/>
              <w:ind w:left="57" w:right="57"/>
              <w:jc w:val="both"/>
              <w:rPr>
                <w:bCs/>
                <w:iCs/>
              </w:rPr>
            </w:pPr>
            <w:r w:rsidRPr="003130B8">
              <w:rPr>
                <w:iCs/>
              </w:rPr>
              <w:t>Projekts šo jomu neskar. Tiesiskais regulējums atbilstības izmaksas nerada.</w:t>
            </w:r>
          </w:p>
        </w:tc>
      </w:tr>
      <w:tr w:rsidRPr="003130B8" w:rsidR="00607541" w:rsidTr="00BB3200" w14:paraId="72F3F0F7" w14:textId="77777777">
        <w:trPr>
          <w:trHeight w:val="285"/>
        </w:trPr>
        <w:tc>
          <w:tcPr>
            <w:tcW w:w="431" w:type="dxa"/>
          </w:tcPr>
          <w:p w:rsidRPr="003130B8" w:rsidR="00607541" w:rsidP="00607541" w:rsidRDefault="00607541" w14:paraId="377DCE04" w14:textId="77777777">
            <w:pPr>
              <w:pStyle w:val="naiskr"/>
              <w:spacing w:before="0" w:beforeAutospacing="0" w:after="0" w:afterAutospacing="0"/>
              <w:ind w:left="57" w:right="57"/>
              <w:jc w:val="both"/>
            </w:pPr>
            <w:r w:rsidRPr="003130B8">
              <w:t>5.</w:t>
            </w:r>
          </w:p>
        </w:tc>
        <w:tc>
          <w:tcPr>
            <w:tcW w:w="2766" w:type="dxa"/>
          </w:tcPr>
          <w:p w:rsidRPr="003130B8" w:rsidR="00607541" w:rsidP="00607541" w:rsidRDefault="00607541" w14:paraId="70553D9A" w14:textId="77777777">
            <w:pPr>
              <w:pStyle w:val="naiskr"/>
              <w:spacing w:before="0" w:beforeAutospacing="0" w:after="0" w:afterAutospacing="0"/>
              <w:ind w:left="57" w:right="57"/>
            </w:pPr>
            <w:r w:rsidRPr="003130B8">
              <w:t>Cita informācija</w:t>
            </w:r>
          </w:p>
        </w:tc>
        <w:tc>
          <w:tcPr>
            <w:tcW w:w="5880" w:type="dxa"/>
          </w:tcPr>
          <w:p w:rsidRPr="003130B8" w:rsidR="00607541" w:rsidP="00607541" w:rsidRDefault="00607541" w14:paraId="11292819" w14:textId="77777777">
            <w:pPr>
              <w:shd w:val="clear" w:color="auto" w:fill="FFFFFF"/>
              <w:ind w:left="57" w:right="57"/>
            </w:pPr>
            <w:r w:rsidRPr="003130B8">
              <w:t>Nav.</w:t>
            </w:r>
          </w:p>
        </w:tc>
      </w:tr>
    </w:tbl>
    <w:p w:rsidRPr="003130B8" w:rsidR="00D63E48" w:rsidP="00551A0F" w:rsidRDefault="00D63E48" w14:paraId="08CF82CE" w14:textId="77777777"/>
    <w:tbl>
      <w:tblPr>
        <w:tblW w:w="907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701"/>
        <w:gridCol w:w="993"/>
        <w:gridCol w:w="1134"/>
        <w:gridCol w:w="850"/>
        <w:gridCol w:w="1134"/>
        <w:gridCol w:w="992"/>
        <w:gridCol w:w="1134"/>
        <w:gridCol w:w="1134"/>
      </w:tblGrid>
      <w:tr w:rsidRPr="003130B8" w:rsidR="00D63E48" w:rsidTr="00D63E48" w14:paraId="51974F1B" w14:textId="77777777">
        <w:trPr>
          <w:trHeight w:val="212"/>
        </w:trPr>
        <w:tc>
          <w:tcPr>
            <w:tcW w:w="9072" w:type="dxa"/>
            <w:gridSpan w:val="8"/>
            <w:tcBorders>
              <w:top w:val="single" w:color="auto" w:sz="4" w:space="0"/>
              <w:left w:val="single" w:color="auto" w:sz="4" w:space="0"/>
              <w:bottom w:val="single" w:color="auto" w:sz="4" w:space="0"/>
              <w:right w:val="single" w:color="auto" w:sz="4" w:space="0"/>
            </w:tcBorders>
            <w:shd w:val="clear" w:color="auto" w:fill="auto"/>
            <w:hideMark/>
          </w:tcPr>
          <w:p w:rsidRPr="003130B8" w:rsidR="00D63E48" w:rsidP="006E267F" w:rsidRDefault="00D63E48" w14:paraId="2EE9921E" w14:textId="77777777">
            <w:pPr>
              <w:jc w:val="center"/>
              <w:rPr>
                <w:b/>
                <w:bCs/>
              </w:rPr>
            </w:pPr>
            <w:r w:rsidRPr="003130B8">
              <w:rPr>
                <w:b/>
                <w:bCs/>
              </w:rPr>
              <w:t>III. Tiesību akta projekta ietekme uz valsts budžetu un pašvaldību budžetiem</w:t>
            </w:r>
          </w:p>
        </w:tc>
      </w:tr>
      <w:tr w:rsidRPr="003130B8" w:rsidR="00D63E48" w:rsidTr="00CB4741" w14:paraId="4B298B52" w14:textId="77777777">
        <w:trPr>
          <w:trHeight w:val="300"/>
        </w:trPr>
        <w:tc>
          <w:tcPr>
            <w:tcW w:w="1701"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rsidRPr="003130B8" w:rsidR="00D63E48" w:rsidP="006E267F" w:rsidRDefault="00D63E48" w14:paraId="34C2A037" w14:textId="77777777">
            <w:pPr>
              <w:jc w:val="center"/>
              <w:rPr>
                <w:bCs/>
                <w:sz w:val="22"/>
              </w:rPr>
            </w:pPr>
            <w:r w:rsidRPr="003130B8">
              <w:rPr>
                <w:bCs/>
                <w:sz w:val="22"/>
              </w:rPr>
              <w:t>Rādītāji</w:t>
            </w:r>
          </w:p>
        </w:tc>
        <w:tc>
          <w:tcPr>
            <w:tcW w:w="2127"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hideMark/>
          </w:tcPr>
          <w:p w:rsidRPr="003130B8" w:rsidR="00D63E48" w:rsidP="006E267F" w:rsidRDefault="00D63E48" w14:paraId="29893CEB" w14:textId="00D8F2BD">
            <w:pPr>
              <w:jc w:val="center"/>
              <w:rPr>
                <w:bCs/>
              </w:rPr>
            </w:pPr>
            <w:r w:rsidRPr="003130B8">
              <w:rPr>
                <w:bCs/>
              </w:rPr>
              <w:t>202</w:t>
            </w:r>
            <w:r w:rsidRPr="003130B8" w:rsidR="00857439">
              <w:rPr>
                <w:bCs/>
              </w:rPr>
              <w:t>1</w:t>
            </w:r>
            <w:r w:rsidRPr="003130B8">
              <w:rPr>
                <w:bCs/>
              </w:rPr>
              <w:t>. gads</w:t>
            </w:r>
          </w:p>
        </w:tc>
        <w:tc>
          <w:tcPr>
            <w:tcW w:w="5244" w:type="dxa"/>
            <w:gridSpan w:val="5"/>
            <w:tcBorders>
              <w:top w:val="single" w:color="auto" w:sz="4" w:space="0"/>
              <w:left w:val="single" w:color="auto" w:sz="4" w:space="0"/>
              <w:bottom w:val="single" w:color="auto" w:sz="4" w:space="0"/>
              <w:right w:val="single" w:color="auto" w:sz="4" w:space="0"/>
            </w:tcBorders>
            <w:shd w:val="clear" w:color="auto" w:fill="FFFFFF"/>
            <w:vAlign w:val="center"/>
            <w:hideMark/>
          </w:tcPr>
          <w:p w:rsidRPr="003130B8" w:rsidR="00D63E48" w:rsidP="006E267F" w:rsidRDefault="00D63E48" w14:paraId="10F2BC2C" w14:textId="77777777">
            <w:pPr>
              <w:jc w:val="center"/>
            </w:pPr>
            <w:r w:rsidRPr="003130B8">
              <w:t>Turpmākie trīs gadi (</w:t>
            </w:r>
            <w:proofErr w:type="spellStart"/>
            <w:r w:rsidRPr="003130B8">
              <w:rPr>
                <w:i/>
                <w:iCs/>
              </w:rPr>
              <w:t>euro</w:t>
            </w:r>
            <w:proofErr w:type="spellEnd"/>
            <w:r w:rsidRPr="003130B8">
              <w:t>)</w:t>
            </w:r>
          </w:p>
        </w:tc>
      </w:tr>
      <w:tr w:rsidRPr="003130B8" w:rsidR="00D63E48" w:rsidTr="00CB4741" w14:paraId="231F19C0" w14:textId="77777777">
        <w:trPr>
          <w:trHeight w:val="300"/>
        </w:trPr>
        <w:tc>
          <w:tcPr>
            <w:tcW w:w="1701"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3130B8" w:rsidR="00D63E48" w:rsidP="006E267F" w:rsidRDefault="00D63E48" w14:paraId="13D2B07E" w14:textId="77777777">
            <w:pPr>
              <w:jc w:val="center"/>
              <w:rPr>
                <w:bCs/>
                <w:sz w:val="22"/>
              </w:rPr>
            </w:pPr>
          </w:p>
        </w:tc>
        <w:tc>
          <w:tcPr>
            <w:tcW w:w="2127" w:type="dxa"/>
            <w:gridSpan w:val="2"/>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3130B8" w:rsidR="00D63E48" w:rsidP="006E267F" w:rsidRDefault="00D63E48" w14:paraId="14C9943D" w14:textId="77777777">
            <w:pPr>
              <w:jc w:val="center"/>
              <w:rPr>
                <w:bCs/>
              </w:rPr>
            </w:pPr>
          </w:p>
        </w:tc>
        <w:tc>
          <w:tcPr>
            <w:tcW w:w="1984"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3130B8" w:rsidR="00D63E48" w:rsidP="006E267F" w:rsidRDefault="00D63E48" w14:paraId="1448A00F" w14:textId="718A1B25">
            <w:pPr>
              <w:jc w:val="center"/>
              <w:rPr>
                <w:bCs/>
              </w:rPr>
            </w:pPr>
            <w:r w:rsidRPr="003130B8">
              <w:rPr>
                <w:bCs/>
              </w:rPr>
              <w:t>202</w:t>
            </w:r>
            <w:r w:rsidRPr="003130B8" w:rsidR="00857439">
              <w:rPr>
                <w:bCs/>
              </w:rPr>
              <w:t>2</w:t>
            </w:r>
          </w:p>
        </w:tc>
        <w:tc>
          <w:tcPr>
            <w:tcW w:w="2126"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3130B8" w:rsidR="00D63E48" w:rsidP="006E267F" w:rsidRDefault="00D63E48" w14:paraId="41312642" w14:textId="6EB35250">
            <w:pPr>
              <w:jc w:val="center"/>
              <w:rPr>
                <w:bCs/>
              </w:rPr>
            </w:pPr>
            <w:r w:rsidRPr="003130B8">
              <w:rPr>
                <w:bCs/>
              </w:rPr>
              <w:t>202</w:t>
            </w:r>
            <w:r w:rsidRPr="003130B8" w:rsidR="00857439">
              <w:rPr>
                <w:bCs/>
              </w:rPr>
              <w:t>3</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3130B8" w:rsidR="00D63E48" w:rsidP="006E267F" w:rsidRDefault="00D63E48" w14:paraId="15957E68" w14:textId="225F4C49">
            <w:pPr>
              <w:jc w:val="center"/>
              <w:rPr>
                <w:bCs/>
              </w:rPr>
            </w:pPr>
            <w:r w:rsidRPr="003130B8">
              <w:rPr>
                <w:bCs/>
              </w:rPr>
              <w:t>202</w:t>
            </w:r>
            <w:r w:rsidRPr="003130B8" w:rsidR="00857439">
              <w:rPr>
                <w:bCs/>
              </w:rPr>
              <w:t>4</w:t>
            </w:r>
          </w:p>
        </w:tc>
      </w:tr>
      <w:tr w:rsidRPr="003130B8" w:rsidR="00D63E48" w:rsidTr="00CB4741" w14:paraId="27F68A9E" w14:textId="77777777">
        <w:trPr>
          <w:trHeight w:val="410"/>
        </w:trPr>
        <w:tc>
          <w:tcPr>
            <w:tcW w:w="1701"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3130B8" w:rsidR="00D63E48" w:rsidP="006E267F" w:rsidRDefault="00D63E48" w14:paraId="7B2B968A" w14:textId="77777777">
            <w:pPr>
              <w:jc w:val="center"/>
              <w:rPr>
                <w:b/>
                <w:bCs/>
                <w:sz w:val="22"/>
              </w:rPr>
            </w:pPr>
          </w:p>
        </w:tc>
        <w:tc>
          <w:tcPr>
            <w:tcW w:w="993"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3130B8" w:rsidR="00D63E48" w:rsidP="006E267F" w:rsidRDefault="00D63E48" w14:paraId="523B2A63" w14:textId="77777777">
            <w:pPr>
              <w:jc w:val="center"/>
              <w:rPr>
                <w:sz w:val="20"/>
                <w:szCs w:val="20"/>
              </w:rPr>
            </w:pPr>
            <w:r w:rsidRPr="003130B8">
              <w:rPr>
                <w:sz w:val="20"/>
                <w:szCs w:val="20"/>
              </w:rPr>
              <w:t>saskaņā ar valsts budžetu kārtējam gadam</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3130B8" w:rsidR="00D63E48" w:rsidP="006E267F" w:rsidRDefault="00D63E48" w14:paraId="42D5F45A" w14:textId="77777777">
            <w:pPr>
              <w:jc w:val="center"/>
              <w:rPr>
                <w:sz w:val="20"/>
                <w:szCs w:val="20"/>
              </w:rPr>
            </w:pPr>
            <w:r w:rsidRPr="003130B8">
              <w:rPr>
                <w:sz w:val="20"/>
                <w:szCs w:val="20"/>
              </w:rPr>
              <w:t>izmaiņas kārtējā gadā, salīdzinot ar valsts budžetu kārtējam gadam</w:t>
            </w:r>
          </w:p>
        </w:tc>
        <w:tc>
          <w:tcPr>
            <w:tcW w:w="8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3130B8" w:rsidR="00D63E48" w:rsidP="006E267F" w:rsidRDefault="00D63E48" w14:paraId="250BF91D" w14:textId="77777777">
            <w:pPr>
              <w:jc w:val="center"/>
              <w:rPr>
                <w:sz w:val="20"/>
                <w:szCs w:val="20"/>
              </w:rPr>
            </w:pPr>
            <w:r w:rsidRPr="003130B8">
              <w:rPr>
                <w:sz w:val="20"/>
                <w:szCs w:val="20"/>
              </w:rPr>
              <w:t>saskaņā ar vidēja termiņa budžeta ietvaru</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3130B8" w:rsidR="00D63E48" w:rsidP="006E267F" w:rsidRDefault="00D63E48" w14:paraId="57608DE6" w14:textId="17493EF9">
            <w:pPr>
              <w:jc w:val="center"/>
              <w:rPr>
                <w:sz w:val="20"/>
                <w:szCs w:val="20"/>
              </w:rPr>
            </w:pPr>
            <w:r w:rsidRPr="003130B8">
              <w:rPr>
                <w:sz w:val="20"/>
                <w:szCs w:val="20"/>
              </w:rPr>
              <w:t>izmaiņas, salīdzinot ar vidēja termiņa budžeta ietvaru 202</w:t>
            </w:r>
            <w:r w:rsidRPr="003130B8" w:rsidR="00AE0222">
              <w:rPr>
                <w:sz w:val="20"/>
                <w:szCs w:val="20"/>
              </w:rPr>
              <w:t>2</w:t>
            </w:r>
            <w:r w:rsidRPr="003130B8">
              <w:rPr>
                <w:sz w:val="20"/>
                <w:szCs w:val="20"/>
              </w:rPr>
              <w:t>.gadam</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3130B8" w:rsidR="00D63E48" w:rsidP="006E267F" w:rsidRDefault="00D63E48" w14:paraId="2E308B85" w14:textId="77777777">
            <w:pPr>
              <w:jc w:val="center"/>
              <w:rPr>
                <w:sz w:val="20"/>
                <w:szCs w:val="20"/>
              </w:rPr>
            </w:pPr>
            <w:r w:rsidRPr="003130B8">
              <w:rPr>
                <w:sz w:val="20"/>
                <w:szCs w:val="20"/>
              </w:rPr>
              <w:t>saskaņā ar vidēja termiņa budžeta ietvaru</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3130B8" w:rsidR="00D63E48" w:rsidP="006E267F" w:rsidRDefault="00D63E48" w14:paraId="1765346D" w14:textId="7001A1E8">
            <w:pPr>
              <w:jc w:val="center"/>
              <w:rPr>
                <w:sz w:val="20"/>
                <w:szCs w:val="20"/>
              </w:rPr>
            </w:pPr>
            <w:r w:rsidRPr="003130B8">
              <w:rPr>
                <w:sz w:val="20"/>
                <w:szCs w:val="20"/>
              </w:rPr>
              <w:t xml:space="preserve">izmaiņas, </w:t>
            </w:r>
            <w:r w:rsidRPr="003130B8">
              <w:rPr>
                <w:sz w:val="18"/>
                <w:szCs w:val="18"/>
              </w:rPr>
              <w:t>salīdzino</w:t>
            </w:r>
            <w:r w:rsidRPr="003130B8">
              <w:rPr>
                <w:sz w:val="20"/>
                <w:szCs w:val="20"/>
              </w:rPr>
              <w:t>t ar vidēja termiņa budžeta ietvaru 202</w:t>
            </w:r>
            <w:r w:rsidRPr="003130B8" w:rsidR="00AE0222">
              <w:rPr>
                <w:sz w:val="20"/>
                <w:szCs w:val="20"/>
              </w:rPr>
              <w:t>3</w:t>
            </w:r>
            <w:r w:rsidRPr="003130B8">
              <w:rPr>
                <w:sz w:val="20"/>
                <w:szCs w:val="20"/>
              </w:rPr>
              <w:t>.gadam</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3130B8" w:rsidR="00D63E48" w:rsidP="006E267F" w:rsidRDefault="00D63E48" w14:paraId="2098FB89" w14:textId="09AD3E1E">
            <w:pPr>
              <w:jc w:val="center"/>
              <w:rPr>
                <w:sz w:val="20"/>
                <w:szCs w:val="20"/>
              </w:rPr>
            </w:pPr>
            <w:r w:rsidRPr="003130B8">
              <w:rPr>
                <w:sz w:val="20"/>
                <w:szCs w:val="20"/>
              </w:rPr>
              <w:t>izmaiņas, salīdzinot ar vidēja termiņa budžeta ietvaru 202</w:t>
            </w:r>
            <w:r w:rsidRPr="003130B8" w:rsidR="00AE0222">
              <w:rPr>
                <w:sz w:val="20"/>
                <w:szCs w:val="20"/>
              </w:rPr>
              <w:t>3</w:t>
            </w:r>
            <w:r w:rsidRPr="003130B8">
              <w:rPr>
                <w:sz w:val="20"/>
                <w:szCs w:val="20"/>
              </w:rPr>
              <w:t>.gadam</w:t>
            </w:r>
          </w:p>
        </w:tc>
      </w:tr>
      <w:tr w:rsidRPr="003130B8" w:rsidR="00D63E48" w:rsidTr="00CB4741" w14:paraId="4A63AAD1" w14:textId="77777777">
        <w:trPr>
          <w:trHeight w:val="56"/>
        </w:trPr>
        <w:tc>
          <w:tcPr>
            <w:tcW w:w="1701"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3130B8" w:rsidR="00D63E48" w:rsidP="006E267F" w:rsidRDefault="00D63E48" w14:paraId="38308CB1" w14:textId="77777777">
            <w:pPr>
              <w:jc w:val="center"/>
              <w:rPr>
                <w:sz w:val="22"/>
              </w:rPr>
            </w:pPr>
            <w:r w:rsidRPr="003130B8">
              <w:rPr>
                <w:sz w:val="22"/>
              </w:rPr>
              <w:t>1</w:t>
            </w:r>
          </w:p>
        </w:tc>
        <w:tc>
          <w:tcPr>
            <w:tcW w:w="993"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3130B8" w:rsidR="00D63E48" w:rsidP="006E267F" w:rsidRDefault="00D63E48" w14:paraId="39922C1B" w14:textId="77777777">
            <w:pPr>
              <w:jc w:val="center"/>
              <w:rPr>
                <w:sz w:val="20"/>
                <w:szCs w:val="20"/>
              </w:rPr>
            </w:pPr>
            <w:r w:rsidRPr="003130B8">
              <w:rPr>
                <w:sz w:val="20"/>
                <w:szCs w:val="20"/>
              </w:rPr>
              <w:t>2</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3130B8" w:rsidR="00D63E48" w:rsidP="006E267F" w:rsidRDefault="00D63E48" w14:paraId="37B2DE6D" w14:textId="77777777">
            <w:pPr>
              <w:jc w:val="center"/>
              <w:rPr>
                <w:sz w:val="20"/>
                <w:szCs w:val="20"/>
              </w:rPr>
            </w:pPr>
            <w:r w:rsidRPr="003130B8">
              <w:rPr>
                <w:sz w:val="20"/>
                <w:szCs w:val="20"/>
              </w:rPr>
              <w:t>3</w:t>
            </w:r>
          </w:p>
        </w:tc>
        <w:tc>
          <w:tcPr>
            <w:tcW w:w="8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3130B8" w:rsidR="00D63E48" w:rsidP="006E267F" w:rsidRDefault="00D63E48" w14:paraId="640BD489" w14:textId="77777777">
            <w:pPr>
              <w:jc w:val="center"/>
              <w:rPr>
                <w:sz w:val="20"/>
                <w:szCs w:val="20"/>
              </w:rPr>
            </w:pPr>
            <w:r w:rsidRPr="003130B8">
              <w:rPr>
                <w:sz w:val="20"/>
                <w:szCs w:val="20"/>
              </w:rPr>
              <w:t>4</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3130B8" w:rsidR="00D63E48" w:rsidP="006E267F" w:rsidRDefault="00D63E48" w14:paraId="34E57CEA" w14:textId="77777777">
            <w:pPr>
              <w:jc w:val="center"/>
              <w:rPr>
                <w:sz w:val="20"/>
                <w:szCs w:val="20"/>
              </w:rPr>
            </w:pPr>
            <w:r w:rsidRPr="003130B8">
              <w:rPr>
                <w:sz w:val="20"/>
                <w:szCs w:val="20"/>
              </w:rPr>
              <w:t>5</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3130B8" w:rsidR="00D63E48" w:rsidP="006E267F" w:rsidRDefault="00D63E48" w14:paraId="62F5DB1F" w14:textId="77777777">
            <w:pPr>
              <w:jc w:val="center"/>
              <w:rPr>
                <w:sz w:val="20"/>
                <w:szCs w:val="20"/>
              </w:rPr>
            </w:pPr>
            <w:r w:rsidRPr="003130B8">
              <w:rPr>
                <w:sz w:val="20"/>
                <w:szCs w:val="20"/>
              </w:rPr>
              <w:t>6</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3130B8" w:rsidR="00D63E48" w:rsidP="006E267F" w:rsidRDefault="00D63E48" w14:paraId="0CE4245C" w14:textId="77777777">
            <w:pPr>
              <w:jc w:val="center"/>
              <w:rPr>
                <w:sz w:val="20"/>
                <w:szCs w:val="20"/>
              </w:rPr>
            </w:pPr>
            <w:r w:rsidRPr="003130B8">
              <w:rPr>
                <w:sz w:val="20"/>
                <w:szCs w:val="20"/>
              </w:rPr>
              <w:t>7</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3130B8" w:rsidR="00D63E48" w:rsidP="006E267F" w:rsidRDefault="00D63E48" w14:paraId="275386B6" w14:textId="77777777">
            <w:pPr>
              <w:jc w:val="center"/>
              <w:rPr>
                <w:sz w:val="20"/>
                <w:szCs w:val="20"/>
              </w:rPr>
            </w:pPr>
            <w:r w:rsidRPr="003130B8">
              <w:rPr>
                <w:sz w:val="20"/>
                <w:szCs w:val="20"/>
              </w:rPr>
              <w:t>8</w:t>
            </w:r>
          </w:p>
        </w:tc>
      </w:tr>
      <w:tr w:rsidRPr="003130B8" w:rsidR="00D63E48" w:rsidTr="00CB4741" w14:paraId="7CFE7112" w14:textId="77777777">
        <w:trPr>
          <w:trHeight w:val="184"/>
        </w:trPr>
        <w:tc>
          <w:tcPr>
            <w:tcW w:w="1701" w:type="dxa"/>
            <w:tcBorders>
              <w:top w:val="single" w:color="auto" w:sz="4" w:space="0"/>
              <w:left w:val="single" w:color="auto" w:sz="4" w:space="0"/>
              <w:bottom w:val="single" w:color="auto" w:sz="4" w:space="0"/>
              <w:right w:val="single" w:color="auto" w:sz="4" w:space="0"/>
            </w:tcBorders>
            <w:shd w:val="clear" w:color="auto" w:fill="FFFFFF"/>
            <w:hideMark/>
          </w:tcPr>
          <w:p w:rsidRPr="003130B8" w:rsidR="00D63E48" w:rsidP="006E267F" w:rsidRDefault="00D63E48" w14:paraId="6C9CDE54" w14:textId="77777777">
            <w:pPr>
              <w:rPr>
                <w:sz w:val="22"/>
              </w:rPr>
            </w:pPr>
            <w:r w:rsidRPr="003130B8">
              <w:rPr>
                <w:sz w:val="22"/>
              </w:rPr>
              <w:t>1. Budžeta ieņēmumi</w:t>
            </w:r>
          </w:p>
        </w:tc>
        <w:tc>
          <w:tcPr>
            <w:tcW w:w="993" w:type="dxa"/>
            <w:tcBorders>
              <w:top w:val="single" w:color="auto" w:sz="4" w:space="0"/>
              <w:left w:val="single" w:color="auto" w:sz="4" w:space="0"/>
              <w:bottom w:val="single" w:color="auto" w:sz="4" w:space="0"/>
              <w:right w:val="single" w:color="auto" w:sz="4" w:space="0"/>
            </w:tcBorders>
            <w:shd w:val="clear" w:color="auto" w:fill="FFFFFF"/>
            <w:vAlign w:val="center"/>
          </w:tcPr>
          <w:p w:rsidRPr="003130B8" w:rsidR="00D63E48" w:rsidP="006E267F" w:rsidRDefault="00D63E48" w14:paraId="590A2484" w14:textId="77777777">
            <w:pPr>
              <w:jc w:val="center"/>
              <w:rPr>
                <w:sz w:val="20"/>
                <w:szCs w:val="20"/>
              </w:rPr>
            </w:pPr>
            <w:r w:rsidRPr="003130B8">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rsidRPr="003130B8" w:rsidR="00D63E48" w:rsidP="006E267F" w:rsidRDefault="00F55CF6" w14:paraId="7527BA49" w14:textId="257ED1B6">
            <w:pPr>
              <w:jc w:val="center"/>
              <w:rPr>
                <w:sz w:val="20"/>
                <w:szCs w:val="20"/>
              </w:rPr>
            </w:pPr>
            <w:r>
              <w:rPr>
                <w:sz w:val="20"/>
                <w:szCs w:val="20"/>
              </w:rPr>
              <w:t>0</w:t>
            </w:r>
          </w:p>
        </w:tc>
        <w:tc>
          <w:tcPr>
            <w:tcW w:w="850" w:type="dxa"/>
            <w:tcBorders>
              <w:top w:val="single" w:color="auto" w:sz="4" w:space="0"/>
              <w:left w:val="single" w:color="auto" w:sz="4" w:space="0"/>
              <w:bottom w:val="single" w:color="auto" w:sz="4" w:space="0"/>
              <w:right w:val="single" w:color="auto" w:sz="4" w:space="0"/>
            </w:tcBorders>
            <w:shd w:val="clear" w:color="auto" w:fill="FFFFFF"/>
            <w:vAlign w:val="center"/>
          </w:tcPr>
          <w:p w:rsidRPr="003130B8" w:rsidR="00D63E48" w:rsidP="006E267F" w:rsidRDefault="00D63E48" w14:paraId="102276A9" w14:textId="77777777">
            <w:pPr>
              <w:jc w:val="center"/>
              <w:rPr>
                <w:sz w:val="20"/>
                <w:szCs w:val="20"/>
              </w:rPr>
            </w:pPr>
            <w:r w:rsidRPr="003130B8">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tcPr>
          <w:p w:rsidRPr="003130B8" w:rsidR="00D63E48" w:rsidP="006E267F" w:rsidRDefault="00D63E48" w14:paraId="152EF9DA" w14:textId="77777777">
            <w:pPr>
              <w:jc w:val="center"/>
              <w:rPr>
                <w:sz w:val="20"/>
                <w:szCs w:val="20"/>
              </w:rPr>
            </w:pPr>
            <w:r w:rsidRPr="003130B8">
              <w:rPr>
                <w:iCs/>
                <w:sz w:val="20"/>
                <w:szCs w:val="20"/>
                <w:lang w:val="en-US"/>
              </w:rPr>
              <w:t>0</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tcPr>
          <w:p w:rsidRPr="003130B8" w:rsidR="00D63E48" w:rsidP="006E267F" w:rsidRDefault="00D63E48" w14:paraId="4633EC79" w14:textId="77777777">
            <w:pPr>
              <w:spacing w:before="120"/>
              <w:jc w:val="center"/>
              <w:rPr>
                <w:sz w:val="20"/>
                <w:szCs w:val="20"/>
              </w:rPr>
            </w:pPr>
            <w:r w:rsidRPr="003130B8">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3130B8" w:rsidR="00D63E48" w:rsidP="006E267F" w:rsidRDefault="00D63E48" w14:paraId="5103B459" w14:textId="77777777">
            <w:pPr>
              <w:jc w:val="center"/>
              <w:rPr>
                <w:sz w:val="20"/>
                <w:szCs w:val="20"/>
              </w:rPr>
            </w:pPr>
            <w:r w:rsidRPr="003130B8">
              <w:rPr>
                <w:iCs/>
                <w:sz w:val="20"/>
                <w:szCs w:val="20"/>
                <w:lang w:val="en-US"/>
              </w:rPr>
              <w:t> 0</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3130B8" w:rsidR="00D63E48" w:rsidP="006E267F" w:rsidRDefault="00D63E48" w14:paraId="162AA4BC" w14:textId="77777777">
            <w:pPr>
              <w:jc w:val="center"/>
              <w:rPr>
                <w:sz w:val="20"/>
                <w:szCs w:val="20"/>
              </w:rPr>
            </w:pPr>
            <w:r w:rsidRPr="003130B8">
              <w:rPr>
                <w:iCs/>
                <w:sz w:val="20"/>
                <w:szCs w:val="20"/>
                <w:lang w:val="en-US"/>
              </w:rPr>
              <w:t>0</w:t>
            </w:r>
          </w:p>
        </w:tc>
      </w:tr>
      <w:tr w:rsidRPr="003130B8" w:rsidR="00D63E48" w:rsidTr="00CB4741" w14:paraId="3A530516" w14:textId="77777777">
        <w:trPr>
          <w:trHeight w:val="1354"/>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3130B8" w:rsidR="00D63E48" w:rsidP="006E267F" w:rsidRDefault="00D63E48" w14:paraId="4844C942" w14:textId="77777777">
            <w:pPr>
              <w:rPr>
                <w:sz w:val="22"/>
              </w:rPr>
            </w:pPr>
            <w:r w:rsidRPr="003130B8">
              <w:rPr>
                <w:sz w:val="22"/>
              </w:rPr>
              <w:t>1.1. valsts pamatbudžets, tai skaitā ieņēmumi no maksas pakalpojumiem un citi pašu ieņēmumi</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rsidRPr="003130B8" w:rsidR="00D63E48" w:rsidP="006E267F" w:rsidRDefault="00D63E48" w14:paraId="11E9BD6D" w14:textId="77777777">
            <w:pPr>
              <w:jc w:val="center"/>
              <w:rPr>
                <w:sz w:val="20"/>
                <w:szCs w:val="20"/>
              </w:rPr>
            </w:pPr>
            <w:r w:rsidRPr="003130B8">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3130B8" w:rsidR="00D63E48" w:rsidP="006E267F" w:rsidRDefault="00F55CF6" w14:paraId="4F14A6E9" w14:textId="6F6E992C">
            <w:pPr>
              <w:jc w:val="center"/>
              <w:rPr>
                <w:sz w:val="20"/>
                <w:szCs w:val="20"/>
              </w:rPr>
            </w:pPr>
            <w:r>
              <w:rPr>
                <w:sz w:val="20"/>
                <w:szCs w:val="20"/>
              </w:rPr>
              <w:t>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rsidRPr="003130B8" w:rsidR="00D63E48" w:rsidP="006E267F" w:rsidRDefault="00D63E48" w14:paraId="665407D7" w14:textId="77777777">
            <w:pPr>
              <w:jc w:val="center"/>
              <w:rPr>
                <w:sz w:val="20"/>
                <w:szCs w:val="20"/>
              </w:rPr>
            </w:pPr>
            <w:r w:rsidRPr="003130B8">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3130B8" w:rsidR="00D63E48" w:rsidP="006E267F" w:rsidRDefault="00D63E48" w14:paraId="40BDC315" w14:textId="77777777">
            <w:pPr>
              <w:jc w:val="center"/>
              <w:rPr>
                <w:sz w:val="20"/>
                <w:szCs w:val="20"/>
              </w:rPr>
            </w:pPr>
            <w:r w:rsidRPr="003130B8">
              <w:rPr>
                <w:iCs/>
                <w:sz w:val="20"/>
                <w:szCs w:val="20"/>
                <w:lang w:val="en-US"/>
              </w:rPr>
              <w:t> 0</w:t>
            </w: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3130B8" w:rsidR="00D63E48" w:rsidP="006E267F" w:rsidRDefault="00D63E48" w14:paraId="4AF1DFC2" w14:textId="77777777">
            <w:pPr>
              <w:spacing w:before="960"/>
              <w:jc w:val="center"/>
              <w:rPr>
                <w:sz w:val="20"/>
                <w:szCs w:val="20"/>
              </w:rPr>
            </w:pPr>
            <w:r w:rsidRPr="003130B8">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130B8" w:rsidR="00D63E48" w:rsidP="006E267F" w:rsidRDefault="00D63E48" w14:paraId="3C21FB3B" w14:textId="77777777">
            <w:pPr>
              <w:jc w:val="center"/>
              <w:rPr>
                <w:sz w:val="20"/>
                <w:szCs w:val="20"/>
              </w:rPr>
            </w:pPr>
            <w:r w:rsidRPr="003130B8">
              <w:rPr>
                <w:iCs/>
                <w:sz w:val="20"/>
                <w:szCs w:val="20"/>
                <w:lang w:val="en-US"/>
              </w:rPr>
              <w:t>  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130B8" w:rsidR="00D63E48" w:rsidP="006E267F" w:rsidRDefault="00D63E48" w14:paraId="7EAFD388" w14:textId="77777777">
            <w:pPr>
              <w:jc w:val="center"/>
              <w:rPr>
                <w:sz w:val="20"/>
                <w:szCs w:val="20"/>
              </w:rPr>
            </w:pPr>
            <w:r w:rsidRPr="003130B8">
              <w:rPr>
                <w:iCs/>
                <w:sz w:val="20"/>
                <w:szCs w:val="20"/>
                <w:lang w:val="en-US"/>
              </w:rPr>
              <w:t>0</w:t>
            </w:r>
          </w:p>
        </w:tc>
      </w:tr>
      <w:tr w:rsidRPr="003130B8" w:rsidR="00D63E48" w:rsidTr="00CB4741" w14:paraId="76DE0AFD" w14:textId="77777777">
        <w:trPr>
          <w:trHeight w:val="510"/>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3130B8" w:rsidR="00D63E48" w:rsidP="006E267F" w:rsidRDefault="00D63E48" w14:paraId="1DF7006D" w14:textId="77777777">
            <w:pPr>
              <w:rPr>
                <w:sz w:val="22"/>
              </w:rPr>
            </w:pPr>
            <w:r w:rsidRPr="003130B8">
              <w:rPr>
                <w:sz w:val="22"/>
              </w:rPr>
              <w:t>1.2. valsts speciālais budžets</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130B8" w:rsidR="00D63E48" w:rsidP="006E267F" w:rsidRDefault="00D63E48" w14:paraId="27D80A80" w14:textId="77777777">
            <w:pPr>
              <w:jc w:val="center"/>
              <w:rPr>
                <w:sz w:val="20"/>
                <w:szCs w:val="20"/>
              </w:rPr>
            </w:pPr>
            <w:r w:rsidRPr="003130B8">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3130B8" w:rsidR="00D63E48" w:rsidP="006E267F" w:rsidRDefault="0078485B" w14:paraId="26178D1E" w14:textId="798AFE4E">
            <w:pPr>
              <w:jc w:val="center"/>
              <w:rPr>
                <w:sz w:val="20"/>
                <w:szCs w:val="20"/>
              </w:rPr>
            </w:pPr>
            <w:r w:rsidRPr="003130B8">
              <w:rPr>
                <w:sz w:val="20"/>
                <w:szCs w:val="20"/>
              </w:rPr>
              <w:t>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130B8" w:rsidR="00D63E48" w:rsidP="006E267F" w:rsidRDefault="00D63E48" w14:paraId="708D8FB6" w14:textId="77777777">
            <w:pPr>
              <w:jc w:val="center"/>
              <w:rPr>
                <w:sz w:val="20"/>
                <w:szCs w:val="20"/>
              </w:rPr>
            </w:pPr>
            <w:r w:rsidRPr="003130B8">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130B8" w:rsidR="00D63E48" w:rsidP="006E267F" w:rsidRDefault="00D63E48" w14:paraId="01CF34D4" w14:textId="35D55C8D">
            <w:pPr>
              <w:jc w:val="center"/>
              <w:rPr>
                <w:sz w:val="20"/>
                <w:szCs w:val="20"/>
              </w:rPr>
            </w:pPr>
            <w:r w:rsidRPr="003130B8">
              <w:rPr>
                <w:iCs/>
                <w:sz w:val="20"/>
                <w:szCs w:val="20"/>
                <w:lang w:val="en-US"/>
              </w:rPr>
              <w:t> 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130B8" w:rsidR="00D63E48" w:rsidP="006E267F" w:rsidRDefault="00D63E48" w14:paraId="052A584D" w14:textId="77777777">
            <w:pPr>
              <w:jc w:val="center"/>
              <w:rPr>
                <w:sz w:val="20"/>
                <w:szCs w:val="20"/>
              </w:rPr>
            </w:pPr>
            <w:r w:rsidRPr="003130B8">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130B8" w:rsidR="00D63E48" w:rsidP="006E267F" w:rsidRDefault="00D63E48" w14:paraId="448A26B1" w14:textId="6A73D04D">
            <w:pPr>
              <w:jc w:val="center"/>
              <w:rPr>
                <w:sz w:val="20"/>
                <w:szCs w:val="20"/>
              </w:rPr>
            </w:pPr>
            <w:r w:rsidRPr="003130B8">
              <w:rPr>
                <w:iCs/>
                <w:sz w:val="20"/>
                <w:szCs w:val="20"/>
                <w:lang w:val="en-US"/>
              </w:rPr>
              <w:t> 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130B8" w:rsidR="00D63E48" w:rsidP="006E267F" w:rsidRDefault="00D63E48" w14:paraId="02FB1EED" w14:textId="35B29AC9">
            <w:pPr>
              <w:jc w:val="center"/>
              <w:rPr>
                <w:sz w:val="20"/>
                <w:szCs w:val="20"/>
              </w:rPr>
            </w:pPr>
            <w:r w:rsidRPr="003130B8">
              <w:rPr>
                <w:iCs/>
                <w:sz w:val="20"/>
                <w:szCs w:val="20"/>
                <w:lang w:val="en-US"/>
              </w:rPr>
              <w:t> 0</w:t>
            </w:r>
          </w:p>
        </w:tc>
      </w:tr>
      <w:tr w:rsidRPr="003130B8" w:rsidR="00D63E48" w:rsidTr="00CB4741" w14:paraId="5AA103DE" w14:textId="77777777">
        <w:trPr>
          <w:trHeight w:val="510"/>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3130B8" w:rsidR="00D63E48" w:rsidP="006E267F" w:rsidRDefault="00D63E48" w14:paraId="3F588226" w14:textId="77777777">
            <w:pPr>
              <w:rPr>
                <w:sz w:val="22"/>
              </w:rPr>
            </w:pPr>
            <w:r w:rsidRPr="003130B8">
              <w:rPr>
                <w:sz w:val="22"/>
              </w:rPr>
              <w:t>1.3. pašvaldību budžets</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130B8" w:rsidR="00D63E48" w:rsidP="006E267F" w:rsidRDefault="00D63E48" w14:paraId="4185CE7C" w14:textId="77777777">
            <w:pPr>
              <w:jc w:val="center"/>
              <w:rPr>
                <w:sz w:val="20"/>
                <w:szCs w:val="20"/>
              </w:rPr>
            </w:pPr>
            <w:r w:rsidRPr="003130B8">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3130B8" w:rsidR="00D63E48" w:rsidP="006E267F" w:rsidRDefault="0078485B" w14:paraId="454F4D5A" w14:textId="644AE7B3">
            <w:pPr>
              <w:jc w:val="center"/>
              <w:rPr>
                <w:sz w:val="20"/>
                <w:szCs w:val="20"/>
              </w:rPr>
            </w:pPr>
            <w:r w:rsidRPr="003130B8">
              <w:rPr>
                <w:sz w:val="20"/>
                <w:szCs w:val="20"/>
              </w:rPr>
              <w:t>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130B8" w:rsidR="00D63E48" w:rsidP="006E267F" w:rsidRDefault="00D63E48" w14:paraId="0E575B87" w14:textId="77777777">
            <w:pPr>
              <w:jc w:val="center"/>
              <w:rPr>
                <w:sz w:val="20"/>
                <w:szCs w:val="20"/>
              </w:rPr>
            </w:pPr>
            <w:r w:rsidRPr="003130B8">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130B8" w:rsidR="00D63E48" w:rsidP="006E267F" w:rsidRDefault="00D63E48" w14:paraId="485EF7C0" w14:textId="15E0D9DA">
            <w:pPr>
              <w:jc w:val="center"/>
              <w:rPr>
                <w:sz w:val="20"/>
                <w:szCs w:val="20"/>
              </w:rPr>
            </w:pPr>
            <w:r w:rsidRPr="003130B8">
              <w:rPr>
                <w:iCs/>
                <w:sz w:val="20"/>
                <w:szCs w:val="20"/>
                <w:lang w:val="en-US"/>
              </w:rPr>
              <w:t>0 </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130B8" w:rsidR="00D63E48" w:rsidP="006E267F" w:rsidRDefault="00D63E48" w14:paraId="7E5352F1" w14:textId="77777777">
            <w:pPr>
              <w:jc w:val="center"/>
              <w:rPr>
                <w:sz w:val="20"/>
                <w:szCs w:val="20"/>
              </w:rPr>
            </w:pPr>
            <w:r w:rsidRPr="003130B8">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130B8" w:rsidR="00D63E48" w:rsidP="006E267F" w:rsidRDefault="00D63E48" w14:paraId="5DA1F1B8" w14:textId="095A9477">
            <w:pPr>
              <w:jc w:val="center"/>
              <w:rPr>
                <w:sz w:val="20"/>
                <w:szCs w:val="20"/>
              </w:rPr>
            </w:pPr>
            <w:r w:rsidRPr="003130B8">
              <w:rPr>
                <w:iCs/>
                <w:sz w:val="20"/>
                <w:szCs w:val="20"/>
                <w:lang w:val="en-US"/>
              </w:rPr>
              <w:t> 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130B8" w:rsidR="00D63E48" w:rsidP="006E267F" w:rsidRDefault="00D63E48" w14:paraId="28C2F796" w14:textId="3BF4E492">
            <w:pPr>
              <w:jc w:val="center"/>
              <w:rPr>
                <w:sz w:val="20"/>
                <w:szCs w:val="20"/>
              </w:rPr>
            </w:pPr>
            <w:r w:rsidRPr="003130B8">
              <w:rPr>
                <w:iCs/>
                <w:sz w:val="20"/>
                <w:szCs w:val="20"/>
                <w:lang w:val="en-US"/>
              </w:rPr>
              <w:t> 0</w:t>
            </w:r>
          </w:p>
        </w:tc>
      </w:tr>
      <w:tr w:rsidRPr="003130B8" w:rsidR="00D63E48" w:rsidTr="00CB4741" w14:paraId="755810DF" w14:textId="77777777">
        <w:trPr>
          <w:trHeight w:val="300"/>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3130B8" w:rsidR="00D63E48" w:rsidP="006E267F" w:rsidRDefault="00D63E48" w14:paraId="6E1E3556" w14:textId="77777777">
            <w:pPr>
              <w:rPr>
                <w:sz w:val="22"/>
              </w:rPr>
            </w:pPr>
            <w:r w:rsidRPr="003130B8">
              <w:rPr>
                <w:sz w:val="22"/>
              </w:rPr>
              <w:t>2. Budžeta izdevumi</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rsidRPr="003130B8" w:rsidR="00D63E48" w:rsidP="006E267F" w:rsidRDefault="00D63E48" w14:paraId="17F10E58" w14:textId="77777777">
            <w:pPr>
              <w:jc w:val="center"/>
              <w:rPr>
                <w:sz w:val="20"/>
                <w:szCs w:val="20"/>
              </w:rPr>
            </w:pPr>
            <w:r w:rsidRPr="003130B8">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3130B8" w:rsidR="00D63E48" w:rsidP="006E267F" w:rsidRDefault="00E00D3E" w14:paraId="15C0013D" w14:textId="112EE619">
            <w:pPr>
              <w:jc w:val="center"/>
              <w:rPr>
                <w:sz w:val="20"/>
                <w:szCs w:val="20"/>
              </w:rPr>
            </w:pPr>
            <w:r w:rsidRPr="003130B8">
              <w:rPr>
                <w:sz w:val="20"/>
                <w:szCs w:val="20"/>
              </w:rPr>
              <w:t>381 893</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rsidRPr="003130B8" w:rsidR="00D63E48" w:rsidP="006E267F" w:rsidRDefault="00D63E48" w14:paraId="01FC4EA4" w14:textId="77777777">
            <w:pPr>
              <w:spacing w:before="120"/>
              <w:jc w:val="center"/>
              <w:rPr>
                <w:sz w:val="20"/>
                <w:szCs w:val="20"/>
              </w:rPr>
            </w:pPr>
            <w:r w:rsidRPr="003130B8">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3130B8" w:rsidR="00D63E48" w:rsidP="006E267F" w:rsidRDefault="00D63E48" w14:paraId="47619603" w14:textId="77777777">
            <w:pPr>
              <w:spacing w:before="120"/>
              <w:jc w:val="center"/>
              <w:rPr>
                <w:sz w:val="20"/>
                <w:szCs w:val="20"/>
              </w:rPr>
            </w:pPr>
            <w:r w:rsidRPr="003130B8">
              <w:rPr>
                <w:iCs/>
                <w:sz w:val="20"/>
                <w:szCs w:val="20"/>
                <w:lang w:val="en-US"/>
              </w:rPr>
              <w:t>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rsidRPr="003130B8" w:rsidR="00D63E48" w:rsidP="006E267F" w:rsidRDefault="00D63E48" w14:paraId="05C4BFEC" w14:textId="77777777">
            <w:pPr>
              <w:spacing w:before="120"/>
              <w:jc w:val="center"/>
              <w:rPr>
                <w:sz w:val="20"/>
                <w:szCs w:val="20"/>
              </w:rPr>
            </w:pPr>
            <w:r w:rsidRPr="003130B8">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130B8" w:rsidR="00D63E48" w:rsidP="006E267F" w:rsidRDefault="00D63E48" w14:paraId="68036825" w14:textId="77777777">
            <w:pPr>
              <w:jc w:val="center"/>
              <w:rPr>
                <w:sz w:val="20"/>
                <w:szCs w:val="20"/>
              </w:rPr>
            </w:pPr>
            <w:r w:rsidRPr="003130B8">
              <w:rPr>
                <w:iCs/>
                <w:sz w:val="20"/>
                <w:szCs w:val="20"/>
                <w:lang w:val="en-US"/>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130B8" w:rsidR="00D63E48" w:rsidP="006E267F" w:rsidRDefault="00D63E48" w14:paraId="65BF421C" w14:textId="77777777">
            <w:pPr>
              <w:jc w:val="center"/>
              <w:rPr>
                <w:sz w:val="20"/>
                <w:szCs w:val="20"/>
              </w:rPr>
            </w:pPr>
            <w:r w:rsidRPr="003130B8">
              <w:rPr>
                <w:iCs/>
                <w:sz w:val="20"/>
                <w:szCs w:val="20"/>
                <w:lang w:val="en-US"/>
              </w:rPr>
              <w:t>0</w:t>
            </w:r>
          </w:p>
        </w:tc>
      </w:tr>
      <w:tr w:rsidRPr="003130B8" w:rsidR="00D63E48" w:rsidTr="00CB4741" w14:paraId="5BD98842" w14:textId="77777777">
        <w:trPr>
          <w:trHeight w:val="510"/>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3130B8" w:rsidR="00D63E48" w:rsidP="006E267F" w:rsidRDefault="00D63E48" w14:paraId="4E8C4002" w14:textId="77777777">
            <w:pPr>
              <w:rPr>
                <w:sz w:val="22"/>
              </w:rPr>
            </w:pPr>
            <w:r w:rsidRPr="003130B8">
              <w:rPr>
                <w:sz w:val="22"/>
              </w:rPr>
              <w:t>2.1. valsts pamatbudžets</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rsidRPr="003130B8" w:rsidR="00D63E48" w:rsidP="006E267F" w:rsidRDefault="00D63E48" w14:paraId="75807673" w14:textId="77777777">
            <w:pPr>
              <w:jc w:val="center"/>
              <w:rPr>
                <w:sz w:val="20"/>
                <w:szCs w:val="20"/>
              </w:rPr>
            </w:pPr>
            <w:r w:rsidRPr="003130B8">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3130B8" w:rsidR="00D63E48" w:rsidP="006E267F" w:rsidRDefault="00E00D3E" w14:paraId="5C4CFEEE" w14:textId="18F8C42E">
            <w:pPr>
              <w:jc w:val="center"/>
              <w:rPr>
                <w:sz w:val="20"/>
                <w:szCs w:val="20"/>
              </w:rPr>
            </w:pPr>
            <w:r w:rsidRPr="003130B8">
              <w:rPr>
                <w:sz w:val="20"/>
                <w:szCs w:val="20"/>
              </w:rPr>
              <w:t>381 893</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rsidRPr="003130B8" w:rsidR="00D63E48" w:rsidP="006E267F" w:rsidRDefault="00D63E48" w14:paraId="10DCD2B2" w14:textId="77777777">
            <w:pPr>
              <w:spacing w:before="120"/>
              <w:jc w:val="center"/>
              <w:rPr>
                <w:sz w:val="20"/>
                <w:szCs w:val="20"/>
              </w:rPr>
            </w:pPr>
            <w:r w:rsidRPr="003130B8">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3130B8" w:rsidR="00D63E48" w:rsidP="006E267F" w:rsidRDefault="00D63E48" w14:paraId="028BAF2A" w14:textId="77777777">
            <w:pPr>
              <w:spacing w:before="120"/>
              <w:jc w:val="center"/>
              <w:rPr>
                <w:sz w:val="20"/>
                <w:szCs w:val="20"/>
              </w:rPr>
            </w:pPr>
            <w:r w:rsidRPr="003130B8">
              <w:rPr>
                <w:iCs/>
                <w:sz w:val="20"/>
                <w:szCs w:val="20"/>
                <w:lang w:val="en-US"/>
              </w:rPr>
              <w:t>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rsidRPr="003130B8" w:rsidR="00D63E48" w:rsidP="006E267F" w:rsidRDefault="00D63E48" w14:paraId="43CB9016" w14:textId="77777777">
            <w:pPr>
              <w:spacing w:before="120"/>
              <w:jc w:val="center"/>
              <w:rPr>
                <w:sz w:val="20"/>
                <w:szCs w:val="20"/>
              </w:rPr>
            </w:pPr>
            <w:r w:rsidRPr="003130B8">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130B8" w:rsidR="00D63E48" w:rsidP="006E267F" w:rsidRDefault="00D63E48" w14:paraId="73636DD0" w14:textId="77777777">
            <w:pPr>
              <w:jc w:val="center"/>
              <w:rPr>
                <w:sz w:val="20"/>
                <w:szCs w:val="20"/>
              </w:rPr>
            </w:pPr>
            <w:r w:rsidRPr="003130B8">
              <w:rPr>
                <w:iCs/>
                <w:sz w:val="20"/>
                <w:szCs w:val="20"/>
                <w:lang w:val="en-US"/>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130B8" w:rsidR="00D63E48" w:rsidP="006E267F" w:rsidRDefault="00D63E48" w14:paraId="4878C2E4" w14:textId="77777777">
            <w:pPr>
              <w:jc w:val="center"/>
              <w:rPr>
                <w:sz w:val="20"/>
                <w:szCs w:val="20"/>
              </w:rPr>
            </w:pPr>
            <w:r w:rsidRPr="003130B8">
              <w:rPr>
                <w:iCs/>
                <w:sz w:val="20"/>
                <w:szCs w:val="20"/>
                <w:lang w:val="en-US"/>
              </w:rPr>
              <w:t>0</w:t>
            </w:r>
          </w:p>
        </w:tc>
      </w:tr>
      <w:tr w:rsidRPr="003130B8" w:rsidR="00D63E48" w:rsidTr="00CB4741" w14:paraId="0FEB1941" w14:textId="77777777">
        <w:trPr>
          <w:trHeight w:val="510"/>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3130B8" w:rsidR="00D63E48" w:rsidP="006E267F" w:rsidRDefault="00D63E48" w14:paraId="434D273D" w14:textId="77777777">
            <w:pPr>
              <w:rPr>
                <w:sz w:val="22"/>
              </w:rPr>
            </w:pPr>
            <w:r w:rsidRPr="003130B8">
              <w:rPr>
                <w:sz w:val="22"/>
              </w:rPr>
              <w:t>2.2. valsts speciālais budžets</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130B8" w:rsidR="00D63E48" w:rsidP="006E267F" w:rsidRDefault="00D63E48" w14:paraId="01E73225" w14:textId="77777777">
            <w:pPr>
              <w:jc w:val="center"/>
              <w:rPr>
                <w:sz w:val="22"/>
              </w:rPr>
            </w:pPr>
            <w:r w:rsidRPr="003130B8">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130B8" w:rsidR="00D63E48" w:rsidP="006E267F" w:rsidRDefault="00D63E48" w14:paraId="1D7B66E6" w14:textId="77777777">
            <w:pPr>
              <w:jc w:val="center"/>
              <w:rPr>
                <w:sz w:val="22"/>
              </w:rPr>
            </w:pPr>
            <w:r w:rsidRPr="003130B8">
              <w:rPr>
                <w:sz w:val="20"/>
                <w:szCs w:val="20"/>
              </w:rPr>
              <w:t>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130B8" w:rsidR="00D63E48" w:rsidP="006E267F" w:rsidRDefault="00D63E48" w14:paraId="2227348A" w14:textId="77777777">
            <w:pPr>
              <w:jc w:val="center"/>
              <w:rPr>
                <w:sz w:val="22"/>
              </w:rPr>
            </w:pPr>
            <w:r w:rsidRPr="003130B8">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130B8" w:rsidR="00D63E48" w:rsidP="006E267F" w:rsidRDefault="00D63E48" w14:paraId="55175857" w14:textId="77777777">
            <w:pPr>
              <w:jc w:val="center"/>
              <w:rPr>
                <w:sz w:val="22"/>
              </w:rPr>
            </w:pPr>
            <w:r w:rsidRPr="003130B8">
              <w:rPr>
                <w:sz w:val="20"/>
                <w:szCs w:val="20"/>
              </w:rPr>
              <w:t>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130B8" w:rsidR="00D63E48" w:rsidP="006E267F" w:rsidRDefault="00D63E48" w14:paraId="7BA4E302" w14:textId="77777777">
            <w:pPr>
              <w:jc w:val="center"/>
              <w:rPr>
                <w:sz w:val="22"/>
              </w:rPr>
            </w:pPr>
            <w:r w:rsidRPr="003130B8">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130B8" w:rsidR="00D63E48" w:rsidP="006E267F" w:rsidRDefault="00D63E48" w14:paraId="7FA5C905" w14:textId="77777777">
            <w:pPr>
              <w:jc w:val="center"/>
              <w:rPr>
                <w:sz w:val="22"/>
              </w:rPr>
            </w:pPr>
            <w:r w:rsidRPr="003130B8">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130B8" w:rsidR="00D63E48" w:rsidP="006E267F" w:rsidRDefault="00D63E48" w14:paraId="161DCA6B" w14:textId="77777777">
            <w:pPr>
              <w:jc w:val="center"/>
              <w:rPr>
                <w:sz w:val="22"/>
              </w:rPr>
            </w:pPr>
            <w:r w:rsidRPr="003130B8">
              <w:rPr>
                <w:sz w:val="20"/>
                <w:szCs w:val="20"/>
              </w:rPr>
              <w:t>0</w:t>
            </w:r>
          </w:p>
        </w:tc>
      </w:tr>
      <w:tr w:rsidRPr="003130B8" w:rsidR="00D63E48" w:rsidTr="00CB4741" w14:paraId="20ECA8D9" w14:textId="77777777">
        <w:trPr>
          <w:trHeight w:val="510"/>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3130B8" w:rsidR="00D63E48" w:rsidP="006E267F" w:rsidRDefault="00D63E48" w14:paraId="493496CC" w14:textId="77777777">
            <w:pPr>
              <w:rPr>
                <w:sz w:val="22"/>
              </w:rPr>
            </w:pPr>
            <w:r w:rsidRPr="003130B8">
              <w:rPr>
                <w:sz w:val="22"/>
              </w:rPr>
              <w:t>2.3. pašvaldību budžets</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130B8" w:rsidR="00D63E48" w:rsidP="006E267F" w:rsidRDefault="00D63E48" w14:paraId="0189F531" w14:textId="77777777">
            <w:pPr>
              <w:jc w:val="center"/>
              <w:rPr>
                <w:sz w:val="22"/>
              </w:rPr>
            </w:pPr>
            <w:r w:rsidRPr="003130B8">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130B8" w:rsidR="00D63E48" w:rsidP="006E267F" w:rsidRDefault="00D63E48" w14:paraId="24900D8D" w14:textId="77777777">
            <w:pPr>
              <w:jc w:val="center"/>
              <w:rPr>
                <w:sz w:val="22"/>
              </w:rPr>
            </w:pPr>
            <w:r w:rsidRPr="003130B8">
              <w:rPr>
                <w:sz w:val="20"/>
                <w:szCs w:val="20"/>
              </w:rPr>
              <w:t>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130B8" w:rsidR="00D63E48" w:rsidP="006E267F" w:rsidRDefault="00D63E48" w14:paraId="4564AF44" w14:textId="77777777">
            <w:pPr>
              <w:jc w:val="center"/>
              <w:rPr>
                <w:sz w:val="22"/>
              </w:rPr>
            </w:pPr>
            <w:r w:rsidRPr="003130B8">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130B8" w:rsidR="00D63E48" w:rsidP="006E267F" w:rsidRDefault="00D63E48" w14:paraId="42A4AF43" w14:textId="77777777">
            <w:pPr>
              <w:jc w:val="center"/>
              <w:rPr>
                <w:sz w:val="22"/>
              </w:rPr>
            </w:pPr>
            <w:r w:rsidRPr="003130B8">
              <w:rPr>
                <w:sz w:val="20"/>
                <w:szCs w:val="20"/>
              </w:rPr>
              <w:t>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130B8" w:rsidR="00D63E48" w:rsidP="006E267F" w:rsidRDefault="00D63E48" w14:paraId="42E4808C" w14:textId="77777777">
            <w:pPr>
              <w:jc w:val="center"/>
              <w:rPr>
                <w:sz w:val="22"/>
              </w:rPr>
            </w:pPr>
            <w:r w:rsidRPr="003130B8">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130B8" w:rsidR="00D63E48" w:rsidP="006E267F" w:rsidRDefault="00D63E48" w14:paraId="53244137" w14:textId="77777777">
            <w:pPr>
              <w:jc w:val="center"/>
              <w:rPr>
                <w:sz w:val="22"/>
              </w:rPr>
            </w:pPr>
            <w:r w:rsidRPr="003130B8">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130B8" w:rsidR="00D63E48" w:rsidP="006E267F" w:rsidRDefault="00D63E48" w14:paraId="30E6CA53" w14:textId="77777777">
            <w:pPr>
              <w:jc w:val="center"/>
              <w:rPr>
                <w:sz w:val="22"/>
              </w:rPr>
            </w:pPr>
            <w:r w:rsidRPr="003130B8">
              <w:rPr>
                <w:sz w:val="20"/>
                <w:szCs w:val="20"/>
              </w:rPr>
              <w:t>0</w:t>
            </w:r>
          </w:p>
        </w:tc>
      </w:tr>
      <w:tr w:rsidRPr="003130B8" w:rsidR="00D63E48" w:rsidTr="00CB4741" w14:paraId="520FD308" w14:textId="77777777">
        <w:trPr>
          <w:trHeight w:val="222"/>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3130B8" w:rsidR="00D63E48" w:rsidP="006E267F" w:rsidRDefault="00D63E48" w14:paraId="32164661" w14:textId="77777777">
            <w:pPr>
              <w:rPr>
                <w:sz w:val="22"/>
              </w:rPr>
            </w:pPr>
            <w:r w:rsidRPr="003130B8">
              <w:rPr>
                <w:sz w:val="22"/>
              </w:rPr>
              <w:t>3. Finansiālā ietekme</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130B8" w:rsidR="00D63E48" w:rsidP="006E267F" w:rsidRDefault="00D63E48" w14:paraId="1B96BDE6" w14:textId="77777777">
            <w:pPr>
              <w:jc w:val="center"/>
              <w:rPr>
                <w:sz w:val="22"/>
              </w:rPr>
            </w:pPr>
            <w:r w:rsidRPr="003130B8">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3130B8" w:rsidR="00D63E48" w:rsidP="006E267F" w:rsidRDefault="000E54C6" w14:paraId="00FFDF0D" w14:textId="151454BF">
            <w:pPr>
              <w:jc w:val="center"/>
              <w:rPr>
                <w:sz w:val="22"/>
              </w:rPr>
            </w:pPr>
            <w:r>
              <w:rPr>
                <w:sz w:val="20"/>
                <w:szCs w:val="20"/>
              </w:rPr>
              <w:t>-</w:t>
            </w:r>
            <w:r w:rsidRPr="003130B8" w:rsidR="00F55CF6">
              <w:rPr>
                <w:sz w:val="20"/>
                <w:szCs w:val="20"/>
              </w:rPr>
              <w:t>381 893</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130B8" w:rsidR="00D63E48" w:rsidP="006E267F" w:rsidRDefault="00D63E48" w14:paraId="731C9590" w14:textId="77777777">
            <w:pPr>
              <w:jc w:val="center"/>
              <w:rPr>
                <w:sz w:val="22"/>
              </w:rPr>
            </w:pPr>
            <w:r w:rsidRPr="003130B8">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130B8" w:rsidR="00D63E48" w:rsidP="006E267F" w:rsidRDefault="00D63E48" w14:paraId="2AA2BD16" w14:textId="77777777">
            <w:pPr>
              <w:jc w:val="center"/>
              <w:rPr>
                <w:sz w:val="22"/>
              </w:rPr>
            </w:pPr>
            <w:r w:rsidRPr="003130B8">
              <w:rPr>
                <w:sz w:val="20"/>
                <w:szCs w:val="20"/>
              </w:rPr>
              <w:t>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130B8" w:rsidR="00D63E48" w:rsidP="006E267F" w:rsidRDefault="00D63E48" w14:paraId="403CB91A" w14:textId="77777777">
            <w:pPr>
              <w:jc w:val="center"/>
              <w:rPr>
                <w:sz w:val="22"/>
              </w:rPr>
            </w:pPr>
            <w:r w:rsidRPr="003130B8">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130B8" w:rsidR="00D63E48" w:rsidP="006E267F" w:rsidRDefault="00D63E48" w14:paraId="7495F88D" w14:textId="77777777">
            <w:pPr>
              <w:jc w:val="center"/>
              <w:rPr>
                <w:sz w:val="22"/>
              </w:rPr>
            </w:pPr>
            <w:r w:rsidRPr="003130B8">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130B8" w:rsidR="00D63E48" w:rsidP="006E267F" w:rsidRDefault="00D63E48" w14:paraId="386D3ED2" w14:textId="77777777">
            <w:pPr>
              <w:jc w:val="center"/>
              <w:rPr>
                <w:sz w:val="22"/>
              </w:rPr>
            </w:pPr>
            <w:r w:rsidRPr="003130B8">
              <w:rPr>
                <w:sz w:val="20"/>
                <w:szCs w:val="20"/>
              </w:rPr>
              <w:t>0</w:t>
            </w:r>
          </w:p>
        </w:tc>
      </w:tr>
      <w:tr w:rsidRPr="003130B8" w:rsidR="00D63E48" w:rsidTr="00CB4741" w14:paraId="5CF72476" w14:textId="77777777">
        <w:trPr>
          <w:trHeight w:val="510"/>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3130B8" w:rsidR="00D63E48" w:rsidP="006E267F" w:rsidRDefault="00D63E48" w14:paraId="441FC474" w14:textId="77777777">
            <w:pPr>
              <w:rPr>
                <w:sz w:val="22"/>
              </w:rPr>
            </w:pPr>
            <w:r w:rsidRPr="003130B8">
              <w:rPr>
                <w:sz w:val="22"/>
              </w:rPr>
              <w:t>3.1. valsts pamatbudžets</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130B8" w:rsidR="00D63E48" w:rsidP="006E267F" w:rsidRDefault="00D63E48" w14:paraId="11C07B39" w14:textId="77777777">
            <w:pPr>
              <w:jc w:val="center"/>
              <w:rPr>
                <w:sz w:val="22"/>
              </w:rPr>
            </w:pPr>
            <w:r w:rsidRPr="003130B8">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rsidRPr="003130B8" w:rsidR="00D63E48" w:rsidP="006E267F" w:rsidRDefault="000E54C6" w14:paraId="2043EE75" w14:textId="4AF10E63">
            <w:pPr>
              <w:jc w:val="center"/>
              <w:rPr>
                <w:sz w:val="22"/>
              </w:rPr>
            </w:pPr>
            <w:r>
              <w:rPr>
                <w:sz w:val="20"/>
                <w:szCs w:val="20"/>
              </w:rPr>
              <w:t>-</w:t>
            </w:r>
            <w:r w:rsidRPr="003130B8" w:rsidR="00F55CF6">
              <w:rPr>
                <w:sz w:val="20"/>
                <w:szCs w:val="20"/>
              </w:rPr>
              <w:t>381 893</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130B8" w:rsidR="00D63E48" w:rsidP="006E267F" w:rsidRDefault="00D63E48" w14:paraId="691FD38C" w14:textId="77777777">
            <w:pPr>
              <w:jc w:val="center"/>
              <w:rPr>
                <w:sz w:val="22"/>
              </w:rPr>
            </w:pPr>
            <w:r w:rsidRPr="003130B8">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130B8" w:rsidR="00D63E48" w:rsidP="006E267F" w:rsidRDefault="00D63E48" w14:paraId="050381EC" w14:textId="77777777">
            <w:pPr>
              <w:jc w:val="center"/>
              <w:rPr>
                <w:sz w:val="22"/>
              </w:rPr>
            </w:pPr>
            <w:r w:rsidRPr="003130B8">
              <w:rPr>
                <w:sz w:val="20"/>
                <w:szCs w:val="20"/>
              </w:rPr>
              <w:t>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130B8" w:rsidR="00D63E48" w:rsidP="006E267F" w:rsidRDefault="00D63E48" w14:paraId="729BE8F6" w14:textId="77777777">
            <w:pPr>
              <w:jc w:val="center"/>
              <w:rPr>
                <w:sz w:val="22"/>
              </w:rPr>
            </w:pPr>
            <w:r w:rsidRPr="003130B8">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130B8" w:rsidR="00D63E48" w:rsidP="006E267F" w:rsidRDefault="00D63E48" w14:paraId="62452857" w14:textId="77777777">
            <w:pPr>
              <w:jc w:val="center"/>
              <w:rPr>
                <w:sz w:val="22"/>
              </w:rPr>
            </w:pPr>
            <w:r w:rsidRPr="003130B8">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130B8" w:rsidR="00D63E48" w:rsidP="006E267F" w:rsidRDefault="00D63E48" w14:paraId="12297EEE" w14:textId="77777777">
            <w:pPr>
              <w:jc w:val="center"/>
              <w:rPr>
                <w:sz w:val="22"/>
              </w:rPr>
            </w:pPr>
            <w:r w:rsidRPr="003130B8">
              <w:rPr>
                <w:sz w:val="20"/>
                <w:szCs w:val="20"/>
              </w:rPr>
              <w:t>0</w:t>
            </w:r>
          </w:p>
        </w:tc>
      </w:tr>
      <w:tr w:rsidRPr="003130B8" w:rsidR="00D63E48" w:rsidTr="00CB4741" w14:paraId="3A73F831" w14:textId="77777777">
        <w:trPr>
          <w:trHeight w:val="325"/>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3130B8" w:rsidR="00D63E48" w:rsidP="006E267F" w:rsidRDefault="00D63E48" w14:paraId="103E9EF5" w14:textId="77777777">
            <w:pPr>
              <w:rPr>
                <w:sz w:val="22"/>
              </w:rPr>
            </w:pPr>
            <w:r w:rsidRPr="003130B8">
              <w:rPr>
                <w:sz w:val="22"/>
              </w:rPr>
              <w:t>3.2. speciālais budžets</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130B8" w:rsidR="00D63E48" w:rsidP="006E267F" w:rsidRDefault="00D63E48" w14:paraId="4D64D98C" w14:textId="77777777">
            <w:pPr>
              <w:jc w:val="center"/>
              <w:rPr>
                <w:sz w:val="22"/>
              </w:rPr>
            </w:pPr>
            <w:r w:rsidRPr="003130B8">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130B8" w:rsidR="00D63E48" w:rsidP="006E267F" w:rsidRDefault="00D63E48" w14:paraId="30FAA0B5" w14:textId="77777777">
            <w:pPr>
              <w:jc w:val="center"/>
              <w:rPr>
                <w:sz w:val="22"/>
              </w:rPr>
            </w:pPr>
            <w:r w:rsidRPr="003130B8">
              <w:rPr>
                <w:sz w:val="20"/>
                <w:szCs w:val="20"/>
              </w:rPr>
              <w:t>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130B8" w:rsidR="00D63E48" w:rsidP="006E267F" w:rsidRDefault="00D63E48" w14:paraId="19F41939" w14:textId="77777777">
            <w:pPr>
              <w:jc w:val="center"/>
              <w:rPr>
                <w:sz w:val="22"/>
              </w:rPr>
            </w:pPr>
            <w:r w:rsidRPr="003130B8">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130B8" w:rsidR="00D63E48" w:rsidP="006E267F" w:rsidRDefault="00D63E48" w14:paraId="44784E8A" w14:textId="77777777">
            <w:pPr>
              <w:jc w:val="center"/>
              <w:rPr>
                <w:sz w:val="22"/>
              </w:rPr>
            </w:pPr>
            <w:r w:rsidRPr="003130B8">
              <w:rPr>
                <w:sz w:val="20"/>
                <w:szCs w:val="20"/>
              </w:rPr>
              <w:t>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130B8" w:rsidR="00D63E48" w:rsidP="006E267F" w:rsidRDefault="00D63E48" w14:paraId="5669CBC3" w14:textId="77777777">
            <w:pPr>
              <w:jc w:val="center"/>
              <w:rPr>
                <w:sz w:val="22"/>
              </w:rPr>
            </w:pPr>
            <w:r w:rsidRPr="003130B8">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130B8" w:rsidR="00D63E48" w:rsidP="006E267F" w:rsidRDefault="00D63E48" w14:paraId="33BAEA8E" w14:textId="77777777">
            <w:pPr>
              <w:jc w:val="center"/>
              <w:rPr>
                <w:sz w:val="22"/>
              </w:rPr>
            </w:pPr>
            <w:r w:rsidRPr="003130B8">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130B8" w:rsidR="00D63E48" w:rsidP="006E267F" w:rsidRDefault="00D63E48" w14:paraId="24C526F3" w14:textId="77777777">
            <w:pPr>
              <w:jc w:val="center"/>
              <w:rPr>
                <w:sz w:val="22"/>
              </w:rPr>
            </w:pPr>
            <w:r w:rsidRPr="003130B8">
              <w:rPr>
                <w:sz w:val="20"/>
                <w:szCs w:val="20"/>
              </w:rPr>
              <w:t>0</w:t>
            </w:r>
          </w:p>
        </w:tc>
      </w:tr>
      <w:tr w:rsidRPr="003130B8" w:rsidR="00D63E48" w:rsidTr="00CB4741" w14:paraId="491126A5" w14:textId="77777777">
        <w:trPr>
          <w:trHeight w:val="510"/>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3130B8" w:rsidR="00D63E48" w:rsidP="006E267F" w:rsidRDefault="00D63E48" w14:paraId="0E054752" w14:textId="77777777">
            <w:pPr>
              <w:rPr>
                <w:sz w:val="22"/>
              </w:rPr>
            </w:pPr>
            <w:r w:rsidRPr="003130B8">
              <w:rPr>
                <w:sz w:val="22"/>
              </w:rPr>
              <w:lastRenderedPageBreak/>
              <w:t>3.3. pašvaldību budžets</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130B8" w:rsidR="00D63E48" w:rsidP="006E267F" w:rsidRDefault="00D63E48" w14:paraId="7B8DCE41" w14:textId="77777777">
            <w:pPr>
              <w:jc w:val="center"/>
              <w:rPr>
                <w:sz w:val="22"/>
              </w:rPr>
            </w:pPr>
            <w:r w:rsidRPr="003130B8">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130B8" w:rsidR="00D63E48" w:rsidP="006E267F" w:rsidRDefault="00D63E48" w14:paraId="0A2EA008" w14:textId="77777777">
            <w:pPr>
              <w:jc w:val="center"/>
              <w:rPr>
                <w:sz w:val="22"/>
              </w:rPr>
            </w:pPr>
            <w:r w:rsidRPr="003130B8">
              <w:rPr>
                <w:sz w:val="20"/>
                <w:szCs w:val="20"/>
              </w:rPr>
              <w:t>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130B8" w:rsidR="00D63E48" w:rsidP="006E267F" w:rsidRDefault="00D63E48" w14:paraId="39BE15AB" w14:textId="77777777">
            <w:pPr>
              <w:jc w:val="center"/>
              <w:rPr>
                <w:sz w:val="22"/>
              </w:rPr>
            </w:pPr>
            <w:r w:rsidRPr="003130B8">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130B8" w:rsidR="00D63E48" w:rsidP="006E267F" w:rsidRDefault="00D63E48" w14:paraId="4C5214E4" w14:textId="77777777">
            <w:pPr>
              <w:jc w:val="center"/>
              <w:rPr>
                <w:sz w:val="22"/>
              </w:rPr>
            </w:pPr>
            <w:r w:rsidRPr="003130B8">
              <w:rPr>
                <w:sz w:val="20"/>
                <w:szCs w:val="20"/>
              </w:rPr>
              <w:t>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130B8" w:rsidR="00D63E48" w:rsidP="006E267F" w:rsidRDefault="00D63E48" w14:paraId="03F84B85" w14:textId="77777777">
            <w:pPr>
              <w:jc w:val="center"/>
              <w:rPr>
                <w:sz w:val="22"/>
              </w:rPr>
            </w:pPr>
            <w:r w:rsidRPr="003130B8">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130B8" w:rsidR="00D63E48" w:rsidP="006E267F" w:rsidRDefault="00D63E48" w14:paraId="6775D4E0" w14:textId="77777777">
            <w:pPr>
              <w:jc w:val="center"/>
              <w:rPr>
                <w:sz w:val="22"/>
              </w:rPr>
            </w:pPr>
            <w:r w:rsidRPr="003130B8">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130B8" w:rsidR="00D63E48" w:rsidP="006E267F" w:rsidRDefault="00D63E48" w14:paraId="2E7491FB" w14:textId="77777777">
            <w:pPr>
              <w:jc w:val="center"/>
              <w:rPr>
                <w:sz w:val="22"/>
              </w:rPr>
            </w:pPr>
            <w:r w:rsidRPr="003130B8">
              <w:rPr>
                <w:sz w:val="20"/>
                <w:szCs w:val="20"/>
              </w:rPr>
              <w:t>0</w:t>
            </w:r>
          </w:p>
        </w:tc>
      </w:tr>
      <w:tr w:rsidRPr="003130B8" w:rsidR="00D63E48" w:rsidTr="00CB4741" w14:paraId="20D05F3D" w14:textId="77777777">
        <w:trPr>
          <w:trHeight w:val="849"/>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3130B8" w:rsidR="00D63E48" w:rsidP="006E267F" w:rsidRDefault="00D63E48" w14:paraId="32046754" w14:textId="77777777">
            <w:pPr>
              <w:rPr>
                <w:sz w:val="22"/>
              </w:rPr>
            </w:pPr>
            <w:r w:rsidRPr="003130B8">
              <w:rPr>
                <w:sz w:val="22"/>
              </w:rPr>
              <w:t>4. Finanšu līdzekļi papildu izdevumu finansēšanai (kompensējošu izdevumu samazinājumu norāda ar "+" zīmi)</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130B8" w:rsidR="00D63E48" w:rsidP="006E267F" w:rsidRDefault="00D63E48" w14:paraId="6DFCBDC1" w14:textId="77777777">
            <w:pPr>
              <w:jc w:val="center"/>
              <w:rPr>
                <w:sz w:val="22"/>
              </w:rPr>
            </w:pPr>
            <w:r w:rsidRPr="003130B8">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130B8" w:rsidR="00D63E48" w:rsidP="006E267F" w:rsidRDefault="00D63E48" w14:paraId="140896D1" w14:textId="77777777">
            <w:pPr>
              <w:jc w:val="center"/>
              <w:rPr>
                <w:sz w:val="22"/>
              </w:rPr>
            </w:pPr>
            <w:r w:rsidRPr="003130B8">
              <w:rPr>
                <w:sz w:val="20"/>
                <w:szCs w:val="20"/>
              </w:rPr>
              <w:t>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130B8" w:rsidR="00D63E48" w:rsidP="006E267F" w:rsidRDefault="00D63E48" w14:paraId="288E9396" w14:textId="77777777">
            <w:pPr>
              <w:jc w:val="center"/>
              <w:rPr>
                <w:sz w:val="22"/>
              </w:rPr>
            </w:pPr>
            <w:r w:rsidRPr="003130B8">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130B8" w:rsidR="00D63E48" w:rsidP="006E267F" w:rsidRDefault="00D63E48" w14:paraId="00C0BC29" w14:textId="77777777">
            <w:pPr>
              <w:jc w:val="center"/>
              <w:rPr>
                <w:sz w:val="22"/>
              </w:rPr>
            </w:pPr>
            <w:r w:rsidRPr="003130B8">
              <w:rPr>
                <w:sz w:val="20"/>
                <w:szCs w:val="20"/>
              </w:rPr>
              <w:t>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130B8" w:rsidR="00D63E48" w:rsidP="006E267F" w:rsidRDefault="00D63E48" w14:paraId="7CFF1C20" w14:textId="77777777">
            <w:pPr>
              <w:jc w:val="center"/>
              <w:rPr>
                <w:sz w:val="22"/>
              </w:rPr>
            </w:pPr>
            <w:r w:rsidRPr="003130B8">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130B8" w:rsidR="00D63E48" w:rsidP="006E267F" w:rsidRDefault="00D63E48" w14:paraId="61E6F069" w14:textId="77777777">
            <w:pPr>
              <w:jc w:val="center"/>
              <w:rPr>
                <w:sz w:val="22"/>
              </w:rPr>
            </w:pPr>
            <w:r w:rsidRPr="003130B8">
              <w:rPr>
                <w:sz w:val="20"/>
                <w:szCs w:val="20"/>
              </w:rPr>
              <w:t>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3130B8" w:rsidR="00D63E48" w:rsidP="006E267F" w:rsidRDefault="00D63E48" w14:paraId="73A1CA07" w14:textId="77777777">
            <w:pPr>
              <w:jc w:val="center"/>
              <w:rPr>
                <w:sz w:val="22"/>
              </w:rPr>
            </w:pPr>
            <w:r w:rsidRPr="003130B8">
              <w:rPr>
                <w:sz w:val="20"/>
                <w:szCs w:val="20"/>
              </w:rPr>
              <w:t>0</w:t>
            </w:r>
          </w:p>
        </w:tc>
      </w:tr>
      <w:tr w:rsidRPr="003130B8" w:rsidR="00D63E48" w:rsidTr="00CB4741" w14:paraId="2CFA1FEB" w14:textId="77777777">
        <w:trPr>
          <w:trHeight w:val="510"/>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3130B8" w:rsidR="00D63E48" w:rsidP="006E267F" w:rsidRDefault="00D63E48" w14:paraId="74E261D3" w14:textId="77777777">
            <w:pPr>
              <w:rPr>
                <w:sz w:val="22"/>
              </w:rPr>
            </w:pPr>
            <w:r w:rsidRPr="003130B8">
              <w:rPr>
                <w:sz w:val="22"/>
              </w:rPr>
              <w:t>5. Precizēta finansiālā ietekme</w:t>
            </w:r>
          </w:p>
        </w:tc>
        <w:tc>
          <w:tcPr>
            <w:tcW w:w="993" w:type="dxa"/>
            <w:vMerge w:val="restart"/>
            <w:tcBorders>
              <w:top w:val="single" w:color="auto" w:sz="4" w:space="0"/>
              <w:left w:val="single" w:color="auto" w:sz="4" w:space="0"/>
              <w:bottom w:val="single" w:color="auto" w:sz="4" w:space="0"/>
              <w:right w:val="single" w:color="auto" w:sz="4" w:space="0"/>
            </w:tcBorders>
            <w:shd w:val="clear" w:color="auto" w:fill="auto"/>
            <w:hideMark/>
          </w:tcPr>
          <w:p w:rsidRPr="003130B8" w:rsidR="00D63E48" w:rsidP="006E267F" w:rsidRDefault="00D63E48" w14:paraId="2BCFE479" w14:textId="77777777">
            <w:pPr>
              <w:jc w:val="center"/>
              <w:rPr>
                <w:sz w:val="22"/>
              </w:rPr>
            </w:pPr>
            <w:r w:rsidRPr="003130B8">
              <w:rPr>
                <w:sz w:val="22"/>
              </w:rPr>
              <w:t>0</w:t>
            </w:r>
          </w:p>
          <w:p w:rsidRPr="003130B8" w:rsidR="00D63E48" w:rsidP="006E267F" w:rsidRDefault="00D63E48" w14:paraId="617CC382" w14:textId="77777777">
            <w:pPr>
              <w:jc w:val="center"/>
              <w:rPr>
                <w:sz w:val="22"/>
              </w:rPr>
            </w:pPr>
          </w:p>
          <w:p w:rsidRPr="003130B8" w:rsidR="00D63E48" w:rsidP="006E267F" w:rsidRDefault="00D63E48" w14:paraId="0A652BFF" w14:textId="77777777">
            <w:pPr>
              <w:jc w:val="center"/>
              <w:rPr>
                <w:sz w:val="22"/>
              </w:rPr>
            </w:pPr>
          </w:p>
          <w:p w:rsidRPr="003130B8" w:rsidR="00D63E48" w:rsidP="006E267F" w:rsidRDefault="00D63E48" w14:paraId="665579FA" w14:textId="77777777">
            <w:pPr>
              <w:jc w:val="center"/>
              <w:rPr>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3130B8" w:rsidR="00D63E48" w:rsidP="006E267F" w:rsidRDefault="000E54C6" w14:paraId="78354954" w14:textId="5A66DF20">
            <w:pPr>
              <w:jc w:val="center"/>
              <w:rPr>
                <w:sz w:val="22"/>
              </w:rPr>
            </w:pPr>
            <w:r>
              <w:rPr>
                <w:sz w:val="20"/>
                <w:szCs w:val="20"/>
              </w:rPr>
              <w:t>-</w:t>
            </w:r>
            <w:r w:rsidRPr="003130B8" w:rsidR="00F55CF6">
              <w:rPr>
                <w:sz w:val="20"/>
                <w:szCs w:val="20"/>
              </w:rPr>
              <w:t>381 893</w:t>
            </w:r>
          </w:p>
        </w:tc>
        <w:tc>
          <w:tcPr>
            <w:tcW w:w="850" w:type="dxa"/>
            <w:vMerge w:val="restart"/>
            <w:tcBorders>
              <w:top w:val="single" w:color="auto" w:sz="4" w:space="0"/>
              <w:left w:val="single" w:color="auto" w:sz="4" w:space="0"/>
              <w:bottom w:val="single" w:color="auto" w:sz="4" w:space="0"/>
              <w:right w:val="single" w:color="auto" w:sz="4" w:space="0"/>
            </w:tcBorders>
            <w:shd w:val="clear" w:color="auto" w:fill="auto"/>
            <w:hideMark/>
          </w:tcPr>
          <w:p w:rsidRPr="003130B8" w:rsidR="00D63E48" w:rsidP="006E267F" w:rsidRDefault="00D63E48" w14:paraId="2F4B0FBB" w14:textId="77777777">
            <w:pPr>
              <w:jc w:val="center"/>
              <w:rPr>
                <w:sz w:val="22"/>
              </w:rPr>
            </w:pPr>
            <w:r w:rsidRPr="003130B8">
              <w:rPr>
                <w:sz w:val="22"/>
              </w:rPr>
              <w:t>0</w:t>
            </w:r>
          </w:p>
          <w:p w:rsidRPr="003130B8" w:rsidR="00D63E48" w:rsidP="006E267F" w:rsidRDefault="00D63E48" w14:paraId="6DA74848" w14:textId="77777777">
            <w:pPr>
              <w:jc w:val="center"/>
              <w:rPr>
                <w:sz w:val="22"/>
              </w:rPr>
            </w:pPr>
          </w:p>
          <w:p w:rsidRPr="003130B8" w:rsidR="00D63E48" w:rsidP="006E267F" w:rsidRDefault="00D63E48" w14:paraId="458CD9B5" w14:textId="77777777">
            <w:pPr>
              <w:jc w:val="center"/>
              <w:rPr>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3130B8" w:rsidR="00D63E48" w:rsidP="006E267F" w:rsidRDefault="00D63E48" w14:paraId="4788CFCB" w14:textId="77777777">
            <w:pPr>
              <w:jc w:val="center"/>
              <w:rPr>
                <w:sz w:val="22"/>
              </w:rPr>
            </w:pPr>
            <w:r w:rsidRPr="003130B8">
              <w:rPr>
                <w:sz w:val="22"/>
              </w:rPr>
              <w:t>0</w:t>
            </w: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hideMark/>
          </w:tcPr>
          <w:p w:rsidRPr="003130B8" w:rsidR="00D63E48" w:rsidP="006E267F" w:rsidRDefault="00D63E48" w14:paraId="66986CD2" w14:textId="77777777">
            <w:pPr>
              <w:jc w:val="center"/>
              <w:rPr>
                <w:sz w:val="22"/>
              </w:rPr>
            </w:pPr>
            <w:r w:rsidRPr="003130B8">
              <w:rPr>
                <w:sz w:val="22"/>
              </w:rPr>
              <w:t>0</w:t>
            </w:r>
          </w:p>
          <w:p w:rsidRPr="003130B8" w:rsidR="00D63E48" w:rsidP="006E267F" w:rsidRDefault="00D63E48" w14:paraId="00939879" w14:textId="77777777">
            <w:pPr>
              <w:jc w:val="center"/>
              <w:rPr>
                <w:sz w:val="22"/>
              </w:rPr>
            </w:pPr>
          </w:p>
          <w:p w:rsidRPr="003130B8" w:rsidR="00D63E48" w:rsidP="006E267F" w:rsidRDefault="00D63E48" w14:paraId="394D07D0" w14:textId="77777777">
            <w:pPr>
              <w:jc w:val="center"/>
              <w:rPr>
                <w:sz w:val="22"/>
              </w:rPr>
            </w:pPr>
          </w:p>
          <w:p w:rsidRPr="003130B8" w:rsidR="00D63E48" w:rsidP="006E267F" w:rsidRDefault="00D63E48" w14:paraId="5B3196B2" w14:textId="77777777">
            <w:pPr>
              <w:jc w:val="center"/>
              <w:rPr>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3130B8" w:rsidR="00D63E48" w:rsidP="006E267F" w:rsidRDefault="00D63E48" w14:paraId="186F11B1" w14:textId="77777777">
            <w:pPr>
              <w:jc w:val="center"/>
              <w:rPr>
                <w:sz w:val="22"/>
              </w:rPr>
            </w:pPr>
            <w:r w:rsidRPr="003130B8">
              <w:rPr>
                <w:sz w:val="22"/>
              </w:rPr>
              <w:t>0</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3130B8" w:rsidR="00D63E48" w:rsidP="006E267F" w:rsidRDefault="00D63E48" w14:paraId="780683C5" w14:textId="77777777">
            <w:pPr>
              <w:jc w:val="center"/>
              <w:rPr>
                <w:sz w:val="22"/>
              </w:rPr>
            </w:pPr>
            <w:r w:rsidRPr="003130B8">
              <w:rPr>
                <w:sz w:val="22"/>
              </w:rPr>
              <w:t>0</w:t>
            </w:r>
          </w:p>
        </w:tc>
      </w:tr>
      <w:tr w:rsidRPr="003130B8" w:rsidR="00D63E48" w:rsidTr="00CB4741" w14:paraId="4CF6CAC8" w14:textId="77777777">
        <w:trPr>
          <w:trHeight w:val="510"/>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3130B8" w:rsidR="00D63E48" w:rsidP="006E267F" w:rsidRDefault="00D63E48" w14:paraId="12A73DE2" w14:textId="77777777">
            <w:pPr>
              <w:rPr>
                <w:sz w:val="22"/>
              </w:rPr>
            </w:pPr>
            <w:r w:rsidRPr="003130B8">
              <w:rPr>
                <w:sz w:val="22"/>
              </w:rPr>
              <w:t>5.1. valsts pamatbudžets</w:t>
            </w:r>
          </w:p>
        </w:tc>
        <w:tc>
          <w:tcPr>
            <w:tcW w:w="993" w:type="dxa"/>
            <w:vMerge/>
            <w:tcBorders>
              <w:top w:val="single" w:color="auto" w:sz="4" w:space="0"/>
              <w:left w:val="single" w:color="auto" w:sz="4" w:space="0"/>
              <w:bottom w:val="single" w:color="auto" w:sz="4" w:space="0"/>
              <w:right w:val="single" w:color="auto" w:sz="4" w:space="0"/>
            </w:tcBorders>
            <w:shd w:val="clear" w:color="auto" w:fill="auto"/>
            <w:hideMark/>
          </w:tcPr>
          <w:p w:rsidRPr="003130B8" w:rsidR="00D63E48" w:rsidP="006E267F" w:rsidRDefault="00D63E48" w14:paraId="34FDD3D4" w14:textId="77777777">
            <w:pPr>
              <w:jc w:val="center"/>
              <w:rPr>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3130B8" w:rsidR="00D63E48" w:rsidP="006E267F" w:rsidRDefault="000E54C6" w14:paraId="08B445DC" w14:textId="6075C741">
            <w:pPr>
              <w:jc w:val="center"/>
              <w:rPr>
                <w:sz w:val="22"/>
              </w:rPr>
            </w:pPr>
            <w:r>
              <w:rPr>
                <w:sz w:val="20"/>
                <w:szCs w:val="20"/>
              </w:rPr>
              <w:t>-</w:t>
            </w:r>
            <w:r w:rsidRPr="003130B8" w:rsidR="00F55CF6">
              <w:rPr>
                <w:sz w:val="20"/>
                <w:szCs w:val="20"/>
              </w:rPr>
              <w:t>381 893</w:t>
            </w:r>
          </w:p>
        </w:tc>
        <w:tc>
          <w:tcPr>
            <w:tcW w:w="850" w:type="dxa"/>
            <w:vMerge/>
            <w:tcBorders>
              <w:top w:val="single" w:color="auto" w:sz="4" w:space="0"/>
              <w:left w:val="single" w:color="auto" w:sz="4" w:space="0"/>
              <w:bottom w:val="single" w:color="auto" w:sz="4" w:space="0"/>
              <w:right w:val="single" w:color="auto" w:sz="4" w:space="0"/>
            </w:tcBorders>
            <w:shd w:val="clear" w:color="auto" w:fill="auto"/>
            <w:hideMark/>
          </w:tcPr>
          <w:p w:rsidRPr="003130B8" w:rsidR="00D63E48" w:rsidP="006E267F" w:rsidRDefault="00D63E48" w14:paraId="06E8B43C" w14:textId="77777777">
            <w:pPr>
              <w:jc w:val="center"/>
              <w:rPr>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3130B8" w:rsidR="00D63E48" w:rsidP="006E267F" w:rsidRDefault="00D63E48" w14:paraId="285714D3" w14:textId="77777777">
            <w:pPr>
              <w:jc w:val="center"/>
              <w:rPr>
                <w:sz w:val="22"/>
              </w:rPr>
            </w:pPr>
            <w:r w:rsidRPr="003130B8">
              <w:rPr>
                <w:sz w:val="22"/>
              </w:rPr>
              <w:t>0</w:t>
            </w:r>
          </w:p>
        </w:tc>
        <w:tc>
          <w:tcPr>
            <w:tcW w:w="992" w:type="dxa"/>
            <w:vMerge/>
            <w:tcBorders>
              <w:top w:val="single" w:color="auto" w:sz="4" w:space="0"/>
              <w:left w:val="single" w:color="auto" w:sz="4" w:space="0"/>
              <w:bottom w:val="single" w:color="auto" w:sz="4" w:space="0"/>
              <w:right w:val="single" w:color="auto" w:sz="4" w:space="0"/>
            </w:tcBorders>
            <w:shd w:val="clear" w:color="auto" w:fill="auto"/>
            <w:hideMark/>
          </w:tcPr>
          <w:p w:rsidRPr="003130B8" w:rsidR="00D63E48" w:rsidP="006E267F" w:rsidRDefault="00D63E48" w14:paraId="2FC6B0E1" w14:textId="77777777">
            <w:pPr>
              <w:jc w:val="center"/>
              <w:rPr>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3130B8" w:rsidR="00D63E48" w:rsidP="006E267F" w:rsidRDefault="00D63E48" w14:paraId="747C737D" w14:textId="77777777">
            <w:pPr>
              <w:jc w:val="center"/>
              <w:rPr>
                <w:sz w:val="22"/>
              </w:rPr>
            </w:pPr>
            <w:r w:rsidRPr="003130B8">
              <w:rPr>
                <w:sz w:val="22"/>
              </w:rPr>
              <w:t>0</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3130B8" w:rsidR="00D63E48" w:rsidP="006E267F" w:rsidRDefault="00D63E48" w14:paraId="656774C0" w14:textId="77777777">
            <w:pPr>
              <w:jc w:val="center"/>
              <w:rPr>
                <w:sz w:val="22"/>
              </w:rPr>
            </w:pPr>
            <w:r w:rsidRPr="003130B8">
              <w:rPr>
                <w:sz w:val="22"/>
              </w:rPr>
              <w:t>0</w:t>
            </w:r>
          </w:p>
        </w:tc>
      </w:tr>
      <w:tr w:rsidRPr="003130B8" w:rsidR="00D63E48" w:rsidTr="00CB4741" w14:paraId="70E72B1E" w14:textId="77777777">
        <w:trPr>
          <w:trHeight w:val="215"/>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3130B8" w:rsidR="00D63E48" w:rsidP="006E267F" w:rsidRDefault="00D63E48" w14:paraId="32CE3D1D" w14:textId="77777777">
            <w:pPr>
              <w:rPr>
                <w:sz w:val="22"/>
              </w:rPr>
            </w:pPr>
            <w:r w:rsidRPr="003130B8">
              <w:rPr>
                <w:sz w:val="22"/>
              </w:rPr>
              <w:t>5.2. speciālais budžets</w:t>
            </w:r>
          </w:p>
        </w:tc>
        <w:tc>
          <w:tcPr>
            <w:tcW w:w="993" w:type="dxa"/>
            <w:vMerge/>
            <w:tcBorders>
              <w:top w:val="single" w:color="auto" w:sz="4" w:space="0"/>
              <w:left w:val="single" w:color="auto" w:sz="4" w:space="0"/>
              <w:bottom w:val="single" w:color="auto" w:sz="4" w:space="0"/>
              <w:right w:val="single" w:color="auto" w:sz="4" w:space="0"/>
            </w:tcBorders>
            <w:shd w:val="clear" w:color="auto" w:fill="auto"/>
            <w:hideMark/>
          </w:tcPr>
          <w:p w:rsidRPr="003130B8" w:rsidR="00D63E48" w:rsidP="006E267F" w:rsidRDefault="00D63E48" w14:paraId="2D0B4EF0" w14:textId="77777777">
            <w:pPr>
              <w:jc w:val="center"/>
              <w:rPr>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3130B8" w:rsidR="00D63E48" w:rsidP="006E267F" w:rsidRDefault="00D63E48" w14:paraId="25E01904" w14:textId="77777777">
            <w:pPr>
              <w:jc w:val="center"/>
              <w:rPr>
                <w:sz w:val="22"/>
              </w:rPr>
            </w:pPr>
            <w:r w:rsidRPr="003130B8">
              <w:rPr>
                <w:sz w:val="22"/>
              </w:rPr>
              <w:t>0</w:t>
            </w:r>
          </w:p>
        </w:tc>
        <w:tc>
          <w:tcPr>
            <w:tcW w:w="850" w:type="dxa"/>
            <w:vMerge/>
            <w:tcBorders>
              <w:top w:val="single" w:color="auto" w:sz="4" w:space="0"/>
              <w:left w:val="single" w:color="auto" w:sz="4" w:space="0"/>
              <w:bottom w:val="single" w:color="auto" w:sz="4" w:space="0"/>
              <w:right w:val="single" w:color="auto" w:sz="4" w:space="0"/>
            </w:tcBorders>
            <w:shd w:val="clear" w:color="auto" w:fill="auto"/>
            <w:hideMark/>
          </w:tcPr>
          <w:p w:rsidRPr="003130B8" w:rsidR="00D63E48" w:rsidP="006E267F" w:rsidRDefault="00D63E48" w14:paraId="212C8167" w14:textId="77777777">
            <w:pPr>
              <w:jc w:val="center"/>
              <w:rPr>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3130B8" w:rsidR="00D63E48" w:rsidP="006E267F" w:rsidRDefault="00D63E48" w14:paraId="436D02D1" w14:textId="77777777">
            <w:pPr>
              <w:jc w:val="center"/>
              <w:rPr>
                <w:sz w:val="22"/>
              </w:rPr>
            </w:pPr>
            <w:r w:rsidRPr="003130B8">
              <w:rPr>
                <w:sz w:val="22"/>
              </w:rPr>
              <w:t>0</w:t>
            </w:r>
          </w:p>
        </w:tc>
        <w:tc>
          <w:tcPr>
            <w:tcW w:w="992" w:type="dxa"/>
            <w:vMerge/>
            <w:tcBorders>
              <w:top w:val="single" w:color="auto" w:sz="4" w:space="0"/>
              <w:left w:val="single" w:color="auto" w:sz="4" w:space="0"/>
              <w:bottom w:val="single" w:color="auto" w:sz="4" w:space="0"/>
              <w:right w:val="single" w:color="auto" w:sz="4" w:space="0"/>
            </w:tcBorders>
            <w:shd w:val="clear" w:color="auto" w:fill="auto"/>
            <w:hideMark/>
          </w:tcPr>
          <w:p w:rsidRPr="003130B8" w:rsidR="00D63E48" w:rsidP="006E267F" w:rsidRDefault="00D63E48" w14:paraId="4811E0D2" w14:textId="77777777">
            <w:pPr>
              <w:jc w:val="center"/>
              <w:rPr>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3130B8" w:rsidR="00D63E48" w:rsidP="006E267F" w:rsidRDefault="00D63E48" w14:paraId="70EAAA68" w14:textId="77777777">
            <w:pPr>
              <w:jc w:val="center"/>
              <w:rPr>
                <w:sz w:val="22"/>
              </w:rPr>
            </w:pPr>
            <w:r w:rsidRPr="003130B8">
              <w:rPr>
                <w:sz w:val="22"/>
              </w:rPr>
              <w:t>0</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3130B8" w:rsidR="00D63E48" w:rsidP="006E267F" w:rsidRDefault="00D63E48" w14:paraId="75985AFA" w14:textId="77777777">
            <w:pPr>
              <w:jc w:val="center"/>
              <w:rPr>
                <w:sz w:val="22"/>
              </w:rPr>
            </w:pPr>
            <w:r w:rsidRPr="003130B8">
              <w:rPr>
                <w:sz w:val="22"/>
              </w:rPr>
              <w:t>0</w:t>
            </w:r>
          </w:p>
        </w:tc>
      </w:tr>
      <w:tr w:rsidRPr="003130B8" w:rsidR="00D63E48" w:rsidTr="00CB4741" w14:paraId="6E534996" w14:textId="77777777">
        <w:trPr>
          <w:trHeight w:val="510"/>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3130B8" w:rsidR="00D63E48" w:rsidP="006E267F" w:rsidRDefault="00D63E48" w14:paraId="6F6E194E" w14:textId="77777777">
            <w:pPr>
              <w:rPr>
                <w:sz w:val="22"/>
              </w:rPr>
            </w:pPr>
            <w:r w:rsidRPr="003130B8">
              <w:rPr>
                <w:sz w:val="22"/>
              </w:rPr>
              <w:t>5.3. pašvaldību budžets</w:t>
            </w:r>
          </w:p>
        </w:tc>
        <w:tc>
          <w:tcPr>
            <w:tcW w:w="993" w:type="dxa"/>
            <w:vMerge/>
            <w:tcBorders>
              <w:top w:val="single" w:color="auto" w:sz="4" w:space="0"/>
              <w:left w:val="single" w:color="auto" w:sz="4" w:space="0"/>
              <w:bottom w:val="single" w:color="auto" w:sz="4" w:space="0"/>
              <w:right w:val="single" w:color="auto" w:sz="4" w:space="0"/>
            </w:tcBorders>
            <w:shd w:val="clear" w:color="auto" w:fill="auto"/>
            <w:hideMark/>
          </w:tcPr>
          <w:p w:rsidRPr="003130B8" w:rsidR="00D63E48" w:rsidP="006E267F" w:rsidRDefault="00D63E48" w14:paraId="6DCDA577" w14:textId="77777777">
            <w:pPr>
              <w:jc w:val="center"/>
              <w:rPr>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3130B8" w:rsidR="00D63E48" w:rsidP="006E267F" w:rsidRDefault="00D63E48" w14:paraId="0551C83C" w14:textId="77777777">
            <w:pPr>
              <w:jc w:val="center"/>
              <w:rPr>
                <w:sz w:val="22"/>
              </w:rPr>
            </w:pPr>
            <w:r w:rsidRPr="003130B8">
              <w:rPr>
                <w:sz w:val="22"/>
              </w:rPr>
              <w:t>0</w:t>
            </w:r>
          </w:p>
        </w:tc>
        <w:tc>
          <w:tcPr>
            <w:tcW w:w="850" w:type="dxa"/>
            <w:vMerge/>
            <w:tcBorders>
              <w:top w:val="single" w:color="auto" w:sz="4" w:space="0"/>
              <w:left w:val="single" w:color="auto" w:sz="4" w:space="0"/>
              <w:bottom w:val="single" w:color="auto" w:sz="4" w:space="0"/>
              <w:right w:val="single" w:color="auto" w:sz="4" w:space="0"/>
            </w:tcBorders>
            <w:shd w:val="clear" w:color="auto" w:fill="auto"/>
            <w:hideMark/>
          </w:tcPr>
          <w:p w:rsidRPr="003130B8" w:rsidR="00D63E48" w:rsidP="006E267F" w:rsidRDefault="00D63E48" w14:paraId="2D7B5EF8" w14:textId="77777777">
            <w:pPr>
              <w:jc w:val="center"/>
              <w:rPr>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3130B8" w:rsidR="00D63E48" w:rsidP="006E267F" w:rsidRDefault="00D63E48" w14:paraId="70F71A45" w14:textId="77777777">
            <w:pPr>
              <w:jc w:val="center"/>
              <w:rPr>
                <w:sz w:val="22"/>
              </w:rPr>
            </w:pPr>
            <w:r w:rsidRPr="003130B8">
              <w:rPr>
                <w:sz w:val="22"/>
              </w:rPr>
              <w:t>0</w:t>
            </w:r>
          </w:p>
        </w:tc>
        <w:tc>
          <w:tcPr>
            <w:tcW w:w="992" w:type="dxa"/>
            <w:vMerge/>
            <w:tcBorders>
              <w:top w:val="single" w:color="auto" w:sz="4" w:space="0"/>
              <w:left w:val="single" w:color="auto" w:sz="4" w:space="0"/>
              <w:bottom w:val="single" w:color="auto" w:sz="4" w:space="0"/>
              <w:right w:val="single" w:color="auto" w:sz="4" w:space="0"/>
            </w:tcBorders>
            <w:shd w:val="clear" w:color="auto" w:fill="auto"/>
            <w:hideMark/>
          </w:tcPr>
          <w:p w:rsidRPr="003130B8" w:rsidR="00D63E48" w:rsidP="006E267F" w:rsidRDefault="00D63E48" w14:paraId="52B7C286" w14:textId="77777777">
            <w:pPr>
              <w:jc w:val="center"/>
              <w:rPr>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3130B8" w:rsidR="00D63E48" w:rsidP="006E267F" w:rsidRDefault="00D63E48" w14:paraId="6EAE7973" w14:textId="77777777">
            <w:pPr>
              <w:jc w:val="center"/>
              <w:rPr>
                <w:sz w:val="22"/>
              </w:rPr>
            </w:pPr>
            <w:r w:rsidRPr="003130B8">
              <w:rPr>
                <w:sz w:val="22"/>
              </w:rPr>
              <w:t>0</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3130B8" w:rsidR="00D63E48" w:rsidP="006E267F" w:rsidRDefault="00D63E48" w14:paraId="36762AC3" w14:textId="77777777">
            <w:pPr>
              <w:jc w:val="center"/>
              <w:rPr>
                <w:sz w:val="22"/>
              </w:rPr>
            </w:pPr>
            <w:r w:rsidRPr="003130B8">
              <w:rPr>
                <w:sz w:val="22"/>
              </w:rPr>
              <w:t>0</w:t>
            </w:r>
          </w:p>
        </w:tc>
      </w:tr>
      <w:tr w:rsidRPr="003130B8" w:rsidR="00D63E48" w:rsidTr="00765A99" w14:paraId="234734BC" w14:textId="77777777">
        <w:trPr>
          <w:trHeight w:val="4237"/>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3130B8" w:rsidR="00D63E48" w:rsidP="006E267F" w:rsidRDefault="00D63E48" w14:paraId="0C3AFC07" w14:textId="77777777">
            <w:r w:rsidRPr="003130B8">
              <w:t>6. Detalizēts ieņēmumu un izdevumu aprēķins (ja nepieciešams, detalizētu ieņēmumu un izdevumu aprēķinu var pievienot anotācijas pielikumā)</w:t>
            </w:r>
          </w:p>
        </w:tc>
        <w:tc>
          <w:tcPr>
            <w:tcW w:w="7371" w:type="dxa"/>
            <w:gridSpan w:val="7"/>
            <w:vMerge w:val="restart"/>
            <w:tcBorders>
              <w:top w:val="single" w:color="auto" w:sz="4" w:space="0"/>
              <w:left w:val="single" w:color="auto" w:sz="4" w:space="0"/>
              <w:bottom w:val="single" w:color="auto" w:sz="4" w:space="0"/>
              <w:right w:val="single" w:color="auto" w:sz="4" w:space="0"/>
            </w:tcBorders>
            <w:shd w:val="clear" w:color="auto" w:fill="auto"/>
          </w:tcPr>
          <w:p w:rsidRPr="003130B8" w:rsidR="0023107E" w:rsidP="00605958" w:rsidRDefault="00605958" w14:paraId="345302CE" w14:textId="1ED10AF8">
            <w:pPr>
              <w:tabs>
                <w:tab w:val="left" w:pos="993"/>
              </w:tabs>
              <w:contextualSpacing/>
              <w:jc w:val="center"/>
              <w:rPr>
                <w:b/>
                <w:bCs/>
                <w:sz w:val="22"/>
                <w:szCs w:val="22"/>
              </w:rPr>
            </w:pPr>
            <w:r w:rsidRPr="003130B8">
              <w:rPr>
                <w:b/>
                <w:bCs/>
                <w:sz w:val="22"/>
                <w:szCs w:val="22"/>
              </w:rPr>
              <w:t>Nekustamo īpašuma apsaimniekošanas provizoriskās izmaksas</w:t>
            </w:r>
          </w:p>
          <w:p w:rsidRPr="003130B8" w:rsidR="00605958" w:rsidP="00605958" w:rsidRDefault="00605958" w14:paraId="6DE186FB" w14:textId="0AD5D1AA">
            <w:pPr>
              <w:tabs>
                <w:tab w:val="left" w:pos="993"/>
              </w:tabs>
              <w:contextualSpacing/>
              <w:jc w:val="center"/>
              <w:rPr>
                <w:b/>
                <w:bCs/>
                <w:i/>
                <w:iCs/>
                <w:sz w:val="22"/>
                <w:szCs w:val="22"/>
              </w:rPr>
            </w:pPr>
            <w:r w:rsidRPr="003130B8">
              <w:rPr>
                <w:b/>
                <w:bCs/>
                <w:sz w:val="22"/>
                <w:szCs w:val="22"/>
              </w:rPr>
              <w:t>202</w:t>
            </w:r>
            <w:r w:rsidRPr="003130B8" w:rsidR="0056266A">
              <w:rPr>
                <w:b/>
                <w:bCs/>
                <w:sz w:val="22"/>
                <w:szCs w:val="22"/>
              </w:rPr>
              <w:t>1</w:t>
            </w:r>
            <w:r w:rsidRPr="003130B8">
              <w:rPr>
                <w:b/>
                <w:bCs/>
                <w:sz w:val="22"/>
                <w:szCs w:val="22"/>
              </w:rPr>
              <w:t>.</w:t>
            </w:r>
            <w:r w:rsidRPr="003130B8" w:rsidR="00765A99">
              <w:rPr>
                <w:b/>
                <w:bCs/>
                <w:sz w:val="22"/>
                <w:szCs w:val="22"/>
              </w:rPr>
              <w:t> </w:t>
            </w:r>
            <w:r w:rsidRPr="003130B8">
              <w:rPr>
                <w:b/>
                <w:bCs/>
                <w:sz w:val="22"/>
                <w:szCs w:val="22"/>
              </w:rPr>
              <w:t xml:space="preserve">gadā, </w:t>
            </w:r>
            <w:proofErr w:type="spellStart"/>
            <w:r w:rsidRPr="003130B8">
              <w:rPr>
                <w:b/>
                <w:bCs/>
                <w:i/>
                <w:iCs/>
                <w:sz w:val="22"/>
                <w:szCs w:val="22"/>
              </w:rPr>
              <w:t>euro</w:t>
            </w:r>
            <w:proofErr w:type="spellEnd"/>
          </w:p>
          <w:p w:rsidRPr="003130B8" w:rsidR="00744E35" w:rsidP="00640C53" w:rsidRDefault="00B66272" w14:paraId="09A5CF5F" w14:textId="150AE590">
            <w:pPr>
              <w:tabs>
                <w:tab w:val="left" w:pos="993"/>
              </w:tabs>
              <w:contextualSpacing/>
              <w:jc w:val="both"/>
              <w:rPr>
                <w:bCs/>
                <w:sz w:val="22"/>
                <w:szCs w:val="22"/>
              </w:rPr>
            </w:pPr>
            <w:r w:rsidRPr="003130B8">
              <w:rPr>
                <w:bCs/>
                <w:sz w:val="22"/>
                <w:szCs w:val="22"/>
              </w:rPr>
              <w:t xml:space="preserve">Apsaimniekošanas izmaksas </w:t>
            </w:r>
            <w:r w:rsidRPr="003130B8" w:rsidR="00EA54F8">
              <w:rPr>
                <w:bCs/>
                <w:sz w:val="22"/>
                <w:szCs w:val="22"/>
              </w:rPr>
              <w:t xml:space="preserve">veidojas no </w:t>
            </w:r>
            <w:r w:rsidRPr="003130B8" w:rsidR="00EA54F8">
              <w:rPr>
                <w:bCs/>
                <w:sz w:val="22"/>
                <w:szCs w:val="22"/>
                <w:u w:val="single"/>
              </w:rPr>
              <w:t>administratīvajām izmaksām un tiešajām izmaksām, kas attiecas uz ēku un zemju apsaimniekošanu</w:t>
            </w:r>
            <w:r w:rsidRPr="003130B8" w:rsidR="00EA54F8">
              <w:rPr>
                <w:bCs/>
                <w:sz w:val="22"/>
                <w:szCs w:val="22"/>
              </w:rPr>
              <w:t xml:space="preserve">. </w:t>
            </w:r>
          </w:p>
          <w:p w:rsidRPr="003130B8" w:rsidR="00744E35" w:rsidP="00744E35" w:rsidRDefault="00744E35" w14:paraId="459C6BB1" w14:textId="7243355C">
            <w:pPr>
              <w:tabs>
                <w:tab w:val="left" w:pos="993"/>
              </w:tabs>
              <w:contextualSpacing/>
              <w:jc w:val="both"/>
              <w:rPr>
                <w:bCs/>
                <w:sz w:val="22"/>
                <w:szCs w:val="22"/>
              </w:rPr>
            </w:pPr>
            <w:r w:rsidRPr="003130B8">
              <w:rPr>
                <w:bCs/>
                <w:sz w:val="22"/>
                <w:szCs w:val="22"/>
              </w:rPr>
              <w:t>Tiešās apsaimniekošanas izmaksas veidojas no vidējās aprēķinātās izmaksas par ēku un zemju apsaimniekošanu, dokumentācijas uzturēšanu un aktualizāciju, zāles pļaušanu, ietves attīrīšana no sniega, atkritumu izvešanu, nožogojuma un drošības zīmju izvietošanu, apsardzi, informatīvo zīmju izvietošanu, inženiertīklu atslēgšanu. Nekustamā īpašuma nodokļu maksājumi tiek balstīti uz kadastra vērtību, rēķinot par periodu no brīža, kad īpašumu plānots atsavināt līdz nodošanai būvuzņēmējam, būvniecības uzsākšanai.</w:t>
            </w:r>
          </w:p>
          <w:tbl>
            <w:tblPr>
              <w:tblStyle w:val="TableGrid"/>
              <w:tblpPr w:leftFromText="180" w:rightFromText="180" w:vertAnchor="text" w:tblpXSpec="center" w:tblpY="1"/>
              <w:tblOverlap w:val="never"/>
              <w:tblW w:w="6900" w:type="dxa"/>
              <w:jc w:val="center"/>
              <w:tblLayout w:type="fixed"/>
              <w:tblLook w:val="04A0" w:firstRow="1" w:lastRow="0" w:firstColumn="1" w:lastColumn="0" w:noHBand="0" w:noVBand="1"/>
            </w:tblPr>
            <w:tblGrid>
              <w:gridCol w:w="2405"/>
              <w:gridCol w:w="2126"/>
              <w:gridCol w:w="2369"/>
            </w:tblGrid>
            <w:tr w:rsidRPr="003130B8" w:rsidR="00744E35" w:rsidTr="00921B43" w14:paraId="323B9008" w14:textId="77777777">
              <w:trPr>
                <w:trHeight w:val="557"/>
                <w:jc w:val="center"/>
              </w:trPr>
              <w:tc>
                <w:tcPr>
                  <w:tcW w:w="2405" w:type="dxa"/>
                  <w:vAlign w:val="center"/>
                  <w:hideMark/>
                </w:tcPr>
                <w:p w:rsidRPr="003130B8" w:rsidR="00744E35" w:rsidP="00921B43" w:rsidRDefault="0038603E" w14:paraId="2B100064" w14:textId="30EE57B4">
                  <w:pPr>
                    <w:jc w:val="center"/>
                    <w:rPr>
                      <w:b/>
                      <w:bCs/>
                      <w:sz w:val="20"/>
                      <w:szCs w:val="20"/>
                    </w:rPr>
                  </w:pPr>
                  <w:r w:rsidRPr="003130B8">
                    <w:rPr>
                      <w:b/>
                      <w:bCs/>
                      <w:sz w:val="20"/>
                      <w:szCs w:val="20"/>
                    </w:rPr>
                    <w:t>Tiešās apsaimniekošanas izmaksas</w:t>
                  </w:r>
                </w:p>
              </w:tc>
              <w:tc>
                <w:tcPr>
                  <w:tcW w:w="2126" w:type="dxa"/>
                  <w:vAlign w:val="bottom"/>
                </w:tcPr>
                <w:p w:rsidRPr="003130B8" w:rsidR="00744E35" w:rsidP="00921B43" w:rsidRDefault="00F3440A" w14:paraId="354D6F41" w14:textId="4A078419">
                  <w:pPr>
                    <w:jc w:val="center"/>
                    <w:rPr>
                      <w:b/>
                      <w:bCs/>
                      <w:sz w:val="20"/>
                      <w:szCs w:val="20"/>
                    </w:rPr>
                  </w:pPr>
                  <w:proofErr w:type="spellStart"/>
                  <w:r w:rsidRPr="003130B8">
                    <w:rPr>
                      <w:b/>
                      <w:bCs/>
                      <w:i/>
                      <w:iCs/>
                      <w:sz w:val="22"/>
                      <w:szCs w:val="22"/>
                    </w:rPr>
                    <w:t>euro</w:t>
                  </w:r>
                  <w:proofErr w:type="spellEnd"/>
                  <w:r w:rsidRPr="003130B8" w:rsidR="00744E35">
                    <w:rPr>
                      <w:b/>
                      <w:bCs/>
                      <w:color w:val="000000"/>
                      <w:sz w:val="20"/>
                      <w:szCs w:val="20"/>
                    </w:rPr>
                    <w:t xml:space="preserve"> par kvadrātmetru mēnesī</w:t>
                  </w:r>
                </w:p>
              </w:tc>
              <w:tc>
                <w:tcPr>
                  <w:tcW w:w="2369" w:type="dxa"/>
                  <w:vAlign w:val="bottom"/>
                </w:tcPr>
                <w:p w:rsidRPr="003130B8" w:rsidR="00744E35" w:rsidP="00744E35" w:rsidRDefault="00F3440A" w14:paraId="01CC9C56" w14:textId="773F30A9">
                  <w:pPr>
                    <w:jc w:val="center"/>
                    <w:rPr>
                      <w:b/>
                      <w:bCs/>
                      <w:color w:val="000000"/>
                      <w:sz w:val="20"/>
                      <w:szCs w:val="20"/>
                    </w:rPr>
                  </w:pPr>
                  <w:proofErr w:type="spellStart"/>
                  <w:r w:rsidRPr="003130B8">
                    <w:rPr>
                      <w:b/>
                      <w:bCs/>
                      <w:i/>
                      <w:iCs/>
                      <w:sz w:val="22"/>
                      <w:szCs w:val="22"/>
                    </w:rPr>
                    <w:t>euro</w:t>
                  </w:r>
                  <w:proofErr w:type="spellEnd"/>
                  <w:r w:rsidRPr="003130B8" w:rsidDel="00F3440A">
                    <w:rPr>
                      <w:b/>
                      <w:bCs/>
                      <w:color w:val="000000"/>
                      <w:sz w:val="20"/>
                      <w:szCs w:val="20"/>
                    </w:rPr>
                    <w:t xml:space="preserve"> </w:t>
                  </w:r>
                  <w:r w:rsidRPr="003130B8" w:rsidR="00744E35">
                    <w:rPr>
                      <w:b/>
                      <w:bCs/>
                      <w:color w:val="000000"/>
                      <w:sz w:val="20"/>
                      <w:szCs w:val="20"/>
                    </w:rPr>
                    <w:t>par kvadrātmetru gadā</w:t>
                  </w:r>
                </w:p>
              </w:tc>
            </w:tr>
            <w:tr w:rsidRPr="003130B8" w:rsidR="00744E35" w:rsidTr="00921B43" w14:paraId="474B9390" w14:textId="77777777">
              <w:trPr>
                <w:trHeight w:val="310"/>
                <w:jc w:val="center"/>
              </w:trPr>
              <w:tc>
                <w:tcPr>
                  <w:tcW w:w="2405" w:type="dxa"/>
                  <w:noWrap/>
                  <w:vAlign w:val="bottom"/>
                  <w:hideMark/>
                </w:tcPr>
                <w:p w:rsidRPr="003130B8" w:rsidR="00744E35" w:rsidP="00744E35" w:rsidRDefault="00744E35" w14:paraId="32114A8A" w14:textId="577FAEBC">
                  <w:pPr>
                    <w:rPr>
                      <w:sz w:val="20"/>
                      <w:szCs w:val="20"/>
                    </w:rPr>
                  </w:pPr>
                  <w:r w:rsidRPr="003130B8">
                    <w:rPr>
                      <w:color w:val="000000"/>
                      <w:sz w:val="20"/>
                      <w:szCs w:val="20"/>
                    </w:rPr>
                    <w:t xml:space="preserve">Zemes apsaimniekošana </w:t>
                  </w:r>
                </w:p>
              </w:tc>
              <w:tc>
                <w:tcPr>
                  <w:tcW w:w="2126" w:type="dxa"/>
                  <w:vAlign w:val="center"/>
                </w:tcPr>
                <w:p w:rsidRPr="003130B8" w:rsidR="00744E35" w:rsidP="00744E35" w:rsidRDefault="00744E35" w14:paraId="3799DE69" w14:textId="620ECCCA">
                  <w:pPr>
                    <w:rPr>
                      <w:sz w:val="20"/>
                      <w:szCs w:val="20"/>
                    </w:rPr>
                  </w:pPr>
                  <w:r w:rsidRPr="003130B8">
                    <w:rPr>
                      <w:color w:val="000000"/>
                      <w:sz w:val="20"/>
                      <w:szCs w:val="20"/>
                    </w:rPr>
                    <w:t xml:space="preserve">           0</w:t>
                  </w:r>
                  <w:r w:rsidRPr="003130B8" w:rsidR="000F3EB5">
                    <w:rPr>
                      <w:color w:val="000000"/>
                      <w:sz w:val="20"/>
                      <w:szCs w:val="20"/>
                    </w:rPr>
                    <w:t>.</w:t>
                  </w:r>
                  <w:r w:rsidRPr="003130B8">
                    <w:rPr>
                      <w:color w:val="000000"/>
                      <w:sz w:val="20"/>
                      <w:szCs w:val="20"/>
                    </w:rPr>
                    <w:t xml:space="preserve">08   </w:t>
                  </w:r>
                </w:p>
              </w:tc>
              <w:tc>
                <w:tcPr>
                  <w:tcW w:w="2369" w:type="dxa"/>
                  <w:vAlign w:val="center"/>
                </w:tcPr>
                <w:p w:rsidRPr="003130B8" w:rsidR="00744E35" w:rsidRDefault="00744E35" w14:paraId="1A8D9569" w14:textId="04030CCA">
                  <w:pPr>
                    <w:jc w:val="center"/>
                    <w:rPr>
                      <w:color w:val="000000"/>
                      <w:sz w:val="20"/>
                      <w:szCs w:val="20"/>
                    </w:rPr>
                  </w:pPr>
                  <w:r w:rsidRPr="003130B8">
                    <w:rPr>
                      <w:color w:val="000000"/>
                      <w:sz w:val="20"/>
                      <w:szCs w:val="20"/>
                    </w:rPr>
                    <w:t>0</w:t>
                  </w:r>
                  <w:r w:rsidRPr="003130B8" w:rsidR="000F3EB5">
                    <w:rPr>
                      <w:color w:val="000000"/>
                      <w:sz w:val="20"/>
                      <w:szCs w:val="20"/>
                    </w:rPr>
                    <w:t>.</w:t>
                  </w:r>
                  <w:r w:rsidRPr="003130B8">
                    <w:rPr>
                      <w:color w:val="000000"/>
                      <w:sz w:val="20"/>
                      <w:szCs w:val="20"/>
                    </w:rPr>
                    <w:t>96</w:t>
                  </w:r>
                </w:p>
              </w:tc>
            </w:tr>
            <w:tr w:rsidRPr="003130B8" w:rsidR="00744E35" w:rsidTr="00921B43" w14:paraId="1E98FD8D" w14:textId="77777777">
              <w:trPr>
                <w:trHeight w:val="310"/>
                <w:jc w:val="center"/>
              </w:trPr>
              <w:tc>
                <w:tcPr>
                  <w:tcW w:w="2405" w:type="dxa"/>
                  <w:noWrap/>
                  <w:vAlign w:val="bottom"/>
                </w:tcPr>
                <w:p w:rsidRPr="003130B8" w:rsidR="00744E35" w:rsidP="00744E35" w:rsidRDefault="00744E35" w14:paraId="58BBF16D" w14:textId="7FA87092">
                  <w:pPr>
                    <w:rPr>
                      <w:sz w:val="20"/>
                      <w:szCs w:val="20"/>
                    </w:rPr>
                  </w:pPr>
                  <w:r w:rsidRPr="003130B8">
                    <w:rPr>
                      <w:color w:val="000000"/>
                      <w:sz w:val="20"/>
                      <w:szCs w:val="20"/>
                    </w:rPr>
                    <w:t xml:space="preserve">Ēku apsaimniekošana  </w:t>
                  </w:r>
                </w:p>
              </w:tc>
              <w:tc>
                <w:tcPr>
                  <w:tcW w:w="2126" w:type="dxa"/>
                  <w:vAlign w:val="center"/>
                </w:tcPr>
                <w:p w:rsidRPr="003130B8" w:rsidR="00744E35" w:rsidP="00744E35" w:rsidRDefault="00744E35" w14:paraId="060C3C68" w14:textId="34DA4D98">
                  <w:pPr>
                    <w:rPr>
                      <w:sz w:val="20"/>
                      <w:szCs w:val="20"/>
                    </w:rPr>
                  </w:pPr>
                  <w:r w:rsidRPr="003130B8">
                    <w:rPr>
                      <w:color w:val="000000"/>
                      <w:sz w:val="20"/>
                      <w:szCs w:val="20"/>
                    </w:rPr>
                    <w:t xml:space="preserve">           1</w:t>
                  </w:r>
                  <w:r w:rsidRPr="003130B8" w:rsidR="000F3EB5">
                    <w:rPr>
                      <w:color w:val="000000"/>
                      <w:sz w:val="20"/>
                      <w:szCs w:val="20"/>
                    </w:rPr>
                    <w:t>.</w:t>
                  </w:r>
                  <w:r w:rsidRPr="003130B8">
                    <w:rPr>
                      <w:color w:val="000000"/>
                      <w:sz w:val="20"/>
                      <w:szCs w:val="20"/>
                    </w:rPr>
                    <w:t xml:space="preserve">00   </w:t>
                  </w:r>
                </w:p>
              </w:tc>
              <w:tc>
                <w:tcPr>
                  <w:tcW w:w="2369" w:type="dxa"/>
                  <w:vAlign w:val="center"/>
                </w:tcPr>
                <w:p w:rsidRPr="003130B8" w:rsidR="00744E35" w:rsidP="00921B43" w:rsidRDefault="00744E35" w14:paraId="3B934D9A" w14:textId="5E14C3E5">
                  <w:pPr>
                    <w:jc w:val="center"/>
                    <w:rPr>
                      <w:sz w:val="20"/>
                      <w:szCs w:val="20"/>
                    </w:rPr>
                  </w:pPr>
                  <w:r w:rsidRPr="003130B8">
                    <w:rPr>
                      <w:color w:val="000000"/>
                      <w:sz w:val="20"/>
                      <w:szCs w:val="20"/>
                    </w:rPr>
                    <w:t>12</w:t>
                  </w:r>
                  <w:r w:rsidRPr="003130B8" w:rsidR="000F3EB5">
                    <w:rPr>
                      <w:color w:val="000000"/>
                      <w:sz w:val="20"/>
                      <w:szCs w:val="20"/>
                    </w:rPr>
                    <w:t>.</w:t>
                  </w:r>
                  <w:r w:rsidRPr="003130B8">
                    <w:rPr>
                      <w:color w:val="000000"/>
                      <w:sz w:val="20"/>
                      <w:szCs w:val="20"/>
                    </w:rPr>
                    <w:t>00</w:t>
                  </w:r>
                </w:p>
              </w:tc>
            </w:tr>
          </w:tbl>
          <w:p w:rsidRPr="003130B8" w:rsidR="00400CFC" w:rsidP="00640C53" w:rsidRDefault="00400CFC" w14:paraId="7DF3630A" w14:textId="77777777">
            <w:pPr>
              <w:tabs>
                <w:tab w:val="left" w:pos="993"/>
              </w:tabs>
              <w:contextualSpacing/>
              <w:jc w:val="both"/>
              <w:rPr>
                <w:bCs/>
                <w:sz w:val="22"/>
                <w:szCs w:val="22"/>
              </w:rPr>
            </w:pPr>
          </w:p>
          <w:p w:rsidRPr="003130B8" w:rsidR="002B340B" w:rsidP="00640C53" w:rsidRDefault="00EA54F8" w14:paraId="44E0F918" w14:textId="2E6AF8AE">
            <w:pPr>
              <w:tabs>
                <w:tab w:val="left" w:pos="993"/>
              </w:tabs>
              <w:contextualSpacing/>
              <w:jc w:val="both"/>
              <w:rPr>
                <w:bCs/>
                <w:sz w:val="22"/>
                <w:szCs w:val="22"/>
              </w:rPr>
            </w:pPr>
            <w:r w:rsidRPr="003130B8">
              <w:rPr>
                <w:bCs/>
                <w:sz w:val="22"/>
                <w:szCs w:val="22"/>
              </w:rPr>
              <w:t>Administratīvo izmaksu pamatā ir darbinieka izmaksas, kas ir darbinieka atalgojums,</w:t>
            </w:r>
            <w:r w:rsidRPr="003130B8" w:rsidR="006530FD">
              <w:rPr>
                <w:bCs/>
                <w:sz w:val="22"/>
                <w:szCs w:val="22"/>
              </w:rPr>
              <w:t xml:space="preserve"> saskaņā ar</w:t>
            </w:r>
            <w:r w:rsidRPr="003130B8" w:rsidR="00E25A08">
              <w:rPr>
                <w:bCs/>
                <w:sz w:val="22"/>
                <w:szCs w:val="22"/>
              </w:rPr>
              <w:t xml:space="preserve"> </w:t>
            </w:r>
            <w:proofErr w:type="spellStart"/>
            <w:r w:rsidRPr="003130B8" w:rsidR="00E25A08">
              <w:rPr>
                <w:bCs/>
                <w:sz w:val="22"/>
                <w:szCs w:val="22"/>
              </w:rPr>
              <w:t>EDzL</w:t>
            </w:r>
            <w:proofErr w:type="spellEnd"/>
            <w:r w:rsidRPr="003130B8" w:rsidR="00E25A08">
              <w:rPr>
                <w:bCs/>
                <w:sz w:val="22"/>
                <w:szCs w:val="22"/>
              </w:rPr>
              <w:t xml:space="preserve"> iekšējiem noteikumiem par darba samaksas noteikšanu</w:t>
            </w:r>
            <w:r w:rsidRPr="003130B8" w:rsidR="00AD45A3">
              <w:rPr>
                <w:bCs/>
                <w:sz w:val="22"/>
                <w:szCs w:val="22"/>
              </w:rPr>
              <w:t xml:space="preserve"> nosakot maksimālo apmēru</w:t>
            </w:r>
            <w:r w:rsidRPr="003130B8" w:rsidR="00BE5A49">
              <w:rPr>
                <w:bCs/>
                <w:sz w:val="22"/>
                <w:szCs w:val="22"/>
              </w:rPr>
              <w:t>, t</w:t>
            </w:r>
            <w:r w:rsidRPr="003130B8">
              <w:rPr>
                <w:bCs/>
                <w:sz w:val="22"/>
                <w:szCs w:val="22"/>
              </w:rPr>
              <w:t xml:space="preserve">ajā skaitā </w:t>
            </w:r>
            <w:r w:rsidRPr="003130B8" w:rsidR="008B3FD0">
              <w:rPr>
                <w:bCs/>
                <w:sz w:val="22"/>
                <w:szCs w:val="22"/>
              </w:rPr>
              <w:t>saistītie nodokļi</w:t>
            </w:r>
            <w:r w:rsidRPr="003130B8" w:rsidR="00CD09E1">
              <w:rPr>
                <w:bCs/>
                <w:sz w:val="22"/>
                <w:szCs w:val="22"/>
              </w:rPr>
              <w:t>.</w:t>
            </w:r>
            <w:r w:rsidRPr="003130B8" w:rsidR="002B340B">
              <w:rPr>
                <w:bCs/>
                <w:sz w:val="22"/>
                <w:szCs w:val="22"/>
              </w:rPr>
              <w:t xml:space="preserve"> </w:t>
            </w:r>
            <w:proofErr w:type="spellStart"/>
            <w:r w:rsidRPr="003130B8" w:rsidR="002B340B">
              <w:rPr>
                <w:bCs/>
                <w:sz w:val="22"/>
                <w:szCs w:val="22"/>
              </w:rPr>
              <w:t>EDzL</w:t>
            </w:r>
            <w:proofErr w:type="spellEnd"/>
            <w:r w:rsidRPr="003130B8" w:rsidR="002B340B">
              <w:rPr>
                <w:bCs/>
                <w:sz w:val="22"/>
                <w:szCs w:val="22"/>
              </w:rPr>
              <w:t xml:space="preserve"> ir uzsākuši pildīt apsaimniekošanas funkcij</w:t>
            </w:r>
            <w:r w:rsidRPr="003130B8" w:rsidR="00A845DA">
              <w:rPr>
                <w:bCs/>
                <w:sz w:val="22"/>
                <w:szCs w:val="22"/>
              </w:rPr>
              <w:t>u</w:t>
            </w:r>
            <w:r w:rsidRPr="003130B8" w:rsidR="002B340B">
              <w:rPr>
                <w:bCs/>
                <w:sz w:val="22"/>
                <w:szCs w:val="22"/>
              </w:rPr>
              <w:t xml:space="preserve"> kopš šī gada 1.</w:t>
            </w:r>
            <w:r w:rsidRPr="003130B8" w:rsidR="00A845DA">
              <w:rPr>
                <w:bCs/>
                <w:sz w:val="22"/>
                <w:szCs w:val="22"/>
              </w:rPr>
              <w:t> </w:t>
            </w:r>
            <w:r w:rsidRPr="003130B8" w:rsidR="002B340B">
              <w:rPr>
                <w:bCs/>
                <w:sz w:val="22"/>
                <w:szCs w:val="22"/>
              </w:rPr>
              <w:t>janvāra</w:t>
            </w:r>
            <w:r w:rsidRPr="003130B8" w:rsidR="00A845DA">
              <w:rPr>
                <w:bCs/>
                <w:sz w:val="22"/>
                <w:szCs w:val="22"/>
              </w:rPr>
              <w:t>,</w:t>
            </w:r>
            <w:r w:rsidRPr="003130B8" w:rsidR="002B340B">
              <w:rPr>
                <w:bCs/>
                <w:sz w:val="22"/>
                <w:szCs w:val="22"/>
              </w:rPr>
              <w:t xml:space="preserve"> līdz ar to darbinieka izmaksu aprēķinā ir ietverti </w:t>
            </w:r>
            <w:r w:rsidRPr="003130B8" w:rsidR="00726542">
              <w:rPr>
                <w:bCs/>
                <w:sz w:val="22"/>
                <w:szCs w:val="22"/>
              </w:rPr>
              <w:t>divpadsmit</w:t>
            </w:r>
            <w:r w:rsidRPr="003130B8" w:rsidR="002B340B">
              <w:rPr>
                <w:bCs/>
                <w:sz w:val="22"/>
                <w:szCs w:val="22"/>
              </w:rPr>
              <w:t xml:space="preserve"> mēneši</w:t>
            </w:r>
            <w:r w:rsidRPr="003130B8" w:rsidR="00726542">
              <w:rPr>
                <w:bCs/>
                <w:sz w:val="22"/>
                <w:szCs w:val="22"/>
              </w:rPr>
              <w:t xml:space="preserve"> (pašlaik </w:t>
            </w:r>
            <w:proofErr w:type="spellStart"/>
            <w:r w:rsidRPr="003130B8" w:rsidR="00726542">
              <w:rPr>
                <w:bCs/>
                <w:sz w:val="22"/>
                <w:szCs w:val="22"/>
              </w:rPr>
              <w:t>EDzL</w:t>
            </w:r>
            <w:proofErr w:type="spellEnd"/>
            <w:r w:rsidRPr="003130B8" w:rsidR="00726542">
              <w:rPr>
                <w:bCs/>
                <w:sz w:val="22"/>
                <w:szCs w:val="22"/>
              </w:rPr>
              <w:t xml:space="preserve"> darbinieka izmaksas sedz no pašu kapitāla, kas pēc finansējuma saņemšanas ir jākompensē).</w:t>
            </w:r>
          </w:p>
          <w:tbl>
            <w:tblPr>
              <w:tblStyle w:val="TableGrid"/>
              <w:tblW w:w="0" w:type="auto"/>
              <w:tblLayout w:type="fixed"/>
              <w:tblLook w:val="04A0" w:firstRow="1" w:lastRow="0" w:firstColumn="1" w:lastColumn="0" w:noHBand="0" w:noVBand="1"/>
            </w:tblPr>
            <w:tblGrid>
              <w:gridCol w:w="1240"/>
              <w:gridCol w:w="1240"/>
              <w:gridCol w:w="1721"/>
              <w:gridCol w:w="1559"/>
              <w:gridCol w:w="1134"/>
            </w:tblGrid>
            <w:tr w:rsidRPr="003130B8" w:rsidR="00C16D79" w:rsidTr="00921B43" w14:paraId="00AFE469" w14:textId="77777777">
              <w:trPr>
                <w:trHeight w:val="930"/>
              </w:trPr>
              <w:tc>
                <w:tcPr>
                  <w:tcW w:w="1240" w:type="dxa"/>
                  <w:vAlign w:val="center"/>
                  <w:hideMark/>
                </w:tcPr>
                <w:p w:rsidRPr="003130B8" w:rsidR="00C16D79" w:rsidP="00C16D79" w:rsidRDefault="00C16D79" w14:paraId="0086AE6E" w14:textId="0EFC638D">
                  <w:pPr>
                    <w:rPr>
                      <w:b/>
                      <w:bCs/>
                      <w:sz w:val="20"/>
                      <w:szCs w:val="20"/>
                    </w:rPr>
                  </w:pPr>
                  <w:r w:rsidRPr="003130B8">
                    <w:rPr>
                      <w:b/>
                      <w:bCs/>
                      <w:color w:val="000000"/>
                      <w:sz w:val="20"/>
                      <w:szCs w:val="20"/>
                    </w:rPr>
                    <w:t>Darbinieka bruto alga mēnesī</w:t>
                  </w:r>
                </w:p>
              </w:tc>
              <w:tc>
                <w:tcPr>
                  <w:tcW w:w="1240" w:type="dxa"/>
                  <w:vAlign w:val="center"/>
                  <w:hideMark/>
                </w:tcPr>
                <w:p w:rsidRPr="003130B8" w:rsidR="00C16D79" w:rsidP="00C16D79" w:rsidRDefault="00C16D79" w14:paraId="49DE71BA" w14:textId="4E3AAC12">
                  <w:pPr>
                    <w:rPr>
                      <w:b/>
                      <w:bCs/>
                      <w:sz w:val="20"/>
                      <w:szCs w:val="20"/>
                    </w:rPr>
                  </w:pPr>
                  <w:r w:rsidRPr="003130B8">
                    <w:rPr>
                      <w:b/>
                      <w:bCs/>
                      <w:color w:val="000000"/>
                      <w:sz w:val="20"/>
                      <w:szCs w:val="20"/>
                    </w:rPr>
                    <w:t xml:space="preserve">Darbinieka bruto alga gadā un maksimālā piemaksa 2100 </w:t>
                  </w:r>
                  <w:proofErr w:type="spellStart"/>
                  <w:r w:rsidRPr="003130B8" w:rsidR="00F3440A">
                    <w:rPr>
                      <w:b/>
                      <w:bCs/>
                      <w:i/>
                      <w:iCs/>
                      <w:sz w:val="22"/>
                      <w:szCs w:val="22"/>
                    </w:rPr>
                    <w:t>euro</w:t>
                  </w:r>
                  <w:proofErr w:type="spellEnd"/>
                  <w:r w:rsidRPr="003130B8">
                    <w:rPr>
                      <w:b/>
                      <w:bCs/>
                      <w:color w:val="000000"/>
                      <w:sz w:val="20"/>
                      <w:szCs w:val="20"/>
                    </w:rPr>
                    <w:t xml:space="preserve"> gadā</w:t>
                  </w:r>
                </w:p>
              </w:tc>
              <w:tc>
                <w:tcPr>
                  <w:tcW w:w="1721" w:type="dxa"/>
                  <w:vAlign w:val="center"/>
                </w:tcPr>
                <w:p w:rsidRPr="003130B8" w:rsidR="00C16D79" w:rsidP="00C16D79" w:rsidRDefault="00C16D79" w14:paraId="4D9C6241" w14:textId="7A3C3AEC">
                  <w:pPr>
                    <w:rPr>
                      <w:b/>
                      <w:bCs/>
                      <w:sz w:val="20"/>
                      <w:szCs w:val="20"/>
                    </w:rPr>
                  </w:pPr>
                  <w:r w:rsidRPr="003130B8">
                    <w:rPr>
                      <w:b/>
                      <w:bCs/>
                      <w:color w:val="000000"/>
                      <w:sz w:val="20"/>
                      <w:szCs w:val="20"/>
                    </w:rPr>
                    <w:t xml:space="preserve">Valsts sociālās apdrošināšanas obligātās iemaksas darba devēja likme </w:t>
                  </w:r>
                </w:p>
              </w:tc>
              <w:tc>
                <w:tcPr>
                  <w:tcW w:w="1559" w:type="dxa"/>
                  <w:vAlign w:val="center"/>
                  <w:hideMark/>
                </w:tcPr>
                <w:p w:rsidRPr="003130B8" w:rsidR="00C16D79" w:rsidP="00C16D79" w:rsidRDefault="00C16D79" w14:paraId="75BDB626" w14:textId="3BE7FEF0">
                  <w:pPr>
                    <w:rPr>
                      <w:b/>
                      <w:bCs/>
                      <w:sz w:val="20"/>
                      <w:szCs w:val="20"/>
                    </w:rPr>
                  </w:pPr>
                  <w:r w:rsidRPr="003130B8">
                    <w:rPr>
                      <w:b/>
                      <w:bCs/>
                      <w:color w:val="000000"/>
                      <w:sz w:val="20"/>
                      <w:szCs w:val="20"/>
                    </w:rPr>
                    <w:t xml:space="preserve">Valsts sociālās apdrošināšanas obligātās iemaksas darba devēja izmaksas, </w:t>
                  </w:r>
                  <w:proofErr w:type="spellStart"/>
                  <w:r w:rsidRPr="003130B8" w:rsidR="00F3440A">
                    <w:rPr>
                      <w:b/>
                      <w:bCs/>
                      <w:i/>
                      <w:iCs/>
                      <w:sz w:val="22"/>
                      <w:szCs w:val="22"/>
                    </w:rPr>
                    <w:t>euro</w:t>
                  </w:r>
                  <w:proofErr w:type="spellEnd"/>
                </w:p>
              </w:tc>
              <w:tc>
                <w:tcPr>
                  <w:tcW w:w="1134" w:type="dxa"/>
                  <w:vAlign w:val="center"/>
                  <w:hideMark/>
                </w:tcPr>
                <w:p w:rsidRPr="003130B8" w:rsidR="00C16D79" w:rsidP="00C16D79" w:rsidRDefault="00C16D79" w14:paraId="0A01C359" w14:textId="4E2C1334">
                  <w:pPr>
                    <w:rPr>
                      <w:b/>
                      <w:bCs/>
                      <w:sz w:val="20"/>
                      <w:szCs w:val="20"/>
                    </w:rPr>
                  </w:pPr>
                  <w:r w:rsidRPr="003130B8">
                    <w:rPr>
                      <w:b/>
                      <w:bCs/>
                      <w:color w:val="000000"/>
                      <w:sz w:val="20"/>
                      <w:szCs w:val="20"/>
                    </w:rPr>
                    <w:t xml:space="preserve">Summa gadā, </w:t>
                  </w:r>
                  <w:proofErr w:type="spellStart"/>
                  <w:r w:rsidRPr="003130B8" w:rsidR="00F3440A">
                    <w:rPr>
                      <w:b/>
                      <w:bCs/>
                      <w:i/>
                      <w:iCs/>
                      <w:sz w:val="22"/>
                      <w:szCs w:val="22"/>
                    </w:rPr>
                    <w:t>euro</w:t>
                  </w:r>
                  <w:proofErr w:type="spellEnd"/>
                </w:p>
              </w:tc>
            </w:tr>
            <w:tr w:rsidRPr="003130B8" w:rsidR="00DD7E67" w:rsidTr="00DD7E67" w14:paraId="5CC7C134" w14:textId="77777777">
              <w:trPr>
                <w:trHeight w:val="310"/>
              </w:trPr>
              <w:tc>
                <w:tcPr>
                  <w:tcW w:w="1240" w:type="dxa"/>
                  <w:noWrap/>
                  <w:vAlign w:val="center"/>
                  <w:hideMark/>
                </w:tcPr>
                <w:p w:rsidRPr="003130B8" w:rsidR="00DD7E67" w:rsidP="00DD7E67" w:rsidRDefault="00DD7E67" w14:paraId="76DA30A9" w14:textId="72B5CFBE">
                  <w:pPr>
                    <w:jc w:val="center"/>
                    <w:rPr>
                      <w:sz w:val="20"/>
                      <w:szCs w:val="20"/>
                    </w:rPr>
                  </w:pPr>
                  <w:r w:rsidRPr="003130B8">
                    <w:rPr>
                      <w:color w:val="000000"/>
                      <w:sz w:val="20"/>
                      <w:szCs w:val="20"/>
                    </w:rPr>
                    <w:t>2 800</w:t>
                  </w:r>
                </w:p>
              </w:tc>
              <w:tc>
                <w:tcPr>
                  <w:tcW w:w="1240" w:type="dxa"/>
                  <w:noWrap/>
                  <w:vAlign w:val="center"/>
                  <w:hideMark/>
                </w:tcPr>
                <w:p w:rsidRPr="003130B8" w:rsidR="00DD7E67" w:rsidP="00DD7E67" w:rsidRDefault="00DD7E67" w14:paraId="2B89BD28" w14:textId="5CCE9D78">
                  <w:pPr>
                    <w:jc w:val="center"/>
                    <w:rPr>
                      <w:sz w:val="20"/>
                      <w:szCs w:val="20"/>
                    </w:rPr>
                  </w:pPr>
                  <w:r w:rsidRPr="003130B8">
                    <w:rPr>
                      <w:color w:val="000000"/>
                      <w:sz w:val="20"/>
                      <w:szCs w:val="20"/>
                    </w:rPr>
                    <w:t>35 700</w:t>
                  </w:r>
                </w:p>
              </w:tc>
              <w:tc>
                <w:tcPr>
                  <w:tcW w:w="1721" w:type="dxa"/>
                  <w:vAlign w:val="center"/>
                </w:tcPr>
                <w:p w:rsidRPr="003130B8" w:rsidR="00DD7E67" w:rsidP="00DD7E67" w:rsidRDefault="00DD7E67" w14:paraId="503051AE" w14:textId="6DC74DA8">
                  <w:pPr>
                    <w:jc w:val="center"/>
                    <w:rPr>
                      <w:color w:val="000000"/>
                      <w:sz w:val="20"/>
                      <w:szCs w:val="20"/>
                    </w:rPr>
                  </w:pPr>
                  <w:r w:rsidRPr="003130B8">
                    <w:rPr>
                      <w:color w:val="000000"/>
                      <w:sz w:val="20"/>
                      <w:szCs w:val="20"/>
                    </w:rPr>
                    <w:t>23.59%</w:t>
                  </w:r>
                </w:p>
              </w:tc>
              <w:tc>
                <w:tcPr>
                  <w:tcW w:w="1559" w:type="dxa"/>
                  <w:noWrap/>
                  <w:vAlign w:val="center"/>
                  <w:hideMark/>
                </w:tcPr>
                <w:p w:rsidRPr="003130B8" w:rsidR="00DD7E67" w:rsidP="00DD7E67" w:rsidRDefault="00DD7E67" w14:paraId="5E2A6CFD" w14:textId="1C3F10C9">
                  <w:pPr>
                    <w:jc w:val="center"/>
                    <w:rPr>
                      <w:color w:val="000000"/>
                      <w:sz w:val="20"/>
                      <w:szCs w:val="20"/>
                    </w:rPr>
                  </w:pPr>
                  <w:r w:rsidRPr="003130B8">
                    <w:rPr>
                      <w:color w:val="000000"/>
                      <w:sz w:val="20"/>
                      <w:szCs w:val="20"/>
                    </w:rPr>
                    <w:t>8 422</w:t>
                  </w:r>
                </w:p>
              </w:tc>
              <w:tc>
                <w:tcPr>
                  <w:tcW w:w="1134" w:type="dxa"/>
                  <w:noWrap/>
                  <w:vAlign w:val="center"/>
                  <w:hideMark/>
                </w:tcPr>
                <w:p w:rsidRPr="003130B8" w:rsidR="00DD7E67" w:rsidP="00DD7E67" w:rsidRDefault="00DD7E67" w14:paraId="1CA40E5D" w14:textId="046F4E4F">
                  <w:pPr>
                    <w:jc w:val="center"/>
                    <w:rPr>
                      <w:color w:val="000000"/>
                      <w:sz w:val="20"/>
                      <w:szCs w:val="20"/>
                    </w:rPr>
                  </w:pPr>
                  <w:r w:rsidRPr="003130B8">
                    <w:rPr>
                      <w:color w:val="000000"/>
                      <w:sz w:val="20"/>
                      <w:szCs w:val="20"/>
                    </w:rPr>
                    <w:t>44 122</w:t>
                  </w:r>
                </w:p>
              </w:tc>
            </w:tr>
          </w:tbl>
          <w:p w:rsidR="00F7611B" w:rsidP="00CD09E1" w:rsidRDefault="00F7611B" w14:paraId="5E37186C" w14:textId="77777777">
            <w:pPr>
              <w:tabs>
                <w:tab w:val="left" w:pos="993"/>
              </w:tabs>
              <w:contextualSpacing/>
              <w:jc w:val="both"/>
              <w:rPr>
                <w:bCs/>
                <w:sz w:val="22"/>
                <w:szCs w:val="22"/>
              </w:rPr>
            </w:pPr>
          </w:p>
          <w:p w:rsidRPr="003130B8" w:rsidR="00CD09E1" w:rsidP="00CD09E1" w:rsidRDefault="00CD09E1" w14:paraId="2FEAA8FD" w14:textId="1FDC3702">
            <w:pPr>
              <w:tabs>
                <w:tab w:val="left" w:pos="993"/>
              </w:tabs>
              <w:contextualSpacing/>
              <w:jc w:val="both"/>
              <w:rPr>
                <w:bCs/>
                <w:sz w:val="22"/>
                <w:szCs w:val="22"/>
              </w:rPr>
            </w:pPr>
            <w:r w:rsidRPr="003130B8">
              <w:rPr>
                <w:bCs/>
                <w:sz w:val="22"/>
                <w:szCs w:val="22"/>
              </w:rPr>
              <w:t>N</w:t>
            </w:r>
            <w:r w:rsidRPr="003130B8" w:rsidR="00777994">
              <w:rPr>
                <w:bCs/>
                <w:sz w:val="22"/>
                <w:szCs w:val="22"/>
              </w:rPr>
              <w:t>epieciešamās transporta izmaksas apsaimniekošanas veikšanai</w:t>
            </w:r>
            <w:r w:rsidRPr="003130B8">
              <w:rPr>
                <w:bCs/>
                <w:sz w:val="22"/>
                <w:szCs w:val="22"/>
              </w:rPr>
              <w:t xml:space="preserve">: transporta izdevumu aprēķinu pieņēmums, kas ir balstīts uz </w:t>
            </w:r>
            <w:proofErr w:type="spellStart"/>
            <w:r w:rsidRPr="003130B8">
              <w:rPr>
                <w:bCs/>
                <w:sz w:val="22"/>
                <w:szCs w:val="22"/>
              </w:rPr>
              <w:t>EDzL</w:t>
            </w:r>
            <w:proofErr w:type="spellEnd"/>
            <w:r w:rsidRPr="003130B8">
              <w:rPr>
                <w:bCs/>
                <w:sz w:val="22"/>
                <w:szCs w:val="22"/>
              </w:rPr>
              <w:t xml:space="preserve"> veikto cenu aptauju </w:t>
            </w:r>
            <w:r w:rsidRPr="003130B8">
              <w:rPr>
                <w:bCs/>
                <w:sz w:val="22"/>
                <w:szCs w:val="22"/>
              </w:rPr>
              <w:lastRenderedPageBreak/>
              <w:t>transporta nomas kompānijās. Vidējais apkopotais aprēķins ir 0.3</w:t>
            </w:r>
            <w:r w:rsidRPr="003130B8" w:rsidR="00C16D79">
              <w:rPr>
                <w:bCs/>
                <w:sz w:val="22"/>
                <w:szCs w:val="22"/>
              </w:rPr>
              <w:t>2</w:t>
            </w:r>
            <w:r w:rsidRPr="003130B8" w:rsidR="00765A99">
              <w:rPr>
                <w:bCs/>
                <w:sz w:val="22"/>
                <w:szCs w:val="22"/>
              </w:rPr>
              <w:t> </w:t>
            </w:r>
            <w:proofErr w:type="spellStart"/>
            <w:r w:rsidRPr="003130B8" w:rsidR="00C16D79">
              <w:rPr>
                <w:bCs/>
                <w:i/>
                <w:iCs/>
                <w:sz w:val="22"/>
                <w:szCs w:val="22"/>
              </w:rPr>
              <w:t>euro</w:t>
            </w:r>
            <w:proofErr w:type="spellEnd"/>
            <w:r w:rsidRPr="003130B8">
              <w:rPr>
                <w:bCs/>
                <w:sz w:val="22"/>
                <w:szCs w:val="22"/>
              </w:rPr>
              <w:t xml:space="preserve"> par km, nepieciešamais km skaits mēnesī aptuveni 1</w:t>
            </w:r>
            <w:r w:rsidRPr="003130B8" w:rsidR="00C16D79">
              <w:rPr>
                <w:bCs/>
                <w:sz w:val="22"/>
                <w:szCs w:val="22"/>
              </w:rPr>
              <w:t>5</w:t>
            </w:r>
            <w:r w:rsidRPr="003130B8">
              <w:rPr>
                <w:bCs/>
                <w:sz w:val="22"/>
                <w:szCs w:val="22"/>
              </w:rPr>
              <w:t>00km (divdesmit braucieni vidēji 50</w:t>
            </w:r>
            <w:r w:rsidRPr="003130B8" w:rsidR="00765A99">
              <w:rPr>
                <w:bCs/>
                <w:sz w:val="22"/>
                <w:szCs w:val="22"/>
              </w:rPr>
              <w:t> </w:t>
            </w:r>
            <w:r w:rsidRPr="003130B8">
              <w:rPr>
                <w:bCs/>
                <w:sz w:val="22"/>
                <w:szCs w:val="22"/>
              </w:rPr>
              <w:t xml:space="preserve">km dienā, pieņemot, ka, galvenokārt, maršruts būs no Rīgas centrālās stacijas līdz Lidosta </w:t>
            </w:r>
            <w:r w:rsidRPr="003130B8" w:rsidR="00765A99">
              <w:rPr>
                <w:bCs/>
                <w:sz w:val="22"/>
                <w:szCs w:val="22"/>
              </w:rPr>
              <w:t>"</w:t>
            </w:r>
            <w:r w:rsidRPr="003130B8">
              <w:rPr>
                <w:bCs/>
                <w:sz w:val="22"/>
                <w:szCs w:val="22"/>
              </w:rPr>
              <w:t>Rīga</w:t>
            </w:r>
            <w:r w:rsidRPr="003130B8" w:rsidR="00765A99">
              <w:rPr>
                <w:bCs/>
                <w:sz w:val="22"/>
                <w:szCs w:val="22"/>
              </w:rPr>
              <w:t>"</w:t>
            </w:r>
            <w:r w:rsidRPr="003130B8">
              <w:rPr>
                <w:bCs/>
                <w:sz w:val="22"/>
                <w:szCs w:val="22"/>
              </w:rPr>
              <w:t xml:space="preserve"> apkārtnei). </w:t>
            </w:r>
            <w:r w:rsidRPr="003130B8" w:rsidR="00DD7E67">
              <w:rPr>
                <w:bCs/>
                <w:sz w:val="22"/>
                <w:szCs w:val="22"/>
              </w:rPr>
              <w:t xml:space="preserve">Transportu izmaksu aprēķins ir balstīts uz </w:t>
            </w:r>
            <w:proofErr w:type="spellStart"/>
            <w:r w:rsidRPr="003130B8" w:rsidR="00DD7E67">
              <w:rPr>
                <w:bCs/>
                <w:sz w:val="22"/>
                <w:szCs w:val="22"/>
              </w:rPr>
              <w:t>EDzL</w:t>
            </w:r>
            <w:proofErr w:type="spellEnd"/>
            <w:r w:rsidRPr="003130B8" w:rsidR="00DD7E67">
              <w:rPr>
                <w:bCs/>
                <w:sz w:val="22"/>
                <w:szCs w:val="22"/>
              </w:rPr>
              <w:t xml:space="preserve"> iesniegtās informācijas par transporta pakalpojumu nepieciešamību, kas tika izteikta kopējā kilometru skaitā, kas saskaņā ar </w:t>
            </w:r>
            <w:proofErr w:type="spellStart"/>
            <w:r w:rsidRPr="003130B8" w:rsidR="00DD7E67">
              <w:rPr>
                <w:bCs/>
                <w:sz w:val="22"/>
                <w:szCs w:val="22"/>
              </w:rPr>
              <w:t>EDzL</w:t>
            </w:r>
            <w:proofErr w:type="spellEnd"/>
            <w:r w:rsidRPr="003130B8" w:rsidR="00DD7E67">
              <w:rPr>
                <w:bCs/>
                <w:sz w:val="22"/>
                <w:szCs w:val="22"/>
              </w:rPr>
              <w:t xml:space="preserve"> aprēķiniem tiks nobraukti gada laikā. </w:t>
            </w:r>
          </w:p>
          <w:tbl>
            <w:tblPr>
              <w:tblStyle w:val="TableGrid"/>
              <w:tblW w:w="0" w:type="auto"/>
              <w:tblLayout w:type="fixed"/>
              <w:tblLook w:val="04A0" w:firstRow="1" w:lastRow="0" w:firstColumn="1" w:lastColumn="0" w:noHBand="0" w:noVBand="1"/>
            </w:tblPr>
            <w:tblGrid>
              <w:gridCol w:w="1240"/>
              <w:gridCol w:w="1240"/>
              <w:gridCol w:w="1240"/>
              <w:gridCol w:w="1240"/>
            </w:tblGrid>
            <w:tr w:rsidRPr="003130B8" w:rsidR="00C16D79" w:rsidTr="00921B43" w14:paraId="47B30A7B" w14:textId="77777777">
              <w:trPr>
                <w:trHeight w:val="930"/>
              </w:trPr>
              <w:tc>
                <w:tcPr>
                  <w:tcW w:w="1240" w:type="dxa"/>
                  <w:vAlign w:val="center"/>
                  <w:hideMark/>
                </w:tcPr>
                <w:p w:rsidRPr="003130B8" w:rsidR="00C16D79" w:rsidP="00C16D79" w:rsidRDefault="00C16D79" w14:paraId="394B6803" w14:textId="69EC0497">
                  <w:pPr>
                    <w:rPr>
                      <w:b/>
                      <w:bCs/>
                      <w:sz w:val="20"/>
                      <w:szCs w:val="20"/>
                    </w:rPr>
                  </w:pPr>
                  <w:r w:rsidRPr="003130B8">
                    <w:rPr>
                      <w:b/>
                      <w:bCs/>
                      <w:color w:val="000000"/>
                      <w:sz w:val="20"/>
                      <w:szCs w:val="20"/>
                    </w:rPr>
                    <w:t xml:space="preserve">km izmaksas, </w:t>
                  </w:r>
                  <w:proofErr w:type="spellStart"/>
                  <w:r w:rsidRPr="003130B8" w:rsidR="00F3440A">
                    <w:rPr>
                      <w:b/>
                      <w:bCs/>
                      <w:i/>
                      <w:iCs/>
                      <w:sz w:val="22"/>
                      <w:szCs w:val="22"/>
                    </w:rPr>
                    <w:t>euro</w:t>
                  </w:r>
                  <w:proofErr w:type="spellEnd"/>
                </w:p>
              </w:tc>
              <w:tc>
                <w:tcPr>
                  <w:tcW w:w="1240" w:type="dxa"/>
                  <w:vAlign w:val="center"/>
                  <w:hideMark/>
                </w:tcPr>
                <w:p w:rsidRPr="003130B8" w:rsidR="00C16D79" w:rsidP="00C16D79" w:rsidRDefault="00C16D79" w14:paraId="1CE2057F" w14:textId="5B013597">
                  <w:pPr>
                    <w:rPr>
                      <w:b/>
                      <w:bCs/>
                      <w:sz w:val="20"/>
                      <w:szCs w:val="20"/>
                    </w:rPr>
                  </w:pPr>
                  <w:r w:rsidRPr="003130B8">
                    <w:rPr>
                      <w:b/>
                      <w:bCs/>
                      <w:color w:val="000000"/>
                      <w:sz w:val="20"/>
                      <w:szCs w:val="20"/>
                    </w:rPr>
                    <w:t>Vidēji km mēnesī</w:t>
                  </w:r>
                </w:p>
              </w:tc>
              <w:tc>
                <w:tcPr>
                  <w:tcW w:w="1240" w:type="dxa"/>
                  <w:vAlign w:val="center"/>
                  <w:hideMark/>
                </w:tcPr>
                <w:p w:rsidRPr="003130B8" w:rsidR="00C16D79" w:rsidP="00C16D79" w:rsidRDefault="00C16D79" w14:paraId="25F99AC7" w14:textId="1E791642">
                  <w:pPr>
                    <w:rPr>
                      <w:b/>
                      <w:bCs/>
                      <w:sz w:val="20"/>
                      <w:szCs w:val="20"/>
                    </w:rPr>
                  </w:pPr>
                  <w:r w:rsidRPr="003130B8">
                    <w:rPr>
                      <w:b/>
                      <w:bCs/>
                      <w:color w:val="000000"/>
                      <w:sz w:val="20"/>
                      <w:szCs w:val="20"/>
                    </w:rPr>
                    <w:t xml:space="preserve">Kopā mēnesī, </w:t>
                  </w:r>
                  <w:proofErr w:type="spellStart"/>
                  <w:r w:rsidRPr="003130B8" w:rsidR="00E301A2">
                    <w:rPr>
                      <w:b/>
                      <w:bCs/>
                      <w:i/>
                      <w:iCs/>
                      <w:sz w:val="22"/>
                      <w:szCs w:val="22"/>
                    </w:rPr>
                    <w:t>euro</w:t>
                  </w:r>
                  <w:proofErr w:type="spellEnd"/>
                </w:p>
              </w:tc>
              <w:tc>
                <w:tcPr>
                  <w:tcW w:w="1240" w:type="dxa"/>
                  <w:vAlign w:val="center"/>
                  <w:hideMark/>
                </w:tcPr>
                <w:p w:rsidRPr="003130B8" w:rsidR="00C16D79" w:rsidP="00C16D79" w:rsidRDefault="00C16D79" w14:paraId="73B37C43" w14:textId="2657B00E">
                  <w:pPr>
                    <w:rPr>
                      <w:b/>
                      <w:bCs/>
                      <w:sz w:val="20"/>
                      <w:szCs w:val="20"/>
                    </w:rPr>
                  </w:pPr>
                  <w:r w:rsidRPr="003130B8">
                    <w:rPr>
                      <w:b/>
                      <w:bCs/>
                      <w:color w:val="000000"/>
                      <w:sz w:val="20"/>
                      <w:szCs w:val="20"/>
                    </w:rPr>
                    <w:t xml:space="preserve">Summa gadā, </w:t>
                  </w:r>
                  <w:proofErr w:type="spellStart"/>
                  <w:r w:rsidRPr="003130B8" w:rsidR="00E301A2">
                    <w:rPr>
                      <w:b/>
                      <w:bCs/>
                      <w:i/>
                      <w:iCs/>
                      <w:sz w:val="22"/>
                      <w:szCs w:val="22"/>
                    </w:rPr>
                    <w:t>euro</w:t>
                  </w:r>
                  <w:proofErr w:type="spellEnd"/>
                </w:p>
              </w:tc>
            </w:tr>
            <w:tr w:rsidRPr="003130B8" w:rsidR="00C16D79" w:rsidTr="00921B43" w14:paraId="6521827D" w14:textId="77777777">
              <w:trPr>
                <w:trHeight w:val="310"/>
              </w:trPr>
              <w:tc>
                <w:tcPr>
                  <w:tcW w:w="1240" w:type="dxa"/>
                  <w:noWrap/>
                  <w:vAlign w:val="center"/>
                  <w:hideMark/>
                </w:tcPr>
                <w:p w:rsidRPr="003130B8" w:rsidR="00C16D79" w:rsidP="00921B43" w:rsidRDefault="00C16D79" w14:paraId="3AA5D924" w14:textId="454D0774">
                  <w:pPr>
                    <w:jc w:val="center"/>
                    <w:rPr>
                      <w:sz w:val="20"/>
                      <w:szCs w:val="20"/>
                    </w:rPr>
                  </w:pPr>
                  <w:r w:rsidRPr="003130B8">
                    <w:rPr>
                      <w:color w:val="000000"/>
                      <w:sz w:val="20"/>
                      <w:szCs w:val="20"/>
                    </w:rPr>
                    <w:t>0</w:t>
                  </w:r>
                  <w:r w:rsidRPr="003130B8" w:rsidR="000F3EB5">
                    <w:rPr>
                      <w:color w:val="000000"/>
                      <w:sz w:val="20"/>
                      <w:szCs w:val="20"/>
                    </w:rPr>
                    <w:t>.</w:t>
                  </w:r>
                  <w:r w:rsidRPr="003130B8">
                    <w:rPr>
                      <w:color w:val="000000"/>
                      <w:sz w:val="20"/>
                      <w:szCs w:val="20"/>
                    </w:rPr>
                    <w:t>32</w:t>
                  </w:r>
                </w:p>
              </w:tc>
              <w:tc>
                <w:tcPr>
                  <w:tcW w:w="1240" w:type="dxa"/>
                  <w:noWrap/>
                  <w:vAlign w:val="center"/>
                  <w:hideMark/>
                </w:tcPr>
                <w:p w:rsidRPr="003130B8" w:rsidR="00C16D79" w:rsidP="00921B43" w:rsidRDefault="00C16D79" w14:paraId="0788065C" w14:textId="69E2DD0A">
                  <w:pPr>
                    <w:jc w:val="center"/>
                    <w:rPr>
                      <w:sz w:val="20"/>
                      <w:szCs w:val="20"/>
                    </w:rPr>
                  </w:pPr>
                  <w:r w:rsidRPr="003130B8">
                    <w:rPr>
                      <w:color w:val="000000"/>
                      <w:sz w:val="20"/>
                      <w:szCs w:val="20"/>
                    </w:rPr>
                    <w:t>1500</w:t>
                  </w:r>
                </w:p>
              </w:tc>
              <w:tc>
                <w:tcPr>
                  <w:tcW w:w="1240" w:type="dxa"/>
                  <w:noWrap/>
                  <w:vAlign w:val="center"/>
                  <w:hideMark/>
                </w:tcPr>
                <w:p w:rsidRPr="003130B8" w:rsidR="00C16D79" w:rsidP="00921B43" w:rsidRDefault="00C16D79" w14:paraId="0868A774" w14:textId="2CD1F3EA">
                  <w:pPr>
                    <w:jc w:val="center"/>
                    <w:rPr>
                      <w:sz w:val="20"/>
                      <w:szCs w:val="20"/>
                    </w:rPr>
                  </w:pPr>
                  <w:r w:rsidRPr="003130B8">
                    <w:rPr>
                      <w:color w:val="000000"/>
                      <w:sz w:val="20"/>
                      <w:szCs w:val="20"/>
                    </w:rPr>
                    <w:t>480</w:t>
                  </w:r>
                </w:p>
              </w:tc>
              <w:tc>
                <w:tcPr>
                  <w:tcW w:w="1240" w:type="dxa"/>
                  <w:noWrap/>
                  <w:vAlign w:val="center"/>
                  <w:hideMark/>
                </w:tcPr>
                <w:p w:rsidRPr="003130B8" w:rsidR="00C16D79" w:rsidP="00921B43" w:rsidRDefault="00C16D79" w14:paraId="31ECD12D" w14:textId="506D6547">
                  <w:pPr>
                    <w:jc w:val="center"/>
                    <w:rPr>
                      <w:sz w:val="20"/>
                      <w:szCs w:val="20"/>
                    </w:rPr>
                  </w:pPr>
                  <w:r w:rsidRPr="003130B8">
                    <w:rPr>
                      <w:color w:val="000000"/>
                      <w:sz w:val="20"/>
                      <w:szCs w:val="20"/>
                    </w:rPr>
                    <w:t>5760</w:t>
                  </w:r>
                </w:p>
              </w:tc>
            </w:tr>
          </w:tbl>
          <w:p w:rsidRPr="003130B8" w:rsidR="00CD09E1" w:rsidP="00640C53" w:rsidRDefault="00CD09E1" w14:paraId="25845DDB" w14:textId="77777777">
            <w:pPr>
              <w:tabs>
                <w:tab w:val="left" w:pos="993"/>
              </w:tabs>
              <w:contextualSpacing/>
              <w:jc w:val="both"/>
              <w:rPr>
                <w:bCs/>
                <w:sz w:val="22"/>
                <w:szCs w:val="22"/>
              </w:rPr>
            </w:pPr>
          </w:p>
          <w:p w:rsidRPr="003130B8" w:rsidR="00CD09E1" w:rsidP="00640C53" w:rsidRDefault="00CD09E1" w14:paraId="4E0D36CF" w14:textId="0A0D3648">
            <w:pPr>
              <w:tabs>
                <w:tab w:val="left" w:pos="993"/>
              </w:tabs>
              <w:contextualSpacing/>
              <w:jc w:val="both"/>
              <w:rPr>
                <w:bCs/>
                <w:sz w:val="22"/>
                <w:szCs w:val="22"/>
              </w:rPr>
            </w:pPr>
            <w:r w:rsidRPr="003130B8">
              <w:rPr>
                <w:bCs/>
                <w:sz w:val="22"/>
                <w:szCs w:val="22"/>
              </w:rPr>
              <w:t>P</w:t>
            </w:r>
            <w:r w:rsidRPr="003130B8" w:rsidR="008E06A7">
              <w:rPr>
                <w:bCs/>
                <w:sz w:val="22"/>
                <w:szCs w:val="22"/>
              </w:rPr>
              <w:t>ārējās izmaksas</w:t>
            </w:r>
            <w:r w:rsidRPr="003130B8" w:rsidR="00DD7E67">
              <w:rPr>
                <w:bCs/>
                <w:sz w:val="22"/>
                <w:szCs w:val="22"/>
              </w:rPr>
              <w:t xml:space="preserve"> ir vadības pieskaitāmās izmaksas (atbilstoši </w:t>
            </w:r>
            <w:r w:rsidR="007F50BD">
              <w:rPr>
                <w:bCs/>
                <w:sz w:val="22"/>
                <w:szCs w:val="22"/>
              </w:rPr>
              <w:t xml:space="preserve">Inovācijas un </w:t>
            </w:r>
            <w:proofErr w:type="spellStart"/>
            <w:r w:rsidR="007F50BD">
              <w:rPr>
                <w:bCs/>
                <w:sz w:val="22"/>
                <w:szCs w:val="22"/>
              </w:rPr>
              <w:t>tīkļu</w:t>
            </w:r>
            <w:proofErr w:type="spellEnd"/>
            <w:r w:rsidR="007F50BD">
              <w:rPr>
                <w:bCs/>
                <w:sz w:val="22"/>
                <w:szCs w:val="22"/>
              </w:rPr>
              <w:t xml:space="preserve"> </w:t>
            </w:r>
            <w:proofErr w:type="spellStart"/>
            <w:r w:rsidR="007F50BD">
              <w:rPr>
                <w:bCs/>
                <w:sz w:val="22"/>
                <w:szCs w:val="22"/>
              </w:rPr>
              <w:t>izpildaģentūras</w:t>
            </w:r>
            <w:proofErr w:type="spellEnd"/>
            <w:r w:rsidR="007F50BD">
              <w:rPr>
                <w:bCs/>
                <w:sz w:val="22"/>
                <w:szCs w:val="22"/>
              </w:rPr>
              <w:t xml:space="preserve"> (</w:t>
            </w:r>
            <w:r w:rsidRPr="003130B8" w:rsidR="00DD7E67">
              <w:rPr>
                <w:bCs/>
                <w:sz w:val="22"/>
                <w:szCs w:val="22"/>
              </w:rPr>
              <w:t>INEA</w:t>
            </w:r>
            <w:r w:rsidR="007F50BD">
              <w:rPr>
                <w:bCs/>
                <w:sz w:val="22"/>
                <w:szCs w:val="22"/>
              </w:rPr>
              <w:t>)</w:t>
            </w:r>
            <w:r w:rsidRPr="003130B8" w:rsidR="00DD7E67">
              <w:rPr>
                <w:bCs/>
                <w:sz w:val="22"/>
                <w:szCs w:val="22"/>
              </w:rPr>
              <w:t xml:space="preserve"> norādījumiem projekta pieskaitāmās izmaksas</w:t>
            </w:r>
            <w:r w:rsidRPr="003130B8" w:rsidR="00B96ED4">
              <w:rPr>
                <w:bCs/>
                <w:sz w:val="22"/>
                <w:szCs w:val="22"/>
              </w:rPr>
              <w:t xml:space="preserve"> </w:t>
            </w:r>
            <w:r w:rsidR="00325236">
              <w:rPr>
                <w:bCs/>
                <w:sz w:val="22"/>
                <w:szCs w:val="22"/>
              </w:rPr>
              <w:t xml:space="preserve">ir </w:t>
            </w:r>
            <w:r w:rsidRPr="003130B8" w:rsidR="00B96ED4">
              <w:rPr>
                <w:bCs/>
                <w:sz w:val="22"/>
                <w:szCs w:val="22"/>
              </w:rPr>
              <w:t>sadalāmas pēc paritātes principa</w:t>
            </w:r>
            <w:r w:rsidRPr="003130B8" w:rsidR="00DD7E67">
              <w:rPr>
                <w:bCs/>
                <w:sz w:val="22"/>
                <w:szCs w:val="22"/>
              </w:rPr>
              <w:t>)</w:t>
            </w:r>
            <w:r w:rsidRPr="003130B8" w:rsidR="00A845DA">
              <w:rPr>
                <w:bCs/>
                <w:sz w:val="22"/>
                <w:szCs w:val="22"/>
              </w:rPr>
              <w:t>,</w:t>
            </w:r>
            <w:r w:rsidRPr="003130B8" w:rsidR="008E06A7">
              <w:rPr>
                <w:bCs/>
                <w:sz w:val="22"/>
                <w:szCs w:val="22"/>
              </w:rPr>
              <w:t xml:space="preserve"> tādas</w:t>
            </w:r>
            <w:r w:rsidRPr="003130B8" w:rsidR="00802D44">
              <w:rPr>
                <w:bCs/>
                <w:sz w:val="22"/>
                <w:szCs w:val="22"/>
              </w:rPr>
              <w:t xml:space="preserve"> kā:</w:t>
            </w:r>
            <w:r w:rsidRPr="003130B8" w:rsidR="008E06A7">
              <w:rPr>
                <w:bCs/>
                <w:sz w:val="22"/>
                <w:szCs w:val="22"/>
              </w:rPr>
              <w:t xml:space="preserve"> darba vietas ierīkošanas</w:t>
            </w:r>
            <w:r w:rsidRPr="003130B8" w:rsidR="002B340B">
              <w:rPr>
                <w:bCs/>
                <w:sz w:val="22"/>
                <w:szCs w:val="22"/>
              </w:rPr>
              <w:t xml:space="preserve"> un uzturēšanas</w:t>
            </w:r>
            <w:r w:rsidRPr="003130B8" w:rsidR="008E06A7">
              <w:rPr>
                <w:bCs/>
                <w:sz w:val="22"/>
                <w:szCs w:val="22"/>
              </w:rPr>
              <w:t xml:space="preserve"> izmaksas, </w:t>
            </w:r>
            <w:r w:rsidRPr="003130B8" w:rsidR="00247377">
              <w:rPr>
                <w:bCs/>
                <w:sz w:val="22"/>
                <w:szCs w:val="22"/>
              </w:rPr>
              <w:t xml:space="preserve">IT atbalsta izmaksas, </w:t>
            </w:r>
            <w:r w:rsidRPr="003130B8" w:rsidR="008E06A7">
              <w:rPr>
                <w:bCs/>
                <w:sz w:val="22"/>
                <w:szCs w:val="22"/>
              </w:rPr>
              <w:t>biroja</w:t>
            </w:r>
            <w:r w:rsidRPr="003130B8" w:rsidR="008663EB">
              <w:rPr>
                <w:bCs/>
                <w:sz w:val="22"/>
                <w:szCs w:val="22"/>
              </w:rPr>
              <w:t xml:space="preserve"> nomas</w:t>
            </w:r>
            <w:r w:rsidRPr="003130B8" w:rsidR="008E06A7">
              <w:rPr>
                <w:bCs/>
                <w:sz w:val="22"/>
                <w:szCs w:val="22"/>
              </w:rPr>
              <w:t xml:space="preserve"> izdevumi</w:t>
            </w:r>
            <w:r w:rsidRPr="003130B8" w:rsidR="008663EB">
              <w:rPr>
                <w:bCs/>
                <w:sz w:val="22"/>
                <w:szCs w:val="22"/>
              </w:rPr>
              <w:t xml:space="preserve">, </w:t>
            </w:r>
            <w:r w:rsidRPr="003130B8" w:rsidR="00247377">
              <w:rPr>
                <w:bCs/>
                <w:sz w:val="22"/>
                <w:szCs w:val="22"/>
              </w:rPr>
              <w:t xml:space="preserve"> kancelejas izmaksas, kas veido aptuveni pusi no izmaksām</w:t>
            </w:r>
            <w:r w:rsidRPr="003130B8" w:rsidR="00A845DA">
              <w:rPr>
                <w:bCs/>
                <w:sz w:val="22"/>
                <w:szCs w:val="22"/>
              </w:rPr>
              <w:t>,</w:t>
            </w:r>
            <w:r w:rsidRPr="003130B8" w:rsidR="00247377">
              <w:rPr>
                <w:bCs/>
                <w:sz w:val="22"/>
                <w:szCs w:val="22"/>
              </w:rPr>
              <w:t xml:space="preserve"> un ar vadību saistītie izdevumi uz vienu darbinieku.</w:t>
            </w:r>
            <w:r w:rsidRPr="003130B8" w:rsidR="00DD7E67">
              <w:rPr>
                <w:bCs/>
                <w:sz w:val="22"/>
                <w:szCs w:val="22"/>
              </w:rPr>
              <w:t xml:space="preserve"> </w:t>
            </w:r>
          </w:p>
          <w:p w:rsidRPr="003130B8" w:rsidR="00B66272" w:rsidRDefault="000A2EAE" w14:paraId="01D87DCA" w14:textId="5B03312C">
            <w:pPr>
              <w:tabs>
                <w:tab w:val="left" w:pos="993"/>
              </w:tabs>
              <w:contextualSpacing/>
              <w:jc w:val="both"/>
              <w:rPr>
                <w:b/>
                <w:sz w:val="22"/>
                <w:szCs w:val="22"/>
              </w:rPr>
            </w:pPr>
            <w:r w:rsidRPr="003130B8">
              <w:rPr>
                <w:b/>
                <w:sz w:val="22"/>
                <w:szCs w:val="22"/>
              </w:rPr>
              <w:t xml:space="preserve"> </w:t>
            </w:r>
            <w:r w:rsidRPr="003130B8" w:rsidR="009E7DFE">
              <w:rPr>
                <w:b/>
                <w:sz w:val="22"/>
                <w:szCs w:val="22"/>
              </w:rPr>
              <w:t xml:space="preserve"> </w:t>
            </w:r>
            <w:r w:rsidRPr="003130B8" w:rsidR="00744E35">
              <w:rPr>
                <w:b/>
                <w:sz w:val="22"/>
                <w:szCs w:val="22"/>
              </w:rPr>
              <w:t>Izmaksu kopsavilkuma tabula</w:t>
            </w:r>
          </w:p>
          <w:tbl>
            <w:tblPr>
              <w:tblStyle w:val="TableGrid"/>
              <w:tblW w:w="6802" w:type="dxa"/>
              <w:tblLayout w:type="fixed"/>
              <w:tblLook w:val="04A0" w:firstRow="1" w:lastRow="0" w:firstColumn="1" w:lastColumn="0" w:noHBand="0" w:noVBand="1"/>
            </w:tblPr>
            <w:tblGrid>
              <w:gridCol w:w="3684"/>
              <w:gridCol w:w="1559"/>
              <w:gridCol w:w="1559"/>
            </w:tblGrid>
            <w:tr w:rsidRPr="003130B8" w:rsidR="00375645" w:rsidTr="00921B43" w14:paraId="5E34BA2D" w14:textId="77777777">
              <w:trPr>
                <w:trHeight w:val="300"/>
              </w:trPr>
              <w:tc>
                <w:tcPr>
                  <w:tcW w:w="3684" w:type="dxa"/>
                  <w:noWrap/>
                  <w:vAlign w:val="center"/>
                  <w:hideMark/>
                </w:tcPr>
                <w:p w:rsidRPr="003130B8" w:rsidR="00375645" w:rsidP="00375645" w:rsidRDefault="00375645" w14:paraId="6617905A" w14:textId="50A55952">
                  <w:pPr>
                    <w:tabs>
                      <w:tab w:val="left" w:pos="993"/>
                    </w:tabs>
                    <w:spacing w:after="120"/>
                    <w:contextualSpacing/>
                    <w:rPr>
                      <w:b/>
                      <w:sz w:val="20"/>
                      <w:szCs w:val="20"/>
                    </w:rPr>
                  </w:pPr>
                  <w:r w:rsidRPr="003130B8">
                    <w:rPr>
                      <w:b/>
                      <w:bCs/>
                      <w:sz w:val="20"/>
                      <w:szCs w:val="20"/>
                    </w:rPr>
                    <w:t>Izmaksu veids</w:t>
                  </w:r>
                </w:p>
              </w:tc>
              <w:tc>
                <w:tcPr>
                  <w:tcW w:w="1559" w:type="dxa"/>
                  <w:vAlign w:val="center"/>
                </w:tcPr>
                <w:p w:rsidRPr="003130B8" w:rsidR="00375645" w:rsidP="00375645" w:rsidRDefault="00375645" w14:paraId="3A5243DE" w14:textId="1CB42A3D">
                  <w:pPr>
                    <w:tabs>
                      <w:tab w:val="left" w:pos="993"/>
                    </w:tabs>
                    <w:spacing w:after="120"/>
                    <w:contextualSpacing/>
                    <w:jc w:val="center"/>
                    <w:rPr>
                      <w:b/>
                      <w:bCs/>
                      <w:sz w:val="20"/>
                      <w:szCs w:val="20"/>
                    </w:rPr>
                  </w:pPr>
                  <w:r w:rsidRPr="003130B8">
                    <w:rPr>
                      <w:b/>
                      <w:bCs/>
                      <w:sz w:val="20"/>
                      <w:szCs w:val="20"/>
                    </w:rPr>
                    <w:t xml:space="preserve">2021 prognoze, </w:t>
                  </w:r>
                  <w:proofErr w:type="spellStart"/>
                  <w:r w:rsidRPr="003130B8">
                    <w:rPr>
                      <w:b/>
                      <w:bCs/>
                      <w:i/>
                      <w:iCs/>
                      <w:sz w:val="20"/>
                      <w:szCs w:val="20"/>
                    </w:rPr>
                    <w:t>euro</w:t>
                  </w:r>
                  <w:proofErr w:type="spellEnd"/>
                </w:p>
              </w:tc>
              <w:tc>
                <w:tcPr>
                  <w:tcW w:w="1559" w:type="dxa"/>
                  <w:noWrap/>
                  <w:vAlign w:val="center"/>
                  <w:hideMark/>
                </w:tcPr>
                <w:p w:rsidRPr="003130B8" w:rsidR="00375645" w:rsidP="00375645" w:rsidRDefault="00375645" w14:paraId="3109C0C3" w14:textId="53CE7B27">
                  <w:pPr>
                    <w:tabs>
                      <w:tab w:val="left" w:pos="993"/>
                    </w:tabs>
                    <w:spacing w:after="120"/>
                    <w:contextualSpacing/>
                    <w:jc w:val="center"/>
                    <w:rPr>
                      <w:b/>
                      <w:sz w:val="20"/>
                      <w:szCs w:val="20"/>
                    </w:rPr>
                  </w:pPr>
                  <w:r w:rsidRPr="003130B8">
                    <w:rPr>
                      <w:b/>
                      <w:bCs/>
                      <w:sz w:val="20"/>
                      <w:szCs w:val="20"/>
                    </w:rPr>
                    <w:t>2021 prognoz</w:t>
                  </w:r>
                  <w:r w:rsidRPr="003130B8" w:rsidR="001B2982">
                    <w:rPr>
                      <w:b/>
                      <w:bCs/>
                      <w:sz w:val="20"/>
                      <w:szCs w:val="20"/>
                    </w:rPr>
                    <w:t>e</w:t>
                  </w:r>
                  <w:r w:rsidRPr="003130B8" w:rsidR="001B2982">
                    <w:rPr>
                      <w:rStyle w:val="FootnoteReference"/>
                      <w:b/>
                      <w:bCs/>
                      <w:sz w:val="20"/>
                      <w:szCs w:val="20"/>
                    </w:rPr>
                    <w:footnoteReference w:customMarkFollows="1" w:id="2"/>
                    <w:t>*</w:t>
                  </w:r>
                  <w:r w:rsidRPr="003130B8">
                    <w:rPr>
                      <w:b/>
                      <w:bCs/>
                      <w:sz w:val="20"/>
                      <w:szCs w:val="20"/>
                    </w:rPr>
                    <w:t>, m</w:t>
                  </w:r>
                  <w:r w:rsidRPr="003130B8">
                    <w:rPr>
                      <w:vertAlign w:val="superscript"/>
                    </w:rPr>
                    <w:t>2</w:t>
                  </w:r>
                </w:p>
              </w:tc>
            </w:tr>
            <w:tr w:rsidRPr="003130B8" w:rsidR="00375645" w:rsidTr="00921B43" w14:paraId="08BCD6B3" w14:textId="77777777">
              <w:trPr>
                <w:trHeight w:val="300"/>
              </w:trPr>
              <w:tc>
                <w:tcPr>
                  <w:tcW w:w="3684" w:type="dxa"/>
                  <w:noWrap/>
                  <w:vAlign w:val="center"/>
                </w:tcPr>
                <w:p w:rsidRPr="003130B8" w:rsidR="00375645" w:rsidP="00375645" w:rsidRDefault="00375645" w14:paraId="27D7392D" w14:textId="022270A1">
                  <w:pPr>
                    <w:tabs>
                      <w:tab w:val="left" w:pos="993"/>
                    </w:tabs>
                    <w:spacing w:after="120"/>
                    <w:contextualSpacing/>
                    <w:rPr>
                      <w:bCs/>
                      <w:sz w:val="20"/>
                      <w:szCs w:val="20"/>
                    </w:rPr>
                  </w:pPr>
                  <w:r w:rsidRPr="003130B8">
                    <w:rPr>
                      <w:color w:val="000000"/>
                      <w:sz w:val="20"/>
                      <w:szCs w:val="20"/>
                    </w:rPr>
                    <w:t>No privātpersonām atsavināto zemju apsaimniekošana</w:t>
                  </w:r>
                </w:p>
              </w:tc>
              <w:tc>
                <w:tcPr>
                  <w:tcW w:w="1559" w:type="dxa"/>
                  <w:vAlign w:val="center"/>
                </w:tcPr>
                <w:p w:rsidRPr="003130B8" w:rsidR="00375645" w:rsidP="00375645" w:rsidRDefault="00375645" w14:paraId="5708C694" w14:textId="12AB8877">
                  <w:pPr>
                    <w:tabs>
                      <w:tab w:val="left" w:pos="993"/>
                    </w:tabs>
                    <w:spacing w:after="120"/>
                    <w:contextualSpacing/>
                    <w:jc w:val="center"/>
                    <w:rPr>
                      <w:color w:val="000000"/>
                      <w:sz w:val="20"/>
                      <w:szCs w:val="20"/>
                    </w:rPr>
                  </w:pPr>
                  <w:r w:rsidRPr="003130B8">
                    <w:rPr>
                      <w:color w:val="000000"/>
                      <w:sz w:val="20"/>
                      <w:szCs w:val="20"/>
                    </w:rPr>
                    <w:t>56 534</w:t>
                  </w:r>
                </w:p>
              </w:tc>
              <w:tc>
                <w:tcPr>
                  <w:tcW w:w="1559" w:type="dxa"/>
                  <w:shd w:val="clear" w:color="auto" w:fill="auto"/>
                  <w:noWrap/>
                  <w:vAlign w:val="center"/>
                </w:tcPr>
                <w:p w:rsidRPr="003130B8" w:rsidR="00375645" w:rsidP="00375645" w:rsidRDefault="00375645" w14:paraId="06B92B3F" w14:textId="79D84B82">
                  <w:pPr>
                    <w:tabs>
                      <w:tab w:val="left" w:pos="993"/>
                    </w:tabs>
                    <w:spacing w:after="120"/>
                    <w:contextualSpacing/>
                    <w:jc w:val="center"/>
                    <w:rPr>
                      <w:color w:val="000000"/>
                      <w:sz w:val="20"/>
                      <w:szCs w:val="20"/>
                    </w:rPr>
                  </w:pPr>
                  <w:r w:rsidRPr="003130B8">
                    <w:rPr>
                      <w:color w:val="000000"/>
                      <w:sz w:val="20"/>
                      <w:szCs w:val="20"/>
                    </w:rPr>
                    <w:t>94 816</w:t>
                  </w:r>
                </w:p>
              </w:tc>
            </w:tr>
            <w:tr w:rsidRPr="003130B8" w:rsidR="00375645" w:rsidTr="00921B43" w14:paraId="2F0D88BB" w14:textId="77777777">
              <w:trPr>
                <w:trHeight w:val="300"/>
              </w:trPr>
              <w:tc>
                <w:tcPr>
                  <w:tcW w:w="3684" w:type="dxa"/>
                  <w:noWrap/>
                  <w:vAlign w:val="center"/>
                  <w:hideMark/>
                </w:tcPr>
                <w:p w:rsidRPr="003130B8" w:rsidR="00375645" w:rsidP="00375645" w:rsidRDefault="00375645" w14:paraId="4F853717" w14:textId="7102D869">
                  <w:pPr>
                    <w:tabs>
                      <w:tab w:val="left" w:pos="993"/>
                    </w:tabs>
                    <w:spacing w:after="120"/>
                    <w:contextualSpacing/>
                    <w:rPr>
                      <w:bCs/>
                      <w:sz w:val="20"/>
                      <w:szCs w:val="20"/>
                    </w:rPr>
                  </w:pPr>
                  <w:r w:rsidRPr="003130B8">
                    <w:rPr>
                      <w:color w:val="000000"/>
                      <w:sz w:val="20"/>
                      <w:szCs w:val="20"/>
                    </w:rPr>
                    <w:t>No publiskām personām atsavināto zemju  apsaimniekošana</w:t>
                  </w:r>
                </w:p>
              </w:tc>
              <w:tc>
                <w:tcPr>
                  <w:tcW w:w="1559" w:type="dxa"/>
                  <w:vAlign w:val="center"/>
                </w:tcPr>
                <w:p w:rsidRPr="003130B8" w:rsidR="00375645" w:rsidP="00375645" w:rsidRDefault="00375645" w14:paraId="38546644" w14:textId="53662909">
                  <w:pPr>
                    <w:tabs>
                      <w:tab w:val="left" w:pos="993"/>
                    </w:tabs>
                    <w:spacing w:after="120"/>
                    <w:contextualSpacing/>
                    <w:jc w:val="center"/>
                    <w:rPr>
                      <w:color w:val="000000"/>
                      <w:sz w:val="20"/>
                      <w:szCs w:val="20"/>
                    </w:rPr>
                  </w:pPr>
                  <w:r w:rsidRPr="003130B8">
                    <w:rPr>
                      <w:color w:val="000000"/>
                      <w:sz w:val="20"/>
                      <w:szCs w:val="20"/>
                    </w:rPr>
                    <w:t>71 746</w:t>
                  </w:r>
                </w:p>
              </w:tc>
              <w:tc>
                <w:tcPr>
                  <w:tcW w:w="1559" w:type="dxa"/>
                  <w:shd w:val="clear" w:color="auto" w:fill="auto"/>
                  <w:noWrap/>
                  <w:vAlign w:val="center"/>
                  <w:hideMark/>
                </w:tcPr>
                <w:p w:rsidRPr="003130B8" w:rsidR="00375645" w:rsidP="00375645" w:rsidRDefault="00375645" w14:paraId="449F51AF" w14:textId="79D5B6E7">
                  <w:pPr>
                    <w:tabs>
                      <w:tab w:val="left" w:pos="993"/>
                    </w:tabs>
                    <w:spacing w:after="120"/>
                    <w:contextualSpacing/>
                    <w:jc w:val="center"/>
                    <w:rPr>
                      <w:bCs/>
                      <w:sz w:val="20"/>
                      <w:szCs w:val="20"/>
                    </w:rPr>
                  </w:pPr>
                  <w:r w:rsidRPr="003130B8">
                    <w:rPr>
                      <w:color w:val="000000"/>
                      <w:sz w:val="20"/>
                      <w:szCs w:val="20"/>
                    </w:rPr>
                    <w:t>115 645</w:t>
                  </w:r>
                </w:p>
              </w:tc>
            </w:tr>
            <w:tr w:rsidRPr="003130B8" w:rsidR="00375645" w:rsidTr="00921B43" w14:paraId="0B38542E" w14:textId="77777777">
              <w:trPr>
                <w:trHeight w:val="300"/>
              </w:trPr>
              <w:tc>
                <w:tcPr>
                  <w:tcW w:w="3684" w:type="dxa"/>
                  <w:noWrap/>
                  <w:vAlign w:val="center"/>
                  <w:hideMark/>
                </w:tcPr>
                <w:p w:rsidRPr="003130B8" w:rsidR="00375645" w:rsidP="00375645" w:rsidRDefault="00375645" w14:paraId="354345D3" w14:textId="1DEF740B">
                  <w:pPr>
                    <w:tabs>
                      <w:tab w:val="left" w:pos="993"/>
                    </w:tabs>
                    <w:spacing w:after="120"/>
                    <w:contextualSpacing/>
                    <w:rPr>
                      <w:bCs/>
                      <w:sz w:val="20"/>
                      <w:szCs w:val="20"/>
                    </w:rPr>
                  </w:pPr>
                  <w:r w:rsidRPr="003130B8">
                    <w:rPr>
                      <w:color w:val="000000"/>
                      <w:sz w:val="20"/>
                      <w:szCs w:val="20"/>
                    </w:rPr>
                    <w:t>Ēku apsaimniekošana</w:t>
                  </w:r>
                </w:p>
              </w:tc>
              <w:tc>
                <w:tcPr>
                  <w:tcW w:w="1559" w:type="dxa"/>
                  <w:vAlign w:val="center"/>
                </w:tcPr>
                <w:p w:rsidRPr="003130B8" w:rsidR="00375645" w:rsidP="00375645" w:rsidRDefault="00375645" w14:paraId="0220F794" w14:textId="081EA92B">
                  <w:pPr>
                    <w:tabs>
                      <w:tab w:val="left" w:pos="993"/>
                    </w:tabs>
                    <w:spacing w:after="120"/>
                    <w:contextualSpacing/>
                    <w:jc w:val="center"/>
                    <w:rPr>
                      <w:color w:val="000000"/>
                      <w:sz w:val="20"/>
                      <w:szCs w:val="20"/>
                    </w:rPr>
                  </w:pPr>
                  <w:r w:rsidRPr="003130B8">
                    <w:rPr>
                      <w:color w:val="000000"/>
                      <w:sz w:val="20"/>
                      <w:szCs w:val="20"/>
                    </w:rPr>
                    <w:t>29 824</w:t>
                  </w:r>
                </w:p>
              </w:tc>
              <w:tc>
                <w:tcPr>
                  <w:tcW w:w="1559" w:type="dxa"/>
                  <w:shd w:val="clear" w:color="auto" w:fill="auto"/>
                  <w:noWrap/>
                  <w:vAlign w:val="center"/>
                  <w:hideMark/>
                </w:tcPr>
                <w:p w:rsidRPr="003130B8" w:rsidR="00375645" w:rsidP="00375645" w:rsidRDefault="00375645" w14:paraId="70DA8BF6" w14:textId="16D6C5B7">
                  <w:pPr>
                    <w:tabs>
                      <w:tab w:val="left" w:pos="993"/>
                    </w:tabs>
                    <w:spacing w:after="120"/>
                    <w:contextualSpacing/>
                    <w:jc w:val="center"/>
                    <w:rPr>
                      <w:bCs/>
                      <w:sz w:val="20"/>
                      <w:szCs w:val="20"/>
                    </w:rPr>
                  </w:pPr>
                  <w:r w:rsidRPr="003130B8">
                    <w:rPr>
                      <w:color w:val="000000"/>
                      <w:sz w:val="20"/>
                      <w:szCs w:val="20"/>
                    </w:rPr>
                    <w:t>3 091</w:t>
                  </w:r>
                </w:p>
              </w:tc>
            </w:tr>
            <w:tr w:rsidRPr="003130B8" w:rsidR="00375645" w:rsidTr="00921B43" w14:paraId="37D26DA2" w14:textId="77777777">
              <w:trPr>
                <w:trHeight w:val="300"/>
              </w:trPr>
              <w:tc>
                <w:tcPr>
                  <w:tcW w:w="3684" w:type="dxa"/>
                  <w:noWrap/>
                  <w:vAlign w:val="center"/>
                  <w:hideMark/>
                </w:tcPr>
                <w:p w:rsidRPr="003130B8" w:rsidR="00375645" w:rsidP="00375645" w:rsidRDefault="00375645" w14:paraId="0B022D46" w14:textId="1748638E">
                  <w:pPr>
                    <w:tabs>
                      <w:tab w:val="left" w:pos="993"/>
                    </w:tabs>
                    <w:spacing w:after="120"/>
                    <w:contextualSpacing/>
                    <w:rPr>
                      <w:bCs/>
                      <w:sz w:val="20"/>
                      <w:szCs w:val="20"/>
                    </w:rPr>
                  </w:pPr>
                  <w:r w:rsidRPr="003130B8">
                    <w:rPr>
                      <w:color w:val="000000"/>
                      <w:sz w:val="20"/>
                      <w:szCs w:val="20"/>
                    </w:rPr>
                    <w:t xml:space="preserve">Zemju nekustamā īpašuma nodoklis </w:t>
                  </w:r>
                </w:p>
              </w:tc>
              <w:tc>
                <w:tcPr>
                  <w:tcW w:w="1559" w:type="dxa"/>
                  <w:vAlign w:val="center"/>
                </w:tcPr>
                <w:p w:rsidRPr="003130B8" w:rsidR="00375645" w:rsidP="00375645" w:rsidRDefault="00375645" w14:paraId="6C9348A8" w14:textId="62A84F43">
                  <w:pPr>
                    <w:tabs>
                      <w:tab w:val="left" w:pos="993"/>
                    </w:tabs>
                    <w:spacing w:after="120"/>
                    <w:contextualSpacing/>
                    <w:jc w:val="center"/>
                    <w:rPr>
                      <w:color w:val="000000"/>
                      <w:sz w:val="20"/>
                      <w:szCs w:val="20"/>
                    </w:rPr>
                  </w:pPr>
                  <w:r w:rsidRPr="003130B8">
                    <w:rPr>
                      <w:color w:val="000000"/>
                      <w:sz w:val="20"/>
                      <w:szCs w:val="20"/>
                    </w:rPr>
                    <w:t>4 267</w:t>
                  </w:r>
                </w:p>
              </w:tc>
              <w:tc>
                <w:tcPr>
                  <w:tcW w:w="1559" w:type="dxa"/>
                  <w:shd w:val="clear" w:color="auto" w:fill="auto"/>
                  <w:noWrap/>
                  <w:vAlign w:val="center"/>
                  <w:hideMark/>
                </w:tcPr>
                <w:p w:rsidRPr="003130B8" w:rsidR="00375645" w:rsidP="00375645" w:rsidRDefault="00375645" w14:paraId="6D8F919F" w14:textId="486BB274">
                  <w:pPr>
                    <w:tabs>
                      <w:tab w:val="left" w:pos="993"/>
                    </w:tabs>
                    <w:spacing w:after="120"/>
                    <w:contextualSpacing/>
                    <w:jc w:val="center"/>
                    <w:rPr>
                      <w:bCs/>
                      <w:sz w:val="20"/>
                      <w:szCs w:val="20"/>
                    </w:rPr>
                  </w:pPr>
                  <w:r w:rsidRPr="003130B8">
                    <w:rPr>
                      <w:bCs/>
                      <w:sz w:val="20"/>
                      <w:szCs w:val="20"/>
                    </w:rPr>
                    <w:t>210 461</w:t>
                  </w:r>
                </w:p>
              </w:tc>
            </w:tr>
            <w:tr w:rsidRPr="003130B8" w:rsidR="00375645" w:rsidTr="00921B43" w14:paraId="5CFD4E00" w14:textId="77777777">
              <w:trPr>
                <w:trHeight w:val="315"/>
              </w:trPr>
              <w:tc>
                <w:tcPr>
                  <w:tcW w:w="3684" w:type="dxa"/>
                  <w:noWrap/>
                  <w:vAlign w:val="center"/>
                  <w:hideMark/>
                </w:tcPr>
                <w:p w:rsidRPr="003130B8" w:rsidR="00375645" w:rsidP="00375645" w:rsidRDefault="00375645" w14:paraId="1EC4B6D8" w14:textId="26540D7E">
                  <w:pPr>
                    <w:tabs>
                      <w:tab w:val="left" w:pos="993"/>
                    </w:tabs>
                    <w:spacing w:after="120"/>
                    <w:contextualSpacing/>
                    <w:rPr>
                      <w:bCs/>
                      <w:sz w:val="20"/>
                      <w:szCs w:val="20"/>
                    </w:rPr>
                  </w:pPr>
                  <w:r w:rsidRPr="003130B8">
                    <w:rPr>
                      <w:color w:val="000000"/>
                      <w:sz w:val="20"/>
                      <w:szCs w:val="20"/>
                    </w:rPr>
                    <w:t xml:space="preserve">Ēku nekustamā īpašuma nodoklis </w:t>
                  </w:r>
                </w:p>
              </w:tc>
              <w:tc>
                <w:tcPr>
                  <w:tcW w:w="1559" w:type="dxa"/>
                  <w:vAlign w:val="center"/>
                </w:tcPr>
                <w:p w:rsidRPr="003130B8" w:rsidR="00375645" w:rsidP="00375645" w:rsidRDefault="00375645" w14:paraId="53D88E4A" w14:textId="0FF7D326">
                  <w:pPr>
                    <w:tabs>
                      <w:tab w:val="left" w:pos="993"/>
                    </w:tabs>
                    <w:spacing w:after="120"/>
                    <w:contextualSpacing/>
                    <w:jc w:val="center"/>
                    <w:rPr>
                      <w:color w:val="000000"/>
                      <w:sz w:val="20"/>
                      <w:szCs w:val="20"/>
                    </w:rPr>
                  </w:pPr>
                  <w:r w:rsidRPr="003130B8">
                    <w:rPr>
                      <w:color w:val="000000"/>
                      <w:sz w:val="20"/>
                      <w:szCs w:val="20"/>
                    </w:rPr>
                    <w:t>6 266</w:t>
                  </w:r>
                </w:p>
              </w:tc>
              <w:tc>
                <w:tcPr>
                  <w:tcW w:w="1559" w:type="dxa"/>
                  <w:shd w:val="clear" w:color="auto" w:fill="auto"/>
                  <w:noWrap/>
                  <w:vAlign w:val="center"/>
                  <w:hideMark/>
                </w:tcPr>
                <w:p w:rsidRPr="003130B8" w:rsidR="00375645" w:rsidP="00375645" w:rsidRDefault="00375645" w14:paraId="7BA751E2" w14:textId="66A9F616">
                  <w:pPr>
                    <w:tabs>
                      <w:tab w:val="left" w:pos="993"/>
                    </w:tabs>
                    <w:spacing w:after="120"/>
                    <w:contextualSpacing/>
                    <w:jc w:val="center"/>
                    <w:rPr>
                      <w:bCs/>
                      <w:sz w:val="20"/>
                      <w:szCs w:val="20"/>
                    </w:rPr>
                  </w:pPr>
                  <w:r w:rsidRPr="003130B8">
                    <w:rPr>
                      <w:color w:val="000000"/>
                      <w:sz w:val="20"/>
                      <w:szCs w:val="20"/>
                    </w:rPr>
                    <w:t>3 091</w:t>
                  </w:r>
                </w:p>
              </w:tc>
            </w:tr>
            <w:tr w:rsidRPr="003130B8" w:rsidR="00375645" w:rsidTr="00921B43" w14:paraId="28405577" w14:textId="77777777">
              <w:trPr>
                <w:trHeight w:val="300"/>
              </w:trPr>
              <w:tc>
                <w:tcPr>
                  <w:tcW w:w="3684" w:type="dxa"/>
                  <w:noWrap/>
                  <w:vAlign w:val="center"/>
                  <w:hideMark/>
                </w:tcPr>
                <w:p w:rsidRPr="003130B8" w:rsidR="00375645" w:rsidP="00375645" w:rsidRDefault="00375645" w14:paraId="7CA63C6C" w14:textId="4BDF761D">
                  <w:pPr>
                    <w:tabs>
                      <w:tab w:val="left" w:pos="993"/>
                    </w:tabs>
                    <w:spacing w:after="120"/>
                    <w:contextualSpacing/>
                    <w:rPr>
                      <w:bCs/>
                      <w:sz w:val="20"/>
                      <w:szCs w:val="20"/>
                    </w:rPr>
                  </w:pPr>
                  <w:r w:rsidRPr="003130B8">
                    <w:rPr>
                      <w:color w:val="000000"/>
                      <w:sz w:val="20"/>
                      <w:szCs w:val="20"/>
                    </w:rPr>
                    <w:t>Ēku apsaimniekošanas administratīvie izdevumi</w:t>
                  </w:r>
                </w:p>
              </w:tc>
              <w:tc>
                <w:tcPr>
                  <w:tcW w:w="1559" w:type="dxa"/>
                  <w:vAlign w:val="center"/>
                </w:tcPr>
                <w:p w:rsidRPr="003130B8" w:rsidR="00375645" w:rsidP="00375645" w:rsidRDefault="00375645" w14:paraId="27A32107" w14:textId="7873084F">
                  <w:pPr>
                    <w:tabs>
                      <w:tab w:val="left" w:pos="993"/>
                    </w:tabs>
                    <w:spacing w:after="120"/>
                    <w:contextualSpacing/>
                    <w:jc w:val="center"/>
                    <w:rPr>
                      <w:color w:val="000000"/>
                      <w:sz w:val="20"/>
                      <w:szCs w:val="20"/>
                    </w:rPr>
                  </w:pPr>
                  <w:r w:rsidRPr="003130B8">
                    <w:rPr>
                      <w:color w:val="000000"/>
                      <w:sz w:val="20"/>
                      <w:szCs w:val="20"/>
                    </w:rPr>
                    <w:t xml:space="preserve">59 </w:t>
                  </w:r>
                  <w:r w:rsidRPr="003130B8" w:rsidR="002B340B">
                    <w:rPr>
                      <w:color w:val="000000"/>
                      <w:sz w:val="20"/>
                      <w:szCs w:val="20"/>
                    </w:rPr>
                    <w:t>257</w:t>
                  </w:r>
                </w:p>
              </w:tc>
              <w:tc>
                <w:tcPr>
                  <w:tcW w:w="1559" w:type="dxa"/>
                  <w:shd w:val="clear" w:color="auto" w:fill="auto"/>
                  <w:noWrap/>
                  <w:vAlign w:val="center"/>
                </w:tcPr>
                <w:p w:rsidRPr="003130B8" w:rsidR="00375645" w:rsidP="00375645" w:rsidRDefault="00375645" w14:paraId="1069070E" w14:textId="706EE944">
                  <w:pPr>
                    <w:tabs>
                      <w:tab w:val="left" w:pos="993"/>
                    </w:tabs>
                    <w:spacing w:after="120"/>
                    <w:contextualSpacing/>
                    <w:jc w:val="center"/>
                    <w:rPr>
                      <w:bCs/>
                      <w:sz w:val="20"/>
                      <w:szCs w:val="20"/>
                    </w:rPr>
                  </w:pPr>
                </w:p>
              </w:tc>
            </w:tr>
            <w:tr w:rsidRPr="003130B8" w:rsidR="00375645" w:rsidTr="00921B43" w14:paraId="732EABBB" w14:textId="77777777">
              <w:trPr>
                <w:trHeight w:val="315"/>
              </w:trPr>
              <w:tc>
                <w:tcPr>
                  <w:tcW w:w="3684" w:type="dxa"/>
                  <w:noWrap/>
                  <w:vAlign w:val="center"/>
                  <w:hideMark/>
                </w:tcPr>
                <w:p w:rsidRPr="003130B8" w:rsidR="00375645" w:rsidP="00375645" w:rsidRDefault="00375645" w14:paraId="471B849B" w14:textId="0855EF7D">
                  <w:pPr>
                    <w:tabs>
                      <w:tab w:val="left" w:pos="993"/>
                    </w:tabs>
                    <w:spacing w:after="120"/>
                    <w:ind w:left="720"/>
                    <w:contextualSpacing/>
                    <w:rPr>
                      <w:bCs/>
                      <w:sz w:val="20"/>
                      <w:szCs w:val="20"/>
                    </w:rPr>
                  </w:pPr>
                  <w:r w:rsidRPr="003130B8">
                    <w:rPr>
                      <w:color w:val="000000"/>
                      <w:sz w:val="20"/>
                      <w:szCs w:val="20"/>
                    </w:rPr>
                    <w:t>personāla izmaksas</w:t>
                  </w:r>
                </w:p>
              </w:tc>
              <w:tc>
                <w:tcPr>
                  <w:tcW w:w="1559" w:type="dxa"/>
                  <w:vAlign w:val="center"/>
                </w:tcPr>
                <w:p w:rsidRPr="003130B8" w:rsidR="00375645" w:rsidP="00375645" w:rsidRDefault="00375645" w14:paraId="2B56A871" w14:textId="230CB339">
                  <w:pPr>
                    <w:tabs>
                      <w:tab w:val="left" w:pos="993"/>
                    </w:tabs>
                    <w:spacing w:after="120"/>
                    <w:contextualSpacing/>
                    <w:jc w:val="center"/>
                    <w:rPr>
                      <w:color w:val="000000"/>
                      <w:sz w:val="20"/>
                      <w:szCs w:val="20"/>
                    </w:rPr>
                  </w:pPr>
                  <w:r w:rsidRPr="003130B8">
                    <w:rPr>
                      <w:color w:val="000000"/>
                      <w:sz w:val="20"/>
                      <w:szCs w:val="20"/>
                    </w:rPr>
                    <w:t xml:space="preserve">44 </w:t>
                  </w:r>
                  <w:r w:rsidRPr="003130B8" w:rsidR="00DD7E67">
                    <w:rPr>
                      <w:color w:val="000000"/>
                      <w:sz w:val="20"/>
                      <w:szCs w:val="20"/>
                    </w:rPr>
                    <w:t>122</w:t>
                  </w:r>
                </w:p>
              </w:tc>
              <w:tc>
                <w:tcPr>
                  <w:tcW w:w="1559" w:type="dxa"/>
                  <w:shd w:val="clear" w:color="auto" w:fill="auto"/>
                  <w:noWrap/>
                  <w:vAlign w:val="center"/>
                </w:tcPr>
                <w:p w:rsidRPr="003130B8" w:rsidR="00375645" w:rsidP="00375645" w:rsidRDefault="00375645" w14:paraId="05BB0800" w14:textId="63297EC9">
                  <w:pPr>
                    <w:tabs>
                      <w:tab w:val="left" w:pos="993"/>
                    </w:tabs>
                    <w:spacing w:after="120"/>
                    <w:contextualSpacing/>
                    <w:jc w:val="center"/>
                    <w:rPr>
                      <w:bCs/>
                      <w:sz w:val="20"/>
                      <w:szCs w:val="20"/>
                    </w:rPr>
                  </w:pPr>
                </w:p>
              </w:tc>
            </w:tr>
            <w:tr w:rsidRPr="003130B8" w:rsidR="00375645" w:rsidTr="00921B43" w14:paraId="28CE70DB" w14:textId="77777777">
              <w:trPr>
                <w:trHeight w:val="274"/>
              </w:trPr>
              <w:tc>
                <w:tcPr>
                  <w:tcW w:w="3684" w:type="dxa"/>
                  <w:noWrap/>
                  <w:vAlign w:val="center"/>
                  <w:hideMark/>
                </w:tcPr>
                <w:p w:rsidRPr="003130B8" w:rsidR="00375645" w:rsidP="00375645" w:rsidRDefault="00375645" w14:paraId="607F2CED" w14:textId="54DF20D3">
                  <w:pPr>
                    <w:tabs>
                      <w:tab w:val="left" w:pos="993"/>
                    </w:tabs>
                    <w:spacing w:after="120"/>
                    <w:ind w:left="720"/>
                    <w:contextualSpacing/>
                    <w:rPr>
                      <w:bCs/>
                      <w:sz w:val="20"/>
                      <w:szCs w:val="20"/>
                    </w:rPr>
                  </w:pPr>
                  <w:r w:rsidRPr="003130B8">
                    <w:rPr>
                      <w:color w:val="000000"/>
                      <w:sz w:val="20"/>
                      <w:szCs w:val="20"/>
                    </w:rPr>
                    <w:t xml:space="preserve">transporta izmaksas </w:t>
                  </w:r>
                </w:p>
              </w:tc>
              <w:tc>
                <w:tcPr>
                  <w:tcW w:w="1559" w:type="dxa"/>
                  <w:vAlign w:val="center"/>
                </w:tcPr>
                <w:p w:rsidRPr="003130B8" w:rsidR="00375645" w:rsidP="00375645" w:rsidRDefault="00375645" w14:paraId="3667132B" w14:textId="245713B2">
                  <w:pPr>
                    <w:tabs>
                      <w:tab w:val="left" w:pos="993"/>
                    </w:tabs>
                    <w:spacing w:after="120"/>
                    <w:contextualSpacing/>
                    <w:jc w:val="center"/>
                    <w:rPr>
                      <w:color w:val="000000"/>
                      <w:sz w:val="20"/>
                      <w:szCs w:val="20"/>
                    </w:rPr>
                  </w:pPr>
                  <w:r w:rsidRPr="003130B8">
                    <w:rPr>
                      <w:color w:val="000000"/>
                      <w:sz w:val="20"/>
                      <w:szCs w:val="20"/>
                    </w:rPr>
                    <w:t>5 760</w:t>
                  </w:r>
                </w:p>
              </w:tc>
              <w:tc>
                <w:tcPr>
                  <w:tcW w:w="1559" w:type="dxa"/>
                  <w:shd w:val="clear" w:color="auto" w:fill="auto"/>
                  <w:noWrap/>
                  <w:vAlign w:val="center"/>
                </w:tcPr>
                <w:p w:rsidRPr="003130B8" w:rsidR="00375645" w:rsidP="00375645" w:rsidRDefault="00375645" w14:paraId="09EB7404" w14:textId="49F1D676">
                  <w:pPr>
                    <w:tabs>
                      <w:tab w:val="left" w:pos="993"/>
                    </w:tabs>
                    <w:spacing w:after="120"/>
                    <w:contextualSpacing/>
                    <w:jc w:val="center"/>
                    <w:rPr>
                      <w:bCs/>
                      <w:sz w:val="20"/>
                      <w:szCs w:val="20"/>
                    </w:rPr>
                  </w:pPr>
                </w:p>
              </w:tc>
            </w:tr>
            <w:tr w:rsidRPr="003130B8" w:rsidR="00375645" w:rsidTr="00921B43" w14:paraId="234D100C" w14:textId="77777777">
              <w:trPr>
                <w:trHeight w:val="274"/>
              </w:trPr>
              <w:tc>
                <w:tcPr>
                  <w:tcW w:w="3684" w:type="dxa"/>
                  <w:noWrap/>
                  <w:vAlign w:val="center"/>
                  <w:hideMark/>
                </w:tcPr>
                <w:p w:rsidRPr="003130B8" w:rsidR="00375645" w:rsidP="00375645" w:rsidRDefault="00375645" w14:paraId="12CC4C44" w14:textId="5DB0BAB0">
                  <w:pPr>
                    <w:tabs>
                      <w:tab w:val="left" w:pos="993"/>
                    </w:tabs>
                    <w:spacing w:after="120"/>
                    <w:ind w:left="720"/>
                    <w:contextualSpacing/>
                    <w:rPr>
                      <w:bCs/>
                      <w:sz w:val="20"/>
                      <w:szCs w:val="20"/>
                    </w:rPr>
                  </w:pPr>
                  <w:r w:rsidRPr="003130B8">
                    <w:rPr>
                      <w:color w:val="000000"/>
                      <w:sz w:val="20"/>
                      <w:szCs w:val="20"/>
                    </w:rPr>
                    <w:t xml:space="preserve">pārējās izmaksas </w:t>
                  </w:r>
                </w:p>
              </w:tc>
              <w:tc>
                <w:tcPr>
                  <w:tcW w:w="1559" w:type="dxa"/>
                  <w:vAlign w:val="center"/>
                </w:tcPr>
                <w:p w:rsidRPr="003130B8" w:rsidR="00375645" w:rsidP="00375645" w:rsidRDefault="00375645" w14:paraId="4BD5C36D" w14:textId="3B9B50BB">
                  <w:pPr>
                    <w:tabs>
                      <w:tab w:val="left" w:pos="993"/>
                    </w:tabs>
                    <w:spacing w:after="120"/>
                    <w:contextualSpacing/>
                    <w:jc w:val="center"/>
                    <w:rPr>
                      <w:color w:val="000000"/>
                      <w:sz w:val="20"/>
                      <w:szCs w:val="20"/>
                    </w:rPr>
                  </w:pPr>
                  <w:r w:rsidRPr="003130B8">
                    <w:rPr>
                      <w:color w:val="000000"/>
                      <w:sz w:val="20"/>
                      <w:szCs w:val="20"/>
                    </w:rPr>
                    <w:t>9 375</w:t>
                  </w:r>
                </w:p>
              </w:tc>
              <w:tc>
                <w:tcPr>
                  <w:tcW w:w="1559" w:type="dxa"/>
                  <w:noWrap/>
                  <w:vAlign w:val="center"/>
                </w:tcPr>
                <w:p w:rsidRPr="003130B8" w:rsidR="00375645" w:rsidP="00375645" w:rsidRDefault="00375645" w14:paraId="429683DA" w14:textId="41541F2B">
                  <w:pPr>
                    <w:tabs>
                      <w:tab w:val="left" w:pos="993"/>
                    </w:tabs>
                    <w:spacing w:after="120"/>
                    <w:contextualSpacing/>
                    <w:jc w:val="center"/>
                    <w:rPr>
                      <w:bCs/>
                      <w:sz w:val="20"/>
                      <w:szCs w:val="20"/>
                    </w:rPr>
                  </w:pPr>
                </w:p>
              </w:tc>
            </w:tr>
            <w:tr w:rsidRPr="003130B8" w:rsidR="00375645" w:rsidTr="00921B43" w14:paraId="3C4EAF55" w14:textId="77777777">
              <w:trPr>
                <w:trHeight w:val="300"/>
              </w:trPr>
              <w:tc>
                <w:tcPr>
                  <w:tcW w:w="3684" w:type="dxa"/>
                  <w:noWrap/>
                  <w:vAlign w:val="center"/>
                  <w:hideMark/>
                </w:tcPr>
                <w:p w:rsidRPr="003130B8" w:rsidR="00375645" w:rsidP="00375645" w:rsidRDefault="00375645" w14:paraId="5E6D6BA2" w14:textId="749FDBA9">
                  <w:pPr>
                    <w:tabs>
                      <w:tab w:val="left" w:pos="993"/>
                    </w:tabs>
                    <w:spacing w:after="120"/>
                    <w:contextualSpacing/>
                    <w:rPr>
                      <w:b/>
                      <w:bCs/>
                      <w:sz w:val="20"/>
                      <w:szCs w:val="20"/>
                    </w:rPr>
                  </w:pPr>
                  <w:r w:rsidRPr="003130B8">
                    <w:rPr>
                      <w:b/>
                      <w:bCs/>
                      <w:color w:val="000000"/>
                      <w:sz w:val="20"/>
                      <w:szCs w:val="20"/>
                    </w:rPr>
                    <w:t>Kopā</w:t>
                  </w:r>
                </w:p>
              </w:tc>
              <w:tc>
                <w:tcPr>
                  <w:tcW w:w="1559" w:type="dxa"/>
                  <w:vAlign w:val="center"/>
                </w:tcPr>
                <w:p w:rsidRPr="003130B8" w:rsidR="00375645" w:rsidP="00375645" w:rsidRDefault="00375645" w14:paraId="22F4A30F" w14:textId="23734E16">
                  <w:pPr>
                    <w:tabs>
                      <w:tab w:val="left" w:pos="993"/>
                    </w:tabs>
                    <w:spacing w:after="120"/>
                    <w:contextualSpacing/>
                    <w:jc w:val="center"/>
                    <w:rPr>
                      <w:b/>
                      <w:bCs/>
                      <w:color w:val="000000"/>
                      <w:sz w:val="20"/>
                      <w:szCs w:val="20"/>
                    </w:rPr>
                  </w:pPr>
                  <w:r w:rsidRPr="003130B8">
                    <w:rPr>
                      <w:b/>
                      <w:bCs/>
                      <w:color w:val="000000"/>
                      <w:sz w:val="20"/>
                      <w:szCs w:val="20"/>
                    </w:rPr>
                    <w:t>22</w:t>
                  </w:r>
                  <w:r w:rsidRPr="003130B8" w:rsidR="002B340B">
                    <w:rPr>
                      <w:b/>
                      <w:bCs/>
                      <w:color w:val="000000"/>
                      <w:sz w:val="20"/>
                      <w:szCs w:val="20"/>
                    </w:rPr>
                    <w:t>7</w:t>
                  </w:r>
                  <w:r w:rsidRPr="003130B8">
                    <w:rPr>
                      <w:b/>
                      <w:bCs/>
                      <w:color w:val="000000"/>
                      <w:sz w:val="20"/>
                      <w:szCs w:val="20"/>
                    </w:rPr>
                    <w:t xml:space="preserve"> </w:t>
                  </w:r>
                  <w:r w:rsidRPr="003130B8" w:rsidR="002B340B">
                    <w:rPr>
                      <w:b/>
                      <w:bCs/>
                      <w:color w:val="000000"/>
                      <w:sz w:val="20"/>
                      <w:szCs w:val="20"/>
                    </w:rPr>
                    <w:t>893</w:t>
                  </w:r>
                </w:p>
              </w:tc>
              <w:tc>
                <w:tcPr>
                  <w:tcW w:w="1559" w:type="dxa"/>
                  <w:noWrap/>
                  <w:vAlign w:val="center"/>
                </w:tcPr>
                <w:p w:rsidRPr="003130B8" w:rsidR="00375645" w:rsidP="00375645" w:rsidRDefault="00375645" w14:paraId="26C70670" w14:textId="533C85C5">
                  <w:pPr>
                    <w:tabs>
                      <w:tab w:val="left" w:pos="993"/>
                    </w:tabs>
                    <w:spacing w:after="120"/>
                    <w:contextualSpacing/>
                    <w:jc w:val="center"/>
                    <w:rPr>
                      <w:b/>
                      <w:bCs/>
                      <w:sz w:val="20"/>
                      <w:szCs w:val="20"/>
                    </w:rPr>
                  </w:pPr>
                </w:p>
              </w:tc>
            </w:tr>
          </w:tbl>
          <w:p w:rsidRPr="003130B8" w:rsidR="00D63E48" w:rsidP="006E267F" w:rsidRDefault="0078485B" w14:paraId="6041DA92" w14:textId="4928885A">
            <w:pPr>
              <w:jc w:val="both"/>
            </w:pPr>
            <w:r w:rsidRPr="003130B8">
              <w:t xml:space="preserve">Tirgus izpēte un ekspertu aplēses </w:t>
            </w:r>
            <w:r w:rsidRPr="003130B8" w:rsidR="00AE0222">
              <w:t>liecina</w:t>
            </w:r>
            <w:r w:rsidRPr="003130B8">
              <w:t xml:space="preserve">, ka </w:t>
            </w:r>
            <w:r w:rsidRPr="003130B8" w:rsidR="00DD24CB">
              <w:t xml:space="preserve">iepriekš veikto </w:t>
            </w:r>
            <w:r w:rsidRPr="003130B8">
              <w:t xml:space="preserve">lokālplānojumu precizēšanai varētu būt nepieciešami </w:t>
            </w:r>
            <w:r w:rsidRPr="003130B8">
              <w:rPr>
                <w:b/>
                <w:bCs/>
              </w:rPr>
              <w:t>130 000</w:t>
            </w:r>
            <w:r w:rsidRPr="003130B8" w:rsidR="00765A99">
              <w:rPr>
                <w:b/>
                <w:bCs/>
              </w:rPr>
              <w:t> </w:t>
            </w:r>
            <w:proofErr w:type="spellStart"/>
            <w:r w:rsidRPr="003130B8">
              <w:rPr>
                <w:b/>
                <w:bCs/>
                <w:i/>
                <w:iCs/>
              </w:rPr>
              <w:t>euro</w:t>
            </w:r>
            <w:proofErr w:type="spellEnd"/>
            <w:r w:rsidRPr="003130B8">
              <w:t>.</w:t>
            </w:r>
            <w:r w:rsidRPr="003130B8" w:rsidR="00904837">
              <w:t xml:space="preserve"> Nepieciešam</w:t>
            </w:r>
            <w:r w:rsidRPr="003130B8" w:rsidR="00B605D6">
              <w:t xml:space="preserve">ais finansējums ir paredzēts lokālplānojuma izstrādei Limbažu novadā, kur </w:t>
            </w:r>
            <w:r w:rsidRPr="003130B8" w:rsidR="007C3E8A">
              <w:t>RB projekta trases un tehniskās apkopes punkta teritorijas un reģionālās stacijas teritorija veido aptuveni 120</w:t>
            </w:r>
            <w:r w:rsidRPr="003130B8" w:rsidR="00765A99">
              <w:t> </w:t>
            </w:r>
            <w:r w:rsidRPr="003130B8" w:rsidR="007C3E8A">
              <w:t>ha platību.</w:t>
            </w:r>
            <w:r w:rsidRPr="003130B8" w:rsidR="000B778A">
              <w:t xml:space="preserve"> Saskaņā ar tirgus izpēti</w:t>
            </w:r>
            <w:r w:rsidRPr="003130B8" w:rsidR="001B7B2D">
              <w:t xml:space="preserve"> par lokālplānojumu izstrādes izmaks</w:t>
            </w:r>
            <w:r w:rsidRPr="003130B8" w:rsidR="00CD6009">
              <w:t>as</w:t>
            </w:r>
            <w:r w:rsidRPr="003130B8" w:rsidR="001B7B2D">
              <w:t xml:space="preserve"> ārpus pilsētu teritorijām</w:t>
            </w:r>
            <w:r w:rsidRPr="003130B8" w:rsidR="00CD6009">
              <w:t xml:space="preserve"> ir</w:t>
            </w:r>
            <w:r w:rsidRPr="003130B8" w:rsidR="001B7B2D">
              <w:t xml:space="preserve"> </w:t>
            </w:r>
            <w:r w:rsidRPr="003130B8" w:rsidR="00A51148">
              <w:t xml:space="preserve">amplitūdā no </w:t>
            </w:r>
            <w:r w:rsidRPr="003130B8" w:rsidR="00CD6009">
              <w:t xml:space="preserve"> 1100</w:t>
            </w:r>
            <w:r w:rsidRPr="003130B8" w:rsidR="00810D6B">
              <w:t xml:space="preserve"> līdz </w:t>
            </w:r>
            <w:r w:rsidRPr="003130B8" w:rsidR="00A51148">
              <w:t>1510</w:t>
            </w:r>
            <w:r w:rsidRPr="003130B8" w:rsidR="00765A99">
              <w:t> </w:t>
            </w:r>
            <w:proofErr w:type="spellStart"/>
            <w:r w:rsidRPr="003130B8" w:rsidR="00CD6009">
              <w:rPr>
                <w:i/>
                <w:iCs/>
              </w:rPr>
              <w:t>eur</w:t>
            </w:r>
            <w:r w:rsidRPr="003130B8" w:rsidR="00F40964">
              <w:rPr>
                <w:i/>
                <w:iCs/>
              </w:rPr>
              <w:t>o</w:t>
            </w:r>
            <w:proofErr w:type="spellEnd"/>
            <w:r w:rsidRPr="003130B8" w:rsidR="00F40964">
              <w:rPr>
                <w:i/>
                <w:iCs/>
              </w:rPr>
              <w:t>/ha</w:t>
            </w:r>
            <w:r w:rsidRPr="003130B8" w:rsidR="00B70F16">
              <w:t>,</w:t>
            </w:r>
            <w:r w:rsidRPr="003130B8" w:rsidR="00F40964">
              <w:t xml:space="preserve"> summa var </w:t>
            </w:r>
            <w:r w:rsidRPr="003130B8" w:rsidR="00B70F16">
              <w:t xml:space="preserve">palielināties no papildus izmaksām par konkrētās attīstāmās teritorijas sarežģītību, dažādām nepieciešamām papildus izpētēm, transporta infrastruktūras attīstības plāna izstrādēm, stratēģiskās ietekmes uz vidi novērtējums, ja </w:t>
            </w:r>
            <w:r w:rsidRPr="003130B8" w:rsidR="00E111E9">
              <w:t>nepieciešams. Tirgus izpētes dati ņemti no E</w:t>
            </w:r>
            <w:r w:rsidRPr="003130B8" w:rsidR="00604921">
              <w:t xml:space="preserve">lektroniskajā </w:t>
            </w:r>
            <w:r w:rsidRPr="003130B8" w:rsidR="00E111E9">
              <w:t>I</w:t>
            </w:r>
            <w:r w:rsidRPr="003130B8" w:rsidR="00604921">
              <w:t xml:space="preserve">epirkumu </w:t>
            </w:r>
            <w:r w:rsidRPr="003130B8" w:rsidR="00E111E9">
              <w:t>S</w:t>
            </w:r>
            <w:r w:rsidRPr="003130B8" w:rsidR="00604921">
              <w:t>istēmā</w:t>
            </w:r>
            <w:r w:rsidRPr="003130B8" w:rsidR="00E111E9">
              <w:t xml:space="preserve"> noslēgtajiem līgumiem 2019. un 2020.</w:t>
            </w:r>
            <w:r w:rsidRPr="003130B8" w:rsidR="00765A99">
              <w:t> </w:t>
            </w:r>
            <w:r w:rsidRPr="003130B8" w:rsidR="00E111E9">
              <w:t>gadā</w:t>
            </w:r>
            <w:r w:rsidRPr="003130B8" w:rsidR="00810D6B">
              <w:t xml:space="preserve">. </w:t>
            </w:r>
          </w:p>
          <w:p w:rsidRPr="003130B8" w:rsidR="002810EE" w:rsidP="00765A99" w:rsidRDefault="00247377" w14:paraId="00B71C5C" w14:textId="332CCE5F">
            <w:pPr>
              <w:jc w:val="both"/>
            </w:pPr>
            <w:r w:rsidRPr="003130B8">
              <w:t xml:space="preserve">Rīgā ir plānota četru Rail Baltica reģionālo staciju izveide: Imanta, Zasulauks, Torņakalns un Slāvu tilts. Līdz ar to četru jaunu Rail Baltica reģionālo staciju iekļaušana lokālplānojuma apjomā ir būtiski </w:t>
            </w:r>
            <w:r w:rsidRPr="003130B8">
              <w:lastRenderedPageBreak/>
              <w:t>lokālplānojuma teritorijas un lokālplānojuma darba uzdevuma papildinājumi, jo tas prasīs izstrādāt attiecīgās pilsētas teritorijas transporta infrastruktūras pārbūvi, kā arī līdz šim izstrādāto lokālplānojuma risinājumu pārskatīšanu no transporta organizācijas, vides pieejamības, publiskās ārtelpas, ietekmes uz vidi novērtējuma u.c. aspektiem. Sa</w:t>
            </w:r>
            <w:r w:rsidRPr="003130B8" w:rsidR="00A37B80">
              <w:t>s</w:t>
            </w:r>
            <w:r w:rsidRPr="003130B8">
              <w:t xml:space="preserve">kaņā ar </w:t>
            </w:r>
            <w:proofErr w:type="spellStart"/>
            <w:r w:rsidRPr="003130B8">
              <w:t>EDzL</w:t>
            </w:r>
            <w:proofErr w:type="spellEnd"/>
            <w:r w:rsidRPr="003130B8">
              <w:t xml:space="preserve"> ekspertu viedokli papildus izmaksas varētu veidot </w:t>
            </w:r>
            <w:r w:rsidRPr="003130B8">
              <w:rPr>
                <w:b/>
                <w:bCs/>
              </w:rPr>
              <w:t>2</w:t>
            </w:r>
            <w:r w:rsidRPr="003130B8" w:rsidR="00DE1611">
              <w:rPr>
                <w:b/>
                <w:bCs/>
              </w:rPr>
              <w:t>4</w:t>
            </w:r>
            <w:r w:rsidRPr="003130B8">
              <w:rPr>
                <w:b/>
                <w:bCs/>
              </w:rPr>
              <w:t> 000</w:t>
            </w:r>
            <w:r w:rsidRPr="003130B8" w:rsidR="00765A99">
              <w:rPr>
                <w:b/>
                <w:bCs/>
              </w:rPr>
              <w:t> </w:t>
            </w:r>
            <w:proofErr w:type="spellStart"/>
            <w:r w:rsidRPr="003130B8">
              <w:rPr>
                <w:b/>
                <w:bCs/>
                <w:i/>
                <w:iCs/>
              </w:rPr>
              <w:t>euro</w:t>
            </w:r>
            <w:proofErr w:type="spellEnd"/>
            <w:r w:rsidRPr="003130B8">
              <w:t xml:space="preserve"> </w:t>
            </w:r>
            <w:r w:rsidRPr="003130B8" w:rsidR="008C4307">
              <w:t>P</w:t>
            </w:r>
            <w:r w:rsidRPr="003130B8">
              <w:t>ārrunas ar darbu veicēju nav notikušas un summa noteikta, baltoties uz ekspertu pieredzi</w:t>
            </w:r>
            <w:r w:rsidRPr="003130B8" w:rsidR="002810EE">
              <w:t xml:space="preserve">, </w:t>
            </w:r>
            <w:r w:rsidRPr="003130B8" w:rsidR="008C4307">
              <w:t xml:space="preserve">zināšanām par nepieciešamo darbu apjomu. Izmaksas divdesmit četru tūkstoši </w:t>
            </w:r>
            <w:proofErr w:type="spellStart"/>
            <w:r w:rsidRPr="003130B8" w:rsidR="008C4307">
              <w:rPr>
                <w:i/>
                <w:iCs/>
              </w:rPr>
              <w:t>euro</w:t>
            </w:r>
            <w:proofErr w:type="spellEnd"/>
            <w:r w:rsidRPr="003130B8" w:rsidR="008C4307">
              <w:t xml:space="preserve"> veidojas, r</w:t>
            </w:r>
            <w:r w:rsidRPr="003130B8" w:rsidR="002810EE">
              <w:t>ēķinot, ka viena</w:t>
            </w:r>
            <w:r w:rsidRPr="003130B8" w:rsidR="008C4307">
              <w:t>s</w:t>
            </w:r>
            <w:r w:rsidRPr="003130B8" w:rsidR="002810EE">
              <w:t xml:space="preserve"> stacijas lokālplānojuma izmaksas ir seši tūkstoši </w:t>
            </w:r>
            <w:proofErr w:type="spellStart"/>
            <w:r w:rsidRPr="003130B8" w:rsidR="002810EE">
              <w:rPr>
                <w:i/>
                <w:iCs/>
              </w:rPr>
              <w:t>euro</w:t>
            </w:r>
            <w:proofErr w:type="spellEnd"/>
            <w:r w:rsidRPr="003130B8" w:rsidR="008C4307">
              <w:t>.</w:t>
            </w:r>
            <w:r w:rsidRPr="003130B8">
              <w:t xml:space="preserve"> Staciju lokālplānojumu izstrāde veicama 2021.-2022.</w:t>
            </w:r>
            <w:r w:rsidRPr="003130B8" w:rsidR="00765A99">
              <w:t> </w:t>
            </w:r>
            <w:r w:rsidRPr="003130B8">
              <w:t>gadā.</w:t>
            </w:r>
          </w:p>
          <w:p w:rsidRPr="003130B8" w:rsidR="00247377" w:rsidP="00765A99" w:rsidRDefault="00A914BE" w14:paraId="4DE347D2" w14:textId="58F5E502">
            <w:pPr>
              <w:jc w:val="both"/>
            </w:pPr>
            <w:r w:rsidRPr="003130B8">
              <w:t>Tādejādi l</w:t>
            </w:r>
            <w:r w:rsidRPr="003130B8" w:rsidR="00247377">
              <w:t>okālplānojumu izstrādei 2021.</w:t>
            </w:r>
            <w:r w:rsidRPr="003130B8" w:rsidR="00765A99">
              <w:t> </w:t>
            </w:r>
            <w:r w:rsidRPr="003130B8" w:rsidR="00247377">
              <w:t xml:space="preserve">gadā ir nepieciešami </w:t>
            </w:r>
            <w:r w:rsidRPr="003130B8" w:rsidR="00247377">
              <w:rPr>
                <w:b/>
                <w:bCs/>
              </w:rPr>
              <w:t>15</w:t>
            </w:r>
            <w:r w:rsidRPr="003130B8" w:rsidR="00DE1611">
              <w:rPr>
                <w:b/>
                <w:bCs/>
              </w:rPr>
              <w:t>4</w:t>
            </w:r>
            <w:r w:rsidRPr="003130B8" w:rsidR="00247377">
              <w:rPr>
                <w:b/>
                <w:bCs/>
              </w:rPr>
              <w:t> 000</w:t>
            </w:r>
            <w:r w:rsidRPr="003130B8" w:rsidR="00765A99">
              <w:rPr>
                <w:b/>
                <w:bCs/>
              </w:rPr>
              <w:t> </w:t>
            </w:r>
            <w:proofErr w:type="spellStart"/>
            <w:r w:rsidRPr="003130B8" w:rsidR="00247377">
              <w:rPr>
                <w:b/>
                <w:bCs/>
                <w:i/>
                <w:iCs/>
              </w:rPr>
              <w:t>euro</w:t>
            </w:r>
            <w:proofErr w:type="spellEnd"/>
            <w:r w:rsidRPr="003130B8" w:rsidR="00247377">
              <w:rPr>
                <w:b/>
                <w:bCs/>
              </w:rPr>
              <w:t>.</w:t>
            </w:r>
          </w:p>
        </w:tc>
      </w:tr>
      <w:tr w:rsidRPr="003130B8" w:rsidR="00D63E48" w:rsidTr="00CB4741" w14:paraId="326C451E" w14:textId="77777777">
        <w:trPr>
          <w:trHeight w:val="782"/>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3130B8" w:rsidR="00D63E48" w:rsidP="006E267F" w:rsidRDefault="00D63E48" w14:paraId="7DBEC3EB" w14:textId="77777777">
            <w:r w:rsidRPr="003130B8">
              <w:t>6.1. detalizēts ieņēmumu aprēķins</w:t>
            </w:r>
          </w:p>
        </w:tc>
        <w:tc>
          <w:tcPr>
            <w:tcW w:w="7371" w:type="dxa"/>
            <w:gridSpan w:val="7"/>
            <w:vMerge/>
            <w:tcBorders>
              <w:top w:val="single" w:color="auto" w:sz="4" w:space="0"/>
              <w:left w:val="single" w:color="auto" w:sz="4" w:space="0"/>
              <w:bottom w:val="single" w:color="auto" w:sz="4" w:space="0"/>
              <w:right w:val="single" w:color="auto" w:sz="4" w:space="0"/>
            </w:tcBorders>
            <w:shd w:val="clear" w:color="auto" w:fill="auto"/>
            <w:vAlign w:val="center"/>
          </w:tcPr>
          <w:p w:rsidRPr="003130B8" w:rsidR="00D63E48" w:rsidP="006E267F" w:rsidRDefault="00D63E48" w14:paraId="1A6F1458" w14:textId="77777777"/>
        </w:tc>
      </w:tr>
      <w:tr w:rsidRPr="003130B8" w:rsidR="00D63E48" w:rsidTr="00CB4741" w14:paraId="461D2132" w14:textId="77777777">
        <w:trPr>
          <w:trHeight w:val="835"/>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3130B8" w:rsidR="00D63E48" w:rsidP="006E267F" w:rsidRDefault="00D63E48" w14:paraId="7EA45EDF" w14:textId="77777777">
            <w:r w:rsidRPr="003130B8">
              <w:t>6.2. detalizēts izdevumu aprēķins</w:t>
            </w:r>
          </w:p>
        </w:tc>
        <w:tc>
          <w:tcPr>
            <w:tcW w:w="7371" w:type="dxa"/>
            <w:gridSpan w:val="7"/>
            <w:vMerge/>
            <w:tcBorders>
              <w:top w:val="single" w:color="auto" w:sz="4" w:space="0"/>
              <w:left w:val="single" w:color="auto" w:sz="4" w:space="0"/>
              <w:bottom w:val="single" w:color="auto" w:sz="4" w:space="0"/>
              <w:right w:val="single" w:color="auto" w:sz="4" w:space="0"/>
            </w:tcBorders>
            <w:shd w:val="clear" w:color="auto" w:fill="auto"/>
            <w:vAlign w:val="center"/>
          </w:tcPr>
          <w:p w:rsidRPr="003130B8" w:rsidR="00D63E48" w:rsidP="006E267F" w:rsidRDefault="00D63E48" w14:paraId="02D87C17" w14:textId="77777777"/>
        </w:tc>
      </w:tr>
      <w:tr w:rsidRPr="003130B8" w:rsidR="00D63E48" w:rsidTr="00CB4741" w14:paraId="3981880B" w14:textId="77777777">
        <w:trPr>
          <w:trHeight w:val="507"/>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3130B8" w:rsidR="00D63E48" w:rsidP="006E267F" w:rsidRDefault="00D63E48" w14:paraId="668F66C3" w14:textId="77777777">
            <w:r w:rsidRPr="003130B8">
              <w:lastRenderedPageBreak/>
              <w:t>7. Amata vietu skaita izmaiņas</w:t>
            </w:r>
          </w:p>
        </w:tc>
        <w:tc>
          <w:tcPr>
            <w:tcW w:w="7371" w:type="dxa"/>
            <w:gridSpan w:val="7"/>
            <w:tcBorders>
              <w:top w:val="single" w:color="auto" w:sz="4" w:space="0"/>
              <w:left w:val="single" w:color="auto" w:sz="4" w:space="0"/>
              <w:bottom w:val="single" w:color="auto" w:sz="4" w:space="0"/>
              <w:right w:val="single" w:color="auto" w:sz="4" w:space="0"/>
            </w:tcBorders>
            <w:shd w:val="clear" w:color="auto" w:fill="auto"/>
          </w:tcPr>
          <w:p w:rsidRPr="003130B8" w:rsidR="00D63E48" w:rsidP="00CB4741" w:rsidRDefault="002B5B08" w14:paraId="26663164" w14:textId="198F1F3D">
            <w:pPr>
              <w:jc w:val="both"/>
            </w:pPr>
            <w:r w:rsidRPr="003130B8">
              <w:t xml:space="preserve">Uzsākot nodrošināt apsaimniekošanas funkcijas, </w:t>
            </w:r>
            <w:proofErr w:type="spellStart"/>
            <w:r w:rsidRPr="003130B8" w:rsidR="005F46AC">
              <w:t>EDzL</w:t>
            </w:r>
            <w:proofErr w:type="spellEnd"/>
            <w:r w:rsidRPr="003130B8" w:rsidR="005F46AC">
              <w:t xml:space="preserve"> tiks </w:t>
            </w:r>
            <w:r w:rsidRPr="003130B8">
              <w:t>izveido</w:t>
            </w:r>
            <w:r w:rsidRPr="003130B8" w:rsidR="005F46AC">
              <w:t>ta</w:t>
            </w:r>
            <w:r w:rsidRPr="003130B8">
              <w:t xml:space="preserve"> vien</w:t>
            </w:r>
            <w:r w:rsidRPr="003130B8" w:rsidR="005F46AC">
              <w:t>a</w:t>
            </w:r>
            <w:r w:rsidRPr="003130B8">
              <w:t xml:space="preserve"> </w:t>
            </w:r>
            <w:r w:rsidRPr="003130B8" w:rsidR="005F46AC">
              <w:t xml:space="preserve">jauna </w:t>
            </w:r>
            <w:r w:rsidRPr="003130B8">
              <w:t>amata viet</w:t>
            </w:r>
            <w:r w:rsidRPr="003130B8" w:rsidR="005F46AC">
              <w:t>a</w:t>
            </w:r>
            <w:r w:rsidRPr="003130B8">
              <w:t>, kuras pienākumos ietilps ar apsaimniekošanu saistīto iepirkumu un darbu organizācija</w:t>
            </w:r>
            <w:r w:rsidRPr="003130B8" w:rsidR="00D63E48">
              <w:t>.</w:t>
            </w:r>
          </w:p>
        </w:tc>
      </w:tr>
      <w:tr w:rsidRPr="003130B8" w:rsidR="00D63E48" w:rsidTr="00CB4741" w14:paraId="5F40463A" w14:textId="77777777">
        <w:trPr>
          <w:trHeight w:val="770"/>
        </w:trPr>
        <w:tc>
          <w:tcPr>
            <w:tcW w:w="1701" w:type="dxa"/>
            <w:tcBorders>
              <w:top w:val="single" w:color="auto" w:sz="4" w:space="0"/>
              <w:left w:val="single" w:color="auto" w:sz="4" w:space="0"/>
              <w:bottom w:val="single" w:color="auto" w:sz="4" w:space="0"/>
              <w:right w:val="single" w:color="auto" w:sz="4" w:space="0"/>
            </w:tcBorders>
            <w:shd w:val="clear" w:color="auto" w:fill="auto"/>
            <w:hideMark/>
          </w:tcPr>
          <w:p w:rsidRPr="003130B8" w:rsidR="00D63E48" w:rsidP="006E267F" w:rsidRDefault="00D63E48" w14:paraId="394CE91C" w14:textId="77777777">
            <w:r w:rsidRPr="003130B8">
              <w:t>8. Cita informācija</w:t>
            </w:r>
          </w:p>
        </w:tc>
        <w:tc>
          <w:tcPr>
            <w:tcW w:w="7371" w:type="dxa"/>
            <w:gridSpan w:val="7"/>
            <w:tcBorders>
              <w:top w:val="single" w:color="auto" w:sz="4" w:space="0"/>
              <w:left w:val="single" w:color="auto" w:sz="4" w:space="0"/>
              <w:bottom w:val="single" w:color="auto" w:sz="4" w:space="0"/>
              <w:right w:val="single" w:color="auto" w:sz="4" w:space="0"/>
            </w:tcBorders>
            <w:shd w:val="clear" w:color="auto" w:fill="auto"/>
            <w:hideMark/>
          </w:tcPr>
          <w:p w:rsidRPr="003130B8" w:rsidR="00D63E48" w:rsidP="00E242E1" w:rsidRDefault="000E54C6" w14:paraId="13B69A0B" w14:textId="00046DD1">
            <w:pPr>
              <w:jc w:val="both"/>
            </w:pPr>
            <w:r>
              <w:t xml:space="preserve"> Izdevumus sedz no valsts budžeta programmas 80.00.00 </w:t>
            </w:r>
            <w:r w:rsidRPr="00F65FED" w:rsidR="005F0B88">
              <w:t>"</w:t>
            </w:r>
            <w:r w:rsidRPr="000E54C6">
              <w:t>Nesadalītais finansējums Eiropas Savienības politiku instrumentu un pārējās ārvalstu finanšu palīdzības līdzfinansēto projektu un pasākumu īstenošanai</w:t>
            </w:r>
            <w:r w:rsidRPr="00F65FED" w:rsidR="005F0B88">
              <w:t>"</w:t>
            </w:r>
            <w:r>
              <w:t>.</w:t>
            </w:r>
          </w:p>
        </w:tc>
      </w:tr>
    </w:tbl>
    <w:p w:rsidRPr="003130B8" w:rsidR="00D63E48" w:rsidP="00551A0F" w:rsidRDefault="00D63E48" w14:paraId="74383B24" w14:textId="77777777"/>
    <w:tbl>
      <w:tblPr>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117"/>
      </w:tblGrid>
      <w:tr w:rsidRPr="003130B8" w:rsidR="0094189D" w:rsidTr="00B44E39" w14:paraId="49519A8B" w14:textId="77777777">
        <w:trPr>
          <w:trHeight w:val="361"/>
          <w:jc w:val="center"/>
        </w:trPr>
        <w:tc>
          <w:tcPr>
            <w:tcW w:w="9117" w:type="dxa"/>
            <w:vAlign w:val="center"/>
          </w:tcPr>
          <w:p w:rsidRPr="003130B8" w:rsidR="0094189D" w:rsidP="00B44E39" w:rsidRDefault="0094189D" w14:paraId="49BBEBCB" w14:textId="77777777">
            <w:pPr>
              <w:pStyle w:val="naisnod"/>
              <w:spacing w:before="0" w:beforeAutospacing="0" w:after="0" w:afterAutospacing="0"/>
              <w:jc w:val="center"/>
              <w:rPr>
                <w:b/>
                <w:i/>
              </w:rPr>
            </w:pPr>
            <w:r w:rsidRPr="003130B8">
              <w:rPr>
                <w:b/>
                <w:bCs/>
              </w:rPr>
              <w:t>IV. Tiesību akta projekta ietekme uz spēkā esošo tiesību normu sistēmu</w:t>
            </w:r>
          </w:p>
        </w:tc>
      </w:tr>
      <w:tr w:rsidRPr="003130B8" w:rsidR="0094189D" w:rsidTr="00B44E39" w14:paraId="2E80174D" w14:textId="77777777">
        <w:trPr>
          <w:trHeight w:val="361"/>
          <w:jc w:val="center"/>
        </w:trPr>
        <w:tc>
          <w:tcPr>
            <w:tcW w:w="9117" w:type="dxa"/>
            <w:vAlign w:val="center"/>
          </w:tcPr>
          <w:p w:rsidRPr="003130B8" w:rsidR="0094189D" w:rsidP="00B44E39" w:rsidRDefault="0094189D" w14:paraId="5AA2B17E" w14:textId="77777777">
            <w:pPr>
              <w:pStyle w:val="naisnod"/>
              <w:spacing w:before="0" w:beforeAutospacing="0" w:after="0" w:afterAutospacing="0"/>
              <w:jc w:val="center"/>
            </w:pPr>
            <w:r w:rsidRPr="003130B8">
              <w:rPr>
                <w:bCs/>
                <w:iCs/>
              </w:rPr>
              <w:t>Projekts šo jomu neskar</w:t>
            </w:r>
            <w:r w:rsidRPr="003130B8">
              <w:t>.</w:t>
            </w:r>
          </w:p>
        </w:tc>
      </w:tr>
    </w:tbl>
    <w:p w:rsidRPr="003130B8" w:rsidR="00763792" w:rsidP="00551A0F" w:rsidRDefault="00763792" w14:paraId="32F744C6" w14:textId="77777777"/>
    <w:tbl>
      <w:tblPr>
        <w:tblW w:w="5007" w:type="pct"/>
        <w:tblInd w:w="-3"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68"/>
      </w:tblGrid>
      <w:tr w:rsidRPr="003130B8" w:rsidR="00E023A2" w:rsidTr="00E023A2" w14:paraId="28D5E0D5" w14:textId="77777777">
        <w:trPr>
          <w:trHeight w:val="555"/>
        </w:trPr>
        <w:tc>
          <w:tcPr>
            <w:tcW w:w="5000" w:type="pct"/>
            <w:tcBorders>
              <w:top w:val="outset" w:color="414142" w:sz="6" w:space="0"/>
              <w:left w:val="outset" w:color="414142" w:sz="6" w:space="0"/>
              <w:bottom w:val="outset" w:color="414142" w:sz="6" w:space="0"/>
              <w:right w:val="outset" w:color="414142" w:sz="6" w:space="0"/>
            </w:tcBorders>
            <w:vAlign w:val="center"/>
            <w:hideMark/>
          </w:tcPr>
          <w:p w:rsidRPr="003130B8" w:rsidR="00E023A2" w:rsidRDefault="00E023A2" w14:paraId="797F6F18" w14:textId="77777777">
            <w:pPr>
              <w:spacing w:before="100" w:beforeAutospacing="1" w:after="100" w:afterAutospacing="1" w:line="293" w:lineRule="atLeast"/>
              <w:jc w:val="center"/>
              <w:rPr>
                <w:b/>
                <w:bCs/>
              </w:rPr>
            </w:pPr>
            <w:r w:rsidRPr="003130B8">
              <w:t> </w:t>
            </w:r>
            <w:r w:rsidRPr="003130B8">
              <w:rPr>
                <w:b/>
                <w:bCs/>
              </w:rPr>
              <w:t>V. Tiesību akta projekta atbilstība Latvijas Republikas starptautiskajām saistībām</w:t>
            </w:r>
          </w:p>
        </w:tc>
      </w:tr>
      <w:tr w:rsidRPr="003130B8" w:rsidR="00E023A2" w:rsidTr="00CD4F77" w14:paraId="3559AD39" w14:textId="77777777">
        <w:trPr>
          <w:trHeight w:val="206"/>
        </w:trPr>
        <w:tc>
          <w:tcPr>
            <w:tcW w:w="5000" w:type="pct"/>
            <w:tcBorders>
              <w:top w:val="outset" w:color="414142" w:sz="6" w:space="0"/>
              <w:left w:val="outset" w:color="414142" w:sz="6" w:space="0"/>
              <w:bottom w:val="outset" w:color="414142" w:sz="6" w:space="0"/>
              <w:right w:val="outset" w:color="414142" w:sz="6" w:space="0"/>
            </w:tcBorders>
            <w:hideMark/>
          </w:tcPr>
          <w:p w:rsidRPr="003130B8" w:rsidR="00E023A2" w:rsidRDefault="001211A0" w14:paraId="301F219F" w14:textId="46A45674">
            <w:pPr>
              <w:jc w:val="center"/>
            </w:pPr>
            <w:r w:rsidRPr="003130B8">
              <w:t>P</w:t>
            </w:r>
            <w:r w:rsidRPr="003130B8" w:rsidR="00E023A2">
              <w:t>rojekts šo jomu neskar.</w:t>
            </w:r>
          </w:p>
        </w:tc>
      </w:tr>
    </w:tbl>
    <w:p w:rsidRPr="003130B8" w:rsidR="003E5142" w:rsidP="003E5142" w:rsidRDefault="003E5142" w14:paraId="0100AC40" w14:textId="252F61C5"/>
    <w:tbl>
      <w:tblPr>
        <w:tblW w:w="91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9110"/>
      </w:tblGrid>
      <w:tr w:rsidRPr="003130B8" w:rsidR="00551A0F" w:rsidTr="00FB6748" w14:paraId="1BDEFF8B" w14:textId="77777777">
        <w:trPr>
          <w:trHeight w:val="327"/>
          <w:jc w:val="center"/>
        </w:trPr>
        <w:tc>
          <w:tcPr>
            <w:tcW w:w="9110" w:type="dxa"/>
            <w:vAlign w:val="center"/>
          </w:tcPr>
          <w:p w:rsidRPr="003130B8" w:rsidR="00551A0F" w:rsidP="00017065" w:rsidRDefault="00551A0F" w14:paraId="57D8310F" w14:textId="77777777">
            <w:pPr>
              <w:pStyle w:val="naisnod"/>
              <w:spacing w:before="0" w:beforeAutospacing="0" w:after="0" w:afterAutospacing="0"/>
              <w:ind w:left="57" w:right="57"/>
              <w:jc w:val="center"/>
            </w:pPr>
            <w:r w:rsidRPr="003130B8">
              <w:rPr>
                <w:b/>
              </w:rPr>
              <w:t>VI. Sabiedrības līdzdalība un komunikācijas aktivitātes</w:t>
            </w:r>
          </w:p>
        </w:tc>
      </w:tr>
      <w:tr w:rsidRPr="003130B8" w:rsidR="00BA0D43" w:rsidTr="00FB6748" w14:paraId="35C36421" w14:textId="77777777">
        <w:trPr>
          <w:trHeight w:val="319"/>
          <w:jc w:val="center"/>
        </w:trPr>
        <w:tc>
          <w:tcPr>
            <w:tcW w:w="9110" w:type="dxa"/>
            <w:vAlign w:val="center"/>
          </w:tcPr>
          <w:p w:rsidRPr="003130B8" w:rsidR="00BA0D43" w:rsidP="00017065" w:rsidRDefault="00BA0D43" w14:paraId="54FE2AF9" w14:textId="77777777">
            <w:pPr>
              <w:pStyle w:val="naisnod"/>
              <w:spacing w:before="0" w:beforeAutospacing="0" w:after="0" w:afterAutospacing="0"/>
              <w:ind w:left="57" w:right="57"/>
              <w:jc w:val="center"/>
              <w:rPr>
                <w:b/>
              </w:rPr>
            </w:pPr>
            <w:r w:rsidRPr="003130B8">
              <w:rPr>
                <w:bCs/>
                <w:iCs/>
              </w:rPr>
              <w:t>Projekts šo jomu neskar</w:t>
            </w:r>
            <w:r w:rsidRPr="003130B8">
              <w:t>.</w:t>
            </w:r>
          </w:p>
        </w:tc>
      </w:tr>
    </w:tbl>
    <w:p w:rsidRPr="003130B8" w:rsidR="009B59E5" w:rsidP="00551A0F" w:rsidRDefault="009B59E5" w14:paraId="3115DF54" w14:textId="77777777"/>
    <w:tbl>
      <w:tblPr>
        <w:tblW w:w="91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Look w:val="0000" w:firstRow="0" w:lastRow="0" w:firstColumn="0" w:lastColumn="0" w:noHBand="0" w:noVBand="0"/>
      </w:tblPr>
      <w:tblGrid>
        <w:gridCol w:w="486"/>
        <w:gridCol w:w="3656"/>
        <w:gridCol w:w="4990"/>
      </w:tblGrid>
      <w:tr w:rsidRPr="003130B8" w:rsidR="00551A0F" w:rsidTr="007002EC" w14:paraId="7ABF92FB" w14:textId="77777777">
        <w:trPr>
          <w:trHeight w:val="381"/>
          <w:jc w:val="center"/>
        </w:trPr>
        <w:tc>
          <w:tcPr>
            <w:tcW w:w="9132" w:type="dxa"/>
            <w:gridSpan w:val="3"/>
            <w:vAlign w:val="center"/>
          </w:tcPr>
          <w:p w:rsidRPr="003130B8" w:rsidR="00551A0F" w:rsidP="00017065" w:rsidRDefault="00551A0F" w14:paraId="27F19A77" w14:textId="77777777">
            <w:pPr>
              <w:pStyle w:val="naisnod"/>
              <w:spacing w:before="0" w:beforeAutospacing="0" w:after="0" w:afterAutospacing="0"/>
              <w:ind w:left="57" w:right="57"/>
              <w:jc w:val="center"/>
            </w:pPr>
            <w:r w:rsidRPr="003130B8">
              <w:rPr>
                <w:b/>
              </w:rPr>
              <w:t>VII. Tiesību akta projekta izpildes nodrošināšana un tās ietekme uz institūcijām</w:t>
            </w:r>
          </w:p>
        </w:tc>
      </w:tr>
      <w:tr w:rsidRPr="003130B8" w:rsidR="00551A0F" w:rsidTr="004E0B23" w14:paraId="0BC6F4B5" w14:textId="77777777">
        <w:trPr>
          <w:trHeight w:val="427"/>
          <w:jc w:val="center"/>
        </w:trPr>
        <w:tc>
          <w:tcPr>
            <w:tcW w:w="486" w:type="dxa"/>
          </w:tcPr>
          <w:p w:rsidRPr="003130B8" w:rsidR="00551A0F" w:rsidP="00017065" w:rsidRDefault="00551A0F" w14:paraId="22769987" w14:textId="77777777">
            <w:pPr>
              <w:pStyle w:val="naisnod"/>
              <w:spacing w:before="0" w:beforeAutospacing="0" w:after="0" w:afterAutospacing="0"/>
              <w:ind w:left="57" w:right="57"/>
              <w:jc w:val="both"/>
            </w:pPr>
            <w:r w:rsidRPr="003130B8">
              <w:t>1.</w:t>
            </w:r>
          </w:p>
        </w:tc>
        <w:tc>
          <w:tcPr>
            <w:tcW w:w="3656" w:type="dxa"/>
          </w:tcPr>
          <w:p w:rsidRPr="003130B8" w:rsidR="00551A0F" w:rsidP="00AF09E6" w:rsidRDefault="00551A0F" w14:paraId="3AEC8AB6" w14:textId="77777777">
            <w:pPr>
              <w:pStyle w:val="naisf"/>
              <w:spacing w:before="0" w:after="0"/>
              <w:ind w:left="57" w:right="57" w:firstLine="0"/>
            </w:pPr>
            <w:r w:rsidRPr="003130B8">
              <w:t>Projekta izpildē iesaistītās institūcijas</w:t>
            </w:r>
          </w:p>
        </w:tc>
        <w:tc>
          <w:tcPr>
            <w:tcW w:w="4990" w:type="dxa"/>
          </w:tcPr>
          <w:p w:rsidRPr="003130B8" w:rsidR="00631147" w:rsidP="00B3088C" w:rsidRDefault="001211A0" w14:paraId="22C8C8AA" w14:textId="465A4E82">
            <w:pPr>
              <w:ind w:left="57" w:right="57"/>
              <w:jc w:val="both"/>
            </w:pPr>
            <w:r w:rsidRPr="003130B8">
              <w:t>Satiksmes ministrija</w:t>
            </w:r>
            <w:r w:rsidRPr="003130B8" w:rsidR="0069095A">
              <w:t>,</w:t>
            </w:r>
            <w:r w:rsidRPr="003130B8" w:rsidR="00BD54C1">
              <w:t xml:space="preserve"> </w:t>
            </w:r>
            <w:r w:rsidRPr="003130B8">
              <w:t>Finanšu ministrija</w:t>
            </w:r>
            <w:r w:rsidRPr="003130B8" w:rsidR="00273B40">
              <w:t>.</w:t>
            </w:r>
          </w:p>
        </w:tc>
      </w:tr>
      <w:tr w:rsidRPr="003130B8" w:rsidR="00551A0F" w:rsidTr="00347938" w14:paraId="3B953242" w14:textId="77777777">
        <w:trPr>
          <w:trHeight w:val="463"/>
          <w:jc w:val="center"/>
        </w:trPr>
        <w:tc>
          <w:tcPr>
            <w:tcW w:w="486" w:type="dxa"/>
          </w:tcPr>
          <w:p w:rsidRPr="003130B8" w:rsidR="00551A0F" w:rsidP="00017065" w:rsidRDefault="00551A0F" w14:paraId="6AA67A26" w14:textId="77777777">
            <w:pPr>
              <w:pStyle w:val="naisnod"/>
              <w:spacing w:before="0" w:beforeAutospacing="0" w:after="0" w:afterAutospacing="0"/>
              <w:ind w:left="57" w:right="57"/>
              <w:jc w:val="both"/>
            </w:pPr>
            <w:r w:rsidRPr="003130B8">
              <w:t>2.</w:t>
            </w:r>
          </w:p>
        </w:tc>
        <w:tc>
          <w:tcPr>
            <w:tcW w:w="3656" w:type="dxa"/>
            <w:shd w:val="clear" w:color="auto" w:fill="auto"/>
          </w:tcPr>
          <w:p w:rsidRPr="003130B8" w:rsidR="00551A0F" w:rsidP="006A50EF" w:rsidRDefault="00551A0F" w14:paraId="0FA8FF11" w14:textId="77777777">
            <w:pPr>
              <w:pStyle w:val="naisf"/>
              <w:spacing w:before="0" w:after="0"/>
              <w:ind w:left="57" w:right="57" w:firstLine="0"/>
            </w:pPr>
            <w:r w:rsidRPr="003130B8">
              <w:t>Projekta izpildes ietekme uz pār</w:t>
            </w:r>
            <w:r w:rsidRPr="003130B8">
              <w:softHyphen/>
              <w:t>valdes funkcijām un institucionālo struktūru.</w:t>
            </w:r>
          </w:p>
          <w:p w:rsidRPr="003130B8" w:rsidR="00551A0F" w:rsidP="006A50EF" w:rsidRDefault="00551A0F" w14:paraId="614DDAEF" w14:textId="77777777">
            <w:pPr>
              <w:pStyle w:val="naisf"/>
              <w:spacing w:before="0" w:after="0"/>
              <w:ind w:left="57" w:right="57" w:firstLine="0"/>
            </w:pPr>
            <w:r w:rsidRPr="003130B8">
              <w:t>Jaunu institūciju izveide, esošu institūciju likvidācija vai reorga</w:t>
            </w:r>
            <w:r w:rsidRPr="003130B8">
              <w:softHyphen/>
              <w:t>nizācija, to ietekme uz institūcijas cilvēkresursiem</w:t>
            </w:r>
          </w:p>
        </w:tc>
        <w:tc>
          <w:tcPr>
            <w:tcW w:w="4990" w:type="dxa"/>
          </w:tcPr>
          <w:p w:rsidRPr="003130B8" w:rsidR="00B47DF7" w:rsidP="00017065" w:rsidRDefault="00B47DF7" w14:paraId="02D4DFAA" w14:textId="60871F2E">
            <w:pPr>
              <w:shd w:val="clear" w:color="auto" w:fill="FFFFFF"/>
              <w:jc w:val="both"/>
            </w:pPr>
            <w:r w:rsidRPr="003130B8">
              <w:t>Rīkojuma projekta īstenošana tiks veikta esošo valsts pārvaldes funkciju ietvaros, tā neietekmēs pārvaldes funkcijas vai institucionālo struktūru.</w:t>
            </w:r>
          </w:p>
        </w:tc>
      </w:tr>
      <w:tr w:rsidRPr="003130B8" w:rsidR="00551A0F" w:rsidTr="004E0B23" w14:paraId="02708715" w14:textId="77777777">
        <w:trPr>
          <w:trHeight w:val="237"/>
          <w:jc w:val="center"/>
        </w:trPr>
        <w:tc>
          <w:tcPr>
            <w:tcW w:w="486" w:type="dxa"/>
            <w:tcBorders>
              <w:top w:val="single" w:color="auto" w:sz="4" w:space="0"/>
              <w:left w:val="single" w:color="auto" w:sz="4" w:space="0"/>
              <w:bottom w:val="single" w:color="auto" w:sz="4" w:space="0"/>
              <w:right w:val="single" w:color="auto" w:sz="4" w:space="0"/>
            </w:tcBorders>
          </w:tcPr>
          <w:p w:rsidRPr="003130B8" w:rsidR="00551A0F" w:rsidP="00017065" w:rsidRDefault="00551A0F" w14:paraId="65B5DBFA" w14:textId="77777777">
            <w:pPr>
              <w:pStyle w:val="naisnod"/>
              <w:spacing w:before="0" w:beforeAutospacing="0" w:after="0" w:afterAutospacing="0"/>
              <w:ind w:left="57" w:right="57"/>
              <w:jc w:val="both"/>
            </w:pPr>
            <w:r w:rsidRPr="003130B8">
              <w:t>3.</w:t>
            </w:r>
          </w:p>
        </w:tc>
        <w:tc>
          <w:tcPr>
            <w:tcW w:w="3656" w:type="dxa"/>
            <w:tcBorders>
              <w:top w:val="single" w:color="auto" w:sz="4" w:space="0"/>
              <w:left w:val="single" w:color="auto" w:sz="4" w:space="0"/>
              <w:bottom w:val="single" w:color="auto" w:sz="4" w:space="0"/>
              <w:right w:val="single" w:color="auto" w:sz="4" w:space="0"/>
            </w:tcBorders>
          </w:tcPr>
          <w:p w:rsidRPr="003130B8" w:rsidR="00551A0F" w:rsidP="00C850AB" w:rsidRDefault="00AF09E6" w14:paraId="0CC4FA0A" w14:textId="77777777">
            <w:pPr>
              <w:pStyle w:val="naisf"/>
              <w:spacing w:before="0" w:after="0"/>
              <w:ind w:firstLine="0"/>
            </w:pPr>
            <w:r w:rsidRPr="003130B8">
              <w:t xml:space="preserve"> </w:t>
            </w:r>
            <w:r w:rsidRPr="003130B8" w:rsidR="00551A0F">
              <w:t>Cita informācija</w:t>
            </w:r>
          </w:p>
        </w:tc>
        <w:tc>
          <w:tcPr>
            <w:tcW w:w="4990" w:type="dxa"/>
            <w:tcBorders>
              <w:top w:val="single" w:color="auto" w:sz="4" w:space="0"/>
              <w:left w:val="single" w:color="auto" w:sz="4" w:space="0"/>
              <w:bottom w:val="single" w:color="auto" w:sz="4" w:space="0"/>
              <w:right w:val="single" w:color="auto" w:sz="4" w:space="0"/>
            </w:tcBorders>
          </w:tcPr>
          <w:p w:rsidRPr="003130B8" w:rsidR="00551A0F" w:rsidP="00C850AB" w:rsidRDefault="00551A0F" w14:paraId="7BB8FA8A" w14:textId="77777777">
            <w:pPr>
              <w:ind w:left="57"/>
              <w:jc w:val="both"/>
            </w:pPr>
            <w:r w:rsidRPr="003130B8">
              <w:t>Na</w:t>
            </w:r>
            <w:r w:rsidRPr="003130B8" w:rsidR="006A50EF">
              <w:t>v.</w:t>
            </w:r>
          </w:p>
        </w:tc>
      </w:tr>
    </w:tbl>
    <w:p w:rsidRPr="003130B8" w:rsidR="00AB19B6" w:rsidP="001B5229" w:rsidRDefault="00AB19B6" w14:paraId="01D6E86F" w14:textId="77777777">
      <w:pPr>
        <w:ind w:firstLine="720"/>
      </w:pPr>
    </w:p>
    <w:p w:rsidRPr="003130B8" w:rsidR="001B5229" w:rsidP="001B5229" w:rsidRDefault="001B5229" w14:paraId="2C9FA06D" w14:textId="20C7615F">
      <w:pPr>
        <w:ind w:firstLine="720"/>
      </w:pPr>
      <w:r w:rsidRPr="003130B8">
        <w:t>Satiksmes ministrs</w:t>
      </w:r>
      <w:r w:rsidRPr="003130B8">
        <w:tab/>
      </w:r>
      <w:r w:rsidRPr="003130B8">
        <w:tab/>
      </w:r>
      <w:r w:rsidRPr="003130B8">
        <w:tab/>
      </w:r>
      <w:r w:rsidRPr="003130B8">
        <w:tab/>
      </w:r>
      <w:r w:rsidRPr="003130B8">
        <w:tab/>
      </w:r>
      <w:r w:rsidRPr="003130B8">
        <w:tab/>
      </w:r>
      <w:r w:rsidRPr="003130B8" w:rsidR="00EE39A4">
        <w:tab/>
      </w:r>
      <w:r w:rsidRPr="003130B8">
        <w:t>T.</w:t>
      </w:r>
      <w:r w:rsidRPr="003130B8" w:rsidR="001211A0">
        <w:t xml:space="preserve"> </w:t>
      </w:r>
      <w:r w:rsidRPr="003130B8">
        <w:t>Linkaits</w:t>
      </w:r>
    </w:p>
    <w:p w:rsidRPr="003130B8" w:rsidR="00AB19B6" w:rsidP="001B5229" w:rsidRDefault="00AB19B6" w14:paraId="073B5D03" w14:textId="77777777">
      <w:pPr>
        <w:ind w:firstLine="720"/>
      </w:pPr>
    </w:p>
    <w:p w:rsidRPr="003130B8" w:rsidR="001B5229" w:rsidP="00B82395" w:rsidRDefault="001B5229" w14:paraId="0B6BE801" w14:textId="0ECA485D">
      <w:pPr>
        <w:ind w:firstLine="720"/>
      </w:pPr>
      <w:r w:rsidRPr="003130B8">
        <w:t>Vīza:</w:t>
      </w:r>
      <w:r w:rsidRPr="003130B8" w:rsidR="00EE39A4">
        <w:t xml:space="preserve"> </w:t>
      </w:r>
      <w:r w:rsidRPr="003130B8">
        <w:t>valsts sekretār</w:t>
      </w:r>
      <w:r w:rsidR="00B82395">
        <w:t>e</w:t>
      </w:r>
      <w:r w:rsidR="00B82395">
        <w:tab/>
      </w:r>
      <w:r w:rsidRPr="003130B8">
        <w:tab/>
      </w:r>
      <w:r w:rsidRPr="003130B8">
        <w:tab/>
      </w:r>
      <w:r w:rsidRPr="003130B8">
        <w:tab/>
      </w:r>
      <w:r w:rsidR="00B50F84">
        <w:tab/>
      </w:r>
      <w:r w:rsidR="00B50F84">
        <w:tab/>
      </w:r>
      <w:r w:rsidR="00B50F84">
        <w:tab/>
      </w:r>
      <w:r w:rsidR="00B82395">
        <w:t>I</w:t>
      </w:r>
      <w:r w:rsidRPr="003130B8" w:rsidR="001211A0">
        <w:t xml:space="preserve">. </w:t>
      </w:r>
      <w:r w:rsidR="00B82395">
        <w:t>Stepanova</w:t>
      </w:r>
    </w:p>
    <w:p w:rsidRPr="003130B8" w:rsidR="00854657" w:rsidP="00347938" w:rsidRDefault="00854657" w14:paraId="268CF785" w14:textId="77777777">
      <w:pPr>
        <w:jc w:val="both"/>
        <w:rPr>
          <w:sz w:val="20"/>
          <w:lang w:val="de-DE"/>
        </w:rPr>
      </w:pPr>
    </w:p>
    <w:p w:rsidRPr="003130B8" w:rsidR="00A07C74" w:rsidP="00347938" w:rsidRDefault="008E0AEE" w14:paraId="69276BBE" w14:textId="7902BCD0">
      <w:pPr>
        <w:jc w:val="both"/>
        <w:rPr>
          <w:sz w:val="20"/>
          <w:lang w:val="de-DE"/>
        </w:rPr>
      </w:pPr>
      <w:r w:rsidRPr="003130B8">
        <w:rPr>
          <w:sz w:val="20"/>
          <w:lang w:val="de-DE"/>
        </w:rPr>
        <w:t>K.Eņģelis</w:t>
      </w:r>
      <w:r w:rsidRPr="003130B8" w:rsidR="00A07C74">
        <w:rPr>
          <w:sz w:val="20"/>
          <w:lang w:val="de-DE"/>
        </w:rPr>
        <w:t>, 67028</w:t>
      </w:r>
      <w:r w:rsidRPr="003130B8">
        <w:rPr>
          <w:sz w:val="20"/>
          <w:lang w:val="de-DE"/>
        </w:rPr>
        <w:t>229</w:t>
      </w:r>
    </w:p>
    <w:p w:rsidR="006E267F" w:rsidP="00F851B4" w:rsidRDefault="001C70C3" w14:paraId="7C96A7CE" w14:textId="6CAB9B6A">
      <w:pPr>
        <w:jc w:val="both"/>
        <w:rPr>
          <w:rStyle w:val="Hyperlink"/>
          <w:sz w:val="20"/>
          <w:lang w:val="de-DE"/>
        </w:rPr>
      </w:pPr>
      <w:hyperlink w:history="1" r:id="rId11">
        <w:r w:rsidRPr="003130B8" w:rsidR="00F13374">
          <w:rPr>
            <w:rStyle w:val="Hyperlink"/>
            <w:sz w:val="20"/>
            <w:lang w:val="de-DE"/>
          </w:rPr>
          <w:t>Karlis.Engelis@sam.gov.lv</w:t>
        </w:r>
      </w:hyperlink>
    </w:p>
    <w:sectPr w:rsidR="006E267F" w:rsidSect="00C17976">
      <w:headerReference w:type="even" r:id="rId12"/>
      <w:headerReference w:type="default" r:id="rId13"/>
      <w:footerReference w:type="default" r:id="rId14"/>
      <w:footerReference w:type="first" r:id="rId15"/>
      <w:pgSz w:w="11906" w:h="16838" w:code="9"/>
      <w:pgMar w:top="1418" w:right="1134" w:bottom="709" w:left="1701" w:header="709" w:footer="10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CB6E0" w14:textId="77777777" w:rsidR="001C70C3" w:rsidRDefault="001C70C3">
      <w:r>
        <w:separator/>
      </w:r>
    </w:p>
  </w:endnote>
  <w:endnote w:type="continuationSeparator" w:id="0">
    <w:p w14:paraId="15692349" w14:textId="77777777" w:rsidR="001C70C3" w:rsidRDefault="001C7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EUAlbertina">
    <w:altName w:val="Calibri"/>
    <w:panose1 w:val="00000000000000000000"/>
    <w:charset w:val="00"/>
    <w:family w:val="roman"/>
    <w:notTrueType/>
    <w:pitch w:val="default"/>
    <w:sig w:usb0="00000001"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DB2E" w14:textId="68AE3DEA" w:rsidR="00305CB7" w:rsidRPr="00FF654F" w:rsidRDefault="00FF654F" w:rsidP="00B82395">
    <w:pPr>
      <w:pStyle w:val="Footer"/>
      <w:tabs>
        <w:tab w:val="left" w:pos="2835"/>
      </w:tabs>
    </w:pPr>
    <w:r>
      <w:rPr>
        <w:sz w:val="20"/>
        <w:szCs w:val="20"/>
      </w:rPr>
      <w:fldChar w:fldCharType="begin"/>
    </w:r>
    <w:r>
      <w:rPr>
        <w:sz w:val="20"/>
        <w:szCs w:val="20"/>
      </w:rPr>
      <w:instrText xml:space="preserve"> FILENAME \* MERGEFORMAT </w:instrText>
    </w:r>
    <w:r>
      <w:rPr>
        <w:sz w:val="20"/>
        <w:szCs w:val="20"/>
      </w:rPr>
      <w:fldChar w:fldCharType="separate"/>
    </w:r>
    <w:r w:rsidR="00E452C5">
      <w:rPr>
        <w:noProof/>
        <w:sz w:val="20"/>
        <w:szCs w:val="20"/>
      </w:rPr>
      <w:t>SManot_080421_RBapsaimn</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48342" w14:textId="354D9584" w:rsidR="00305CB7" w:rsidRPr="00FF654F" w:rsidRDefault="00FF654F" w:rsidP="00FF654F">
    <w:pPr>
      <w:pStyle w:val="Footer"/>
    </w:pPr>
    <w:r>
      <w:rPr>
        <w:sz w:val="20"/>
        <w:szCs w:val="20"/>
      </w:rPr>
      <w:fldChar w:fldCharType="begin"/>
    </w:r>
    <w:r>
      <w:rPr>
        <w:sz w:val="20"/>
        <w:szCs w:val="20"/>
      </w:rPr>
      <w:instrText xml:space="preserve"> FILENAME \* MERGEFORMAT </w:instrText>
    </w:r>
    <w:r>
      <w:rPr>
        <w:sz w:val="20"/>
        <w:szCs w:val="20"/>
      </w:rPr>
      <w:fldChar w:fldCharType="separate"/>
    </w:r>
    <w:r w:rsidR="00E452C5">
      <w:rPr>
        <w:noProof/>
        <w:sz w:val="20"/>
        <w:szCs w:val="20"/>
      </w:rPr>
      <w:t>SManot_080421_RBapsaimn</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2F009" w14:textId="77777777" w:rsidR="001C70C3" w:rsidRDefault="001C70C3">
      <w:r>
        <w:separator/>
      </w:r>
    </w:p>
  </w:footnote>
  <w:footnote w:type="continuationSeparator" w:id="0">
    <w:p w14:paraId="412A87C7" w14:textId="77777777" w:rsidR="001C70C3" w:rsidRDefault="001C70C3">
      <w:r>
        <w:continuationSeparator/>
      </w:r>
    </w:p>
  </w:footnote>
  <w:footnote w:id="1">
    <w:p w14:paraId="463912CC" w14:textId="77777777" w:rsidR="00305CB7" w:rsidRPr="002C1DC0" w:rsidRDefault="00305CB7" w:rsidP="00684B58">
      <w:pPr>
        <w:pStyle w:val="FootnoteText"/>
      </w:pPr>
      <w:r w:rsidRPr="00A53BC8">
        <w:rPr>
          <w:rStyle w:val="FootnoteReference"/>
        </w:rPr>
        <w:footnoteRef/>
      </w:r>
      <w:r w:rsidRPr="00A53BC8">
        <w:t xml:space="preserve"> </w:t>
      </w:r>
      <w:r w:rsidRPr="006A1C19">
        <w:rPr>
          <w:lang w:eastAsia="en-US"/>
        </w:rPr>
        <w:t xml:space="preserve">Ministru kabineta 2020.gada 27.augusta rīkojums Nr. 478 (prot. </w:t>
      </w:r>
      <w:proofErr w:type="spellStart"/>
      <w:r w:rsidRPr="006A1C19">
        <w:rPr>
          <w:lang w:eastAsia="en-US"/>
        </w:rPr>
        <w:t>Mr</w:t>
      </w:r>
      <w:proofErr w:type="spellEnd"/>
      <w:r w:rsidRPr="006A1C19">
        <w:rPr>
          <w:lang w:eastAsia="en-US"/>
        </w:rPr>
        <w:t>. 47 79</w:t>
      </w:r>
      <w:r w:rsidRPr="006A1C19">
        <w:rPr>
          <w:rFonts w:cs="Calibri"/>
          <w:lang w:eastAsia="en-US"/>
        </w:rPr>
        <w:t>§</w:t>
      </w:r>
      <w:r w:rsidRPr="006A1C19">
        <w:rPr>
          <w:lang w:eastAsia="en-US"/>
        </w:rPr>
        <w:t>)</w:t>
      </w:r>
      <w:r w:rsidRPr="00A53BC8">
        <w:rPr>
          <w:lang w:eastAsia="en-US"/>
        </w:rPr>
        <w:t>.</w:t>
      </w:r>
    </w:p>
  </w:footnote>
  <w:footnote w:id="2">
    <w:p w14:paraId="2DFCBC3F" w14:textId="3D322AAB" w:rsidR="00305CB7" w:rsidRDefault="00305CB7">
      <w:pPr>
        <w:pStyle w:val="FootnoteText"/>
      </w:pPr>
      <w:r>
        <w:rPr>
          <w:rStyle w:val="FootnoteReference"/>
        </w:rPr>
        <w:t>*</w:t>
      </w:r>
      <w:r>
        <w:t xml:space="preserve"> </w:t>
      </w:r>
      <w:r>
        <w:t xml:space="preserve">aprēķinot izmaksas </w:t>
      </w:r>
      <w:proofErr w:type="spellStart"/>
      <w:r w:rsidRPr="00921B43">
        <w:rPr>
          <w:i/>
          <w:iCs/>
        </w:rPr>
        <w:t>euro</w:t>
      </w:r>
      <w:proofErr w:type="spellEnd"/>
      <w:r>
        <w:t>, tika ņemts vērā katra īpašuma plānotais pārņemšanas laiks, gada ietvaros plānotais apsaimniekošanas sākuma brīdis katram īpašumam ir atšķirīgs.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5CB7" w:rsidP="00923014" w:rsidRDefault="00305CB7" w14:paraId="150B7D67"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05CB7" w:rsidRDefault="00305CB7" w14:paraId="74D69C4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5CB7" w:rsidP="00923014" w:rsidRDefault="00305CB7" w14:paraId="26A80ACE" w14:textId="11F9DF2A">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54C6">
      <w:rPr>
        <w:rStyle w:val="PageNumber"/>
        <w:noProof/>
      </w:rPr>
      <w:t>1</w:t>
    </w:r>
    <w:r w:rsidR="000E54C6">
      <w:rPr>
        <w:rStyle w:val="PageNumber"/>
        <w:noProof/>
      </w:rPr>
      <w:t>1</w:t>
    </w:r>
    <w:r>
      <w:rPr>
        <w:rStyle w:val="PageNumber"/>
      </w:rPr>
      <w:fldChar w:fldCharType="end"/>
    </w:r>
  </w:p>
  <w:p w:rsidR="00305CB7" w:rsidRDefault="00305CB7" w14:paraId="17B35B5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F79D1"/>
    <w:multiLevelType w:val="hybridMultilevel"/>
    <w:tmpl w:val="798695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418"/>
    <w:rsid w:val="00000AA4"/>
    <w:rsid w:val="000132F1"/>
    <w:rsid w:val="00015AD0"/>
    <w:rsid w:val="00017065"/>
    <w:rsid w:val="0002249F"/>
    <w:rsid w:val="00027341"/>
    <w:rsid w:val="000312F0"/>
    <w:rsid w:val="00031E8A"/>
    <w:rsid w:val="0003249F"/>
    <w:rsid w:val="00035B6C"/>
    <w:rsid w:val="000409DB"/>
    <w:rsid w:val="00040BE5"/>
    <w:rsid w:val="000429A5"/>
    <w:rsid w:val="00042C6C"/>
    <w:rsid w:val="00045A51"/>
    <w:rsid w:val="00046659"/>
    <w:rsid w:val="000466C5"/>
    <w:rsid w:val="00050D3F"/>
    <w:rsid w:val="000514E7"/>
    <w:rsid w:val="00052904"/>
    <w:rsid w:val="00053AE9"/>
    <w:rsid w:val="00053CCF"/>
    <w:rsid w:val="000565F6"/>
    <w:rsid w:val="00057391"/>
    <w:rsid w:val="000603F5"/>
    <w:rsid w:val="00065350"/>
    <w:rsid w:val="00066421"/>
    <w:rsid w:val="00070E41"/>
    <w:rsid w:val="000712B7"/>
    <w:rsid w:val="0007497A"/>
    <w:rsid w:val="000749F7"/>
    <w:rsid w:val="00080FFA"/>
    <w:rsid w:val="00086521"/>
    <w:rsid w:val="00087A5F"/>
    <w:rsid w:val="00087FD6"/>
    <w:rsid w:val="000975B2"/>
    <w:rsid w:val="000A1525"/>
    <w:rsid w:val="000A2EAE"/>
    <w:rsid w:val="000A3396"/>
    <w:rsid w:val="000A34E3"/>
    <w:rsid w:val="000A5FD7"/>
    <w:rsid w:val="000A72E6"/>
    <w:rsid w:val="000B01AB"/>
    <w:rsid w:val="000B028F"/>
    <w:rsid w:val="000B2A2A"/>
    <w:rsid w:val="000B3134"/>
    <w:rsid w:val="000B778A"/>
    <w:rsid w:val="000B7961"/>
    <w:rsid w:val="000C2864"/>
    <w:rsid w:val="000C64FE"/>
    <w:rsid w:val="000D1545"/>
    <w:rsid w:val="000D2A5E"/>
    <w:rsid w:val="000D63BB"/>
    <w:rsid w:val="000D7170"/>
    <w:rsid w:val="000E5417"/>
    <w:rsid w:val="000E54C6"/>
    <w:rsid w:val="000E7007"/>
    <w:rsid w:val="000F3EB5"/>
    <w:rsid w:val="000F5E68"/>
    <w:rsid w:val="001022DC"/>
    <w:rsid w:val="0010357C"/>
    <w:rsid w:val="00107E62"/>
    <w:rsid w:val="00112AE1"/>
    <w:rsid w:val="00114403"/>
    <w:rsid w:val="00116EAB"/>
    <w:rsid w:val="00117A0D"/>
    <w:rsid w:val="001211A0"/>
    <w:rsid w:val="001312FB"/>
    <w:rsid w:val="00133FA8"/>
    <w:rsid w:val="00140160"/>
    <w:rsid w:val="0014638F"/>
    <w:rsid w:val="00147D99"/>
    <w:rsid w:val="00151ADB"/>
    <w:rsid w:val="0015266D"/>
    <w:rsid w:val="0015310B"/>
    <w:rsid w:val="001600F8"/>
    <w:rsid w:val="0016067D"/>
    <w:rsid w:val="00160B2B"/>
    <w:rsid w:val="00164155"/>
    <w:rsid w:val="00174BC5"/>
    <w:rsid w:val="00185139"/>
    <w:rsid w:val="0019314F"/>
    <w:rsid w:val="00193B74"/>
    <w:rsid w:val="00193B8F"/>
    <w:rsid w:val="00194D1F"/>
    <w:rsid w:val="001953C4"/>
    <w:rsid w:val="001958CA"/>
    <w:rsid w:val="001A165C"/>
    <w:rsid w:val="001A1D4D"/>
    <w:rsid w:val="001A3C15"/>
    <w:rsid w:val="001A5BBD"/>
    <w:rsid w:val="001B1CF9"/>
    <w:rsid w:val="001B237C"/>
    <w:rsid w:val="001B26EA"/>
    <w:rsid w:val="001B2982"/>
    <w:rsid w:val="001B3877"/>
    <w:rsid w:val="001B5229"/>
    <w:rsid w:val="001B7B2D"/>
    <w:rsid w:val="001C3289"/>
    <w:rsid w:val="001C596E"/>
    <w:rsid w:val="001C6964"/>
    <w:rsid w:val="001C70C3"/>
    <w:rsid w:val="001D1FD8"/>
    <w:rsid w:val="001D2F0A"/>
    <w:rsid w:val="001D5705"/>
    <w:rsid w:val="001E055A"/>
    <w:rsid w:val="001E0E83"/>
    <w:rsid w:val="001E23F3"/>
    <w:rsid w:val="001F5EC9"/>
    <w:rsid w:val="002015B1"/>
    <w:rsid w:val="00203633"/>
    <w:rsid w:val="00210E7D"/>
    <w:rsid w:val="00211ACB"/>
    <w:rsid w:val="00214104"/>
    <w:rsid w:val="00214A64"/>
    <w:rsid w:val="00217FDF"/>
    <w:rsid w:val="00222ECE"/>
    <w:rsid w:val="00224145"/>
    <w:rsid w:val="002259BB"/>
    <w:rsid w:val="00226C79"/>
    <w:rsid w:val="0023107E"/>
    <w:rsid w:val="0023642E"/>
    <w:rsid w:val="00241744"/>
    <w:rsid w:val="00242C7F"/>
    <w:rsid w:val="00243F3F"/>
    <w:rsid w:val="002445E7"/>
    <w:rsid w:val="00247377"/>
    <w:rsid w:val="0025232A"/>
    <w:rsid w:val="0025257D"/>
    <w:rsid w:val="0025260A"/>
    <w:rsid w:val="002570B6"/>
    <w:rsid w:val="00261F58"/>
    <w:rsid w:val="00263389"/>
    <w:rsid w:val="0026408B"/>
    <w:rsid w:val="0026418D"/>
    <w:rsid w:val="0026449F"/>
    <w:rsid w:val="00265EEE"/>
    <w:rsid w:val="00266533"/>
    <w:rsid w:val="00266CCF"/>
    <w:rsid w:val="00267545"/>
    <w:rsid w:val="00270B21"/>
    <w:rsid w:val="00271275"/>
    <w:rsid w:val="00273B40"/>
    <w:rsid w:val="0027620C"/>
    <w:rsid w:val="00280AFA"/>
    <w:rsid w:val="002810EE"/>
    <w:rsid w:val="002818AA"/>
    <w:rsid w:val="00283081"/>
    <w:rsid w:val="0028450A"/>
    <w:rsid w:val="002847B9"/>
    <w:rsid w:val="00284F1A"/>
    <w:rsid w:val="00290E23"/>
    <w:rsid w:val="00292D49"/>
    <w:rsid w:val="00296A16"/>
    <w:rsid w:val="002A5686"/>
    <w:rsid w:val="002A6CB2"/>
    <w:rsid w:val="002B340B"/>
    <w:rsid w:val="002B3937"/>
    <w:rsid w:val="002B5B08"/>
    <w:rsid w:val="002B6D79"/>
    <w:rsid w:val="002B7909"/>
    <w:rsid w:val="002C12B2"/>
    <w:rsid w:val="002C19C8"/>
    <w:rsid w:val="002C19D9"/>
    <w:rsid w:val="002C415F"/>
    <w:rsid w:val="002C67DB"/>
    <w:rsid w:val="002C6966"/>
    <w:rsid w:val="002C6C9D"/>
    <w:rsid w:val="002D084B"/>
    <w:rsid w:val="002D0BBC"/>
    <w:rsid w:val="002D769F"/>
    <w:rsid w:val="002E33F0"/>
    <w:rsid w:val="002E368A"/>
    <w:rsid w:val="002F3244"/>
    <w:rsid w:val="002F610A"/>
    <w:rsid w:val="002F65C2"/>
    <w:rsid w:val="002F7C9B"/>
    <w:rsid w:val="00301F99"/>
    <w:rsid w:val="003041A8"/>
    <w:rsid w:val="00305CB7"/>
    <w:rsid w:val="003067D0"/>
    <w:rsid w:val="00307BB2"/>
    <w:rsid w:val="00311E42"/>
    <w:rsid w:val="003130B8"/>
    <w:rsid w:val="00314ABD"/>
    <w:rsid w:val="00317066"/>
    <w:rsid w:val="0031789E"/>
    <w:rsid w:val="00320CA4"/>
    <w:rsid w:val="00325236"/>
    <w:rsid w:val="00330685"/>
    <w:rsid w:val="00337D02"/>
    <w:rsid w:val="00347938"/>
    <w:rsid w:val="0035252E"/>
    <w:rsid w:val="00357554"/>
    <w:rsid w:val="0036265B"/>
    <w:rsid w:val="00362E1D"/>
    <w:rsid w:val="003636F7"/>
    <w:rsid w:val="00364987"/>
    <w:rsid w:val="00365259"/>
    <w:rsid w:val="00375645"/>
    <w:rsid w:val="0037640E"/>
    <w:rsid w:val="00376DA9"/>
    <w:rsid w:val="003778DC"/>
    <w:rsid w:val="0038036C"/>
    <w:rsid w:val="0038210A"/>
    <w:rsid w:val="00385F5D"/>
    <w:rsid w:val="0038603E"/>
    <w:rsid w:val="003924BF"/>
    <w:rsid w:val="00393273"/>
    <w:rsid w:val="00396753"/>
    <w:rsid w:val="003B2A56"/>
    <w:rsid w:val="003C0601"/>
    <w:rsid w:val="003C167D"/>
    <w:rsid w:val="003C2C23"/>
    <w:rsid w:val="003C30F8"/>
    <w:rsid w:val="003C451C"/>
    <w:rsid w:val="003C48C0"/>
    <w:rsid w:val="003D09CC"/>
    <w:rsid w:val="003D0CD2"/>
    <w:rsid w:val="003D49CF"/>
    <w:rsid w:val="003D5AD0"/>
    <w:rsid w:val="003E1559"/>
    <w:rsid w:val="003E3815"/>
    <w:rsid w:val="003E44EF"/>
    <w:rsid w:val="003E5142"/>
    <w:rsid w:val="003E72CB"/>
    <w:rsid w:val="003F71ED"/>
    <w:rsid w:val="00400BC0"/>
    <w:rsid w:val="00400CFC"/>
    <w:rsid w:val="00402252"/>
    <w:rsid w:val="00402281"/>
    <w:rsid w:val="004106E9"/>
    <w:rsid w:val="00416CBD"/>
    <w:rsid w:val="004216B6"/>
    <w:rsid w:val="00421D08"/>
    <w:rsid w:val="0042239C"/>
    <w:rsid w:val="004230A1"/>
    <w:rsid w:val="00424A68"/>
    <w:rsid w:val="00425364"/>
    <w:rsid w:val="0042548E"/>
    <w:rsid w:val="00425DD9"/>
    <w:rsid w:val="00425EE4"/>
    <w:rsid w:val="00426252"/>
    <w:rsid w:val="00441797"/>
    <w:rsid w:val="004428F2"/>
    <w:rsid w:val="00442D77"/>
    <w:rsid w:val="004430B0"/>
    <w:rsid w:val="00444193"/>
    <w:rsid w:val="00450B1F"/>
    <w:rsid w:val="004512FC"/>
    <w:rsid w:val="00452204"/>
    <w:rsid w:val="0045278C"/>
    <w:rsid w:val="00454D95"/>
    <w:rsid w:val="0045639F"/>
    <w:rsid w:val="004564E0"/>
    <w:rsid w:val="0046534C"/>
    <w:rsid w:val="00466E4B"/>
    <w:rsid w:val="00467953"/>
    <w:rsid w:val="00471595"/>
    <w:rsid w:val="00471FE3"/>
    <w:rsid w:val="00472011"/>
    <w:rsid w:val="004756DF"/>
    <w:rsid w:val="0047697A"/>
    <w:rsid w:val="00477167"/>
    <w:rsid w:val="00482BB3"/>
    <w:rsid w:val="00483171"/>
    <w:rsid w:val="00490452"/>
    <w:rsid w:val="004908C3"/>
    <w:rsid w:val="004916A5"/>
    <w:rsid w:val="004923A2"/>
    <w:rsid w:val="00493E2A"/>
    <w:rsid w:val="00495C87"/>
    <w:rsid w:val="004A1CE1"/>
    <w:rsid w:val="004A3AE0"/>
    <w:rsid w:val="004A6913"/>
    <w:rsid w:val="004B1EA5"/>
    <w:rsid w:val="004B364B"/>
    <w:rsid w:val="004B4548"/>
    <w:rsid w:val="004B479B"/>
    <w:rsid w:val="004C19BE"/>
    <w:rsid w:val="004C1B5F"/>
    <w:rsid w:val="004C2CE9"/>
    <w:rsid w:val="004C5E98"/>
    <w:rsid w:val="004C635C"/>
    <w:rsid w:val="004C6C3B"/>
    <w:rsid w:val="004C7072"/>
    <w:rsid w:val="004D30EC"/>
    <w:rsid w:val="004D4D35"/>
    <w:rsid w:val="004D7731"/>
    <w:rsid w:val="004E0B23"/>
    <w:rsid w:val="004E1330"/>
    <w:rsid w:val="004F1CD7"/>
    <w:rsid w:val="004F2306"/>
    <w:rsid w:val="004F3EB1"/>
    <w:rsid w:val="004F4A0D"/>
    <w:rsid w:val="004F76A6"/>
    <w:rsid w:val="005018F5"/>
    <w:rsid w:val="00502B25"/>
    <w:rsid w:val="00503D5D"/>
    <w:rsid w:val="00507027"/>
    <w:rsid w:val="0051099C"/>
    <w:rsid w:val="00510B6B"/>
    <w:rsid w:val="00511031"/>
    <w:rsid w:val="00512CF6"/>
    <w:rsid w:val="0051479E"/>
    <w:rsid w:val="0051668E"/>
    <w:rsid w:val="00521778"/>
    <w:rsid w:val="00522419"/>
    <w:rsid w:val="00522D7E"/>
    <w:rsid w:val="00524A7C"/>
    <w:rsid w:val="00525089"/>
    <w:rsid w:val="005262C6"/>
    <w:rsid w:val="00526336"/>
    <w:rsid w:val="00530101"/>
    <w:rsid w:val="00534552"/>
    <w:rsid w:val="00542AA6"/>
    <w:rsid w:val="00543B30"/>
    <w:rsid w:val="005504E9"/>
    <w:rsid w:val="00551A0F"/>
    <w:rsid w:val="00552DA9"/>
    <w:rsid w:val="005562C2"/>
    <w:rsid w:val="00556E46"/>
    <w:rsid w:val="00561492"/>
    <w:rsid w:val="0056266A"/>
    <w:rsid w:val="005663AE"/>
    <w:rsid w:val="005679B3"/>
    <w:rsid w:val="00573D71"/>
    <w:rsid w:val="005811B5"/>
    <w:rsid w:val="00584DFC"/>
    <w:rsid w:val="00587798"/>
    <w:rsid w:val="00587CE3"/>
    <w:rsid w:val="00590AAF"/>
    <w:rsid w:val="005A01E7"/>
    <w:rsid w:val="005A0432"/>
    <w:rsid w:val="005A2218"/>
    <w:rsid w:val="005A3F97"/>
    <w:rsid w:val="005A451C"/>
    <w:rsid w:val="005A4FE6"/>
    <w:rsid w:val="005B129B"/>
    <w:rsid w:val="005B205D"/>
    <w:rsid w:val="005B20D1"/>
    <w:rsid w:val="005B3F46"/>
    <w:rsid w:val="005C5307"/>
    <w:rsid w:val="005D16E8"/>
    <w:rsid w:val="005D488E"/>
    <w:rsid w:val="005D608A"/>
    <w:rsid w:val="005D73F7"/>
    <w:rsid w:val="005D7798"/>
    <w:rsid w:val="005F03E0"/>
    <w:rsid w:val="005F0B88"/>
    <w:rsid w:val="005F0E10"/>
    <w:rsid w:val="005F46AC"/>
    <w:rsid w:val="005F5E0A"/>
    <w:rsid w:val="005F73D4"/>
    <w:rsid w:val="00604921"/>
    <w:rsid w:val="00605958"/>
    <w:rsid w:val="00607541"/>
    <w:rsid w:val="006243B1"/>
    <w:rsid w:val="00624D16"/>
    <w:rsid w:val="006305C7"/>
    <w:rsid w:val="00631147"/>
    <w:rsid w:val="00631A0D"/>
    <w:rsid w:val="006329CD"/>
    <w:rsid w:val="00632D7C"/>
    <w:rsid w:val="006349E0"/>
    <w:rsid w:val="0063684F"/>
    <w:rsid w:val="00640C53"/>
    <w:rsid w:val="006428E8"/>
    <w:rsid w:val="00647EB4"/>
    <w:rsid w:val="006530FD"/>
    <w:rsid w:val="00654A9C"/>
    <w:rsid w:val="00655AC1"/>
    <w:rsid w:val="006651BC"/>
    <w:rsid w:val="00665649"/>
    <w:rsid w:val="00666871"/>
    <w:rsid w:val="00667EA9"/>
    <w:rsid w:val="00673BF6"/>
    <w:rsid w:val="00681277"/>
    <w:rsid w:val="006814EF"/>
    <w:rsid w:val="006817DF"/>
    <w:rsid w:val="00684B58"/>
    <w:rsid w:val="00685248"/>
    <w:rsid w:val="0068530F"/>
    <w:rsid w:val="00685C10"/>
    <w:rsid w:val="0068616F"/>
    <w:rsid w:val="0069095A"/>
    <w:rsid w:val="00691DA6"/>
    <w:rsid w:val="00696675"/>
    <w:rsid w:val="006A050C"/>
    <w:rsid w:val="006A3879"/>
    <w:rsid w:val="006A50EF"/>
    <w:rsid w:val="006A5B27"/>
    <w:rsid w:val="006A5C20"/>
    <w:rsid w:val="006A773F"/>
    <w:rsid w:val="006B0AD4"/>
    <w:rsid w:val="006B357F"/>
    <w:rsid w:val="006B3758"/>
    <w:rsid w:val="006B4CC0"/>
    <w:rsid w:val="006B5A84"/>
    <w:rsid w:val="006C2E58"/>
    <w:rsid w:val="006C4C4C"/>
    <w:rsid w:val="006C6346"/>
    <w:rsid w:val="006D0198"/>
    <w:rsid w:val="006E267F"/>
    <w:rsid w:val="006E646F"/>
    <w:rsid w:val="006F59AA"/>
    <w:rsid w:val="007002EC"/>
    <w:rsid w:val="00703433"/>
    <w:rsid w:val="00704F52"/>
    <w:rsid w:val="00706EC0"/>
    <w:rsid w:val="0070704B"/>
    <w:rsid w:val="0071109C"/>
    <w:rsid w:val="007134E9"/>
    <w:rsid w:val="00714EBF"/>
    <w:rsid w:val="007167C1"/>
    <w:rsid w:val="007177F4"/>
    <w:rsid w:val="00722FB0"/>
    <w:rsid w:val="00723C29"/>
    <w:rsid w:val="00726542"/>
    <w:rsid w:val="007270FE"/>
    <w:rsid w:val="00730D52"/>
    <w:rsid w:val="00730DF7"/>
    <w:rsid w:val="00731054"/>
    <w:rsid w:val="00732587"/>
    <w:rsid w:val="0073288E"/>
    <w:rsid w:val="00732A16"/>
    <w:rsid w:val="0073717E"/>
    <w:rsid w:val="007409BD"/>
    <w:rsid w:val="00743B1D"/>
    <w:rsid w:val="00744E35"/>
    <w:rsid w:val="007544FB"/>
    <w:rsid w:val="00760BEE"/>
    <w:rsid w:val="007624CB"/>
    <w:rsid w:val="00763792"/>
    <w:rsid w:val="007648C6"/>
    <w:rsid w:val="00765A99"/>
    <w:rsid w:val="00766C82"/>
    <w:rsid w:val="0077343C"/>
    <w:rsid w:val="00777994"/>
    <w:rsid w:val="007839C3"/>
    <w:rsid w:val="00783B65"/>
    <w:rsid w:val="00784639"/>
    <w:rsid w:val="0078485B"/>
    <w:rsid w:val="00786AB3"/>
    <w:rsid w:val="00787600"/>
    <w:rsid w:val="00790453"/>
    <w:rsid w:val="00790CF1"/>
    <w:rsid w:val="0079480C"/>
    <w:rsid w:val="00795DED"/>
    <w:rsid w:val="007A00DB"/>
    <w:rsid w:val="007A151E"/>
    <w:rsid w:val="007A2691"/>
    <w:rsid w:val="007A43D9"/>
    <w:rsid w:val="007A4534"/>
    <w:rsid w:val="007A529D"/>
    <w:rsid w:val="007A6B1E"/>
    <w:rsid w:val="007B04E9"/>
    <w:rsid w:val="007B0914"/>
    <w:rsid w:val="007B2CFD"/>
    <w:rsid w:val="007B50E9"/>
    <w:rsid w:val="007B764B"/>
    <w:rsid w:val="007C0D0B"/>
    <w:rsid w:val="007C3E8A"/>
    <w:rsid w:val="007C63B9"/>
    <w:rsid w:val="007D1CF2"/>
    <w:rsid w:val="007D4E9F"/>
    <w:rsid w:val="007E3B54"/>
    <w:rsid w:val="007E71AD"/>
    <w:rsid w:val="007F150D"/>
    <w:rsid w:val="007F50BD"/>
    <w:rsid w:val="007F5F01"/>
    <w:rsid w:val="007F618B"/>
    <w:rsid w:val="007F6693"/>
    <w:rsid w:val="007F779F"/>
    <w:rsid w:val="00800A0E"/>
    <w:rsid w:val="008018B5"/>
    <w:rsid w:val="00802D44"/>
    <w:rsid w:val="0080614F"/>
    <w:rsid w:val="00810D6B"/>
    <w:rsid w:val="008117FA"/>
    <w:rsid w:val="008118CB"/>
    <w:rsid w:val="008130A6"/>
    <w:rsid w:val="00813DDC"/>
    <w:rsid w:val="00813FAA"/>
    <w:rsid w:val="008145E9"/>
    <w:rsid w:val="008149EF"/>
    <w:rsid w:val="00814BE1"/>
    <w:rsid w:val="0081583E"/>
    <w:rsid w:val="008174BC"/>
    <w:rsid w:val="00817914"/>
    <w:rsid w:val="008226A2"/>
    <w:rsid w:val="008239E9"/>
    <w:rsid w:val="008244ED"/>
    <w:rsid w:val="00824F87"/>
    <w:rsid w:val="008325D9"/>
    <w:rsid w:val="00832FEE"/>
    <w:rsid w:val="00837166"/>
    <w:rsid w:val="00837418"/>
    <w:rsid w:val="00837EB6"/>
    <w:rsid w:val="00841673"/>
    <w:rsid w:val="008421FB"/>
    <w:rsid w:val="00845895"/>
    <w:rsid w:val="00846B72"/>
    <w:rsid w:val="008479E3"/>
    <w:rsid w:val="00850673"/>
    <w:rsid w:val="00851118"/>
    <w:rsid w:val="00854657"/>
    <w:rsid w:val="00855303"/>
    <w:rsid w:val="00857439"/>
    <w:rsid w:val="0086411E"/>
    <w:rsid w:val="008654FB"/>
    <w:rsid w:val="008663EB"/>
    <w:rsid w:val="00871886"/>
    <w:rsid w:val="00877C79"/>
    <w:rsid w:val="00882088"/>
    <w:rsid w:val="008869D9"/>
    <w:rsid w:val="00895FED"/>
    <w:rsid w:val="00896328"/>
    <w:rsid w:val="008A4360"/>
    <w:rsid w:val="008A5452"/>
    <w:rsid w:val="008B2B5A"/>
    <w:rsid w:val="008B3FD0"/>
    <w:rsid w:val="008C111F"/>
    <w:rsid w:val="008C4307"/>
    <w:rsid w:val="008C5E92"/>
    <w:rsid w:val="008C79D6"/>
    <w:rsid w:val="008D0A5C"/>
    <w:rsid w:val="008D234F"/>
    <w:rsid w:val="008D5029"/>
    <w:rsid w:val="008E0629"/>
    <w:rsid w:val="008E06A7"/>
    <w:rsid w:val="008E0AEE"/>
    <w:rsid w:val="008F3DAF"/>
    <w:rsid w:val="008F4BD9"/>
    <w:rsid w:val="009006CE"/>
    <w:rsid w:val="00900CD8"/>
    <w:rsid w:val="0090423F"/>
    <w:rsid w:val="00904837"/>
    <w:rsid w:val="009071E8"/>
    <w:rsid w:val="0091142F"/>
    <w:rsid w:val="009126B5"/>
    <w:rsid w:val="009205CB"/>
    <w:rsid w:val="00921B43"/>
    <w:rsid w:val="00922D8A"/>
    <w:rsid w:val="00923014"/>
    <w:rsid w:val="00923A49"/>
    <w:rsid w:val="00924998"/>
    <w:rsid w:val="00932C3F"/>
    <w:rsid w:val="00932F2F"/>
    <w:rsid w:val="009352ED"/>
    <w:rsid w:val="00936E6C"/>
    <w:rsid w:val="009377A6"/>
    <w:rsid w:val="0094189D"/>
    <w:rsid w:val="009425EC"/>
    <w:rsid w:val="009435AA"/>
    <w:rsid w:val="0095036E"/>
    <w:rsid w:val="00955B92"/>
    <w:rsid w:val="00963117"/>
    <w:rsid w:val="0096329D"/>
    <w:rsid w:val="00967A9E"/>
    <w:rsid w:val="009709A0"/>
    <w:rsid w:val="00971E56"/>
    <w:rsid w:val="00976BA0"/>
    <w:rsid w:val="00976FCC"/>
    <w:rsid w:val="0098108E"/>
    <w:rsid w:val="009813B1"/>
    <w:rsid w:val="009834D7"/>
    <w:rsid w:val="009837FA"/>
    <w:rsid w:val="009860B2"/>
    <w:rsid w:val="0098745E"/>
    <w:rsid w:val="00993088"/>
    <w:rsid w:val="00994763"/>
    <w:rsid w:val="00995758"/>
    <w:rsid w:val="00995F83"/>
    <w:rsid w:val="009A0AC2"/>
    <w:rsid w:val="009A1AE5"/>
    <w:rsid w:val="009A3B5D"/>
    <w:rsid w:val="009B59E5"/>
    <w:rsid w:val="009C0E81"/>
    <w:rsid w:val="009D2E32"/>
    <w:rsid w:val="009D7725"/>
    <w:rsid w:val="009E4AF5"/>
    <w:rsid w:val="009E6638"/>
    <w:rsid w:val="009E72EA"/>
    <w:rsid w:val="009E79CD"/>
    <w:rsid w:val="009E7DFE"/>
    <w:rsid w:val="009F40B6"/>
    <w:rsid w:val="009F79D3"/>
    <w:rsid w:val="00A00AD2"/>
    <w:rsid w:val="00A030A7"/>
    <w:rsid w:val="00A03C4F"/>
    <w:rsid w:val="00A04F0B"/>
    <w:rsid w:val="00A07953"/>
    <w:rsid w:val="00A07C74"/>
    <w:rsid w:val="00A110ED"/>
    <w:rsid w:val="00A13762"/>
    <w:rsid w:val="00A13DD4"/>
    <w:rsid w:val="00A14385"/>
    <w:rsid w:val="00A157A3"/>
    <w:rsid w:val="00A1787D"/>
    <w:rsid w:val="00A202FB"/>
    <w:rsid w:val="00A264E4"/>
    <w:rsid w:val="00A31EBA"/>
    <w:rsid w:val="00A34682"/>
    <w:rsid w:val="00A358C9"/>
    <w:rsid w:val="00A36D3E"/>
    <w:rsid w:val="00A37B80"/>
    <w:rsid w:val="00A40A4C"/>
    <w:rsid w:val="00A40B8F"/>
    <w:rsid w:val="00A40F9F"/>
    <w:rsid w:val="00A500A3"/>
    <w:rsid w:val="00A51148"/>
    <w:rsid w:val="00A51261"/>
    <w:rsid w:val="00A52E93"/>
    <w:rsid w:val="00A552DF"/>
    <w:rsid w:val="00A562A4"/>
    <w:rsid w:val="00A56DD4"/>
    <w:rsid w:val="00A60C63"/>
    <w:rsid w:val="00A64132"/>
    <w:rsid w:val="00A707E9"/>
    <w:rsid w:val="00A73BF1"/>
    <w:rsid w:val="00A749BF"/>
    <w:rsid w:val="00A74E23"/>
    <w:rsid w:val="00A74FA0"/>
    <w:rsid w:val="00A808EA"/>
    <w:rsid w:val="00A81DB1"/>
    <w:rsid w:val="00A845DA"/>
    <w:rsid w:val="00A869D9"/>
    <w:rsid w:val="00A86AEA"/>
    <w:rsid w:val="00A91024"/>
    <w:rsid w:val="00A914BE"/>
    <w:rsid w:val="00A937EC"/>
    <w:rsid w:val="00A94C3D"/>
    <w:rsid w:val="00A9541E"/>
    <w:rsid w:val="00A96F01"/>
    <w:rsid w:val="00AA2D9C"/>
    <w:rsid w:val="00AA60C1"/>
    <w:rsid w:val="00AB092E"/>
    <w:rsid w:val="00AB19B6"/>
    <w:rsid w:val="00AB2CC3"/>
    <w:rsid w:val="00AB3E47"/>
    <w:rsid w:val="00AC2AB3"/>
    <w:rsid w:val="00AD22C7"/>
    <w:rsid w:val="00AD45A3"/>
    <w:rsid w:val="00AD4C39"/>
    <w:rsid w:val="00AD667F"/>
    <w:rsid w:val="00AE0222"/>
    <w:rsid w:val="00AE042A"/>
    <w:rsid w:val="00AE6F82"/>
    <w:rsid w:val="00AF00E1"/>
    <w:rsid w:val="00AF09E6"/>
    <w:rsid w:val="00AF3696"/>
    <w:rsid w:val="00AF4AC7"/>
    <w:rsid w:val="00B01116"/>
    <w:rsid w:val="00B07EAC"/>
    <w:rsid w:val="00B12CE8"/>
    <w:rsid w:val="00B13B46"/>
    <w:rsid w:val="00B13E8D"/>
    <w:rsid w:val="00B14C1B"/>
    <w:rsid w:val="00B23334"/>
    <w:rsid w:val="00B23F2F"/>
    <w:rsid w:val="00B24AD6"/>
    <w:rsid w:val="00B24DD3"/>
    <w:rsid w:val="00B3088C"/>
    <w:rsid w:val="00B36B09"/>
    <w:rsid w:val="00B375A8"/>
    <w:rsid w:val="00B37EEF"/>
    <w:rsid w:val="00B41703"/>
    <w:rsid w:val="00B4250B"/>
    <w:rsid w:val="00B425B2"/>
    <w:rsid w:val="00B43E64"/>
    <w:rsid w:val="00B44033"/>
    <w:rsid w:val="00B44116"/>
    <w:rsid w:val="00B44E39"/>
    <w:rsid w:val="00B47DF7"/>
    <w:rsid w:val="00B502BC"/>
    <w:rsid w:val="00B50F84"/>
    <w:rsid w:val="00B512EB"/>
    <w:rsid w:val="00B533C1"/>
    <w:rsid w:val="00B55A1E"/>
    <w:rsid w:val="00B55D3B"/>
    <w:rsid w:val="00B564D4"/>
    <w:rsid w:val="00B57A02"/>
    <w:rsid w:val="00B57AA9"/>
    <w:rsid w:val="00B605D6"/>
    <w:rsid w:val="00B61B0A"/>
    <w:rsid w:val="00B6446E"/>
    <w:rsid w:val="00B657F4"/>
    <w:rsid w:val="00B66272"/>
    <w:rsid w:val="00B67BAC"/>
    <w:rsid w:val="00B70025"/>
    <w:rsid w:val="00B70F16"/>
    <w:rsid w:val="00B7191F"/>
    <w:rsid w:val="00B774F4"/>
    <w:rsid w:val="00B82395"/>
    <w:rsid w:val="00B82643"/>
    <w:rsid w:val="00B8303B"/>
    <w:rsid w:val="00B85697"/>
    <w:rsid w:val="00B85D07"/>
    <w:rsid w:val="00B90538"/>
    <w:rsid w:val="00B90AC5"/>
    <w:rsid w:val="00B92364"/>
    <w:rsid w:val="00B937FB"/>
    <w:rsid w:val="00B93B8B"/>
    <w:rsid w:val="00B940C1"/>
    <w:rsid w:val="00B95C61"/>
    <w:rsid w:val="00B96ED4"/>
    <w:rsid w:val="00B979E4"/>
    <w:rsid w:val="00BA0D43"/>
    <w:rsid w:val="00BA2A96"/>
    <w:rsid w:val="00BA3A69"/>
    <w:rsid w:val="00BA75AE"/>
    <w:rsid w:val="00BB1425"/>
    <w:rsid w:val="00BB3200"/>
    <w:rsid w:val="00BB37A2"/>
    <w:rsid w:val="00BB47C6"/>
    <w:rsid w:val="00BC2B4F"/>
    <w:rsid w:val="00BC3DA5"/>
    <w:rsid w:val="00BC3EA3"/>
    <w:rsid w:val="00BD121C"/>
    <w:rsid w:val="00BD54C1"/>
    <w:rsid w:val="00BD5835"/>
    <w:rsid w:val="00BD6430"/>
    <w:rsid w:val="00BE0E43"/>
    <w:rsid w:val="00BE1AF8"/>
    <w:rsid w:val="00BE1B82"/>
    <w:rsid w:val="00BE1CA2"/>
    <w:rsid w:val="00BE29DE"/>
    <w:rsid w:val="00BE5A49"/>
    <w:rsid w:val="00BE60B5"/>
    <w:rsid w:val="00BE745B"/>
    <w:rsid w:val="00BF22FF"/>
    <w:rsid w:val="00BF36C7"/>
    <w:rsid w:val="00BF3E0E"/>
    <w:rsid w:val="00BF5CD7"/>
    <w:rsid w:val="00BF6765"/>
    <w:rsid w:val="00C007C7"/>
    <w:rsid w:val="00C02328"/>
    <w:rsid w:val="00C05001"/>
    <w:rsid w:val="00C064D2"/>
    <w:rsid w:val="00C11989"/>
    <w:rsid w:val="00C16D79"/>
    <w:rsid w:val="00C174C3"/>
    <w:rsid w:val="00C17976"/>
    <w:rsid w:val="00C301C6"/>
    <w:rsid w:val="00C33016"/>
    <w:rsid w:val="00C3333C"/>
    <w:rsid w:val="00C34D8D"/>
    <w:rsid w:val="00C351EC"/>
    <w:rsid w:val="00C46D3A"/>
    <w:rsid w:val="00C475B3"/>
    <w:rsid w:val="00C50543"/>
    <w:rsid w:val="00C52406"/>
    <w:rsid w:val="00C538EA"/>
    <w:rsid w:val="00C55A8C"/>
    <w:rsid w:val="00C601C7"/>
    <w:rsid w:val="00C61874"/>
    <w:rsid w:val="00C662DA"/>
    <w:rsid w:val="00C736DB"/>
    <w:rsid w:val="00C73D32"/>
    <w:rsid w:val="00C75770"/>
    <w:rsid w:val="00C77141"/>
    <w:rsid w:val="00C802CC"/>
    <w:rsid w:val="00C804AF"/>
    <w:rsid w:val="00C8107E"/>
    <w:rsid w:val="00C8204F"/>
    <w:rsid w:val="00C845C9"/>
    <w:rsid w:val="00C850AB"/>
    <w:rsid w:val="00C85D02"/>
    <w:rsid w:val="00C87A6A"/>
    <w:rsid w:val="00C91239"/>
    <w:rsid w:val="00C9147B"/>
    <w:rsid w:val="00C91E1A"/>
    <w:rsid w:val="00C9260B"/>
    <w:rsid w:val="00C94EEF"/>
    <w:rsid w:val="00CA33DE"/>
    <w:rsid w:val="00CA729C"/>
    <w:rsid w:val="00CB060E"/>
    <w:rsid w:val="00CB12C8"/>
    <w:rsid w:val="00CB28C1"/>
    <w:rsid w:val="00CB4741"/>
    <w:rsid w:val="00CB661A"/>
    <w:rsid w:val="00CB6894"/>
    <w:rsid w:val="00CC07AE"/>
    <w:rsid w:val="00CC2357"/>
    <w:rsid w:val="00CC3798"/>
    <w:rsid w:val="00CC5DCC"/>
    <w:rsid w:val="00CD09E1"/>
    <w:rsid w:val="00CD1A80"/>
    <w:rsid w:val="00CD4D18"/>
    <w:rsid w:val="00CD4F77"/>
    <w:rsid w:val="00CD557A"/>
    <w:rsid w:val="00CD6009"/>
    <w:rsid w:val="00CE1709"/>
    <w:rsid w:val="00CE731F"/>
    <w:rsid w:val="00CF08F2"/>
    <w:rsid w:val="00CF150A"/>
    <w:rsid w:val="00CF19DA"/>
    <w:rsid w:val="00CF1F58"/>
    <w:rsid w:val="00CF28E5"/>
    <w:rsid w:val="00D00248"/>
    <w:rsid w:val="00D01CAD"/>
    <w:rsid w:val="00D02649"/>
    <w:rsid w:val="00D02FF4"/>
    <w:rsid w:val="00D14096"/>
    <w:rsid w:val="00D17B31"/>
    <w:rsid w:val="00D21C15"/>
    <w:rsid w:val="00D22884"/>
    <w:rsid w:val="00D353DC"/>
    <w:rsid w:val="00D3626A"/>
    <w:rsid w:val="00D368BB"/>
    <w:rsid w:val="00D413FA"/>
    <w:rsid w:val="00D46453"/>
    <w:rsid w:val="00D46A40"/>
    <w:rsid w:val="00D47B13"/>
    <w:rsid w:val="00D47D98"/>
    <w:rsid w:val="00D509AB"/>
    <w:rsid w:val="00D524E9"/>
    <w:rsid w:val="00D53FCE"/>
    <w:rsid w:val="00D54999"/>
    <w:rsid w:val="00D55699"/>
    <w:rsid w:val="00D63E48"/>
    <w:rsid w:val="00D66A97"/>
    <w:rsid w:val="00D716A3"/>
    <w:rsid w:val="00D73261"/>
    <w:rsid w:val="00D76D09"/>
    <w:rsid w:val="00D77963"/>
    <w:rsid w:val="00D80A71"/>
    <w:rsid w:val="00D84D08"/>
    <w:rsid w:val="00D84DDE"/>
    <w:rsid w:val="00D92EA4"/>
    <w:rsid w:val="00D9396E"/>
    <w:rsid w:val="00D93D77"/>
    <w:rsid w:val="00D94B4E"/>
    <w:rsid w:val="00D97276"/>
    <w:rsid w:val="00DA1510"/>
    <w:rsid w:val="00DA2B47"/>
    <w:rsid w:val="00DA4E09"/>
    <w:rsid w:val="00DA5F12"/>
    <w:rsid w:val="00DB17A1"/>
    <w:rsid w:val="00DB4A10"/>
    <w:rsid w:val="00DB6651"/>
    <w:rsid w:val="00DB6C3B"/>
    <w:rsid w:val="00DC1B44"/>
    <w:rsid w:val="00DD24CB"/>
    <w:rsid w:val="00DD2BD2"/>
    <w:rsid w:val="00DD69CE"/>
    <w:rsid w:val="00DD7BA8"/>
    <w:rsid w:val="00DD7E67"/>
    <w:rsid w:val="00DE1611"/>
    <w:rsid w:val="00DE1992"/>
    <w:rsid w:val="00DE1FF2"/>
    <w:rsid w:val="00DE2C8A"/>
    <w:rsid w:val="00DE3F16"/>
    <w:rsid w:val="00DE726E"/>
    <w:rsid w:val="00DE732F"/>
    <w:rsid w:val="00DE785B"/>
    <w:rsid w:val="00DF2574"/>
    <w:rsid w:val="00DF4BAF"/>
    <w:rsid w:val="00DF64F9"/>
    <w:rsid w:val="00E00D3E"/>
    <w:rsid w:val="00E0125D"/>
    <w:rsid w:val="00E023A2"/>
    <w:rsid w:val="00E02DDC"/>
    <w:rsid w:val="00E04970"/>
    <w:rsid w:val="00E053E1"/>
    <w:rsid w:val="00E10D53"/>
    <w:rsid w:val="00E111E9"/>
    <w:rsid w:val="00E11D78"/>
    <w:rsid w:val="00E1292E"/>
    <w:rsid w:val="00E14994"/>
    <w:rsid w:val="00E242E1"/>
    <w:rsid w:val="00E256AD"/>
    <w:rsid w:val="00E25A08"/>
    <w:rsid w:val="00E25F52"/>
    <w:rsid w:val="00E26C37"/>
    <w:rsid w:val="00E27496"/>
    <w:rsid w:val="00E276CC"/>
    <w:rsid w:val="00E301A2"/>
    <w:rsid w:val="00E35A8C"/>
    <w:rsid w:val="00E40874"/>
    <w:rsid w:val="00E41347"/>
    <w:rsid w:val="00E41E2D"/>
    <w:rsid w:val="00E452C5"/>
    <w:rsid w:val="00E4789B"/>
    <w:rsid w:val="00E510CF"/>
    <w:rsid w:val="00E55E4C"/>
    <w:rsid w:val="00E57093"/>
    <w:rsid w:val="00E6072B"/>
    <w:rsid w:val="00E62B3A"/>
    <w:rsid w:val="00E672D3"/>
    <w:rsid w:val="00E679D4"/>
    <w:rsid w:val="00E73AEA"/>
    <w:rsid w:val="00E7474A"/>
    <w:rsid w:val="00E77A10"/>
    <w:rsid w:val="00E85221"/>
    <w:rsid w:val="00E878B1"/>
    <w:rsid w:val="00E91929"/>
    <w:rsid w:val="00E9197F"/>
    <w:rsid w:val="00E929EE"/>
    <w:rsid w:val="00E95666"/>
    <w:rsid w:val="00E96649"/>
    <w:rsid w:val="00EA0862"/>
    <w:rsid w:val="00EA1096"/>
    <w:rsid w:val="00EA2AD2"/>
    <w:rsid w:val="00EA4942"/>
    <w:rsid w:val="00EA54F8"/>
    <w:rsid w:val="00EA6D84"/>
    <w:rsid w:val="00EB2E5B"/>
    <w:rsid w:val="00EB60B6"/>
    <w:rsid w:val="00EC0003"/>
    <w:rsid w:val="00EC120E"/>
    <w:rsid w:val="00ED371E"/>
    <w:rsid w:val="00ED7F6A"/>
    <w:rsid w:val="00EE2BB5"/>
    <w:rsid w:val="00EE2CB7"/>
    <w:rsid w:val="00EE39A4"/>
    <w:rsid w:val="00EE3BE3"/>
    <w:rsid w:val="00EE478C"/>
    <w:rsid w:val="00EE5B1B"/>
    <w:rsid w:val="00EE606B"/>
    <w:rsid w:val="00EE62DA"/>
    <w:rsid w:val="00EF1F92"/>
    <w:rsid w:val="00EF267A"/>
    <w:rsid w:val="00F03978"/>
    <w:rsid w:val="00F07A23"/>
    <w:rsid w:val="00F10285"/>
    <w:rsid w:val="00F10CDA"/>
    <w:rsid w:val="00F1276C"/>
    <w:rsid w:val="00F13357"/>
    <w:rsid w:val="00F13374"/>
    <w:rsid w:val="00F26BDD"/>
    <w:rsid w:val="00F26EF5"/>
    <w:rsid w:val="00F32255"/>
    <w:rsid w:val="00F3440A"/>
    <w:rsid w:val="00F350F3"/>
    <w:rsid w:val="00F3681D"/>
    <w:rsid w:val="00F378D0"/>
    <w:rsid w:val="00F40964"/>
    <w:rsid w:val="00F42171"/>
    <w:rsid w:val="00F42482"/>
    <w:rsid w:val="00F4288A"/>
    <w:rsid w:val="00F50454"/>
    <w:rsid w:val="00F53056"/>
    <w:rsid w:val="00F5359F"/>
    <w:rsid w:val="00F53CDE"/>
    <w:rsid w:val="00F55CF6"/>
    <w:rsid w:val="00F6070B"/>
    <w:rsid w:val="00F629D2"/>
    <w:rsid w:val="00F65CCB"/>
    <w:rsid w:val="00F67A29"/>
    <w:rsid w:val="00F71A58"/>
    <w:rsid w:val="00F75681"/>
    <w:rsid w:val="00F7611B"/>
    <w:rsid w:val="00F77FC4"/>
    <w:rsid w:val="00F81B68"/>
    <w:rsid w:val="00F83202"/>
    <w:rsid w:val="00F85088"/>
    <w:rsid w:val="00F851B4"/>
    <w:rsid w:val="00F86808"/>
    <w:rsid w:val="00F86D23"/>
    <w:rsid w:val="00F870BF"/>
    <w:rsid w:val="00F904B8"/>
    <w:rsid w:val="00F906CA"/>
    <w:rsid w:val="00F90E07"/>
    <w:rsid w:val="00F90F01"/>
    <w:rsid w:val="00F9124E"/>
    <w:rsid w:val="00F921BB"/>
    <w:rsid w:val="00F93E7A"/>
    <w:rsid w:val="00F94BF1"/>
    <w:rsid w:val="00F96F9F"/>
    <w:rsid w:val="00FA208D"/>
    <w:rsid w:val="00FB54D1"/>
    <w:rsid w:val="00FB578F"/>
    <w:rsid w:val="00FB61FF"/>
    <w:rsid w:val="00FB6748"/>
    <w:rsid w:val="00FC0E2E"/>
    <w:rsid w:val="00FC1D0C"/>
    <w:rsid w:val="00FC334A"/>
    <w:rsid w:val="00FD17C1"/>
    <w:rsid w:val="00FD507C"/>
    <w:rsid w:val="00FD7418"/>
    <w:rsid w:val="00FE0063"/>
    <w:rsid w:val="00FE3D4E"/>
    <w:rsid w:val="00FE5137"/>
    <w:rsid w:val="00FE7DCB"/>
    <w:rsid w:val="00FF3BC4"/>
    <w:rsid w:val="00FF3E44"/>
    <w:rsid w:val="00FF654F"/>
    <w:rsid w:val="00FF6902"/>
    <w:rsid w:val="00FF7D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1D767"/>
  <w15:chartTrackingRefBased/>
  <w15:docId w15:val="{38BF6DFA-996A-4237-B9D6-E707B444D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6B09"/>
    <w:rPr>
      <w:sz w:val="24"/>
      <w:szCs w:val="24"/>
    </w:rPr>
  </w:style>
  <w:style w:type="paragraph" w:styleId="Heading1">
    <w:name w:val="heading 1"/>
    <w:basedOn w:val="Normal"/>
    <w:next w:val="Normal"/>
    <w:link w:val="Heading1Char"/>
    <w:qFormat/>
    <w:rsid w:val="00E91929"/>
    <w:pPr>
      <w:keepNext/>
      <w:spacing w:before="240" w:after="60"/>
      <w:outlineLvl w:val="0"/>
    </w:pPr>
    <w:rPr>
      <w:rFonts w:ascii="Cambria" w:hAnsi="Cambria"/>
      <w:b/>
      <w:bCs/>
      <w:kern w:val="32"/>
      <w:sz w:val="32"/>
      <w:szCs w:val="32"/>
    </w:rPr>
  </w:style>
  <w:style w:type="paragraph" w:styleId="Heading3">
    <w:name w:val="heading 3"/>
    <w:basedOn w:val="Normal"/>
    <w:link w:val="Heading3Char"/>
    <w:uiPriority w:val="9"/>
    <w:qFormat/>
    <w:rsid w:val="00551A0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D7418"/>
    <w:pPr>
      <w:jc w:val="center"/>
      <w:outlineLvl w:val="0"/>
    </w:pPr>
    <w:rPr>
      <w:b/>
      <w:sz w:val="28"/>
      <w:lang w:eastAsia="en-US"/>
    </w:rPr>
  </w:style>
  <w:style w:type="paragraph" w:styleId="Header">
    <w:name w:val="header"/>
    <w:basedOn w:val="Normal"/>
    <w:rsid w:val="00FD7418"/>
    <w:pPr>
      <w:tabs>
        <w:tab w:val="center" w:pos="4153"/>
        <w:tab w:val="right" w:pos="8306"/>
      </w:tabs>
    </w:pPr>
  </w:style>
  <w:style w:type="paragraph" w:styleId="Footer">
    <w:name w:val="footer"/>
    <w:basedOn w:val="Normal"/>
    <w:rsid w:val="00FD7418"/>
    <w:pPr>
      <w:tabs>
        <w:tab w:val="center" w:pos="4153"/>
        <w:tab w:val="right" w:pos="8306"/>
      </w:tabs>
    </w:pPr>
  </w:style>
  <w:style w:type="character" w:styleId="PageNumber">
    <w:name w:val="page number"/>
    <w:basedOn w:val="DefaultParagraphFont"/>
    <w:rsid w:val="00C475B3"/>
  </w:style>
  <w:style w:type="paragraph" w:styleId="BodyText2">
    <w:name w:val="Body Text 2"/>
    <w:basedOn w:val="Normal"/>
    <w:link w:val="BodyText2Char"/>
    <w:rsid w:val="00C475B3"/>
    <w:pPr>
      <w:jc w:val="both"/>
    </w:pPr>
    <w:rPr>
      <w:sz w:val="28"/>
      <w:szCs w:val="20"/>
      <w:lang w:eastAsia="en-US"/>
    </w:rPr>
  </w:style>
  <w:style w:type="paragraph" w:customStyle="1" w:styleId="naisf">
    <w:name w:val="naisf"/>
    <w:basedOn w:val="Normal"/>
    <w:rsid w:val="00666871"/>
    <w:pPr>
      <w:spacing w:before="75" w:after="75"/>
      <w:ind w:firstLine="375"/>
      <w:jc w:val="both"/>
    </w:pPr>
  </w:style>
  <w:style w:type="paragraph" w:customStyle="1" w:styleId="naisc">
    <w:name w:val="naisc"/>
    <w:basedOn w:val="Normal"/>
    <w:rsid w:val="00666871"/>
    <w:pPr>
      <w:spacing w:before="75" w:after="75"/>
      <w:jc w:val="center"/>
    </w:pPr>
  </w:style>
  <w:style w:type="paragraph" w:styleId="BalloonText">
    <w:name w:val="Balloon Text"/>
    <w:basedOn w:val="Normal"/>
    <w:semiHidden/>
    <w:rsid w:val="00B502BC"/>
    <w:rPr>
      <w:rFonts w:ascii="Tahoma" w:hAnsi="Tahoma" w:cs="Tahoma"/>
      <w:sz w:val="16"/>
      <w:szCs w:val="16"/>
    </w:rPr>
  </w:style>
  <w:style w:type="paragraph" w:customStyle="1" w:styleId="RakstzCharCharRakstzCharCharRakstz">
    <w:name w:val="Rakstz. Char Char Rakstz. Char Char Rakstz."/>
    <w:basedOn w:val="Normal"/>
    <w:rsid w:val="00A500A3"/>
    <w:pPr>
      <w:spacing w:after="160" w:line="240" w:lineRule="exact"/>
    </w:pPr>
    <w:rPr>
      <w:rFonts w:ascii="Tahoma" w:hAnsi="Tahoma"/>
      <w:sz w:val="20"/>
      <w:szCs w:val="20"/>
      <w:lang w:val="en-US" w:eastAsia="en-US"/>
    </w:rPr>
  </w:style>
  <w:style w:type="paragraph" w:customStyle="1" w:styleId="naislab">
    <w:name w:val="naislab"/>
    <w:basedOn w:val="Normal"/>
    <w:rsid w:val="00A9541E"/>
    <w:pPr>
      <w:spacing w:before="100" w:beforeAutospacing="1" w:after="100" w:afterAutospacing="1"/>
    </w:pPr>
  </w:style>
  <w:style w:type="character" w:customStyle="1" w:styleId="BodyText2Char">
    <w:name w:val="Body Text 2 Char"/>
    <w:link w:val="BodyText2"/>
    <w:rsid w:val="00CB661A"/>
    <w:rPr>
      <w:sz w:val="28"/>
      <w:lang w:eastAsia="en-US"/>
    </w:rPr>
  </w:style>
  <w:style w:type="character" w:customStyle="1" w:styleId="Heading3Char">
    <w:name w:val="Heading 3 Char"/>
    <w:link w:val="Heading3"/>
    <w:uiPriority w:val="9"/>
    <w:rsid w:val="00551A0F"/>
    <w:rPr>
      <w:b/>
      <w:bCs/>
      <w:sz w:val="27"/>
      <w:szCs w:val="27"/>
    </w:rPr>
  </w:style>
  <w:style w:type="paragraph" w:customStyle="1" w:styleId="naisnod">
    <w:name w:val="naisnod"/>
    <w:basedOn w:val="Normal"/>
    <w:rsid w:val="00551A0F"/>
    <w:pPr>
      <w:spacing w:before="100" w:beforeAutospacing="1" w:after="100" w:afterAutospacing="1"/>
    </w:pPr>
  </w:style>
  <w:style w:type="paragraph" w:customStyle="1" w:styleId="naiskr">
    <w:name w:val="naiskr"/>
    <w:basedOn w:val="Normal"/>
    <w:rsid w:val="00551A0F"/>
    <w:pPr>
      <w:spacing w:before="100" w:beforeAutospacing="1" w:after="100" w:afterAutospacing="1"/>
    </w:pPr>
  </w:style>
  <w:style w:type="paragraph" w:customStyle="1" w:styleId="tv2121">
    <w:name w:val="tv2121"/>
    <w:basedOn w:val="Normal"/>
    <w:rsid w:val="00551A0F"/>
    <w:pPr>
      <w:spacing w:before="400" w:line="360" w:lineRule="auto"/>
      <w:jc w:val="center"/>
    </w:pPr>
    <w:rPr>
      <w:rFonts w:ascii="Verdana" w:hAnsi="Verdana"/>
      <w:b/>
      <w:bCs/>
      <w:sz w:val="20"/>
      <w:szCs w:val="20"/>
    </w:rPr>
  </w:style>
  <w:style w:type="paragraph" w:styleId="ListParagraph">
    <w:name w:val="List Paragraph"/>
    <w:aliases w:val="Strip,Párrafo de lista,Normal bullet 2,Bullet list,List Paragraph1"/>
    <w:basedOn w:val="Normal"/>
    <w:link w:val="ListParagraphChar"/>
    <w:uiPriority w:val="34"/>
    <w:qFormat/>
    <w:rsid w:val="00BF22FF"/>
    <w:pPr>
      <w:spacing w:after="160" w:line="259" w:lineRule="auto"/>
      <w:ind w:left="720"/>
      <w:contextualSpacing/>
    </w:pPr>
    <w:rPr>
      <w:rFonts w:ascii="Calibri" w:eastAsia="Calibri" w:hAnsi="Calibri"/>
      <w:sz w:val="22"/>
      <w:szCs w:val="22"/>
      <w:lang w:eastAsia="en-US"/>
    </w:rPr>
  </w:style>
  <w:style w:type="character" w:styleId="Hyperlink">
    <w:name w:val="Hyperlink"/>
    <w:rsid w:val="00B774F4"/>
    <w:rPr>
      <w:color w:val="0000FF"/>
      <w:u w:val="single"/>
    </w:rPr>
  </w:style>
  <w:style w:type="character" w:customStyle="1" w:styleId="Heading1Char">
    <w:name w:val="Heading 1 Char"/>
    <w:link w:val="Heading1"/>
    <w:rsid w:val="00E91929"/>
    <w:rPr>
      <w:rFonts w:ascii="Cambria" w:eastAsia="Times New Roman" w:hAnsi="Cambria" w:cs="Times New Roman"/>
      <w:b/>
      <w:bCs/>
      <w:kern w:val="32"/>
      <w:sz w:val="32"/>
      <w:szCs w:val="32"/>
    </w:rPr>
  </w:style>
  <w:style w:type="paragraph" w:styleId="BodyText">
    <w:name w:val="Body Text"/>
    <w:basedOn w:val="Normal"/>
    <w:link w:val="BodyTextChar"/>
    <w:rsid w:val="00524A7C"/>
    <w:pPr>
      <w:spacing w:after="120"/>
    </w:pPr>
  </w:style>
  <w:style w:type="character" w:customStyle="1" w:styleId="BodyTextChar">
    <w:name w:val="Body Text Char"/>
    <w:link w:val="BodyText"/>
    <w:rsid w:val="00524A7C"/>
    <w:rPr>
      <w:sz w:val="24"/>
      <w:szCs w:val="24"/>
    </w:rPr>
  </w:style>
  <w:style w:type="character" w:customStyle="1" w:styleId="UnresolvedMention1">
    <w:name w:val="Unresolved Mention1"/>
    <w:uiPriority w:val="99"/>
    <w:semiHidden/>
    <w:unhideWhenUsed/>
    <w:rsid w:val="005D488E"/>
    <w:rPr>
      <w:color w:val="808080"/>
      <w:shd w:val="clear" w:color="auto" w:fill="E6E6E6"/>
    </w:rPr>
  </w:style>
  <w:style w:type="character" w:customStyle="1" w:styleId="sentence">
    <w:name w:val="sentence"/>
    <w:rsid w:val="00542AA6"/>
  </w:style>
  <w:style w:type="character" w:customStyle="1" w:styleId="word">
    <w:name w:val="word"/>
    <w:rsid w:val="00542AA6"/>
  </w:style>
  <w:style w:type="character" w:customStyle="1" w:styleId="TitleChar">
    <w:name w:val="Title Char"/>
    <w:link w:val="Title"/>
    <w:rsid w:val="00F10CDA"/>
    <w:rPr>
      <w:b/>
      <w:sz w:val="28"/>
      <w:szCs w:val="24"/>
      <w:lang w:val="lv-LV"/>
    </w:rPr>
  </w:style>
  <w:style w:type="character" w:styleId="Strong">
    <w:name w:val="Strong"/>
    <w:uiPriority w:val="22"/>
    <w:qFormat/>
    <w:rsid w:val="00877C79"/>
    <w:rPr>
      <w:b/>
      <w:bCs/>
    </w:rPr>
  </w:style>
  <w:style w:type="paragraph" w:styleId="NormalWeb">
    <w:name w:val="Normal (Web)"/>
    <w:basedOn w:val="Normal"/>
    <w:uiPriority w:val="99"/>
    <w:rsid w:val="00EA4942"/>
    <w:pPr>
      <w:spacing w:before="75" w:after="75"/>
    </w:pPr>
  </w:style>
  <w:style w:type="character" w:customStyle="1" w:styleId="phrase">
    <w:name w:val="phrase"/>
    <w:rsid w:val="00D47D98"/>
  </w:style>
  <w:style w:type="paragraph" w:customStyle="1" w:styleId="Default">
    <w:name w:val="Default"/>
    <w:rsid w:val="00814BE1"/>
    <w:pPr>
      <w:autoSpaceDE w:val="0"/>
      <w:autoSpaceDN w:val="0"/>
      <w:adjustRightInd w:val="0"/>
    </w:pPr>
    <w:rPr>
      <w:color w:val="000000"/>
      <w:sz w:val="24"/>
      <w:szCs w:val="24"/>
      <w:lang w:val="en-US" w:eastAsia="en-US"/>
    </w:rPr>
  </w:style>
  <w:style w:type="paragraph" w:customStyle="1" w:styleId="CM1">
    <w:name w:val="CM1"/>
    <w:basedOn w:val="Default"/>
    <w:next w:val="Default"/>
    <w:uiPriority w:val="99"/>
    <w:rsid w:val="00D76D09"/>
    <w:rPr>
      <w:rFonts w:ascii="EUAlbertina" w:hAnsi="EUAlbertina"/>
      <w:color w:val="auto"/>
    </w:rPr>
  </w:style>
  <w:style w:type="paragraph" w:customStyle="1" w:styleId="CM3">
    <w:name w:val="CM3"/>
    <w:basedOn w:val="Default"/>
    <w:next w:val="Default"/>
    <w:uiPriority w:val="99"/>
    <w:rsid w:val="00D76D09"/>
    <w:rPr>
      <w:rFonts w:ascii="EUAlbertina" w:hAnsi="EUAlbertina"/>
      <w:color w:val="auto"/>
    </w:rPr>
  </w:style>
  <w:style w:type="paragraph" w:styleId="FootnoteText">
    <w:name w:val="footnote text"/>
    <w:basedOn w:val="Normal"/>
    <w:link w:val="FootnoteTextChar"/>
    <w:uiPriority w:val="99"/>
    <w:rsid w:val="00A34682"/>
    <w:rPr>
      <w:sz w:val="20"/>
      <w:szCs w:val="20"/>
    </w:rPr>
  </w:style>
  <w:style w:type="character" w:customStyle="1" w:styleId="FootnoteTextChar">
    <w:name w:val="Footnote Text Char"/>
    <w:basedOn w:val="DefaultParagraphFont"/>
    <w:link w:val="FootnoteText"/>
    <w:uiPriority w:val="99"/>
    <w:rsid w:val="00A34682"/>
  </w:style>
  <w:style w:type="character" w:styleId="FootnoteReference">
    <w:name w:val="footnote reference"/>
    <w:basedOn w:val="DefaultParagraphFont"/>
    <w:uiPriority w:val="99"/>
    <w:rsid w:val="00A34682"/>
    <w:rPr>
      <w:vertAlign w:val="superscript"/>
    </w:rPr>
  </w:style>
  <w:style w:type="table" w:styleId="TableGrid">
    <w:name w:val="Table Grid"/>
    <w:basedOn w:val="TableNormal"/>
    <w:uiPriority w:val="39"/>
    <w:rsid w:val="00A34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9095A"/>
    <w:rPr>
      <w:sz w:val="16"/>
      <w:szCs w:val="16"/>
    </w:rPr>
  </w:style>
  <w:style w:type="paragraph" w:styleId="CommentText">
    <w:name w:val="annotation text"/>
    <w:basedOn w:val="Normal"/>
    <w:link w:val="CommentTextChar"/>
    <w:rsid w:val="0069095A"/>
    <w:rPr>
      <w:sz w:val="20"/>
      <w:szCs w:val="20"/>
    </w:rPr>
  </w:style>
  <w:style w:type="character" w:customStyle="1" w:styleId="CommentTextChar">
    <w:name w:val="Comment Text Char"/>
    <w:basedOn w:val="DefaultParagraphFont"/>
    <w:link w:val="CommentText"/>
    <w:rsid w:val="0069095A"/>
  </w:style>
  <w:style w:type="paragraph" w:styleId="CommentSubject">
    <w:name w:val="annotation subject"/>
    <w:basedOn w:val="CommentText"/>
    <w:next w:val="CommentText"/>
    <w:link w:val="CommentSubjectChar"/>
    <w:rsid w:val="0069095A"/>
    <w:rPr>
      <w:b/>
      <w:bCs/>
    </w:rPr>
  </w:style>
  <w:style w:type="character" w:customStyle="1" w:styleId="CommentSubjectChar">
    <w:name w:val="Comment Subject Char"/>
    <w:basedOn w:val="CommentTextChar"/>
    <w:link w:val="CommentSubject"/>
    <w:rsid w:val="0069095A"/>
    <w:rPr>
      <w:b/>
      <w:bCs/>
    </w:rPr>
  </w:style>
  <w:style w:type="paragraph" w:styleId="Revision">
    <w:name w:val="Revision"/>
    <w:hidden/>
    <w:uiPriority w:val="99"/>
    <w:semiHidden/>
    <w:rsid w:val="00D63E48"/>
    <w:rPr>
      <w:sz w:val="24"/>
      <w:szCs w:val="24"/>
    </w:rPr>
  </w:style>
  <w:style w:type="character" w:customStyle="1" w:styleId="UnresolvedMention2">
    <w:name w:val="Unresolved Mention2"/>
    <w:basedOn w:val="DefaultParagraphFont"/>
    <w:uiPriority w:val="99"/>
    <w:semiHidden/>
    <w:unhideWhenUsed/>
    <w:rsid w:val="006E267F"/>
    <w:rPr>
      <w:color w:val="605E5C"/>
      <w:shd w:val="clear" w:color="auto" w:fill="E1DFDD"/>
    </w:rPr>
  </w:style>
  <w:style w:type="table" w:customStyle="1" w:styleId="TableGrid1">
    <w:name w:val="Table Grid1"/>
    <w:basedOn w:val="TableNormal"/>
    <w:next w:val="TableGrid"/>
    <w:uiPriority w:val="59"/>
    <w:rsid w:val="006E267F"/>
    <w:rPr>
      <w:rFonts w:asciiTheme="minorHAnsi" w:eastAsiaTheme="minorHAnsi" w:hAnsiTheme="minorHAnsi" w:cstheme="minorBidi"/>
      <w:sz w:val="22"/>
      <w:szCs w:val="22"/>
      <w:lang w:val="lt-L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26BDD"/>
    <w:rPr>
      <w:rFonts w:asciiTheme="minorHAnsi" w:eastAsiaTheme="minorHAnsi" w:hAnsiTheme="minorHAnsi" w:cstheme="minorBidi"/>
      <w:sz w:val="22"/>
      <w:szCs w:val="22"/>
      <w:lang w:val="lt-L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trip Char,Párrafo de lista Char,Normal bullet 2 Char,Bullet list Char,List Paragraph1 Char"/>
    <w:link w:val="ListParagraph"/>
    <w:uiPriority w:val="34"/>
    <w:locked/>
    <w:rsid w:val="0047697A"/>
    <w:rPr>
      <w:rFonts w:ascii="Calibri" w:eastAsia="Calibri" w:hAnsi="Calibri"/>
      <w:sz w:val="22"/>
      <w:szCs w:val="22"/>
      <w:lang w:eastAsia="en-US"/>
    </w:rPr>
  </w:style>
  <w:style w:type="character" w:styleId="Emphasis">
    <w:name w:val="Emphasis"/>
    <w:basedOn w:val="DefaultParagraphFont"/>
    <w:uiPriority w:val="20"/>
    <w:qFormat/>
    <w:rsid w:val="00684B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4195">
      <w:bodyDiv w:val="1"/>
      <w:marLeft w:val="0"/>
      <w:marRight w:val="0"/>
      <w:marTop w:val="0"/>
      <w:marBottom w:val="0"/>
      <w:divBdr>
        <w:top w:val="none" w:sz="0" w:space="0" w:color="auto"/>
        <w:left w:val="none" w:sz="0" w:space="0" w:color="auto"/>
        <w:bottom w:val="none" w:sz="0" w:space="0" w:color="auto"/>
        <w:right w:val="none" w:sz="0" w:space="0" w:color="auto"/>
      </w:divBdr>
    </w:div>
    <w:div w:id="170343739">
      <w:bodyDiv w:val="1"/>
      <w:marLeft w:val="0"/>
      <w:marRight w:val="0"/>
      <w:marTop w:val="0"/>
      <w:marBottom w:val="0"/>
      <w:divBdr>
        <w:top w:val="none" w:sz="0" w:space="0" w:color="auto"/>
        <w:left w:val="none" w:sz="0" w:space="0" w:color="auto"/>
        <w:bottom w:val="none" w:sz="0" w:space="0" w:color="auto"/>
        <w:right w:val="none" w:sz="0" w:space="0" w:color="auto"/>
      </w:divBdr>
    </w:div>
    <w:div w:id="221984980">
      <w:bodyDiv w:val="1"/>
      <w:marLeft w:val="0"/>
      <w:marRight w:val="0"/>
      <w:marTop w:val="0"/>
      <w:marBottom w:val="0"/>
      <w:divBdr>
        <w:top w:val="none" w:sz="0" w:space="0" w:color="auto"/>
        <w:left w:val="none" w:sz="0" w:space="0" w:color="auto"/>
        <w:bottom w:val="none" w:sz="0" w:space="0" w:color="auto"/>
        <w:right w:val="none" w:sz="0" w:space="0" w:color="auto"/>
      </w:divBdr>
    </w:div>
    <w:div w:id="231282141">
      <w:bodyDiv w:val="1"/>
      <w:marLeft w:val="0"/>
      <w:marRight w:val="0"/>
      <w:marTop w:val="0"/>
      <w:marBottom w:val="0"/>
      <w:divBdr>
        <w:top w:val="none" w:sz="0" w:space="0" w:color="auto"/>
        <w:left w:val="none" w:sz="0" w:space="0" w:color="auto"/>
        <w:bottom w:val="none" w:sz="0" w:space="0" w:color="auto"/>
        <w:right w:val="none" w:sz="0" w:space="0" w:color="auto"/>
      </w:divBdr>
    </w:div>
    <w:div w:id="290090789">
      <w:bodyDiv w:val="1"/>
      <w:marLeft w:val="0"/>
      <w:marRight w:val="0"/>
      <w:marTop w:val="0"/>
      <w:marBottom w:val="0"/>
      <w:divBdr>
        <w:top w:val="none" w:sz="0" w:space="0" w:color="auto"/>
        <w:left w:val="none" w:sz="0" w:space="0" w:color="auto"/>
        <w:bottom w:val="none" w:sz="0" w:space="0" w:color="auto"/>
        <w:right w:val="none" w:sz="0" w:space="0" w:color="auto"/>
      </w:divBdr>
    </w:div>
    <w:div w:id="312830090">
      <w:bodyDiv w:val="1"/>
      <w:marLeft w:val="0"/>
      <w:marRight w:val="0"/>
      <w:marTop w:val="0"/>
      <w:marBottom w:val="0"/>
      <w:divBdr>
        <w:top w:val="none" w:sz="0" w:space="0" w:color="auto"/>
        <w:left w:val="none" w:sz="0" w:space="0" w:color="auto"/>
        <w:bottom w:val="none" w:sz="0" w:space="0" w:color="auto"/>
        <w:right w:val="none" w:sz="0" w:space="0" w:color="auto"/>
      </w:divBdr>
    </w:div>
    <w:div w:id="351995798">
      <w:bodyDiv w:val="1"/>
      <w:marLeft w:val="0"/>
      <w:marRight w:val="0"/>
      <w:marTop w:val="0"/>
      <w:marBottom w:val="0"/>
      <w:divBdr>
        <w:top w:val="none" w:sz="0" w:space="0" w:color="auto"/>
        <w:left w:val="none" w:sz="0" w:space="0" w:color="auto"/>
        <w:bottom w:val="none" w:sz="0" w:space="0" w:color="auto"/>
        <w:right w:val="none" w:sz="0" w:space="0" w:color="auto"/>
      </w:divBdr>
    </w:div>
    <w:div w:id="472059466">
      <w:bodyDiv w:val="1"/>
      <w:marLeft w:val="0"/>
      <w:marRight w:val="0"/>
      <w:marTop w:val="0"/>
      <w:marBottom w:val="0"/>
      <w:divBdr>
        <w:top w:val="none" w:sz="0" w:space="0" w:color="auto"/>
        <w:left w:val="none" w:sz="0" w:space="0" w:color="auto"/>
        <w:bottom w:val="none" w:sz="0" w:space="0" w:color="auto"/>
        <w:right w:val="none" w:sz="0" w:space="0" w:color="auto"/>
      </w:divBdr>
    </w:div>
    <w:div w:id="620721225">
      <w:bodyDiv w:val="1"/>
      <w:marLeft w:val="0"/>
      <w:marRight w:val="0"/>
      <w:marTop w:val="0"/>
      <w:marBottom w:val="0"/>
      <w:divBdr>
        <w:top w:val="none" w:sz="0" w:space="0" w:color="auto"/>
        <w:left w:val="none" w:sz="0" w:space="0" w:color="auto"/>
        <w:bottom w:val="none" w:sz="0" w:space="0" w:color="auto"/>
        <w:right w:val="none" w:sz="0" w:space="0" w:color="auto"/>
      </w:divBdr>
    </w:div>
    <w:div w:id="720058392">
      <w:bodyDiv w:val="1"/>
      <w:marLeft w:val="0"/>
      <w:marRight w:val="0"/>
      <w:marTop w:val="0"/>
      <w:marBottom w:val="0"/>
      <w:divBdr>
        <w:top w:val="none" w:sz="0" w:space="0" w:color="auto"/>
        <w:left w:val="none" w:sz="0" w:space="0" w:color="auto"/>
        <w:bottom w:val="none" w:sz="0" w:space="0" w:color="auto"/>
        <w:right w:val="none" w:sz="0" w:space="0" w:color="auto"/>
      </w:divBdr>
    </w:div>
    <w:div w:id="960721129">
      <w:bodyDiv w:val="1"/>
      <w:marLeft w:val="0"/>
      <w:marRight w:val="0"/>
      <w:marTop w:val="0"/>
      <w:marBottom w:val="0"/>
      <w:divBdr>
        <w:top w:val="none" w:sz="0" w:space="0" w:color="auto"/>
        <w:left w:val="none" w:sz="0" w:space="0" w:color="auto"/>
        <w:bottom w:val="none" w:sz="0" w:space="0" w:color="auto"/>
        <w:right w:val="none" w:sz="0" w:space="0" w:color="auto"/>
      </w:divBdr>
    </w:div>
    <w:div w:id="1177504463">
      <w:bodyDiv w:val="1"/>
      <w:marLeft w:val="0"/>
      <w:marRight w:val="0"/>
      <w:marTop w:val="0"/>
      <w:marBottom w:val="0"/>
      <w:divBdr>
        <w:top w:val="none" w:sz="0" w:space="0" w:color="auto"/>
        <w:left w:val="none" w:sz="0" w:space="0" w:color="auto"/>
        <w:bottom w:val="none" w:sz="0" w:space="0" w:color="auto"/>
        <w:right w:val="none" w:sz="0" w:space="0" w:color="auto"/>
      </w:divBdr>
    </w:div>
    <w:div w:id="1211261574">
      <w:bodyDiv w:val="1"/>
      <w:marLeft w:val="0"/>
      <w:marRight w:val="0"/>
      <w:marTop w:val="0"/>
      <w:marBottom w:val="0"/>
      <w:divBdr>
        <w:top w:val="none" w:sz="0" w:space="0" w:color="auto"/>
        <w:left w:val="none" w:sz="0" w:space="0" w:color="auto"/>
        <w:bottom w:val="none" w:sz="0" w:space="0" w:color="auto"/>
        <w:right w:val="none" w:sz="0" w:space="0" w:color="auto"/>
      </w:divBdr>
    </w:div>
    <w:div w:id="1311248454">
      <w:bodyDiv w:val="1"/>
      <w:marLeft w:val="0"/>
      <w:marRight w:val="0"/>
      <w:marTop w:val="0"/>
      <w:marBottom w:val="0"/>
      <w:divBdr>
        <w:top w:val="none" w:sz="0" w:space="0" w:color="auto"/>
        <w:left w:val="none" w:sz="0" w:space="0" w:color="auto"/>
        <w:bottom w:val="none" w:sz="0" w:space="0" w:color="auto"/>
        <w:right w:val="none" w:sz="0" w:space="0" w:color="auto"/>
      </w:divBdr>
    </w:div>
    <w:div w:id="1325160020">
      <w:bodyDiv w:val="1"/>
      <w:marLeft w:val="0"/>
      <w:marRight w:val="0"/>
      <w:marTop w:val="0"/>
      <w:marBottom w:val="0"/>
      <w:divBdr>
        <w:top w:val="none" w:sz="0" w:space="0" w:color="auto"/>
        <w:left w:val="none" w:sz="0" w:space="0" w:color="auto"/>
        <w:bottom w:val="none" w:sz="0" w:space="0" w:color="auto"/>
        <w:right w:val="none" w:sz="0" w:space="0" w:color="auto"/>
      </w:divBdr>
    </w:div>
    <w:div w:id="1374964074">
      <w:bodyDiv w:val="1"/>
      <w:marLeft w:val="0"/>
      <w:marRight w:val="0"/>
      <w:marTop w:val="0"/>
      <w:marBottom w:val="0"/>
      <w:divBdr>
        <w:top w:val="none" w:sz="0" w:space="0" w:color="auto"/>
        <w:left w:val="none" w:sz="0" w:space="0" w:color="auto"/>
        <w:bottom w:val="none" w:sz="0" w:space="0" w:color="auto"/>
        <w:right w:val="none" w:sz="0" w:space="0" w:color="auto"/>
      </w:divBdr>
    </w:div>
    <w:div w:id="1429545632">
      <w:bodyDiv w:val="1"/>
      <w:marLeft w:val="0"/>
      <w:marRight w:val="0"/>
      <w:marTop w:val="0"/>
      <w:marBottom w:val="0"/>
      <w:divBdr>
        <w:top w:val="none" w:sz="0" w:space="0" w:color="auto"/>
        <w:left w:val="none" w:sz="0" w:space="0" w:color="auto"/>
        <w:bottom w:val="none" w:sz="0" w:space="0" w:color="auto"/>
        <w:right w:val="none" w:sz="0" w:space="0" w:color="auto"/>
      </w:divBdr>
    </w:div>
    <w:div w:id="1433357003">
      <w:bodyDiv w:val="1"/>
      <w:marLeft w:val="0"/>
      <w:marRight w:val="0"/>
      <w:marTop w:val="0"/>
      <w:marBottom w:val="0"/>
      <w:divBdr>
        <w:top w:val="none" w:sz="0" w:space="0" w:color="auto"/>
        <w:left w:val="none" w:sz="0" w:space="0" w:color="auto"/>
        <w:bottom w:val="none" w:sz="0" w:space="0" w:color="auto"/>
        <w:right w:val="none" w:sz="0" w:space="0" w:color="auto"/>
      </w:divBdr>
    </w:div>
    <w:div w:id="1495952993">
      <w:bodyDiv w:val="1"/>
      <w:marLeft w:val="0"/>
      <w:marRight w:val="0"/>
      <w:marTop w:val="0"/>
      <w:marBottom w:val="0"/>
      <w:divBdr>
        <w:top w:val="none" w:sz="0" w:space="0" w:color="auto"/>
        <w:left w:val="none" w:sz="0" w:space="0" w:color="auto"/>
        <w:bottom w:val="none" w:sz="0" w:space="0" w:color="auto"/>
        <w:right w:val="none" w:sz="0" w:space="0" w:color="auto"/>
      </w:divBdr>
    </w:div>
    <w:div w:id="1517765896">
      <w:bodyDiv w:val="1"/>
      <w:marLeft w:val="0"/>
      <w:marRight w:val="0"/>
      <w:marTop w:val="0"/>
      <w:marBottom w:val="0"/>
      <w:divBdr>
        <w:top w:val="none" w:sz="0" w:space="0" w:color="auto"/>
        <w:left w:val="none" w:sz="0" w:space="0" w:color="auto"/>
        <w:bottom w:val="none" w:sz="0" w:space="0" w:color="auto"/>
        <w:right w:val="none" w:sz="0" w:space="0" w:color="auto"/>
      </w:divBdr>
    </w:div>
    <w:div w:id="1699969684">
      <w:bodyDiv w:val="1"/>
      <w:marLeft w:val="0"/>
      <w:marRight w:val="0"/>
      <w:marTop w:val="0"/>
      <w:marBottom w:val="0"/>
      <w:divBdr>
        <w:top w:val="none" w:sz="0" w:space="0" w:color="auto"/>
        <w:left w:val="none" w:sz="0" w:space="0" w:color="auto"/>
        <w:bottom w:val="none" w:sz="0" w:space="0" w:color="auto"/>
        <w:right w:val="none" w:sz="0" w:space="0" w:color="auto"/>
      </w:divBdr>
    </w:div>
    <w:div w:id="1726636824">
      <w:bodyDiv w:val="1"/>
      <w:marLeft w:val="0"/>
      <w:marRight w:val="0"/>
      <w:marTop w:val="0"/>
      <w:marBottom w:val="0"/>
      <w:divBdr>
        <w:top w:val="none" w:sz="0" w:space="0" w:color="auto"/>
        <w:left w:val="none" w:sz="0" w:space="0" w:color="auto"/>
        <w:bottom w:val="none" w:sz="0" w:space="0" w:color="auto"/>
        <w:right w:val="none" w:sz="0" w:space="0" w:color="auto"/>
      </w:divBdr>
    </w:div>
    <w:div w:id="1729187488">
      <w:bodyDiv w:val="1"/>
      <w:marLeft w:val="0"/>
      <w:marRight w:val="0"/>
      <w:marTop w:val="0"/>
      <w:marBottom w:val="0"/>
      <w:divBdr>
        <w:top w:val="none" w:sz="0" w:space="0" w:color="auto"/>
        <w:left w:val="none" w:sz="0" w:space="0" w:color="auto"/>
        <w:bottom w:val="none" w:sz="0" w:space="0" w:color="auto"/>
        <w:right w:val="none" w:sz="0" w:space="0" w:color="auto"/>
      </w:divBdr>
    </w:div>
    <w:div w:id="1886984087">
      <w:bodyDiv w:val="1"/>
      <w:marLeft w:val="0"/>
      <w:marRight w:val="0"/>
      <w:marTop w:val="0"/>
      <w:marBottom w:val="0"/>
      <w:divBdr>
        <w:top w:val="none" w:sz="0" w:space="0" w:color="auto"/>
        <w:left w:val="none" w:sz="0" w:space="0" w:color="auto"/>
        <w:bottom w:val="none" w:sz="0" w:space="0" w:color="auto"/>
        <w:right w:val="none" w:sz="0" w:space="0" w:color="auto"/>
      </w:divBdr>
    </w:div>
    <w:div w:id="1902714982">
      <w:bodyDiv w:val="1"/>
      <w:marLeft w:val="0"/>
      <w:marRight w:val="0"/>
      <w:marTop w:val="0"/>
      <w:marBottom w:val="0"/>
      <w:divBdr>
        <w:top w:val="none" w:sz="0" w:space="0" w:color="auto"/>
        <w:left w:val="none" w:sz="0" w:space="0" w:color="auto"/>
        <w:bottom w:val="none" w:sz="0" w:space="0" w:color="auto"/>
        <w:right w:val="none" w:sz="0" w:space="0" w:color="auto"/>
      </w:divBdr>
    </w:div>
    <w:div w:id="2004968935">
      <w:bodyDiv w:val="1"/>
      <w:marLeft w:val="0"/>
      <w:marRight w:val="0"/>
      <w:marTop w:val="0"/>
      <w:marBottom w:val="0"/>
      <w:divBdr>
        <w:top w:val="none" w:sz="0" w:space="0" w:color="auto"/>
        <w:left w:val="none" w:sz="0" w:space="0" w:color="auto"/>
        <w:bottom w:val="none" w:sz="0" w:space="0" w:color="auto"/>
        <w:right w:val="none" w:sz="0" w:space="0" w:color="auto"/>
      </w:divBdr>
    </w:div>
    <w:div w:id="2033408729">
      <w:bodyDiv w:val="1"/>
      <w:marLeft w:val="0"/>
      <w:marRight w:val="0"/>
      <w:marTop w:val="0"/>
      <w:marBottom w:val="0"/>
      <w:divBdr>
        <w:top w:val="none" w:sz="0" w:space="0" w:color="auto"/>
        <w:left w:val="none" w:sz="0" w:space="0" w:color="auto"/>
        <w:bottom w:val="none" w:sz="0" w:space="0" w:color="auto"/>
        <w:right w:val="none" w:sz="0" w:space="0" w:color="auto"/>
      </w:divBdr>
    </w:div>
    <w:div w:id="208425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rlis.Engelis@sam.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0C2F029DD3B544856B024E0B00EBC6" ma:contentTypeVersion="11" ma:contentTypeDescription="Create a new document." ma:contentTypeScope="" ma:versionID="58f662950161b1d72ad3b6b942c09e89">
  <xsd:schema xmlns:xsd="http://www.w3.org/2001/XMLSchema" xmlns:xs="http://www.w3.org/2001/XMLSchema" xmlns:p="http://schemas.microsoft.com/office/2006/metadata/properties" xmlns:ns2="b70c0239-a51c-465a-b1e5-221dd90dcbdb" xmlns:ns3="80670bfd-22b1-412c-a180-1cbc292fcd09" targetNamespace="http://schemas.microsoft.com/office/2006/metadata/properties" ma:root="true" ma:fieldsID="e7da0767c26750c8b963c7653b33f891" ns2:_="" ns3:_="">
    <xsd:import namespace="b70c0239-a51c-465a-b1e5-221dd90dcbdb"/>
    <xsd:import namespace="80670bfd-22b1-412c-a180-1cbc292fcd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c0239-a51c-465a-b1e5-221dd90dcb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670bfd-22b1-412c-a180-1cbc292fcd0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94857D-0E1A-45B9-986A-768A180C936A}">
  <ds:schemaRefs>
    <ds:schemaRef ds:uri="http://schemas.openxmlformats.org/officeDocument/2006/bibliography"/>
  </ds:schemaRefs>
</ds:datastoreItem>
</file>

<file path=customXml/itemProps2.xml><?xml version="1.0" encoding="utf-8"?>
<ds:datastoreItem xmlns:ds="http://schemas.openxmlformats.org/officeDocument/2006/customXml" ds:itemID="{24BF67D9-C0FC-44F6-87F3-70966CCCE4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957213-D473-4340-8588-B9A31AA2C0E0}">
  <ds:schemaRefs>
    <ds:schemaRef ds:uri="http://schemas.microsoft.com/sharepoint/v3/contenttype/forms"/>
  </ds:schemaRefs>
</ds:datastoreItem>
</file>

<file path=customXml/itemProps4.xml><?xml version="1.0" encoding="utf-8"?>
<ds:datastoreItem xmlns:ds="http://schemas.openxmlformats.org/officeDocument/2006/customXml" ds:itemID="{1662A7EE-4617-421F-B1C9-310BBEA561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0c0239-a51c-465a-b1e5-221dd90dcbdb"/>
    <ds:schemaRef ds:uri="80670bfd-22b1-412c-a180-1cbc292fc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4003</Words>
  <Characters>22823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MK rīkojums "Par finansējuma nodrošināšanu Rail Baltica projekta īstenošanai nepieciešamo nekustamo īpašumu apsaimniekošanai un lokālplānojumu izstrādei"</vt:lpstr>
    </vt:vector>
  </TitlesOfParts>
  <Company>Satiksmes Ministrija</Company>
  <LinksUpToDate>false</LinksUpToDate>
  <CharactersWithSpaces>26773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rīkojums "Par finansējuma nodrošināšanu Rail Baltica projekta īstenošanai nepieciešamo nekustamo īpašumu apsaimniekošanai un lokālplānojumu izstrādei"</dc:title>
  <dc:subject>Anotācija</dc:subject>
  <dc:creator>Kārlis Enģelis</dc:creator>
  <cp:keywords>Anotācija</cp:keywords>
  <dc:description>K.Eņģelis, 67028229
Karlis.Engelis@sam.gov.lv</dc:description>
  <cp:lastModifiedBy>Ludmila Juškeviča</cp:lastModifiedBy>
  <cp:revision>2</cp:revision>
  <cp:lastPrinted>2020-06-09T05:42:00Z</cp:lastPrinted>
  <dcterms:created xsi:type="dcterms:W3CDTF">2021-04-19T13:00:00Z</dcterms:created>
  <dcterms:modified xsi:type="dcterms:W3CDTF">2021-04-19T13:00:00Z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0x010100F20C2F029DD3B544856B024E0B00EBC6</vt:lpwstr>
  </property>
</Properties>
</file>