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FF5F" w14:textId="77777777" w:rsidR="00CF41E8" w:rsidRPr="00CC2BFD" w:rsidRDefault="00CF41E8" w:rsidP="00E56CB3">
      <w:pPr>
        <w:pStyle w:val="Parastais"/>
        <w:jc w:val="right"/>
        <w:rPr>
          <w:i/>
          <w:color w:val="000000"/>
          <w:sz w:val="28"/>
          <w:szCs w:val="28"/>
        </w:rPr>
      </w:pPr>
      <w:r w:rsidRPr="00CC2BFD">
        <w:rPr>
          <w:i/>
          <w:color w:val="000000"/>
          <w:sz w:val="28"/>
          <w:szCs w:val="28"/>
        </w:rPr>
        <w:t>Projekts</w:t>
      </w:r>
    </w:p>
    <w:p w14:paraId="00BCA294" w14:textId="77777777" w:rsidR="00CF41E8" w:rsidRPr="00CC2BFD" w:rsidRDefault="00CF41E8" w:rsidP="00E56CB3">
      <w:pPr>
        <w:pStyle w:val="Parastais"/>
        <w:jc w:val="right"/>
        <w:rPr>
          <w:i/>
          <w:color w:val="000000"/>
          <w:sz w:val="28"/>
          <w:szCs w:val="28"/>
          <w:highlight w:val="yellow"/>
        </w:rPr>
      </w:pPr>
    </w:p>
    <w:p w14:paraId="5FB5AAAE" w14:textId="77777777" w:rsidR="009616FD" w:rsidRPr="00CC2BFD" w:rsidRDefault="00CA7550" w:rsidP="009616FD">
      <w:pPr>
        <w:pStyle w:val="Parastais"/>
        <w:jc w:val="right"/>
        <w:rPr>
          <w:color w:val="000000"/>
          <w:sz w:val="28"/>
          <w:szCs w:val="28"/>
        </w:rPr>
      </w:pPr>
      <w:r w:rsidRPr="00CC2BFD">
        <w:rPr>
          <w:color w:val="000000"/>
          <w:sz w:val="28"/>
          <w:szCs w:val="28"/>
        </w:rPr>
        <w:t>P</w:t>
      </w:r>
      <w:r w:rsidR="009616FD" w:rsidRPr="00CC2BFD">
        <w:rPr>
          <w:color w:val="000000"/>
          <w:sz w:val="28"/>
          <w:szCs w:val="28"/>
        </w:rPr>
        <w:t>ielikums</w:t>
      </w:r>
    </w:p>
    <w:p w14:paraId="5761C7C7" w14:textId="77777777" w:rsidR="009616FD" w:rsidRPr="00CC2BFD" w:rsidRDefault="009616FD" w:rsidP="009616FD">
      <w:pPr>
        <w:pStyle w:val="Parastais"/>
        <w:jc w:val="right"/>
        <w:rPr>
          <w:color w:val="000000"/>
          <w:sz w:val="28"/>
          <w:szCs w:val="28"/>
        </w:rPr>
      </w:pPr>
      <w:r w:rsidRPr="00CC2BFD">
        <w:rPr>
          <w:color w:val="000000"/>
          <w:sz w:val="28"/>
          <w:szCs w:val="28"/>
        </w:rPr>
        <w:t>Ministru kabineta</w:t>
      </w:r>
    </w:p>
    <w:p w14:paraId="5D39F82E" w14:textId="59BC68D6" w:rsidR="009616FD" w:rsidRPr="00CC2BFD" w:rsidRDefault="009616FD" w:rsidP="009616FD">
      <w:pPr>
        <w:pStyle w:val="Parastais"/>
        <w:jc w:val="right"/>
        <w:rPr>
          <w:color w:val="000000"/>
          <w:sz w:val="28"/>
          <w:szCs w:val="28"/>
        </w:rPr>
      </w:pPr>
      <w:r w:rsidRPr="00CC2BFD">
        <w:rPr>
          <w:color w:val="000000"/>
          <w:sz w:val="28"/>
          <w:szCs w:val="28"/>
        </w:rPr>
        <w:t>20</w:t>
      </w:r>
      <w:r w:rsidR="00C04EE0">
        <w:rPr>
          <w:color w:val="000000"/>
          <w:sz w:val="28"/>
          <w:szCs w:val="28"/>
        </w:rPr>
        <w:t>21</w:t>
      </w:r>
      <w:r w:rsidRPr="00CC2BFD">
        <w:rPr>
          <w:color w:val="000000"/>
          <w:sz w:val="28"/>
          <w:szCs w:val="28"/>
        </w:rPr>
        <w:t>. gada __.</w:t>
      </w:r>
      <w:r w:rsidR="00A177C6" w:rsidRPr="00CC2BFD">
        <w:rPr>
          <w:color w:val="000000"/>
          <w:sz w:val="28"/>
          <w:szCs w:val="28"/>
        </w:rPr>
        <w:t> </w:t>
      </w:r>
      <w:r w:rsidRPr="00CC2BFD">
        <w:rPr>
          <w:color w:val="000000"/>
          <w:sz w:val="28"/>
          <w:szCs w:val="28"/>
        </w:rPr>
        <w:t>______</w:t>
      </w:r>
    </w:p>
    <w:p w14:paraId="13F2E337" w14:textId="2C0EB24F" w:rsidR="009616FD" w:rsidRPr="00CC2BFD" w:rsidRDefault="009616FD" w:rsidP="009616FD">
      <w:pPr>
        <w:pStyle w:val="Parastais"/>
        <w:jc w:val="right"/>
        <w:rPr>
          <w:color w:val="000000"/>
          <w:sz w:val="28"/>
          <w:szCs w:val="28"/>
        </w:rPr>
      </w:pPr>
      <w:r w:rsidRPr="00CC2BFD">
        <w:rPr>
          <w:color w:val="000000"/>
          <w:sz w:val="28"/>
          <w:szCs w:val="28"/>
        </w:rPr>
        <w:t>noteikumiem Nr.</w:t>
      </w:r>
      <w:r w:rsidR="00A177C6" w:rsidRPr="00CC2BFD">
        <w:rPr>
          <w:color w:val="000000"/>
          <w:sz w:val="28"/>
          <w:szCs w:val="28"/>
        </w:rPr>
        <w:t> </w:t>
      </w:r>
      <w:r w:rsidRPr="00CC2BFD">
        <w:rPr>
          <w:color w:val="000000"/>
          <w:sz w:val="28"/>
          <w:szCs w:val="28"/>
        </w:rPr>
        <w:t>__</w:t>
      </w:r>
    </w:p>
    <w:p w14:paraId="68037B09" w14:textId="77777777" w:rsidR="009616FD" w:rsidRPr="00CC2BFD" w:rsidRDefault="009616FD" w:rsidP="00B95374">
      <w:pPr>
        <w:pStyle w:val="Parastais"/>
        <w:rPr>
          <w:color w:val="000000"/>
          <w:sz w:val="28"/>
          <w:szCs w:val="28"/>
        </w:rPr>
      </w:pPr>
    </w:p>
    <w:p w14:paraId="112186A0" w14:textId="77777777" w:rsidR="00293ACF" w:rsidRPr="00CC2BFD" w:rsidRDefault="00293ACF" w:rsidP="00E56CB3">
      <w:pPr>
        <w:pStyle w:val="Parastais"/>
        <w:rPr>
          <w:b/>
          <w:color w:val="000000"/>
          <w:sz w:val="28"/>
          <w:szCs w:val="28"/>
        </w:rPr>
      </w:pPr>
    </w:p>
    <w:p w14:paraId="008995EB" w14:textId="77777777" w:rsidR="00CC2BFD" w:rsidRPr="00CC2BFD" w:rsidRDefault="00CC2BFD" w:rsidP="00E56CB3">
      <w:pPr>
        <w:pStyle w:val="Parastais"/>
        <w:jc w:val="center"/>
        <w:rPr>
          <w:b/>
          <w:color w:val="000000"/>
          <w:sz w:val="28"/>
          <w:szCs w:val="28"/>
        </w:rPr>
      </w:pPr>
    </w:p>
    <w:p w14:paraId="1FCB396C" w14:textId="10224768" w:rsidR="00CC2BFD" w:rsidRPr="00CC2BFD" w:rsidRDefault="00CC2BFD" w:rsidP="00CC2BFD">
      <w:pPr>
        <w:pStyle w:val="Parastais"/>
        <w:jc w:val="center"/>
        <w:rPr>
          <w:b/>
          <w:bCs/>
          <w:color w:val="000000"/>
          <w:sz w:val="28"/>
          <w:szCs w:val="28"/>
        </w:rPr>
      </w:pPr>
      <w:r w:rsidRPr="00CC2BFD">
        <w:rPr>
          <w:b/>
          <w:bCs/>
          <w:color w:val="000000"/>
          <w:sz w:val="28"/>
          <w:szCs w:val="28"/>
        </w:rPr>
        <w:t>Informācijas atkalizmantošanas maksas apmēr</w:t>
      </w:r>
      <w:r w:rsidR="003F3F09">
        <w:rPr>
          <w:b/>
          <w:bCs/>
          <w:color w:val="000000"/>
          <w:sz w:val="28"/>
          <w:szCs w:val="28"/>
        </w:rPr>
        <w:t>s</w:t>
      </w:r>
      <w:r w:rsidRPr="00CC2BFD">
        <w:rPr>
          <w:b/>
          <w:bCs/>
          <w:color w:val="000000"/>
          <w:sz w:val="28"/>
          <w:szCs w:val="28"/>
        </w:rPr>
        <w:t xml:space="preserve"> par dokumentiem elektroniskā formā, standartizētā apjomā un izmantojot specializētas sagatavošanas metodes*</w:t>
      </w:r>
    </w:p>
    <w:p w14:paraId="72FE40D3" w14:textId="2CD970D1" w:rsidR="00CC2BFD" w:rsidRDefault="00CC2BFD" w:rsidP="00CC2BFD">
      <w:pPr>
        <w:pStyle w:val="Parastais"/>
        <w:jc w:val="center"/>
        <w:rPr>
          <w:color w:val="000000"/>
          <w:sz w:val="28"/>
          <w:szCs w:val="28"/>
        </w:rPr>
      </w:pPr>
    </w:p>
    <w:p w14:paraId="2CC9DFF6" w14:textId="77777777" w:rsidR="00CC2BFD" w:rsidRDefault="00CC2BFD" w:rsidP="00CC2BFD">
      <w:pPr>
        <w:pStyle w:val="Parastais"/>
        <w:jc w:val="center"/>
        <w:rPr>
          <w:color w:val="000000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559"/>
        <w:gridCol w:w="1128"/>
      </w:tblGrid>
      <w:tr w:rsidR="00CC2BFD" w14:paraId="34AAEB31" w14:textId="77777777" w:rsidTr="00C04EE0">
        <w:tc>
          <w:tcPr>
            <w:tcW w:w="846" w:type="dxa"/>
            <w:vAlign w:val="center"/>
          </w:tcPr>
          <w:p w14:paraId="35FEF121" w14:textId="188B9DE8" w:rsid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Nr.</w:t>
            </w:r>
            <w:r w:rsidR="00C04E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p.</w:t>
            </w:r>
            <w:r w:rsidR="00C04EE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k.</w:t>
            </w:r>
          </w:p>
        </w:tc>
        <w:tc>
          <w:tcPr>
            <w:tcW w:w="5528" w:type="dxa"/>
            <w:vAlign w:val="center"/>
          </w:tcPr>
          <w:p w14:paraId="10755A1B" w14:textId="034B6B0A" w:rsid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Informācijas veids</w:t>
            </w:r>
          </w:p>
        </w:tc>
        <w:tc>
          <w:tcPr>
            <w:tcW w:w="1559" w:type="dxa"/>
            <w:vAlign w:val="center"/>
          </w:tcPr>
          <w:p w14:paraId="010E6C7E" w14:textId="430D49DD" w:rsid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Mērvienība</w:t>
            </w:r>
          </w:p>
        </w:tc>
        <w:tc>
          <w:tcPr>
            <w:tcW w:w="1128" w:type="dxa"/>
            <w:vAlign w:val="center"/>
          </w:tcPr>
          <w:p w14:paraId="2164D778" w14:textId="45BCD177" w:rsid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Cena </w:t>
            </w:r>
            <w:r w:rsidRPr="00CC2BFD">
              <w:rPr>
                <w:i/>
                <w:iCs/>
                <w:color w:val="000000"/>
                <w:sz w:val="28"/>
                <w:szCs w:val="28"/>
              </w:rPr>
              <w:t>(euro)</w:t>
            </w:r>
          </w:p>
        </w:tc>
      </w:tr>
      <w:tr w:rsidR="00CC2BFD" w14:paraId="70197785" w14:textId="77777777" w:rsidTr="00C04EE0">
        <w:tc>
          <w:tcPr>
            <w:tcW w:w="846" w:type="dxa"/>
          </w:tcPr>
          <w:p w14:paraId="1C0D788E" w14:textId="26473392" w:rsidR="00CC2BFD" w:rsidRP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 w:rsidRPr="00CC2BFD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14:paraId="4BD68ED4" w14:textId="1492239C" w:rsidR="00CC2BFD" w:rsidRPr="00CC2BFD" w:rsidRDefault="00CC2BFD" w:rsidP="00275E9E">
            <w:pPr>
              <w:pStyle w:val="Parastais"/>
              <w:jc w:val="both"/>
              <w:rPr>
                <w:color w:val="000000"/>
                <w:sz w:val="28"/>
                <w:szCs w:val="28"/>
              </w:rPr>
            </w:pPr>
            <w:r w:rsidRPr="00CC2BFD">
              <w:rPr>
                <w:sz w:val="28"/>
                <w:szCs w:val="28"/>
              </w:rPr>
              <w:t>Dokuments</w:t>
            </w:r>
          </w:p>
        </w:tc>
        <w:tc>
          <w:tcPr>
            <w:tcW w:w="1559" w:type="dxa"/>
          </w:tcPr>
          <w:p w14:paraId="013235CC" w14:textId="456CDAA8" w:rsidR="00CC2BFD" w:rsidRP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 w:rsidRPr="00CC2BFD">
              <w:rPr>
                <w:sz w:val="28"/>
                <w:szCs w:val="28"/>
              </w:rPr>
              <w:t>gab.</w:t>
            </w:r>
          </w:p>
        </w:tc>
        <w:tc>
          <w:tcPr>
            <w:tcW w:w="1128" w:type="dxa"/>
          </w:tcPr>
          <w:p w14:paraId="7E467593" w14:textId="7C0D47B4" w:rsidR="00CC2BFD" w:rsidRP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 w:rsidRPr="00CC2BFD">
              <w:rPr>
                <w:sz w:val="28"/>
                <w:szCs w:val="28"/>
              </w:rPr>
              <w:t>0,57</w:t>
            </w:r>
          </w:p>
        </w:tc>
      </w:tr>
      <w:tr w:rsidR="00CC2BFD" w14:paraId="2546603B" w14:textId="77777777" w:rsidTr="00C04EE0">
        <w:tc>
          <w:tcPr>
            <w:tcW w:w="846" w:type="dxa"/>
          </w:tcPr>
          <w:p w14:paraId="1C0B1D15" w14:textId="2484BB14" w:rsidR="00CC2BFD" w:rsidRP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 w:rsidRPr="00CC2BFD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14:paraId="71677A87" w14:textId="1309BD51" w:rsidR="00CC2BFD" w:rsidRPr="00CC2BFD" w:rsidRDefault="00CC2BFD" w:rsidP="00275E9E">
            <w:pPr>
              <w:pStyle w:val="Parastais"/>
              <w:jc w:val="both"/>
              <w:rPr>
                <w:color w:val="000000"/>
                <w:sz w:val="28"/>
                <w:szCs w:val="28"/>
              </w:rPr>
            </w:pPr>
            <w:r w:rsidRPr="00CC2BFD">
              <w:rPr>
                <w:sz w:val="28"/>
                <w:szCs w:val="28"/>
              </w:rPr>
              <w:t>Oficiālo publikāciju viena grupa (mēnesī)</w:t>
            </w:r>
          </w:p>
        </w:tc>
        <w:tc>
          <w:tcPr>
            <w:tcW w:w="1559" w:type="dxa"/>
          </w:tcPr>
          <w:p w14:paraId="29D48D52" w14:textId="77B0981A" w:rsidR="00CC2BFD" w:rsidRP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 w:rsidRPr="00CC2BFD">
              <w:rPr>
                <w:sz w:val="28"/>
                <w:szCs w:val="28"/>
              </w:rPr>
              <w:t>gab.</w:t>
            </w:r>
          </w:p>
        </w:tc>
        <w:tc>
          <w:tcPr>
            <w:tcW w:w="1128" w:type="dxa"/>
          </w:tcPr>
          <w:p w14:paraId="5A3E5B6E" w14:textId="4CC808D1" w:rsidR="00CC2BFD" w:rsidRP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 w:rsidRPr="00CC2BFD">
              <w:rPr>
                <w:sz w:val="28"/>
                <w:szCs w:val="28"/>
              </w:rPr>
              <w:t>21,34</w:t>
            </w:r>
          </w:p>
        </w:tc>
      </w:tr>
      <w:tr w:rsidR="00CC2BFD" w14:paraId="6185F893" w14:textId="77777777" w:rsidTr="00C04EE0">
        <w:tc>
          <w:tcPr>
            <w:tcW w:w="846" w:type="dxa"/>
          </w:tcPr>
          <w:p w14:paraId="17E68609" w14:textId="31071F01" w:rsidR="00CC2BFD" w:rsidRP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 w:rsidRPr="00CC2BFD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14:paraId="01B0CF81" w14:textId="793D4479" w:rsidR="00CC2BFD" w:rsidRPr="00CC2BFD" w:rsidRDefault="00CC2BFD" w:rsidP="00275E9E">
            <w:pPr>
              <w:pStyle w:val="Parastais"/>
              <w:jc w:val="both"/>
              <w:rPr>
                <w:color w:val="000000"/>
                <w:sz w:val="28"/>
                <w:szCs w:val="28"/>
              </w:rPr>
            </w:pPr>
            <w:r w:rsidRPr="00CC2BFD">
              <w:rPr>
                <w:sz w:val="28"/>
                <w:szCs w:val="28"/>
              </w:rPr>
              <w:t>Oficiālo publikāciju visas grupas (mēnesī)</w:t>
            </w:r>
          </w:p>
        </w:tc>
        <w:tc>
          <w:tcPr>
            <w:tcW w:w="1559" w:type="dxa"/>
          </w:tcPr>
          <w:p w14:paraId="77153F3B" w14:textId="3E78D15D" w:rsidR="00CC2BFD" w:rsidRP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 w:rsidRPr="00CC2BFD">
              <w:rPr>
                <w:sz w:val="28"/>
                <w:szCs w:val="28"/>
              </w:rPr>
              <w:t>komplekts</w:t>
            </w:r>
          </w:p>
        </w:tc>
        <w:tc>
          <w:tcPr>
            <w:tcW w:w="1128" w:type="dxa"/>
          </w:tcPr>
          <w:p w14:paraId="0527C38F" w14:textId="3C04BCEB" w:rsidR="00CC2BFD" w:rsidRPr="00CC2BFD" w:rsidRDefault="00CC2BFD" w:rsidP="00CC2BFD">
            <w:pPr>
              <w:pStyle w:val="Parastais"/>
              <w:jc w:val="center"/>
              <w:rPr>
                <w:color w:val="000000"/>
                <w:sz w:val="28"/>
                <w:szCs w:val="28"/>
              </w:rPr>
            </w:pPr>
            <w:r w:rsidRPr="00CC2BFD">
              <w:rPr>
                <w:sz w:val="28"/>
                <w:szCs w:val="28"/>
              </w:rPr>
              <w:t>128,06</w:t>
            </w:r>
          </w:p>
        </w:tc>
      </w:tr>
    </w:tbl>
    <w:p w14:paraId="263CEF15" w14:textId="77777777" w:rsidR="00CC2BFD" w:rsidRDefault="00CC2BFD" w:rsidP="00CC2BFD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11C9C941" w14:textId="47399EE9" w:rsidR="00CC2BFD" w:rsidRPr="00CC2BFD" w:rsidRDefault="00CC2BFD" w:rsidP="00CC2BFD">
      <w:pPr>
        <w:pStyle w:val="Parastais"/>
        <w:ind w:firstLine="720"/>
        <w:jc w:val="both"/>
        <w:rPr>
          <w:color w:val="000000"/>
          <w:sz w:val="28"/>
          <w:szCs w:val="28"/>
        </w:rPr>
      </w:pPr>
      <w:r w:rsidRPr="00CC2BFD">
        <w:rPr>
          <w:color w:val="000000"/>
          <w:sz w:val="28"/>
          <w:szCs w:val="28"/>
        </w:rPr>
        <w:t xml:space="preserve">Piezīme. * Izņemot ziņas no komercreģistra, </w:t>
      </w:r>
      <w:proofErr w:type="gramStart"/>
      <w:r w:rsidRPr="00CC2BFD">
        <w:rPr>
          <w:color w:val="000000"/>
          <w:sz w:val="28"/>
          <w:szCs w:val="28"/>
        </w:rPr>
        <w:t>uzņēmumu reģistra</w:t>
      </w:r>
      <w:proofErr w:type="gramEnd"/>
      <w:r w:rsidRPr="00CC2BFD">
        <w:rPr>
          <w:color w:val="000000"/>
          <w:sz w:val="28"/>
          <w:szCs w:val="28"/>
        </w:rPr>
        <w:t xml:space="preserve"> žurnāla, politisko partiju reģistra, Eiropas ekonomisko interešu grupu reģistra un paziņojumus par laulāto mantiskajām attiecībām. Minēto ziņu atkalizmantošanu organizē Uzņēmumu reģistra informācijas sistēmas turētājs saskaņā ar</w:t>
      </w:r>
      <w:r w:rsidR="00C04EE0">
        <w:rPr>
          <w:color w:val="000000"/>
          <w:sz w:val="28"/>
          <w:szCs w:val="28"/>
        </w:rPr>
        <w:t xml:space="preserve"> </w:t>
      </w:r>
      <w:r w:rsidRPr="00CC2BFD">
        <w:rPr>
          <w:color w:val="000000"/>
          <w:sz w:val="28"/>
          <w:szCs w:val="28"/>
        </w:rPr>
        <w:t>Oficiālo publikāciju un tiesiskās informācijas likuma</w:t>
      </w:r>
      <w:r w:rsidR="00C04EE0">
        <w:rPr>
          <w:color w:val="000000"/>
          <w:sz w:val="28"/>
          <w:szCs w:val="28"/>
        </w:rPr>
        <w:t xml:space="preserve"> </w:t>
      </w:r>
      <w:r w:rsidRPr="00CC2BFD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 </w:t>
      </w:r>
      <w:r w:rsidRPr="00CC2BFD">
        <w:rPr>
          <w:color w:val="000000"/>
          <w:sz w:val="28"/>
          <w:szCs w:val="28"/>
        </w:rPr>
        <w:t>panta</w:t>
      </w:r>
      <w:r w:rsidR="00C04EE0">
        <w:rPr>
          <w:color w:val="000000"/>
          <w:sz w:val="28"/>
          <w:szCs w:val="28"/>
        </w:rPr>
        <w:t xml:space="preserve"> </w:t>
      </w:r>
      <w:r w:rsidRPr="00CC2BFD">
        <w:rPr>
          <w:color w:val="000000"/>
          <w:sz w:val="28"/>
          <w:szCs w:val="28"/>
        </w:rPr>
        <w:t>otro daļu.</w:t>
      </w:r>
    </w:p>
    <w:p w14:paraId="4440FF85" w14:textId="3AF9815D" w:rsidR="00CC2BFD" w:rsidRDefault="00CC2BFD" w:rsidP="00CC2BFD">
      <w:pPr>
        <w:pStyle w:val="Parastais"/>
        <w:jc w:val="both"/>
        <w:rPr>
          <w:b/>
          <w:color w:val="000000"/>
          <w:sz w:val="28"/>
          <w:szCs w:val="28"/>
        </w:rPr>
      </w:pPr>
    </w:p>
    <w:p w14:paraId="10E4994A" w14:textId="77777777" w:rsidR="00CC2BFD" w:rsidRDefault="00CC2BFD" w:rsidP="00CC2BFD">
      <w:pPr>
        <w:pStyle w:val="Parastais"/>
        <w:jc w:val="both"/>
        <w:rPr>
          <w:b/>
          <w:color w:val="000000"/>
          <w:sz w:val="28"/>
          <w:szCs w:val="28"/>
        </w:rPr>
      </w:pPr>
    </w:p>
    <w:p w14:paraId="0D612327" w14:textId="77777777" w:rsidR="00CC2BFD" w:rsidRDefault="00CC2BFD" w:rsidP="00CC2BFD">
      <w:pPr>
        <w:pStyle w:val="StyleRight"/>
        <w:spacing w:after="0"/>
        <w:ind w:firstLine="0"/>
        <w:jc w:val="both"/>
      </w:pPr>
      <w:r>
        <w:t>Ministru prezidenta biedrs,</w:t>
      </w:r>
    </w:p>
    <w:p w14:paraId="628E3F6C" w14:textId="164CF532" w:rsidR="00CC2BFD" w:rsidRPr="00867633" w:rsidRDefault="00CC2BFD" w:rsidP="00C04EE0">
      <w:pPr>
        <w:pStyle w:val="StyleRight"/>
        <w:tabs>
          <w:tab w:val="left" w:pos="7088"/>
        </w:tabs>
        <w:spacing w:after="0"/>
        <w:ind w:firstLine="0"/>
        <w:jc w:val="both"/>
      </w:pPr>
      <w:r>
        <w:t>t</w:t>
      </w:r>
      <w:r w:rsidRPr="00867633">
        <w:t>ieslietu ministrs</w:t>
      </w:r>
      <w:r w:rsidR="00C04EE0">
        <w:tab/>
      </w:r>
      <w:r>
        <w:t>Jānis Bordāns</w:t>
      </w:r>
    </w:p>
    <w:p w14:paraId="0623EB2E" w14:textId="16378800" w:rsidR="00CC2BFD" w:rsidRDefault="00CC2BFD" w:rsidP="00CC2BFD">
      <w:pPr>
        <w:pStyle w:val="StyleRight"/>
        <w:spacing w:after="0"/>
        <w:ind w:firstLine="0"/>
        <w:jc w:val="both"/>
      </w:pPr>
    </w:p>
    <w:p w14:paraId="6B691FE5" w14:textId="77777777" w:rsidR="00CC2BFD" w:rsidRPr="00867633" w:rsidRDefault="00CC2BFD" w:rsidP="00CC2BFD">
      <w:pPr>
        <w:pStyle w:val="StyleRight"/>
        <w:spacing w:after="0"/>
        <w:ind w:firstLine="0"/>
        <w:jc w:val="both"/>
      </w:pPr>
    </w:p>
    <w:p w14:paraId="2B01E821" w14:textId="77777777" w:rsidR="00CC2BFD" w:rsidRPr="00DA6808" w:rsidRDefault="00CC2BFD" w:rsidP="00CC2BFD">
      <w:pPr>
        <w:pStyle w:val="StyleRight"/>
        <w:spacing w:after="0"/>
        <w:ind w:firstLine="0"/>
        <w:jc w:val="both"/>
      </w:pPr>
      <w:r w:rsidRPr="00DA6808">
        <w:t>Iesniedzējs:</w:t>
      </w:r>
    </w:p>
    <w:p w14:paraId="0332F81C" w14:textId="77777777" w:rsidR="00CC2BFD" w:rsidRPr="00DA6808" w:rsidRDefault="00CC2BFD" w:rsidP="00CC2BFD">
      <w:pPr>
        <w:pStyle w:val="StyleRight"/>
        <w:spacing w:after="0"/>
        <w:ind w:firstLine="0"/>
        <w:jc w:val="both"/>
      </w:pPr>
      <w:r w:rsidRPr="00DA6808">
        <w:t xml:space="preserve">Tieslietu ministrijas </w:t>
      </w:r>
    </w:p>
    <w:p w14:paraId="4A327938" w14:textId="738871B3" w:rsidR="00CC2BFD" w:rsidRPr="00CC2BFD" w:rsidRDefault="00CC2BFD" w:rsidP="00C04EE0">
      <w:pPr>
        <w:pStyle w:val="StyleRight"/>
        <w:tabs>
          <w:tab w:val="left" w:pos="7088"/>
        </w:tabs>
        <w:spacing w:after="0"/>
        <w:ind w:firstLine="0"/>
        <w:jc w:val="both"/>
        <w:rPr>
          <w:b/>
          <w:color w:val="000000"/>
        </w:rPr>
      </w:pPr>
      <w:r w:rsidRPr="00DA6808">
        <w:t>valsts sekretārs</w:t>
      </w:r>
      <w:r w:rsidR="00C04EE0">
        <w:tab/>
      </w:r>
      <w:r w:rsidRPr="00DA6808">
        <w:t>Raivis Kronbergs</w:t>
      </w:r>
    </w:p>
    <w:sectPr w:rsidR="00CC2BFD" w:rsidRPr="00CC2BFD" w:rsidSect="00645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F327" w14:textId="77777777" w:rsidR="00391504" w:rsidRDefault="00391504">
      <w:pPr>
        <w:pStyle w:val="Parastais"/>
      </w:pPr>
      <w:r>
        <w:separator/>
      </w:r>
    </w:p>
  </w:endnote>
  <w:endnote w:type="continuationSeparator" w:id="0">
    <w:p w14:paraId="5065B6B0" w14:textId="77777777" w:rsidR="00391504" w:rsidRDefault="00391504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F7A4" w14:textId="77777777" w:rsidR="00CC2BFD" w:rsidRDefault="00CC2BF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6C32" w14:textId="77777777" w:rsidR="00DA0889" w:rsidRDefault="00DA0889" w:rsidP="00DA0889">
    <w:pPr>
      <w:pStyle w:val="Parastais"/>
      <w:rPr>
        <w:sz w:val="20"/>
        <w:szCs w:val="20"/>
      </w:rPr>
    </w:pPr>
  </w:p>
  <w:p w14:paraId="1B7F8206" w14:textId="77777777" w:rsidR="00231199" w:rsidRPr="00DA0889" w:rsidRDefault="00DA0889" w:rsidP="00DA088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TMNotp_ddmmgg_pielikums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38E7" w14:textId="77777777" w:rsidR="00DA0889" w:rsidRDefault="00DA0889" w:rsidP="00DA0889">
    <w:pPr>
      <w:pStyle w:val="Parastais"/>
      <w:rPr>
        <w:sz w:val="20"/>
        <w:szCs w:val="20"/>
      </w:rPr>
    </w:pPr>
  </w:p>
  <w:p w14:paraId="7C93B6F4" w14:textId="1877BCC3" w:rsidR="00281085" w:rsidRPr="00DA0889" w:rsidRDefault="00DA0889" w:rsidP="00DA088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0654DB">
      <w:rPr>
        <w:noProof/>
        <w:sz w:val="20"/>
        <w:szCs w:val="20"/>
      </w:rPr>
      <w:t>TMNotp_100521_OPnot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513F" w14:textId="77777777" w:rsidR="00391504" w:rsidRDefault="00391504">
      <w:pPr>
        <w:pStyle w:val="Parastais"/>
      </w:pPr>
      <w:r>
        <w:separator/>
      </w:r>
    </w:p>
  </w:footnote>
  <w:footnote w:type="continuationSeparator" w:id="0">
    <w:p w14:paraId="57351EAE" w14:textId="77777777" w:rsidR="00391504" w:rsidRDefault="00391504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35A7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BC2B40" w14:textId="77777777" w:rsidR="00231199" w:rsidRDefault="0023119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9BBC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A088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3EE2D81" w14:textId="77777777" w:rsidR="00231199" w:rsidRDefault="0023119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B261" w14:textId="77777777" w:rsidR="00CC2BFD" w:rsidRDefault="00CC2BF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271F"/>
    <w:multiLevelType w:val="hybridMultilevel"/>
    <w:tmpl w:val="1D0808F6"/>
    <w:lvl w:ilvl="0" w:tplc="E19CB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EF2976"/>
    <w:multiLevelType w:val="hybridMultilevel"/>
    <w:tmpl w:val="57E66A4E"/>
    <w:lvl w:ilvl="0" w:tplc="DC88E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247EB"/>
    <w:rsid w:val="0003556E"/>
    <w:rsid w:val="0006488F"/>
    <w:rsid w:val="000654DB"/>
    <w:rsid w:val="00083D43"/>
    <w:rsid w:val="000E19F0"/>
    <w:rsid w:val="001A1589"/>
    <w:rsid w:val="001A5841"/>
    <w:rsid w:val="001A6249"/>
    <w:rsid w:val="001A6418"/>
    <w:rsid w:val="001B1D15"/>
    <w:rsid w:val="001D7A58"/>
    <w:rsid w:val="001F1046"/>
    <w:rsid w:val="00231199"/>
    <w:rsid w:val="002731C2"/>
    <w:rsid w:val="00275E9E"/>
    <w:rsid w:val="00281085"/>
    <w:rsid w:val="00291264"/>
    <w:rsid w:val="00293ACF"/>
    <w:rsid w:val="002A2959"/>
    <w:rsid w:val="002A3647"/>
    <w:rsid w:val="003037E0"/>
    <w:rsid w:val="0031030E"/>
    <w:rsid w:val="003164B1"/>
    <w:rsid w:val="003411E8"/>
    <w:rsid w:val="00391504"/>
    <w:rsid w:val="003A23CC"/>
    <w:rsid w:val="003A7268"/>
    <w:rsid w:val="003C7D15"/>
    <w:rsid w:val="003F3F09"/>
    <w:rsid w:val="00411547"/>
    <w:rsid w:val="004353D1"/>
    <w:rsid w:val="004B6F5C"/>
    <w:rsid w:val="004B79B0"/>
    <w:rsid w:val="005100E9"/>
    <w:rsid w:val="00550D21"/>
    <w:rsid w:val="00560955"/>
    <w:rsid w:val="00576312"/>
    <w:rsid w:val="00585EB1"/>
    <w:rsid w:val="005B2644"/>
    <w:rsid w:val="005B4254"/>
    <w:rsid w:val="005B6C0B"/>
    <w:rsid w:val="005F6D38"/>
    <w:rsid w:val="0064509C"/>
    <w:rsid w:val="006471E0"/>
    <w:rsid w:val="006502CC"/>
    <w:rsid w:val="00656FE8"/>
    <w:rsid w:val="006647BF"/>
    <w:rsid w:val="006674EE"/>
    <w:rsid w:val="006821B9"/>
    <w:rsid w:val="006F79DA"/>
    <w:rsid w:val="00742997"/>
    <w:rsid w:val="00744A55"/>
    <w:rsid w:val="00761BF2"/>
    <w:rsid w:val="00784296"/>
    <w:rsid w:val="007A3BD7"/>
    <w:rsid w:val="00802FF6"/>
    <w:rsid w:val="008809B6"/>
    <w:rsid w:val="00896E0B"/>
    <w:rsid w:val="008A5A6F"/>
    <w:rsid w:val="00946DDB"/>
    <w:rsid w:val="009616FD"/>
    <w:rsid w:val="00971A13"/>
    <w:rsid w:val="00983A27"/>
    <w:rsid w:val="00A177C6"/>
    <w:rsid w:val="00A5607D"/>
    <w:rsid w:val="00A85576"/>
    <w:rsid w:val="00AF276E"/>
    <w:rsid w:val="00B067F2"/>
    <w:rsid w:val="00B11FDD"/>
    <w:rsid w:val="00B32E99"/>
    <w:rsid w:val="00B60DEE"/>
    <w:rsid w:val="00B6218B"/>
    <w:rsid w:val="00B628A0"/>
    <w:rsid w:val="00B72F3B"/>
    <w:rsid w:val="00B7348A"/>
    <w:rsid w:val="00B95374"/>
    <w:rsid w:val="00B97C92"/>
    <w:rsid w:val="00BA6C90"/>
    <w:rsid w:val="00BB113A"/>
    <w:rsid w:val="00BC097E"/>
    <w:rsid w:val="00BD768D"/>
    <w:rsid w:val="00C04EE0"/>
    <w:rsid w:val="00CA7550"/>
    <w:rsid w:val="00CC2BFD"/>
    <w:rsid w:val="00CF41E8"/>
    <w:rsid w:val="00DA0889"/>
    <w:rsid w:val="00E26C27"/>
    <w:rsid w:val="00E401C8"/>
    <w:rsid w:val="00E56CB3"/>
    <w:rsid w:val="00F05F2E"/>
    <w:rsid w:val="00F21F66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327ECFC"/>
  <w15:chartTrackingRefBased/>
  <w15:docId w15:val="{3CC73002-668D-4806-8265-541A7345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sz w:val="24"/>
      <w:szCs w:val="24"/>
      <w:lang w:val="lv-LV" w:eastAsia="lv-LV"/>
    </w:rPr>
  </w:style>
  <w:style w:type="paragraph" w:customStyle="1" w:styleId="naislab">
    <w:name w:val="naislab"/>
    <w:basedOn w:val="Parastais"/>
    <w:rsid w:val="004B79B0"/>
    <w:pPr>
      <w:spacing w:before="75" w:after="75"/>
      <w:jc w:val="right"/>
    </w:pPr>
  </w:style>
  <w:style w:type="paragraph" w:styleId="Pamatteksts">
    <w:name w:val="Body Text"/>
    <w:basedOn w:val="Parastai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ais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ais"/>
    <w:rsid w:val="00411547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rsid w:val="00CC2BF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C2BFD"/>
    <w:rPr>
      <w:color w:val="605E5C"/>
      <w:shd w:val="clear" w:color="auto" w:fill="E1DFDD"/>
    </w:rPr>
  </w:style>
  <w:style w:type="table" w:styleId="Reatabula">
    <w:name w:val="Table Grid"/>
    <w:basedOn w:val="Parastatabula"/>
    <w:rsid w:val="00CC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Informācijas atkalizmantošanas maksas apmēri par dokumentiem elektroniskā formā, standartizētā apjomā un izmantojot specializētas sagatavošanas metodes</vt:lpstr>
      <vt:lpstr>1</vt:lpstr>
    </vt:vector>
  </TitlesOfParts>
  <Company>Tieslietu ministrja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Informācijas atkalizmantošanas maksas apmēri par dokumentiem elektroniskā formā, standartizētā apjomā un izmantojot specializētas sagatavošanas metodes</dc:title>
  <dc:subject>Ministru kabineta noteikumu pielikums</dc:subject>
  <dc:creator>Ilze Brazauska</dc:creator>
  <cp:keywords/>
  <dc:description>ilze.brazauska@tm.gov.lv, 67036933</dc:description>
  <cp:lastModifiedBy>Ilze Brazauska</cp:lastModifiedBy>
  <cp:revision>4</cp:revision>
  <cp:lastPrinted>2011-11-30T08:54:00Z</cp:lastPrinted>
  <dcterms:created xsi:type="dcterms:W3CDTF">2021-04-06T10:52:00Z</dcterms:created>
  <dcterms:modified xsi:type="dcterms:W3CDTF">2021-05-10T10:10:00Z</dcterms:modified>
</cp:coreProperties>
</file>