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5A188"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1202BB8C"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CB7025" w14:paraId="2218EC88" w14:textId="77777777">
        <w:trPr>
          <w:jc w:val="center"/>
        </w:trPr>
        <w:tc>
          <w:tcPr>
            <w:tcW w:w="10188" w:type="dxa"/>
            <w:tcBorders>
              <w:bottom w:val="single" w:sz="6" w:space="0" w:color="000000"/>
            </w:tcBorders>
          </w:tcPr>
          <w:p w14:paraId="0DE194DF" w14:textId="1E4E95EB" w:rsidR="007116C7" w:rsidRPr="00CB7025" w:rsidRDefault="001C70BE" w:rsidP="00CB7025">
            <w:pPr>
              <w:jc w:val="center"/>
              <w:rPr>
                <w:b/>
                <w:sz w:val="28"/>
                <w:szCs w:val="28"/>
              </w:rPr>
            </w:pPr>
            <w:r w:rsidRPr="001C70BE">
              <w:rPr>
                <w:b/>
                <w:sz w:val="28"/>
                <w:szCs w:val="28"/>
              </w:rPr>
              <w:t>Ministru kabineta rīkojuma projekt</w:t>
            </w:r>
            <w:r>
              <w:rPr>
                <w:b/>
                <w:sz w:val="28"/>
                <w:szCs w:val="28"/>
              </w:rPr>
              <w:t>am</w:t>
            </w:r>
            <w:r w:rsidR="00EE0F2F">
              <w:rPr>
                <w:b/>
                <w:sz w:val="28"/>
                <w:szCs w:val="28"/>
              </w:rPr>
              <w:t xml:space="preserve"> </w:t>
            </w:r>
            <w:r w:rsidRPr="001C70BE">
              <w:rPr>
                <w:b/>
                <w:sz w:val="28"/>
                <w:szCs w:val="28"/>
              </w:rPr>
              <w:t xml:space="preserve">“Par iekārtu sarakstu emisijas kvotu sadalei 2021.-2025. gadam” </w:t>
            </w:r>
            <w:r w:rsidR="00CB7025" w:rsidRPr="00CB7025">
              <w:rPr>
                <w:b/>
                <w:bCs/>
                <w:sz w:val="28"/>
                <w:szCs w:val="28"/>
              </w:rPr>
              <w:t>un tā sākotnējās ietekmes novērtējuma ziņojumam (anotācijai)</w:t>
            </w:r>
          </w:p>
        </w:tc>
      </w:tr>
    </w:tbl>
    <w:p w14:paraId="3136D5C1" w14:textId="77777777" w:rsidR="007B4C0F" w:rsidRPr="00712B66" w:rsidRDefault="007B4C0F" w:rsidP="00DB7395">
      <w:pPr>
        <w:pStyle w:val="naisf"/>
        <w:spacing w:before="0" w:after="0"/>
        <w:ind w:firstLine="720"/>
      </w:pPr>
    </w:p>
    <w:p w14:paraId="1FB3175F"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34944B37"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2E7A41DD"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8163D32"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48367431"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C144B26"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193D85B"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FDFF618"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DF0EB28" w14:textId="77777777" w:rsidR="005F4BFD" w:rsidRPr="00712B66" w:rsidRDefault="005F4BFD" w:rsidP="00364BB6">
            <w:pPr>
              <w:jc w:val="center"/>
            </w:pPr>
            <w:r w:rsidRPr="00712B66">
              <w:t>Projekta attiecīgā punkta (panta) galīgā redakcija</w:t>
            </w:r>
          </w:p>
        </w:tc>
      </w:tr>
      <w:tr w:rsidR="005F4BFD" w:rsidRPr="008A36C9" w14:paraId="541F9A82" w14:textId="77777777">
        <w:tc>
          <w:tcPr>
            <w:tcW w:w="708" w:type="dxa"/>
            <w:tcBorders>
              <w:top w:val="single" w:sz="6" w:space="0" w:color="000000"/>
              <w:left w:val="single" w:sz="6" w:space="0" w:color="000000"/>
              <w:bottom w:val="single" w:sz="6" w:space="0" w:color="000000"/>
              <w:right w:val="single" w:sz="6" w:space="0" w:color="000000"/>
            </w:tcBorders>
          </w:tcPr>
          <w:p w14:paraId="233D7714"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080E1229"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1EDB64D8"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1B883EA"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7EA992DA"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4A73B626" w14:textId="77777777" w:rsidR="005F4BFD" w:rsidRPr="008A36C9" w:rsidRDefault="008A36C9" w:rsidP="008A36C9">
            <w:pPr>
              <w:jc w:val="center"/>
              <w:rPr>
                <w:sz w:val="20"/>
                <w:szCs w:val="20"/>
              </w:rPr>
            </w:pPr>
            <w:r w:rsidRPr="008A36C9">
              <w:rPr>
                <w:sz w:val="20"/>
                <w:szCs w:val="20"/>
              </w:rPr>
              <w:t>6</w:t>
            </w:r>
          </w:p>
        </w:tc>
      </w:tr>
      <w:tr w:rsidR="00A52C5B" w:rsidRPr="008A36C9" w14:paraId="77E4D536" w14:textId="77777777" w:rsidTr="00A53095">
        <w:tc>
          <w:tcPr>
            <w:tcW w:w="708" w:type="dxa"/>
            <w:tcBorders>
              <w:top w:val="single" w:sz="6" w:space="0" w:color="000000"/>
              <w:left w:val="single" w:sz="6" w:space="0" w:color="000000"/>
              <w:bottom w:val="single" w:sz="6" w:space="0" w:color="000000"/>
              <w:right w:val="single" w:sz="6" w:space="0" w:color="000000"/>
            </w:tcBorders>
          </w:tcPr>
          <w:p w14:paraId="18A42BC7" w14:textId="20D48316" w:rsidR="00A52C5B" w:rsidRPr="008A36C9" w:rsidRDefault="00A52C5B" w:rsidP="00A52C5B">
            <w:pPr>
              <w:pStyle w:val="naisc"/>
              <w:spacing w:before="0" w:after="0"/>
              <w:rPr>
                <w:sz w:val="20"/>
                <w:szCs w:val="20"/>
              </w:rPr>
            </w:pPr>
            <w:r>
              <w:rPr>
                <w:sz w:val="20"/>
                <w:szCs w:val="20"/>
              </w:rPr>
              <w:t>1</w:t>
            </w:r>
          </w:p>
        </w:tc>
        <w:tc>
          <w:tcPr>
            <w:tcW w:w="3086" w:type="dxa"/>
            <w:tcBorders>
              <w:left w:val="single" w:sz="6" w:space="0" w:color="000000"/>
              <w:bottom w:val="single" w:sz="4" w:space="0" w:color="auto"/>
              <w:right w:val="single" w:sz="6" w:space="0" w:color="000000"/>
            </w:tcBorders>
          </w:tcPr>
          <w:p w14:paraId="6D30266A" w14:textId="7159553A" w:rsidR="00A52C5B" w:rsidRPr="008A36C9" w:rsidRDefault="00A52C5B" w:rsidP="000B0EE3">
            <w:pPr>
              <w:pStyle w:val="naisc"/>
              <w:spacing w:before="0" w:after="0"/>
              <w:jc w:val="left"/>
              <w:rPr>
                <w:sz w:val="20"/>
                <w:szCs w:val="20"/>
              </w:rPr>
            </w:pPr>
            <w:r w:rsidRPr="000F2522">
              <w:rPr>
                <w:b/>
                <w:bCs/>
              </w:rPr>
              <w:t>Noteikumu projekta anotācijā sākotnējās redakcijas nav</w:t>
            </w:r>
          </w:p>
        </w:tc>
        <w:tc>
          <w:tcPr>
            <w:tcW w:w="3118" w:type="dxa"/>
            <w:tcBorders>
              <w:left w:val="single" w:sz="6" w:space="0" w:color="000000"/>
              <w:bottom w:val="single" w:sz="4" w:space="0" w:color="auto"/>
              <w:right w:val="single" w:sz="6" w:space="0" w:color="000000"/>
            </w:tcBorders>
          </w:tcPr>
          <w:p w14:paraId="0B278F21" w14:textId="77777777" w:rsidR="00A52C5B" w:rsidRDefault="00A52C5B" w:rsidP="00A52C5B">
            <w:pPr>
              <w:widowControl w:val="0"/>
              <w:jc w:val="both"/>
              <w:rPr>
                <w:b/>
              </w:rPr>
            </w:pPr>
            <w:r>
              <w:rPr>
                <w:b/>
              </w:rPr>
              <w:t>Ekonomikas ministrija, 16.04</w:t>
            </w:r>
            <w:r w:rsidRPr="0028614E">
              <w:rPr>
                <w:b/>
              </w:rPr>
              <w:t>. atzinums</w:t>
            </w:r>
            <w:r>
              <w:rPr>
                <w:b/>
              </w:rPr>
              <w:t xml:space="preserve"> </w:t>
            </w:r>
            <w:r w:rsidRPr="00017333">
              <w:rPr>
                <w:b/>
              </w:rPr>
              <w:t>Nr</w:t>
            </w:r>
            <w:r>
              <w:rPr>
                <w:b/>
              </w:rPr>
              <w:t xml:space="preserve">. </w:t>
            </w:r>
            <w:r w:rsidRPr="000F2522">
              <w:rPr>
                <w:b/>
              </w:rPr>
              <w:t>3.1-20/2021/103</w:t>
            </w:r>
            <w:r>
              <w:rPr>
                <w:b/>
              </w:rPr>
              <w:t>:</w:t>
            </w:r>
          </w:p>
          <w:p w14:paraId="07AA9E9D" w14:textId="77777777" w:rsidR="00A52C5B" w:rsidRDefault="00A52C5B" w:rsidP="00A52C5B">
            <w:pPr>
              <w:widowControl w:val="0"/>
              <w:jc w:val="both"/>
              <w:rPr>
                <w:b/>
              </w:rPr>
            </w:pPr>
          </w:p>
          <w:p w14:paraId="3793944C" w14:textId="77777777" w:rsidR="00A52C5B" w:rsidRDefault="00A52C5B" w:rsidP="00A52C5B">
            <w:pPr>
              <w:pStyle w:val="naisc"/>
              <w:spacing w:before="0" w:after="0"/>
              <w:jc w:val="both"/>
            </w:pPr>
            <w:r>
              <w:t>1)</w:t>
            </w:r>
            <w:r w:rsidRPr="000F2522">
              <w:t xml:space="preserve">Ņemot vērā, ka rīkojuma projekts ir Ministru kabineta 2019. gada 14. septembra rīkojuma Nr.458 “Par iekārtu sarakstu emisijas kvotu sadalei 2021.-2025. gadam” (turpmāk – rīkojums) grozījums, lūgums anotācijā sniegt detālus </w:t>
            </w:r>
            <w:r w:rsidRPr="000B1A18">
              <w:t xml:space="preserve">datus par rīkojuma projekta ietekmi uz katru Eiropas Savienības Emisijas kvotu tirdzniecības sistēmā iekļauto Latvijas </w:t>
            </w:r>
            <w:r w:rsidRPr="000B1A18">
              <w:lastRenderedPageBreak/>
              <w:t>komersantu, sniedzot detālus datus par katra komersanta rīkojumā un rīkojuma projektā noteikto emisijas kvotu apjoma izmaiņām, kā arī lūgums iekļaut datus par katra komersanta emisijas kvotu piešķīrumu 2020.gadā un 2021.gadā.</w:t>
            </w:r>
          </w:p>
          <w:p w14:paraId="33AD0858" w14:textId="77777777" w:rsidR="00A52C5B" w:rsidRDefault="00A52C5B" w:rsidP="00A52C5B">
            <w:pPr>
              <w:pStyle w:val="naisc"/>
              <w:spacing w:before="0" w:after="0"/>
              <w:jc w:val="both"/>
            </w:pPr>
          </w:p>
          <w:p w14:paraId="1025DE8E" w14:textId="77777777" w:rsidR="00A52C5B" w:rsidRDefault="00A52C5B" w:rsidP="00A52C5B">
            <w:pPr>
              <w:pStyle w:val="naisc"/>
              <w:spacing w:before="0" w:after="0"/>
              <w:jc w:val="both"/>
              <w:rPr>
                <w:b/>
                <w:bCs/>
              </w:rPr>
            </w:pPr>
            <w:r w:rsidRPr="00EA205A">
              <w:rPr>
                <w:b/>
                <w:bCs/>
              </w:rPr>
              <w:t>Ekonomikas ministrija, 22.04. atzinums Nr. 3.1-20/2021/110</w:t>
            </w:r>
            <w:r>
              <w:rPr>
                <w:b/>
                <w:bCs/>
              </w:rPr>
              <w:t>:</w:t>
            </w:r>
          </w:p>
          <w:p w14:paraId="6B3EA864" w14:textId="17D7A51C" w:rsidR="00A52C5B" w:rsidRPr="008A36C9" w:rsidRDefault="00A52C5B" w:rsidP="00DD3804">
            <w:pPr>
              <w:pStyle w:val="naisc"/>
              <w:spacing w:before="0" w:after="0"/>
              <w:jc w:val="both"/>
              <w:rPr>
                <w:sz w:val="20"/>
                <w:szCs w:val="20"/>
              </w:rPr>
            </w:pPr>
            <w:r w:rsidRPr="00EA205A">
              <w:t>Uzturot Ministrijas 2021.gada</w:t>
            </w:r>
            <w:r>
              <w:t xml:space="preserve"> </w:t>
            </w:r>
            <w:r w:rsidRPr="00EA205A">
              <w:t xml:space="preserve">16.aprīļa atzinumā Nr. 3.1-20/2021/103 iekļauto pirmo iebildumu, norādām, ka ir īpaši svarīgi, apstiprinot jebkādu tiesību aktu, sniegt Ministru kabineta locekļiem pilnīgu informāciju par tiesību akta projekta ietekmi uz komersantiem un sabiedrību, lai Ministru kabineta locekļi uzņemtos pilnīgu atbildību par šī tiesību akta ietekmi uz sabiedrības izmaksām. Tāpēc anotācijā iekļautais vidējais emisijas kvotu apjoma samazinājums visiem Eiropas Savienības Emisijas kvotu tirdzniecības sistēmas </w:t>
            </w:r>
            <w:r w:rsidRPr="00EA205A">
              <w:lastRenderedPageBreak/>
              <w:t>(turpmāk – ES ETS) Latvijas operatoriem kopā pēc būtības nesniedz pilnīgu informāciju par rīkojuma projekta ietekmi uz komersantiem un sabiedrību, jo ES ETS ir iekļauti dažādi komersanti – centralizētās siltumapgādes komersanti un dažādu tautsaimniecības nozaru rūpnieciskās ražošanas komersanti. Tāpēc uzskatām, ka anotācijā ir jāiekļauj uzskatāmi dati par emisijas kvotu piešķīruma izmaiņām salīdzinot rīkojuma projektu ar Ministru kabineta 2019. gada 14. septembra rīkojumā Nr.458 “Par iekārtu sarakstu emisijas kvotu sadalei 2021.-2025. gadam” noteikto emisijas kvotu apjomu, kā arī salīdzinot ar 2020.gada emisijas kvotu piešķīrumu vismaz sadalījumā pa komersantu tipiem.</w:t>
            </w:r>
          </w:p>
        </w:tc>
        <w:tc>
          <w:tcPr>
            <w:tcW w:w="2977" w:type="dxa"/>
            <w:tcBorders>
              <w:left w:val="single" w:sz="6" w:space="0" w:color="000000"/>
              <w:bottom w:val="single" w:sz="4" w:space="0" w:color="auto"/>
              <w:right w:val="single" w:sz="6" w:space="0" w:color="000000"/>
            </w:tcBorders>
          </w:tcPr>
          <w:p w14:paraId="7DD52887" w14:textId="6B86F1EC" w:rsidR="00A52C5B" w:rsidRDefault="00A52C5B" w:rsidP="00A52C5B">
            <w:pPr>
              <w:rPr>
                <w:b/>
                <w:bCs/>
              </w:rPr>
            </w:pPr>
            <w:r>
              <w:rPr>
                <w:b/>
                <w:bCs/>
              </w:rPr>
              <w:lastRenderedPageBreak/>
              <w:t xml:space="preserve">Daļēji </w:t>
            </w:r>
            <w:r w:rsidR="00A478B3">
              <w:rPr>
                <w:b/>
                <w:bCs/>
              </w:rPr>
              <w:t>ņemts vērā</w:t>
            </w:r>
            <w:r w:rsidR="006A173D">
              <w:rPr>
                <w:b/>
                <w:bCs/>
              </w:rPr>
              <w:t xml:space="preserve"> </w:t>
            </w:r>
          </w:p>
          <w:p w14:paraId="7580CBDC" w14:textId="77777777" w:rsidR="00A52C5B" w:rsidRDefault="00A52C5B" w:rsidP="00A52C5B">
            <w:pPr>
              <w:jc w:val="both"/>
              <w:rPr>
                <w:color w:val="4472C4"/>
              </w:rPr>
            </w:pPr>
            <w:r>
              <w:rPr>
                <w:color w:val="4472C4"/>
              </w:rPr>
              <w:t xml:space="preserve"> </w:t>
            </w:r>
          </w:p>
          <w:p w14:paraId="5DCEF625" w14:textId="77777777" w:rsidR="00A52C5B" w:rsidRPr="008A36C9" w:rsidRDefault="00A52C5B" w:rsidP="00A52C5B">
            <w:pPr>
              <w:pStyle w:val="naisc"/>
              <w:spacing w:before="0" w:after="0"/>
              <w:ind w:firstLine="720"/>
              <w:rPr>
                <w:sz w:val="20"/>
                <w:szCs w:val="20"/>
              </w:rPr>
            </w:pPr>
          </w:p>
        </w:tc>
        <w:tc>
          <w:tcPr>
            <w:tcW w:w="2459" w:type="dxa"/>
            <w:tcBorders>
              <w:top w:val="single" w:sz="4" w:space="0" w:color="auto"/>
              <w:left w:val="single" w:sz="4" w:space="0" w:color="auto"/>
              <w:bottom w:val="single" w:sz="4" w:space="0" w:color="auto"/>
            </w:tcBorders>
          </w:tcPr>
          <w:p w14:paraId="67C5BFFB" w14:textId="5BB9220B" w:rsidR="00A52C5B" w:rsidRPr="008A36C9" w:rsidRDefault="00A52C5B" w:rsidP="00A52C5B">
            <w:pPr>
              <w:jc w:val="center"/>
              <w:rPr>
                <w:sz w:val="20"/>
                <w:szCs w:val="20"/>
              </w:rPr>
            </w:pPr>
          </w:p>
        </w:tc>
        <w:tc>
          <w:tcPr>
            <w:tcW w:w="1920" w:type="dxa"/>
            <w:tcBorders>
              <w:left w:val="single" w:sz="6" w:space="0" w:color="000000"/>
              <w:bottom w:val="single" w:sz="4" w:space="0" w:color="auto"/>
              <w:right w:val="single" w:sz="6" w:space="0" w:color="000000"/>
            </w:tcBorders>
          </w:tcPr>
          <w:p w14:paraId="0DC22907" w14:textId="77777777" w:rsidR="00C020D1" w:rsidRPr="00183421" w:rsidRDefault="00C020D1" w:rsidP="000B0EE3">
            <w:r w:rsidRPr="00183421">
              <w:t>Papildināts anotācijas I. sadaļas 2. punkts.</w:t>
            </w:r>
          </w:p>
          <w:p w14:paraId="3823B687" w14:textId="77777777" w:rsidR="00C020D1" w:rsidRPr="00183421" w:rsidRDefault="00C020D1" w:rsidP="000B0EE3"/>
          <w:p w14:paraId="2862F885" w14:textId="2AE5420D" w:rsidR="00A52C5B" w:rsidRPr="008A36C9" w:rsidRDefault="00C020D1" w:rsidP="00DD3804">
            <w:pPr>
              <w:jc w:val="both"/>
              <w:rPr>
                <w:sz w:val="20"/>
                <w:szCs w:val="20"/>
              </w:rPr>
            </w:pPr>
            <w:r w:rsidRPr="00183421">
              <w:t>Pievienots anotācijas pielikums uz piecām lapām.</w:t>
            </w:r>
          </w:p>
        </w:tc>
      </w:tr>
      <w:tr w:rsidR="00A52C5B" w:rsidRPr="008A36C9" w14:paraId="20733CAE" w14:textId="77777777" w:rsidTr="00A53095">
        <w:tc>
          <w:tcPr>
            <w:tcW w:w="708" w:type="dxa"/>
            <w:tcBorders>
              <w:top w:val="single" w:sz="6" w:space="0" w:color="000000"/>
              <w:left w:val="single" w:sz="6" w:space="0" w:color="000000"/>
              <w:bottom w:val="single" w:sz="6" w:space="0" w:color="000000"/>
              <w:right w:val="single" w:sz="6" w:space="0" w:color="000000"/>
            </w:tcBorders>
          </w:tcPr>
          <w:p w14:paraId="4696BFD5" w14:textId="52E7792E" w:rsidR="00A52C5B" w:rsidRDefault="00A52C5B" w:rsidP="00A52C5B">
            <w:pPr>
              <w:pStyle w:val="naisc"/>
              <w:spacing w:before="0" w:after="0"/>
              <w:rPr>
                <w:sz w:val="20"/>
                <w:szCs w:val="20"/>
              </w:rPr>
            </w:pPr>
            <w:r>
              <w:rPr>
                <w:sz w:val="20"/>
                <w:szCs w:val="20"/>
              </w:rPr>
              <w:lastRenderedPageBreak/>
              <w:t>2</w:t>
            </w:r>
          </w:p>
        </w:tc>
        <w:tc>
          <w:tcPr>
            <w:tcW w:w="3086" w:type="dxa"/>
            <w:tcBorders>
              <w:left w:val="single" w:sz="6" w:space="0" w:color="000000"/>
              <w:right w:val="single" w:sz="6" w:space="0" w:color="000000"/>
            </w:tcBorders>
          </w:tcPr>
          <w:p w14:paraId="204A22C0" w14:textId="72FEFECC" w:rsidR="00A52C5B" w:rsidRPr="008A36C9" w:rsidRDefault="00A52C5B" w:rsidP="00A725C1">
            <w:pPr>
              <w:pStyle w:val="naisc"/>
              <w:spacing w:before="0" w:after="0"/>
              <w:jc w:val="left"/>
              <w:rPr>
                <w:sz w:val="20"/>
                <w:szCs w:val="20"/>
              </w:rPr>
            </w:pPr>
            <w:r w:rsidRPr="000F2522">
              <w:rPr>
                <w:b/>
                <w:bCs/>
              </w:rPr>
              <w:t xml:space="preserve">Noteikumu projekta anotācijā sākotnējās redakcijas nav </w:t>
            </w:r>
          </w:p>
        </w:tc>
        <w:tc>
          <w:tcPr>
            <w:tcW w:w="3118" w:type="dxa"/>
            <w:tcBorders>
              <w:left w:val="single" w:sz="6" w:space="0" w:color="000000"/>
              <w:right w:val="single" w:sz="6" w:space="0" w:color="000000"/>
            </w:tcBorders>
          </w:tcPr>
          <w:p w14:paraId="3B81D7DD" w14:textId="77777777" w:rsidR="00A52C5B" w:rsidRDefault="00A52C5B" w:rsidP="00A52C5B">
            <w:pPr>
              <w:widowControl w:val="0"/>
              <w:jc w:val="both"/>
              <w:rPr>
                <w:b/>
              </w:rPr>
            </w:pPr>
            <w:r w:rsidRPr="000F2522">
              <w:rPr>
                <w:b/>
              </w:rPr>
              <w:t>Ekonomikas ministrija, 16.04. atzinums Nr. 3.1-20/2021/103:</w:t>
            </w:r>
          </w:p>
          <w:p w14:paraId="7F430795" w14:textId="77777777" w:rsidR="00A52C5B" w:rsidRPr="000F2522" w:rsidRDefault="00A52C5B" w:rsidP="00A52C5B">
            <w:pPr>
              <w:widowControl w:val="0"/>
              <w:jc w:val="both"/>
              <w:rPr>
                <w:bCs/>
              </w:rPr>
            </w:pPr>
            <w:r w:rsidRPr="000F2522">
              <w:rPr>
                <w:bCs/>
              </w:rPr>
              <w:t>2)</w:t>
            </w:r>
            <w:r>
              <w:rPr>
                <w:bCs/>
              </w:rPr>
              <w:t xml:space="preserve"> </w:t>
            </w:r>
            <w:r w:rsidRPr="000F2522">
              <w:rPr>
                <w:bCs/>
              </w:rPr>
              <w:t>Lūgums anotācijas II sadaļas 2.punkta 2.rindkopu izteikt šādā redakcijā:</w:t>
            </w:r>
          </w:p>
          <w:p w14:paraId="4986D836" w14:textId="77777777" w:rsidR="00A52C5B" w:rsidRPr="000F2522" w:rsidRDefault="00A52C5B" w:rsidP="00A52C5B">
            <w:pPr>
              <w:widowControl w:val="0"/>
              <w:jc w:val="both"/>
              <w:rPr>
                <w:bCs/>
              </w:rPr>
            </w:pPr>
            <w:r w:rsidRPr="000F2522">
              <w:rPr>
                <w:bCs/>
              </w:rPr>
              <w:lastRenderedPageBreak/>
              <w:t xml:space="preserve">“Latvijā politiski tiek atbalstīta ambicioza klimata politika, tai skaitā ES ETS sektorā, kurā Latvija iesaistījusies jau kopš 2005. gada. Vienlaikus paredzams, ka rīkojuma projektā piemēroto </w:t>
            </w:r>
            <w:proofErr w:type="spellStart"/>
            <w:r w:rsidRPr="000F2522">
              <w:rPr>
                <w:bCs/>
              </w:rPr>
              <w:t>līmeņatzīmju</w:t>
            </w:r>
            <w:proofErr w:type="spellEnd"/>
            <w:r w:rsidRPr="000F2522">
              <w:rPr>
                <w:bCs/>
              </w:rPr>
              <w:t xml:space="preserve"> samazināšana negatīvi ietekmēs Eiropas Savienības Emisijas kvotu tirdzniecības sistēmā iekļautos Latvijas komersantus, kas sekojoši var radīt negatīvu ietekmi uz atsevišķām tautsaimniecības nozarēm un sabiedrību. Samazināto </w:t>
            </w:r>
            <w:proofErr w:type="spellStart"/>
            <w:r w:rsidRPr="000F2522">
              <w:rPr>
                <w:bCs/>
              </w:rPr>
              <w:t>līmeņatzīmju</w:t>
            </w:r>
            <w:proofErr w:type="spellEnd"/>
            <w:r w:rsidRPr="000F2522">
              <w:rPr>
                <w:bCs/>
              </w:rPr>
              <w:t xml:space="preserve"> piemērošana un emisijas kvotu piešķīruma samazinājums centralizētās siltumapgādes operatoriem palielinās siltumenerģijas tarifus minētajām sistēmās pieslēgtajiem lietotājiem, savukārt samazināto </w:t>
            </w:r>
            <w:proofErr w:type="spellStart"/>
            <w:r w:rsidRPr="000F2522">
              <w:rPr>
                <w:bCs/>
              </w:rPr>
              <w:t>līmeņatzīmju</w:t>
            </w:r>
            <w:proofErr w:type="spellEnd"/>
            <w:r w:rsidRPr="000F2522">
              <w:rPr>
                <w:bCs/>
              </w:rPr>
              <w:t xml:space="preserve"> piemērošana citiem komersantiem varētu ietekmēt to produkcijas ražošanas izmaksas un konkurētspēju.”</w:t>
            </w:r>
          </w:p>
          <w:p w14:paraId="55217DD6" w14:textId="77777777" w:rsidR="00A52C5B" w:rsidRPr="000F2522" w:rsidRDefault="00A52C5B" w:rsidP="00A52C5B">
            <w:pPr>
              <w:widowControl w:val="0"/>
              <w:jc w:val="both"/>
              <w:rPr>
                <w:bCs/>
              </w:rPr>
            </w:pPr>
            <w:r w:rsidRPr="000F2522">
              <w:rPr>
                <w:bCs/>
              </w:rPr>
              <w:t xml:space="preserve">Norādām, ka šobrīd nav politiski atbalstīti nekādi </w:t>
            </w:r>
            <w:r w:rsidRPr="000F2522">
              <w:rPr>
                <w:bCs/>
              </w:rPr>
              <w:lastRenderedPageBreak/>
              <w:t>mērķi, izņemot kopējā Eiropas Savienības siltumnīcefekta gāzu emisiju samazināšanas mērķa palielināšana līdz -55%, un šobrīd spēkā ir tie mērķi, kas ir noteikti Latvijas Nacionālajā enerģētikas un klimata plānā 2021.-2030.gadam.</w:t>
            </w:r>
          </w:p>
          <w:p w14:paraId="5723E775" w14:textId="00E55C01" w:rsidR="00A52C5B" w:rsidRPr="008A36C9" w:rsidRDefault="00A52C5B" w:rsidP="005F170F">
            <w:pPr>
              <w:pStyle w:val="naisc"/>
              <w:spacing w:before="0" w:after="0"/>
              <w:ind w:firstLine="720"/>
              <w:jc w:val="both"/>
              <w:rPr>
                <w:sz w:val="20"/>
                <w:szCs w:val="20"/>
              </w:rPr>
            </w:pPr>
            <w:r w:rsidRPr="000F2522">
              <w:rPr>
                <w:bCs/>
              </w:rPr>
              <w:t xml:space="preserve">Norādām, ka detalizētus argumentus par Komisijas 2021. gada 12. marta īstenošanas regulas (ES) 2021/447, ar ko nosaka pārskatītās </w:t>
            </w:r>
            <w:proofErr w:type="spellStart"/>
            <w:r w:rsidRPr="000F2522">
              <w:rPr>
                <w:bCs/>
              </w:rPr>
              <w:t>līmeņatzīmju</w:t>
            </w:r>
            <w:proofErr w:type="spellEnd"/>
            <w:r w:rsidRPr="000F2522">
              <w:rPr>
                <w:bCs/>
              </w:rPr>
              <w:t xml:space="preserve"> vērtības bezmaksas emisijas kvotu iedalei 2021.–2025. gada periodam saskaņā ar Eiropas Parlamenta un Padomes Direktīvas 2003/87/EK 10.a panta 2. punktu (turpmāk – regula 2021/447) ietekmi Ekonomikas ministrija sniedza Vides aizsardzības un reģionālās attīstības ministrijai, kad tika skaņots Latvijas viedoklis (pozīcija) pirms regulas 2021/447 apstiprināšanas. Atgādinām, ka Ekonomikas ministrija </w:t>
            </w:r>
            <w:r w:rsidRPr="000F2522">
              <w:rPr>
                <w:bCs/>
              </w:rPr>
              <w:lastRenderedPageBreak/>
              <w:t>uzturēja negatīvu viedokli par minēto regulu.</w:t>
            </w:r>
          </w:p>
        </w:tc>
        <w:tc>
          <w:tcPr>
            <w:tcW w:w="2977" w:type="dxa"/>
            <w:tcBorders>
              <w:left w:val="single" w:sz="6" w:space="0" w:color="000000"/>
              <w:right w:val="single" w:sz="6" w:space="0" w:color="000000"/>
            </w:tcBorders>
          </w:tcPr>
          <w:p w14:paraId="177346D4" w14:textId="1BD43E41" w:rsidR="00A52C5B" w:rsidRPr="008A36C9" w:rsidRDefault="00A725C1" w:rsidP="00A725C1">
            <w:pPr>
              <w:pStyle w:val="naisc"/>
              <w:spacing w:before="0" w:after="0"/>
              <w:ind w:firstLine="720"/>
              <w:jc w:val="left"/>
              <w:rPr>
                <w:sz w:val="20"/>
                <w:szCs w:val="20"/>
              </w:rPr>
            </w:pPr>
            <w:r w:rsidRPr="00A725C1">
              <w:rPr>
                <w:b/>
                <w:bCs/>
              </w:rPr>
              <w:lastRenderedPageBreak/>
              <w:t>Daļēji ņemts vērā</w:t>
            </w:r>
          </w:p>
        </w:tc>
        <w:tc>
          <w:tcPr>
            <w:tcW w:w="2459" w:type="dxa"/>
            <w:tcBorders>
              <w:top w:val="single" w:sz="4" w:space="0" w:color="auto"/>
              <w:left w:val="single" w:sz="4" w:space="0" w:color="auto"/>
              <w:bottom w:val="single" w:sz="4" w:space="0" w:color="auto"/>
            </w:tcBorders>
          </w:tcPr>
          <w:p w14:paraId="3C70E5E4" w14:textId="68CBEC02" w:rsidR="00A52C5B" w:rsidRPr="008A36C9" w:rsidRDefault="00A52C5B" w:rsidP="00A52C5B">
            <w:pPr>
              <w:jc w:val="center"/>
              <w:rPr>
                <w:sz w:val="20"/>
                <w:szCs w:val="20"/>
              </w:rPr>
            </w:pPr>
          </w:p>
        </w:tc>
        <w:tc>
          <w:tcPr>
            <w:tcW w:w="1920" w:type="dxa"/>
            <w:tcBorders>
              <w:left w:val="single" w:sz="6" w:space="0" w:color="000000"/>
              <w:right w:val="single" w:sz="6" w:space="0" w:color="000000"/>
            </w:tcBorders>
          </w:tcPr>
          <w:p w14:paraId="5230427B" w14:textId="7229E616" w:rsidR="00A52C5B" w:rsidRPr="008A36C9" w:rsidRDefault="00A725C1" w:rsidP="00A725C1">
            <w:pPr>
              <w:rPr>
                <w:sz w:val="20"/>
                <w:szCs w:val="20"/>
              </w:rPr>
            </w:pPr>
            <w:r>
              <w:t xml:space="preserve">Precizēta anotācijas </w:t>
            </w:r>
            <w:r w:rsidRPr="002C1A24">
              <w:t>II</w:t>
            </w:r>
            <w:r>
              <w:t>.</w:t>
            </w:r>
            <w:r w:rsidRPr="002C1A24">
              <w:t xml:space="preserve"> sadaļas 2.punkta 2.rindkop</w:t>
            </w:r>
            <w:r>
              <w:t>a.</w:t>
            </w:r>
          </w:p>
        </w:tc>
      </w:tr>
    </w:tbl>
    <w:p w14:paraId="5B774ABC" w14:textId="77777777" w:rsidR="007B4C0F" w:rsidRPr="00712B66" w:rsidRDefault="007B4C0F" w:rsidP="007B4C0F">
      <w:pPr>
        <w:pStyle w:val="naisf"/>
        <w:spacing w:before="0" w:after="0"/>
        <w:ind w:firstLine="0"/>
      </w:pPr>
    </w:p>
    <w:p w14:paraId="0A7B0284"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C1C2ADE"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F323E6" w:rsidRPr="00712B66" w14:paraId="1D1A0A29" w14:textId="77777777">
        <w:tc>
          <w:tcPr>
            <w:tcW w:w="6345" w:type="dxa"/>
          </w:tcPr>
          <w:p w14:paraId="4FA540DE" w14:textId="77777777" w:rsidR="00F323E6" w:rsidRPr="00712B66" w:rsidRDefault="00F323E6" w:rsidP="00F323E6">
            <w:pPr>
              <w:pStyle w:val="naisf"/>
              <w:spacing w:before="0" w:after="0"/>
              <w:ind w:firstLine="0"/>
            </w:pPr>
            <w:r w:rsidRPr="00712B66">
              <w:t>Datums</w:t>
            </w:r>
          </w:p>
        </w:tc>
        <w:tc>
          <w:tcPr>
            <w:tcW w:w="6237" w:type="dxa"/>
            <w:tcBorders>
              <w:bottom w:val="single" w:sz="4" w:space="0" w:color="auto"/>
            </w:tcBorders>
          </w:tcPr>
          <w:p w14:paraId="11B663A9" w14:textId="77777777" w:rsidR="00870BC6" w:rsidRPr="00712B66" w:rsidRDefault="000B1A18" w:rsidP="00F323E6">
            <w:pPr>
              <w:pStyle w:val="NormalWeb"/>
              <w:spacing w:before="0" w:beforeAutospacing="0" w:after="0" w:afterAutospacing="0"/>
              <w:jc w:val="both"/>
            </w:pPr>
            <w:r w:rsidRPr="000B1A18">
              <w:t>Elektroniskajai saskaņošanai nosūtīts 202</w:t>
            </w:r>
            <w:r>
              <w:t>1</w:t>
            </w:r>
            <w:r w:rsidRPr="000B1A18">
              <w:t>.gada 1</w:t>
            </w:r>
            <w:r>
              <w:t>9</w:t>
            </w:r>
            <w:r w:rsidRPr="000B1A18">
              <w:t>.</w:t>
            </w:r>
            <w:r>
              <w:t>aprīlī</w:t>
            </w:r>
            <w:r w:rsidRPr="000B1A18">
              <w:t>.</w:t>
            </w:r>
          </w:p>
        </w:tc>
      </w:tr>
      <w:tr w:rsidR="00F323E6" w:rsidRPr="00712B66" w14:paraId="05B5CA37" w14:textId="77777777">
        <w:tc>
          <w:tcPr>
            <w:tcW w:w="6345" w:type="dxa"/>
          </w:tcPr>
          <w:p w14:paraId="0B04907A" w14:textId="77777777" w:rsidR="00F323E6" w:rsidRPr="00712B66" w:rsidRDefault="00F323E6" w:rsidP="00F323E6">
            <w:pPr>
              <w:pStyle w:val="naisf"/>
              <w:spacing w:before="0" w:after="0"/>
              <w:ind w:firstLine="0"/>
            </w:pPr>
          </w:p>
        </w:tc>
        <w:tc>
          <w:tcPr>
            <w:tcW w:w="6237" w:type="dxa"/>
            <w:tcBorders>
              <w:top w:val="single" w:sz="4" w:space="0" w:color="auto"/>
            </w:tcBorders>
          </w:tcPr>
          <w:p w14:paraId="49275A08" w14:textId="77777777" w:rsidR="00F323E6" w:rsidRPr="00712B66" w:rsidRDefault="00F323E6" w:rsidP="00F323E6">
            <w:pPr>
              <w:pStyle w:val="NormalWeb"/>
              <w:spacing w:before="0" w:beforeAutospacing="0" w:after="0" w:afterAutospacing="0"/>
              <w:ind w:firstLine="720"/>
            </w:pPr>
          </w:p>
        </w:tc>
      </w:tr>
      <w:tr w:rsidR="00F323E6" w:rsidRPr="00712B66" w14:paraId="7A45286B" w14:textId="77777777" w:rsidTr="000B1A18">
        <w:trPr>
          <w:trHeight w:val="1220"/>
        </w:trPr>
        <w:tc>
          <w:tcPr>
            <w:tcW w:w="6345" w:type="dxa"/>
          </w:tcPr>
          <w:p w14:paraId="2A1B4346" w14:textId="77777777" w:rsidR="00F323E6" w:rsidRPr="00712B66" w:rsidRDefault="00F323E6" w:rsidP="00F323E6">
            <w:pPr>
              <w:pStyle w:val="naiskr"/>
              <w:spacing w:before="0" w:after="0"/>
            </w:pPr>
            <w:r>
              <w:t>Saskaņošanas d</w:t>
            </w:r>
            <w:r w:rsidRPr="00712B66">
              <w:t>alībnieki</w:t>
            </w:r>
          </w:p>
        </w:tc>
        <w:tc>
          <w:tcPr>
            <w:tcW w:w="6237" w:type="dxa"/>
          </w:tcPr>
          <w:p w14:paraId="72F09D1B" w14:textId="77777777" w:rsidR="00F323E6" w:rsidRDefault="001C70BE" w:rsidP="00F323E6">
            <w:pPr>
              <w:pStyle w:val="NormalWeb"/>
              <w:spacing w:before="0" w:beforeAutospacing="0" w:after="0" w:afterAutospacing="0"/>
            </w:pPr>
            <w:r w:rsidRPr="001C70BE">
              <w:t>Finanšu</w:t>
            </w:r>
            <w:r w:rsidR="00F323E6">
              <w:t xml:space="preserve"> ministrija (</w:t>
            </w:r>
            <w:r>
              <w:t>14</w:t>
            </w:r>
            <w:r w:rsidR="00F323E6">
              <w:t>.</w:t>
            </w:r>
            <w:r>
              <w:t>04</w:t>
            </w:r>
            <w:r w:rsidR="00F323E6">
              <w:t>.202</w:t>
            </w:r>
            <w:r>
              <w:t>1</w:t>
            </w:r>
            <w:r w:rsidR="00F323E6">
              <w:t>.)</w:t>
            </w:r>
          </w:p>
          <w:p w14:paraId="13C81C5B" w14:textId="77777777" w:rsidR="00F323E6" w:rsidRDefault="00F323E6" w:rsidP="00F323E6">
            <w:pPr>
              <w:pStyle w:val="NormalWeb"/>
              <w:spacing w:before="0" w:beforeAutospacing="0" w:after="0" w:afterAutospacing="0"/>
            </w:pPr>
            <w:r>
              <w:t xml:space="preserve">Tieslietu </w:t>
            </w:r>
            <w:r w:rsidRPr="00DB0C4A">
              <w:t>ministrija (</w:t>
            </w:r>
            <w:r w:rsidR="001C70BE">
              <w:t>12</w:t>
            </w:r>
            <w:r w:rsidRPr="00DB0C4A">
              <w:t>.</w:t>
            </w:r>
            <w:r w:rsidR="001C70BE">
              <w:t>04</w:t>
            </w:r>
            <w:r w:rsidRPr="00DB0C4A">
              <w:t>.202</w:t>
            </w:r>
            <w:r w:rsidR="001C70BE">
              <w:t>1</w:t>
            </w:r>
            <w:r w:rsidRPr="00DB0C4A">
              <w:t>.)</w:t>
            </w:r>
          </w:p>
          <w:p w14:paraId="7EF49929" w14:textId="77777777" w:rsidR="00BB578F" w:rsidRDefault="00CE4B9E" w:rsidP="00BB578F">
            <w:pPr>
              <w:pStyle w:val="NormalWeb"/>
              <w:spacing w:before="0" w:beforeAutospacing="0" w:after="0" w:afterAutospacing="0"/>
            </w:pPr>
            <w:r>
              <w:t>Ekonomikas ministrija (</w:t>
            </w:r>
            <w:r w:rsidR="001C70BE">
              <w:t>16</w:t>
            </w:r>
            <w:r>
              <w:t>.0</w:t>
            </w:r>
            <w:r w:rsidR="001C70BE">
              <w:t>4</w:t>
            </w:r>
            <w:r>
              <w:t>.2021.)</w:t>
            </w:r>
          </w:p>
          <w:p w14:paraId="08A4AC63" w14:textId="77777777" w:rsidR="00BB578F" w:rsidRDefault="00BB578F" w:rsidP="00BB578F">
            <w:pPr>
              <w:pStyle w:val="NormalWeb"/>
              <w:spacing w:before="0" w:beforeAutospacing="0" w:after="0" w:afterAutospacing="0"/>
            </w:pPr>
            <w:r>
              <w:t>Finanšu ministrija (22.04.2021.)</w:t>
            </w:r>
          </w:p>
          <w:p w14:paraId="30761A6C" w14:textId="77777777" w:rsidR="00BB578F" w:rsidRDefault="00BB578F" w:rsidP="00BB578F">
            <w:pPr>
              <w:pStyle w:val="NormalWeb"/>
              <w:spacing w:before="0" w:beforeAutospacing="0" w:after="0" w:afterAutospacing="0"/>
            </w:pPr>
            <w:r>
              <w:t>Tieslietu ministrija (19.04.2021.)</w:t>
            </w:r>
          </w:p>
          <w:p w14:paraId="3DE06D83" w14:textId="77777777" w:rsidR="00BB578F" w:rsidRDefault="00BB578F" w:rsidP="00BB578F">
            <w:pPr>
              <w:pStyle w:val="NormalWeb"/>
              <w:spacing w:before="0" w:beforeAutospacing="0" w:after="0" w:afterAutospacing="0"/>
            </w:pPr>
            <w:r>
              <w:t>Ekonomikas ministrija (22.04.2021.)</w:t>
            </w:r>
          </w:p>
          <w:p w14:paraId="65D610FB" w14:textId="77777777" w:rsidR="00BB578F" w:rsidRDefault="00BB578F" w:rsidP="00F323E6">
            <w:pPr>
              <w:pStyle w:val="NormalWeb"/>
              <w:spacing w:before="0" w:beforeAutospacing="0" w:after="0" w:afterAutospacing="0"/>
            </w:pPr>
          </w:p>
          <w:p w14:paraId="60565795" w14:textId="77777777" w:rsidR="001C70BE" w:rsidRDefault="001C70BE" w:rsidP="00F323E6">
            <w:pPr>
              <w:pStyle w:val="NormalWeb"/>
              <w:spacing w:before="0" w:beforeAutospacing="0" w:after="0" w:afterAutospacing="0"/>
            </w:pPr>
          </w:p>
          <w:p w14:paraId="6B6AC645" w14:textId="77777777" w:rsidR="00F323E6" w:rsidRPr="00712B66" w:rsidRDefault="00F323E6" w:rsidP="00F323E6">
            <w:pPr>
              <w:pStyle w:val="NormalWeb"/>
              <w:spacing w:before="0" w:beforeAutospacing="0" w:after="0" w:afterAutospacing="0"/>
            </w:pPr>
          </w:p>
        </w:tc>
      </w:tr>
      <w:tr w:rsidR="00F323E6" w:rsidRPr="00712B66" w14:paraId="124F938A" w14:textId="77777777">
        <w:tc>
          <w:tcPr>
            <w:tcW w:w="6345" w:type="dxa"/>
          </w:tcPr>
          <w:p w14:paraId="4A2C8BAE" w14:textId="77777777" w:rsidR="00F323E6" w:rsidRPr="00712B66" w:rsidRDefault="00F323E6" w:rsidP="00F323E6">
            <w:pPr>
              <w:pStyle w:val="naiskr"/>
              <w:spacing w:before="0" w:after="0"/>
              <w:ind w:firstLine="720"/>
            </w:pPr>
            <w:r w:rsidRPr="00712B66">
              <w:t>  </w:t>
            </w:r>
          </w:p>
        </w:tc>
        <w:tc>
          <w:tcPr>
            <w:tcW w:w="6237" w:type="dxa"/>
            <w:tcBorders>
              <w:top w:val="single" w:sz="6" w:space="0" w:color="000000"/>
              <w:bottom w:val="single" w:sz="6" w:space="0" w:color="000000"/>
            </w:tcBorders>
          </w:tcPr>
          <w:p w14:paraId="29F760F6" w14:textId="77777777" w:rsidR="00F323E6" w:rsidRPr="00712B66" w:rsidRDefault="00F323E6" w:rsidP="00F323E6">
            <w:pPr>
              <w:pStyle w:val="naiskr"/>
              <w:spacing w:before="0" w:after="0"/>
              <w:ind w:firstLine="720"/>
            </w:pPr>
          </w:p>
        </w:tc>
      </w:tr>
    </w:tbl>
    <w:p w14:paraId="11DBC444" w14:textId="77777777" w:rsidR="008A36C9" w:rsidRDefault="008A36C9"/>
    <w:tbl>
      <w:tblPr>
        <w:tblW w:w="12582" w:type="dxa"/>
        <w:tblLook w:val="00A0" w:firstRow="1" w:lastRow="0" w:firstColumn="1" w:lastColumn="0" w:noHBand="0" w:noVBand="0"/>
      </w:tblPr>
      <w:tblGrid>
        <w:gridCol w:w="6708"/>
        <w:gridCol w:w="840"/>
        <w:gridCol w:w="5034"/>
      </w:tblGrid>
      <w:tr w:rsidR="007B4C0F" w:rsidRPr="00712B66" w14:paraId="23890EA8" w14:textId="77777777">
        <w:trPr>
          <w:trHeight w:val="285"/>
        </w:trPr>
        <w:tc>
          <w:tcPr>
            <w:tcW w:w="6708" w:type="dxa"/>
          </w:tcPr>
          <w:p w14:paraId="370521D8"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5AF03DB3" w14:textId="5B2CDCD0" w:rsidR="007B4C0F" w:rsidRPr="00712B66" w:rsidRDefault="007B4C0F" w:rsidP="0036160E">
            <w:pPr>
              <w:pStyle w:val="naiskr"/>
              <w:spacing w:before="0" w:after="0"/>
              <w:ind w:firstLine="720"/>
            </w:pPr>
          </w:p>
        </w:tc>
        <w:tc>
          <w:tcPr>
            <w:tcW w:w="5034" w:type="dxa"/>
          </w:tcPr>
          <w:p w14:paraId="4D7BDAE3" w14:textId="77777777" w:rsidR="007B4C0F" w:rsidRPr="00712B66" w:rsidRDefault="000B1A18" w:rsidP="0036160E">
            <w:pPr>
              <w:pStyle w:val="naiskr"/>
              <w:spacing w:before="0" w:after="0"/>
              <w:ind w:firstLine="12"/>
            </w:pPr>
            <w:r>
              <w:t>Finanšu ministrija, Tieslietu ministrija, Ekonomikas ministrija</w:t>
            </w:r>
          </w:p>
        </w:tc>
      </w:tr>
      <w:tr w:rsidR="003C27A2" w:rsidRPr="00712B66" w14:paraId="6C5298A9" w14:textId="77777777">
        <w:trPr>
          <w:trHeight w:val="465"/>
        </w:trPr>
        <w:tc>
          <w:tcPr>
            <w:tcW w:w="6708" w:type="dxa"/>
          </w:tcPr>
          <w:p w14:paraId="5C0414DA"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23A0D686" w14:textId="77777777" w:rsidR="003C27A2" w:rsidRPr="00712B66" w:rsidRDefault="003C27A2" w:rsidP="0036160E">
            <w:pPr>
              <w:pStyle w:val="NormalWeb"/>
              <w:spacing w:before="0" w:beforeAutospacing="0" w:after="0" w:afterAutospacing="0"/>
              <w:ind w:firstLine="720"/>
            </w:pPr>
          </w:p>
        </w:tc>
      </w:tr>
      <w:tr w:rsidR="007B4C0F" w:rsidRPr="00712B66" w14:paraId="1573955A" w14:textId="77777777">
        <w:trPr>
          <w:trHeight w:val="465"/>
        </w:trPr>
        <w:tc>
          <w:tcPr>
            <w:tcW w:w="12582" w:type="dxa"/>
            <w:gridSpan w:val="3"/>
          </w:tcPr>
          <w:p w14:paraId="37B77E43" w14:textId="77777777" w:rsidR="007B4C0F" w:rsidRPr="00712B66" w:rsidRDefault="007B4C0F" w:rsidP="003C27A2">
            <w:pPr>
              <w:pStyle w:val="naisc"/>
              <w:spacing w:before="0" w:after="0"/>
              <w:ind w:left="4820" w:firstLine="720"/>
            </w:pPr>
          </w:p>
        </w:tc>
      </w:tr>
      <w:tr w:rsidR="007B4C0F" w:rsidRPr="00712B66" w14:paraId="756E6620" w14:textId="77777777">
        <w:tc>
          <w:tcPr>
            <w:tcW w:w="6708" w:type="dxa"/>
          </w:tcPr>
          <w:p w14:paraId="0E355C57"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30242363" w14:textId="77777777" w:rsidR="007B4C0F" w:rsidRPr="00712B66" w:rsidRDefault="007B4C0F" w:rsidP="0036160E">
            <w:pPr>
              <w:pStyle w:val="naiskr"/>
              <w:spacing w:before="0" w:after="0"/>
              <w:ind w:firstLine="720"/>
            </w:pPr>
          </w:p>
        </w:tc>
      </w:tr>
      <w:tr w:rsidR="007B4C0F" w:rsidRPr="00712B66" w14:paraId="27C43BAC" w14:textId="77777777">
        <w:tc>
          <w:tcPr>
            <w:tcW w:w="6708" w:type="dxa"/>
          </w:tcPr>
          <w:p w14:paraId="2750DFAC"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64A1A1AC" w14:textId="77777777" w:rsidR="007B4C0F" w:rsidRPr="00712B66" w:rsidRDefault="007B4C0F" w:rsidP="0036160E">
            <w:pPr>
              <w:pStyle w:val="naiskr"/>
              <w:spacing w:before="0" w:after="0"/>
              <w:ind w:firstLine="720"/>
            </w:pPr>
          </w:p>
        </w:tc>
      </w:tr>
      <w:tr w:rsidR="007B4C0F" w:rsidRPr="00712B66" w14:paraId="1B0E8858" w14:textId="77777777">
        <w:tc>
          <w:tcPr>
            <w:tcW w:w="6708" w:type="dxa"/>
          </w:tcPr>
          <w:p w14:paraId="2E31F673"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4DC85FC3" w14:textId="77777777" w:rsidR="007B4C0F" w:rsidRPr="00712B66" w:rsidRDefault="007B4C0F" w:rsidP="0036160E">
            <w:pPr>
              <w:pStyle w:val="naiskr"/>
              <w:spacing w:before="0" w:after="0"/>
              <w:ind w:firstLine="720"/>
            </w:pPr>
          </w:p>
        </w:tc>
      </w:tr>
    </w:tbl>
    <w:p w14:paraId="17915CE8" w14:textId="77777777" w:rsidR="00683081" w:rsidRPr="00712B66" w:rsidRDefault="00683081" w:rsidP="00683081">
      <w:pPr>
        <w:pStyle w:val="naisf"/>
        <w:spacing w:before="0" w:after="0"/>
        <w:ind w:firstLine="720"/>
      </w:pPr>
    </w:p>
    <w:p w14:paraId="3EA5E7F4"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DC053E7"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4111"/>
        <w:gridCol w:w="2693"/>
      </w:tblGrid>
      <w:tr w:rsidR="00134188" w:rsidRPr="00712B66" w14:paraId="13E370E2"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565FC412" w14:textId="77777777" w:rsidR="00134188" w:rsidRPr="00712B66" w:rsidRDefault="00134188" w:rsidP="009623BC">
            <w:pPr>
              <w:pStyle w:val="naisc"/>
              <w:spacing w:before="0" w:after="0"/>
            </w:pPr>
            <w:r w:rsidRPr="00712B66">
              <w:lastRenderedPageBreak/>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32F1C9D2"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00D84A9F"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04B35443"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6EB43F0B" w14:textId="77777777" w:rsidR="00134188" w:rsidRPr="00712B66" w:rsidRDefault="00134188" w:rsidP="009623BC">
            <w:pPr>
              <w:jc w:val="center"/>
            </w:pPr>
            <w:r w:rsidRPr="00712B66">
              <w:t>Projekta attiecīgā punkta (panta) galīgā redakcija</w:t>
            </w:r>
          </w:p>
        </w:tc>
      </w:tr>
      <w:tr w:rsidR="00134188" w:rsidRPr="003B71E0" w14:paraId="19D1A1CE" w14:textId="77777777">
        <w:tc>
          <w:tcPr>
            <w:tcW w:w="708" w:type="dxa"/>
            <w:tcBorders>
              <w:top w:val="single" w:sz="6" w:space="0" w:color="000000"/>
              <w:left w:val="single" w:sz="6" w:space="0" w:color="000000"/>
              <w:bottom w:val="single" w:sz="6" w:space="0" w:color="000000"/>
              <w:right w:val="single" w:sz="6" w:space="0" w:color="000000"/>
            </w:tcBorders>
          </w:tcPr>
          <w:p w14:paraId="176E4746" w14:textId="77777777" w:rsidR="00134188" w:rsidRPr="003B71E0" w:rsidRDefault="003B71E0" w:rsidP="003B71E0">
            <w:pPr>
              <w:pStyle w:val="naisc"/>
              <w:spacing w:before="0" w:after="0"/>
              <w:rPr>
                <w:sz w:val="20"/>
                <w:szCs w:val="20"/>
              </w:rPr>
            </w:pPr>
            <w:r w:rsidRPr="003B71E0">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CB1129B"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3023BDC5"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tcBorders>
              <w:top w:val="single" w:sz="6" w:space="0" w:color="000000"/>
              <w:left w:val="single" w:sz="6" w:space="0" w:color="000000"/>
              <w:bottom w:val="single" w:sz="6" w:space="0" w:color="000000"/>
              <w:right w:val="single" w:sz="6" w:space="0" w:color="000000"/>
            </w:tcBorders>
          </w:tcPr>
          <w:p w14:paraId="6633F2F9"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14:paraId="71FD3470" w14:textId="77777777" w:rsidR="00134188" w:rsidRPr="003B71E0" w:rsidRDefault="003B71E0" w:rsidP="003B71E0">
            <w:pPr>
              <w:jc w:val="center"/>
              <w:rPr>
                <w:sz w:val="20"/>
                <w:szCs w:val="20"/>
              </w:rPr>
            </w:pPr>
            <w:r w:rsidRPr="003B71E0">
              <w:rPr>
                <w:sz w:val="20"/>
                <w:szCs w:val="20"/>
              </w:rPr>
              <w:t>5</w:t>
            </w:r>
          </w:p>
        </w:tc>
      </w:tr>
      <w:tr w:rsidR="00745695" w:rsidRPr="00712B66" w14:paraId="16BA7BAE" w14:textId="77777777" w:rsidTr="00A0536F">
        <w:trPr>
          <w:trHeight w:val="562"/>
        </w:trPr>
        <w:tc>
          <w:tcPr>
            <w:tcW w:w="708" w:type="dxa"/>
            <w:tcBorders>
              <w:top w:val="single" w:sz="4" w:space="0" w:color="auto"/>
              <w:left w:val="single" w:sz="6" w:space="0" w:color="000000"/>
              <w:right w:val="single" w:sz="6" w:space="0" w:color="000000"/>
            </w:tcBorders>
          </w:tcPr>
          <w:p w14:paraId="2774D0CB" w14:textId="29B6C50A" w:rsidR="00E75224" w:rsidRPr="00E75224" w:rsidRDefault="00E75224" w:rsidP="00E75224">
            <w:pPr>
              <w:pStyle w:val="naisc"/>
              <w:spacing w:before="0" w:after="0"/>
            </w:pPr>
            <w:r w:rsidRPr="00E75224">
              <w:rPr>
                <w:sz w:val="20"/>
                <w:szCs w:val="20"/>
              </w:rPr>
              <w:t>1</w:t>
            </w:r>
          </w:p>
        </w:tc>
        <w:tc>
          <w:tcPr>
            <w:tcW w:w="3086" w:type="dxa"/>
            <w:tcBorders>
              <w:top w:val="single" w:sz="4" w:space="0" w:color="auto"/>
              <w:left w:val="single" w:sz="6" w:space="0" w:color="000000"/>
              <w:right w:val="single" w:sz="6" w:space="0" w:color="000000"/>
            </w:tcBorders>
          </w:tcPr>
          <w:p w14:paraId="477ABE5B" w14:textId="77777777" w:rsidR="00745695" w:rsidRDefault="00745695" w:rsidP="00745695">
            <w:pPr>
              <w:pStyle w:val="naisc"/>
              <w:spacing w:before="0" w:after="0"/>
              <w:jc w:val="left"/>
              <w:rPr>
                <w:b/>
                <w:bCs/>
              </w:rPr>
            </w:pPr>
            <w:r w:rsidRPr="002C1A24">
              <w:rPr>
                <w:b/>
                <w:bCs/>
              </w:rPr>
              <w:t xml:space="preserve">Noteikumu projekta anotācijā </w:t>
            </w:r>
            <w:r>
              <w:rPr>
                <w:b/>
                <w:bCs/>
              </w:rPr>
              <w:t>2. punktā iekļautā rindkopa:</w:t>
            </w:r>
          </w:p>
          <w:p w14:paraId="4AE59541" w14:textId="77777777" w:rsidR="00745695" w:rsidRPr="000F2522" w:rsidRDefault="00745695" w:rsidP="00745695">
            <w:pPr>
              <w:pStyle w:val="naisc"/>
              <w:spacing w:before="0" w:after="0"/>
              <w:contextualSpacing/>
              <w:jc w:val="both"/>
              <w:rPr>
                <w:b/>
                <w:bCs/>
              </w:rPr>
            </w:pPr>
            <w:r>
              <w:t>“</w:t>
            </w:r>
            <w:r w:rsidRPr="002C1A24">
              <w:t>Līdz brīdim, kad  stājas spēkā regula 2021/447 stājas spēkā, būtu nepieciešams saskaņot šo rīkojuma projektu ar iesaistītajām iestādēm, jo noteikumu projekta regulējums ir nepieciešams ES ETS 4. perioda darbībai, kas uzsākās 2021. gada 1. janvārī. Rīkojuma projekts tiks nosūtīts pieņemšanai Ministru Kabinetā tikai pēc augstāk minētās regulas grozījumu stāšanās spēkā.</w:t>
            </w:r>
            <w:r>
              <w:t>”</w:t>
            </w:r>
          </w:p>
        </w:tc>
        <w:tc>
          <w:tcPr>
            <w:tcW w:w="4394" w:type="dxa"/>
            <w:tcBorders>
              <w:top w:val="single" w:sz="4" w:space="0" w:color="auto"/>
              <w:left w:val="single" w:sz="6" w:space="0" w:color="000000"/>
              <w:right w:val="single" w:sz="6" w:space="0" w:color="000000"/>
            </w:tcBorders>
          </w:tcPr>
          <w:p w14:paraId="649BC38A" w14:textId="77777777" w:rsidR="00745695" w:rsidRDefault="00745695" w:rsidP="00745695">
            <w:pPr>
              <w:widowControl w:val="0"/>
              <w:jc w:val="both"/>
              <w:rPr>
                <w:b/>
              </w:rPr>
            </w:pPr>
            <w:r w:rsidRPr="000F2522">
              <w:rPr>
                <w:b/>
              </w:rPr>
              <w:t>Ekonomikas ministrija, 16.04. atzinums Nr. 3.1-20/2021/103:</w:t>
            </w:r>
          </w:p>
          <w:p w14:paraId="46A978AC" w14:textId="77777777" w:rsidR="00745695" w:rsidRDefault="00745695" w:rsidP="00745695">
            <w:pPr>
              <w:widowControl w:val="0"/>
              <w:jc w:val="both"/>
            </w:pPr>
            <w:r>
              <w:t>3)</w:t>
            </w:r>
            <w:r>
              <w:tab/>
              <w:t>Lūgums precizēt anotācijas I sadaļas 2.punktā iekļauto rindkopu: “Līdz brīdim, kad regula 2021/447 stājas spēkā, būtu nepieciešams saskaņot šo rīkojuma projektu ar iesaistītajām iestādēm, jo noteikumu projekta regulējums ir nepieciešams ES ETS 4. perioda darbībai, kas uzsākās 2021. gada 1. janvārī. Rīkojuma projekts tiks nosūtīts pieņemšanai Ministru Kabinetā tikai pēc augstāk minētās regulas grozījumu stāšanās spēkā.”, vienlaikus skaidrojot, kāpēc rīkojuma projektu bija jāsaskaņo ar iesaistītajām iestādēm pirms regulas 2021/447 spēkā stāšanās un skaidrojot, kāds noteikumu projekts un kādi regulas grozījumi šajā rindkopā ir minēti.</w:t>
            </w:r>
          </w:p>
          <w:p w14:paraId="6E873BC5" w14:textId="77777777" w:rsidR="00745695" w:rsidRDefault="00745695" w:rsidP="00745695">
            <w:pPr>
              <w:widowControl w:val="0"/>
              <w:jc w:val="both"/>
            </w:pPr>
          </w:p>
          <w:p w14:paraId="68291403" w14:textId="512EF60A" w:rsidR="00745695" w:rsidRPr="00BE6AD9" w:rsidRDefault="00745695" w:rsidP="00745695">
            <w:pPr>
              <w:widowControl w:val="0"/>
              <w:jc w:val="both"/>
            </w:pPr>
            <w:r>
              <w:t xml:space="preserve">Vienlaikus Ekonomikas ministrija izsaka priekšlikumu, lūdzot anotācijas tekstā precizēt tajā iekļauto informāciju par regulas 2021/447 spēkā stāšanos, piemēram šādā teikumā: “Pārskatītās </w:t>
            </w:r>
            <w:proofErr w:type="spellStart"/>
            <w:r>
              <w:t>līmeņatzīmes</w:t>
            </w:r>
            <w:proofErr w:type="spellEnd"/>
            <w:r>
              <w:t xml:space="preserve"> noteiktas regulā 2021/447, kas stāsies spēkā 2021. gada 4. aprīlī.”</w:t>
            </w:r>
          </w:p>
        </w:tc>
        <w:tc>
          <w:tcPr>
            <w:tcW w:w="4111" w:type="dxa"/>
            <w:tcBorders>
              <w:top w:val="single" w:sz="4" w:space="0" w:color="auto"/>
              <w:left w:val="single" w:sz="6" w:space="0" w:color="000000"/>
              <w:right w:val="single" w:sz="6" w:space="0" w:color="000000"/>
            </w:tcBorders>
          </w:tcPr>
          <w:p w14:paraId="0AF1968D" w14:textId="77777777" w:rsidR="00745695" w:rsidRDefault="00745695" w:rsidP="00745695">
            <w:pPr>
              <w:pStyle w:val="naisc"/>
              <w:spacing w:before="0" w:after="0"/>
              <w:jc w:val="left"/>
              <w:rPr>
                <w:b/>
                <w:bCs/>
              </w:rPr>
            </w:pPr>
            <w:r>
              <w:rPr>
                <w:b/>
                <w:bCs/>
              </w:rPr>
              <w:t>Ņemts vērā</w:t>
            </w:r>
          </w:p>
          <w:p w14:paraId="7129626E" w14:textId="77777777" w:rsidR="00745695" w:rsidRPr="000B1A18" w:rsidRDefault="00745695" w:rsidP="00745695">
            <w:pPr>
              <w:pStyle w:val="naisc"/>
              <w:spacing w:before="0" w:after="0"/>
              <w:jc w:val="both"/>
              <w:rPr>
                <w:b/>
                <w:bCs/>
              </w:rPr>
            </w:pPr>
          </w:p>
        </w:tc>
        <w:tc>
          <w:tcPr>
            <w:tcW w:w="2693" w:type="dxa"/>
            <w:tcBorders>
              <w:top w:val="single" w:sz="4" w:space="0" w:color="auto"/>
              <w:left w:val="single" w:sz="4" w:space="0" w:color="auto"/>
            </w:tcBorders>
          </w:tcPr>
          <w:p w14:paraId="5BB2138A" w14:textId="77777777" w:rsidR="00745695" w:rsidRDefault="00745695" w:rsidP="00745695">
            <w:pPr>
              <w:jc w:val="both"/>
            </w:pPr>
            <w:r w:rsidRPr="002C1A24">
              <w:t>P</w:t>
            </w:r>
            <w:r>
              <w:t xml:space="preserve">recizēts </w:t>
            </w:r>
            <w:r w:rsidRPr="002C1A24">
              <w:t>anotācijas I. sadaļas 2. punkts</w:t>
            </w:r>
            <w:r>
              <w:t>:</w:t>
            </w:r>
          </w:p>
          <w:p w14:paraId="59A47F74" w14:textId="77777777" w:rsidR="00745695" w:rsidRDefault="00745695" w:rsidP="00745695">
            <w:pPr>
              <w:jc w:val="both"/>
            </w:pPr>
            <w:r>
              <w:t>Minētā rindkopa svītrota, jo zaudējusi aktualitāti.</w:t>
            </w:r>
          </w:p>
        </w:tc>
      </w:tr>
    </w:tbl>
    <w:p w14:paraId="0B278354" w14:textId="77777777" w:rsidR="00675BEE" w:rsidRDefault="00675BEE" w:rsidP="00675BEE">
      <w:pPr>
        <w:rPr>
          <w:sz w:val="20"/>
          <w:szCs w:val="20"/>
        </w:rPr>
      </w:pPr>
    </w:p>
    <w:p w14:paraId="05E5DB13" w14:textId="77777777" w:rsidR="005548DA" w:rsidRPr="00CA2B32" w:rsidRDefault="005548DA" w:rsidP="005548DA">
      <w:pPr>
        <w:rPr>
          <w:sz w:val="20"/>
          <w:szCs w:val="20"/>
        </w:rPr>
      </w:pPr>
      <w:r w:rsidRPr="00CA2B32">
        <w:rPr>
          <w:sz w:val="20"/>
          <w:szCs w:val="20"/>
        </w:rPr>
        <w:lastRenderedPageBreak/>
        <w:t xml:space="preserve">Atbildīgā amatpersona: </w:t>
      </w:r>
    </w:p>
    <w:p w14:paraId="5E122C29" w14:textId="77777777" w:rsidR="005548DA" w:rsidRPr="00CA2B32" w:rsidRDefault="005548DA" w:rsidP="005548DA">
      <w:pPr>
        <w:rPr>
          <w:sz w:val="20"/>
          <w:szCs w:val="20"/>
        </w:rPr>
      </w:pPr>
      <w:r w:rsidRPr="00CA2B32">
        <w:rPr>
          <w:sz w:val="20"/>
          <w:szCs w:val="20"/>
        </w:rPr>
        <w:t xml:space="preserve">Klimata pārmaiņu departamenta </w:t>
      </w:r>
    </w:p>
    <w:p w14:paraId="7A350CF0" w14:textId="77777777" w:rsidR="005548DA" w:rsidRPr="0028614E" w:rsidRDefault="005548DA" w:rsidP="005548DA">
      <w:pPr>
        <w:rPr>
          <w:sz w:val="20"/>
          <w:szCs w:val="20"/>
        </w:rPr>
      </w:pPr>
      <w:r w:rsidRPr="00CA2B32">
        <w:rPr>
          <w:sz w:val="20"/>
          <w:szCs w:val="20"/>
        </w:rPr>
        <w:t>Klimata pārmaiņu un adaptācijas politikas vecākā eksperte</w:t>
      </w:r>
    </w:p>
    <w:p w14:paraId="603E508A" w14:textId="77777777" w:rsidR="005548DA" w:rsidRDefault="005548DA" w:rsidP="005548DA">
      <w:pPr>
        <w:rPr>
          <w:sz w:val="20"/>
          <w:szCs w:val="20"/>
        </w:rPr>
      </w:pPr>
    </w:p>
    <w:p w14:paraId="51A4B9FD" w14:textId="77777777" w:rsidR="005548DA" w:rsidRDefault="005548DA" w:rsidP="005548DA">
      <w:pPr>
        <w:rPr>
          <w:sz w:val="20"/>
          <w:szCs w:val="20"/>
        </w:rPr>
      </w:pPr>
      <w:r>
        <w:rPr>
          <w:sz w:val="20"/>
          <w:szCs w:val="20"/>
        </w:rPr>
        <w:t xml:space="preserve">Ilze </w:t>
      </w:r>
      <w:r w:rsidRPr="00BF0E35">
        <w:rPr>
          <w:sz w:val="20"/>
          <w:szCs w:val="20"/>
        </w:rPr>
        <w:t xml:space="preserve">Kamarūte 66016702 </w:t>
      </w:r>
    </w:p>
    <w:p w14:paraId="3780026A" w14:textId="5B248952" w:rsidR="005548DA" w:rsidRPr="00CA2B32" w:rsidRDefault="00DD3804" w:rsidP="005548DA">
      <w:pPr>
        <w:rPr>
          <w:sz w:val="20"/>
          <w:szCs w:val="20"/>
        </w:rPr>
      </w:pPr>
      <w:hyperlink r:id="rId8" w:history="1">
        <w:r w:rsidRPr="00571720">
          <w:rPr>
            <w:rStyle w:val="Hyperlink"/>
            <w:sz w:val="20"/>
            <w:szCs w:val="20"/>
          </w:rPr>
          <w:t>Ilze.Kamarute@varam.gov.lv</w:t>
        </w:r>
      </w:hyperlink>
      <w:r>
        <w:rPr>
          <w:sz w:val="20"/>
          <w:szCs w:val="20"/>
        </w:rPr>
        <w:t xml:space="preserve"> </w:t>
      </w:r>
    </w:p>
    <w:p w14:paraId="44E97EBD" w14:textId="77777777" w:rsidR="007116C7" w:rsidRDefault="007116C7" w:rsidP="00015C84">
      <w:pPr>
        <w:pStyle w:val="naisf"/>
        <w:spacing w:before="0" w:after="0"/>
        <w:ind w:firstLine="0"/>
        <w:jc w:val="left"/>
        <w:rPr>
          <w:sz w:val="28"/>
          <w:szCs w:val="28"/>
        </w:rPr>
      </w:pPr>
    </w:p>
    <w:sectPr w:rsidR="007116C7" w:rsidSect="005548DA">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326EB" w14:textId="77777777" w:rsidR="00DA1D2F" w:rsidRDefault="00DA1D2F">
      <w:r>
        <w:separator/>
      </w:r>
    </w:p>
  </w:endnote>
  <w:endnote w:type="continuationSeparator" w:id="0">
    <w:p w14:paraId="50F80118" w14:textId="77777777" w:rsidR="00DA1D2F" w:rsidRDefault="00DA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228E8" w14:textId="77777777" w:rsidR="00561D3C" w:rsidRPr="00675BEE" w:rsidRDefault="00675BEE" w:rsidP="00675BEE">
    <w:pPr>
      <w:pStyle w:val="Footer"/>
    </w:pPr>
    <w:r>
      <w:rPr>
        <w:sz w:val="20"/>
        <w:szCs w:val="20"/>
      </w:rPr>
      <w:fldChar w:fldCharType="begin"/>
    </w:r>
    <w:r>
      <w:rPr>
        <w:sz w:val="20"/>
        <w:szCs w:val="20"/>
      </w:rPr>
      <w:instrText xml:space="preserve"> FILENAME \* MERGEFORMAT </w:instrText>
    </w:r>
    <w:r>
      <w:rPr>
        <w:sz w:val="20"/>
        <w:szCs w:val="20"/>
      </w:rPr>
      <w:fldChar w:fldCharType="separate"/>
    </w:r>
    <w:r w:rsidR="000F2A11">
      <w:rPr>
        <w:noProof/>
        <w:sz w:val="20"/>
        <w:szCs w:val="20"/>
      </w:rPr>
      <w:t>VARAMIzz_260421_iekartu_saraksts</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BA03" w14:textId="77777777" w:rsidR="006455E7" w:rsidRPr="00CB7025" w:rsidRDefault="00CB7025" w:rsidP="00CB7025">
    <w:pPr>
      <w:pStyle w:val="Footer"/>
    </w:pPr>
    <w:r>
      <w:rPr>
        <w:sz w:val="20"/>
        <w:szCs w:val="20"/>
      </w:rPr>
      <w:fldChar w:fldCharType="begin"/>
    </w:r>
    <w:r>
      <w:rPr>
        <w:sz w:val="20"/>
        <w:szCs w:val="20"/>
      </w:rPr>
      <w:instrText xml:space="preserve"> FILENAME \* MERGEFORMAT </w:instrText>
    </w:r>
    <w:r>
      <w:rPr>
        <w:sz w:val="20"/>
        <w:szCs w:val="20"/>
      </w:rPr>
      <w:fldChar w:fldCharType="separate"/>
    </w:r>
    <w:r w:rsidR="000F2A11">
      <w:rPr>
        <w:noProof/>
        <w:sz w:val="20"/>
        <w:szCs w:val="20"/>
      </w:rPr>
      <w:t>VARAMIzz_260421_iekartu_saraksts</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FF785" w14:textId="77777777" w:rsidR="00DA1D2F" w:rsidRDefault="00DA1D2F">
      <w:r>
        <w:separator/>
      </w:r>
    </w:p>
  </w:footnote>
  <w:footnote w:type="continuationSeparator" w:id="0">
    <w:p w14:paraId="3BF02A0D" w14:textId="77777777" w:rsidR="00DA1D2F" w:rsidRDefault="00DA1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6B61"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0A4107"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681C" w14:textId="32E416A5"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F2F">
      <w:rPr>
        <w:rStyle w:val="PageNumber"/>
        <w:noProof/>
      </w:rPr>
      <w:t>8</w:t>
    </w:r>
    <w:r>
      <w:rPr>
        <w:rStyle w:val="PageNumber"/>
      </w:rPr>
      <w:fldChar w:fldCharType="end"/>
    </w:r>
  </w:p>
  <w:p w14:paraId="704FC326"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42337"/>
    <w:multiLevelType w:val="hybridMultilevel"/>
    <w:tmpl w:val="40346D4A"/>
    <w:lvl w:ilvl="0" w:tplc="1390D23E">
      <w:start w:val="1"/>
      <w:numFmt w:val="bullet"/>
      <w:lvlText w:val=""/>
      <w:lvlJc w:val="left"/>
      <w:pPr>
        <w:ind w:left="890" w:hanging="360"/>
      </w:pPr>
      <w:rPr>
        <w:rFonts w:ascii="Symbol" w:hAnsi="Symbol" w:hint="default"/>
      </w:rPr>
    </w:lvl>
    <w:lvl w:ilvl="1" w:tplc="04260003">
      <w:start w:val="1"/>
      <w:numFmt w:val="bullet"/>
      <w:lvlText w:val="o"/>
      <w:lvlJc w:val="left"/>
      <w:pPr>
        <w:ind w:left="1610" w:hanging="360"/>
      </w:pPr>
      <w:rPr>
        <w:rFonts w:ascii="Courier New" w:hAnsi="Courier New" w:cs="Courier New" w:hint="default"/>
      </w:rPr>
    </w:lvl>
    <w:lvl w:ilvl="2" w:tplc="04260005">
      <w:start w:val="1"/>
      <w:numFmt w:val="bullet"/>
      <w:lvlText w:val=""/>
      <w:lvlJc w:val="left"/>
      <w:pPr>
        <w:ind w:left="2330" w:hanging="360"/>
      </w:pPr>
      <w:rPr>
        <w:rFonts w:ascii="Wingdings" w:hAnsi="Wingdings" w:hint="default"/>
      </w:rPr>
    </w:lvl>
    <w:lvl w:ilvl="3" w:tplc="04260001">
      <w:start w:val="1"/>
      <w:numFmt w:val="bullet"/>
      <w:lvlText w:val=""/>
      <w:lvlJc w:val="left"/>
      <w:pPr>
        <w:ind w:left="3050" w:hanging="360"/>
      </w:pPr>
      <w:rPr>
        <w:rFonts w:ascii="Symbol" w:hAnsi="Symbol" w:hint="default"/>
      </w:rPr>
    </w:lvl>
    <w:lvl w:ilvl="4" w:tplc="04260003">
      <w:start w:val="1"/>
      <w:numFmt w:val="bullet"/>
      <w:lvlText w:val="o"/>
      <w:lvlJc w:val="left"/>
      <w:pPr>
        <w:ind w:left="3770" w:hanging="360"/>
      </w:pPr>
      <w:rPr>
        <w:rFonts w:ascii="Courier New" w:hAnsi="Courier New" w:cs="Courier New" w:hint="default"/>
      </w:rPr>
    </w:lvl>
    <w:lvl w:ilvl="5" w:tplc="04260005">
      <w:start w:val="1"/>
      <w:numFmt w:val="bullet"/>
      <w:lvlText w:val=""/>
      <w:lvlJc w:val="left"/>
      <w:pPr>
        <w:ind w:left="4490" w:hanging="360"/>
      </w:pPr>
      <w:rPr>
        <w:rFonts w:ascii="Wingdings" w:hAnsi="Wingdings" w:hint="default"/>
      </w:rPr>
    </w:lvl>
    <w:lvl w:ilvl="6" w:tplc="04260001">
      <w:start w:val="1"/>
      <w:numFmt w:val="bullet"/>
      <w:lvlText w:val=""/>
      <w:lvlJc w:val="left"/>
      <w:pPr>
        <w:ind w:left="5210" w:hanging="360"/>
      </w:pPr>
      <w:rPr>
        <w:rFonts w:ascii="Symbol" w:hAnsi="Symbol" w:hint="default"/>
      </w:rPr>
    </w:lvl>
    <w:lvl w:ilvl="7" w:tplc="04260003">
      <w:start w:val="1"/>
      <w:numFmt w:val="bullet"/>
      <w:lvlText w:val="o"/>
      <w:lvlJc w:val="left"/>
      <w:pPr>
        <w:ind w:left="5930" w:hanging="360"/>
      </w:pPr>
      <w:rPr>
        <w:rFonts w:ascii="Courier New" w:hAnsi="Courier New" w:cs="Courier New" w:hint="default"/>
      </w:rPr>
    </w:lvl>
    <w:lvl w:ilvl="8" w:tplc="04260005">
      <w:start w:val="1"/>
      <w:numFmt w:val="bullet"/>
      <w:lvlText w:val=""/>
      <w:lvlJc w:val="left"/>
      <w:pPr>
        <w:ind w:left="6650" w:hanging="360"/>
      </w:pPr>
      <w:rPr>
        <w:rFonts w:ascii="Wingdings" w:hAnsi="Wingdings" w:hint="default"/>
      </w:rPr>
    </w:lvl>
  </w:abstractNum>
  <w:abstractNum w:abstractNumId="1" w15:restartNumberingAfterBreak="0">
    <w:nsid w:val="1AD5109C"/>
    <w:multiLevelType w:val="hybridMultilevel"/>
    <w:tmpl w:val="36D281EE"/>
    <w:lvl w:ilvl="0" w:tplc="378EC62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9E7844"/>
    <w:multiLevelType w:val="hybridMultilevel"/>
    <w:tmpl w:val="36D281EE"/>
    <w:lvl w:ilvl="0" w:tplc="378EC62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583285"/>
    <w:multiLevelType w:val="hybridMultilevel"/>
    <w:tmpl w:val="E06C0D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1243BCA"/>
    <w:multiLevelType w:val="hybridMultilevel"/>
    <w:tmpl w:val="5BDA19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4"/>
  </w:num>
  <w:num w:numId="5">
    <w:abstractNumId w:val="3"/>
  </w:num>
  <w:num w:numId="6">
    <w:abstractNumId w:val="0"/>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B6D"/>
    <w:rsid w:val="00003C53"/>
    <w:rsid w:val="0000456E"/>
    <w:rsid w:val="000055EA"/>
    <w:rsid w:val="00006BF1"/>
    <w:rsid w:val="0001118D"/>
    <w:rsid w:val="0001131F"/>
    <w:rsid w:val="00011658"/>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6A1E"/>
    <w:rsid w:val="00036E2B"/>
    <w:rsid w:val="000376CD"/>
    <w:rsid w:val="00040A5C"/>
    <w:rsid w:val="00041967"/>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27E"/>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0EE3"/>
    <w:rsid w:val="000B15E5"/>
    <w:rsid w:val="000B1A18"/>
    <w:rsid w:val="000B2382"/>
    <w:rsid w:val="000B3171"/>
    <w:rsid w:val="000B34A5"/>
    <w:rsid w:val="000B4746"/>
    <w:rsid w:val="000B7966"/>
    <w:rsid w:val="000B7CB1"/>
    <w:rsid w:val="000C074B"/>
    <w:rsid w:val="000C0AE6"/>
    <w:rsid w:val="000C0D0D"/>
    <w:rsid w:val="000C2555"/>
    <w:rsid w:val="000C3545"/>
    <w:rsid w:val="000C488E"/>
    <w:rsid w:val="000C498A"/>
    <w:rsid w:val="000C4C16"/>
    <w:rsid w:val="000C56FC"/>
    <w:rsid w:val="000C7907"/>
    <w:rsid w:val="000C7A11"/>
    <w:rsid w:val="000C7F5E"/>
    <w:rsid w:val="000D00AC"/>
    <w:rsid w:val="000D0AED"/>
    <w:rsid w:val="000D24A2"/>
    <w:rsid w:val="000D2B72"/>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22"/>
    <w:rsid w:val="000F2534"/>
    <w:rsid w:val="000F28D9"/>
    <w:rsid w:val="000F2A11"/>
    <w:rsid w:val="000F2D02"/>
    <w:rsid w:val="000F2D43"/>
    <w:rsid w:val="000F2F9A"/>
    <w:rsid w:val="000F3AA0"/>
    <w:rsid w:val="000F4AEB"/>
    <w:rsid w:val="000F4B40"/>
    <w:rsid w:val="000F4C3B"/>
    <w:rsid w:val="000F4E7B"/>
    <w:rsid w:val="000F57C3"/>
    <w:rsid w:val="000F5C37"/>
    <w:rsid w:val="000F5DF0"/>
    <w:rsid w:val="000F6A0B"/>
    <w:rsid w:val="000F7695"/>
    <w:rsid w:val="00100705"/>
    <w:rsid w:val="00100E84"/>
    <w:rsid w:val="001012E3"/>
    <w:rsid w:val="00101EEB"/>
    <w:rsid w:val="0010375A"/>
    <w:rsid w:val="001038ED"/>
    <w:rsid w:val="001042B0"/>
    <w:rsid w:val="00106F4F"/>
    <w:rsid w:val="001071D3"/>
    <w:rsid w:val="00107530"/>
    <w:rsid w:val="001075A8"/>
    <w:rsid w:val="00110259"/>
    <w:rsid w:val="00110A41"/>
    <w:rsid w:val="00110AA9"/>
    <w:rsid w:val="0011144B"/>
    <w:rsid w:val="0011254D"/>
    <w:rsid w:val="001139C2"/>
    <w:rsid w:val="00114559"/>
    <w:rsid w:val="00114EA9"/>
    <w:rsid w:val="00115ED0"/>
    <w:rsid w:val="0011683C"/>
    <w:rsid w:val="001179E8"/>
    <w:rsid w:val="0012021B"/>
    <w:rsid w:val="0012222D"/>
    <w:rsid w:val="001255E6"/>
    <w:rsid w:val="0013053A"/>
    <w:rsid w:val="0013066A"/>
    <w:rsid w:val="00130B24"/>
    <w:rsid w:val="001315EF"/>
    <w:rsid w:val="00131F39"/>
    <w:rsid w:val="00132375"/>
    <w:rsid w:val="00132E73"/>
    <w:rsid w:val="00133505"/>
    <w:rsid w:val="00133F8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1C2C"/>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421"/>
    <w:rsid w:val="0018386C"/>
    <w:rsid w:val="00184479"/>
    <w:rsid w:val="0018472C"/>
    <w:rsid w:val="00184838"/>
    <w:rsid w:val="00185755"/>
    <w:rsid w:val="00186740"/>
    <w:rsid w:val="00187398"/>
    <w:rsid w:val="00187F73"/>
    <w:rsid w:val="00187FB0"/>
    <w:rsid w:val="001902E9"/>
    <w:rsid w:val="00190327"/>
    <w:rsid w:val="00190A0A"/>
    <w:rsid w:val="001926F2"/>
    <w:rsid w:val="00193BCE"/>
    <w:rsid w:val="00193E2A"/>
    <w:rsid w:val="00194B87"/>
    <w:rsid w:val="0019569A"/>
    <w:rsid w:val="00195962"/>
    <w:rsid w:val="00197533"/>
    <w:rsid w:val="001977E7"/>
    <w:rsid w:val="00197CCA"/>
    <w:rsid w:val="001A0D8A"/>
    <w:rsid w:val="001A13B5"/>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3AE"/>
    <w:rsid w:val="001C4ABA"/>
    <w:rsid w:val="001C546B"/>
    <w:rsid w:val="001C5EA2"/>
    <w:rsid w:val="001C6608"/>
    <w:rsid w:val="001C6C7D"/>
    <w:rsid w:val="001C70BE"/>
    <w:rsid w:val="001D0656"/>
    <w:rsid w:val="001D1CB1"/>
    <w:rsid w:val="001D2AC0"/>
    <w:rsid w:val="001D2DBA"/>
    <w:rsid w:val="001D2FD0"/>
    <w:rsid w:val="001D3830"/>
    <w:rsid w:val="001D3BA6"/>
    <w:rsid w:val="001D4479"/>
    <w:rsid w:val="001D5564"/>
    <w:rsid w:val="001D6FAA"/>
    <w:rsid w:val="001D70FA"/>
    <w:rsid w:val="001D7BA9"/>
    <w:rsid w:val="001E039D"/>
    <w:rsid w:val="001E22E7"/>
    <w:rsid w:val="001E2714"/>
    <w:rsid w:val="001E398C"/>
    <w:rsid w:val="001E434F"/>
    <w:rsid w:val="001E4456"/>
    <w:rsid w:val="001E4DDC"/>
    <w:rsid w:val="001E774F"/>
    <w:rsid w:val="001E7C1D"/>
    <w:rsid w:val="001F073F"/>
    <w:rsid w:val="001F3009"/>
    <w:rsid w:val="001F3358"/>
    <w:rsid w:val="001F35CB"/>
    <w:rsid w:val="001F390F"/>
    <w:rsid w:val="001F5CD1"/>
    <w:rsid w:val="001F5E3E"/>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7CE"/>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54CD"/>
    <w:rsid w:val="00286478"/>
    <w:rsid w:val="00287EDD"/>
    <w:rsid w:val="0029141B"/>
    <w:rsid w:val="002927D3"/>
    <w:rsid w:val="00294BDE"/>
    <w:rsid w:val="00295DA7"/>
    <w:rsid w:val="00295DB6"/>
    <w:rsid w:val="0029788B"/>
    <w:rsid w:val="00297D1B"/>
    <w:rsid w:val="00297F4D"/>
    <w:rsid w:val="002A0226"/>
    <w:rsid w:val="002A0661"/>
    <w:rsid w:val="002A06EA"/>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A89"/>
    <w:rsid w:val="002B1DBF"/>
    <w:rsid w:val="002B207F"/>
    <w:rsid w:val="002B2A48"/>
    <w:rsid w:val="002B2BEE"/>
    <w:rsid w:val="002B31AD"/>
    <w:rsid w:val="002B3EA7"/>
    <w:rsid w:val="002B4899"/>
    <w:rsid w:val="002B4BAE"/>
    <w:rsid w:val="002B538B"/>
    <w:rsid w:val="002B581B"/>
    <w:rsid w:val="002C1A24"/>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6DA"/>
    <w:rsid w:val="002E171A"/>
    <w:rsid w:val="002E2A24"/>
    <w:rsid w:val="002E2B58"/>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25"/>
    <w:rsid w:val="00347EDB"/>
    <w:rsid w:val="00350797"/>
    <w:rsid w:val="00351A85"/>
    <w:rsid w:val="003522E8"/>
    <w:rsid w:val="00353989"/>
    <w:rsid w:val="00355B7A"/>
    <w:rsid w:val="0035617C"/>
    <w:rsid w:val="00356E7E"/>
    <w:rsid w:val="00356EB8"/>
    <w:rsid w:val="00357B83"/>
    <w:rsid w:val="00360EF2"/>
    <w:rsid w:val="003614A8"/>
    <w:rsid w:val="0036160E"/>
    <w:rsid w:val="00362610"/>
    <w:rsid w:val="00363830"/>
    <w:rsid w:val="00363D2D"/>
    <w:rsid w:val="00364BB6"/>
    <w:rsid w:val="00364D6B"/>
    <w:rsid w:val="00365408"/>
    <w:rsid w:val="00365893"/>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762"/>
    <w:rsid w:val="003A7902"/>
    <w:rsid w:val="003B1517"/>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DDA"/>
    <w:rsid w:val="00415F97"/>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14"/>
    <w:rsid w:val="00443DCD"/>
    <w:rsid w:val="00443E7E"/>
    <w:rsid w:val="00444C06"/>
    <w:rsid w:val="004454DF"/>
    <w:rsid w:val="00446804"/>
    <w:rsid w:val="004478D4"/>
    <w:rsid w:val="00450380"/>
    <w:rsid w:val="004505C6"/>
    <w:rsid w:val="004520CD"/>
    <w:rsid w:val="00452DF3"/>
    <w:rsid w:val="004534F5"/>
    <w:rsid w:val="00453765"/>
    <w:rsid w:val="004549B6"/>
    <w:rsid w:val="00454EC3"/>
    <w:rsid w:val="0045530A"/>
    <w:rsid w:val="00455343"/>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C10"/>
    <w:rsid w:val="004A2EF3"/>
    <w:rsid w:val="004A3B0D"/>
    <w:rsid w:val="004A52F5"/>
    <w:rsid w:val="004A5D3A"/>
    <w:rsid w:val="004A6897"/>
    <w:rsid w:val="004A692B"/>
    <w:rsid w:val="004A6EB6"/>
    <w:rsid w:val="004A794C"/>
    <w:rsid w:val="004B3EC7"/>
    <w:rsid w:val="004B5664"/>
    <w:rsid w:val="004C2107"/>
    <w:rsid w:val="004C4F15"/>
    <w:rsid w:val="004C5FC6"/>
    <w:rsid w:val="004C6435"/>
    <w:rsid w:val="004C649B"/>
    <w:rsid w:val="004C7B9C"/>
    <w:rsid w:val="004C7D55"/>
    <w:rsid w:val="004D089A"/>
    <w:rsid w:val="004D21D7"/>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76D"/>
    <w:rsid w:val="00506C98"/>
    <w:rsid w:val="005070FF"/>
    <w:rsid w:val="0051210D"/>
    <w:rsid w:val="00512BBC"/>
    <w:rsid w:val="005134FB"/>
    <w:rsid w:val="005135FD"/>
    <w:rsid w:val="0051366C"/>
    <w:rsid w:val="0051684F"/>
    <w:rsid w:val="00516A92"/>
    <w:rsid w:val="00516B9F"/>
    <w:rsid w:val="00517693"/>
    <w:rsid w:val="005205AB"/>
    <w:rsid w:val="0052084C"/>
    <w:rsid w:val="00523378"/>
    <w:rsid w:val="00523E8E"/>
    <w:rsid w:val="0052550F"/>
    <w:rsid w:val="00526C0F"/>
    <w:rsid w:val="0052702A"/>
    <w:rsid w:val="00530397"/>
    <w:rsid w:val="00530F73"/>
    <w:rsid w:val="00533B8E"/>
    <w:rsid w:val="00535417"/>
    <w:rsid w:val="00535833"/>
    <w:rsid w:val="00536D28"/>
    <w:rsid w:val="005372C5"/>
    <w:rsid w:val="00537A26"/>
    <w:rsid w:val="00540E47"/>
    <w:rsid w:val="0054194F"/>
    <w:rsid w:val="00543283"/>
    <w:rsid w:val="0054364C"/>
    <w:rsid w:val="00544D4C"/>
    <w:rsid w:val="00546747"/>
    <w:rsid w:val="00547510"/>
    <w:rsid w:val="00547ECC"/>
    <w:rsid w:val="00551D5A"/>
    <w:rsid w:val="00551EC3"/>
    <w:rsid w:val="005548DA"/>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763"/>
    <w:rsid w:val="00567E8F"/>
    <w:rsid w:val="005702D6"/>
    <w:rsid w:val="00572588"/>
    <w:rsid w:val="00573A50"/>
    <w:rsid w:val="005746D2"/>
    <w:rsid w:val="00574E8A"/>
    <w:rsid w:val="005761AD"/>
    <w:rsid w:val="00577775"/>
    <w:rsid w:val="0058121A"/>
    <w:rsid w:val="00581863"/>
    <w:rsid w:val="00581EA3"/>
    <w:rsid w:val="0058205A"/>
    <w:rsid w:val="005822FB"/>
    <w:rsid w:val="0058260B"/>
    <w:rsid w:val="005837B1"/>
    <w:rsid w:val="00584C09"/>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11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605"/>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70F"/>
    <w:rsid w:val="005F1EAC"/>
    <w:rsid w:val="005F308F"/>
    <w:rsid w:val="005F4869"/>
    <w:rsid w:val="005F4BFD"/>
    <w:rsid w:val="005F5748"/>
    <w:rsid w:val="005F5834"/>
    <w:rsid w:val="005F5E11"/>
    <w:rsid w:val="005F7BF0"/>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1CAB"/>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47CC"/>
    <w:rsid w:val="0067537F"/>
    <w:rsid w:val="00675BEE"/>
    <w:rsid w:val="00676410"/>
    <w:rsid w:val="00680509"/>
    <w:rsid w:val="006805CB"/>
    <w:rsid w:val="00681CC1"/>
    <w:rsid w:val="0068233B"/>
    <w:rsid w:val="00682E11"/>
    <w:rsid w:val="00683081"/>
    <w:rsid w:val="00684C95"/>
    <w:rsid w:val="006850D3"/>
    <w:rsid w:val="00685249"/>
    <w:rsid w:val="006856B9"/>
    <w:rsid w:val="00685BDE"/>
    <w:rsid w:val="00686085"/>
    <w:rsid w:val="006863C0"/>
    <w:rsid w:val="00687C0D"/>
    <w:rsid w:val="00691237"/>
    <w:rsid w:val="006920E6"/>
    <w:rsid w:val="00692555"/>
    <w:rsid w:val="00692966"/>
    <w:rsid w:val="00692BA4"/>
    <w:rsid w:val="00693D69"/>
    <w:rsid w:val="00693DD1"/>
    <w:rsid w:val="00696566"/>
    <w:rsid w:val="006966BA"/>
    <w:rsid w:val="0069722D"/>
    <w:rsid w:val="006A0052"/>
    <w:rsid w:val="006A0A9E"/>
    <w:rsid w:val="006A173D"/>
    <w:rsid w:val="006A1B24"/>
    <w:rsid w:val="006A1F1C"/>
    <w:rsid w:val="006A3836"/>
    <w:rsid w:val="006A3DD3"/>
    <w:rsid w:val="006A4625"/>
    <w:rsid w:val="006A47AE"/>
    <w:rsid w:val="006A4D10"/>
    <w:rsid w:val="006A5B5E"/>
    <w:rsid w:val="006A67CB"/>
    <w:rsid w:val="006A7A48"/>
    <w:rsid w:val="006B0368"/>
    <w:rsid w:val="006B0F6E"/>
    <w:rsid w:val="006B1D7B"/>
    <w:rsid w:val="006B27D4"/>
    <w:rsid w:val="006B2C9C"/>
    <w:rsid w:val="006B3B0B"/>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212"/>
    <w:rsid w:val="006E5DDD"/>
    <w:rsid w:val="006E600F"/>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6FA4"/>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4EA5"/>
    <w:rsid w:val="00745496"/>
    <w:rsid w:val="00745695"/>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144F"/>
    <w:rsid w:val="007722ED"/>
    <w:rsid w:val="0077408B"/>
    <w:rsid w:val="00774AF6"/>
    <w:rsid w:val="00774EC8"/>
    <w:rsid w:val="00776781"/>
    <w:rsid w:val="007776CC"/>
    <w:rsid w:val="00777CE9"/>
    <w:rsid w:val="007802F7"/>
    <w:rsid w:val="00780D05"/>
    <w:rsid w:val="00783346"/>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425"/>
    <w:rsid w:val="007A5629"/>
    <w:rsid w:val="007A56E5"/>
    <w:rsid w:val="007A60CA"/>
    <w:rsid w:val="007A6F0F"/>
    <w:rsid w:val="007A708C"/>
    <w:rsid w:val="007A71B9"/>
    <w:rsid w:val="007A75B5"/>
    <w:rsid w:val="007A7985"/>
    <w:rsid w:val="007A7ABE"/>
    <w:rsid w:val="007B03C5"/>
    <w:rsid w:val="007B26E1"/>
    <w:rsid w:val="007B3045"/>
    <w:rsid w:val="007B4C0F"/>
    <w:rsid w:val="007B5E25"/>
    <w:rsid w:val="007B6E0E"/>
    <w:rsid w:val="007C27FB"/>
    <w:rsid w:val="007C2842"/>
    <w:rsid w:val="007C2CBB"/>
    <w:rsid w:val="007C309C"/>
    <w:rsid w:val="007C4209"/>
    <w:rsid w:val="007C4C2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6EED"/>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6731"/>
    <w:rsid w:val="008474C1"/>
    <w:rsid w:val="00847C1C"/>
    <w:rsid w:val="0085055E"/>
    <w:rsid w:val="00850C3B"/>
    <w:rsid w:val="00851605"/>
    <w:rsid w:val="00852CA0"/>
    <w:rsid w:val="00852D85"/>
    <w:rsid w:val="00852F6C"/>
    <w:rsid w:val="0085465C"/>
    <w:rsid w:val="00854967"/>
    <w:rsid w:val="00854BB0"/>
    <w:rsid w:val="0085540B"/>
    <w:rsid w:val="00855511"/>
    <w:rsid w:val="0085582C"/>
    <w:rsid w:val="00855FD3"/>
    <w:rsid w:val="00856A3D"/>
    <w:rsid w:val="00857086"/>
    <w:rsid w:val="00857572"/>
    <w:rsid w:val="00860F4D"/>
    <w:rsid w:val="008611DE"/>
    <w:rsid w:val="00861375"/>
    <w:rsid w:val="00861C56"/>
    <w:rsid w:val="00861F29"/>
    <w:rsid w:val="008620A2"/>
    <w:rsid w:val="00862741"/>
    <w:rsid w:val="0086276A"/>
    <w:rsid w:val="00862BBD"/>
    <w:rsid w:val="00863C9F"/>
    <w:rsid w:val="008645D6"/>
    <w:rsid w:val="0086552B"/>
    <w:rsid w:val="008655A2"/>
    <w:rsid w:val="0086584F"/>
    <w:rsid w:val="008671C7"/>
    <w:rsid w:val="00867EB8"/>
    <w:rsid w:val="00870335"/>
    <w:rsid w:val="00870AA2"/>
    <w:rsid w:val="00870BC6"/>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35D9"/>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794"/>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09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1AC4"/>
    <w:rsid w:val="009D2003"/>
    <w:rsid w:val="009D38C2"/>
    <w:rsid w:val="009D417F"/>
    <w:rsid w:val="009D45E5"/>
    <w:rsid w:val="009D4B85"/>
    <w:rsid w:val="009D535B"/>
    <w:rsid w:val="009D630B"/>
    <w:rsid w:val="009D6CAA"/>
    <w:rsid w:val="009D6CF6"/>
    <w:rsid w:val="009D6E69"/>
    <w:rsid w:val="009E02DC"/>
    <w:rsid w:val="009E2040"/>
    <w:rsid w:val="009E42AA"/>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36F"/>
    <w:rsid w:val="00A05628"/>
    <w:rsid w:val="00A07DCF"/>
    <w:rsid w:val="00A12979"/>
    <w:rsid w:val="00A131A9"/>
    <w:rsid w:val="00A1496E"/>
    <w:rsid w:val="00A14F84"/>
    <w:rsid w:val="00A16D6D"/>
    <w:rsid w:val="00A174B2"/>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08E"/>
    <w:rsid w:val="00A33846"/>
    <w:rsid w:val="00A33E80"/>
    <w:rsid w:val="00A33EFE"/>
    <w:rsid w:val="00A4148D"/>
    <w:rsid w:val="00A44D0E"/>
    <w:rsid w:val="00A4621D"/>
    <w:rsid w:val="00A478B3"/>
    <w:rsid w:val="00A509FB"/>
    <w:rsid w:val="00A50A89"/>
    <w:rsid w:val="00A51C19"/>
    <w:rsid w:val="00A51E04"/>
    <w:rsid w:val="00A522B5"/>
    <w:rsid w:val="00A52C31"/>
    <w:rsid w:val="00A52C5B"/>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5C1"/>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604"/>
    <w:rsid w:val="00A9787E"/>
    <w:rsid w:val="00A97AF9"/>
    <w:rsid w:val="00AA08E8"/>
    <w:rsid w:val="00AA0DB4"/>
    <w:rsid w:val="00AA11C5"/>
    <w:rsid w:val="00AA17E2"/>
    <w:rsid w:val="00AA21B7"/>
    <w:rsid w:val="00AA3827"/>
    <w:rsid w:val="00AA382D"/>
    <w:rsid w:val="00AA4A2C"/>
    <w:rsid w:val="00AA59A6"/>
    <w:rsid w:val="00AA61A1"/>
    <w:rsid w:val="00AA6299"/>
    <w:rsid w:val="00AA6CFC"/>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3E20"/>
    <w:rsid w:val="00AD404D"/>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BF1"/>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3CFB"/>
    <w:rsid w:val="00B34732"/>
    <w:rsid w:val="00B353B8"/>
    <w:rsid w:val="00B35C56"/>
    <w:rsid w:val="00B36F17"/>
    <w:rsid w:val="00B372ED"/>
    <w:rsid w:val="00B40603"/>
    <w:rsid w:val="00B40AF6"/>
    <w:rsid w:val="00B40B6F"/>
    <w:rsid w:val="00B41071"/>
    <w:rsid w:val="00B425C0"/>
    <w:rsid w:val="00B42DB6"/>
    <w:rsid w:val="00B46957"/>
    <w:rsid w:val="00B47166"/>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578F"/>
    <w:rsid w:val="00BB6664"/>
    <w:rsid w:val="00BC01FC"/>
    <w:rsid w:val="00BC1F79"/>
    <w:rsid w:val="00BC2201"/>
    <w:rsid w:val="00BC3C7A"/>
    <w:rsid w:val="00BC7DC6"/>
    <w:rsid w:val="00BD1039"/>
    <w:rsid w:val="00BD13B5"/>
    <w:rsid w:val="00BD2EFC"/>
    <w:rsid w:val="00BD340E"/>
    <w:rsid w:val="00BD60AD"/>
    <w:rsid w:val="00BD613F"/>
    <w:rsid w:val="00BD6C02"/>
    <w:rsid w:val="00BE1244"/>
    <w:rsid w:val="00BE165D"/>
    <w:rsid w:val="00BE2394"/>
    <w:rsid w:val="00BE2702"/>
    <w:rsid w:val="00BE4326"/>
    <w:rsid w:val="00BE5F4F"/>
    <w:rsid w:val="00BE60DB"/>
    <w:rsid w:val="00BE6AD9"/>
    <w:rsid w:val="00BF0191"/>
    <w:rsid w:val="00BF13EC"/>
    <w:rsid w:val="00BF1C07"/>
    <w:rsid w:val="00BF3DEE"/>
    <w:rsid w:val="00BF54AC"/>
    <w:rsid w:val="00BF54BD"/>
    <w:rsid w:val="00BF6B8E"/>
    <w:rsid w:val="00C020D1"/>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B5"/>
    <w:rsid w:val="00C146D3"/>
    <w:rsid w:val="00C16BE0"/>
    <w:rsid w:val="00C216A4"/>
    <w:rsid w:val="00C21B6E"/>
    <w:rsid w:val="00C21C39"/>
    <w:rsid w:val="00C2325C"/>
    <w:rsid w:val="00C239ED"/>
    <w:rsid w:val="00C24D9D"/>
    <w:rsid w:val="00C24FF8"/>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05D"/>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4B1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CB3"/>
    <w:rsid w:val="00CB3D93"/>
    <w:rsid w:val="00CB4441"/>
    <w:rsid w:val="00CB4B1A"/>
    <w:rsid w:val="00CB4E1F"/>
    <w:rsid w:val="00CB7025"/>
    <w:rsid w:val="00CC152E"/>
    <w:rsid w:val="00CC2493"/>
    <w:rsid w:val="00CC3222"/>
    <w:rsid w:val="00CC35F1"/>
    <w:rsid w:val="00CC35FF"/>
    <w:rsid w:val="00CC3C20"/>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4B9E"/>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13AF"/>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08E"/>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59AB"/>
    <w:rsid w:val="00D47226"/>
    <w:rsid w:val="00D50B21"/>
    <w:rsid w:val="00D51349"/>
    <w:rsid w:val="00D527AF"/>
    <w:rsid w:val="00D529E1"/>
    <w:rsid w:val="00D534C2"/>
    <w:rsid w:val="00D5410F"/>
    <w:rsid w:val="00D564DF"/>
    <w:rsid w:val="00D56E7B"/>
    <w:rsid w:val="00D576DD"/>
    <w:rsid w:val="00D57CB4"/>
    <w:rsid w:val="00D61477"/>
    <w:rsid w:val="00D619E2"/>
    <w:rsid w:val="00D62036"/>
    <w:rsid w:val="00D620CC"/>
    <w:rsid w:val="00D63224"/>
    <w:rsid w:val="00D634B8"/>
    <w:rsid w:val="00D63EF3"/>
    <w:rsid w:val="00D64441"/>
    <w:rsid w:val="00D64FB0"/>
    <w:rsid w:val="00D65497"/>
    <w:rsid w:val="00D654DA"/>
    <w:rsid w:val="00D6609E"/>
    <w:rsid w:val="00D67A9F"/>
    <w:rsid w:val="00D67C20"/>
    <w:rsid w:val="00D70A13"/>
    <w:rsid w:val="00D70C1B"/>
    <w:rsid w:val="00D70E5C"/>
    <w:rsid w:val="00D7146C"/>
    <w:rsid w:val="00D718CD"/>
    <w:rsid w:val="00D7416F"/>
    <w:rsid w:val="00D755F2"/>
    <w:rsid w:val="00D762AC"/>
    <w:rsid w:val="00D775E7"/>
    <w:rsid w:val="00D77B9E"/>
    <w:rsid w:val="00D81753"/>
    <w:rsid w:val="00D81CA9"/>
    <w:rsid w:val="00D839D8"/>
    <w:rsid w:val="00D83F9E"/>
    <w:rsid w:val="00D840C2"/>
    <w:rsid w:val="00D84562"/>
    <w:rsid w:val="00D85C16"/>
    <w:rsid w:val="00D86169"/>
    <w:rsid w:val="00D8732E"/>
    <w:rsid w:val="00D91294"/>
    <w:rsid w:val="00D9186A"/>
    <w:rsid w:val="00D92029"/>
    <w:rsid w:val="00D92D47"/>
    <w:rsid w:val="00D94213"/>
    <w:rsid w:val="00D94BEB"/>
    <w:rsid w:val="00D94EA5"/>
    <w:rsid w:val="00D95F32"/>
    <w:rsid w:val="00DA024A"/>
    <w:rsid w:val="00DA06A4"/>
    <w:rsid w:val="00DA07EE"/>
    <w:rsid w:val="00DA0A58"/>
    <w:rsid w:val="00DA1C85"/>
    <w:rsid w:val="00DA1CC9"/>
    <w:rsid w:val="00DA1D2F"/>
    <w:rsid w:val="00DA2966"/>
    <w:rsid w:val="00DA2E58"/>
    <w:rsid w:val="00DA328E"/>
    <w:rsid w:val="00DA3AA6"/>
    <w:rsid w:val="00DA46C1"/>
    <w:rsid w:val="00DA70DD"/>
    <w:rsid w:val="00DB088F"/>
    <w:rsid w:val="00DB0B4A"/>
    <w:rsid w:val="00DB0C4A"/>
    <w:rsid w:val="00DB1487"/>
    <w:rsid w:val="00DB19B4"/>
    <w:rsid w:val="00DB19F1"/>
    <w:rsid w:val="00DB26AE"/>
    <w:rsid w:val="00DB4411"/>
    <w:rsid w:val="00DB466D"/>
    <w:rsid w:val="00DB4A58"/>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C7EA3"/>
    <w:rsid w:val="00DD08C7"/>
    <w:rsid w:val="00DD1A10"/>
    <w:rsid w:val="00DD200D"/>
    <w:rsid w:val="00DD2990"/>
    <w:rsid w:val="00DD2C09"/>
    <w:rsid w:val="00DD2FE9"/>
    <w:rsid w:val="00DD31C3"/>
    <w:rsid w:val="00DD3804"/>
    <w:rsid w:val="00DD3A7E"/>
    <w:rsid w:val="00DD434E"/>
    <w:rsid w:val="00DD4402"/>
    <w:rsid w:val="00DD5F1F"/>
    <w:rsid w:val="00DD60D0"/>
    <w:rsid w:val="00DD6200"/>
    <w:rsid w:val="00DD686C"/>
    <w:rsid w:val="00DD6E86"/>
    <w:rsid w:val="00DE0E5D"/>
    <w:rsid w:val="00DE447F"/>
    <w:rsid w:val="00DE48F0"/>
    <w:rsid w:val="00DE4A77"/>
    <w:rsid w:val="00DE68EE"/>
    <w:rsid w:val="00DE6D24"/>
    <w:rsid w:val="00DE7285"/>
    <w:rsid w:val="00DE78D9"/>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EB4"/>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3F81"/>
    <w:rsid w:val="00E647F7"/>
    <w:rsid w:val="00E65FF5"/>
    <w:rsid w:val="00E66857"/>
    <w:rsid w:val="00E67556"/>
    <w:rsid w:val="00E7252F"/>
    <w:rsid w:val="00E73FC2"/>
    <w:rsid w:val="00E74481"/>
    <w:rsid w:val="00E74517"/>
    <w:rsid w:val="00E75224"/>
    <w:rsid w:val="00E755D7"/>
    <w:rsid w:val="00E7566D"/>
    <w:rsid w:val="00E76E91"/>
    <w:rsid w:val="00E774B4"/>
    <w:rsid w:val="00E778F5"/>
    <w:rsid w:val="00E77F06"/>
    <w:rsid w:val="00E80E7C"/>
    <w:rsid w:val="00E81779"/>
    <w:rsid w:val="00E8205B"/>
    <w:rsid w:val="00E82444"/>
    <w:rsid w:val="00E8341C"/>
    <w:rsid w:val="00E85AEF"/>
    <w:rsid w:val="00E8602B"/>
    <w:rsid w:val="00E86B5F"/>
    <w:rsid w:val="00E87D05"/>
    <w:rsid w:val="00E91F96"/>
    <w:rsid w:val="00E92E99"/>
    <w:rsid w:val="00E968FD"/>
    <w:rsid w:val="00E96D55"/>
    <w:rsid w:val="00E97993"/>
    <w:rsid w:val="00EA0D5D"/>
    <w:rsid w:val="00EA1192"/>
    <w:rsid w:val="00EA153F"/>
    <w:rsid w:val="00EA205A"/>
    <w:rsid w:val="00EA2788"/>
    <w:rsid w:val="00EA2C6E"/>
    <w:rsid w:val="00EA4964"/>
    <w:rsid w:val="00EA4F1A"/>
    <w:rsid w:val="00EB02DE"/>
    <w:rsid w:val="00EB0A07"/>
    <w:rsid w:val="00EB1B69"/>
    <w:rsid w:val="00EB1C78"/>
    <w:rsid w:val="00EB3B46"/>
    <w:rsid w:val="00EB4F08"/>
    <w:rsid w:val="00EC2E07"/>
    <w:rsid w:val="00EC39B1"/>
    <w:rsid w:val="00EC43C7"/>
    <w:rsid w:val="00EC465D"/>
    <w:rsid w:val="00EC5C89"/>
    <w:rsid w:val="00EC66D2"/>
    <w:rsid w:val="00EC67E7"/>
    <w:rsid w:val="00ED0092"/>
    <w:rsid w:val="00ED0A1B"/>
    <w:rsid w:val="00ED1EAA"/>
    <w:rsid w:val="00ED21BC"/>
    <w:rsid w:val="00ED2FEC"/>
    <w:rsid w:val="00ED3F67"/>
    <w:rsid w:val="00ED440A"/>
    <w:rsid w:val="00ED7971"/>
    <w:rsid w:val="00EE0748"/>
    <w:rsid w:val="00EE0F2F"/>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3264"/>
    <w:rsid w:val="00F15523"/>
    <w:rsid w:val="00F16391"/>
    <w:rsid w:val="00F2062B"/>
    <w:rsid w:val="00F21A18"/>
    <w:rsid w:val="00F21E61"/>
    <w:rsid w:val="00F220EA"/>
    <w:rsid w:val="00F222CD"/>
    <w:rsid w:val="00F232B3"/>
    <w:rsid w:val="00F24EA4"/>
    <w:rsid w:val="00F2625A"/>
    <w:rsid w:val="00F31A03"/>
    <w:rsid w:val="00F323E6"/>
    <w:rsid w:val="00F3283C"/>
    <w:rsid w:val="00F32D0F"/>
    <w:rsid w:val="00F343F0"/>
    <w:rsid w:val="00F34620"/>
    <w:rsid w:val="00F34AAB"/>
    <w:rsid w:val="00F34C4D"/>
    <w:rsid w:val="00F350CF"/>
    <w:rsid w:val="00F35582"/>
    <w:rsid w:val="00F37004"/>
    <w:rsid w:val="00F376A1"/>
    <w:rsid w:val="00F37B8E"/>
    <w:rsid w:val="00F402F2"/>
    <w:rsid w:val="00F41746"/>
    <w:rsid w:val="00F41E79"/>
    <w:rsid w:val="00F4315F"/>
    <w:rsid w:val="00F445F6"/>
    <w:rsid w:val="00F4512F"/>
    <w:rsid w:val="00F45763"/>
    <w:rsid w:val="00F45BCF"/>
    <w:rsid w:val="00F45BEA"/>
    <w:rsid w:val="00F45CFE"/>
    <w:rsid w:val="00F46877"/>
    <w:rsid w:val="00F47E12"/>
    <w:rsid w:val="00F47F3E"/>
    <w:rsid w:val="00F50294"/>
    <w:rsid w:val="00F523D7"/>
    <w:rsid w:val="00F530E6"/>
    <w:rsid w:val="00F532C7"/>
    <w:rsid w:val="00F53BC7"/>
    <w:rsid w:val="00F54EDC"/>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1EA"/>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C5A"/>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E9B69F5"/>
  <w15:chartTrackingRefBased/>
  <w15:docId w15:val="{C7BAC8B8-C9A7-4D98-8DFB-5B44C1A0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Title">
    <w:name w:val="Title"/>
    <w:basedOn w:val="Normal"/>
    <w:link w:val="TitleChar"/>
    <w:qFormat/>
    <w:locked/>
    <w:rsid w:val="00AA6CFC"/>
    <w:pPr>
      <w:jc w:val="center"/>
    </w:pPr>
    <w:rPr>
      <w:sz w:val="28"/>
      <w:szCs w:val="20"/>
      <w:lang w:eastAsia="en-US"/>
    </w:rPr>
  </w:style>
  <w:style w:type="character" w:customStyle="1" w:styleId="TitleChar">
    <w:name w:val="Title Char"/>
    <w:link w:val="Title"/>
    <w:rsid w:val="00AA6CFC"/>
    <w:rPr>
      <w:sz w:val="28"/>
      <w:lang w:eastAsia="en-US"/>
    </w:rPr>
  </w:style>
  <w:style w:type="character" w:styleId="UnresolvedMention">
    <w:name w:val="Unresolved Mention"/>
    <w:basedOn w:val="DefaultParagraphFont"/>
    <w:uiPriority w:val="99"/>
    <w:semiHidden/>
    <w:unhideWhenUsed/>
    <w:rsid w:val="00DD3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05126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3595507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1313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Kamarut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4C201-DA35-46B2-A41C-09355873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4854</Words>
  <Characters>2767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Vides aizsardzības un reģionālās attīstības ministrija</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Ilze  Kamarūte</dc:creator>
  <cp:keywords/>
  <dc:description>Atbildīgā amatpersona: 
Klimata pārmaiņu departamenta 
Klimata pārmaiņu un adaptācijas politikas vecākā eksperte
Ilze Kamarūte 66016702 
Ilze.Kamarute@varam.gov.lv</dc:description>
  <cp:lastModifiedBy>Madara Gaile</cp:lastModifiedBy>
  <cp:revision>23</cp:revision>
  <cp:lastPrinted>2009-04-08T08:39:00Z</cp:lastPrinted>
  <dcterms:created xsi:type="dcterms:W3CDTF">2021-04-27T09:42:00Z</dcterms:created>
  <dcterms:modified xsi:type="dcterms:W3CDTF">2021-04-28T11:19:00Z</dcterms:modified>
  <cp:category>Vides politika;Klimata pārmaiņas</cp:category>
</cp:coreProperties>
</file>