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749B8" w14:textId="77777777" w:rsidR="007116C7" w:rsidRPr="00FF6CFF" w:rsidRDefault="007116C7" w:rsidP="00D82370">
      <w:pPr>
        <w:pStyle w:val="naisnod"/>
        <w:spacing w:before="0" w:after="0"/>
        <w:rPr>
          <w:szCs w:val="28"/>
        </w:rPr>
      </w:pPr>
      <w:r w:rsidRPr="00FF6CFF">
        <w:rPr>
          <w:szCs w:val="28"/>
        </w:rPr>
        <w:t>Izziņa par atzinumos sniegtajiem iebildumiem</w:t>
      </w:r>
    </w:p>
    <w:p w14:paraId="2993C76D" w14:textId="77777777" w:rsidR="007116C7" w:rsidRPr="00FF6CFF" w:rsidRDefault="007116C7" w:rsidP="00DB7395">
      <w:pPr>
        <w:pStyle w:val="naisf"/>
        <w:spacing w:before="0" w:after="0"/>
        <w:ind w:firstLine="720"/>
        <w:rPr>
          <w:sz w:val="22"/>
        </w:rPr>
      </w:pPr>
    </w:p>
    <w:tbl>
      <w:tblPr>
        <w:tblW w:w="0" w:type="auto"/>
        <w:jc w:val="center"/>
        <w:tblLook w:val="00A0" w:firstRow="1" w:lastRow="0" w:firstColumn="1" w:lastColumn="0" w:noHBand="0" w:noVBand="0"/>
      </w:tblPr>
      <w:tblGrid>
        <w:gridCol w:w="11464"/>
      </w:tblGrid>
      <w:tr w:rsidR="00946DFD" w:rsidRPr="00FF6CFF" w14:paraId="7DDB37F0" w14:textId="77777777" w:rsidTr="00A85B79">
        <w:trPr>
          <w:jc w:val="center"/>
        </w:trPr>
        <w:tc>
          <w:tcPr>
            <w:tcW w:w="11464" w:type="dxa"/>
            <w:tcBorders>
              <w:bottom w:val="single" w:sz="6" w:space="0" w:color="000000"/>
            </w:tcBorders>
          </w:tcPr>
          <w:p w14:paraId="25566130" w14:textId="6FE557B2" w:rsidR="007116C7" w:rsidRPr="00FF6CFF" w:rsidRDefault="004253B0" w:rsidP="004253B0">
            <w:pPr>
              <w:jc w:val="center"/>
              <w:rPr>
                <w:b/>
                <w:sz w:val="22"/>
              </w:rPr>
            </w:pPr>
            <w:r w:rsidRPr="00FF6CFF">
              <w:rPr>
                <w:b/>
              </w:rPr>
              <w:t>Ministru kabineta noteikumu projekts “</w:t>
            </w:r>
            <w:r w:rsidR="004E3934" w:rsidRPr="004E3934">
              <w:rPr>
                <w:b/>
              </w:rPr>
              <w:t>Valsts atbalsta piešķiršana kārtība mazajiem lauksaimniekiem</w:t>
            </w:r>
            <w:r w:rsidRPr="00FF6CFF">
              <w:rPr>
                <w:b/>
              </w:rPr>
              <w:t>”</w:t>
            </w:r>
          </w:p>
        </w:tc>
      </w:tr>
    </w:tbl>
    <w:p w14:paraId="5DFDF9A8" w14:textId="77777777" w:rsidR="007116C7" w:rsidRPr="00FF6CFF" w:rsidRDefault="007116C7" w:rsidP="00D82370">
      <w:pPr>
        <w:pStyle w:val="naisc"/>
        <w:spacing w:before="0" w:after="0"/>
        <w:rPr>
          <w:sz w:val="22"/>
        </w:rPr>
      </w:pPr>
      <w:r w:rsidRPr="00FF6CFF">
        <w:rPr>
          <w:sz w:val="22"/>
        </w:rPr>
        <w:t>(dokumenta veids un nosaukums)</w:t>
      </w:r>
    </w:p>
    <w:p w14:paraId="735F8B74" w14:textId="77777777" w:rsidR="007B4C0F" w:rsidRPr="00FF6CFF" w:rsidRDefault="007B4C0F" w:rsidP="00DB7395">
      <w:pPr>
        <w:pStyle w:val="naisf"/>
        <w:spacing w:before="0" w:after="0"/>
        <w:ind w:firstLine="720"/>
      </w:pPr>
    </w:p>
    <w:p w14:paraId="3375D0C9" w14:textId="77777777" w:rsidR="007B4C0F" w:rsidRDefault="007B4C0F" w:rsidP="00184479">
      <w:pPr>
        <w:pStyle w:val="naisf"/>
        <w:spacing w:before="0" w:after="0"/>
        <w:ind w:firstLine="0"/>
        <w:jc w:val="center"/>
        <w:rPr>
          <w:b/>
        </w:rPr>
      </w:pPr>
      <w:r w:rsidRPr="00FF6CFF">
        <w:rPr>
          <w:b/>
        </w:rPr>
        <w:t xml:space="preserve">I. Jautājumi, par kuriem saskaņošanā </w:t>
      </w:r>
      <w:r w:rsidR="00134188" w:rsidRPr="00FF6CFF">
        <w:rPr>
          <w:b/>
        </w:rPr>
        <w:t xml:space="preserve">vienošanās </w:t>
      </w:r>
      <w:r w:rsidRPr="00FF6CFF">
        <w:rPr>
          <w:b/>
        </w:rPr>
        <w:t>nav panākta</w:t>
      </w:r>
    </w:p>
    <w:p w14:paraId="79E817C4" w14:textId="77777777" w:rsidR="00FF6CFF" w:rsidRPr="00FF6CFF" w:rsidRDefault="00FF6CFF" w:rsidP="00184479">
      <w:pPr>
        <w:pStyle w:val="naisf"/>
        <w:spacing w:before="0" w:after="0"/>
        <w:ind w:firstLine="0"/>
        <w:jc w:val="center"/>
        <w:rPr>
          <w:b/>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545"/>
        <w:gridCol w:w="3260"/>
        <w:gridCol w:w="3376"/>
        <w:gridCol w:w="2861"/>
        <w:gridCol w:w="1518"/>
      </w:tblGrid>
      <w:tr w:rsidR="00946DFD" w:rsidRPr="00FF6CFF" w14:paraId="60C9E9CC" w14:textId="77777777" w:rsidTr="00936706">
        <w:tc>
          <w:tcPr>
            <w:tcW w:w="708" w:type="dxa"/>
            <w:tcBorders>
              <w:top w:val="single" w:sz="6" w:space="0" w:color="000000"/>
              <w:left w:val="single" w:sz="6" w:space="0" w:color="000000"/>
              <w:bottom w:val="single" w:sz="6" w:space="0" w:color="000000"/>
              <w:right w:val="single" w:sz="6" w:space="0" w:color="000000"/>
            </w:tcBorders>
            <w:vAlign w:val="center"/>
          </w:tcPr>
          <w:p w14:paraId="49D77B5F" w14:textId="77777777" w:rsidR="005F4BFD" w:rsidRPr="00FF6CFF" w:rsidRDefault="005F4BFD" w:rsidP="0036160E">
            <w:pPr>
              <w:pStyle w:val="naisc"/>
              <w:spacing w:before="0" w:after="0"/>
              <w:rPr>
                <w:szCs w:val="28"/>
              </w:rPr>
            </w:pPr>
            <w:r w:rsidRPr="00FF6CFF">
              <w:rPr>
                <w:szCs w:val="28"/>
              </w:rPr>
              <w:t>Nr. p.</w:t>
            </w:r>
            <w:r w:rsidR="00D64FB0" w:rsidRPr="00FF6CFF">
              <w:rPr>
                <w:szCs w:val="28"/>
              </w:rPr>
              <w:t> </w:t>
            </w:r>
            <w:r w:rsidRPr="00FF6CFF">
              <w:rPr>
                <w:szCs w:val="28"/>
              </w:rPr>
              <w:t>k.</w:t>
            </w:r>
          </w:p>
        </w:tc>
        <w:tc>
          <w:tcPr>
            <w:tcW w:w="2545" w:type="dxa"/>
            <w:tcBorders>
              <w:top w:val="single" w:sz="6" w:space="0" w:color="000000"/>
              <w:left w:val="single" w:sz="6" w:space="0" w:color="000000"/>
              <w:bottom w:val="single" w:sz="6" w:space="0" w:color="000000"/>
              <w:right w:val="single" w:sz="6" w:space="0" w:color="000000"/>
            </w:tcBorders>
            <w:vAlign w:val="center"/>
          </w:tcPr>
          <w:p w14:paraId="6AA4C8DF" w14:textId="77777777" w:rsidR="005F4BFD" w:rsidRPr="00FF6CFF" w:rsidRDefault="005F4BFD" w:rsidP="00364BB6">
            <w:pPr>
              <w:pStyle w:val="naisc"/>
              <w:spacing w:before="0" w:after="0"/>
              <w:ind w:firstLine="12"/>
              <w:rPr>
                <w:szCs w:val="28"/>
              </w:rPr>
            </w:pPr>
            <w:r w:rsidRPr="00FF6CFF">
              <w:rPr>
                <w:szCs w:val="28"/>
              </w:rPr>
              <w:t>Saskaņošanai nosūtītā projekta redakcija (konkrēta punkta (panta) redakcija)</w:t>
            </w:r>
          </w:p>
        </w:tc>
        <w:tc>
          <w:tcPr>
            <w:tcW w:w="3260" w:type="dxa"/>
            <w:tcBorders>
              <w:top w:val="single" w:sz="6" w:space="0" w:color="000000"/>
              <w:left w:val="single" w:sz="6" w:space="0" w:color="000000"/>
              <w:bottom w:val="single" w:sz="6" w:space="0" w:color="000000"/>
              <w:right w:val="single" w:sz="6" w:space="0" w:color="000000"/>
            </w:tcBorders>
            <w:vAlign w:val="center"/>
          </w:tcPr>
          <w:p w14:paraId="4EBAF94A" w14:textId="77777777" w:rsidR="005F4BFD" w:rsidRPr="00FF6CFF" w:rsidRDefault="005F4BFD" w:rsidP="00364BB6">
            <w:pPr>
              <w:pStyle w:val="naisc"/>
              <w:spacing w:before="0" w:after="0"/>
              <w:ind w:right="3"/>
              <w:rPr>
                <w:szCs w:val="28"/>
              </w:rPr>
            </w:pPr>
            <w:r w:rsidRPr="00FF6CFF">
              <w:rPr>
                <w:szCs w:val="28"/>
              </w:rPr>
              <w:t>Atzinumā norādītais ministrijas (citas institūcijas) iebildums</w:t>
            </w:r>
            <w:r w:rsidR="00184479" w:rsidRPr="00FF6CFF">
              <w:rPr>
                <w:szCs w:val="28"/>
              </w:rPr>
              <w:t>,</w:t>
            </w:r>
            <w:r w:rsidR="000E5509" w:rsidRPr="00FF6CFF">
              <w:rPr>
                <w:szCs w:val="28"/>
              </w:rPr>
              <w:t xml:space="preserve"> kā arī saskaņošanā papildus izteiktais iebildums</w:t>
            </w:r>
            <w:r w:rsidRPr="00FF6CFF">
              <w:rPr>
                <w:szCs w:val="28"/>
              </w:rPr>
              <w:t xml:space="preserve"> par projekta konkrēto punktu (pantu)</w:t>
            </w:r>
          </w:p>
        </w:tc>
        <w:tc>
          <w:tcPr>
            <w:tcW w:w="3376" w:type="dxa"/>
            <w:tcBorders>
              <w:top w:val="single" w:sz="6" w:space="0" w:color="000000"/>
              <w:left w:val="single" w:sz="6" w:space="0" w:color="000000"/>
              <w:bottom w:val="single" w:sz="6" w:space="0" w:color="000000"/>
              <w:right w:val="single" w:sz="6" w:space="0" w:color="000000"/>
            </w:tcBorders>
            <w:vAlign w:val="center"/>
          </w:tcPr>
          <w:p w14:paraId="75FA6365" w14:textId="77777777" w:rsidR="005F4BFD" w:rsidRPr="00FF6CFF" w:rsidRDefault="005F4BFD" w:rsidP="00364BB6">
            <w:pPr>
              <w:pStyle w:val="naisc"/>
              <w:spacing w:before="0" w:after="0"/>
              <w:ind w:firstLine="21"/>
              <w:rPr>
                <w:szCs w:val="28"/>
              </w:rPr>
            </w:pPr>
            <w:r w:rsidRPr="00FF6CFF">
              <w:rPr>
                <w:szCs w:val="28"/>
              </w:rPr>
              <w:t>Atbildīgās ministrijas pamatojums</w:t>
            </w:r>
            <w:r w:rsidR="009307F2" w:rsidRPr="00FF6CFF">
              <w:rPr>
                <w:szCs w:val="28"/>
              </w:rPr>
              <w:t xml:space="preserve"> iebilduma noraidījumam</w:t>
            </w:r>
          </w:p>
        </w:tc>
        <w:tc>
          <w:tcPr>
            <w:tcW w:w="2861" w:type="dxa"/>
            <w:tcBorders>
              <w:top w:val="single" w:sz="4" w:space="0" w:color="auto"/>
              <w:left w:val="single" w:sz="4" w:space="0" w:color="auto"/>
              <w:bottom w:val="single" w:sz="4" w:space="0" w:color="auto"/>
              <w:right w:val="single" w:sz="4" w:space="0" w:color="auto"/>
            </w:tcBorders>
            <w:vAlign w:val="center"/>
          </w:tcPr>
          <w:p w14:paraId="21C41FE4" w14:textId="77777777" w:rsidR="005F4BFD" w:rsidRPr="00FF6CFF" w:rsidRDefault="005F4BFD" w:rsidP="00364BB6">
            <w:pPr>
              <w:jc w:val="center"/>
              <w:rPr>
                <w:szCs w:val="28"/>
              </w:rPr>
            </w:pPr>
            <w:r w:rsidRPr="00FF6CFF">
              <w:rPr>
                <w:szCs w:val="28"/>
              </w:rPr>
              <w:t>Atzinuma sniedzēja uzturētais iebildums, ja tas atšķiras no atzinumā norādītā iebilduma pamatojuma</w:t>
            </w:r>
          </w:p>
        </w:tc>
        <w:tc>
          <w:tcPr>
            <w:tcW w:w="1518" w:type="dxa"/>
            <w:tcBorders>
              <w:top w:val="single" w:sz="4" w:space="0" w:color="auto"/>
              <w:left w:val="single" w:sz="4" w:space="0" w:color="auto"/>
              <w:bottom w:val="single" w:sz="4" w:space="0" w:color="auto"/>
            </w:tcBorders>
            <w:vAlign w:val="center"/>
          </w:tcPr>
          <w:p w14:paraId="7C082D97" w14:textId="77777777" w:rsidR="005F4BFD" w:rsidRPr="00FF6CFF" w:rsidRDefault="005F4BFD" w:rsidP="00364BB6">
            <w:pPr>
              <w:jc w:val="center"/>
              <w:rPr>
                <w:szCs w:val="28"/>
              </w:rPr>
            </w:pPr>
            <w:r w:rsidRPr="00FF6CFF">
              <w:rPr>
                <w:szCs w:val="28"/>
              </w:rPr>
              <w:t>Projekta attiecīgā punkta (panta) galīgā redakcija</w:t>
            </w:r>
          </w:p>
        </w:tc>
      </w:tr>
      <w:tr w:rsidR="00946DFD" w:rsidRPr="00FF6CFF" w14:paraId="630C54A2" w14:textId="77777777" w:rsidTr="00936706">
        <w:tc>
          <w:tcPr>
            <w:tcW w:w="708" w:type="dxa"/>
            <w:tcBorders>
              <w:top w:val="single" w:sz="6" w:space="0" w:color="000000"/>
              <w:left w:val="single" w:sz="6" w:space="0" w:color="000000"/>
              <w:bottom w:val="single" w:sz="6" w:space="0" w:color="000000"/>
              <w:right w:val="single" w:sz="6" w:space="0" w:color="000000"/>
            </w:tcBorders>
          </w:tcPr>
          <w:p w14:paraId="3D1B1F56" w14:textId="77777777" w:rsidR="005F4BFD" w:rsidRPr="00FF6CFF" w:rsidRDefault="008A36C9" w:rsidP="008A36C9">
            <w:pPr>
              <w:pStyle w:val="naisc"/>
              <w:spacing w:before="0" w:after="0"/>
              <w:rPr>
                <w:szCs w:val="28"/>
              </w:rPr>
            </w:pPr>
            <w:r w:rsidRPr="00FF6CFF">
              <w:rPr>
                <w:szCs w:val="28"/>
              </w:rPr>
              <w:t>1</w:t>
            </w:r>
          </w:p>
        </w:tc>
        <w:tc>
          <w:tcPr>
            <w:tcW w:w="2545" w:type="dxa"/>
            <w:tcBorders>
              <w:top w:val="single" w:sz="6" w:space="0" w:color="000000"/>
              <w:left w:val="single" w:sz="6" w:space="0" w:color="000000"/>
              <w:bottom w:val="single" w:sz="6" w:space="0" w:color="000000"/>
              <w:right w:val="single" w:sz="6" w:space="0" w:color="000000"/>
            </w:tcBorders>
          </w:tcPr>
          <w:p w14:paraId="548DF31E" w14:textId="77777777" w:rsidR="005F4BFD" w:rsidRPr="00FF6CFF" w:rsidRDefault="008A36C9" w:rsidP="008A36C9">
            <w:pPr>
              <w:pStyle w:val="naisc"/>
              <w:spacing w:before="0" w:after="0"/>
              <w:ind w:firstLine="720"/>
              <w:rPr>
                <w:szCs w:val="28"/>
              </w:rPr>
            </w:pPr>
            <w:r w:rsidRPr="00FF6CFF">
              <w:rPr>
                <w:szCs w:val="28"/>
              </w:rPr>
              <w:t>2</w:t>
            </w:r>
          </w:p>
        </w:tc>
        <w:tc>
          <w:tcPr>
            <w:tcW w:w="3260" w:type="dxa"/>
            <w:tcBorders>
              <w:top w:val="single" w:sz="6" w:space="0" w:color="000000"/>
              <w:left w:val="single" w:sz="6" w:space="0" w:color="000000"/>
              <w:bottom w:val="single" w:sz="6" w:space="0" w:color="000000"/>
              <w:right w:val="single" w:sz="6" w:space="0" w:color="000000"/>
            </w:tcBorders>
          </w:tcPr>
          <w:p w14:paraId="64B4ADAC" w14:textId="77777777" w:rsidR="005F4BFD" w:rsidRPr="00FF6CFF" w:rsidRDefault="008A36C9" w:rsidP="008A36C9">
            <w:pPr>
              <w:pStyle w:val="naisc"/>
              <w:spacing w:before="0" w:after="0"/>
              <w:ind w:firstLine="720"/>
              <w:rPr>
                <w:szCs w:val="28"/>
              </w:rPr>
            </w:pPr>
            <w:r w:rsidRPr="00FF6CFF">
              <w:rPr>
                <w:szCs w:val="28"/>
              </w:rPr>
              <w:t>3</w:t>
            </w:r>
          </w:p>
        </w:tc>
        <w:tc>
          <w:tcPr>
            <w:tcW w:w="3376" w:type="dxa"/>
            <w:tcBorders>
              <w:top w:val="single" w:sz="6" w:space="0" w:color="000000"/>
              <w:left w:val="single" w:sz="6" w:space="0" w:color="000000"/>
              <w:bottom w:val="single" w:sz="6" w:space="0" w:color="000000"/>
              <w:right w:val="single" w:sz="6" w:space="0" w:color="000000"/>
            </w:tcBorders>
          </w:tcPr>
          <w:p w14:paraId="02778F48" w14:textId="77777777" w:rsidR="005F4BFD" w:rsidRPr="00FF6CFF" w:rsidRDefault="008A36C9" w:rsidP="008A36C9">
            <w:pPr>
              <w:pStyle w:val="naisc"/>
              <w:spacing w:before="0" w:after="0"/>
              <w:ind w:firstLine="720"/>
              <w:rPr>
                <w:szCs w:val="28"/>
              </w:rPr>
            </w:pPr>
            <w:r w:rsidRPr="00FF6CFF">
              <w:rPr>
                <w:szCs w:val="28"/>
              </w:rPr>
              <w:t>4</w:t>
            </w:r>
          </w:p>
        </w:tc>
        <w:tc>
          <w:tcPr>
            <w:tcW w:w="2861" w:type="dxa"/>
            <w:tcBorders>
              <w:top w:val="single" w:sz="4" w:space="0" w:color="auto"/>
              <w:left w:val="single" w:sz="4" w:space="0" w:color="auto"/>
              <w:bottom w:val="single" w:sz="4" w:space="0" w:color="auto"/>
              <w:right w:val="single" w:sz="4" w:space="0" w:color="auto"/>
            </w:tcBorders>
          </w:tcPr>
          <w:p w14:paraId="3FC070EF" w14:textId="77777777" w:rsidR="005F4BFD" w:rsidRPr="00FF6CFF" w:rsidRDefault="008A36C9" w:rsidP="008A36C9">
            <w:pPr>
              <w:jc w:val="center"/>
              <w:rPr>
                <w:szCs w:val="28"/>
              </w:rPr>
            </w:pPr>
            <w:r w:rsidRPr="00FF6CFF">
              <w:rPr>
                <w:szCs w:val="28"/>
              </w:rPr>
              <w:t>5</w:t>
            </w:r>
          </w:p>
        </w:tc>
        <w:tc>
          <w:tcPr>
            <w:tcW w:w="1518" w:type="dxa"/>
            <w:tcBorders>
              <w:top w:val="single" w:sz="4" w:space="0" w:color="auto"/>
              <w:left w:val="single" w:sz="4" w:space="0" w:color="auto"/>
              <w:bottom w:val="single" w:sz="4" w:space="0" w:color="auto"/>
            </w:tcBorders>
          </w:tcPr>
          <w:p w14:paraId="54B94802" w14:textId="77777777" w:rsidR="005F4BFD" w:rsidRPr="00FF6CFF" w:rsidRDefault="008A36C9" w:rsidP="008A36C9">
            <w:pPr>
              <w:jc w:val="center"/>
              <w:rPr>
                <w:szCs w:val="28"/>
              </w:rPr>
            </w:pPr>
            <w:r w:rsidRPr="00FF6CFF">
              <w:rPr>
                <w:szCs w:val="28"/>
              </w:rPr>
              <w:t>6</w:t>
            </w:r>
          </w:p>
        </w:tc>
      </w:tr>
      <w:tr w:rsidR="00E3489F" w:rsidRPr="00FF6CFF" w14:paraId="71759797" w14:textId="77777777" w:rsidTr="00936706">
        <w:tc>
          <w:tcPr>
            <w:tcW w:w="708" w:type="dxa"/>
            <w:tcBorders>
              <w:left w:val="single" w:sz="6" w:space="0" w:color="000000"/>
              <w:right w:val="single" w:sz="6" w:space="0" w:color="000000"/>
            </w:tcBorders>
          </w:tcPr>
          <w:p w14:paraId="6B17B7DF" w14:textId="77777777" w:rsidR="00E3489F" w:rsidRPr="00FF6CFF" w:rsidRDefault="00E3489F" w:rsidP="008A36C9">
            <w:pPr>
              <w:pStyle w:val="naisc"/>
              <w:spacing w:before="0" w:after="0"/>
              <w:ind w:firstLine="720"/>
              <w:rPr>
                <w:szCs w:val="28"/>
              </w:rPr>
            </w:pPr>
          </w:p>
        </w:tc>
        <w:tc>
          <w:tcPr>
            <w:tcW w:w="2545" w:type="dxa"/>
            <w:tcBorders>
              <w:left w:val="single" w:sz="6" w:space="0" w:color="000000"/>
              <w:right w:val="single" w:sz="6" w:space="0" w:color="000000"/>
            </w:tcBorders>
          </w:tcPr>
          <w:p w14:paraId="07F5CADE" w14:textId="77777777" w:rsidR="00E3489F" w:rsidRPr="00FF6CFF" w:rsidRDefault="00E3489F" w:rsidP="008A36C9">
            <w:pPr>
              <w:pStyle w:val="naisc"/>
              <w:spacing w:before="0" w:after="0"/>
              <w:ind w:firstLine="720"/>
              <w:rPr>
                <w:szCs w:val="28"/>
              </w:rPr>
            </w:pPr>
          </w:p>
        </w:tc>
        <w:tc>
          <w:tcPr>
            <w:tcW w:w="3260" w:type="dxa"/>
            <w:tcBorders>
              <w:left w:val="single" w:sz="6" w:space="0" w:color="000000"/>
              <w:right w:val="single" w:sz="6" w:space="0" w:color="000000"/>
            </w:tcBorders>
          </w:tcPr>
          <w:p w14:paraId="7B746D01" w14:textId="77777777" w:rsidR="00E3489F" w:rsidRPr="00FF6CFF" w:rsidRDefault="00E3489F" w:rsidP="00703021">
            <w:pPr>
              <w:tabs>
                <w:tab w:val="left" w:pos="3240"/>
              </w:tabs>
              <w:jc w:val="both"/>
              <w:rPr>
                <w:szCs w:val="28"/>
              </w:rPr>
            </w:pPr>
          </w:p>
        </w:tc>
        <w:tc>
          <w:tcPr>
            <w:tcW w:w="3376" w:type="dxa"/>
            <w:tcBorders>
              <w:left w:val="single" w:sz="6" w:space="0" w:color="000000"/>
              <w:right w:val="single" w:sz="6" w:space="0" w:color="000000"/>
            </w:tcBorders>
          </w:tcPr>
          <w:p w14:paraId="3C86AEB5" w14:textId="77777777" w:rsidR="00E3489F" w:rsidRPr="00FF6CFF" w:rsidRDefault="00E3489F" w:rsidP="00EB4F95">
            <w:pPr>
              <w:pStyle w:val="naisc"/>
              <w:spacing w:before="0" w:after="0"/>
              <w:jc w:val="both"/>
              <w:rPr>
                <w:szCs w:val="28"/>
              </w:rPr>
            </w:pPr>
          </w:p>
        </w:tc>
        <w:tc>
          <w:tcPr>
            <w:tcW w:w="2861" w:type="dxa"/>
            <w:tcBorders>
              <w:top w:val="single" w:sz="4" w:space="0" w:color="auto"/>
              <w:left w:val="single" w:sz="4" w:space="0" w:color="auto"/>
              <w:right w:val="single" w:sz="4" w:space="0" w:color="auto"/>
            </w:tcBorders>
          </w:tcPr>
          <w:p w14:paraId="15E92C99" w14:textId="77777777" w:rsidR="00E3489F" w:rsidRPr="00FF6CFF" w:rsidRDefault="00E3489F" w:rsidP="00E3489F">
            <w:pPr>
              <w:pStyle w:val="Pamattekstsaratkpi"/>
              <w:widowControl w:val="0"/>
              <w:spacing w:after="0"/>
              <w:ind w:left="0"/>
              <w:jc w:val="both"/>
              <w:rPr>
                <w:szCs w:val="28"/>
              </w:rPr>
            </w:pPr>
          </w:p>
        </w:tc>
        <w:tc>
          <w:tcPr>
            <w:tcW w:w="1518" w:type="dxa"/>
            <w:tcBorders>
              <w:top w:val="single" w:sz="4" w:space="0" w:color="auto"/>
              <w:left w:val="single" w:sz="4" w:space="0" w:color="auto"/>
              <w:right w:val="single" w:sz="4" w:space="0" w:color="auto"/>
            </w:tcBorders>
          </w:tcPr>
          <w:p w14:paraId="2D60B111" w14:textId="77777777" w:rsidR="00E3489F" w:rsidRPr="00FF6CFF" w:rsidRDefault="00E3489F" w:rsidP="008A36C9">
            <w:pPr>
              <w:rPr>
                <w:szCs w:val="28"/>
              </w:rPr>
            </w:pPr>
          </w:p>
        </w:tc>
      </w:tr>
    </w:tbl>
    <w:p w14:paraId="47456175" w14:textId="77777777" w:rsidR="001800A5" w:rsidRPr="00FF6CFF" w:rsidRDefault="001800A5" w:rsidP="005D67F7">
      <w:pPr>
        <w:pStyle w:val="naisf"/>
        <w:spacing w:before="0" w:after="0"/>
        <w:ind w:firstLine="0"/>
        <w:rPr>
          <w:b/>
          <w:sz w:val="18"/>
          <w:szCs w:val="28"/>
        </w:rPr>
      </w:pPr>
    </w:p>
    <w:p w14:paraId="4BB8AB08" w14:textId="77777777" w:rsidR="005D67F7" w:rsidRPr="00FF6CFF" w:rsidRDefault="005D67F7" w:rsidP="005D67F7">
      <w:pPr>
        <w:pStyle w:val="naisf"/>
        <w:spacing w:before="0" w:after="0"/>
        <w:ind w:firstLine="0"/>
        <w:rPr>
          <w:b/>
          <w:szCs w:val="28"/>
        </w:rPr>
      </w:pPr>
      <w:r w:rsidRPr="00FF6CFF">
        <w:rPr>
          <w:b/>
          <w:szCs w:val="28"/>
        </w:rPr>
        <w:t>Informācija par starpministriju (starpinstitūciju) sanāksmi vai elektronisko saskaņošanu</w:t>
      </w:r>
    </w:p>
    <w:tbl>
      <w:tblPr>
        <w:tblW w:w="12582" w:type="dxa"/>
        <w:tblLook w:val="00A0" w:firstRow="1" w:lastRow="0" w:firstColumn="1" w:lastColumn="0" w:noHBand="0" w:noVBand="0"/>
      </w:tblPr>
      <w:tblGrid>
        <w:gridCol w:w="6345"/>
        <w:gridCol w:w="6237"/>
      </w:tblGrid>
      <w:tr w:rsidR="00946DFD" w:rsidRPr="00FF6CFF" w14:paraId="054DF7F4" w14:textId="77777777">
        <w:tc>
          <w:tcPr>
            <w:tcW w:w="6345" w:type="dxa"/>
          </w:tcPr>
          <w:p w14:paraId="06863078" w14:textId="77777777" w:rsidR="007B4C0F" w:rsidRPr="00FF6CFF" w:rsidRDefault="005D67F7" w:rsidP="005D67F7">
            <w:pPr>
              <w:pStyle w:val="naisf"/>
              <w:spacing w:before="0" w:after="0"/>
              <w:ind w:firstLine="0"/>
              <w:rPr>
                <w:szCs w:val="28"/>
              </w:rPr>
            </w:pPr>
            <w:r w:rsidRPr="00FF6CFF">
              <w:rPr>
                <w:szCs w:val="28"/>
              </w:rPr>
              <w:t>D</w:t>
            </w:r>
            <w:r w:rsidR="007B4C0F" w:rsidRPr="00FF6CFF">
              <w:rPr>
                <w:szCs w:val="28"/>
              </w:rPr>
              <w:t>atums</w:t>
            </w:r>
          </w:p>
        </w:tc>
        <w:tc>
          <w:tcPr>
            <w:tcW w:w="6237" w:type="dxa"/>
            <w:tcBorders>
              <w:bottom w:val="single" w:sz="4" w:space="0" w:color="auto"/>
            </w:tcBorders>
          </w:tcPr>
          <w:p w14:paraId="64FE27E9" w14:textId="77777777" w:rsidR="007B4C0F" w:rsidRPr="00FF6CFF" w:rsidRDefault="007B4C0F" w:rsidP="000151A0">
            <w:pPr>
              <w:pStyle w:val="Paraststmeklis"/>
              <w:spacing w:before="0" w:beforeAutospacing="0" w:after="0" w:afterAutospacing="0"/>
              <w:rPr>
                <w:szCs w:val="28"/>
              </w:rPr>
            </w:pPr>
          </w:p>
        </w:tc>
      </w:tr>
      <w:tr w:rsidR="00946DFD" w:rsidRPr="00FF6CFF" w14:paraId="7BAF2FEE" w14:textId="77777777">
        <w:tc>
          <w:tcPr>
            <w:tcW w:w="6345" w:type="dxa"/>
          </w:tcPr>
          <w:p w14:paraId="1B2E0B1C" w14:textId="77777777" w:rsidR="003C27A2" w:rsidRPr="00FF6CFF" w:rsidRDefault="003C27A2" w:rsidP="007B4C0F">
            <w:pPr>
              <w:pStyle w:val="naisf"/>
              <w:spacing w:before="0" w:after="0"/>
              <w:ind w:firstLine="0"/>
              <w:rPr>
                <w:szCs w:val="28"/>
              </w:rPr>
            </w:pPr>
          </w:p>
        </w:tc>
        <w:tc>
          <w:tcPr>
            <w:tcW w:w="6237" w:type="dxa"/>
            <w:tcBorders>
              <w:top w:val="single" w:sz="4" w:space="0" w:color="auto"/>
            </w:tcBorders>
          </w:tcPr>
          <w:p w14:paraId="506CDEE1" w14:textId="77777777" w:rsidR="003C27A2" w:rsidRPr="00FF6CFF" w:rsidRDefault="003C27A2" w:rsidP="0036160E">
            <w:pPr>
              <w:pStyle w:val="Paraststmeklis"/>
              <w:spacing w:before="0" w:beforeAutospacing="0" w:after="0" w:afterAutospacing="0"/>
              <w:ind w:firstLine="720"/>
              <w:rPr>
                <w:szCs w:val="28"/>
              </w:rPr>
            </w:pPr>
          </w:p>
        </w:tc>
      </w:tr>
      <w:tr w:rsidR="00946DFD" w:rsidRPr="00FF6CFF" w14:paraId="1298FCD0" w14:textId="77777777">
        <w:tc>
          <w:tcPr>
            <w:tcW w:w="6345" w:type="dxa"/>
          </w:tcPr>
          <w:p w14:paraId="0ACEC7A2" w14:textId="77777777" w:rsidR="007B4C0F" w:rsidRPr="00FF6CFF" w:rsidRDefault="00365CC0" w:rsidP="003C27A2">
            <w:pPr>
              <w:pStyle w:val="naiskr"/>
              <w:spacing w:before="0" w:after="0"/>
              <w:rPr>
                <w:szCs w:val="28"/>
              </w:rPr>
            </w:pPr>
            <w:r w:rsidRPr="00FF6CFF">
              <w:rPr>
                <w:szCs w:val="28"/>
              </w:rPr>
              <w:t>Saskaņošanas dalībnieki</w:t>
            </w:r>
          </w:p>
        </w:tc>
        <w:tc>
          <w:tcPr>
            <w:tcW w:w="6237" w:type="dxa"/>
          </w:tcPr>
          <w:p w14:paraId="39CD433B" w14:textId="77777777" w:rsidR="007B4C0F" w:rsidRPr="00FF6CFF" w:rsidRDefault="007B4C0F" w:rsidP="000151A0">
            <w:pPr>
              <w:pStyle w:val="Paraststmeklis"/>
              <w:rPr>
                <w:szCs w:val="28"/>
              </w:rPr>
            </w:pPr>
          </w:p>
        </w:tc>
      </w:tr>
      <w:tr w:rsidR="007B4C0F" w:rsidRPr="00FF6CFF" w14:paraId="62B725F1" w14:textId="77777777">
        <w:tc>
          <w:tcPr>
            <w:tcW w:w="6345" w:type="dxa"/>
          </w:tcPr>
          <w:p w14:paraId="12276AE4" w14:textId="77777777" w:rsidR="007B4C0F" w:rsidRPr="00FF6CFF" w:rsidRDefault="007B4C0F" w:rsidP="0036160E">
            <w:pPr>
              <w:pStyle w:val="naiskr"/>
              <w:spacing w:before="0" w:after="0"/>
              <w:ind w:firstLine="720"/>
              <w:rPr>
                <w:szCs w:val="28"/>
              </w:rPr>
            </w:pPr>
            <w:r w:rsidRPr="00FF6CFF">
              <w:rPr>
                <w:szCs w:val="28"/>
              </w:rPr>
              <w:t>  </w:t>
            </w:r>
          </w:p>
        </w:tc>
        <w:tc>
          <w:tcPr>
            <w:tcW w:w="6237" w:type="dxa"/>
            <w:tcBorders>
              <w:top w:val="single" w:sz="6" w:space="0" w:color="000000"/>
              <w:bottom w:val="single" w:sz="6" w:space="0" w:color="000000"/>
            </w:tcBorders>
          </w:tcPr>
          <w:p w14:paraId="0D3C7091" w14:textId="77777777" w:rsidR="007B4C0F" w:rsidRPr="00FF6CFF" w:rsidRDefault="007B4C0F" w:rsidP="000151A0">
            <w:pPr>
              <w:pStyle w:val="naiskr"/>
              <w:rPr>
                <w:szCs w:val="28"/>
              </w:rPr>
            </w:pPr>
          </w:p>
        </w:tc>
      </w:tr>
    </w:tbl>
    <w:p w14:paraId="27378264" w14:textId="77777777" w:rsidR="008A36C9" w:rsidRPr="00FF6CFF" w:rsidRDefault="008A36C9">
      <w:pPr>
        <w:rPr>
          <w:sz w:val="18"/>
          <w:szCs w:val="28"/>
        </w:rPr>
      </w:pPr>
    </w:p>
    <w:tbl>
      <w:tblPr>
        <w:tblW w:w="12582" w:type="dxa"/>
        <w:tblLook w:val="00A0" w:firstRow="1" w:lastRow="0" w:firstColumn="1" w:lastColumn="0" w:noHBand="0" w:noVBand="0"/>
      </w:tblPr>
      <w:tblGrid>
        <w:gridCol w:w="6708"/>
        <w:gridCol w:w="840"/>
        <w:gridCol w:w="5034"/>
      </w:tblGrid>
      <w:tr w:rsidR="00946DFD" w:rsidRPr="00FF6CFF" w14:paraId="0A14B162" w14:textId="77777777">
        <w:trPr>
          <w:trHeight w:val="285"/>
        </w:trPr>
        <w:tc>
          <w:tcPr>
            <w:tcW w:w="6708" w:type="dxa"/>
          </w:tcPr>
          <w:p w14:paraId="17920920" w14:textId="77777777" w:rsidR="007B4C0F" w:rsidRPr="00FF6CFF" w:rsidRDefault="00365CC0" w:rsidP="000D0AED">
            <w:pPr>
              <w:pStyle w:val="naiskr"/>
              <w:spacing w:before="0" w:after="0"/>
              <w:rPr>
                <w:szCs w:val="28"/>
              </w:rPr>
            </w:pPr>
            <w:r w:rsidRPr="00FF6CFF">
              <w:rPr>
                <w:szCs w:val="28"/>
              </w:rPr>
              <w:t xml:space="preserve">Saskaņošanas dalībnieki </w:t>
            </w:r>
            <w:r w:rsidR="007B4C0F" w:rsidRPr="00FF6CFF">
              <w:rPr>
                <w:szCs w:val="28"/>
              </w:rPr>
              <w:t>izskatīja</w:t>
            </w:r>
            <w:r w:rsidR="005D67F7" w:rsidRPr="00FF6CFF">
              <w:rPr>
                <w:szCs w:val="28"/>
              </w:rPr>
              <w:t xml:space="preserve"> šādu ministriju </w:t>
            </w:r>
            <w:r w:rsidR="003E4C3F" w:rsidRPr="00FF6CFF">
              <w:rPr>
                <w:szCs w:val="28"/>
              </w:rPr>
              <w:t>(c</w:t>
            </w:r>
            <w:r w:rsidR="005D67F7" w:rsidRPr="00FF6CFF">
              <w:rPr>
                <w:szCs w:val="28"/>
              </w:rPr>
              <w:t>itu institūciju</w:t>
            </w:r>
            <w:r w:rsidR="003E4C3F" w:rsidRPr="00FF6CFF">
              <w:rPr>
                <w:szCs w:val="28"/>
              </w:rPr>
              <w:t>)</w:t>
            </w:r>
            <w:r w:rsidR="005D67F7" w:rsidRPr="00FF6CFF">
              <w:rPr>
                <w:szCs w:val="28"/>
              </w:rPr>
              <w:t xml:space="preserve"> iebildumus</w:t>
            </w:r>
          </w:p>
        </w:tc>
        <w:tc>
          <w:tcPr>
            <w:tcW w:w="840" w:type="dxa"/>
          </w:tcPr>
          <w:p w14:paraId="5874DF73" w14:textId="77777777" w:rsidR="007B4C0F" w:rsidRPr="00FF6CFF" w:rsidRDefault="007B4C0F" w:rsidP="0036160E">
            <w:pPr>
              <w:pStyle w:val="naiskr"/>
              <w:spacing w:before="0" w:after="0"/>
              <w:ind w:firstLine="720"/>
              <w:rPr>
                <w:szCs w:val="28"/>
              </w:rPr>
            </w:pPr>
          </w:p>
        </w:tc>
        <w:tc>
          <w:tcPr>
            <w:tcW w:w="5034" w:type="dxa"/>
          </w:tcPr>
          <w:p w14:paraId="16AD1BEB" w14:textId="77777777" w:rsidR="007B4C0F" w:rsidRPr="00FF6CFF" w:rsidRDefault="006C1453" w:rsidP="006C1453">
            <w:pPr>
              <w:pStyle w:val="naiskr"/>
              <w:spacing w:before="0" w:after="0"/>
              <w:rPr>
                <w:szCs w:val="28"/>
              </w:rPr>
            </w:pPr>
            <w:r w:rsidRPr="00FF6CFF">
              <w:rPr>
                <w:szCs w:val="28"/>
              </w:rPr>
              <w:t>-</w:t>
            </w:r>
          </w:p>
        </w:tc>
      </w:tr>
      <w:tr w:rsidR="00946DFD" w:rsidRPr="00FF6CFF" w14:paraId="1EF1FDEE" w14:textId="77777777">
        <w:tc>
          <w:tcPr>
            <w:tcW w:w="6708" w:type="dxa"/>
          </w:tcPr>
          <w:p w14:paraId="56E5BA1E" w14:textId="77777777" w:rsidR="007B4C0F" w:rsidRPr="00FF6CFF" w:rsidRDefault="007B4C0F" w:rsidP="0036160E">
            <w:pPr>
              <w:pStyle w:val="naiskr"/>
              <w:spacing w:before="0" w:after="0"/>
              <w:rPr>
                <w:szCs w:val="28"/>
              </w:rPr>
            </w:pPr>
            <w:r w:rsidRPr="00FF6CFF">
              <w:rPr>
                <w:szCs w:val="28"/>
              </w:rPr>
              <w:t>Ministrijas (citas institūcijas), kuras nav ieradušās uz sanāksmi vai kuras nav atbildējušas uz uzaicinājumu piedalīties elektroniskajā saskaņošanā</w:t>
            </w:r>
          </w:p>
        </w:tc>
        <w:tc>
          <w:tcPr>
            <w:tcW w:w="5874" w:type="dxa"/>
            <w:gridSpan w:val="2"/>
          </w:tcPr>
          <w:p w14:paraId="4621EF9C" w14:textId="77777777" w:rsidR="007B4C0F" w:rsidRPr="00FF6CFF" w:rsidRDefault="007B4C0F" w:rsidP="000151A0">
            <w:pPr>
              <w:pStyle w:val="naiskr"/>
              <w:spacing w:before="0" w:after="0"/>
              <w:rPr>
                <w:szCs w:val="28"/>
              </w:rPr>
            </w:pPr>
          </w:p>
        </w:tc>
      </w:tr>
    </w:tbl>
    <w:p w14:paraId="44A74729" w14:textId="77777777" w:rsidR="00961C8E" w:rsidRDefault="00961C8E" w:rsidP="00184479">
      <w:pPr>
        <w:pStyle w:val="naisf"/>
        <w:spacing w:before="0" w:after="0"/>
        <w:ind w:firstLine="0"/>
        <w:jc w:val="center"/>
        <w:rPr>
          <w:b/>
        </w:rPr>
      </w:pPr>
    </w:p>
    <w:p w14:paraId="0F923FEB" w14:textId="77777777" w:rsidR="00FF6CFF" w:rsidRDefault="00FF6CFF" w:rsidP="00184479">
      <w:pPr>
        <w:pStyle w:val="naisf"/>
        <w:spacing w:before="0" w:after="0"/>
        <w:ind w:firstLine="0"/>
        <w:jc w:val="center"/>
        <w:rPr>
          <w:b/>
        </w:rPr>
      </w:pPr>
    </w:p>
    <w:p w14:paraId="78AAE525" w14:textId="77777777" w:rsidR="00FF6CFF" w:rsidRDefault="00FF6CFF" w:rsidP="00184479">
      <w:pPr>
        <w:pStyle w:val="naisf"/>
        <w:spacing w:before="0" w:after="0"/>
        <w:ind w:firstLine="0"/>
        <w:jc w:val="center"/>
        <w:rPr>
          <w:b/>
        </w:rPr>
      </w:pPr>
    </w:p>
    <w:p w14:paraId="4F25C748" w14:textId="77777777" w:rsidR="00FF6CFF" w:rsidRDefault="00FF6CFF" w:rsidP="00184479">
      <w:pPr>
        <w:pStyle w:val="naisf"/>
        <w:spacing w:before="0" w:after="0"/>
        <w:ind w:firstLine="0"/>
        <w:jc w:val="center"/>
        <w:rPr>
          <w:b/>
        </w:rPr>
      </w:pPr>
    </w:p>
    <w:p w14:paraId="775B0552" w14:textId="77777777" w:rsidR="00FF6CFF" w:rsidRPr="00FF6CFF" w:rsidRDefault="00FF6CFF" w:rsidP="00184479">
      <w:pPr>
        <w:pStyle w:val="naisf"/>
        <w:spacing w:before="0" w:after="0"/>
        <w:ind w:firstLine="0"/>
        <w:jc w:val="center"/>
        <w:rPr>
          <w:b/>
        </w:rPr>
      </w:pPr>
    </w:p>
    <w:p w14:paraId="6061D678" w14:textId="77777777" w:rsidR="007B4C0F" w:rsidRPr="00FF6CFF" w:rsidRDefault="007B4C0F" w:rsidP="00184479">
      <w:pPr>
        <w:pStyle w:val="naisf"/>
        <w:spacing w:before="0" w:after="0"/>
        <w:ind w:firstLine="0"/>
        <w:jc w:val="center"/>
        <w:rPr>
          <w:b/>
          <w:sz w:val="22"/>
        </w:rPr>
      </w:pPr>
      <w:r w:rsidRPr="00FF6CFF">
        <w:rPr>
          <w:b/>
        </w:rPr>
        <w:lastRenderedPageBreak/>
        <w:t>II. </w:t>
      </w:r>
      <w:r w:rsidR="00134188" w:rsidRPr="00FF6CFF">
        <w:rPr>
          <w:b/>
        </w:rPr>
        <w:t>Jautājumi, par kuriem saskaņošanā vienošan</w:t>
      </w:r>
      <w:r w:rsidR="00144622" w:rsidRPr="00FF6CFF">
        <w:rPr>
          <w:b/>
        </w:rPr>
        <w:t>ā</w:t>
      </w:r>
      <w:r w:rsidR="00134188" w:rsidRPr="00FF6CFF">
        <w:rPr>
          <w:b/>
        </w:rPr>
        <w:t>s ir panākta</w:t>
      </w:r>
    </w:p>
    <w:tbl>
      <w:tblPr>
        <w:tblW w:w="14992" w:type="dxa"/>
        <w:tblInd w:w="-4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433"/>
        <w:gridCol w:w="579"/>
        <w:gridCol w:w="5103"/>
        <w:gridCol w:w="497"/>
        <w:gridCol w:w="2621"/>
        <w:gridCol w:w="3084"/>
      </w:tblGrid>
      <w:tr w:rsidR="00946DFD" w:rsidRPr="00FF6CFF" w14:paraId="63BC15DC" w14:textId="77777777" w:rsidTr="00DF070B">
        <w:tc>
          <w:tcPr>
            <w:tcW w:w="675" w:type="dxa"/>
            <w:tcBorders>
              <w:top w:val="single" w:sz="6" w:space="0" w:color="000000"/>
              <w:left w:val="single" w:sz="6" w:space="0" w:color="000000"/>
              <w:bottom w:val="single" w:sz="6" w:space="0" w:color="000000"/>
              <w:right w:val="single" w:sz="6" w:space="0" w:color="000000"/>
            </w:tcBorders>
            <w:vAlign w:val="center"/>
          </w:tcPr>
          <w:p w14:paraId="246DACFC" w14:textId="77777777" w:rsidR="00134188" w:rsidRPr="00086937" w:rsidRDefault="00134188" w:rsidP="009623BC">
            <w:pPr>
              <w:pStyle w:val="naisc"/>
              <w:spacing w:before="0" w:after="0"/>
            </w:pPr>
            <w:r w:rsidRPr="00086937">
              <w:t>Nr. p.</w:t>
            </w:r>
            <w:r w:rsidR="00D64FB0" w:rsidRPr="00086937">
              <w:t> </w:t>
            </w:r>
            <w:r w:rsidRPr="00086937">
              <w:t>k.</w:t>
            </w:r>
          </w:p>
        </w:tc>
        <w:tc>
          <w:tcPr>
            <w:tcW w:w="3012" w:type="dxa"/>
            <w:gridSpan w:val="2"/>
            <w:tcBorders>
              <w:top w:val="single" w:sz="6" w:space="0" w:color="000000"/>
              <w:left w:val="single" w:sz="6" w:space="0" w:color="000000"/>
              <w:bottom w:val="single" w:sz="6" w:space="0" w:color="000000"/>
              <w:right w:val="single" w:sz="6" w:space="0" w:color="000000"/>
            </w:tcBorders>
            <w:vAlign w:val="center"/>
          </w:tcPr>
          <w:p w14:paraId="1E920EE6" w14:textId="77777777" w:rsidR="00134188" w:rsidRPr="00086937" w:rsidRDefault="00134188" w:rsidP="009623BC">
            <w:pPr>
              <w:pStyle w:val="naisc"/>
              <w:spacing w:before="0" w:after="0"/>
              <w:ind w:firstLine="12"/>
            </w:pPr>
            <w:r w:rsidRPr="00086937">
              <w:t>Saskaņošanai nosūtītā projekta redakcija (konkrēta punkta (panta) redakcija)</w:t>
            </w:r>
          </w:p>
        </w:tc>
        <w:tc>
          <w:tcPr>
            <w:tcW w:w="5103" w:type="dxa"/>
            <w:tcBorders>
              <w:top w:val="single" w:sz="6" w:space="0" w:color="000000"/>
              <w:left w:val="single" w:sz="6" w:space="0" w:color="000000"/>
              <w:bottom w:val="single" w:sz="6" w:space="0" w:color="000000"/>
              <w:right w:val="single" w:sz="6" w:space="0" w:color="000000"/>
            </w:tcBorders>
            <w:vAlign w:val="center"/>
          </w:tcPr>
          <w:p w14:paraId="64524EBE" w14:textId="77777777" w:rsidR="00134188" w:rsidRPr="00086937" w:rsidRDefault="00134188" w:rsidP="009623BC">
            <w:pPr>
              <w:pStyle w:val="naisc"/>
              <w:spacing w:before="0" w:after="0"/>
              <w:ind w:right="3"/>
            </w:pPr>
            <w:r w:rsidRPr="00086937">
              <w:t>Atzinumā norādītais ministrijas (citas institūcijas) iebildums, kā arī saskaņošanā papildus izteiktais iebildums par projekta konkrēto punktu (pantu)</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14:paraId="44A3A9E9" w14:textId="77777777" w:rsidR="00134188" w:rsidRPr="00086937" w:rsidRDefault="00134188" w:rsidP="009623BC">
            <w:pPr>
              <w:pStyle w:val="naisc"/>
              <w:spacing w:before="0" w:after="0"/>
              <w:ind w:firstLine="21"/>
            </w:pPr>
            <w:r w:rsidRPr="00086937">
              <w:t>Atbildīgās ministrijas norāde</w:t>
            </w:r>
            <w:r w:rsidR="006C1C48" w:rsidRPr="00086937">
              <w:t xml:space="preserve"> par to, ka </w:t>
            </w:r>
            <w:r w:rsidRPr="00086937">
              <w:t>iebildums ir ņemts vērā</w:t>
            </w:r>
            <w:r w:rsidR="006455E7" w:rsidRPr="00086937">
              <w:t>,</w:t>
            </w:r>
            <w:r w:rsidRPr="00086937">
              <w:t xml:space="preserve"> vai </w:t>
            </w:r>
            <w:r w:rsidR="006C1C48" w:rsidRPr="00086937">
              <w:t xml:space="preserve">informācija par saskaņošanā </w:t>
            </w:r>
            <w:r w:rsidR="00022B0F" w:rsidRPr="00086937">
              <w:t>panākto alternatīvo risinājumu</w:t>
            </w:r>
          </w:p>
        </w:tc>
        <w:tc>
          <w:tcPr>
            <w:tcW w:w="3084" w:type="dxa"/>
            <w:tcBorders>
              <w:top w:val="single" w:sz="4" w:space="0" w:color="auto"/>
              <w:left w:val="single" w:sz="4" w:space="0" w:color="auto"/>
              <w:bottom w:val="single" w:sz="4" w:space="0" w:color="auto"/>
            </w:tcBorders>
            <w:vAlign w:val="center"/>
          </w:tcPr>
          <w:p w14:paraId="55BA3625" w14:textId="77777777" w:rsidR="00134188" w:rsidRPr="00086937" w:rsidRDefault="00134188" w:rsidP="009623BC">
            <w:pPr>
              <w:jc w:val="center"/>
            </w:pPr>
            <w:r w:rsidRPr="00086937">
              <w:t>Projekta attiecīgā punkta (panta) galīgā redakcija</w:t>
            </w:r>
          </w:p>
        </w:tc>
      </w:tr>
      <w:tr w:rsidR="00946DFD" w:rsidRPr="00FF6CFF" w14:paraId="7C5EE086" w14:textId="77777777" w:rsidTr="00DF070B">
        <w:tc>
          <w:tcPr>
            <w:tcW w:w="675" w:type="dxa"/>
            <w:tcBorders>
              <w:top w:val="single" w:sz="6" w:space="0" w:color="000000"/>
              <w:left w:val="single" w:sz="6" w:space="0" w:color="000000"/>
              <w:bottom w:val="single" w:sz="6" w:space="0" w:color="000000"/>
              <w:right w:val="single" w:sz="6" w:space="0" w:color="000000"/>
            </w:tcBorders>
          </w:tcPr>
          <w:p w14:paraId="419F92C1" w14:textId="77777777" w:rsidR="00134188" w:rsidRPr="00086937" w:rsidRDefault="003B71E0" w:rsidP="003B71E0">
            <w:pPr>
              <w:pStyle w:val="naisc"/>
              <w:spacing w:before="0" w:after="0"/>
            </w:pPr>
            <w:r w:rsidRPr="00086937">
              <w:t>1</w:t>
            </w:r>
          </w:p>
        </w:tc>
        <w:tc>
          <w:tcPr>
            <w:tcW w:w="3012" w:type="dxa"/>
            <w:gridSpan w:val="2"/>
            <w:tcBorders>
              <w:top w:val="single" w:sz="6" w:space="0" w:color="000000"/>
              <w:left w:val="single" w:sz="6" w:space="0" w:color="000000"/>
              <w:bottom w:val="single" w:sz="6" w:space="0" w:color="000000"/>
              <w:right w:val="single" w:sz="6" w:space="0" w:color="000000"/>
            </w:tcBorders>
          </w:tcPr>
          <w:p w14:paraId="21CDDD4B" w14:textId="77777777" w:rsidR="00134188" w:rsidRPr="00086937" w:rsidRDefault="00F34AAB" w:rsidP="003B71E0">
            <w:pPr>
              <w:pStyle w:val="naisc"/>
              <w:spacing w:before="0" w:after="0"/>
              <w:ind w:firstLine="720"/>
            </w:pPr>
            <w:r w:rsidRPr="00086937">
              <w:t>2</w:t>
            </w:r>
          </w:p>
        </w:tc>
        <w:tc>
          <w:tcPr>
            <w:tcW w:w="5103" w:type="dxa"/>
            <w:tcBorders>
              <w:top w:val="single" w:sz="6" w:space="0" w:color="000000"/>
              <w:left w:val="single" w:sz="6" w:space="0" w:color="000000"/>
              <w:bottom w:val="single" w:sz="6" w:space="0" w:color="000000"/>
              <w:right w:val="single" w:sz="6" w:space="0" w:color="000000"/>
            </w:tcBorders>
          </w:tcPr>
          <w:p w14:paraId="71AF3E4A" w14:textId="77777777" w:rsidR="00134188" w:rsidRPr="00086937" w:rsidRDefault="003B71E0" w:rsidP="003B71E0">
            <w:pPr>
              <w:pStyle w:val="naisc"/>
              <w:spacing w:before="0" w:after="0"/>
              <w:ind w:firstLine="720"/>
            </w:pPr>
            <w:r w:rsidRPr="00086937">
              <w:t>3</w:t>
            </w:r>
          </w:p>
        </w:tc>
        <w:tc>
          <w:tcPr>
            <w:tcW w:w="3118" w:type="dxa"/>
            <w:gridSpan w:val="2"/>
            <w:tcBorders>
              <w:top w:val="single" w:sz="6" w:space="0" w:color="000000"/>
              <w:left w:val="single" w:sz="6" w:space="0" w:color="000000"/>
              <w:bottom w:val="single" w:sz="6" w:space="0" w:color="000000"/>
              <w:right w:val="single" w:sz="6" w:space="0" w:color="000000"/>
            </w:tcBorders>
          </w:tcPr>
          <w:p w14:paraId="6AF597FD" w14:textId="77777777" w:rsidR="00134188" w:rsidRPr="00086937" w:rsidRDefault="003B71E0" w:rsidP="003B71E0">
            <w:pPr>
              <w:pStyle w:val="naisc"/>
              <w:spacing w:before="0" w:after="0"/>
              <w:ind w:firstLine="720"/>
            </w:pPr>
            <w:r w:rsidRPr="00086937">
              <w:t>4</w:t>
            </w:r>
          </w:p>
        </w:tc>
        <w:tc>
          <w:tcPr>
            <w:tcW w:w="3084" w:type="dxa"/>
            <w:tcBorders>
              <w:top w:val="single" w:sz="4" w:space="0" w:color="auto"/>
              <w:left w:val="single" w:sz="4" w:space="0" w:color="auto"/>
              <w:bottom w:val="single" w:sz="4" w:space="0" w:color="auto"/>
            </w:tcBorders>
          </w:tcPr>
          <w:p w14:paraId="6AD4AF88" w14:textId="77777777" w:rsidR="00134188" w:rsidRPr="00086937" w:rsidRDefault="003B71E0" w:rsidP="003B71E0">
            <w:pPr>
              <w:jc w:val="center"/>
            </w:pPr>
            <w:r w:rsidRPr="00086937">
              <w:t>5</w:t>
            </w:r>
          </w:p>
        </w:tc>
      </w:tr>
      <w:tr w:rsidR="003801E3" w:rsidRPr="00FF6CFF" w14:paraId="1DB9573B" w14:textId="77777777" w:rsidTr="00DF070B">
        <w:trPr>
          <w:trHeight w:val="611"/>
        </w:trPr>
        <w:tc>
          <w:tcPr>
            <w:tcW w:w="675" w:type="dxa"/>
            <w:tcBorders>
              <w:left w:val="single" w:sz="6" w:space="0" w:color="000000"/>
              <w:bottom w:val="single" w:sz="4" w:space="0" w:color="auto"/>
              <w:right w:val="single" w:sz="6" w:space="0" w:color="000000"/>
            </w:tcBorders>
          </w:tcPr>
          <w:p w14:paraId="79EC53A5" w14:textId="77777777" w:rsidR="003801E3" w:rsidRPr="00086937" w:rsidRDefault="003801E3" w:rsidP="003801E3">
            <w:pPr>
              <w:pStyle w:val="naisc"/>
              <w:numPr>
                <w:ilvl w:val="0"/>
                <w:numId w:val="9"/>
              </w:numPr>
              <w:spacing w:before="0" w:after="0"/>
              <w:ind w:left="426"/>
              <w:jc w:val="left"/>
            </w:pPr>
          </w:p>
          <w:p w14:paraId="7A51E6AF" w14:textId="77777777" w:rsidR="003801E3" w:rsidRPr="00086937" w:rsidRDefault="003801E3" w:rsidP="003801E3">
            <w:pPr>
              <w:pStyle w:val="naisc"/>
              <w:spacing w:before="0" w:after="0"/>
              <w:ind w:left="426"/>
              <w:jc w:val="left"/>
            </w:pPr>
          </w:p>
        </w:tc>
        <w:tc>
          <w:tcPr>
            <w:tcW w:w="3012" w:type="dxa"/>
            <w:gridSpan w:val="2"/>
            <w:tcBorders>
              <w:left w:val="single" w:sz="6" w:space="0" w:color="000000"/>
              <w:bottom w:val="single" w:sz="4" w:space="0" w:color="auto"/>
              <w:right w:val="single" w:sz="6" w:space="0" w:color="000000"/>
            </w:tcBorders>
          </w:tcPr>
          <w:p w14:paraId="20230EE9" w14:textId="7C812544" w:rsidR="003801E3" w:rsidRPr="00086937" w:rsidRDefault="00FA1499" w:rsidP="003801E3">
            <w:pPr>
              <w:jc w:val="both"/>
            </w:pPr>
            <w:r>
              <w:t>3</w:t>
            </w:r>
            <w:r w:rsidR="00DD5AA5" w:rsidRPr="00DD5AA5">
              <w:t>. Atbalstu piešķir lauksaimniekam, kurš 2019. gada 31. decembrī jau bija nonācis grūtībās un kuram brīdī, kad tiek pieņemts lēmums par atbalsta piešķiršanu, nav piemērota kolektīva maksātnespējas procedūra, un kurš nav saņēmis glābšanas atbalstu vai pārstrukturēšanas atbalstu.</w:t>
            </w:r>
          </w:p>
        </w:tc>
        <w:tc>
          <w:tcPr>
            <w:tcW w:w="5103" w:type="dxa"/>
            <w:tcBorders>
              <w:left w:val="single" w:sz="6" w:space="0" w:color="000000"/>
              <w:bottom w:val="single" w:sz="4" w:space="0" w:color="auto"/>
              <w:right w:val="single" w:sz="6" w:space="0" w:color="000000"/>
            </w:tcBorders>
          </w:tcPr>
          <w:p w14:paraId="4DF20004" w14:textId="77777777" w:rsidR="003801E3" w:rsidRDefault="003801E3" w:rsidP="003801E3">
            <w:pPr>
              <w:pStyle w:val="naisc"/>
              <w:spacing w:before="0" w:after="0"/>
              <w:jc w:val="left"/>
              <w:rPr>
                <w:b/>
              </w:rPr>
            </w:pPr>
            <w:r w:rsidRPr="00086937">
              <w:rPr>
                <w:b/>
              </w:rPr>
              <w:t>Tieslietu ministrija</w:t>
            </w:r>
          </w:p>
          <w:p w14:paraId="1774881F" w14:textId="55C0510B" w:rsidR="003801E3" w:rsidRPr="001E505D" w:rsidRDefault="003801E3" w:rsidP="003801E3">
            <w:pPr>
              <w:pStyle w:val="naisc"/>
              <w:spacing w:before="0" w:after="0"/>
              <w:jc w:val="both"/>
              <w:rPr>
                <w:b/>
              </w:rPr>
            </w:pPr>
            <w:r>
              <w:t>Lūdzam skaidrot, kas ir projekta 3. punktā minētā “kolektīvā maksātnespējas procedūra” un attiecīgi precizēt projekta 3. punktu. Norādām, ka spēkā esošais Maksātnespējas likums neparedz tādu maksātnespējas procesa veidu, kā šobrīd minēts projekta 3. punktā. Gadījumā, ja projektā minētais termins izriet no tieši piemērojamiem Eiropas Savienības tiesību aktiem (regulām) par atbalsta piešķiršanu grūtībās nonākušiem lauksaimniekiem, lūdzam projekta 3. punktu papildināt ar atsauci uz attiecīgo regulu, ja iespējams, norādot konkrētu regulas vienību, vienlaikus papildinot arī projekta anotācijas V sadaļas 1. tabulu.</w:t>
            </w:r>
          </w:p>
          <w:p w14:paraId="12B249CB" w14:textId="6C96CCA6" w:rsidR="003801E3" w:rsidRPr="00086937" w:rsidRDefault="003801E3" w:rsidP="003801E3">
            <w:pPr>
              <w:tabs>
                <w:tab w:val="left" w:pos="0"/>
                <w:tab w:val="left" w:pos="709"/>
              </w:tabs>
              <w:jc w:val="both"/>
              <w:rPr>
                <w:bCs/>
                <w:iCs/>
              </w:rPr>
            </w:pPr>
            <w:r>
              <w:t xml:space="preserve">Tāpat lūdzam papildināt projekta anotāciju ar skaidrojumu, </w:t>
            </w:r>
            <w:r w:rsidRPr="005315E2">
              <w:t>kas šo noteikumu izpratnē būs uzskatāms par “glābšanas atbalstu” un “pārstrukturēšanas atbalstu”, nepieciešamības gadījumā precizējot projekta</w:t>
            </w:r>
            <w:r>
              <w:t xml:space="preserve"> 3. punktu. Vēršam uzmanību, ka minēto atbalsta veidu saņemšana ir izslēdzošs faktors, lai saņemtu projektā paredzēto atbalstu mazajiem lauksaimniekiem, līdz ar to tiesību normai jābūt viennozīmīgi skaidrai un nepārprotamai.</w:t>
            </w:r>
          </w:p>
        </w:tc>
        <w:tc>
          <w:tcPr>
            <w:tcW w:w="3118" w:type="dxa"/>
            <w:gridSpan w:val="2"/>
            <w:tcBorders>
              <w:left w:val="single" w:sz="6" w:space="0" w:color="000000"/>
              <w:bottom w:val="single" w:sz="4" w:space="0" w:color="auto"/>
              <w:right w:val="single" w:sz="6" w:space="0" w:color="000000"/>
            </w:tcBorders>
          </w:tcPr>
          <w:p w14:paraId="2EA38B9B" w14:textId="5237A6E9" w:rsidR="003801E3" w:rsidRPr="00086937" w:rsidRDefault="003801E3" w:rsidP="003801E3">
            <w:pPr>
              <w:pStyle w:val="naisc"/>
              <w:spacing w:before="0" w:after="0"/>
              <w:jc w:val="left"/>
            </w:pPr>
            <w:r w:rsidRPr="00086937">
              <w:t>Ņemts vērā</w:t>
            </w:r>
          </w:p>
          <w:p w14:paraId="322E537F" w14:textId="3C0B14F5" w:rsidR="003801E3" w:rsidRPr="00086937" w:rsidRDefault="003801E3" w:rsidP="003801E3">
            <w:pPr>
              <w:pStyle w:val="naisc"/>
              <w:spacing w:before="0" w:after="0"/>
              <w:jc w:val="both"/>
            </w:pPr>
          </w:p>
        </w:tc>
        <w:tc>
          <w:tcPr>
            <w:tcW w:w="3084" w:type="dxa"/>
            <w:tcBorders>
              <w:top w:val="single" w:sz="4" w:space="0" w:color="auto"/>
              <w:left w:val="single" w:sz="4" w:space="0" w:color="auto"/>
              <w:bottom w:val="single" w:sz="4" w:space="0" w:color="auto"/>
            </w:tcBorders>
          </w:tcPr>
          <w:p w14:paraId="401B5A62" w14:textId="38C42098" w:rsidR="00DD5AA5" w:rsidRDefault="00FA1499" w:rsidP="003801E3">
            <w:pPr>
              <w:jc w:val="both"/>
              <w:rPr>
                <w:iCs/>
              </w:rPr>
            </w:pPr>
            <w:bookmarkStart w:id="0" w:name="_Hlk67410174"/>
            <w:r>
              <w:rPr>
                <w:iCs/>
              </w:rPr>
              <w:t>5</w:t>
            </w:r>
            <w:r w:rsidR="003801E3">
              <w:rPr>
                <w:iCs/>
              </w:rPr>
              <w:t>.</w:t>
            </w:r>
            <w:r>
              <w:t xml:space="preserve"> </w:t>
            </w:r>
            <w:r w:rsidRPr="00FA1499">
              <w:rPr>
                <w:iCs/>
              </w:rPr>
              <w:t>Atbalstu ir tiesīgs saņemt arī lauksaimnieks, kas 2019. gada 31. decembrī jau bija nonācis grūtībās atbilstoši Komisijas regulas Nr. 702/2014 2. panta 14. punktam, ja tam atbalsta piešķiršanas brīdī nav ierosināta tiesiskās aizsardzības procesa lieta, netiek īstenots tiesiskās aizsardzības process vai nav pasludināts maksātnespējas process, vai tas nav saņēmis glābšanas atbalstu un nav saņēmis pārstrukturēšanas atbalstu.</w:t>
            </w:r>
            <w:bookmarkEnd w:id="0"/>
          </w:p>
          <w:p w14:paraId="16DC5519" w14:textId="11901B67" w:rsidR="00DD5AA5" w:rsidRPr="00086937" w:rsidRDefault="005315E2" w:rsidP="003801E3">
            <w:pPr>
              <w:jc w:val="both"/>
            </w:pPr>
            <w:r>
              <w:t>Papildināts a</w:t>
            </w:r>
            <w:r w:rsidRPr="00086937">
              <w:t xml:space="preserve">notācijas </w:t>
            </w:r>
            <w:r>
              <w:t>I</w:t>
            </w:r>
            <w:r w:rsidRPr="00086937">
              <w:t xml:space="preserve"> sadaļas </w:t>
            </w:r>
            <w:r>
              <w:t>2</w:t>
            </w:r>
            <w:r w:rsidRPr="00086937">
              <w:t xml:space="preserve">. </w:t>
            </w:r>
            <w:r>
              <w:t xml:space="preserve">punkts ar skaidrojumu, kas šo noteikumu izpratnē būs uzskatāms par </w:t>
            </w:r>
            <w:r w:rsidRPr="005315E2">
              <w:t>“glābšanas atbalstu” un “pārstrukturēšanas atbalstu”</w:t>
            </w:r>
            <w:r>
              <w:t>.</w:t>
            </w:r>
          </w:p>
        </w:tc>
      </w:tr>
      <w:tr w:rsidR="003801E3" w:rsidRPr="000C0ACF" w14:paraId="18CA201E" w14:textId="77777777" w:rsidTr="00DF070B">
        <w:trPr>
          <w:trHeight w:val="611"/>
        </w:trPr>
        <w:tc>
          <w:tcPr>
            <w:tcW w:w="675" w:type="dxa"/>
            <w:tcBorders>
              <w:left w:val="single" w:sz="6" w:space="0" w:color="000000"/>
              <w:bottom w:val="single" w:sz="4" w:space="0" w:color="auto"/>
              <w:right w:val="single" w:sz="6" w:space="0" w:color="000000"/>
            </w:tcBorders>
          </w:tcPr>
          <w:p w14:paraId="07E7D14F" w14:textId="77777777" w:rsidR="003801E3" w:rsidRPr="00086937" w:rsidRDefault="003801E3" w:rsidP="003801E3">
            <w:pPr>
              <w:pStyle w:val="naisc"/>
              <w:numPr>
                <w:ilvl w:val="0"/>
                <w:numId w:val="9"/>
              </w:numPr>
              <w:spacing w:before="0" w:after="0"/>
              <w:ind w:left="426"/>
              <w:jc w:val="left"/>
            </w:pPr>
          </w:p>
        </w:tc>
        <w:tc>
          <w:tcPr>
            <w:tcW w:w="3012" w:type="dxa"/>
            <w:gridSpan w:val="2"/>
            <w:tcBorders>
              <w:left w:val="single" w:sz="6" w:space="0" w:color="000000"/>
              <w:bottom w:val="single" w:sz="4" w:space="0" w:color="auto"/>
              <w:right w:val="single" w:sz="6" w:space="0" w:color="000000"/>
            </w:tcBorders>
          </w:tcPr>
          <w:p w14:paraId="18189B04" w14:textId="7482ABC8" w:rsidR="003801E3" w:rsidRDefault="00FA1499" w:rsidP="003801E3">
            <w:pPr>
              <w:jc w:val="both"/>
            </w:pPr>
            <w:r>
              <w:t>3</w:t>
            </w:r>
            <w:r w:rsidR="003801E3">
              <w:t>.punkts:</w:t>
            </w:r>
          </w:p>
          <w:p w14:paraId="02FF9ACF" w14:textId="77777777" w:rsidR="003801E3" w:rsidRPr="001E505D" w:rsidRDefault="003801E3" w:rsidP="003801E3">
            <w:pPr>
              <w:jc w:val="both"/>
              <w:rPr>
                <w:iCs/>
              </w:rPr>
            </w:pPr>
            <w:r w:rsidRPr="001E505D">
              <w:rPr>
                <w:iCs/>
              </w:rPr>
              <w:t xml:space="preserve">Lauksaimniekam kopējais atbalsta apmērs, kurš sniegts saskaņā ar Eiropas Komisijas 2020. gada 19. marta paziņojumu "Pagaidu regulējums valsts atbalsta pasākumiem, ar ko atbalsta ekonomiku pašreizējā </w:t>
            </w:r>
            <w:proofErr w:type="spellStart"/>
            <w:r w:rsidRPr="001E505D">
              <w:rPr>
                <w:iCs/>
              </w:rPr>
              <w:t>Covid-19</w:t>
            </w:r>
            <w:proofErr w:type="spellEnd"/>
            <w:r w:rsidRPr="001E505D">
              <w:rPr>
                <w:iCs/>
              </w:rPr>
              <w:t xml:space="preserve"> uzliesmojuma situācijā" (C(2020)1863) (turpmāk – pagaidu regulējums), nepārsniedz 225 000 </w:t>
            </w:r>
            <w:proofErr w:type="spellStart"/>
            <w:r w:rsidRPr="001E505D">
              <w:rPr>
                <w:i/>
              </w:rPr>
              <w:t>euro</w:t>
            </w:r>
            <w:proofErr w:type="spellEnd"/>
            <w:r w:rsidRPr="001E505D">
              <w:rPr>
                <w:iCs/>
              </w:rPr>
              <w:t>.</w:t>
            </w:r>
          </w:p>
          <w:p w14:paraId="63558ACE" w14:textId="471552DC" w:rsidR="003801E3" w:rsidRPr="00086937" w:rsidRDefault="003801E3" w:rsidP="003801E3">
            <w:pPr>
              <w:jc w:val="both"/>
            </w:pPr>
          </w:p>
        </w:tc>
        <w:tc>
          <w:tcPr>
            <w:tcW w:w="5103" w:type="dxa"/>
            <w:tcBorders>
              <w:left w:val="single" w:sz="6" w:space="0" w:color="000000"/>
              <w:bottom w:val="single" w:sz="4" w:space="0" w:color="auto"/>
              <w:right w:val="single" w:sz="6" w:space="0" w:color="000000"/>
            </w:tcBorders>
          </w:tcPr>
          <w:p w14:paraId="0CD4F88A" w14:textId="4B5B61C4" w:rsidR="003801E3" w:rsidRPr="00086937" w:rsidRDefault="003801E3" w:rsidP="003801E3">
            <w:pPr>
              <w:pStyle w:val="naisc"/>
              <w:spacing w:before="0" w:after="0"/>
              <w:jc w:val="left"/>
              <w:rPr>
                <w:b/>
              </w:rPr>
            </w:pPr>
            <w:r w:rsidRPr="00086937">
              <w:rPr>
                <w:b/>
              </w:rPr>
              <w:t>Tieslietu ministrija</w:t>
            </w:r>
          </w:p>
          <w:p w14:paraId="14F51F4B" w14:textId="10873A3B" w:rsidR="003801E3" w:rsidRDefault="003801E3" w:rsidP="003801E3">
            <w:pPr>
              <w:pStyle w:val="naisc"/>
              <w:tabs>
                <w:tab w:val="left" w:pos="301"/>
              </w:tabs>
              <w:jc w:val="both"/>
            </w:pPr>
            <w:r>
              <w:t xml:space="preserve">Projekta 4. punkts noteic, ka “Lauksaimniekam kopējais atbalsta apmērs, kurš sniegts saskaņā ar Eiropas Komisijas 2020. gada 19. marta paziņojumu "Pagaidu regulējums valsts atbalsta pasākumiem, ar ko atbalsta ekonomiku pašreizējā </w:t>
            </w:r>
            <w:proofErr w:type="spellStart"/>
            <w:r>
              <w:t>Covid-19</w:t>
            </w:r>
            <w:proofErr w:type="spellEnd"/>
            <w:r>
              <w:t xml:space="preserve"> uzliesmojuma situācijā" (C(2020)1863), nepārsniedz 225 000 </w:t>
            </w:r>
            <w:proofErr w:type="spellStart"/>
            <w:r w:rsidRPr="00DA7B48">
              <w:rPr>
                <w:i/>
                <w:iCs/>
              </w:rPr>
              <w:t>euro</w:t>
            </w:r>
            <w:proofErr w:type="spellEnd"/>
            <w:r>
              <w:t xml:space="preserve">  (bez pievienotās vērtības nodokļa)”. Vēršam uzmanību, pirmkārt, ka ārējos normatīvajos aktos neietver atsauces uz nesaistošiem Eiropas Savienības dokumentiem, piemēram, paziņojumiem. Otrkārt, no projekta 4. punktā noteiktā atbalsta apjoma ierobežojuma saturs šobrīd nav viennozīmīgi skaidrs, it īpaši ņemot vērā citās projekta normas, piemēram, projekta 6. un 7. punktā noteikto atbalsta maksimālo apmēru. Piemēram, nav skaidrs, vai projekta 4. punktā noteiktais 225 000 </w:t>
            </w:r>
            <w:proofErr w:type="spellStart"/>
            <w:r w:rsidRPr="008B475F">
              <w:rPr>
                <w:i/>
                <w:iCs/>
              </w:rPr>
              <w:t>euro</w:t>
            </w:r>
            <w:proofErr w:type="spellEnd"/>
            <w:r w:rsidRPr="008B475F">
              <w:rPr>
                <w:i/>
                <w:iCs/>
              </w:rPr>
              <w:t xml:space="preserve"> </w:t>
            </w:r>
            <w:r>
              <w:t>ierobežojums attiecas uz vienu lauksaimnieku vai uz vienam lauksaimniekam noteiktā laika periodā piešķirto kopējo atbalstu, vai vēl kādu citu atbalsta apmēru.</w:t>
            </w:r>
          </w:p>
          <w:p w14:paraId="63BAE922" w14:textId="1ABE43FC" w:rsidR="003801E3" w:rsidRPr="00086937" w:rsidRDefault="003801E3" w:rsidP="003801E3">
            <w:pPr>
              <w:pStyle w:val="naisc"/>
              <w:spacing w:before="0" w:after="0"/>
              <w:jc w:val="both"/>
            </w:pPr>
            <w:r>
              <w:t>Ievērojot minēto, lūdzam skaidrot un attiecīgi precizēt projekta 4. punktu.</w:t>
            </w:r>
          </w:p>
        </w:tc>
        <w:tc>
          <w:tcPr>
            <w:tcW w:w="3118" w:type="dxa"/>
            <w:gridSpan w:val="2"/>
            <w:tcBorders>
              <w:left w:val="single" w:sz="6" w:space="0" w:color="000000"/>
              <w:bottom w:val="single" w:sz="4" w:space="0" w:color="auto"/>
              <w:right w:val="single" w:sz="6" w:space="0" w:color="000000"/>
            </w:tcBorders>
          </w:tcPr>
          <w:p w14:paraId="2B13FB60" w14:textId="52750D77" w:rsidR="003801E3" w:rsidRPr="00086937" w:rsidRDefault="003801E3" w:rsidP="003801E3">
            <w:pPr>
              <w:pStyle w:val="naisc"/>
              <w:spacing w:before="0" w:after="0"/>
              <w:jc w:val="left"/>
            </w:pPr>
            <w:r>
              <w:t>Nav ņ</w:t>
            </w:r>
            <w:r w:rsidRPr="00086937">
              <w:t>emts vērā</w:t>
            </w:r>
          </w:p>
          <w:p w14:paraId="148EB790" w14:textId="77777777" w:rsidR="003801E3" w:rsidRPr="00086937" w:rsidRDefault="003801E3" w:rsidP="003801E3">
            <w:pPr>
              <w:pStyle w:val="naisc"/>
              <w:spacing w:before="0" w:after="0"/>
              <w:jc w:val="both"/>
            </w:pPr>
          </w:p>
        </w:tc>
        <w:tc>
          <w:tcPr>
            <w:tcW w:w="3084" w:type="dxa"/>
            <w:tcBorders>
              <w:top w:val="single" w:sz="4" w:space="0" w:color="auto"/>
              <w:left w:val="single" w:sz="4" w:space="0" w:color="auto"/>
              <w:bottom w:val="single" w:sz="4" w:space="0" w:color="auto"/>
            </w:tcBorders>
          </w:tcPr>
          <w:p w14:paraId="2B66373E" w14:textId="0F2209C4" w:rsidR="001A7E95" w:rsidRDefault="005315E2" w:rsidP="003801E3">
            <w:pPr>
              <w:jc w:val="both"/>
            </w:pPr>
            <w:r w:rsidRPr="005315E2">
              <w:t xml:space="preserve">Vēršam uzmanību, ka Komisijas paziņojums "Pagaidu regulējums valsts atbalsta pasākumiem, ar ko atbalsta ekonomiku pašreizējā </w:t>
            </w:r>
            <w:proofErr w:type="spellStart"/>
            <w:r w:rsidRPr="005315E2">
              <w:t>Covid-19</w:t>
            </w:r>
            <w:proofErr w:type="spellEnd"/>
            <w:r w:rsidRPr="005315E2">
              <w:t xml:space="preserve"> uzliesmojuma situācijā" ir viens no komercdarbības atbalsta regulējumiem, balstoties uz kuriem ir izstrādāta virkne </w:t>
            </w:r>
            <w:proofErr w:type="spellStart"/>
            <w:r w:rsidRPr="005315E2">
              <w:t>Covid-19</w:t>
            </w:r>
            <w:proofErr w:type="spellEnd"/>
            <w:r w:rsidRPr="005315E2">
              <w:t xml:space="preserve"> krīzes novēršanai paredzēto atbalsta programmu un atsauces uz kuru ir iestrādātas virknē atbalsta programmu (Ministru kabineta noteikumu, piemēram, MKN</w:t>
            </w:r>
            <w:r>
              <w:t xml:space="preserve"> Nr.</w:t>
            </w:r>
            <w:r w:rsidRPr="005315E2">
              <w:t xml:space="preserve"> 149, MKN </w:t>
            </w:r>
            <w:r>
              <w:t xml:space="preserve">Nr. </w:t>
            </w:r>
            <w:r w:rsidRPr="005315E2">
              <w:t xml:space="preserve">454, MKN </w:t>
            </w:r>
            <w:r>
              <w:t xml:space="preserve">Nr. </w:t>
            </w:r>
            <w:r w:rsidRPr="005315E2">
              <w:t xml:space="preserve">150, MKN </w:t>
            </w:r>
            <w:r>
              <w:t xml:space="preserve">Nr. </w:t>
            </w:r>
            <w:r w:rsidRPr="005315E2">
              <w:t xml:space="preserve">676, MKN </w:t>
            </w:r>
            <w:r>
              <w:t xml:space="preserve">Nr. </w:t>
            </w:r>
            <w:r w:rsidRPr="005315E2">
              <w:t xml:space="preserve">457 u.c.), un saskaņā ar kura nosacījumiem tiek nodrošināta atbalsta programmas saderība ar ES iekšējo tirgu. </w:t>
            </w:r>
          </w:p>
          <w:p w14:paraId="7251162E" w14:textId="7987AC18" w:rsidR="00556588" w:rsidRDefault="005315E2" w:rsidP="003801E3">
            <w:pPr>
              <w:jc w:val="both"/>
            </w:pPr>
            <w:r w:rsidRPr="005315E2">
              <w:t xml:space="preserve">Skaidrojam, ka </w:t>
            </w:r>
            <w:r>
              <w:t>noteikumu projektā</w:t>
            </w:r>
            <w:r w:rsidRPr="005315E2">
              <w:t xml:space="preserve"> atsauce uz iepriekš minēto Komisijas paziņojumu ir saglabājama, ņemot vērā, ka šajā normā ir ietverts atbalsta kumulācijas aizliegums tieši ar tādu atbalstu, kuru sniedz saskaņā </w:t>
            </w:r>
            <w:r w:rsidRPr="005315E2">
              <w:lastRenderedPageBreak/>
              <w:t xml:space="preserve">ar Eiropas Komisijas lēmumiem, kas pieņemti atbilstoši iepriekš minētā Komisijas paziņojuma 3.2. un 3.3. sadaļām un ar atbalstu, kuru sniedz atbalsta programmas ietvaros </w:t>
            </w:r>
            <w:proofErr w:type="spellStart"/>
            <w:r w:rsidRPr="005315E2">
              <w:t>Covid-19</w:t>
            </w:r>
            <w:proofErr w:type="spellEnd"/>
            <w:r w:rsidRPr="005315E2">
              <w:t xml:space="preserve"> krīzes skartajiem uzņēmumiem apgrozāmo līdzekļu plūsmas nodrošināšanai, kā arī ņemot vērā, ka joprojām var tikt izstrādātas jaunas atbalsta programmas saskaņā ar šī Komisijas paziņojuma 3.2. un 3.3.sadaļām. Attiecīgi, ja normā netiek iekļauta atsauce uz Komisijas paziņojumu, bet gan uz katru konkrēto atbalsta programmu, līdz ar katru jauno atbalsta programmu </w:t>
            </w:r>
            <w:r>
              <w:t xml:space="preserve">izstrādātais noteikumu projekts </w:t>
            </w:r>
            <w:r w:rsidR="002C7C84">
              <w:t>“</w:t>
            </w:r>
            <w:r w:rsidR="002C7C84" w:rsidRPr="002C7C84">
              <w:t>Valsts atbalsta piešķiršana kārtība mazajiem lauksaimniekiem</w:t>
            </w:r>
            <w:r w:rsidR="002C7C84">
              <w:t>”</w:t>
            </w:r>
            <w:r w:rsidRPr="005315E2">
              <w:t xml:space="preserve"> būs jāgroza, kas radītu nesamērīgu administratīvo slogu.</w:t>
            </w:r>
          </w:p>
          <w:p w14:paraId="17B4CCEE" w14:textId="77777777" w:rsidR="003801E3" w:rsidRPr="00C16D05" w:rsidRDefault="001A7E95" w:rsidP="003801E3">
            <w:pPr>
              <w:jc w:val="both"/>
            </w:pPr>
            <w:r>
              <w:t>S</w:t>
            </w:r>
            <w:r w:rsidR="003801E3">
              <w:t xml:space="preserve">avukārt 6.punkts nosaka noteikumos minētā </w:t>
            </w:r>
            <w:r w:rsidR="003801E3" w:rsidRPr="008B475F">
              <w:t>valsts atbalst</w:t>
            </w:r>
            <w:r w:rsidR="003801E3">
              <w:t>a</w:t>
            </w:r>
            <w:r w:rsidR="003801E3" w:rsidRPr="008B475F">
              <w:t xml:space="preserve"> </w:t>
            </w:r>
            <w:r w:rsidR="003801E3">
              <w:t xml:space="preserve">un tiešo maksājumu kopsummas ierobežojumu. </w:t>
            </w:r>
            <w:r w:rsidR="003801E3">
              <w:lastRenderedPageBreak/>
              <w:t>7.punktā ir norādīta valsts atbalsta mazajiem lauksaimniekiem kopēj</w:t>
            </w:r>
            <w:r>
              <w:t>ais</w:t>
            </w:r>
            <w:r w:rsidR="003801E3">
              <w:t xml:space="preserve"> </w:t>
            </w:r>
            <w:r w:rsidR="003801E3" w:rsidRPr="00C16D05">
              <w:t>pieejam</w:t>
            </w:r>
            <w:r w:rsidRPr="00C16D05">
              <w:t>ais</w:t>
            </w:r>
            <w:r w:rsidR="003801E3" w:rsidRPr="00C16D05">
              <w:t xml:space="preserve"> finansējum</w:t>
            </w:r>
            <w:r w:rsidRPr="00C16D05">
              <w:t xml:space="preserve">s. </w:t>
            </w:r>
            <w:r w:rsidRPr="00C16D05">
              <w:rPr>
                <w:iCs/>
                <w:color w:val="000000" w:themeColor="text1"/>
              </w:rPr>
              <w:t xml:space="preserve">2021. gadā plānots izmaksāt atbalstu 3 000 000 </w:t>
            </w:r>
            <w:r w:rsidRPr="00C16D05">
              <w:rPr>
                <w:i/>
                <w:noProof/>
                <w:color w:val="000000" w:themeColor="text1"/>
              </w:rPr>
              <w:t>euro</w:t>
            </w:r>
            <w:r w:rsidRPr="00C16D05">
              <w:rPr>
                <w:iCs/>
                <w:color w:val="000000" w:themeColor="text1"/>
              </w:rPr>
              <w:t xml:space="preserve"> apmērā no Zemkopības ministrijas budžeta apakšprogrammas 21.01.00 “Valsts atbalsts lauksaimniecībai un lauku attīstībai”.</w:t>
            </w:r>
            <w:r w:rsidR="003801E3" w:rsidRPr="00C16D05">
              <w:t xml:space="preserve"> </w:t>
            </w:r>
          </w:p>
          <w:p w14:paraId="4224CC9B" w14:textId="79878B29" w:rsidR="005315E2" w:rsidRPr="00086937" w:rsidRDefault="005315E2" w:rsidP="003801E3">
            <w:pPr>
              <w:jc w:val="both"/>
            </w:pPr>
            <w:r w:rsidRPr="00C16D05">
              <w:t xml:space="preserve">Papildināta anotācijas V. sadaļas 1.tabula </w:t>
            </w:r>
          </w:p>
        </w:tc>
      </w:tr>
      <w:tr w:rsidR="003801E3" w:rsidRPr="000C0ACF" w14:paraId="684DFAED" w14:textId="77777777" w:rsidTr="00DF070B">
        <w:trPr>
          <w:trHeight w:val="611"/>
        </w:trPr>
        <w:tc>
          <w:tcPr>
            <w:tcW w:w="675" w:type="dxa"/>
            <w:tcBorders>
              <w:left w:val="single" w:sz="6" w:space="0" w:color="000000"/>
              <w:bottom w:val="single" w:sz="4" w:space="0" w:color="auto"/>
              <w:right w:val="single" w:sz="6" w:space="0" w:color="000000"/>
            </w:tcBorders>
          </w:tcPr>
          <w:p w14:paraId="4CB13B3D" w14:textId="77777777" w:rsidR="003801E3" w:rsidRPr="00086937" w:rsidRDefault="003801E3" w:rsidP="003801E3">
            <w:pPr>
              <w:pStyle w:val="naisc"/>
              <w:numPr>
                <w:ilvl w:val="0"/>
                <w:numId w:val="9"/>
              </w:numPr>
              <w:spacing w:before="0" w:after="0"/>
              <w:ind w:left="426"/>
              <w:jc w:val="left"/>
            </w:pPr>
          </w:p>
        </w:tc>
        <w:tc>
          <w:tcPr>
            <w:tcW w:w="3012" w:type="dxa"/>
            <w:gridSpan w:val="2"/>
            <w:tcBorders>
              <w:left w:val="single" w:sz="6" w:space="0" w:color="000000"/>
              <w:bottom w:val="single" w:sz="4" w:space="0" w:color="auto"/>
              <w:right w:val="single" w:sz="6" w:space="0" w:color="000000"/>
            </w:tcBorders>
          </w:tcPr>
          <w:p w14:paraId="179604DF" w14:textId="77777777" w:rsidR="003801E3" w:rsidRDefault="003801E3" w:rsidP="003801E3">
            <w:pPr>
              <w:jc w:val="both"/>
            </w:pPr>
            <w:r w:rsidRPr="001E505D">
              <w:t xml:space="preserve">6. </w:t>
            </w:r>
            <w:r>
              <w:t>punkts:</w:t>
            </w:r>
          </w:p>
          <w:p w14:paraId="463A7697" w14:textId="1317EAC3" w:rsidR="003801E3" w:rsidRPr="00086937" w:rsidRDefault="003801E3" w:rsidP="003801E3">
            <w:pPr>
              <w:jc w:val="both"/>
            </w:pPr>
            <w:r w:rsidRPr="001E505D">
              <w:t xml:space="preserve">Lauku atbalsta dienests (turpmāk – dienests) atbalstu lauksaimniekam piešķir vienreizēja maksājuma veidā. Atbalsta summu aprēķina 40 procentu apmērā no 2020. gadā apstiprinātās Eiropas Savienības tiešo maksājumu summas. Izmaksājamā atbalsta summa kopā ar apstiprināto Eiropas Savienības tiešo maksājumu summu 2020. gadā nepārsniedz 1250 </w:t>
            </w:r>
            <w:proofErr w:type="spellStart"/>
            <w:r w:rsidRPr="001E505D">
              <w:rPr>
                <w:i/>
                <w:iCs/>
              </w:rPr>
              <w:t>euro</w:t>
            </w:r>
            <w:proofErr w:type="spellEnd"/>
            <w:r w:rsidRPr="001E505D">
              <w:t>.</w:t>
            </w:r>
          </w:p>
        </w:tc>
        <w:tc>
          <w:tcPr>
            <w:tcW w:w="5103" w:type="dxa"/>
            <w:tcBorders>
              <w:left w:val="single" w:sz="6" w:space="0" w:color="000000"/>
              <w:bottom w:val="single" w:sz="4" w:space="0" w:color="auto"/>
              <w:right w:val="single" w:sz="6" w:space="0" w:color="000000"/>
            </w:tcBorders>
          </w:tcPr>
          <w:p w14:paraId="0A908B25" w14:textId="43D25110" w:rsidR="003801E3" w:rsidRPr="00086937" w:rsidRDefault="003801E3" w:rsidP="003801E3">
            <w:pPr>
              <w:pStyle w:val="naisc"/>
              <w:spacing w:before="0" w:after="0"/>
              <w:jc w:val="left"/>
              <w:rPr>
                <w:b/>
              </w:rPr>
            </w:pPr>
            <w:r w:rsidRPr="00086937">
              <w:rPr>
                <w:b/>
              </w:rPr>
              <w:t>Tieslietu ministrija</w:t>
            </w:r>
          </w:p>
          <w:p w14:paraId="4BE45A1E" w14:textId="3FC99AEF" w:rsidR="003801E3" w:rsidRPr="00086937" w:rsidRDefault="003801E3" w:rsidP="003801E3">
            <w:pPr>
              <w:pStyle w:val="naisc"/>
              <w:tabs>
                <w:tab w:val="left" w:pos="251"/>
              </w:tabs>
              <w:spacing w:before="0" w:after="0"/>
              <w:jc w:val="both"/>
            </w:pPr>
            <w:r w:rsidRPr="001E505D">
              <w:t xml:space="preserve">Projekta 6. punkta otrais teikums paredz, ka “izmaksājamā atbalsta summa kopā ar apstiprināto Eiropas Savienības tiešo maksājumu summu 2020. gadā nepārsniedz 1250 </w:t>
            </w:r>
            <w:proofErr w:type="spellStart"/>
            <w:r w:rsidRPr="001E505D">
              <w:t>euro</w:t>
            </w:r>
            <w:proofErr w:type="spellEnd"/>
            <w:r w:rsidRPr="001E505D">
              <w:t xml:space="preserve">”. Tiesiskās skaidrības nolūkos lūdzam precizēt minēto normu, norādot, vai šī summa (1250 </w:t>
            </w:r>
            <w:proofErr w:type="spellStart"/>
            <w:r w:rsidRPr="001E505D">
              <w:t>euro</w:t>
            </w:r>
            <w:proofErr w:type="spellEnd"/>
            <w:r w:rsidRPr="001E505D">
              <w:t>) attiecas uz vienam lauksaimniekam piešķiramo atbalstu projektā paredzētās atbalsta shēmas ietvaros vai arī uz kādu citu atbalsta apmēru ierobežojošu kritēriju. Vēršam uzmanību, ka dažādi atbalsta apmēra ierobežojumi, pamatojoties uz dažādiem kritērijiem, ir noteikti vairākās projekta normās, tai skaitā projekta 4., 6. un 7. punktā, līdz ar to no projekta kopumā šobrīd nav viennozīmīgi skaidrs, tieši uz kādu atbalsta apmēru lauksaimnieks var pretendēt</w:t>
            </w:r>
            <w:r w:rsidRPr="00086937">
              <w:t>.</w:t>
            </w:r>
          </w:p>
        </w:tc>
        <w:tc>
          <w:tcPr>
            <w:tcW w:w="3118" w:type="dxa"/>
            <w:gridSpan w:val="2"/>
            <w:tcBorders>
              <w:left w:val="single" w:sz="6" w:space="0" w:color="000000"/>
              <w:bottom w:val="single" w:sz="4" w:space="0" w:color="auto"/>
              <w:right w:val="single" w:sz="6" w:space="0" w:color="000000"/>
            </w:tcBorders>
          </w:tcPr>
          <w:p w14:paraId="688752A8" w14:textId="77777777" w:rsidR="003801E3" w:rsidRPr="00086937" w:rsidRDefault="003801E3" w:rsidP="003801E3">
            <w:pPr>
              <w:pStyle w:val="naisc"/>
              <w:spacing w:before="0" w:after="0"/>
              <w:jc w:val="left"/>
            </w:pPr>
            <w:r w:rsidRPr="00086937">
              <w:t>Ņemts vērā</w:t>
            </w:r>
          </w:p>
          <w:p w14:paraId="126213E2" w14:textId="77777777" w:rsidR="003801E3" w:rsidRPr="00086937" w:rsidRDefault="003801E3" w:rsidP="003801E3">
            <w:pPr>
              <w:pStyle w:val="naisc"/>
              <w:spacing w:before="0" w:after="0"/>
              <w:jc w:val="both"/>
            </w:pPr>
          </w:p>
        </w:tc>
        <w:tc>
          <w:tcPr>
            <w:tcW w:w="3084" w:type="dxa"/>
            <w:tcBorders>
              <w:top w:val="single" w:sz="4" w:space="0" w:color="auto"/>
              <w:left w:val="single" w:sz="4" w:space="0" w:color="auto"/>
              <w:bottom w:val="single" w:sz="4" w:space="0" w:color="auto"/>
            </w:tcBorders>
          </w:tcPr>
          <w:p w14:paraId="16E4616D" w14:textId="77777777" w:rsidR="00B35979" w:rsidRDefault="00B35979" w:rsidP="00B35979">
            <w:pPr>
              <w:jc w:val="both"/>
            </w:pPr>
            <w:r w:rsidRPr="001E505D">
              <w:t xml:space="preserve">6. </w:t>
            </w:r>
            <w:r>
              <w:t>punkts:</w:t>
            </w:r>
          </w:p>
          <w:p w14:paraId="6C47BB2B" w14:textId="52A0634C" w:rsidR="00B35979" w:rsidRDefault="00B35979" w:rsidP="00B35979">
            <w:pPr>
              <w:pStyle w:val="naisc"/>
              <w:spacing w:before="0" w:after="0"/>
              <w:jc w:val="both"/>
            </w:pPr>
            <w:r w:rsidRPr="001E505D">
              <w:t xml:space="preserve">Lauku atbalsta dienests (turpmāk – dienests) atbalstu lauksaimniekam piešķir vienreizēja maksājuma veidā. Atbalsta summu aprēķina 40 procentu apmērā no 2020. gadā apstiprinātās Eiropas Savienības tiešo maksājumu summas. </w:t>
            </w:r>
            <w:r>
              <w:t>Vienam lauksaimniekam i</w:t>
            </w:r>
            <w:r w:rsidRPr="001E505D">
              <w:t xml:space="preserve">zmaksājamā atbalsta summa kopā ar apstiprināto Eiropas Savienības tiešo maksājumu summu 2020. gadā nepārsniedz 1250 </w:t>
            </w:r>
            <w:proofErr w:type="spellStart"/>
            <w:r w:rsidRPr="001E505D">
              <w:rPr>
                <w:i/>
                <w:iCs/>
              </w:rPr>
              <w:t>euro</w:t>
            </w:r>
            <w:proofErr w:type="spellEnd"/>
            <w:r w:rsidRPr="001E505D">
              <w:t>.</w:t>
            </w:r>
          </w:p>
          <w:p w14:paraId="64DCFD22" w14:textId="3EC02492" w:rsidR="003801E3" w:rsidRDefault="003801E3" w:rsidP="003801E3">
            <w:pPr>
              <w:pStyle w:val="naisc"/>
              <w:spacing w:before="0" w:after="0"/>
              <w:jc w:val="both"/>
            </w:pPr>
            <w:r>
              <w:t>Skaidrojam, ka 6.punkt</w:t>
            </w:r>
            <w:r w:rsidR="002C7C84">
              <w:t xml:space="preserve">a pirmais teikums nosaka, ka </w:t>
            </w:r>
            <w:r w:rsidR="002C7C84">
              <w:lastRenderedPageBreak/>
              <w:t>atbalstu piešķir lauksaimniekam (vienam) vienreizēja maksājuma veidā, savukārt otrais teikums nosaka, kā aprēķina šo vienreizējo maksājumu vienam lauksaimniekam, kas izskaidro, kā tiks noteikts atbalsta apmērs katram lauksaimniekam, jo kā norādīts anotācijas I sadaļas punktā, a</w:t>
            </w:r>
            <w:r w:rsidR="002C7C84" w:rsidRPr="002C7C84">
              <w:t xml:space="preserve">tbalsts tiks piešķirts robežās no 52 līdz 351 </w:t>
            </w:r>
            <w:proofErr w:type="spellStart"/>
            <w:r w:rsidR="002C7C84" w:rsidRPr="002C7C84">
              <w:rPr>
                <w:i/>
                <w:iCs/>
              </w:rPr>
              <w:t>euro</w:t>
            </w:r>
            <w:proofErr w:type="spellEnd"/>
            <w:r w:rsidR="002C7C84">
              <w:t xml:space="preserve"> vienai saimniecībai, t.i., lauksaimniekam.</w:t>
            </w:r>
          </w:p>
          <w:p w14:paraId="35A3FD41" w14:textId="77777777" w:rsidR="002C7C84" w:rsidRDefault="002C7C84" w:rsidP="003801E3">
            <w:pPr>
              <w:pStyle w:val="naisc"/>
              <w:spacing w:before="0" w:after="0"/>
              <w:jc w:val="both"/>
            </w:pPr>
            <w:r>
              <w:t>Savukārt, 7.punktā ir norādīts kopējais valsts atbalstam mazajiem lauksaimniekiem pieejamais finansējums, jo svarīgi ir atspoguļot valsts atbalsta pieejamo finansējumu arī tiesiskajā regulējumā  ne tikai anotācijā.</w:t>
            </w:r>
          </w:p>
          <w:p w14:paraId="57A1768E" w14:textId="62BE211A" w:rsidR="002C7C84" w:rsidRPr="00086937" w:rsidRDefault="002C7C84" w:rsidP="003801E3">
            <w:pPr>
              <w:pStyle w:val="naisc"/>
              <w:spacing w:before="0" w:after="0"/>
              <w:jc w:val="both"/>
            </w:pPr>
            <w:r>
              <w:t xml:space="preserve">Savukārt, par </w:t>
            </w:r>
          </w:p>
        </w:tc>
      </w:tr>
      <w:tr w:rsidR="003801E3" w:rsidRPr="000C0ACF" w14:paraId="10FDE2A8" w14:textId="77777777" w:rsidTr="00DF070B">
        <w:trPr>
          <w:trHeight w:val="611"/>
        </w:trPr>
        <w:tc>
          <w:tcPr>
            <w:tcW w:w="675" w:type="dxa"/>
            <w:tcBorders>
              <w:left w:val="single" w:sz="6" w:space="0" w:color="000000"/>
              <w:bottom w:val="single" w:sz="4" w:space="0" w:color="auto"/>
              <w:right w:val="single" w:sz="6" w:space="0" w:color="000000"/>
            </w:tcBorders>
          </w:tcPr>
          <w:p w14:paraId="34E66EBA" w14:textId="77777777" w:rsidR="003801E3" w:rsidRPr="00086937" w:rsidRDefault="003801E3" w:rsidP="003801E3">
            <w:pPr>
              <w:pStyle w:val="naisc"/>
              <w:numPr>
                <w:ilvl w:val="0"/>
                <w:numId w:val="9"/>
              </w:numPr>
              <w:spacing w:before="0" w:after="0"/>
              <w:ind w:left="426"/>
              <w:jc w:val="left"/>
            </w:pPr>
          </w:p>
        </w:tc>
        <w:tc>
          <w:tcPr>
            <w:tcW w:w="3012" w:type="dxa"/>
            <w:gridSpan w:val="2"/>
            <w:tcBorders>
              <w:left w:val="single" w:sz="6" w:space="0" w:color="000000"/>
              <w:bottom w:val="single" w:sz="4" w:space="0" w:color="auto"/>
              <w:right w:val="single" w:sz="6" w:space="0" w:color="000000"/>
            </w:tcBorders>
          </w:tcPr>
          <w:p w14:paraId="0732A8BF" w14:textId="1880E452" w:rsidR="003801E3" w:rsidRPr="0010212A" w:rsidRDefault="0010212A" w:rsidP="0010212A">
            <w:pPr>
              <w:jc w:val="both"/>
              <w:rPr>
                <w:iCs/>
                <w:sz w:val="28"/>
                <w:szCs w:val="28"/>
              </w:rPr>
            </w:pPr>
            <w:r>
              <w:rPr>
                <w:iCs/>
              </w:rPr>
              <w:t xml:space="preserve">8. </w:t>
            </w:r>
            <w:r w:rsidRPr="0010212A">
              <w:rPr>
                <w:iCs/>
              </w:rPr>
              <w:t xml:space="preserve">Ja kopējā lauksaimniekiem piešķiramā atbalsta summa pārsniedz 3 000 000 </w:t>
            </w:r>
            <w:proofErr w:type="spellStart"/>
            <w:r w:rsidRPr="0010212A">
              <w:rPr>
                <w:i/>
                <w:iCs/>
              </w:rPr>
              <w:t>euro</w:t>
            </w:r>
            <w:proofErr w:type="spellEnd"/>
            <w:r w:rsidRPr="0010212A">
              <w:rPr>
                <w:iCs/>
              </w:rPr>
              <w:t xml:space="preserve">, dienests piemēro lineāru samazinājumu lauksaimniekiem izmaksājamām atbalsta summām, lai netiktu </w:t>
            </w:r>
            <w:r w:rsidRPr="0010212A">
              <w:rPr>
                <w:iCs/>
              </w:rPr>
              <w:lastRenderedPageBreak/>
              <w:t>pārsniegts kopējais pieejamais atbalsta apmērs.</w:t>
            </w:r>
          </w:p>
        </w:tc>
        <w:tc>
          <w:tcPr>
            <w:tcW w:w="5103" w:type="dxa"/>
            <w:tcBorders>
              <w:left w:val="single" w:sz="6" w:space="0" w:color="000000"/>
              <w:bottom w:val="single" w:sz="4" w:space="0" w:color="auto"/>
              <w:right w:val="single" w:sz="6" w:space="0" w:color="000000"/>
            </w:tcBorders>
          </w:tcPr>
          <w:p w14:paraId="0FF0A0E4" w14:textId="42A5D7FA" w:rsidR="003801E3" w:rsidRPr="00086937" w:rsidRDefault="003801E3" w:rsidP="003801E3">
            <w:pPr>
              <w:pStyle w:val="naisc"/>
              <w:spacing w:before="0" w:after="0"/>
              <w:jc w:val="left"/>
              <w:rPr>
                <w:b/>
              </w:rPr>
            </w:pPr>
            <w:r>
              <w:rPr>
                <w:b/>
              </w:rPr>
              <w:lastRenderedPageBreak/>
              <w:t>Tieslietu</w:t>
            </w:r>
            <w:r w:rsidRPr="00086937">
              <w:rPr>
                <w:b/>
              </w:rPr>
              <w:t xml:space="preserve"> ministrija</w:t>
            </w:r>
          </w:p>
          <w:p w14:paraId="3D804C54" w14:textId="12C1C2DB" w:rsidR="003801E3" w:rsidRPr="00086937" w:rsidRDefault="003801E3" w:rsidP="003801E3">
            <w:pPr>
              <w:pStyle w:val="naisc"/>
              <w:spacing w:before="0" w:after="0"/>
              <w:jc w:val="both"/>
              <w:rPr>
                <w:b/>
              </w:rPr>
            </w:pPr>
            <w:r w:rsidRPr="001E505D">
              <w:t xml:space="preserve">Projekta 8. punkts paredz, ka gadījumā, “ja kopējā lauksaimniekiem piešķiramā atbalsta summa pārsniedz 3 000 000 </w:t>
            </w:r>
            <w:proofErr w:type="spellStart"/>
            <w:r w:rsidRPr="001E505D">
              <w:t>euro</w:t>
            </w:r>
            <w:proofErr w:type="spellEnd"/>
            <w:r w:rsidRPr="001E505D">
              <w:t xml:space="preserve">, dienests piemēro </w:t>
            </w:r>
            <w:r w:rsidRPr="001E505D">
              <w:rPr>
                <w:u w:val="single"/>
              </w:rPr>
              <w:t>lineāru samazinājumu lauksaimniekiem izmaksājamām atbalsta summām</w:t>
            </w:r>
            <w:r w:rsidRPr="001E505D">
              <w:t xml:space="preserve">”. Lūdzam tiesiskās skaidrības nolūkos precizēt projekta 8. punktu, norādot, vai atbalsta apmēra samazinājums attiecas uz projekta </w:t>
            </w:r>
            <w:r w:rsidRPr="001E505D">
              <w:lastRenderedPageBreak/>
              <w:t>6. punktā minēto maksimālo atbalsta apjomu vai kādu citu no projektā minētajām atbalsta summām.</w:t>
            </w:r>
          </w:p>
        </w:tc>
        <w:tc>
          <w:tcPr>
            <w:tcW w:w="3118" w:type="dxa"/>
            <w:gridSpan w:val="2"/>
            <w:tcBorders>
              <w:left w:val="single" w:sz="6" w:space="0" w:color="000000"/>
              <w:bottom w:val="single" w:sz="4" w:space="0" w:color="auto"/>
              <w:right w:val="single" w:sz="6" w:space="0" w:color="000000"/>
            </w:tcBorders>
          </w:tcPr>
          <w:p w14:paraId="6ADA8FB2" w14:textId="531353BB" w:rsidR="003801E3" w:rsidRPr="00086937" w:rsidRDefault="00B35979" w:rsidP="003801E3">
            <w:pPr>
              <w:pStyle w:val="naisc"/>
              <w:spacing w:before="0" w:after="0"/>
              <w:jc w:val="left"/>
            </w:pPr>
            <w:r>
              <w:lastRenderedPageBreak/>
              <w:t>Ņ</w:t>
            </w:r>
            <w:r w:rsidR="003801E3" w:rsidRPr="00086937">
              <w:t>emts vērā</w:t>
            </w:r>
          </w:p>
          <w:p w14:paraId="7DFCFB0B" w14:textId="77777777" w:rsidR="003801E3" w:rsidRPr="00086937" w:rsidRDefault="003801E3" w:rsidP="003801E3">
            <w:pPr>
              <w:pStyle w:val="naisc"/>
              <w:spacing w:before="0" w:after="0"/>
              <w:jc w:val="both"/>
            </w:pPr>
          </w:p>
        </w:tc>
        <w:tc>
          <w:tcPr>
            <w:tcW w:w="3084" w:type="dxa"/>
            <w:tcBorders>
              <w:top w:val="single" w:sz="4" w:space="0" w:color="auto"/>
              <w:left w:val="single" w:sz="4" w:space="0" w:color="auto"/>
              <w:bottom w:val="single" w:sz="4" w:space="0" w:color="auto"/>
            </w:tcBorders>
          </w:tcPr>
          <w:p w14:paraId="643EB1F8" w14:textId="7C711B72" w:rsidR="00B35979" w:rsidRDefault="00B35979" w:rsidP="003801E3">
            <w:pPr>
              <w:jc w:val="both"/>
            </w:pPr>
            <w:r w:rsidRPr="00B35979">
              <w:t xml:space="preserve">8. Ja kopējā izmaksājamā atbalsta summa pārsniedz 3 000 000 </w:t>
            </w:r>
            <w:proofErr w:type="spellStart"/>
            <w:r w:rsidRPr="00B35979">
              <w:t>euro</w:t>
            </w:r>
            <w:proofErr w:type="spellEnd"/>
            <w:r w:rsidRPr="00B35979">
              <w:t xml:space="preserve">, dienests piemēro lineāru samazinājumu lauksaimniekiem izmaksājamām atbalsta summām, lai netiktu </w:t>
            </w:r>
            <w:r w:rsidRPr="00B35979">
              <w:lastRenderedPageBreak/>
              <w:t>pārsniegts kopējais pieejamais atbalsta apmērs.</w:t>
            </w:r>
          </w:p>
          <w:p w14:paraId="6D37CE9A" w14:textId="1720E6B0" w:rsidR="003801E3" w:rsidRPr="00086937" w:rsidRDefault="003801E3" w:rsidP="003801E3">
            <w:pPr>
              <w:jc w:val="both"/>
            </w:pPr>
            <w:r>
              <w:t>Skaidrojam, ka noteikumu punkts, ja</w:t>
            </w:r>
            <w:r w:rsidR="002C7C84">
              <w:t>u</w:t>
            </w:r>
            <w:r>
              <w:t xml:space="preserve"> nosaka, ka </w:t>
            </w:r>
            <w:r w:rsidRPr="008B475F">
              <w:t>dienests piemēro lineāru samazinājumu lauksaimniekiem izmaksājamām atbalsta summām, lai netiktu pārsniegts kopējais pieejamais atbalsta apmērs.</w:t>
            </w:r>
          </w:p>
        </w:tc>
      </w:tr>
      <w:tr w:rsidR="003801E3" w:rsidRPr="000C0ACF" w14:paraId="5805DC07" w14:textId="77777777" w:rsidTr="00DF070B">
        <w:trPr>
          <w:trHeight w:val="611"/>
        </w:trPr>
        <w:tc>
          <w:tcPr>
            <w:tcW w:w="675" w:type="dxa"/>
            <w:tcBorders>
              <w:left w:val="single" w:sz="6" w:space="0" w:color="000000"/>
              <w:bottom w:val="single" w:sz="4" w:space="0" w:color="auto"/>
              <w:right w:val="single" w:sz="6" w:space="0" w:color="000000"/>
            </w:tcBorders>
          </w:tcPr>
          <w:p w14:paraId="71BD80C5" w14:textId="77777777" w:rsidR="003801E3" w:rsidRPr="00086937" w:rsidRDefault="003801E3" w:rsidP="003801E3">
            <w:pPr>
              <w:pStyle w:val="naisc"/>
              <w:numPr>
                <w:ilvl w:val="0"/>
                <w:numId w:val="9"/>
              </w:numPr>
              <w:spacing w:before="0" w:after="0"/>
              <w:ind w:left="426"/>
              <w:jc w:val="left"/>
            </w:pPr>
          </w:p>
        </w:tc>
        <w:tc>
          <w:tcPr>
            <w:tcW w:w="3012" w:type="dxa"/>
            <w:gridSpan w:val="2"/>
            <w:tcBorders>
              <w:left w:val="single" w:sz="6" w:space="0" w:color="000000"/>
              <w:bottom w:val="single" w:sz="4" w:space="0" w:color="auto"/>
              <w:right w:val="single" w:sz="6" w:space="0" w:color="000000"/>
            </w:tcBorders>
          </w:tcPr>
          <w:p w14:paraId="0E01FCB5" w14:textId="5180F012" w:rsidR="003801E3" w:rsidRPr="00086937" w:rsidRDefault="00C16D05" w:rsidP="003801E3">
            <w:pPr>
              <w:jc w:val="both"/>
            </w:pPr>
            <w:r w:rsidRPr="001E505D">
              <w:rPr>
                <w:color w:val="000000" w:themeColor="text1"/>
              </w:rPr>
              <w:t xml:space="preserve">9. </w:t>
            </w:r>
            <w:r w:rsidRPr="00C16D05">
              <w:rPr>
                <w:color w:val="000000" w:themeColor="text1"/>
              </w:rPr>
              <w:t>Saskaņā ar šiem noteikumiem sniegto atbalstu par vienām un tām pašām attiecināmajām izmaksām nedrīkst apvienot ar citu valsts atbalstu.</w:t>
            </w:r>
          </w:p>
        </w:tc>
        <w:tc>
          <w:tcPr>
            <w:tcW w:w="5103" w:type="dxa"/>
            <w:tcBorders>
              <w:left w:val="single" w:sz="6" w:space="0" w:color="000000"/>
              <w:bottom w:val="single" w:sz="4" w:space="0" w:color="auto"/>
              <w:right w:val="single" w:sz="6" w:space="0" w:color="000000"/>
            </w:tcBorders>
          </w:tcPr>
          <w:p w14:paraId="0302326D" w14:textId="74FBA17D" w:rsidR="003801E3" w:rsidRPr="00086937" w:rsidRDefault="003801E3" w:rsidP="003801E3">
            <w:pPr>
              <w:pStyle w:val="naisc"/>
              <w:spacing w:before="0" w:after="0"/>
              <w:jc w:val="left"/>
              <w:rPr>
                <w:b/>
              </w:rPr>
            </w:pPr>
            <w:r>
              <w:rPr>
                <w:b/>
              </w:rPr>
              <w:t>Tieslietu</w:t>
            </w:r>
            <w:r w:rsidRPr="00086937">
              <w:rPr>
                <w:b/>
              </w:rPr>
              <w:t xml:space="preserve"> ministrija</w:t>
            </w:r>
          </w:p>
          <w:p w14:paraId="7D485808" w14:textId="06CE5FB9" w:rsidR="003801E3" w:rsidRPr="001E505D" w:rsidRDefault="003801E3" w:rsidP="003801E3">
            <w:pPr>
              <w:widowControl w:val="0"/>
              <w:shd w:val="clear" w:color="auto" w:fill="FFFFFF"/>
              <w:tabs>
                <w:tab w:val="left" w:pos="993"/>
              </w:tabs>
              <w:spacing w:line="293" w:lineRule="atLeast"/>
              <w:jc w:val="both"/>
              <w:rPr>
                <w:color w:val="000000" w:themeColor="text1"/>
                <w:sz w:val="25"/>
                <w:szCs w:val="25"/>
              </w:rPr>
            </w:pPr>
            <w:bookmarkStart w:id="1" w:name="_Hlk67409319"/>
            <w:r w:rsidRPr="001E505D">
              <w:rPr>
                <w:color w:val="000000" w:themeColor="text1"/>
              </w:rPr>
              <w:t>Projekta 9. punkts paredz, ka “</w:t>
            </w:r>
            <w:r w:rsidRPr="001E505D">
              <w:rPr>
                <w:i/>
                <w:iCs/>
                <w:color w:val="000000" w:themeColor="text1"/>
              </w:rPr>
              <w:t>saskaņā ar šiem noteikumiem sniegto atbalstu par vienām un tām pašām attiecināmajām izmaksām nedrīkst apvienot ar citu valsts atbalstu</w:t>
            </w:r>
            <w:r w:rsidRPr="001E505D">
              <w:rPr>
                <w:color w:val="000000" w:themeColor="text1"/>
              </w:rPr>
              <w:t xml:space="preserve">”. Norādām, ka projekts šobrīd </w:t>
            </w:r>
            <w:r w:rsidRPr="001E505D">
              <w:rPr>
                <w:color w:val="000000" w:themeColor="text1"/>
                <w:u w:val="single"/>
              </w:rPr>
              <w:t>neparedz</w:t>
            </w:r>
            <w:r w:rsidRPr="001E505D">
              <w:rPr>
                <w:color w:val="000000" w:themeColor="text1"/>
              </w:rPr>
              <w:t xml:space="preserve"> izmaksu attiecināmības nosacījumus projektā minētā atbalsta saņemšanai. Līdz ar to projekta 9. punktā paredzēto nosacījumu praktiski nebūs iespējams izpildīt. Ievērojot minēto, lūdzam projekta 9. punktu svītrot vai arī projektā skaidri norādīt, kas uzskatāmas par attiecināmajām izmaksām.</w:t>
            </w:r>
            <w:bookmarkEnd w:id="1"/>
          </w:p>
        </w:tc>
        <w:tc>
          <w:tcPr>
            <w:tcW w:w="3118" w:type="dxa"/>
            <w:gridSpan w:val="2"/>
            <w:tcBorders>
              <w:left w:val="single" w:sz="6" w:space="0" w:color="000000"/>
              <w:bottom w:val="single" w:sz="4" w:space="0" w:color="auto"/>
              <w:right w:val="single" w:sz="6" w:space="0" w:color="000000"/>
            </w:tcBorders>
          </w:tcPr>
          <w:p w14:paraId="34963561" w14:textId="77777777" w:rsidR="003801E3" w:rsidRPr="00086937" w:rsidRDefault="003801E3" w:rsidP="003801E3">
            <w:pPr>
              <w:pStyle w:val="naisc"/>
              <w:spacing w:before="0" w:after="0"/>
              <w:jc w:val="left"/>
            </w:pPr>
            <w:r w:rsidRPr="00086937">
              <w:t>Ņemts vērā</w:t>
            </w:r>
          </w:p>
          <w:p w14:paraId="5B663885" w14:textId="77777777" w:rsidR="003801E3" w:rsidRPr="00086937" w:rsidRDefault="003801E3" w:rsidP="003801E3">
            <w:pPr>
              <w:pStyle w:val="naisc"/>
              <w:spacing w:before="0" w:after="0"/>
              <w:jc w:val="both"/>
            </w:pPr>
          </w:p>
        </w:tc>
        <w:tc>
          <w:tcPr>
            <w:tcW w:w="3084" w:type="dxa"/>
            <w:tcBorders>
              <w:top w:val="single" w:sz="4" w:space="0" w:color="auto"/>
              <w:left w:val="single" w:sz="4" w:space="0" w:color="auto"/>
              <w:bottom w:val="single" w:sz="4" w:space="0" w:color="auto"/>
            </w:tcBorders>
          </w:tcPr>
          <w:p w14:paraId="0CFD6EA7" w14:textId="005410FC" w:rsidR="00C16D05" w:rsidRPr="00C16D05" w:rsidRDefault="00C16D05" w:rsidP="00C16D05">
            <w:pPr>
              <w:jc w:val="both"/>
              <w:rPr>
                <w:iCs/>
              </w:rPr>
            </w:pPr>
            <w:r w:rsidRPr="00C16D05">
              <w:rPr>
                <w:iCs/>
              </w:rPr>
              <w:t xml:space="preserve">9. Saskaņā ar šo noteikumu </w:t>
            </w:r>
            <w:r w:rsidR="00FA1499">
              <w:rPr>
                <w:iCs/>
              </w:rPr>
              <w:t>4</w:t>
            </w:r>
            <w:r w:rsidRPr="00C16D05">
              <w:rPr>
                <w:iCs/>
              </w:rPr>
              <w:t xml:space="preserve">.punktā minētajiem nosacījumiem sniegto atbalstu nedrīkst apvienot ar citu valsts atbalstu par šo noteikumu </w:t>
            </w:r>
            <w:r w:rsidR="00FA1499">
              <w:rPr>
                <w:iCs/>
              </w:rPr>
              <w:t>4</w:t>
            </w:r>
            <w:r w:rsidRPr="00C16D05">
              <w:rPr>
                <w:iCs/>
              </w:rPr>
              <w:t>.punktā minētajiem nosacījumiem.</w:t>
            </w:r>
          </w:p>
          <w:p w14:paraId="7B932BD7" w14:textId="2131C273" w:rsidR="003801E3" w:rsidRPr="00086937" w:rsidRDefault="003801E3" w:rsidP="003801E3">
            <w:pPr>
              <w:jc w:val="both"/>
            </w:pPr>
          </w:p>
        </w:tc>
      </w:tr>
      <w:tr w:rsidR="003801E3" w:rsidRPr="000C0ACF" w14:paraId="1ACF8434" w14:textId="77777777" w:rsidTr="00DF070B">
        <w:trPr>
          <w:trHeight w:val="611"/>
        </w:trPr>
        <w:tc>
          <w:tcPr>
            <w:tcW w:w="675" w:type="dxa"/>
            <w:tcBorders>
              <w:left w:val="single" w:sz="6" w:space="0" w:color="000000"/>
              <w:bottom w:val="single" w:sz="4" w:space="0" w:color="auto"/>
              <w:right w:val="single" w:sz="6" w:space="0" w:color="000000"/>
            </w:tcBorders>
          </w:tcPr>
          <w:p w14:paraId="52AB0103" w14:textId="77777777" w:rsidR="003801E3" w:rsidRPr="00086937" w:rsidRDefault="003801E3" w:rsidP="003801E3">
            <w:pPr>
              <w:pStyle w:val="naisc"/>
              <w:numPr>
                <w:ilvl w:val="0"/>
                <w:numId w:val="9"/>
              </w:numPr>
              <w:spacing w:before="0" w:after="0"/>
              <w:ind w:left="426"/>
              <w:jc w:val="left"/>
            </w:pPr>
          </w:p>
        </w:tc>
        <w:tc>
          <w:tcPr>
            <w:tcW w:w="3012" w:type="dxa"/>
            <w:gridSpan w:val="2"/>
            <w:tcBorders>
              <w:left w:val="single" w:sz="6" w:space="0" w:color="000000"/>
              <w:bottom w:val="single" w:sz="4" w:space="0" w:color="auto"/>
              <w:right w:val="single" w:sz="6" w:space="0" w:color="000000"/>
            </w:tcBorders>
          </w:tcPr>
          <w:p w14:paraId="0552C38F" w14:textId="72A1CF69" w:rsidR="003801E3" w:rsidRPr="00810A66" w:rsidRDefault="00810A66" w:rsidP="00810A66">
            <w:pPr>
              <w:pStyle w:val="Paraststmeklis"/>
              <w:shd w:val="clear" w:color="auto" w:fill="FFFFFF"/>
              <w:spacing w:before="0" w:beforeAutospacing="0" w:after="0" w:afterAutospacing="0"/>
              <w:jc w:val="both"/>
              <w:rPr>
                <w:iCs/>
                <w:sz w:val="28"/>
                <w:szCs w:val="28"/>
              </w:rPr>
            </w:pPr>
            <w:r w:rsidRPr="00810A66">
              <w:rPr>
                <w:iCs/>
              </w:rPr>
              <w:t xml:space="preserve">12.3. </w:t>
            </w:r>
            <w:r w:rsidRPr="00810A66">
              <w:rPr>
                <w:rFonts w:eastAsiaTheme="minorEastAsia" w:cstheme="minorBidi"/>
              </w:rPr>
              <w:t>lēmumu par atbalsta piešķiršanu pieņem ne vēlāk kā līdz 2021. gada 31. decembrim, par valsts atbalsta piešķiršanas</w:t>
            </w:r>
            <w:r w:rsidRPr="00810A66">
              <w:rPr>
                <w:iCs/>
              </w:rPr>
              <w:t xml:space="preserve"> datumu</w:t>
            </w:r>
            <w:r w:rsidRPr="00810A66">
              <w:rPr>
                <w:rFonts w:eastAsiaTheme="minorEastAsia" w:cstheme="minorBidi"/>
              </w:rPr>
              <w:t xml:space="preserve"> uzskatot datumu, kad piešķirts par atbalsts</w:t>
            </w:r>
            <w:r w:rsidRPr="00810A66">
              <w:rPr>
                <w:iCs/>
              </w:rPr>
              <w:t>;</w:t>
            </w:r>
          </w:p>
        </w:tc>
        <w:tc>
          <w:tcPr>
            <w:tcW w:w="5103" w:type="dxa"/>
            <w:tcBorders>
              <w:left w:val="single" w:sz="6" w:space="0" w:color="000000"/>
              <w:bottom w:val="single" w:sz="4" w:space="0" w:color="auto"/>
              <w:right w:val="single" w:sz="6" w:space="0" w:color="000000"/>
            </w:tcBorders>
          </w:tcPr>
          <w:p w14:paraId="6D274D76" w14:textId="18A89905" w:rsidR="003801E3" w:rsidRDefault="003801E3" w:rsidP="003801E3">
            <w:pPr>
              <w:pStyle w:val="naisc"/>
              <w:spacing w:before="0" w:after="0"/>
              <w:jc w:val="left"/>
              <w:rPr>
                <w:b/>
              </w:rPr>
            </w:pPr>
            <w:r>
              <w:rPr>
                <w:b/>
              </w:rPr>
              <w:t>Tieslietu</w:t>
            </w:r>
            <w:r w:rsidRPr="00086937">
              <w:rPr>
                <w:b/>
              </w:rPr>
              <w:t xml:space="preserve"> ministrija</w:t>
            </w:r>
          </w:p>
          <w:p w14:paraId="5324F4E7" w14:textId="7251CEE7" w:rsidR="003801E3" w:rsidRPr="001E505D" w:rsidRDefault="003801E3" w:rsidP="003801E3">
            <w:pPr>
              <w:widowControl w:val="0"/>
              <w:shd w:val="clear" w:color="auto" w:fill="FFFFFF"/>
              <w:tabs>
                <w:tab w:val="left" w:pos="993"/>
              </w:tabs>
              <w:spacing w:line="293" w:lineRule="atLeast"/>
              <w:jc w:val="both"/>
              <w:rPr>
                <w:color w:val="000000" w:themeColor="text1"/>
                <w:sz w:val="25"/>
                <w:szCs w:val="25"/>
              </w:rPr>
            </w:pPr>
            <w:bookmarkStart w:id="2" w:name="_Hlk67409759"/>
            <w:r w:rsidRPr="001E505D">
              <w:rPr>
                <w:color w:val="000000" w:themeColor="text1"/>
              </w:rPr>
              <w:t>Projekta 12.3. apakš</w:t>
            </w:r>
            <w:r w:rsidR="00B35979">
              <w:rPr>
                <w:color w:val="000000" w:themeColor="text1"/>
              </w:rPr>
              <w:t>p</w:t>
            </w:r>
            <w:r w:rsidRPr="001E505D">
              <w:rPr>
                <w:color w:val="000000" w:themeColor="text1"/>
              </w:rPr>
              <w:t xml:space="preserve">unktā noteikts, ka Lauku atbalsta dienests “lēmumu par atbalsta piešķiršanu pieņem ne vēlāk kā līdz 2021. gada 31. decembrim, par valsts atbalsta piešķiršanas datumu uzskatot datumu, </w:t>
            </w:r>
            <w:r w:rsidRPr="001E505D">
              <w:rPr>
                <w:color w:val="000000" w:themeColor="text1"/>
                <w:u w:val="single"/>
              </w:rPr>
              <w:t>kad piešķirts par atbalsts</w:t>
            </w:r>
            <w:r w:rsidRPr="001E505D">
              <w:rPr>
                <w:color w:val="000000" w:themeColor="text1"/>
              </w:rPr>
              <w:t xml:space="preserve">”. Lūdzam precizēt minēto normu, svītrojot regulējumu par valsts atbalsta piešķiršanas datumu vai arī </w:t>
            </w:r>
            <w:r w:rsidRPr="001E505D">
              <w:rPr>
                <w:color w:val="000000" w:themeColor="text1"/>
              </w:rPr>
              <w:lastRenderedPageBreak/>
              <w:t xml:space="preserve">precizējot to. Norādām, ka šobrīd minētajam regulējumam nav juridiskās slodzes, jo tas būtībā nosaka, ka “par valsts atbalsta piešķiršanas datumu ir uzskatāms valsts atbalsta piešķiršanas datums”. </w:t>
            </w:r>
            <w:bookmarkEnd w:id="2"/>
          </w:p>
        </w:tc>
        <w:tc>
          <w:tcPr>
            <w:tcW w:w="3118" w:type="dxa"/>
            <w:gridSpan w:val="2"/>
            <w:tcBorders>
              <w:left w:val="single" w:sz="6" w:space="0" w:color="000000"/>
              <w:bottom w:val="single" w:sz="4" w:space="0" w:color="auto"/>
              <w:right w:val="single" w:sz="6" w:space="0" w:color="000000"/>
            </w:tcBorders>
          </w:tcPr>
          <w:p w14:paraId="3AC3990B" w14:textId="77777777" w:rsidR="003801E3" w:rsidRPr="00086937" w:rsidRDefault="003801E3" w:rsidP="003801E3">
            <w:pPr>
              <w:pStyle w:val="naisc"/>
              <w:spacing w:before="0" w:after="0"/>
              <w:jc w:val="left"/>
            </w:pPr>
            <w:r w:rsidRPr="00086937">
              <w:lastRenderedPageBreak/>
              <w:t>Ņemts vērā</w:t>
            </w:r>
          </w:p>
          <w:p w14:paraId="4BD42559" w14:textId="77777777" w:rsidR="003801E3" w:rsidRPr="00086937" w:rsidRDefault="003801E3" w:rsidP="003801E3">
            <w:pPr>
              <w:pStyle w:val="naisc"/>
              <w:spacing w:before="0" w:after="0"/>
              <w:jc w:val="both"/>
            </w:pPr>
          </w:p>
        </w:tc>
        <w:tc>
          <w:tcPr>
            <w:tcW w:w="3084" w:type="dxa"/>
            <w:tcBorders>
              <w:top w:val="single" w:sz="4" w:space="0" w:color="auto"/>
              <w:left w:val="single" w:sz="4" w:space="0" w:color="auto"/>
              <w:bottom w:val="single" w:sz="4" w:space="0" w:color="auto"/>
            </w:tcBorders>
          </w:tcPr>
          <w:p w14:paraId="12C2FBFC" w14:textId="77777777" w:rsidR="003801E3" w:rsidRDefault="00810A66" w:rsidP="003801E3">
            <w:pPr>
              <w:jc w:val="both"/>
              <w:rPr>
                <w:rFonts w:eastAsiaTheme="minorEastAsia" w:cstheme="minorBidi"/>
                <w:strike/>
              </w:rPr>
            </w:pPr>
            <w:bookmarkStart w:id="3" w:name="_Hlk67409800"/>
            <w:r w:rsidRPr="00810A66">
              <w:rPr>
                <w:iCs/>
              </w:rPr>
              <w:t xml:space="preserve">12.3. </w:t>
            </w:r>
            <w:r w:rsidRPr="00810A66">
              <w:rPr>
                <w:rFonts w:eastAsiaTheme="minorEastAsia" w:cstheme="minorBidi"/>
              </w:rPr>
              <w:t>lēmumu par atbalsta piešķiršanu pieņem ne vēlāk kā līdz 2021. gada 31. decembrim</w:t>
            </w:r>
            <w:r>
              <w:rPr>
                <w:rFonts w:eastAsiaTheme="minorEastAsia" w:cstheme="minorBidi"/>
              </w:rPr>
              <w:t>.</w:t>
            </w:r>
            <w:r w:rsidRPr="00810A66">
              <w:rPr>
                <w:rFonts w:eastAsiaTheme="minorEastAsia" w:cstheme="minorBidi"/>
              </w:rPr>
              <w:t xml:space="preserve"> </w:t>
            </w:r>
            <w:r w:rsidRPr="00810A66">
              <w:rPr>
                <w:rFonts w:eastAsiaTheme="minorEastAsia" w:cstheme="minorBidi"/>
                <w:strike/>
              </w:rPr>
              <w:t>par valsts atbalsta piešķiršanas</w:t>
            </w:r>
            <w:r w:rsidRPr="00810A66">
              <w:rPr>
                <w:iCs/>
                <w:strike/>
              </w:rPr>
              <w:t xml:space="preserve"> datumu</w:t>
            </w:r>
            <w:r w:rsidRPr="00810A66">
              <w:rPr>
                <w:rFonts w:eastAsiaTheme="minorEastAsia" w:cstheme="minorBidi"/>
                <w:strike/>
              </w:rPr>
              <w:t xml:space="preserve"> uzskatot datumu, kad piešķirts par atbalsts</w:t>
            </w:r>
            <w:bookmarkEnd w:id="3"/>
          </w:p>
          <w:p w14:paraId="24A9A299" w14:textId="624347B8" w:rsidR="00C16D05" w:rsidRPr="00086937" w:rsidRDefault="00C16D05" w:rsidP="003801E3">
            <w:pPr>
              <w:jc w:val="both"/>
            </w:pPr>
            <w:r w:rsidRPr="00C16D05">
              <w:t xml:space="preserve">Datums, kad pieņemts lēmums par atbalsta </w:t>
            </w:r>
            <w:r w:rsidRPr="00C16D05">
              <w:lastRenderedPageBreak/>
              <w:t>piešķiršanu, uzskatāms par atbalsta piešķiršanas dienu;</w:t>
            </w:r>
          </w:p>
        </w:tc>
      </w:tr>
      <w:tr w:rsidR="003801E3" w:rsidRPr="000C0ACF" w14:paraId="2CE4A273" w14:textId="77777777" w:rsidTr="00DF070B">
        <w:trPr>
          <w:trHeight w:val="611"/>
        </w:trPr>
        <w:tc>
          <w:tcPr>
            <w:tcW w:w="675" w:type="dxa"/>
            <w:tcBorders>
              <w:left w:val="single" w:sz="6" w:space="0" w:color="000000"/>
              <w:bottom w:val="single" w:sz="4" w:space="0" w:color="auto"/>
              <w:right w:val="single" w:sz="6" w:space="0" w:color="000000"/>
            </w:tcBorders>
          </w:tcPr>
          <w:p w14:paraId="7431B5D1" w14:textId="77777777" w:rsidR="003801E3" w:rsidRPr="00086937" w:rsidRDefault="003801E3" w:rsidP="003801E3">
            <w:pPr>
              <w:pStyle w:val="naisc"/>
              <w:numPr>
                <w:ilvl w:val="0"/>
                <w:numId w:val="9"/>
              </w:numPr>
              <w:spacing w:before="0" w:after="0"/>
              <w:ind w:left="426"/>
              <w:jc w:val="left"/>
            </w:pPr>
          </w:p>
        </w:tc>
        <w:tc>
          <w:tcPr>
            <w:tcW w:w="3012" w:type="dxa"/>
            <w:gridSpan w:val="2"/>
            <w:tcBorders>
              <w:left w:val="single" w:sz="6" w:space="0" w:color="000000"/>
              <w:bottom w:val="single" w:sz="4" w:space="0" w:color="auto"/>
              <w:right w:val="single" w:sz="6" w:space="0" w:color="000000"/>
            </w:tcBorders>
          </w:tcPr>
          <w:p w14:paraId="3219032B" w14:textId="207BC544" w:rsidR="003801E3" w:rsidRPr="00086937" w:rsidRDefault="00C16D05" w:rsidP="003801E3">
            <w:pPr>
              <w:jc w:val="both"/>
            </w:pPr>
            <w:r w:rsidRPr="00C16D05">
              <w:t>14. Noteikumus piemēro pēc tam, kad ir saņemts Eiropas Komisijas lēmums, ar kuru atbalsts atzīts par saderīgu ar Eiropas Savienības iekšējo tirgu.</w:t>
            </w:r>
          </w:p>
        </w:tc>
        <w:tc>
          <w:tcPr>
            <w:tcW w:w="5103" w:type="dxa"/>
            <w:tcBorders>
              <w:left w:val="single" w:sz="6" w:space="0" w:color="000000"/>
              <w:bottom w:val="single" w:sz="4" w:space="0" w:color="auto"/>
              <w:right w:val="single" w:sz="6" w:space="0" w:color="000000"/>
            </w:tcBorders>
          </w:tcPr>
          <w:p w14:paraId="6E7567F8" w14:textId="77777777" w:rsidR="003801E3" w:rsidRDefault="003801E3" w:rsidP="003801E3">
            <w:pPr>
              <w:pStyle w:val="naisc"/>
              <w:spacing w:before="0" w:after="0"/>
              <w:jc w:val="left"/>
              <w:rPr>
                <w:b/>
              </w:rPr>
            </w:pPr>
            <w:r>
              <w:rPr>
                <w:b/>
              </w:rPr>
              <w:t>Tieslietu</w:t>
            </w:r>
            <w:r w:rsidRPr="00086937">
              <w:rPr>
                <w:b/>
              </w:rPr>
              <w:t xml:space="preserve"> ministrija</w:t>
            </w:r>
          </w:p>
          <w:p w14:paraId="7F5C8A1C" w14:textId="77777777" w:rsidR="003801E3" w:rsidRDefault="003801E3" w:rsidP="003801E3">
            <w:pPr>
              <w:pStyle w:val="naisc"/>
              <w:tabs>
                <w:tab w:val="left" w:pos="226"/>
              </w:tabs>
              <w:jc w:val="both"/>
            </w:pPr>
            <w:bookmarkStart w:id="4" w:name="_Hlk67409930"/>
            <w:r>
              <w:t>7.</w:t>
            </w:r>
            <w:r>
              <w:tab/>
              <w:t>Projekta 14. punkts paredz, ka “Noteikumus piemēro pēc tam, kad ir saņemts Eiropas Komisijas lēmums, ar kuru atbalsts atzīts par saderīgu ar Eiropas Savienības iekšējo tirgu.”</w:t>
            </w:r>
          </w:p>
          <w:bookmarkEnd w:id="4"/>
          <w:p w14:paraId="049B665C" w14:textId="1C2B537A" w:rsidR="003801E3" w:rsidRPr="00086937" w:rsidRDefault="003801E3" w:rsidP="003801E3">
            <w:pPr>
              <w:pStyle w:val="naisc"/>
              <w:tabs>
                <w:tab w:val="left" w:pos="226"/>
              </w:tabs>
              <w:spacing w:before="0" w:after="0"/>
              <w:jc w:val="both"/>
            </w:pPr>
            <w:r>
              <w:t>Lai nodrošinātu skaidru un saprotamu projekta piemērošanas sākuma brīdi, kas tiktu atspoguļots arī normatīvo aktu informatīvajā sistēmā (</w:t>
            </w:r>
            <w:proofErr w:type="spellStart"/>
            <w:r>
              <w:t>likumi.lv</w:t>
            </w:r>
            <w:proofErr w:type="spellEnd"/>
            <w:r>
              <w:t>), lūdzam papildināt projektu ar tiesisko regulējumu, kas uzliktu Zemkopības ministrijai par pienākumu informēt oficiālo izdevumu par projekta 14. punktā minētā Eiropas Komisijas lēmuma saņemšanu. Piemēram, ierosinām papildināt projektu ar jaunu punktu, nosakot, ka “Zemkopības ministrija pēc šo noteikumu 14. punktā minētā lēmuma saņemšanas nekavējoties nosūta attiecīgu paziņojumu publicēšanai oficiālajā izdevumā "Latvijas Vēstnesis" vai tamlīdzīgi.</w:t>
            </w:r>
          </w:p>
        </w:tc>
        <w:tc>
          <w:tcPr>
            <w:tcW w:w="3118" w:type="dxa"/>
            <w:gridSpan w:val="2"/>
            <w:tcBorders>
              <w:left w:val="single" w:sz="6" w:space="0" w:color="000000"/>
              <w:bottom w:val="single" w:sz="4" w:space="0" w:color="auto"/>
              <w:right w:val="single" w:sz="6" w:space="0" w:color="000000"/>
            </w:tcBorders>
          </w:tcPr>
          <w:p w14:paraId="58B293D0" w14:textId="64BA58CD" w:rsidR="003801E3" w:rsidRPr="00086937" w:rsidRDefault="003801E3" w:rsidP="003801E3">
            <w:pPr>
              <w:pStyle w:val="naisc"/>
              <w:spacing w:before="0" w:after="0"/>
              <w:jc w:val="both"/>
            </w:pPr>
            <w:r>
              <w:t>Ņemts vērā</w:t>
            </w:r>
          </w:p>
        </w:tc>
        <w:tc>
          <w:tcPr>
            <w:tcW w:w="3084" w:type="dxa"/>
            <w:tcBorders>
              <w:top w:val="single" w:sz="4" w:space="0" w:color="auto"/>
              <w:left w:val="single" w:sz="4" w:space="0" w:color="auto"/>
              <w:bottom w:val="single" w:sz="4" w:space="0" w:color="auto"/>
            </w:tcBorders>
          </w:tcPr>
          <w:p w14:paraId="539327AA" w14:textId="5E307631" w:rsidR="003801E3" w:rsidRDefault="00C16D05" w:rsidP="003801E3">
            <w:pPr>
              <w:jc w:val="both"/>
            </w:pPr>
            <w:r>
              <w:rPr>
                <w:color w:val="000000" w:themeColor="text1"/>
                <w:lang w:eastAsia="de-DE"/>
              </w:rPr>
              <w:t>Noteikuma punkts svītrots, jo ir saņemts E</w:t>
            </w:r>
            <w:r w:rsidR="00B35979">
              <w:rPr>
                <w:color w:val="000000" w:themeColor="text1"/>
                <w:lang w:eastAsia="de-DE"/>
              </w:rPr>
              <w:t>iropas Komisijas</w:t>
            </w:r>
            <w:r>
              <w:rPr>
                <w:color w:val="000000" w:themeColor="text1"/>
                <w:lang w:eastAsia="de-DE"/>
              </w:rPr>
              <w:t xml:space="preserve"> lēmums </w:t>
            </w:r>
            <w:r w:rsidR="00B35979" w:rsidRPr="00CA4D65">
              <w:t>Nr. SA.62195 (2021/N) “Valsts atbalsta pasākums mazajiem lauksaimniekiem”</w:t>
            </w:r>
            <w:r w:rsidR="00B35979">
              <w:t>.</w:t>
            </w:r>
          </w:p>
          <w:p w14:paraId="55DD7BD6" w14:textId="1C82736F" w:rsidR="00B35979" w:rsidRPr="00086937" w:rsidRDefault="00B35979" w:rsidP="003801E3">
            <w:pPr>
              <w:jc w:val="both"/>
              <w:rPr>
                <w:color w:val="000000" w:themeColor="text1"/>
                <w:lang w:eastAsia="de-DE"/>
              </w:rPr>
            </w:pPr>
          </w:p>
        </w:tc>
      </w:tr>
      <w:tr w:rsidR="003801E3" w:rsidRPr="00FF6CFF" w14:paraId="326EA159" w14:textId="77777777" w:rsidTr="00A85B79">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24A25994" w14:textId="0349B895" w:rsidR="003801E3" w:rsidRPr="00FF6CFF" w:rsidRDefault="003801E3" w:rsidP="003801E3">
            <w:pPr>
              <w:pStyle w:val="naiskr"/>
              <w:spacing w:before="0" w:after="0"/>
              <w:rPr>
                <w:szCs w:val="28"/>
              </w:rPr>
            </w:pPr>
          </w:p>
          <w:p w14:paraId="03534994" w14:textId="77777777" w:rsidR="003801E3" w:rsidRPr="00FF6CFF" w:rsidRDefault="003801E3" w:rsidP="003801E3">
            <w:pPr>
              <w:pStyle w:val="naiskr"/>
              <w:spacing w:before="0" w:after="0"/>
              <w:rPr>
                <w:szCs w:val="28"/>
              </w:rPr>
            </w:pPr>
            <w:r w:rsidRPr="00FF6CFF">
              <w:rPr>
                <w:szCs w:val="28"/>
              </w:rPr>
              <w:t>Atbildīgā amatpersona</w:t>
            </w:r>
          </w:p>
        </w:tc>
        <w:tc>
          <w:tcPr>
            <w:tcW w:w="6179" w:type="dxa"/>
            <w:gridSpan w:val="3"/>
          </w:tcPr>
          <w:p w14:paraId="2D3A58D5" w14:textId="77777777" w:rsidR="003801E3" w:rsidRPr="00FF6CFF" w:rsidRDefault="003801E3" w:rsidP="003801E3">
            <w:pPr>
              <w:pStyle w:val="naiskr"/>
              <w:spacing w:before="0" w:after="0"/>
              <w:ind w:firstLine="720"/>
              <w:rPr>
                <w:szCs w:val="28"/>
              </w:rPr>
            </w:pPr>
            <w:r w:rsidRPr="00FF6CFF">
              <w:rPr>
                <w:szCs w:val="28"/>
              </w:rPr>
              <w:t>  </w:t>
            </w:r>
          </w:p>
        </w:tc>
      </w:tr>
      <w:tr w:rsidR="003801E3" w:rsidRPr="00FF6CFF" w14:paraId="5EDF1EB2" w14:textId="77777777" w:rsidTr="00A85B79">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5930A620" w14:textId="77777777" w:rsidR="003801E3" w:rsidRPr="00FF6CFF" w:rsidRDefault="003801E3" w:rsidP="003801E3">
            <w:pPr>
              <w:pStyle w:val="naiskr"/>
              <w:spacing w:before="0" w:after="0"/>
              <w:ind w:firstLine="720"/>
              <w:rPr>
                <w:szCs w:val="28"/>
              </w:rPr>
            </w:pPr>
          </w:p>
        </w:tc>
        <w:tc>
          <w:tcPr>
            <w:tcW w:w="6179" w:type="dxa"/>
            <w:gridSpan w:val="3"/>
            <w:tcBorders>
              <w:top w:val="single" w:sz="6" w:space="0" w:color="000000"/>
            </w:tcBorders>
          </w:tcPr>
          <w:p w14:paraId="3A620ED0" w14:textId="77777777" w:rsidR="003801E3" w:rsidRPr="00FF6CFF" w:rsidRDefault="003801E3" w:rsidP="003801E3">
            <w:pPr>
              <w:pStyle w:val="naisc"/>
              <w:spacing w:before="0" w:after="0"/>
              <w:ind w:firstLine="720"/>
              <w:rPr>
                <w:szCs w:val="28"/>
              </w:rPr>
            </w:pPr>
            <w:r w:rsidRPr="00FF6CFF">
              <w:rPr>
                <w:sz w:val="22"/>
                <w:szCs w:val="28"/>
              </w:rPr>
              <w:t>(paraksts*)</w:t>
            </w:r>
          </w:p>
        </w:tc>
      </w:tr>
    </w:tbl>
    <w:p w14:paraId="30A98A67" w14:textId="77777777" w:rsidR="004373E1" w:rsidRPr="00FF6CFF" w:rsidRDefault="00184479" w:rsidP="00F432EC">
      <w:pPr>
        <w:pStyle w:val="naisf"/>
        <w:spacing w:before="0" w:after="0"/>
        <w:ind w:firstLine="0"/>
        <w:rPr>
          <w:sz w:val="22"/>
        </w:rPr>
      </w:pPr>
      <w:r w:rsidRPr="00FF6CFF">
        <w:rPr>
          <w:sz w:val="22"/>
        </w:rPr>
        <w:t>Piezīme.</w:t>
      </w:r>
      <w:r w:rsidR="00767BF3" w:rsidRPr="00FF6CFF">
        <w:rPr>
          <w:sz w:val="22"/>
        </w:rPr>
        <w:t> </w:t>
      </w:r>
      <w:r w:rsidR="00FB6C91" w:rsidRPr="00FF6CFF">
        <w:rPr>
          <w:sz w:val="22"/>
        </w:rPr>
        <w:t>*</w:t>
      </w:r>
      <w:r w:rsidR="00767BF3" w:rsidRPr="00FF6CFF">
        <w:rPr>
          <w:sz w:val="22"/>
        </w:rPr>
        <w:t> </w:t>
      </w:r>
      <w:r w:rsidR="00317DC7" w:rsidRPr="00FF6CFF">
        <w:rPr>
          <w:sz w:val="22"/>
        </w:rPr>
        <w:t xml:space="preserve">Dokumenta rekvizītu </w:t>
      </w:r>
      <w:r w:rsidR="00364BB6" w:rsidRPr="00FF6CFF">
        <w:rPr>
          <w:sz w:val="22"/>
        </w:rPr>
        <w:t>"</w:t>
      </w:r>
      <w:r w:rsidR="0018210A" w:rsidRPr="00FF6CFF">
        <w:rPr>
          <w:sz w:val="22"/>
        </w:rPr>
        <w:t>p</w:t>
      </w:r>
      <w:r w:rsidR="00317DC7" w:rsidRPr="00FF6CFF">
        <w:rPr>
          <w:sz w:val="22"/>
        </w:rPr>
        <w:t>araksts</w:t>
      </w:r>
      <w:r w:rsidR="00364BB6" w:rsidRPr="00FF6CFF">
        <w:rPr>
          <w:sz w:val="22"/>
        </w:rPr>
        <w:t>"</w:t>
      </w:r>
      <w:r w:rsidR="00317DC7" w:rsidRPr="00FF6CFF">
        <w:rPr>
          <w:sz w:val="22"/>
        </w:rPr>
        <w:t xml:space="preserve"> neaizpilda, ja elektroniskais dokuments ir </w:t>
      </w:r>
      <w:r w:rsidRPr="00FF6CFF">
        <w:rPr>
          <w:sz w:val="22"/>
        </w:rPr>
        <w:t>sagatavots</w:t>
      </w:r>
      <w:r w:rsidR="00317DC7" w:rsidRPr="00FF6CFF">
        <w:rPr>
          <w:sz w:val="22"/>
        </w:rPr>
        <w:t xml:space="preserve"> atbilstoši </w:t>
      </w:r>
      <w:r w:rsidRPr="00FF6CFF">
        <w:rPr>
          <w:sz w:val="22"/>
        </w:rPr>
        <w:t xml:space="preserve">normatīvajiem aktiem par </w:t>
      </w:r>
      <w:r w:rsidR="00317DC7" w:rsidRPr="00FF6CFF">
        <w:rPr>
          <w:sz w:val="22"/>
        </w:rPr>
        <w:t>elektronisko dokumentu noformēšan</w:t>
      </w:r>
      <w:r w:rsidRPr="00FF6CFF">
        <w:rPr>
          <w:sz w:val="22"/>
        </w:rPr>
        <w:t>u.</w:t>
      </w:r>
    </w:p>
    <w:p w14:paraId="78F40588" w14:textId="0C202B89" w:rsidR="00F432EC" w:rsidRDefault="00F432EC" w:rsidP="00DB7395">
      <w:pPr>
        <w:pStyle w:val="naisf"/>
        <w:spacing w:before="0" w:after="0"/>
        <w:ind w:firstLine="720"/>
        <w:rPr>
          <w:szCs w:val="28"/>
        </w:rPr>
      </w:pPr>
    </w:p>
    <w:p w14:paraId="4932D85F" w14:textId="3EA397CB" w:rsidR="001408BA" w:rsidRDefault="001408BA" w:rsidP="00DB7395">
      <w:pPr>
        <w:pStyle w:val="naisf"/>
        <w:spacing w:before="0" w:after="0"/>
        <w:ind w:firstLine="720"/>
        <w:rPr>
          <w:szCs w:val="28"/>
        </w:rPr>
      </w:pPr>
    </w:p>
    <w:p w14:paraId="25031413" w14:textId="0225E1C4" w:rsidR="001408BA" w:rsidRDefault="001408BA" w:rsidP="00DB7395">
      <w:pPr>
        <w:pStyle w:val="naisf"/>
        <w:spacing w:before="0" w:after="0"/>
        <w:ind w:firstLine="720"/>
        <w:rPr>
          <w:szCs w:val="28"/>
        </w:rPr>
      </w:pPr>
    </w:p>
    <w:p w14:paraId="0252CCE9" w14:textId="77777777" w:rsidR="001408BA" w:rsidRDefault="001408BA" w:rsidP="00DB7395">
      <w:pPr>
        <w:pStyle w:val="naisf"/>
        <w:spacing w:before="0" w:after="0"/>
        <w:ind w:firstLine="720"/>
        <w:rPr>
          <w:szCs w:val="28"/>
        </w:rPr>
      </w:pPr>
      <w:bookmarkStart w:id="5" w:name="_GoBack"/>
      <w:bookmarkEnd w:id="5"/>
    </w:p>
    <w:p w14:paraId="7E898C44" w14:textId="77777777" w:rsidR="00414F7C" w:rsidRPr="00FF6CFF" w:rsidRDefault="00414F7C" w:rsidP="00DB7395">
      <w:pPr>
        <w:pStyle w:val="naisf"/>
        <w:spacing w:before="0" w:after="0"/>
        <w:ind w:firstLine="720"/>
        <w:rPr>
          <w:szCs w:val="28"/>
        </w:rPr>
      </w:pPr>
    </w:p>
    <w:p w14:paraId="44852306" w14:textId="5CF76FC2" w:rsidR="004253B0" w:rsidRPr="00FF6CFF" w:rsidRDefault="00414F7C" w:rsidP="00414F7C">
      <w:pPr>
        <w:pStyle w:val="naisf"/>
        <w:spacing w:before="0" w:after="0"/>
        <w:ind w:firstLine="0"/>
        <w:rPr>
          <w:szCs w:val="28"/>
        </w:rPr>
      </w:pPr>
      <w:r>
        <w:rPr>
          <w:szCs w:val="28"/>
        </w:rPr>
        <w:lastRenderedPageBreak/>
        <w:tab/>
      </w:r>
      <w:r>
        <w:rPr>
          <w:szCs w:val="28"/>
        </w:rPr>
        <w:tab/>
      </w:r>
      <w:r>
        <w:rPr>
          <w:szCs w:val="28"/>
        </w:rPr>
        <w:tab/>
      </w:r>
      <w:r>
        <w:rPr>
          <w:szCs w:val="28"/>
        </w:rPr>
        <w:tab/>
        <w:t xml:space="preserve">       </w:t>
      </w:r>
      <w:r w:rsidR="00B44F99">
        <w:rPr>
          <w:szCs w:val="28"/>
        </w:rPr>
        <w:t>Elīna Dimanta</w:t>
      </w:r>
    </w:p>
    <w:tbl>
      <w:tblPr>
        <w:tblpPr w:leftFromText="180" w:rightFromText="180" w:vertAnchor="text" w:tblpY="1"/>
        <w:tblOverlap w:val="never"/>
        <w:tblW w:w="0" w:type="auto"/>
        <w:tblLook w:val="00A0" w:firstRow="1" w:lastRow="0" w:firstColumn="1" w:lastColumn="0" w:noHBand="0" w:noVBand="0"/>
      </w:tblPr>
      <w:tblGrid>
        <w:gridCol w:w="8268"/>
      </w:tblGrid>
      <w:tr w:rsidR="00946DFD" w:rsidRPr="00FF6CFF" w14:paraId="2DF74BF9" w14:textId="77777777" w:rsidTr="00FF6CFF">
        <w:tc>
          <w:tcPr>
            <w:tcW w:w="8268" w:type="dxa"/>
            <w:tcBorders>
              <w:top w:val="single" w:sz="4" w:space="0" w:color="000000"/>
            </w:tcBorders>
          </w:tcPr>
          <w:p w14:paraId="429D7752" w14:textId="77777777" w:rsidR="008655A2" w:rsidRPr="00FF6CFF" w:rsidRDefault="00184479" w:rsidP="00FF6CFF">
            <w:pPr>
              <w:jc w:val="center"/>
              <w:rPr>
                <w:szCs w:val="28"/>
              </w:rPr>
            </w:pPr>
            <w:r w:rsidRPr="00FF6CFF">
              <w:rPr>
                <w:szCs w:val="28"/>
              </w:rPr>
              <w:t>(</w:t>
            </w:r>
            <w:r w:rsidR="008655A2" w:rsidRPr="00FF6CFF">
              <w:rPr>
                <w:szCs w:val="28"/>
              </w:rPr>
              <w:t xml:space="preserve">par projektu atbildīgās amatpersonas </w:t>
            </w:r>
            <w:r w:rsidRPr="00FF6CFF">
              <w:rPr>
                <w:szCs w:val="28"/>
              </w:rPr>
              <w:t xml:space="preserve">vārds un </w:t>
            </w:r>
            <w:r w:rsidR="008655A2" w:rsidRPr="00FF6CFF">
              <w:rPr>
                <w:szCs w:val="28"/>
              </w:rPr>
              <w:t>uzvārds</w:t>
            </w:r>
            <w:r w:rsidRPr="00FF6CFF">
              <w:rPr>
                <w:szCs w:val="28"/>
              </w:rPr>
              <w:t>)</w:t>
            </w:r>
          </w:p>
        </w:tc>
      </w:tr>
      <w:tr w:rsidR="00946DFD" w:rsidRPr="00FF6CFF" w14:paraId="0A8CB783" w14:textId="77777777" w:rsidTr="00FF6CFF">
        <w:tc>
          <w:tcPr>
            <w:tcW w:w="8268" w:type="dxa"/>
            <w:tcBorders>
              <w:bottom w:val="single" w:sz="4" w:space="0" w:color="000000"/>
            </w:tcBorders>
          </w:tcPr>
          <w:p w14:paraId="032A585E" w14:textId="77E963AE" w:rsidR="008655A2" w:rsidRPr="00FF6CFF" w:rsidRDefault="003E6F0C" w:rsidP="00414F7C">
            <w:pPr>
              <w:jc w:val="center"/>
              <w:rPr>
                <w:szCs w:val="28"/>
              </w:rPr>
            </w:pPr>
            <w:r w:rsidRPr="00FF6CFF">
              <w:rPr>
                <w:szCs w:val="28"/>
              </w:rPr>
              <w:t xml:space="preserve">Tirgus un tiešā atbalsta departamenta Tiešo maksājumu un nozaru ekonomikas nodaļas </w:t>
            </w:r>
            <w:r w:rsidR="00B44F99">
              <w:rPr>
                <w:szCs w:val="28"/>
              </w:rPr>
              <w:t>vadītāja vietniece</w:t>
            </w:r>
          </w:p>
        </w:tc>
      </w:tr>
      <w:tr w:rsidR="00946DFD" w:rsidRPr="00FF6CFF" w14:paraId="7889F340" w14:textId="77777777" w:rsidTr="00FF6CFF">
        <w:tc>
          <w:tcPr>
            <w:tcW w:w="8268" w:type="dxa"/>
            <w:tcBorders>
              <w:top w:val="single" w:sz="4" w:space="0" w:color="000000"/>
            </w:tcBorders>
          </w:tcPr>
          <w:p w14:paraId="5368DA42" w14:textId="77777777" w:rsidR="008655A2" w:rsidRPr="00FF6CFF" w:rsidRDefault="00184479" w:rsidP="00FF6CFF">
            <w:pPr>
              <w:jc w:val="center"/>
              <w:rPr>
                <w:szCs w:val="28"/>
              </w:rPr>
            </w:pPr>
            <w:r w:rsidRPr="00FF6CFF">
              <w:rPr>
                <w:szCs w:val="28"/>
              </w:rPr>
              <w:t>(</w:t>
            </w:r>
            <w:r w:rsidR="008655A2" w:rsidRPr="00FF6CFF">
              <w:rPr>
                <w:szCs w:val="28"/>
              </w:rPr>
              <w:t>amats</w:t>
            </w:r>
            <w:r w:rsidRPr="00FF6CFF">
              <w:rPr>
                <w:szCs w:val="28"/>
              </w:rPr>
              <w:t>)</w:t>
            </w:r>
          </w:p>
        </w:tc>
      </w:tr>
      <w:tr w:rsidR="00946DFD" w:rsidRPr="00FF6CFF" w14:paraId="14FB4AC2" w14:textId="77777777" w:rsidTr="00FF6CFF">
        <w:tc>
          <w:tcPr>
            <w:tcW w:w="8268" w:type="dxa"/>
            <w:tcBorders>
              <w:bottom w:val="single" w:sz="4" w:space="0" w:color="000000"/>
            </w:tcBorders>
          </w:tcPr>
          <w:p w14:paraId="5F45D4A3" w14:textId="3FC7FA41" w:rsidR="008655A2" w:rsidRPr="00FF6CFF" w:rsidRDefault="004253B0" w:rsidP="00414F7C">
            <w:pPr>
              <w:jc w:val="center"/>
              <w:rPr>
                <w:szCs w:val="28"/>
              </w:rPr>
            </w:pPr>
            <w:r w:rsidRPr="00FF6CFF">
              <w:rPr>
                <w:szCs w:val="28"/>
              </w:rPr>
              <w:t>t.: 67027</w:t>
            </w:r>
            <w:r w:rsidR="00B44F99">
              <w:rPr>
                <w:szCs w:val="28"/>
              </w:rPr>
              <w:t>237</w:t>
            </w:r>
          </w:p>
        </w:tc>
      </w:tr>
      <w:tr w:rsidR="00946DFD" w:rsidRPr="00FF6CFF" w14:paraId="61E4294D" w14:textId="77777777" w:rsidTr="00FF6CFF">
        <w:tc>
          <w:tcPr>
            <w:tcW w:w="8268" w:type="dxa"/>
            <w:tcBorders>
              <w:top w:val="single" w:sz="4" w:space="0" w:color="000000"/>
            </w:tcBorders>
          </w:tcPr>
          <w:p w14:paraId="076FAA47" w14:textId="77777777" w:rsidR="008655A2" w:rsidRPr="00FF6CFF" w:rsidRDefault="00184479" w:rsidP="00FF6CFF">
            <w:pPr>
              <w:jc w:val="center"/>
              <w:rPr>
                <w:szCs w:val="28"/>
              </w:rPr>
            </w:pPr>
            <w:r w:rsidRPr="00FF6CFF">
              <w:rPr>
                <w:szCs w:val="28"/>
              </w:rPr>
              <w:t>(</w:t>
            </w:r>
            <w:r w:rsidR="008655A2" w:rsidRPr="00FF6CFF">
              <w:rPr>
                <w:szCs w:val="28"/>
              </w:rPr>
              <w:t>tālruņa un faksa numurs</w:t>
            </w:r>
            <w:r w:rsidRPr="00FF6CFF">
              <w:rPr>
                <w:szCs w:val="28"/>
              </w:rPr>
              <w:t>)</w:t>
            </w:r>
          </w:p>
        </w:tc>
      </w:tr>
      <w:tr w:rsidR="00946DFD" w:rsidRPr="00FF6CFF" w14:paraId="7AEBD9A6" w14:textId="77777777" w:rsidTr="00FF6CFF">
        <w:tc>
          <w:tcPr>
            <w:tcW w:w="8268" w:type="dxa"/>
            <w:tcBorders>
              <w:bottom w:val="single" w:sz="4" w:space="0" w:color="000000"/>
            </w:tcBorders>
          </w:tcPr>
          <w:p w14:paraId="09116211" w14:textId="1314EF56" w:rsidR="008655A2" w:rsidRPr="00FF6CFF" w:rsidRDefault="00B44F99" w:rsidP="00414F7C">
            <w:pPr>
              <w:jc w:val="center"/>
              <w:rPr>
                <w:szCs w:val="28"/>
              </w:rPr>
            </w:pPr>
            <w:r>
              <w:rPr>
                <w:szCs w:val="28"/>
              </w:rPr>
              <w:t>Elina.Dimanta</w:t>
            </w:r>
            <w:r w:rsidR="004253B0" w:rsidRPr="00FF6CFF">
              <w:rPr>
                <w:szCs w:val="28"/>
              </w:rPr>
              <w:t>@zm.gov.lv</w:t>
            </w:r>
          </w:p>
        </w:tc>
      </w:tr>
      <w:tr w:rsidR="008655A2" w:rsidRPr="00FF6CFF" w14:paraId="1F4BBC26" w14:textId="77777777" w:rsidTr="00FF6CFF">
        <w:tc>
          <w:tcPr>
            <w:tcW w:w="8268" w:type="dxa"/>
            <w:tcBorders>
              <w:top w:val="single" w:sz="4" w:space="0" w:color="000000"/>
            </w:tcBorders>
          </w:tcPr>
          <w:p w14:paraId="4509AD57" w14:textId="77777777" w:rsidR="008655A2" w:rsidRPr="00FF6CFF" w:rsidRDefault="00184479" w:rsidP="00FF6CFF">
            <w:pPr>
              <w:jc w:val="center"/>
              <w:rPr>
                <w:szCs w:val="28"/>
              </w:rPr>
            </w:pPr>
            <w:r w:rsidRPr="00FF6CFF">
              <w:rPr>
                <w:szCs w:val="28"/>
              </w:rPr>
              <w:t>(</w:t>
            </w:r>
            <w:r w:rsidR="008655A2" w:rsidRPr="00FF6CFF">
              <w:rPr>
                <w:szCs w:val="28"/>
              </w:rPr>
              <w:t>e-pasta adrese</w:t>
            </w:r>
            <w:r w:rsidRPr="00FF6CFF">
              <w:rPr>
                <w:szCs w:val="28"/>
              </w:rPr>
              <w:t>)</w:t>
            </w:r>
          </w:p>
        </w:tc>
      </w:tr>
    </w:tbl>
    <w:p w14:paraId="377DB39B" w14:textId="464095BB" w:rsidR="007116C7" w:rsidRPr="00FF6CFF" w:rsidRDefault="007116C7" w:rsidP="00DF070B">
      <w:pPr>
        <w:pStyle w:val="naisf"/>
        <w:spacing w:before="0" w:after="0"/>
        <w:ind w:firstLine="0"/>
        <w:jc w:val="left"/>
        <w:rPr>
          <w:szCs w:val="28"/>
        </w:rPr>
      </w:pPr>
    </w:p>
    <w:sectPr w:rsidR="007116C7" w:rsidRPr="00FF6CFF" w:rsidSect="00414F7C">
      <w:headerReference w:type="even" r:id="rId7"/>
      <w:headerReference w:type="default" r:id="rId8"/>
      <w:footerReference w:type="default" r:id="rId9"/>
      <w:footerReference w:type="first" r:id="rId10"/>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67DA9" w14:textId="77777777" w:rsidR="00BA7FEC" w:rsidRDefault="00BA7FEC">
      <w:r>
        <w:separator/>
      </w:r>
    </w:p>
  </w:endnote>
  <w:endnote w:type="continuationSeparator" w:id="0">
    <w:p w14:paraId="7036337D" w14:textId="77777777" w:rsidR="00BA7FEC" w:rsidRDefault="00BA7FEC">
      <w:r>
        <w:continuationSeparator/>
      </w:r>
    </w:p>
  </w:endnote>
  <w:endnote w:type="continuationNotice" w:id="1">
    <w:p w14:paraId="5429EF3C" w14:textId="77777777" w:rsidR="00BA7FEC" w:rsidRDefault="00BA7F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E4BB9" w14:textId="1E5709D0" w:rsidR="00904616" w:rsidRPr="001408BA" w:rsidRDefault="001408BA" w:rsidP="001408BA">
    <w:pPr>
      <w:pStyle w:val="Kjene"/>
    </w:pPr>
    <w:r w:rsidRPr="001408BA">
      <w:rPr>
        <w:rFonts w:eastAsiaTheme="minorHAnsi"/>
        <w:sz w:val="20"/>
        <w:szCs w:val="20"/>
      </w:rPr>
      <w:t>ZMizz_010421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22EAF" w14:textId="141E050E" w:rsidR="00904616" w:rsidRPr="00FF6CFF" w:rsidRDefault="001408BA" w:rsidP="00925355">
    <w:pPr>
      <w:pStyle w:val="Kjene"/>
      <w:tabs>
        <w:tab w:val="clear" w:pos="4153"/>
        <w:tab w:val="clear" w:pos="8306"/>
        <w:tab w:val="left" w:pos="3963"/>
      </w:tabs>
    </w:pPr>
    <w:r w:rsidRPr="001408BA">
      <w:rPr>
        <w:rFonts w:eastAsiaTheme="minorHAnsi"/>
        <w:sz w:val="20"/>
        <w:szCs w:val="20"/>
      </w:rPr>
      <w:t>ZMizz_010421</w:t>
    </w:r>
    <w:r w:rsidR="00925355">
      <w:rPr>
        <w:rFonts w:eastAsiaTheme="minorHAns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F7AED" w14:textId="77777777" w:rsidR="00BA7FEC" w:rsidRDefault="00BA7FEC">
      <w:r>
        <w:separator/>
      </w:r>
    </w:p>
  </w:footnote>
  <w:footnote w:type="continuationSeparator" w:id="0">
    <w:p w14:paraId="04A19E4E" w14:textId="77777777" w:rsidR="00BA7FEC" w:rsidRDefault="00BA7FEC">
      <w:r>
        <w:continuationSeparator/>
      </w:r>
    </w:p>
  </w:footnote>
  <w:footnote w:type="continuationNotice" w:id="1">
    <w:p w14:paraId="67704BCD" w14:textId="77777777" w:rsidR="00BA7FEC" w:rsidRDefault="00BA7F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90E99" w14:textId="77777777" w:rsidR="00904616" w:rsidRDefault="00904616"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AE1CC56" w14:textId="77777777" w:rsidR="00904616" w:rsidRDefault="0090461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1D3C0" w14:textId="77777777" w:rsidR="00904616" w:rsidRDefault="00904616"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57673">
      <w:rPr>
        <w:rStyle w:val="Lappusesnumurs"/>
        <w:noProof/>
      </w:rPr>
      <w:t>2</w:t>
    </w:r>
    <w:r>
      <w:rPr>
        <w:rStyle w:val="Lappusesnumurs"/>
      </w:rPr>
      <w:fldChar w:fldCharType="end"/>
    </w:r>
  </w:p>
  <w:p w14:paraId="51A54038" w14:textId="77777777" w:rsidR="00904616" w:rsidRDefault="0090461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6913"/>
    <w:multiLevelType w:val="hybridMultilevel"/>
    <w:tmpl w:val="212879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3814D8"/>
    <w:multiLevelType w:val="hybridMultilevel"/>
    <w:tmpl w:val="FF54C242"/>
    <w:lvl w:ilvl="0" w:tplc="D67AA906">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CE72BB1"/>
    <w:multiLevelType w:val="hybridMultilevel"/>
    <w:tmpl w:val="1EA295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E5A4128"/>
    <w:multiLevelType w:val="hybridMultilevel"/>
    <w:tmpl w:val="7892FC50"/>
    <w:lvl w:ilvl="0" w:tplc="84ECF584">
      <w:start w:val="201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5F7406"/>
    <w:multiLevelType w:val="hybridMultilevel"/>
    <w:tmpl w:val="AC84B9F0"/>
    <w:lvl w:ilvl="0" w:tplc="33E8CF00">
      <w:start w:val="201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1F00A6"/>
    <w:multiLevelType w:val="hybridMultilevel"/>
    <w:tmpl w:val="CE46FA70"/>
    <w:lvl w:ilvl="0" w:tplc="2EB6521C">
      <w:start w:val="1"/>
      <w:numFmt w:val="decimal"/>
      <w:suff w:val="space"/>
      <w:lvlText w:val="%1."/>
      <w:lvlJc w:val="left"/>
      <w:pPr>
        <w:ind w:left="360" w:hanging="360"/>
      </w:pPr>
      <w:rPr>
        <w:rFonts w:hint="default"/>
        <w:i w:val="0"/>
        <w:strike w:val="0"/>
        <w:color w:val="auto"/>
        <w:sz w:val="28"/>
        <w:szCs w:val="28"/>
      </w:rPr>
    </w:lvl>
    <w:lvl w:ilvl="1" w:tplc="D818C294">
      <w:start w:val="1"/>
      <w:numFmt w:val="decimal"/>
      <w:lvlText w:val="%2."/>
      <w:lvlJc w:val="left"/>
      <w:pPr>
        <w:ind w:left="1080" w:hanging="360"/>
      </w:pPr>
      <w:rPr>
        <w:rFonts w:hint="default"/>
      </w:rPr>
    </w:lvl>
    <w:lvl w:ilvl="2" w:tplc="1CFA21EC">
      <w:start w:val="1"/>
      <w:numFmt w:val="lowerRoman"/>
      <w:lvlText w:val="%3."/>
      <w:lvlJc w:val="right"/>
      <w:pPr>
        <w:ind w:left="1800" w:hanging="180"/>
      </w:pPr>
    </w:lvl>
    <w:lvl w:ilvl="3" w:tplc="E78ECF3C" w:tentative="1">
      <w:start w:val="1"/>
      <w:numFmt w:val="decimal"/>
      <w:lvlText w:val="%4."/>
      <w:lvlJc w:val="left"/>
      <w:pPr>
        <w:ind w:left="2520" w:hanging="360"/>
      </w:pPr>
    </w:lvl>
    <w:lvl w:ilvl="4" w:tplc="C766229C" w:tentative="1">
      <w:start w:val="1"/>
      <w:numFmt w:val="lowerLetter"/>
      <w:lvlText w:val="%5."/>
      <w:lvlJc w:val="left"/>
      <w:pPr>
        <w:ind w:left="3240" w:hanging="360"/>
      </w:pPr>
    </w:lvl>
    <w:lvl w:ilvl="5" w:tplc="47608FC2" w:tentative="1">
      <w:start w:val="1"/>
      <w:numFmt w:val="lowerRoman"/>
      <w:lvlText w:val="%6."/>
      <w:lvlJc w:val="right"/>
      <w:pPr>
        <w:ind w:left="3960" w:hanging="180"/>
      </w:pPr>
    </w:lvl>
    <w:lvl w:ilvl="6" w:tplc="72CC937A" w:tentative="1">
      <w:start w:val="1"/>
      <w:numFmt w:val="decimal"/>
      <w:lvlText w:val="%7."/>
      <w:lvlJc w:val="left"/>
      <w:pPr>
        <w:ind w:left="4680" w:hanging="360"/>
      </w:pPr>
    </w:lvl>
    <w:lvl w:ilvl="7" w:tplc="12AED94C" w:tentative="1">
      <w:start w:val="1"/>
      <w:numFmt w:val="lowerLetter"/>
      <w:lvlText w:val="%8."/>
      <w:lvlJc w:val="left"/>
      <w:pPr>
        <w:ind w:left="5400" w:hanging="360"/>
      </w:pPr>
    </w:lvl>
    <w:lvl w:ilvl="8" w:tplc="BE487FE2" w:tentative="1">
      <w:start w:val="1"/>
      <w:numFmt w:val="lowerRoman"/>
      <w:lvlText w:val="%9."/>
      <w:lvlJc w:val="right"/>
      <w:pPr>
        <w:ind w:left="6120" w:hanging="180"/>
      </w:pPr>
    </w:lvl>
  </w:abstractNum>
  <w:abstractNum w:abstractNumId="6" w15:restartNumberingAfterBreak="0">
    <w:nsid w:val="1B21721F"/>
    <w:multiLevelType w:val="hybridMultilevel"/>
    <w:tmpl w:val="1EA295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FE265F6"/>
    <w:multiLevelType w:val="hybridMultilevel"/>
    <w:tmpl w:val="C8EED4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B8359E"/>
    <w:multiLevelType w:val="hybridMultilevel"/>
    <w:tmpl w:val="BB2AE78A"/>
    <w:lvl w:ilvl="0" w:tplc="120E199E">
      <w:start w:val="1"/>
      <w:numFmt w:val="decimal"/>
      <w:lvlText w:val="%1."/>
      <w:lvlJc w:val="left"/>
      <w:pPr>
        <w:ind w:left="1287" w:hanging="360"/>
      </w:pPr>
    </w:lvl>
    <w:lvl w:ilvl="1" w:tplc="01E61D4C" w:tentative="1">
      <w:start w:val="1"/>
      <w:numFmt w:val="lowerLetter"/>
      <w:lvlText w:val="%2."/>
      <w:lvlJc w:val="left"/>
      <w:pPr>
        <w:ind w:left="2007" w:hanging="360"/>
      </w:pPr>
    </w:lvl>
    <w:lvl w:ilvl="2" w:tplc="74E05800" w:tentative="1">
      <w:start w:val="1"/>
      <w:numFmt w:val="lowerRoman"/>
      <w:lvlText w:val="%3."/>
      <w:lvlJc w:val="right"/>
      <w:pPr>
        <w:ind w:left="2727" w:hanging="180"/>
      </w:pPr>
    </w:lvl>
    <w:lvl w:ilvl="3" w:tplc="74F69016" w:tentative="1">
      <w:start w:val="1"/>
      <w:numFmt w:val="decimal"/>
      <w:lvlText w:val="%4."/>
      <w:lvlJc w:val="left"/>
      <w:pPr>
        <w:ind w:left="3447" w:hanging="360"/>
      </w:pPr>
    </w:lvl>
    <w:lvl w:ilvl="4" w:tplc="2F706232" w:tentative="1">
      <w:start w:val="1"/>
      <w:numFmt w:val="lowerLetter"/>
      <w:lvlText w:val="%5."/>
      <w:lvlJc w:val="left"/>
      <w:pPr>
        <w:ind w:left="4167" w:hanging="360"/>
      </w:pPr>
    </w:lvl>
    <w:lvl w:ilvl="5" w:tplc="86CEF494" w:tentative="1">
      <w:start w:val="1"/>
      <w:numFmt w:val="lowerRoman"/>
      <w:lvlText w:val="%6."/>
      <w:lvlJc w:val="right"/>
      <w:pPr>
        <w:ind w:left="4887" w:hanging="180"/>
      </w:pPr>
    </w:lvl>
    <w:lvl w:ilvl="6" w:tplc="6EE4BC44" w:tentative="1">
      <w:start w:val="1"/>
      <w:numFmt w:val="decimal"/>
      <w:lvlText w:val="%7."/>
      <w:lvlJc w:val="left"/>
      <w:pPr>
        <w:ind w:left="5607" w:hanging="360"/>
      </w:pPr>
    </w:lvl>
    <w:lvl w:ilvl="7" w:tplc="135AEAC8" w:tentative="1">
      <w:start w:val="1"/>
      <w:numFmt w:val="lowerLetter"/>
      <w:lvlText w:val="%8."/>
      <w:lvlJc w:val="left"/>
      <w:pPr>
        <w:ind w:left="6327" w:hanging="360"/>
      </w:pPr>
    </w:lvl>
    <w:lvl w:ilvl="8" w:tplc="8286ECCC" w:tentative="1">
      <w:start w:val="1"/>
      <w:numFmt w:val="lowerRoman"/>
      <w:lvlText w:val="%9."/>
      <w:lvlJc w:val="right"/>
      <w:pPr>
        <w:ind w:left="7047" w:hanging="180"/>
      </w:pPr>
    </w:lvl>
  </w:abstractNum>
  <w:abstractNum w:abstractNumId="9" w15:restartNumberingAfterBreak="0">
    <w:nsid w:val="32B744C3"/>
    <w:multiLevelType w:val="hybridMultilevel"/>
    <w:tmpl w:val="7DFA40CE"/>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0" w15:restartNumberingAfterBreak="0">
    <w:nsid w:val="34D17C9D"/>
    <w:multiLevelType w:val="hybridMultilevel"/>
    <w:tmpl w:val="E13C54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BEA2FD2"/>
    <w:multiLevelType w:val="hybridMultilevel"/>
    <w:tmpl w:val="1EA295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1D6695E"/>
    <w:multiLevelType w:val="hybridMultilevel"/>
    <w:tmpl w:val="05A4B838"/>
    <w:lvl w:ilvl="0" w:tplc="0426000F">
      <w:start w:val="1"/>
      <w:numFmt w:val="decimal"/>
      <w:lvlText w:val="%1."/>
      <w:lvlJc w:val="left"/>
      <w:pPr>
        <w:ind w:left="785"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1">
    <w:nsid w:val="465A1F44"/>
    <w:multiLevelType w:val="hybridMultilevel"/>
    <w:tmpl w:val="5BC04084"/>
    <w:lvl w:ilvl="0" w:tplc="634831F4">
      <w:start w:val="1"/>
      <w:numFmt w:val="decimal"/>
      <w:lvlText w:val="%1."/>
      <w:lvlJc w:val="left"/>
      <w:pPr>
        <w:ind w:left="927" w:hanging="360"/>
      </w:pPr>
      <w:rPr>
        <w:rFonts w:hint="default"/>
      </w:rPr>
    </w:lvl>
    <w:lvl w:ilvl="1" w:tplc="E98C2E8C" w:tentative="1">
      <w:start w:val="1"/>
      <w:numFmt w:val="lowerLetter"/>
      <w:lvlText w:val="%2."/>
      <w:lvlJc w:val="left"/>
      <w:pPr>
        <w:ind w:left="1647" w:hanging="360"/>
      </w:pPr>
    </w:lvl>
    <w:lvl w:ilvl="2" w:tplc="34B68116" w:tentative="1">
      <w:start w:val="1"/>
      <w:numFmt w:val="lowerRoman"/>
      <w:lvlText w:val="%3."/>
      <w:lvlJc w:val="right"/>
      <w:pPr>
        <w:ind w:left="2367" w:hanging="180"/>
      </w:pPr>
    </w:lvl>
    <w:lvl w:ilvl="3" w:tplc="C05E6F00" w:tentative="1">
      <w:start w:val="1"/>
      <w:numFmt w:val="decimal"/>
      <w:lvlText w:val="%4."/>
      <w:lvlJc w:val="left"/>
      <w:pPr>
        <w:ind w:left="3087" w:hanging="360"/>
      </w:pPr>
    </w:lvl>
    <w:lvl w:ilvl="4" w:tplc="EACE9A0C" w:tentative="1">
      <w:start w:val="1"/>
      <w:numFmt w:val="lowerLetter"/>
      <w:lvlText w:val="%5."/>
      <w:lvlJc w:val="left"/>
      <w:pPr>
        <w:ind w:left="3807" w:hanging="360"/>
      </w:pPr>
    </w:lvl>
    <w:lvl w:ilvl="5" w:tplc="5D40F488" w:tentative="1">
      <w:start w:val="1"/>
      <w:numFmt w:val="lowerRoman"/>
      <w:lvlText w:val="%6."/>
      <w:lvlJc w:val="right"/>
      <w:pPr>
        <w:ind w:left="4527" w:hanging="180"/>
      </w:pPr>
    </w:lvl>
    <w:lvl w:ilvl="6" w:tplc="9906EBA0" w:tentative="1">
      <w:start w:val="1"/>
      <w:numFmt w:val="decimal"/>
      <w:lvlText w:val="%7."/>
      <w:lvlJc w:val="left"/>
      <w:pPr>
        <w:ind w:left="5247" w:hanging="360"/>
      </w:pPr>
    </w:lvl>
    <w:lvl w:ilvl="7" w:tplc="F99A1DEE" w:tentative="1">
      <w:start w:val="1"/>
      <w:numFmt w:val="lowerLetter"/>
      <w:lvlText w:val="%8."/>
      <w:lvlJc w:val="left"/>
      <w:pPr>
        <w:ind w:left="5967" w:hanging="360"/>
      </w:pPr>
    </w:lvl>
    <w:lvl w:ilvl="8" w:tplc="9F5AAABA" w:tentative="1">
      <w:start w:val="1"/>
      <w:numFmt w:val="lowerRoman"/>
      <w:lvlText w:val="%9."/>
      <w:lvlJc w:val="right"/>
      <w:pPr>
        <w:ind w:left="6687" w:hanging="180"/>
      </w:pPr>
    </w:lvl>
  </w:abstractNum>
  <w:abstractNum w:abstractNumId="14" w15:restartNumberingAfterBreak="0">
    <w:nsid w:val="4B1E15CE"/>
    <w:multiLevelType w:val="hybridMultilevel"/>
    <w:tmpl w:val="1EA295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4B4E2564"/>
    <w:multiLevelType w:val="hybridMultilevel"/>
    <w:tmpl w:val="48D8EFA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A622386"/>
    <w:multiLevelType w:val="hybridMultilevel"/>
    <w:tmpl w:val="AD96EBD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21F0115"/>
    <w:multiLevelType w:val="hybridMultilevel"/>
    <w:tmpl w:val="832EDA2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685541E"/>
    <w:multiLevelType w:val="hybridMultilevel"/>
    <w:tmpl w:val="48D8EFA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68E3110E"/>
    <w:multiLevelType w:val="hybridMultilevel"/>
    <w:tmpl w:val="58A41A42"/>
    <w:lvl w:ilvl="0" w:tplc="3AB6AB2C">
      <w:start w:val="3"/>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706646D5"/>
    <w:multiLevelType w:val="hybridMultilevel"/>
    <w:tmpl w:val="E654DA96"/>
    <w:lvl w:ilvl="0" w:tplc="3FA639FC">
      <w:start w:val="1"/>
      <w:numFmt w:val="decimal"/>
      <w:lvlText w:val="%1)"/>
      <w:lvlJc w:val="left"/>
      <w:pPr>
        <w:ind w:left="37" w:hanging="37"/>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1DB32AC"/>
    <w:multiLevelType w:val="hybridMultilevel"/>
    <w:tmpl w:val="EA566F54"/>
    <w:lvl w:ilvl="0" w:tplc="8340D6E6">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8F10253"/>
    <w:multiLevelType w:val="hybridMultilevel"/>
    <w:tmpl w:val="85FC72E0"/>
    <w:lvl w:ilvl="0" w:tplc="0426000F">
      <w:start w:val="1"/>
      <w:numFmt w:val="decimal"/>
      <w:lvlText w:val="%1."/>
      <w:lvlJc w:val="left"/>
      <w:pPr>
        <w:ind w:left="1070" w:hanging="360"/>
      </w:pPr>
      <w:rPr>
        <w:rFonts w:hint="default"/>
        <w:b w:val="0"/>
        <w:i w:val="0"/>
        <w:sz w:val="24"/>
        <w:szCs w:val="24"/>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A305B7E"/>
    <w:multiLevelType w:val="hybridMultilevel"/>
    <w:tmpl w:val="96E8B624"/>
    <w:lvl w:ilvl="0" w:tplc="76367E10">
      <w:start w:val="2017"/>
      <w:numFmt w:val="bullet"/>
      <w:lvlText w:val="-"/>
      <w:lvlJc w:val="left"/>
      <w:pPr>
        <w:ind w:left="372" w:hanging="360"/>
      </w:pPr>
      <w:rPr>
        <w:rFonts w:ascii="Times New Roman" w:eastAsia="Times New Roman" w:hAnsi="Times New Roman" w:cs="Times New Roman" w:hint="default"/>
      </w:rPr>
    </w:lvl>
    <w:lvl w:ilvl="1" w:tplc="04260003" w:tentative="1">
      <w:start w:val="1"/>
      <w:numFmt w:val="bullet"/>
      <w:lvlText w:val="o"/>
      <w:lvlJc w:val="left"/>
      <w:pPr>
        <w:ind w:left="1092" w:hanging="360"/>
      </w:pPr>
      <w:rPr>
        <w:rFonts w:ascii="Courier New" w:hAnsi="Courier New" w:cs="Courier New" w:hint="default"/>
      </w:rPr>
    </w:lvl>
    <w:lvl w:ilvl="2" w:tplc="04260005" w:tentative="1">
      <w:start w:val="1"/>
      <w:numFmt w:val="bullet"/>
      <w:lvlText w:val=""/>
      <w:lvlJc w:val="left"/>
      <w:pPr>
        <w:ind w:left="1812" w:hanging="360"/>
      </w:pPr>
      <w:rPr>
        <w:rFonts w:ascii="Wingdings" w:hAnsi="Wingdings" w:hint="default"/>
      </w:rPr>
    </w:lvl>
    <w:lvl w:ilvl="3" w:tplc="04260001" w:tentative="1">
      <w:start w:val="1"/>
      <w:numFmt w:val="bullet"/>
      <w:lvlText w:val=""/>
      <w:lvlJc w:val="left"/>
      <w:pPr>
        <w:ind w:left="2532" w:hanging="360"/>
      </w:pPr>
      <w:rPr>
        <w:rFonts w:ascii="Symbol" w:hAnsi="Symbol" w:hint="default"/>
      </w:rPr>
    </w:lvl>
    <w:lvl w:ilvl="4" w:tplc="04260003" w:tentative="1">
      <w:start w:val="1"/>
      <w:numFmt w:val="bullet"/>
      <w:lvlText w:val="o"/>
      <w:lvlJc w:val="left"/>
      <w:pPr>
        <w:ind w:left="3252" w:hanging="360"/>
      </w:pPr>
      <w:rPr>
        <w:rFonts w:ascii="Courier New" w:hAnsi="Courier New" w:cs="Courier New" w:hint="default"/>
      </w:rPr>
    </w:lvl>
    <w:lvl w:ilvl="5" w:tplc="04260005" w:tentative="1">
      <w:start w:val="1"/>
      <w:numFmt w:val="bullet"/>
      <w:lvlText w:val=""/>
      <w:lvlJc w:val="left"/>
      <w:pPr>
        <w:ind w:left="3972" w:hanging="360"/>
      </w:pPr>
      <w:rPr>
        <w:rFonts w:ascii="Wingdings" w:hAnsi="Wingdings" w:hint="default"/>
      </w:rPr>
    </w:lvl>
    <w:lvl w:ilvl="6" w:tplc="04260001" w:tentative="1">
      <w:start w:val="1"/>
      <w:numFmt w:val="bullet"/>
      <w:lvlText w:val=""/>
      <w:lvlJc w:val="left"/>
      <w:pPr>
        <w:ind w:left="4692" w:hanging="360"/>
      </w:pPr>
      <w:rPr>
        <w:rFonts w:ascii="Symbol" w:hAnsi="Symbol" w:hint="default"/>
      </w:rPr>
    </w:lvl>
    <w:lvl w:ilvl="7" w:tplc="04260003" w:tentative="1">
      <w:start w:val="1"/>
      <w:numFmt w:val="bullet"/>
      <w:lvlText w:val="o"/>
      <w:lvlJc w:val="left"/>
      <w:pPr>
        <w:ind w:left="5412" w:hanging="360"/>
      </w:pPr>
      <w:rPr>
        <w:rFonts w:ascii="Courier New" w:hAnsi="Courier New" w:cs="Courier New" w:hint="default"/>
      </w:rPr>
    </w:lvl>
    <w:lvl w:ilvl="8" w:tplc="04260005" w:tentative="1">
      <w:start w:val="1"/>
      <w:numFmt w:val="bullet"/>
      <w:lvlText w:val=""/>
      <w:lvlJc w:val="left"/>
      <w:pPr>
        <w:ind w:left="6132" w:hanging="360"/>
      </w:pPr>
      <w:rPr>
        <w:rFonts w:ascii="Wingdings" w:hAnsi="Wingdings" w:hint="default"/>
      </w:rPr>
    </w:lvl>
  </w:abstractNum>
  <w:abstractNum w:abstractNumId="27"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8"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7"/>
  </w:num>
  <w:num w:numId="3">
    <w:abstractNumId w:val="20"/>
  </w:num>
  <w:num w:numId="4">
    <w:abstractNumId w:val="17"/>
  </w:num>
  <w:num w:numId="5">
    <w:abstractNumId w:val="16"/>
  </w:num>
  <w:num w:numId="6">
    <w:abstractNumId w:val="15"/>
  </w:num>
  <w:num w:numId="7">
    <w:abstractNumId w:val="21"/>
  </w:num>
  <w:num w:numId="8">
    <w:abstractNumId w:val="9"/>
  </w:num>
  <w:num w:numId="9">
    <w:abstractNumId w:val="12"/>
  </w:num>
  <w:num w:numId="10">
    <w:abstractNumId w:val="2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14"/>
  </w:num>
  <w:num w:numId="15">
    <w:abstractNumId w:val="6"/>
  </w:num>
  <w:num w:numId="16">
    <w:abstractNumId w:val="22"/>
  </w:num>
  <w:num w:numId="17">
    <w:abstractNumId w:val="26"/>
  </w:num>
  <w:num w:numId="18">
    <w:abstractNumId w:val="3"/>
  </w:num>
  <w:num w:numId="19">
    <w:abstractNumId w:val="4"/>
  </w:num>
  <w:num w:numId="20">
    <w:abstractNumId w:val="24"/>
  </w:num>
  <w:num w:numId="21">
    <w:abstractNumId w:val="8"/>
  </w:num>
  <w:num w:numId="22">
    <w:abstractNumId w:val="23"/>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0"/>
  </w:num>
  <w:num w:numId="26">
    <w:abstractNumId w:val="0"/>
  </w:num>
  <w:num w:numId="27">
    <w:abstractNumId w:val="7"/>
  </w:num>
  <w:num w:numId="28">
    <w:abstractNumId w:val="18"/>
  </w:num>
  <w:num w:numId="29">
    <w:abstractNumId w:val="19"/>
  </w:num>
  <w:num w:numId="30">
    <w:abstractNumId w:val="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1A0"/>
    <w:rsid w:val="0001554C"/>
    <w:rsid w:val="00015B94"/>
    <w:rsid w:val="00015C84"/>
    <w:rsid w:val="00015DE5"/>
    <w:rsid w:val="000172E2"/>
    <w:rsid w:val="00017449"/>
    <w:rsid w:val="00020249"/>
    <w:rsid w:val="00021DD2"/>
    <w:rsid w:val="00022338"/>
    <w:rsid w:val="0002296A"/>
    <w:rsid w:val="00022B0F"/>
    <w:rsid w:val="00022B9A"/>
    <w:rsid w:val="00023DAB"/>
    <w:rsid w:val="00023E2C"/>
    <w:rsid w:val="00023FD6"/>
    <w:rsid w:val="0002416A"/>
    <w:rsid w:val="00024CCD"/>
    <w:rsid w:val="00024D20"/>
    <w:rsid w:val="000253DB"/>
    <w:rsid w:val="00026000"/>
    <w:rsid w:val="000278E7"/>
    <w:rsid w:val="00027A63"/>
    <w:rsid w:val="00027F9D"/>
    <w:rsid w:val="000307B5"/>
    <w:rsid w:val="000310C6"/>
    <w:rsid w:val="00031F50"/>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3E0"/>
    <w:rsid w:val="00053706"/>
    <w:rsid w:val="00053E04"/>
    <w:rsid w:val="00055D05"/>
    <w:rsid w:val="000579E6"/>
    <w:rsid w:val="00060E03"/>
    <w:rsid w:val="000641CE"/>
    <w:rsid w:val="00064618"/>
    <w:rsid w:val="00064682"/>
    <w:rsid w:val="00065271"/>
    <w:rsid w:val="00066176"/>
    <w:rsid w:val="0006618D"/>
    <w:rsid w:val="00066885"/>
    <w:rsid w:val="0006694E"/>
    <w:rsid w:val="00066A37"/>
    <w:rsid w:val="00066F05"/>
    <w:rsid w:val="0006731D"/>
    <w:rsid w:val="00072628"/>
    <w:rsid w:val="000728ED"/>
    <w:rsid w:val="000733F5"/>
    <w:rsid w:val="000733FF"/>
    <w:rsid w:val="00073865"/>
    <w:rsid w:val="0007577A"/>
    <w:rsid w:val="000775D0"/>
    <w:rsid w:val="0008196F"/>
    <w:rsid w:val="00081B0F"/>
    <w:rsid w:val="00081CE6"/>
    <w:rsid w:val="0008283D"/>
    <w:rsid w:val="00083090"/>
    <w:rsid w:val="00083214"/>
    <w:rsid w:val="00083B8F"/>
    <w:rsid w:val="00084B11"/>
    <w:rsid w:val="00085322"/>
    <w:rsid w:val="0008656F"/>
    <w:rsid w:val="00086937"/>
    <w:rsid w:val="00086AB9"/>
    <w:rsid w:val="00086BCE"/>
    <w:rsid w:val="00086F36"/>
    <w:rsid w:val="00090168"/>
    <w:rsid w:val="00090C76"/>
    <w:rsid w:val="00091033"/>
    <w:rsid w:val="000918D4"/>
    <w:rsid w:val="00091F10"/>
    <w:rsid w:val="0009302B"/>
    <w:rsid w:val="000930D7"/>
    <w:rsid w:val="00093EC2"/>
    <w:rsid w:val="000958A2"/>
    <w:rsid w:val="000965E7"/>
    <w:rsid w:val="000A0041"/>
    <w:rsid w:val="000A06FC"/>
    <w:rsid w:val="000A1A02"/>
    <w:rsid w:val="000A36D0"/>
    <w:rsid w:val="000A4035"/>
    <w:rsid w:val="000A483A"/>
    <w:rsid w:val="000A55D2"/>
    <w:rsid w:val="000A64D3"/>
    <w:rsid w:val="000A77B9"/>
    <w:rsid w:val="000A7EA7"/>
    <w:rsid w:val="000B0403"/>
    <w:rsid w:val="000B057B"/>
    <w:rsid w:val="000B06E7"/>
    <w:rsid w:val="000B0C41"/>
    <w:rsid w:val="000B0C94"/>
    <w:rsid w:val="000B15E5"/>
    <w:rsid w:val="000B2382"/>
    <w:rsid w:val="000B3171"/>
    <w:rsid w:val="000B34A5"/>
    <w:rsid w:val="000B4746"/>
    <w:rsid w:val="000B7966"/>
    <w:rsid w:val="000B7CB1"/>
    <w:rsid w:val="000C0ACF"/>
    <w:rsid w:val="000C0AE6"/>
    <w:rsid w:val="000C0D0D"/>
    <w:rsid w:val="000C1450"/>
    <w:rsid w:val="000C2555"/>
    <w:rsid w:val="000C3545"/>
    <w:rsid w:val="000C498A"/>
    <w:rsid w:val="000C4C16"/>
    <w:rsid w:val="000C50E8"/>
    <w:rsid w:val="000C56FC"/>
    <w:rsid w:val="000C5A5C"/>
    <w:rsid w:val="000C7907"/>
    <w:rsid w:val="000C7A11"/>
    <w:rsid w:val="000C7F5E"/>
    <w:rsid w:val="000D00AC"/>
    <w:rsid w:val="000D0AED"/>
    <w:rsid w:val="000D0CF7"/>
    <w:rsid w:val="000D202F"/>
    <w:rsid w:val="000D320D"/>
    <w:rsid w:val="000D3602"/>
    <w:rsid w:val="000D4D89"/>
    <w:rsid w:val="000D6BBD"/>
    <w:rsid w:val="000D7751"/>
    <w:rsid w:val="000D7C23"/>
    <w:rsid w:val="000E0A16"/>
    <w:rsid w:val="000E1BFA"/>
    <w:rsid w:val="000E1C54"/>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0E1"/>
    <w:rsid w:val="001012E3"/>
    <w:rsid w:val="00101EEB"/>
    <w:rsid w:val="0010212A"/>
    <w:rsid w:val="0010375A"/>
    <w:rsid w:val="001038ED"/>
    <w:rsid w:val="001042B0"/>
    <w:rsid w:val="0010503F"/>
    <w:rsid w:val="00106F4F"/>
    <w:rsid w:val="001071D3"/>
    <w:rsid w:val="001075A8"/>
    <w:rsid w:val="00110259"/>
    <w:rsid w:val="00110991"/>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6A56"/>
    <w:rsid w:val="00137403"/>
    <w:rsid w:val="00140706"/>
    <w:rsid w:val="001408BA"/>
    <w:rsid w:val="0014122A"/>
    <w:rsid w:val="00141E85"/>
    <w:rsid w:val="0014319C"/>
    <w:rsid w:val="001436B3"/>
    <w:rsid w:val="00143976"/>
    <w:rsid w:val="00143AD9"/>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941"/>
    <w:rsid w:val="00170DF2"/>
    <w:rsid w:val="00174841"/>
    <w:rsid w:val="00175596"/>
    <w:rsid w:val="001761FD"/>
    <w:rsid w:val="00177D61"/>
    <w:rsid w:val="001800A5"/>
    <w:rsid w:val="00180125"/>
    <w:rsid w:val="001808CA"/>
    <w:rsid w:val="00180923"/>
    <w:rsid w:val="00180CE5"/>
    <w:rsid w:val="00181BAA"/>
    <w:rsid w:val="00181D2D"/>
    <w:rsid w:val="0018210A"/>
    <w:rsid w:val="00182DE0"/>
    <w:rsid w:val="0018386C"/>
    <w:rsid w:val="00184479"/>
    <w:rsid w:val="0018472C"/>
    <w:rsid w:val="00184838"/>
    <w:rsid w:val="00184AF9"/>
    <w:rsid w:val="00185755"/>
    <w:rsid w:val="00186256"/>
    <w:rsid w:val="00187398"/>
    <w:rsid w:val="00187F73"/>
    <w:rsid w:val="00187FB0"/>
    <w:rsid w:val="001902E9"/>
    <w:rsid w:val="00190327"/>
    <w:rsid w:val="00190A0A"/>
    <w:rsid w:val="001926F2"/>
    <w:rsid w:val="00193BCE"/>
    <w:rsid w:val="00194B87"/>
    <w:rsid w:val="001953BE"/>
    <w:rsid w:val="0019569A"/>
    <w:rsid w:val="00195962"/>
    <w:rsid w:val="00197533"/>
    <w:rsid w:val="001977E7"/>
    <w:rsid w:val="00197966"/>
    <w:rsid w:val="00197CCA"/>
    <w:rsid w:val="001A0D8A"/>
    <w:rsid w:val="001A192D"/>
    <w:rsid w:val="001A7C72"/>
    <w:rsid w:val="001A7E95"/>
    <w:rsid w:val="001B084B"/>
    <w:rsid w:val="001B0CEC"/>
    <w:rsid w:val="001B0FFC"/>
    <w:rsid w:val="001B1CF2"/>
    <w:rsid w:val="001B3F8D"/>
    <w:rsid w:val="001B4388"/>
    <w:rsid w:val="001B463E"/>
    <w:rsid w:val="001B49E0"/>
    <w:rsid w:val="001B5377"/>
    <w:rsid w:val="001B544C"/>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1FF0"/>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505D"/>
    <w:rsid w:val="001E51AF"/>
    <w:rsid w:val="001E774F"/>
    <w:rsid w:val="001E7C1D"/>
    <w:rsid w:val="001F073F"/>
    <w:rsid w:val="001F3009"/>
    <w:rsid w:val="001F3358"/>
    <w:rsid w:val="001F35CB"/>
    <w:rsid w:val="001F390F"/>
    <w:rsid w:val="001F41F3"/>
    <w:rsid w:val="001F5CD1"/>
    <w:rsid w:val="001F7257"/>
    <w:rsid w:val="001F7739"/>
    <w:rsid w:val="0020011B"/>
    <w:rsid w:val="0020113D"/>
    <w:rsid w:val="0020187E"/>
    <w:rsid w:val="00201DC6"/>
    <w:rsid w:val="00202375"/>
    <w:rsid w:val="002025EA"/>
    <w:rsid w:val="002027DD"/>
    <w:rsid w:val="00202884"/>
    <w:rsid w:val="00202E44"/>
    <w:rsid w:val="00203556"/>
    <w:rsid w:val="0020373C"/>
    <w:rsid w:val="00204D0F"/>
    <w:rsid w:val="00204DB6"/>
    <w:rsid w:val="002056ED"/>
    <w:rsid w:val="00205C3A"/>
    <w:rsid w:val="002101F1"/>
    <w:rsid w:val="00211793"/>
    <w:rsid w:val="00211801"/>
    <w:rsid w:val="00211C11"/>
    <w:rsid w:val="00212345"/>
    <w:rsid w:val="00214809"/>
    <w:rsid w:val="002149A1"/>
    <w:rsid w:val="00214E7A"/>
    <w:rsid w:val="00215BFE"/>
    <w:rsid w:val="00215C44"/>
    <w:rsid w:val="00216E73"/>
    <w:rsid w:val="0021774C"/>
    <w:rsid w:val="00217A5D"/>
    <w:rsid w:val="00217EE7"/>
    <w:rsid w:val="00217FF6"/>
    <w:rsid w:val="00220ADD"/>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1EC8"/>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7723A"/>
    <w:rsid w:val="002815D0"/>
    <w:rsid w:val="002820A7"/>
    <w:rsid w:val="00283B82"/>
    <w:rsid w:val="00283E13"/>
    <w:rsid w:val="00285E44"/>
    <w:rsid w:val="00286478"/>
    <w:rsid w:val="00287EDD"/>
    <w:rsid w:val="0029141B"/>
    <w:rsid w:val="002927D3"/>
    <w:rsid w:val="00294BDE"/>
    <w:rsid w:val="00295DB6"/>
    <w:rsid w:val="0029788B"/>
    <w:rsid w:val="00297D1B"/>
    <w:rsid w:val="00297F4D"/>
    <w:rsid w:val="002A0226"/>
    <w:rsid w:val="002A0661"/>
    <w:rsid w:val="002A1CF2"/>
    <w:rsid w:val="002A21B3"/>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23B"/>
    <w:rsid w:val="002B4BAE"/>
    <w:rsid w:val="002B538B"/>
    <w:rsid w:val="002B581B"/>
    <w:rsid w:val="002B677B"/>
    <w:rsid w:val="002C2892"/>
    <w:rsid w:val="002C58AB"/>
    <w:rsid w:val="002C6D84"/>
    <w:rsid w:val="002C7C84"/>
    <w:rsid w:val="002C7D21"/>
    <w:rsid w:val="002D1564"/>
    <w:rsid w:val="002D1CA4"/>
    <w:rsid w:val="002D2C09"/>
    <w:rsid w:val="002D2C45"/>
    <w:rsid w:val="002D3752"/>
    <w:rsid w:val="002D4969"/>
    <w:rsid w:val="002D4EE1"/>
    <w:rsid w:val="002D4F49"/>
    <w:rsid w:val="002D52DB"/>
    <w:rsid w:val="002D778E"/>
    <w:rsid w:val="002E04D7"/>
    <w:rsid w:val="002E06DD"/>
    <w:rsid w:val="002E171A"/>
    <w:rsid w:val="002E20AA"/>
    <w:rsid w:val="002E2A24"/>
    <w:rsid w:val="002E3D66"/>
    <w:rsid w:val="002E3F11"/>
    <w:rsid w:val="002E4B11"/>
    <w:rsid w:val="002E4F70"/>
    <w:rsid w:val="002E5886"/>
    <w:rsid w:val="002E5AD3"/>
    <w:rsid w:val="002E635D"/>
    <w:rsid w:val="002E64F8"/>
    <w:rsid w:val="002E6603"/>
    <w:rsid w:val="002E7562"/>
    <w:rsid w:val="002F071F"/>
    <w:rsid w:val="002F16D5"/>
    <w:rsid w:val="002F1A90"/>
    <w:rsid w:val="002F1C2F"/>
    <w:rsid w:val="002F337A"/>
    <w:rsid w:val="002F3D1C"/>
    <w:rsid w:val="002F4EA1"/>
    <w:rsid w:val="002F52DE"/>
    <w:rsid w:val="002F55C1"/>
    <w:rsid w:val="002F68FF"/>
    <w:rsid w:val="002F797A"/>
    <w:rsid w:val="00300483"/>
    <w:rsid w:val="00301C91"/>
    <w:rsid w:val="003031A2"/>
    <w:rsid w:val="00303F2B"/>
    <w:rsid w:val="003044F7"/>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0A8"/>
    <w:rsid w:val="0031449F"/>
    <w:rsid w:val="003145A5"/>
    <w:rsid w:val="003148B9"/>
    <w:rsid w:val="00314A2E"/>
    <w:rsid w:val="00315266"/>
    <w:rsid w:val="0031693B"/>
    <w:rsid w:val="003169CE"/>
    <w:rsid w:val="00316F0A"/>
    <w:rsid w:val="00317DC7"/>
    <w:rsid w:val="00317E5D"/>
    <w:rsid w:val="003200F9"/>
    <w:rsid w:val="00320F38"/>
    <w:rsid w:val="00321183"/>
    <w:rsid w:val="00321694"/>
    <w:rsid w:val="00321D43"/>
    <w:rsid w:val="00321F0A"/>
    <w:rsid w:val="003223CE"/>
    <w:rsid w:val="00322515"/>
    <w:rsid w:val="00322A2D"/>
    <w:rsid w:val="00322E80"/>
    <w:rsid w:val="00324799"/>
    <w:rsid w:val="00324D5B"/>
    <w:rsid w:val="00325045"/>
    <w:rsid w:val="00325D91"/>
    <w:rsid w:val="003267B4"/>
    <w:rsid w:val="00326ABD"/>
    <w:rsid w:val="00330D51"/>
    <w:rsid w:val="00331193"/>
    <w:rsid w:val="00332DD5"/>
    <w:rsid w:val="003333D4"/>
    <w:rsid w:val="00334951"/>
    <w:rsid w:val="00335160"/>
    <w:rsid w:val="00336411"/>
    <w:rsid w:val="0033678D"/>
    <w:rsid w:val="00336E55"/>
    <w:rsid w:val="0033720D"/>
    <w:rsid w:val="003373E8"/>
    <w:rsid w:val="003428D6"/>
    <w:rsid w:val="003443DD"/>
    <w:rsid w:val="00344D5A"/>
    <w:rsid w:val="003465BA"/>
    <w:rsid w:val="00346EB6"/>
    <w:rsid w:val="00347EDB"/>
    <w:rsid w:val="00350797"/>
    <w:rsid w:val="00351A85"/>
    <w:rsid w:val="003522E8"/>
    <w:rsid w:val="0035257F"/>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5F52"/>
    <w:rsid w:val="00377353"/>
    <w:rsid w:val="0037736B"/>
    <w:rsid w:val="003801E3"/>
    <w:rsid w:val="00381F57"/>
    <w:rsid w:val="0038216E"/>
    <w:rsid w:val="003822E5"/>
    <w:rsid w:val="003830B8"/>
    <w:rsid w:val="00383262"/>
    <w:rsid w:val="00390264"/>
    <w:rsid w:val="003A0054"/>
    <w:rsid w:val="003A0A50"/>
    <w:rsid w:val="003A157A"/>
    <w:rsid w:val="003A283F"/>
    <w:rsid w:val="003A2A16"/>
    <w:rsid w:val="003A2FDD"/>
    <w:rsid w:val="003A3C43"/>
    <w:rsid w:val="003A5CCC"/>
    <w:rsid w:val="003A70FF"/>
    <w:rsid w:val="003A74D2"/>
    <w:rsid w:val="003A756B"/>
    <w:rsid w:val="003A7902"/>
    <w:rsid w:val="003B23D7"/>
    <w:rsid w:val="003B34CB"/>
    <w:rsid w:val="003B34D1"/>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2AA0"/>
    <w:rsid w:val="003C39FE"/>
    <w:rsid w:val="003C567C"/>
    <w:rsid w:val="003C59B8"/>
    <w:rsid w:val="003C6809"/>
    <w:rsid w:val="003C7897"/>
    <w:rsid w:val="003C78FF"/>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E6F0C"/>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4F7C"/>
    <w:rsid w:val="00416277"/>
    <w:rsid w:val="00416E24"/>
    <w:rsid w:val="0042063D"/>
    <w:rsid w:val="00422B23"/>
    <w:rsid w:val="00423A60"/>
    <w:rsid w:val="004253B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0513"/>
    <w:rsid w:val="004624AE"/>
    <w:rsid w:val="0046250E"/>
    <w:rsid w:val="00462E9C"/>
    <w:rsid w:val="00464B48"/>
    <w:rsid w:val="00465231"/>
    <w:rsid w:val="004662AD"/>
    <w:rsid w:val="00466516"/>
    <w:rsid w:val="004678DF"/>
    <w:rsid w:val="00467B65"/>
    <w:rsid w:val="00467D83"/>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0D8E"/>
    <w:rsid w:val="00481247"/>
    <w:rsid w:val="004828DC"/>
    <w:rsid w:val="00482FF7"/>
    <w:rsid w:val="00483098"/>
    <w:rsid w:val="00483AFB"/>
    <w:rsid w:val="0048402B"/>
    <w:rsid w:val="0048414A"/>
    <w:rsid w:val="00485C56"/>
    <w:rsid w:val="00486B79"/>
    <w:rsid w:val="00486CA2"/>
    <w:rsid w:val="00490B25"/>
    <w:rsid w:val="00490C73"/>
    <w:rsid w:val="00490FD6"/>
    <w:rsid w:val="004911C4"/>
    <w:rsid w:val="00494CC8"/>
    <w:rsid w:val="004955E7"/>
    <w:rsid w:val="0049589C"/>
    <w:rsid w:val="00495EF1"/>
    <w:rsid w:val="00496ED4"/>
    <w:rsid w:val="00497D4A"/>
    <w:rsid w:val="004A0441"/>
    <w:rsid w:val="004A084C"/>
    <w:rsid w:val="004A15B3"/>
    <w:rsid w:val="004A1D01"/>
    <w:rsid w:val="004A2A54"/>
    <w:rsid w:val="004A2AC6"/>
    <w:rsid w:val="004A2EF3"/>
    <w:rsid w:val="004A31C0"/>
    <w:rsid w:val="004A3B0D"/>
    <w:rsid w:val="004A52F5"/>
    <w:rsid w:val="004A5D3A"/>
    <w:rsid w:val="004A6897"/>
    <w:rsid w:val="004A692B"/>
    <w:rsid w:val="004A6EB6"/>
    <w:rsid w:val="004A794C"/>
    <w:rsid w:val="004B3EC7"/>
    <w:rsid w:val="004B5664"/>
    <w:rsid w:val="004B718D"/>
    <w:rsid w:val="004C2107"/>
    <w:rsid w:val="004C5D95"/>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3934"/>
    <w:rsid w:val="004E50F0"/>
    <w:rsid w:val="004E6A03"/>
    <w:rsid w:val="004F0070"/>
    <w:rsid w:val="004F0468"/>
    <w:rsid w:val="004F0C51"/>
    <w:rsid w:val="004F263C"/>
    <w:rsid w:val="004F2BB1"/>
    <w:rsid w:val="004F2EC7"/>
    <w:rsid w:val="004F3CE8"/>
    <w:rsid w:val="004F6BFB"/>
    <w:rsid w:val="004F7E4A"/>
    <w:rsid w:val="0050147C"/>
    <w:rsid w:val="0050182B"/>
    <w:rsid w:val="005020CC"/>
    <w:rsid w:val="00502579"/>
    <w:rsid w:val="005029F7"/>
    <w:rsid w:val="00502A89"/>
    <w:rsid w:val="00503A53"/>
    <w:rsid w:val="00503D4C"/>
    <w:rsid w:val="00504C0C"/>
    <w:rsid w:val="00504E48"/>
    <w:rsid w:val="005067A6"/>
    <w:rsid w:val="00507041"/>
    <w:rsid w:val="005070FF"/>
    <w:rsid w:val="00512BBC"/>
    <w:rsid w:val="005134FB"/>
    <w:rsid w:val="005135FD"/>
    <w:rsid w:val="0051366C"/>
    <w:rsid w:val="0051684F"/>
    <w:rsid w:val="00516A92"/>
    <w:rsid w:val="00516B9F"/>
    <w:rsid w:val="00517693"/>
    <w:rsid w:val="005205AB"/>
    <w:rsid w:val="00523378"/>
    <w:rsid w:val="00525112"/>
    <w:rsid w:val="0052550F"/>
    <w:rsid w:val="00526C0F"/>
    <w:rsid w:val="0052702A"/>
    <w:rsid w:val="00530397"/>
    <w:rsid w:val="00530F73"/>
    <w:rsid w:val="005315E2"/>
    <w:rsid w:val="00533B8E"/>
    <w:rsid w:val="00535417"/>
    <w:rsid w:val="00535833"/>
    <w:rsid w:val="00536D28"/>
    <w:rsid w:val="005372C5"/>
    <w:rsid w:val="00537A26"/>
    <w:rsid w:val="00540E47"/>
    <w:rsid w:val="00543283"/>
    <w:rsid w:val="0054364C"/>
    <w:rsid w:val="00546747"/>
    <w:rsid w:val="00547510"/>
    <w:rsid w:val="00547ECC"/>
    <w:rsid w:val="00551641"/>
    <w:rsid w:val="00551D5A"/>
    <w:rsid w:val="00551EC3"/>
    <w:rsid w:val="00554A44"/>
    <w:rsid w:val="00554C53"/>
    <w:rsid w:val="00554CB5"/>
    <w:rsid w:val="00554F18"/>
    <w:rsid w:val="00555220"/>
    <w:rsid w:val="005555F0"/>
    <w:rsid w:val="00555739"/>
    <w:rsid w:val="00556588"/>
    <w:rsid w:val="00556E75"/>
    <w:rsid w:val="00556F2D"/>
    <w:rsid w:val="00557A05"/>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64B4"/>
    <w:rsid w:val="00576F6E"/>
    <w:rsid w:val="00577775"/>
    <w:rsid w:val="0058121A"/>
    <w:rsid w:val="00581863"/>
    <w:rsid w:val="00581EA3"/>
    <w:rsid w:val="0058205A"/>
    <w:rsid w:val="0058260B"/>
    <w:rsid w:val="00584D1E"/>
    <w:rsid w:val="00586795"/>
    <w:rsid w:val="00586B82"/>
    <w:rsid w:val="00587E13"/>
    <w:rsid w:val="00592C51"/>
    <w:rsid w:val="005933AA"/>
    <w:rsid w:val="005940AA"/>
    <w:rsid w:val="00594614"/>
    <w:rsid w:val="00594E10"/>
    <w:rsid w:val="00596306"/>
    <w:rsid w:val="00596487"/>
    <w:rsid w:val="005966B8"/>
    <w:rsid w:val="0059781C"/>
    <w:rsid w:val="005A0809"/>
    <w:rsid w:val="005A0B91"/>
    <w:rsid w:val="005A1494"/>
    <w:rsid w:val="005A3590"/>
    <w:rsid w:val="005A46ED"/>
    <w:rsid w:val="005A4A1C"/>
    <w:rsid w:val="005A543A"/>
    <w:rsid w:val="005A5BD8"/>
    <w:rsid w:val="005A6891"/>
    <w:rsid w:val="005A692A"/>
    <w:rsid w:val="005A6AB8"/>
    <w:rsid w:val="005B11C2"/>
    <w:rsid w:val="005B180A"/>
    <w:rsid w:val="005B1AD8"/>
    <w:rsid w:val="005B24CC"/>
    <w:rsid w:val="005B382C"/>
    <w:rsid w:val="005B3C11"/>
    <w:rsid w:val="005B40DA"/>
    <w:rsid w:val="005B4226"/>
    <w:rsid w:val="005B5AA4"/>
    <w:rsid w:val="005B656B"/>
    <w:rsid w:val="005B71B3"/>
    <w:rsid w:val="005B76A4"/>
    <w:rsid w:val="005C04A7"/>
    <w:rsid w:val="005C0AE7"/>
    <w:rsid w:val="005C0F14"/>
    <w:rsid w:val="005C17A4"/>
    <w:rsid w:val="005C27CC"/>
    <w:rsid w:val="005C370D"/>
    <w:rsid w:val="005C504E"/>
    <w:rsid w:val="005C6153"/>
    <w:rsid w:val="005C78B0"/>
    <w:rsid w:val="005C7B27"/>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44C"/>
    <w:rsid w:val="006029DD"/>
    <w:rsid w:val="00602C6A"/>
    <w:rsid w:val="00603AF5"/>
    <w:rsid w:val="00606C66"/>
    <w:rsid w:val="00610145"/>
    <w:rsid w:val="00610D1F"/>
    <w:rsid w:val="00611AC6"/>
    <w:rsid w:val="006123C6"/>
    <w:rsid w:val="00612C02"/>
    <w:rsid w:val="00612CDD"/>
    <w:rsid w:val="0061416D"/>
    <w:rsid w:val="0061562E"/>
    <w:rsid w:val="00616D41"/>
    <w:rsid w:val="00617292"/>
    <w:rsid w:val="006200A9"/>
    <w:rsid w:val="00622225"/>
    <w:rsid w:val="00622D03"/>
    <w:rsid w:val="00622DCD"/>
    <w:rsid w:val="00622F57"/>
    <w:rsid w:val="00623DD5"/>
    <w:rsid w:val="00624269"/>
    <w:rsid w:val="00624A34"/>
    <w:rsid w:val="0062568D"/>
    <w:rsid w:val="006256D3"/>
    <w:rsid w:val="0062612B"/>
    <w:rsid w:val="00626502"/>
    <w:rsid w:val="006267F5"/>
    <w:rsid w:val="00627337"/>
    <w:rsid w:val="00630069"/>
    <w:rsid w:val="00630583"/>
    <w:rsid w:val="00630D2E"/>
    <w:rsid w:val="00630D39"/>
    <w:rsid w:val="006312F8"/>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4D7"/>
    <w:rsid w:val="00667BBD"/>
    <w:rsid w:val="00670A3C"/>
    <w:rsid w:val="00671149"/>
    <w:rsid w:val="00671615"/>
    <w:rsid w:val="00671741"/>
    <w:rsid w:val="00671766"/>
    <w:rsid w:val="00672914"/>
    <w:rsid w:val="006744C3"/>
    <w:rsid w:val="0067537F"/>
    <w:rsid w:val="00675E40"/>
    <w:rsid w:val="00676410"/>
    <w:rsid w:val="0067647C"/>
    <w:rsid w:val="00676AC2"/>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9779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3831"/>
    <w:rsid w:val="006B48EB"/>
    <w:rsid w:val="006B4C00"/>
    <w:rsid w:val="006B56FC"/>
    <w:rsid w:val="006B573F"/>
    <w:rsid w:val="006B6DDA"/>
    <w:rsid w:val="006B73D9"/>
    <w:rsid w:val="006B77E8"/>
    <w:rsid w:val="006B7DF0"/>
    <w:rsid w:val="006B7E74"/>
    <w:rsid w:val="006C0D75"/>
    <w:rsid w:val="006C1453"/>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6AE8"/>
    <w:rsid w:val="006E7811"/>
    <w:rsid w:val="006F04DA"/>
    <w:rsid w:val="006F0557"/>
    <w:rsid w:val="006F0EA3"/>
    <w:rsid w:val="006F1B5D"/>
    <w:rsid w:val="006F212B"/>
    <w:rsid w:val="006F37F7"/>
    <w:rsid w:val="006F4A61"/>
    <w:rsid w:val="006F4ADC"/>
    <w:rsid w:val="006F61C0"/>
    <w:rsid w:val="006F643D"/>
    <w:rsid w:val="006F6678"/>
    <w:rsid w:val="006F675C"/>
    <w:rsid w:val="006F6D13"/>
    <w:rsid w:val="006F7759"/>
    <w:rsid w:val="006F7D95"/>
    <w:rsid w:val="00700D41"/>
    <w:rsid w:val="00701B21"/>
    <w:rsid w:val="00702384"/>
    <w:rsid w:val="00703021"/>
    <w:rsid w:val="00704BAE"/>
    <w:rsid w:val="00705807"/>
    <w:rsid w:val="00705C74"/>
    <w:rsid w:val="00705C78"/>
    <w:rsid w:val="007060E1"/>
    <w:rsid w:val="00706824"/>
    <w:rsid w:val="00706B85"/>
    <w:rsid w:val="00706D1F"/>
    <w:rsid w:val="007071FC"/>
    <w:rsid w:val="00707ACA"/>
    <w:rsid w:val="00707C84"/>
    <w:rsid w:val="00710A59"/>
    <w:rsid w:val="00710FDE"/>
    <w:rsid w:val="007116C7"/>
    <w:rsid w:val="00711C5A"/>
    <w:rsid w:val="00712B66"/>
    <w:rsid w:val="00712D83"/>
    <w:rsid w:val="00713C31"/>
    <w:rsid w:val="0071428D"/>
    <w:rsid w:val="007144C9"/>
    <w:rsid w:val="00715545"/>
    <w:rsid w:val="00715743"/>
    <w:rsid w:val="00716B3C"/>
    <w:rsid w:val="007170C2"/>
    <w:rsid w:val="00717EE4"/>
    <w:rsid w:val="00717F2D"/>
    <w:rsid w:val="00720453"/>
    <w:rsid w:val="00720853"/>
    <w:rsid w:val="00722129"/>
    <w:rsid w:val="00724173"/>
    <w:rsid w:val="007262DF"/>
    <w:rsid w:val="00726730"/>
    <w:rsid w:val="00730598"/>
    <w:rsid w:val="00731C24"/>
    <w:rsid w:val="0073257E"/>
    <w:rsid w:val="00732A32"/>
    <w:rsid w:val="00733066"/>
    <w:rsid w:val="00733333"/>
    <w:rsid w:val="00733469"/>
    <w:rsid w:val="00733539"/>
    <w:rsid w:val="00735557"/>
    <w:rsid w:val="00737108"/>
    <w:rsid w:val="007379CE"/>
    <w:rsid w:val="00737DE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3975"/>
    <w:rsid w:val="00756551"/>
    <w:rsid w:val="00757769"/>
    <w:rsid w:val="0076067E"/>
    <w:rsid w:val="00761BFD"/>
    <w:rsid w:val="00761D5C"/>
    <w:rsid w:val="00761FE5"/>
    <w:rsid w:val="00762476"/>
    <w:rsid w:val="00762A18"/>
    <w:rsid w:val="00763AE2"/>
    <w:rsid w:val="0076467D"/>
    <w:rsid w:val="00766D90"/>
    <w:rsid w:val="00767BF3"/>
    <w:rsid w:val="00767C19"/>
    <w:rsid w:val="00767D4E"/>
    <w:rsid w:val="00771067"/>
    <w:rsid w:val="007722ED"/>
    <w:rsid w:val="0077408B"/>
    <w:rsid w:val="00774AF6"/>
    <w:rsid w:val="00774E38"/>
    <w:rsid w:val="00774EC8"/>
    <w:rsid w:val="00776781"/>
    <w:rsid w:val="00777039"/>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120D"/>
    <w:rsid w:val="007B26E1"/>
    <w:rsid w:val="007B2D4B"/>
    <w:rsid w:val="007B3045"/>
    <w:rsid w:val="007B4C0F"/>
    <w:rsid w:val="007B5E25"/>
    <w:rsid w:val="007B6E0E"/>
    <w:rsid w:val="007C27FB"/>
    <w:rsid w:val="007C2CBB"/>
    <w:rsid w:val="007C309C"/>
    <w:rsid w:val="007C40C3"/>
    <w:rsid w:val="007C4209"/>
    <w:rsid w:val="007C4556"/>
    <w:rsid w:val="007C4D41"/>
    <w:rsid w:val="007C5EB9"/>
    <w:rsid w:val="007C6F01"/>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1B8B"/>
    <w:rsid w:val="007E3B9C"/>
    <w:rsid w:val="007E4A2F"/>
    <w:rsid w:val="007E5C4A"/>
    <w:rsid w:val="007E6915"/>
    <w:rsid w:val="007E74CA"/>
    <w:rsid w:val="007E7AD3"/>
    <w:rsid w:val="007F0070"/>
    <w:rsid w:val="007F0441"/>
    <w:rsid w:val="007F0E99"/>
    <w:rsid w:val="007F20F1"/>
    <w:rsid w:val="007F2E60"/>
    <w:rsid w:val="007F4224"/>
    <w:rsid w:val="007F4DD2"/>
    <w:rsid w:val="007F4FB9"/>
    <w:rsid w:val="007F694D"/>
    <w:rsid w:val="007F7022"/>
    <w:rsid w:val="007F7690"/>
    <w:rsid w:val="008011CC"/>
    <w:rsid w:val="00801404"/>
    <w:rsid w:val="008017AA"/>
    <w:rsid w:val="00801CBA"/>
    <w:rsid w:val="00801D92"/>
    <w:rsid w:val="00802192"/>
    <w:rsid w:val="00802E52"/>
    <w:rsid w:val="00803066"/>
    <w:rsid w:val="00803DE4"/>
    <w:rsid w:val="00804BCF"/>
    <w:rsid w:val="00804FA4"/>
    <w:rsid w:val="00805275"/>
    <w:rsid w:val="00806A62"/>
    <w:rsid w:val="00806E55"/>
    <w:rsid w:val="008075CE"/>
    <w:rsid w:val="00810A66"/>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209"/>
    <w:rsid w:val="008333B7"/>
    <w:rsid w:val="008336EC"/>
    <w:rsid w:val="008337B9"/>
    <w:rsid w:val="0083465B"/>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653"/>
    <w:rsid w:val="00862741"/>
    <w:rsid w:val="00862BBD"/>
    <w:rsid w:val="00863C9F"/>
    <w:rsid w:val="008645D6"/>
    <w:rsid w:val="0086552B"/>
    <w:rsid w:val="008655A2"/>
    <w:rsid w:val="0086584F"/>
    <w:rsid w:val="008671C7"/>
    <w:rsid w:val="00867EB8"/>
    <w:rsid w:val="00870335"/>
    <w:rsid w:val="00870AA2"/>
    <w:rsid w:val="00872F34"/>
    <w:rsid w:val="00873129"/>
    <w:rsid w:val="00873D88"/>
    <w:rsid w:val="0087433B"/>
    <w:rsid w:val="0087621E"/>
    <w:rsid w:val="008767B2"/>
    <w:rsid w:val="00877328"/>
    <w:rsid w:val="0087787A"/>
    <w:rsid w:val="008802F0"/>
    <w:rsid w:val="00880992"/>
    <w:rsid w:val="00881692"/>
    <w:rsid w:val="00883143"/>
    <w:rsid w:val="00884EC8"/>
    <w:rsid w:val="00886154"/>
    <w:rsid w:val="00890277"/>
    <w:rsid w:val="0089061A"/>
    <w:rsid w:val="008915C6"/>
    <w:rsid w:val="00891677"/>
    <w:rsid w:val="00892DB5"/>
    <w:rsid w:val="00894B61"/>
    <w:rsid w:val="00895255"/>
    <w:rsid w:val="00895DF1"/>
    <w:rsid w:val="00896645"/>
    <w:rsid w:val="00896E36"/>
    <w:rsid w:val="008975D2"/>
    <w:rsid w:val="008A035B"/>
    <w:rsid w:val="008A0459"/>
    <w:rsid w:val="008A1218"/>
    <w:rsid w:val="008A1433"/>
    <w:rsid w:val="008A15B6"/>
    <w:rsid w:val="008A1A6E"/>
    <w:rsid w:val="008A202A"/>
    <w:rsid w:val="008A209B"/>
    <w:rsid w:val="008A2176"/>
    <w:rsid w:val="008A36C9"/>
    <w:rsid w:val="008A5AF9"/>
    <w:rsid w:val="008B16DE"/>
    <w:rsid w:val="008B251F"/>
    <w:rsid w:val="008B2602"/>
    <w:rsid w:val="008B2727"/>
    <w:rsid w:val="008B316B"/>
    <w:rsid w:val="008B475F"/>
    <w:rsid w:val="008B5059"/>
    <w:rsid w:val="008B5BF2"/>
    <w:rsid w:val="008B6934"/>
    <w:rsid w:val="008B6CF8"/>
    <w:rsid w:val="008B72F6"/>
    <w:rsid w:val="008C119E"/>
    <w:rsid w:val="008C1E24"/>
    <w:rsid w:val="008C296B"/>
    <w:rsid w:val="008C2A46"/>
    <w:rsid w:val="008C3E52"/>
    <w:rsid w:val="008C4278"/>
    <w:rsid w:val="008C4DB0"/>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3D1A"/>
    <w:rsid w:val="008E5410"/>
    <w:rsid w:val="008E5A3F"/>
    <w:rsid w:val="008E7209"/>
    <w:rsid w:val="008E7448"/>
    <w:rsid w:val="008F11BB"/>
    <w:rsid w:val="008F16FF"/>
    <w:rsid w:val="008F182F"/>
    <w:rsid w:val="008F1E95"/>
    <w:rsid w:val="008F2304"/>
    <w:rsid w:val="008F3DB5"/>
    <w:rsid w:val="008F452A"/>
    <w:rsid w:val="008F50D0"/>
    <w:rsid w:val="008F57DD"/>
    <w:rsid w:val="008F5AEE"/>
    <w:rsid w:val="008F5B25"/>
    <w:rsid w:val="008F6EAA"/>
    <w:rsid w:val="008F7800"/>
    <w:rsid w:val="008F7BCA"/>
    <w:rsid w:val="00900F4D"/>
    <w:rsid w:val="0090167B"/>
    <w:rsid w:val="00902DEC"/>
    <w:rsid w:val="0090342E"/>
    <w:rsid w:val="00903706"/>
    <w:rsid w:val="00903D3A"/>
    <w:rsid w:val="009044B9"/>
    <w:rsid w:val="00904616"/>
    <w:rsid w:val="009047B1"/>
    <w:rsid w:val="00904C86"/>
    <w:rsid w:val="0090680D"/>
    <w:rsid w:val="00906A7A"/>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2525"/>
    <w:rsid w:val="00925355"/>
    <w:rsid w:val="009257B0"/>
    <w:rsid w:val="009258BD"/>
    <w:rsid w:val="00925DEB"/>
    <w:rsid w:val="009263C0"/>
    <w:rsid w:val="009302D4"/>
    <w:rsid w:val="009307F2"/>
    <w:rsid w:val="00930CEC"/>
    <w:rsid w:val="00930F4A"/>
    <w:rsid w:val="0093375E"/>
    <w:rsid w:val="00933BEF"/>
    <w:rsid w:val="009340BE"/>
    <w:rsid w:val="009350F8"/>
    <w:rsid w:val="00936706"/>
    <w:rsid w:val="0093787E"/>
    <w:rsid w:val="009412CC"/>
    <w:rsid w:val="00942A1B"/>
    <w:rsid w:val="0094388B"/>
    <w:rsid w:val="00943D09"/>
    <w:rsid w:val="00944826"/>
    <w:rsid w:val="009457A1"/>
    <w:rsid w:val="00946DFD"/>
    <w:rsid w:val="00947C5D"/>
    <w:rsid w:val="00947CA9"/>
    <w:rsid w:val="00950478"/>
    <w:rsid w:val="00950888"/>
    <w:rsid w:val="00950AF9"/>
    <w:rsid w:val="00950B5F"/>
    <w:rsid w:val="00950D35"/>
    <w:rsid w:val="009510CB"/>
    <w:rsid w:val="0095144C"/>
    <w:rsid w:val="0095165B"/>
    <w:rsid w:val="00951B17"/>
    <w:rsid w:val="00951B8D"/>
    <w:rsid w:val="009536A8"/>
    <w:rsid w:val="00954596"/>
    <w:rsid w:val="00955851"/>
    <w:rsid w:val="00955C63"/>
    <w:rsid w:val="00957E23"/>
    <w:rsid w:val="00961487"/>
    <w:rsid w:val="00961BA7"/>
    <w:rsid w:val="00961C8E"/>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240"/>
    <w:rsid w:val="009807AC"/>
    <w:rsid w:val="00980C18"/>
    <w:rsid w:val="009810E9"/>
    <w:rsid w:val="0098141C"/>
    <w:rsid w:val="00981AA9"/>
    <w:rsid w:val="00981C91"/>
    <w:rsid w:val="009823B5"/>
    <w:rsid w:val="00983132"/>
    <w:rsid w:val="00983314"/>
    <w:rsid w:val="00983DF2"/>
    <w:rsid w:val="0098433A"/>
    <w:rsid w:val="00985675"/>
    <w:rsid w:val="00985939"/>
    <w:rsid w:val="0098637F"/>
    <w:rsid w:val="00986A9B"/>
    <w:rsid w:val="00986B9C"/>
    <w:rsid w:val="00987BAB"/>
    <w:rsid w:val="0099023D"/>
    <w:rsid w:val="009906BF"/>
    <w:rsid w:val="009913F3"/>
    <w:rsid w:val="00991DA1"/>
    <w:rsid w:val="009927F1"/>
    <w:rsid w:val="009936C4"/>
    <w:rsid w:val="00993F51"/>
    <w:rsid w:val="009948ED"/>
    <w:rsid w:val="00995ADA"/>
    <w:rsid w:val="0099643A"/>
    <w:rsid w:val="00997959"/>
    <w:rsid w:val="009A0BAF"/>
    <w:rsid w:val="009A1431"/>
    <w:rsid w:val="009A153D"/>
    <w:rsid w:val="009A1634"/>
    <w:rsid w:val="009A2BC3"/>
    <w:rsid w:val="009A3A34"/>
    <w:rsid w:val="009A3FE2"/>
    <w:rsid w:val="009A400C"/>
    <w:rsid w:val="009A4B2C"/>
    <w:rsid w:val="009A5592"/>
    <w:rsid w:val="009A5856"/>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B69AA"/>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03F2"/>
    <w:rsid w:val="009E2040"/>
    <w:rsid w:val="009E49AE"/>
    <w:rsid w:val="009E4DC7"/>
    <w:rsid w:val="009E660A"/>
    <w:rsid w:val="009E6B64"/>
    <w:rsid w:val="009E72E5"/>
    <w:rsid w:val="009E733D"/>
    <w:rsid w:val="009F3884"/>
    <w:rsid w:val="009F46C8"/>
    <w:rsid w:val="009F4DCA"/>
    <w:rsid w:val="009F4F2A"/>
    <w:rsid w:val="009F5C87"/>
    <w:rsid w:val="009F660B"/>
    <w:rsid w:val="009F671E"/>
    <w:rsid w:val="009F75EB"/>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3192"/>
    <w:rsid w:val="00A44D0E"/>
    <w:rsid w:val="00A4621D"/>
    <w:rsid w:val="00A509FB"/>
    <w:rsid w:val="00A51C19"/>
    <w:rsid w:val="00A51E04"/>
    <w:rsid w:val="00A522B5"/>
    <w:rsid w:val="00A52C31"/>
    <w:rsid w:val="00A52F37"/>
    <w:rsid w:val="00A533C5"/>
    <w:rsid w:val="00A5388C"/>
    <w:rsid w:val="00A5397B"/>
    <w:rsid w:val="00A53BE1"/>
    <w:rsid w:val="00A53CF8"/>
    <w:rsid w:val="00A54644"/>
    <w:rsid w:val="00A55921"/>
    <w:rsid w:val="00A560E3"/>
    <w:rsid w:val="00A5628F"/>
    <w:rsid w:val="00A564AF"/>
    <w:rsid w:val="00A566A8"/>
    <w:rsid w:val="00A56D0B"/>
    <w:rsid w:val="00A5775C"/>
    <w:rsid w:val="00A57D67"/>
    <w:rsid w:val="00A60E72"/>
    <w:rsid w:val="00A61F0C"/>
    <w:rsid w:val="00A61FF0"/>
    <w:rsid w:val="00A62580"/>
    <w:rsid w:val="00A63AC9"/>
    <w:rsid w:val="00A64502"/>
    <w:rsid w:val="00A64B5F"/>
    <w:rsid w:val="00A65EA0"/>
    <w:rsid w:val="00A66517"/>
    <w:rsid w:val="00A67B0E"/>
    <w:rsid w:val="00A71432"/>
    <w:rsid w:val="00A718EF"/>
    <w:rsid w:val="00A72134"/>
    <w:rsid w:val="00A726A8"/>
    <w:rsid w:val="00A72951"/>
    <w:rsid w:val="00A73505"/>
    <w:rsid w:val="00A75E02"/>
    <w:rsid w:val="00A76E79"/>
    <w:rsid w:val="00A7771B"/>
    <w:rsid w:val="00A77B53"/>
    <w:rsid w:val="00A811F1"/>
    <w:rsid w:val="00A8206A"/>
    <w:rsid w:val="00A82887"/>
    <w:rsid w:val="00A82F63"/>
    <w:rsid w:val="00A83010"/>
    <w:rsid w:val="00A83BF5"/>
    <w:rsid w:val="00A84CD1"/>
    <w:rsid w:val="00A85B79"/>
    <w:rsid w:val="00A85E2E"/>
    <w:rsid w:val="00A861F3"/>
    <w:rsid w:val="00A8728F"/>
    <w:rsid w:val="00A8756A"/>
    <w:rsid w:val="00A87F7D"/>
    <w:rsid w:val="00A906B7"/>
    <w:rsid w:val="00A9070E"/>
    <w:rsid w:val="00A92DD4"/>
    <w:rsid w:val="00A93C02"/>
    <w:rsid w:val="00A94D0F"/>
    <w:rsid w:val="00A94F13"/>
    <w:rsid w:val="00A9568C"/>
    <w:rsid w:val="00A95BED"/>
    <w:rsid w:val="00A95EA2"/>
    <w:rsid w:val="00A9657A"/>
    <w:rsid w:val="00A9787E"/>
    <w:rsid w:val="00A97AF9"/>
    <w:rsid w:val="00AA00E5"/>
    <w:rsid w:val="00AA08E8"/>
    <w:rsid w:val="00AA0DB4"/>
    <w:rsid w:val="00AA11C5"/>
    <w:rsid w:val="00AA17E2"/>
    <w:rsid w:val="00AA21B7"/>
    <w:rsid w:val="00AA3827"/>
    <w:rsid w:val="00AA382D"/>
    <w:rsid w:val="00AA4A2C"/>
    <w:rsid w:val="00AA523A"/>
    <w:rsid w:val="00AA59A6"/>
    <w:rsid w:val="00AA6299"/>
    <w:rsid w:val="00AA6E05"/>
    <w:rsid w:val="00AA78AE"/>
    <w:rsid w:val="00AB0262"/>
    <w:rsid w:val="00AB0ED0"/>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3DB5"/>
    <w:rsid w:val="00AD4071"/>
    <w:rsid w:val="00AD44EA"/>
    <w:rsid w:val="00AD4605"/>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42A7"/>
    <w:rsid w:val="00AE503A"/>
    <w:rsid w:val="00AE5715"/>
    <w:rsid w:val="00AE68E2"/>
    <w:rsid w:val="00AE70F0"/>
    <w:rsid w:val="00AF0157"/>
    <w:rsid w:val="00AF1B2E"/>
    <w:rsid w:val="00AF2EC7"/>
    <w:rsid w:val="00AF3AC0"/>
    <w:rsid w:val="00AF4F4A"/>
    <w:rsid w:val="00B00C24"/>
    <w:rsid w:val="00B00F93"/>
    <w:rsid w:val="00B01BBE"/>
    <w:rsid w:val="00B03F92"/>
    <w:rsid w:val="00B04BE5"/>
    <w:rsid w:val="00B055D8"/>
    <w:rsid w:val="00B06CD6"/>
    <w:rsid w:val="00B06EBC"/>
    <w:rsid w:val="00B11D2D"/>
    <w:rsid w:val="00B123F0"/>
    <w:rsid w:val="00B12891"/>
    <w:rsid w:val="00B146C1"/>
    <w:rsid w:val="00B146E7"/>
    <w:rsid w:val="00B14703"/>
    <w:rsid w:val="00B156DF"/>
    <w:rsid w:val="00B15ABB"/>
    <w:rsid w:val="00B16973"/>
    <w:rsid w:val="00B179CD"/>
    <w:rsid w:val="00B2036A"/>
    <w:rsid w:val="00B21057"/>
    <w:rsid w:val="00B2202B"/>
    <w:rsid w:val="00B23422"/>
    <w:rsid w:val="00B24069"/>
    <w:rsid w:val="00B24948"/>
    <w:rsid w:val="00B24CBD"/>
    <w:rsid w:val="00B25CA3"/>
    <w:rsid w:val="00B30028"/>
    <w:rsid w:val="00B31E8D"/>
    <w:rsid w:val="00B3313B"/>
    <w:rsid w:val="00B331E8"/>
    <w:rsid w:val="00B331EA"/>
    <w:rsid w:val="00B34732"/>
    <w:rsid w:val="00B353B8"/>
    <w:rsid w:val="00B35979"/>
    <w:rsid w:val="00B35C56"/>
    <w:rsid w:val="00B36F17"/>
    <w:rsid w:val="00B372ED"/>
    <w:rsid w:val="00B37FBB"/>
    <w:rsid w:val="00B40603"/>
    <w:rsid w:val="00B40AF6"/>
    <w:rsid w:val="00B41071"/>
    <w:rsid w:val="00B425C0"/>
    <w:rsid w:val="00B42DB6"/>
    <w:rsid w:val="00B44F99"/>
    <w:rsid w:val="00B46957"/>
    <w:rsid w:val="00B47B54"/>
    <w:rsid w:val="00B508F7"/>
    <w:rsid w:val="00B50E99"/>
    <w:rsid w:val="00B510C9"/>
    <w:rsid w:val="00B51926"/>
    <w:rsid w:val="00B51F9A"/>
    <w:rsid w:val="00B53D00"/>
    <w:rsid w:val="00B54DA7"/>
    <w:rsid w:val="00B57C1B"/>
    <w:rsid w:val="00B600C6"/>
    <w:rsid w:val="00B60167"/>
    <w:rsid w:val="00B60E92"/>
    <w:rsid w:val="00B60FC0"/>
    <w:rsid w:val="00B61665"/>
    <w:rsid w:val="00B63528"/>
    <w:rsid w:val="00B63DAF"/>
    <w:rsid w:val="00B63E98"/>
    <w:rsid w:val="00B65754"/>
    <w:rsid w:val="00B661AA"/>
    <w:rsid w:val="00B66242"/>
    <w:rsid w:val="00B663DD"/>
    <w:rsid w:val="00B670D3"/>
    <w:rsid w:val="00B67958"/>
    <w:rsid w:val="00B701D1"/>
    <w:rsid w:val="00B716BB"/>
    <w:rsid w:val="00B716FD"/>
    <w:rsid w:val="00B734C2"/>
    <w:rsid w:val="00B73BDA"/>
    <w:rsid w:val="00B74053"/>
    <w:rsid w:val="00B765A0"/>
    <w:rsid w:val="00B76C02"/>
    <w:rsid w:val="00B7770A"/>
    <w:rsid w:val="00B77BD2"/>
    <w:rsid w:val="00B814CB"/>
    <w:rsid w:val="00B81713"/>
    <w:rsid w:val="00B81B6A"/>
    <w:rsid w:val="00B820F4"/>
    <w:rsid w:val="00B835E0"/>
    <w:rsid w:val="00B8396D"/>
    <w:rsid w:val="00B90331"/>
    <w:rsid w:val="00B903ED"/>
    <w:rsid w:val="00B90B2D"/>
    <w:rsid w:val="00B91217"/>
    <w:rsid w:val="00B92554"/>
    <w:rsid w:val="00B92F6B"/>
    <w:rsid w:val="00B935A1"/>
    <w:rsid w:val="00B95DAD"/>
    <w:rsid w:val="00B96C0C"/>
    <w:rsid w:val="00B9734D"/>
    <w:rsid w:val="00B97732"/>
    <w:rsid w:val="00BA0D71"/>
    <w:rsid w:val="00BA27F4"/>
    <w:rsid w:val="00BA2E40"/>
    <w:rsid w:val="00BA3CB7"/>
    <w:rsid w:val="00BA41DE"/>
    <w:rsid w:val="00BA556C"/>
    <w:rsid w:val="00BA7FEC"/>
    <w:rsid w:val="00BB0F31"/>
    <w:rsid w:val="00BB15AB"/>
    <w:rsid w:val="00BB189B"/>
    <w:rsid w:val="00BB1D21"/>
    <w:rsid w:val="00BB2E51"/>
    <w:rsid w:val="00BB4BEA"/>
    <w:rsid w:val="00BB4C1A"/>
    <w:rsid w:val="00BB50AB"/>
    <w:rsid w:val="00BB6664"/>
    <w:rsid w:val="00BC01FC"/>
    <w:rsid w:val="00BC08DE"/>
    <w:rsid w:val="00BC1F79"/>
    <w:rsid w:val="00BC2201"/>
    <w:rsid w:val="00BC3C7A"/>
    <w:rsid w:val="00BC5431"/>
    <w:rsid w:val="00BC7DC6"/>
    <w:rsid w:val="00BD0231"/>
    <w:rsid w:val="00BD1039"/>
    <w:rsid w:val="00BD13B5"/>
    <w:rsid w:val="00BD2EFC"/>
    <w:rsid w:val="00BD340E"/>
    <w:rsid w:val="00BD591B"/>
    <w:rsid w:val="00BD60AD"/>
    <w:rsid w:val="00BD6C02"/>
    <w:rsid w:val="00BE1244"/>
    <w:rsid w:val="00BE165D"/>
    <w:rsid w:val="00BE2394"/>
    <w:rsid w:val="00BE2702"/>
    <w:rsid w:val="00BE4326"/>
    <w:rsid w:val="00BE5F4F"/>
    <w:rsid w:val="00BE60DB"/>
    <w:rsid w:val="00BF0191"/>
    <w:rsid w:val="00BF13EC"/>
    <w:rsid w:val="00BF1C07"/>
    <w:rsid w:val="00BF3DEE"/>
    <w:rsid w:val="00BF4776"/>
    <w:rsid w:val="00BF54AC"/>
    <w:rsid w:val="00BF54BD"/>
    <w:rsid w:val="00BF6B8E"/>
    <w:rsid w:val="00BF77B7"/>
    <w:rsid w:val="00C025A5"/>
    <w:rsid w:val="00C03C78"/>
    <w:rsid w:val="00C04FD3"/>
    <w:rsid w:val="00C065A2"/>
    <w:rsid w:val="00C073D0"/>
    <w:rsid w:val="00C07919"/>
    <w:rsid w:val="00C103F9"/>
    <w:rsid w:val="00C104AC"/>
    <w:rsid w:val="00C110E1"/>
    <w:rsid w:val="00C1198F"/>
    <w:rsid w:val="00C11FA1"/>
    <w:rsid w:val="00C12E21"/>
    <w:rsid w:val="00C12E65"/>
    <w:rsid w:val="00C13C20"/>
    <w:rsid w:val="00C13F74"/>
    <w:rsid w:val="00C146D3"/>
    <w:rsid w:val="00C16BE0"/>
    <w:rsid w:val="00C16D05"/>
    <w:rsid w:val="00C21C39"/>
    <w:rsid w:val="00C22593"/>
    <w:rsid w:val="00C23155"/>
    <w:rsid w:val="00C2325C"/>
    <w:rsid w:val="00C239ED"/>
    <w:rsid w:val="00C24D9D"/>
    <w:rsid w:val="00C25CF3"/>
    <w:rsid w:val="00C263E9"/>
    <w:rsid w:val="00C2775A"/>
    <w:rsid w:val="00C27F72"/>
    <w:rsid w:val="00C3063A"/>
    <w:rsid w:val="00C30BAD"/>
    <w:rsid w:val="00C31E8F"/>
    <w:rsid w:val="00C32145"/>
    <w:rsid w:val="00C335DA"/>
    <w:rsid w:val="00C33D3E"/>
    <w:rsid w:val="00C362E0"/>
    <w:rsid w:val="00C36ED4"/>
    <w:rsid w:val="00C376CC"/>
    <w:rsid w:val="00C400F7"/>
    <w:rsid w:val="00C402A6"/>
    <w:rsid w:val="00C40EC6"/>
    <w:rsid w:val="00C419AD"/>
    <w:rsid w:val="00C41B5F"/>
    <w:rsid w:val="00C437BA"/>
    <w:rsid w:val="00C44395"/>
    <w:rsid w:val="00C443B3"/>
    <w:rsid w:val="00C45597"/>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57673"/>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0ED0"/>
    <w:rsid w:val="00CA18CA"/>
    <w:rsid w:val="00CA2557"/>
    <w:rsid w:val="00CA28D1"/>
    <w:rsid w:val="00CA5413"/>
    <w:rsid w:val="00CA5674"/>
    <w:rsid w:val="00CA5BDA"/>
    <w:rsid w:val="00CA5C1A"/>
    <w:rsid w:val="00CA633F"/>
    <w:rsid w:val="00CA641E"/>
    <w:rsid w:val="00CA7558"/>
    <w:rsid w:val="00CA785F"/>
    <w:rsid w:val="00CA792A"/>
    <w:rsid w:val="00CA7949"/>
    <w:rsid w:val="00CB0400"/>
    <w:rsid w:val="00CB04E1"/>
    <w:rsid w:val="00CB0C03"/>
    <w:rsid w:val="00CB0C6E"/>
    <w:rsid w:val="00CB0C89"/>
    <w:rsid w:val="00CB1195"/>
    <w:rsid w:val="00CB226B"/>
    <w:rsid w:val="00CB229B"/>
    <w:rsid w:val="00CB33B4"/>
    <w:rsid w:val="00CB3D93"/>
    <w:rsid w:val="00CB4441"/>
    <w:rsid w:val="00CB4B1A"/>
    <w:rsid w:val="00CB4E1F"/>
    <w:rsid w:val="00CC152E"/>
    <w:rsid w:val="00CC2493"/>
    <w:rsid w:val="00CC3222"/>
    <w:rsid w:val="00CC35F1"/>
    <w:rsid w:val="00CC35FF"/>
    <w:rsid w:val="00CD0203"/>
    <w:rsid w:val="00CD0E6E"/>
    <w:rsid w:val="00CD23AE"/>
    <w:rsid w:val="00CD27DF"/>
    <w:rsid w:val="00CD2D8A"/>
    <w:rsid w:val="00CD331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5F12"/>
    <w:rsid w:val="00D06776"/>
    <w:rsid w:val="00D06E46"/>
    <w:rsid w:val="00D06F95"/>
    <w:rsid w:val="00D10563"/>
    <w:rsid w:val="00D1158C"/>
    <w:rsid w:val="00D11600"/>
    <w:rsid w:val="00D119A2"/>
    <w:rsid w:val="00D127E9"/>
    <w:rsid w:val="00D12E31"/>
    <w:rsid w:val="00D137F9"/>
    <w:rsid w:val="00D1458C"/>
    <w:rsid w:val="00D152FA"/>
    <w:rsid w:val="00D1620E"/>
    <w:rsid w:val="00D16867"/>
    <w:rsid w:val="00D16EEC"/>
    <w:rsid w:val="00D17D95"/>
    <w:rsid w:val="00D2047A"/>
    <w:rsid w:val="00D20631"/>
    <w:rsid w:val="00D207FC"/>
    <w:rsid w:val="00D2260B"/>
    <w:rsid w:val="00D22D49"/>
    <w:rsid w:val="00D23930"/>
    <w:rsid w:val="00D23A23"/>
    <w:rsid w:val="00D2423B"/>
    <w:rsid w:val="00D24D8A"/>
    <w:rsid w:val="00D24DA4"/>
    <w:rsid w:val="00D25235"/>
    <w:rsid w:val="00D25383"/>
    <w:rsid w:val="00D25670"/>
    <w:rsid w:val="00D301FF"/>
    <w:rsid w:val="00D32542"/>
    <w:rsid w:val="00D3257F"/>
    <w:rsid w:val="00D33BD8"/>
    <w:rsid w:val="00D340E2"/>
    <w:rsid w:val="00D36887"/>
    <w:rsid w:val="00D37563"/>
    <w:rsid w:val="00D379EB"/>
    <w:rsid w:val="00D400B8"/>
    <w:rsid w:val="00D4022C"/>
    <w:rsid w:val="00D40587"/>
    <w:rsid w:val="00D41023"/>
    <w:rsid w:val="00D41C6C"/>
    <w:rsid w:val="00D42465"/>
    <w:rsid w:val="00D42E5B"/>
    <w:rsid w:val="00D439D1"/>
    <w:rsid w:val="00D43C68"/>
    <w:rsid w:val="00D444B2"/>
    <w:rsid w:val="00D453E4"/>
    <w:rsid w:val="00D46CF5"/>
    <w:rsid w:val="00D47226"/>
    <w:rsid w:val="00D506B4"/>
    <w:rsid w:val="00D50B21"/>
    <w:rsid w:val="00D51349"/>
    <w:rsid w:val="00D527AF"/>
    <w:rsid w:val="00D529E1"/>
    <w:rsid w:val="00D534C2"/>
    <w:rsid w:val="00D53F32"/>
    <w:rsid w:val="00D5410F"/>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59C"/>
    <w:rsid w:val="00D67A9F"/>
    <w:rsid w:val="00D67C20"/>
    <w:rsid w:val="00D70C1B"/>
    <w:rsid w:val="00D70E5C"/>
    <w:rsid w:val="00D7146C"/>
    <w:rsid w:val="00D718CD"/>
    <w:rsid w:val="00D7416F"/>
    <w:rsid w:val="00D755F2"/>
    <w:rsid w:val="00D762AC"/>
    <w:rsid w:val="00D77070"/>
    <w:rsid w:val="00D775E7"/>
    <w:rsid w:val="00D77B9E"/>
    <w:rsid w:val="00D81CA9"/>
    <w:rsid w:val="00D82370"/>
    <w:rsid w:val="00D839D8"/>
    <w:rsid w:val="00D83F9E"/>
    <w:rsid w:val="00D840C2"/>
    <w:rsid w:val="00D84562"/>
    <w:rsid w:val="00D85426"/>
    <w:rsid w:val="00D85C16"/>
    <w:rsid w:val="00D86169"/>
    <w:rsid w:val="00D8732E"/>
    <w:rsid w:val="00D91294"/>
    <w:rsid w:val="00D9186A"/>
    <w:rsid w:val="00D92D47"/>
    <w:rsid w:val="00D931EA"/>
    <w:rsid w:val="00D94213"/>
    <w:rsid w:val="00D94BEB"/>
    <w:rsid w:val="00D94EA5"/>
    <w:rsid w:val="00D95F32"/>
    <w:rsid w:val="00DA024A"/>
    <w:rsid w:val="00DA07EE"/>
    <w:rsid w:val="00DA0A58"/>
    <w:rsid w:val="00DA15B7"/>
    <w:rsid w:val="00DA1C85"/>
    <w:rsid w:val="00DA1CC9"/>
    <w:rsid w:val="00DA2E58"/>
    <w:rsid w:val="00DA328E"/>
    <w:rsid w:val="00DA3AA6"/>
    <w:rsid w:val="00DA3B34"/>
    <w:rsid w:val="00DA46C1"/>
    <w:rsid w:val="00DA70DD"/>
    <w:rsid w:val="00DA7B48"/>
    <w:rsid w:val="00DB088F"/>
    <w:rsid w:val="00DB0B4A"/>
    <w:rsid w:val="00DB1487"/>
    <w:rsid w:val="00DB19B4"/>
    <w:rsid w:val="00DB19F1"/>
    <w:rsid w:val="00DB26AE"/>
    <w:rsid w:val="00DB4411"/>
    <w:rsid w:val="00DB466D"/>
    <w:rsid w:val="00DB4EDE"/>
    <w:rsid w:val="00DB5FD0"/>
    <w:rsid w:val="00DB6A2E"/>
    <w:rsid w:val="00DB7182"/>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025"/>
    <w:rsid w:val="00DD1A10"/>
    <w:rsid w:val="00DD200D"/>
    <w:rsid w:val="00DD2990"/>
    <w:rsid w:val="00DD2FE9"/>
    <w:rsid w:val="00DD3A7E"/>
    <w:rsid w:val="00DD434E"/>
    <w:rsid w:val="00DD4402"/>
    <w:rsid w:val="00DD4724"/>
    <w:rsid w:val="00DD5AA5"/>
    <w:rsid w:val="00DD60D0"/>
    <w:rsid w:val="00DD6200"/>
    <w:rsid w:val="00DD686C"/>
    <w:rsid w:val="00DD6E86"/>
    <w:rsid w:val="00DD7E4B"/>
    <w:rsid w:val="00DE0E5D"/>
    <w:rsid w:val="00DE447F"/>
    <w:rsid w:val="00DE48F0"/>
    <w:rsid w:val="00DE4A77"/>
    <w:rsid w:val="00DE68EE"/>
    <w:rsid w:val="00DE6B16"/>
    <w:rsid w:val="00DE6D24"/>
    <w:rsid w:val="00DE7285"/>
    <w:rsid w:val="00DE7C40"/>
    <w:rsid w:val="00DF070B"/>
    <w:rsid w:val="00DF0EA5"/>
    <w:rsid w:val="00DF1CD5"/>
    <w:rsid w:val="00DF1F1D"/>
    <w:rsid w:val="00DF23A5"/>
    <w:rsid w:val="00DF4C6E"/>
    <w:rsid w:val="00DF6076"/>
    <w:rsid w:val="00DF6666"/>
    <w:rsid w:val="00DF745E"/>
    <w:rsid w:val="00DF762E"/>
    <w:rsid w:val="00E0044E"/>
    <w:rsid w:val="00E00816"/>
    <w:rsid w:val="00E0239F"/>
    <w:rsid w:val="00E0267B"/>
    <w:rsid w:val="00E04441"/>
    <w:rsid w:val="00E05F03"/>
    <w:rsid w:val="00E06370"/>
    <w:rsid w:val="00E06B7B"/>
    <w:rsid w:val="00E06E20"/>
    <w:rsid w:val="00E07167"/>
    <w:rsid w:val="00E07DD9"/>
    <w:rsid w:val="00E102F8"/>
    <w:rsid w:val="00E12FCF"/>
    <w:rsid w:val="00E13273"/>
    <w:rsid w:val="00E13379"/>
    <w:rsid w:val="00E139EE"/>
    <w:rsid w:val="00E14D83"/>
    <w:rsid w:val="00E14FA6"/>
    <w:rsid w:val="00E15A0D"/>
    <w:rsid w:val="00E16640"/>
    <w:rsid w:val="00E1740F"/>
    <w:rsid w:val="00E200CF"/>
    <w:rsid w:val="00E21989"/>
    <w:rsid w:val="00E23B17"/>
    <w:rsid w:val="00E24287"/>
    <w:rsid w:val="00E310E1"/>
    <w:rsid w:val="00E31367"/>
    <w:rsid w:val="00E3181C"/>
    <w:rsid w:val="00E31B47"/>
    <w:rsid w:val="00E32EF3"/>
    <w:rsid w:val="00E33E21"/>
    <w:rsid w:val="00E3489F"/>
    <w:rsid w:val="00E34BC4"/>
    <w:rsid w:val="00E35064"/>
    <w:rsid w:val="00E3540C"/>
    <w:rsid w:val="00E36187"/>
    <w:rsid w:val="00E36332"/>
    <w:rsid w:val="00E36C9B"/>
    <w:rsid w:val="00E37638"/>
    <w:rsid w:val="00E37E9D"/>
    <w:rsid w:val="00E41B71"/>
    <w:rsid w:val="00E42569"/>
    <w:rsid w:val="00E434A0"/>
    <w:rsid w:val="00E44D30"/>
    <w:rsid w:val="00E456E7"/>
    <w:rsid w:val="00E4597F"/>
    <w:rsid w:val="00E46CB7"/>
    <w:rsid w:val="00E4723D"/>
    <w:rsid w:val="00E5077C"/>
    <w:rsid w:val="00E50EC8"/>
    <w:rsid w:val="00E510E9"/>
    <w:rsid w:val="00E5159B"/>
    <w:rsid w:val="00E515C6"/>
    <w:rsid w:val="00E52E0D"/>
    <w:rsid w:val="00E52EF7"/>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2D1B"/>
    <w:rsid w:val="00E647F7"/>
    <w:rsid w:val="00E65FF5"/>
    <w:rsid w:val="00E66857"/>
    <w:rsid w:val="00E67556"/>
    <w:rsid w:val="00E7252F"/>
    <w:rsid w:val="00E73203"/>
    <w:rsid w:val="00E7336A"/>
    <w:rsid w:val="00E73CD8"/>
    <w:rsid w:val="00E73DEA"/>
    <w:rsid w:val="00E73FC2"/>
    <w:rsid w:val="00E74481"/>
    <w:rsid w:val="00E74517"/>
    <w:rsid w:val="00E755D7"/>
    <w:rsid w:val="00E7566D"/>
    <w:rsid w:val="00E76E91"/>
    <w:rsid w:val="00E774B4"/>
    <w:rsid w:val="00E778F5"/>
    <w:rsid w:val="00E80E7C"/>
    <w:rsid w:val="00E81779"/>
    <w:rsid w:val="00E8205B"/>
    <w:rsid w:val="00E82444"/>
    <w:rsid w:val="00E8341C"/>
    <w:rsid w:val="00E84FE0"/>
    <w:rsid w:val="00E8602B"/>
    <w:rsid w:val="00E86B5F"/>
    <w:rsid w:val="00E87D05"/>
    <w:rsid w:val="00E91F96"/>
    <w:rsid w:val="00E92E99"/>
    <w:rsid w:val="00E947BA"/>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B4F95"/>
    <w:rsid w:val="00EB7535"/>
    <w:rsid w:val="00EC0E2C"/>
    <w:rsid w:val="00EC10D5"/>
    <w:rsid w:val="00EC2E07"/>
    <w:rsid w:val="00EC43C7"/>
    <w:rsid w:val="00EC465D"/>
    <w:rsid w:val="00EC5C89"/>
    <w:rsid w:val="00EC66D2"/>
    <w:rsid w:val="00EC67E7"/>
    <w:rsid w:val="00ED0A1B"/>
    <w:rsid w:val="00ED21BC"/>
    <w:rsid w:val="00ED2FEC"/>
    <w:rsid w:val="00ED392E"/>
    <w:rsid w:val="00ED3F67"/>
    <w:rsid w:val="00ED440A"/>
    <w:rsid w:val="00ED4D03"/>
    <w:rsid w:val="00ED7971"/>
    <w:rsid w:val="00EE0748"/>
    <w:rsid w:val="00EE29A0"/>
    <w:rsid w:val="00EE2CEA"/>
    <w:rsid w:val="00EE2FDE"/>
    <w:rsid w:val="00EE3365"/>
    <w:rsid w:val="00EE40AD"/>
    <w:rsid w:val="00EE48DF"/>
    <w:rsid w:val="00EE4AB3"/>
    <w:rsid w:val="00EE7405"/>
    <w:rsid w:val="00EF033E"/>
    <w:rsid w:val="00EF06EC"/>
    <w:rsid w:val="00EF104C"/>
    <w:rsid w:val="00EF14FF"/>
    <w:rsid w:val="00EF2BFE"/>
    <w:rsid w:val="00EF2D85"/>
    <w:rsid w:val="00EF402C"/>
    <w:rsid w:val="00EF45E0"/>
    <w:rsid w:val="00EF4E6F"/>
    <w:rsid w:val="00EF5C82"/>
    <w:rsid w:val="00EF648B"/>
    <w:rsid w:val="00EF7A15"/>
    <w:rsid w:val="00F0194E"/>
    <w:rsid w:val="00F01F8C"/>
    <w:rsid w:val="00F035A6"/>
    <w:rsid w:val="00F04AD0"/>
    <w:rsid w:val="00F10033"/>
    <w:rsid w:val="00F10848"/>
    <w:rsid w:val="00F10B68"/>
    <w:rsid w:val="00F10C39"/>
    <w:rsid w:val="00F11354"/>
    <w:rsid w:val="00F11F55"/>
    <w:rsid w:val="00F12DEC"/>
    <w:rsid w:val="00F13151"/>
    <w:rsid w:val="00F15523"/>
    <w:rsid w:val="00F16391"/>
    <w:rsid w:val="00F2062B"/>
    <w:rsid w:val="00F21A18"/>
    <w:rsid w:val="00F21E61"/>
    <w:rsid w:val="00F220EA"/>
    <w:rsid w:val="00F222CD"/>
    <w:rsid w:val="00F23D7D"/>
    <w:rsid w:val="00F24EA4"/>
    <w:rsid w:val="00F2625A"/>
    <w:rsid w:val="00F279C7"/>
    <w:rsid w:val="00F31A03"/>
    <w:rsid w:val="00F3283C"/>
    <w:rsid w:val="00F329FD"/>
    <w:rsid w:val="00F32D0F"/>
    <w:rsid w:val="00F343F0"/>
    <w:rsid w:val="00F34620"/>
    <w:rsid w:val="00F34AAB"/>
    <w:rsid w:val="00F34C4D"/>
    <w:rsid w:val="00F350CF"/>
    <w:rsid w:val="00F35582"/>
    <w:rsid w:val="00F37004"/>
    <w:rsid w:val="00F376A1"/>
    <w:rsid w:val="00F37B8E"/>
    <w:rsid w:val="00F41746"/>
    <w:rsid w:val="00F41E79"/>
    <w:rsid w:val="00F4315F"/>
    <w:rsid w:val="00F432EC"/>
    <w:rsid w:val="00F445F6"/>
    <w:rsid w:val="00F44835"/>
    <w:rsid w:val="00F4512F"/>
    <w:rsid w:val="00F45763"/>
    <w:rsid w:val="00F45BCF"/>
    <w:rsid w:val="00F45BEA"/>
    <w:rsid w:val="00F45CFE"/>
    <w:rsid w:val="00F462C8"/>
    <w:rsid w:val="00F46877"/>
    <w:rsid w:val="00F47F3E"/>
    <w:rsid w:val="00F5018B"/>
    <w:rsid w:val="00F523D7"/>
    <w:rsid w:val="00F530E6"/>
    <w:rsid w:val="00F532C7"/>
    <w:rsid w:val="00F54EE5"/>
    <w:rsid w:val="00F55358"/>
    <w:rsid w:val="00F5603C"/>
    <w:rsid w:val="00F5605C"/>
    <w:rsid w:val="00F564B9"/>
    <w:rsid w:val="00F57909"/>
    <w:rsid w:val="00F612D6"/>
    <w:rsid w:val="00F6286D"/>
    <w:rsid w:val="00F63400"/>
    <w:rsid w:val="00F636C6"/>
    <w:rsid w:val="00F6433D"/>
    <w:rsid w:val="00F6573E"/>
    <w:rsid w:val="00F66264"/>
    <w:rsid w:val="00F662EB"/>
    <w:rsid w:val="00F67606"/>
    <w:rsid w:val="00F70327"/>
    <w:rsid w:val="00F70FEF"/>
    <w:rsid w:val="00F72FA8"/>
    <w:rsid w:val="00F75415"/>
    <w:rsid w:val="00F75BDD"/>
    <w:rsid w:val="00F773F9"/>
    <w:rsid w:val="00F8101C"/>
    <w:rsid w:val="00F817B9"/>
    <w:rsid w:val="00F81CB7"/>
    <w:rsid w:val="00F81DC9"/>
    <w:rsid w:val="00F82280"/>
    <w:rsid w:val="00F8235F"/>
    <w:rsid w:val="00F83A22"/>
    <w:rsid w:val="00F83A97"/>
    <w:rsid w:val="00F83E5F"/>
    <w:rsid w:val="00F844F0"/>
    <w:rsid w:val="00F84895"/>
    <w:rsid w:val="00F84E9D"/>
    <w:rsid w:val="00F8659E"/>
    <w:rsid w:val="00F86CE4"/>
    <w:rsid w:val="00F86F42"/>
    <w:rsid w:val="00F91941"/>
    <w:rsid w:val="00F92E3F"/>
    <w:rsid w:val="00F938D2"/>
    <w:rsid w:val="00F9403F"/>
    <w:rsid w:val="00F96389"/>
    <w:rsid w:val="00F9650E"/>
    <w:rsid w:val="00F96B73"/>
    <w:rsid w:val="00F977C7"/>
    <w:rsid w:val="00FA0890"/>
    <w:rsid w:val="00FA1499"/>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2E8"/>
    <w:rsid w:val="00FC0348"/>
    <w:rsid w:val="00FC0FB5"/>
    <w:rsid w:val="00FC102A"/>
    <w:rsid w:val="00FC154C"/>
    <w:rsid w:val="00FC1DBC"/>
    <w:rsid w:val="00FC2637"/>
    <w:rsid w:val="00FC34AE"/>
    <w:rsid w:val="00FC38D7"/>
    <w:rsid w:val="00FC393B"/>
    <w:rsid w:val="00FC4052"/>
    <w:rsid w:val="00FC5252"/>
    <w:rsid w:val="00FC6356"/>
    <w:rsid w:val="00FC7D01"/>
    <w:rsid w:val="00FD0130"/>
    <w:rsid w:val="00FD0373"/>
    <w:rsid w:val="00FD0582"/>
    <w:rsid w:val="00FD0C93"/>
    <w:rsid w:val="00FD1062"/>
    <w:rsid w:val="00FD149D"/>
    <w:rsid w:val="00FD2589"/>
    <w:rsid w:val="00FD4058"/>
    <w:rsid w:val="00FD4876"/>
    <w:rsid w:val="00FD52A3"/>
    <w:rsid w:val="00FD68D4"/>
    <w:rsid w:val="00FE00D9"/>
    <w:rsid w:val="00FE0C90"/>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 w:val="00FF6C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1EC68E"/>
  <w15:chartTrackingRefBased/>
  <w15:docId w15:val="{8A438663-3B47-4EE1-BD4B-8AF4F0B8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paragraph" w:styleId="Virsraksts3">
    <w:name w:val="heading 3"/>
    <w:basedOn w:val="Parasts"/>
    <w:next w:val="Parasts"/>
    <w:link w:val="Virsraksts3Rakstz"/>
    <w:semiHidden/>
    <w:unhideWhenUsed/>
    <w:qFormat/>
    <w:locked/>
    <w:rsid w:val="00375F52"/>
    <w:pPr>
      <w:keepNext/>
      <w:keepLines/>
      <w:spacing w:before="40"/>
      <w:outlineLvl w:val="2"/>
    </w:pPr>
    <w:rPr>
      <w:rFonts w:asciiTheme="majorHAnsi" w:eastAsiaTheme="majorEastAsia" w:hAnsiTheme="majorHAnsi" w:cstheme="majorBidi"/>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rsid w:val="00745496"/>
    <w:pPr>
      <w:tabs>
        <w:tab w:val="center" w:pos="4153"/>
        <w:tab w:val="right" w:pos="8306"/>
      </w:tabs>
    </w:pPr>
  </w:style>
  <w:style w:type="character" w:customStyle="1" w:styleId="KjeneRakstz">
    <w:name w:val="Kājene Rakstz."/>
    <w:link w:val="Kjene"/>
    <w:uiPriority w:val="99"/>
    <w:locked/>
    <w:rsid w:val="009A1431"/>
    <w:rPr>
      <w:rFonts w:cs="Times New Roman"/>
      <w:sz w:val="24"/>
      <w:szCs w:val="24"/>
      <w:lang w:val="lv-LV" w:eastAsia="lv-LV"/>
    </w:rPr>
  </w:style>
  <w:style w:type="paragraph" w:styleId="Sarakstarindkopa">
    <w:name w:val="List Paragraph"/>
    <w:aliases w:val="2,Strip,H&amp;P List Paragraph"/>
    <w:basedOn w:val="Parasts"/>
    <w:link w:val="SarakstarindkopaRakstz"/>
    <w:uiPriority w:val="34"/>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customStyle="1" w:styleId="Default">
    <w:name w:val="Default"/>
    <w:rsid w:val="00733333"/>
    <w:pPr>
      <w:autoSpaceDE w:val="0"/>
      <w:autoSpaceDN w:val="0"/>
      <w:adjustRightInd w:val="0"/>
    </w:pPr>
    <w:rPr>
      <w:rFonts w:eastAsia="Calibri"/>
      <w:color w:val="000000"/>
      <w:sz w:val="24"/>
      <w:szCs w:val="24"/>
    </w:rPr>
  </w:style>
  <w:style w:type="paragraph" w:styleId="Pamattekstsaratkpi">
    <w:name w:val="Body Text Indent"/>
    <w:basedOn w:val="Parasts"/>
    <w:link w:val="PamattekstsaratkpiRakstz"/>
    <w:unhideWhenUsed/>
    <w:rsid w:val="004253B0"/>
    <w:pPr>
      <w:spacing w:after="120"/>
      <w:ind w:left="283"/>
    </w:pPr>
  </w:style>
  <w:style w:type="character" w:customStyle="1" w:styleId="PamattekstsaratkpiRakstz">
    <w:name w:val="Pamatteksts ar atkāpi Rakstz."/>
    <w:basedOn w:val="Noklusjumarindkopasfonts"/>
    <w:link w:val="Pamattekstsaratkpi"/>
    <w:uiPriority w:val="99"/>
    <w:semiHidden/>
    <w:rsid w:val="004253B0"/>
    <w:rPr>
      <w:sz w:val="24"/>
      <w:szCs w:val="24"/>
    </w:rPr>
  </w:style>
  <w:style w:type="character" w:customStyle="1" w:styleId="BodyTextIndentChar1">
    <w:name w:val="Body Text Indent Char1"/>
    <w:rsid w:val="004253B0"/>
    <w:rPr>
      <w:rFonts w:ascii="Times New Roman" w:eastAsia="Times New Roman" w:hAnsi="Times New Roman" w:cs="Times New Roman"/>
      <w:sz w:val="24"/>
      <w:szCs w:val="24"/>
      <w:lang w:val="en-GB"/>
    </w:rPr>
  </w:style>
  <w:style w:type="paragraph" w:customStyle="1" w:styleId="Rakstz1RakstzRakstzRakstzRakstzRakstzRakstzRakstz">
    <w:name w:val="Rakstz.1 Rakstz. Rakstz. Rakstz. Rakstz. Rakstz. Rakstz. Rakstz."/>
    <w:basedOn w:val="Parasts"/>
    <w:autoRedefine/>
    <w:rsid w:val="009E03F2"/>
    <w:pPr>
      <w:spacing w:before="40"/>
    </w:pPr>
    <w:rPr>
      <w:lang w:val="pl-PL" w:eastAsia="pl-PL"/>
    </w:rPr>
  </w:style>
  <w:style w:type="paragraph" w:customStyle="1" w:styleId="tv213">
    <w:name w:val="tv213"/>
    <w:basedOn w:val="Parasts"/>
    <w:rsid w:val="002F337A"/>
    <w:pPr>
      <w:spacing w:before="100" w:beforeAutospacing="1" w:after="100" w:afterAutospacing="1"/>
    </w:pPr>
  </w:style>
  <w:style w:type="character" w:customStyle="1" w:styleId="Virsraksts3Rakstz">
    <w:name w:val="Virsraksts 3 Rakstz."/>
    <w:basedOn w:val="Noklusjumarindkopasfonts"/>
    <w:link w:val="Virsraksts3"/>
    <w:semiHidden/>
    <w:rsid w:val="00375F52"/>
    <w:rPr>
      <w:rFonts w:asciiTheme="majorHAnsi" w:eastAsiaTheme="majorEastAsia" w:hAnsiTheme="majorHAnsi" w:cstheme="majorBidi"/>
      <w:color w:val="1F4D78" w:themeColor="accent1" w:themeShade="7F"/>
      <w:sz w:val="24"/>
      <w:szCs w:val="24"/>
    </w:rPr>
  </w:style>
  <w:style w:type="character" w:customStyle="1" w:styleId="SarakstarindkopaRakstz">
    <w:name w:val="Saraksta rindkopa Rakstz."/>
    <w:aliases w:val="2 Rakstz.,Strip Rakstz.,H&amp;P List Paragraph Rakstz."/>
    <w:link w:val="Sarakstarindkopa"/>
    <w:uiPriority w:val="34"/>
    <w:rsid w:val="009A5856"/>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1652">
      <w:bodyDiv w:val="1"/>
      <w:marLeft w:val="0"/>
      <w:marRight w:val="0"/>
      <w:marTop w:val="0"/>
      <w:marBottom w:val="0"/>
      <w:divBdr>
        <w:top w:val="none" w:sz="0" w:space="0" w:color="auto"/>
        <w:left w:val="none" w:sz="0" w:space="0" w:color="auto"/>
        <w:bottom w:val="none" w:sz="0" w:space="0" w:color="auto"/>
        <w:right w:val="none" w:sz="0" w:space="0" w:color="auto"/>
      </w:divBdr>
    </w:div>
    <w:div w:id="126823942">
      <w:bodyDiv w:val="1"/>
      <w:marLeft w:val="0"/>
      <w:marRight w:val="0"/>
      <w:marTop w:val="0"/>
      <w:marBottom w:val="0"/>
      <w:divBdr>
        <w:top w:val="none" w:sz="0" w:space="0" w:color="auto"/>
        <w:left w:val="none" w:sz="0" w:space="0" w:color="auto"/>
        <w:bottom w:val="none" w:sz="0" w:space="0" w:color="auto"/>
        <w:right w:val="none" w:sz="0" w:space="0" w:color="auto"/>
      </w:divBdr>
    </w:div>
    <w:div w:id="199828163">
      <w:bodyDiv w:val="1"/>
      <w:marLeft w:val="0"/>
      <w:marRight w:val="0"/>
      <w:marTop w:val="0"/>
      <w:marBottom w:val="0"/>
      <w:divBdr>
        <w:top w:val="none" w:sz="0" w:space="0" w:color="auto"/>
        <w:left w:val="none" w:sz="0" w:space="0" w:color="auto"/>
        <w:bottom w:val="none" w:sz="0" w:space="0" w:color="auto"/>
        <w:right w:val="none" w:sz="0" w:space="0" w:color="auto"/>
      </w:divBdr>
    </w:div>
    <w:div w:id="297342623">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75896903">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40887290">
      <w:bodyDiv w:val="1"/>
      <w:marLeft w:val="0"/>
      <w:marRight w:val="0"/>
      <w:marTop w:val="0"/>
      <w:marBottom w:val="0"/>
      <w:divBdr>
        <w:top w:val="none" w:sz="0" w:space="0" w:color="auto"/>
        <w:left w:val="none" w:sz="0" w:space="0" w:color="auto"/>
        <w:bottom w:val="none" w:sz="0" w:space="0" w:color="auto"/>
        <w:right w:val="none" w:sz="0" w:space="0" w:color="auto"/>
      </w:divBdr>
    </w:div>
    <w:div w:id="728043417">
      <w:bodyDiv w:val="1"/>
      <w:marLeft w:val="0"/>
      <w:marRight w:val="0"/>
      <w:marTop w:val="0"/>
      <w:marBottom w:val="0"/>
      <w:divBdr>
        <w:top w:val="none" w:sz="0" w:space="0" w:color="auto"/>
        <w:left w:val="none" w:sz="0" w:space="0" w:color="auto"/>
        <w:bottom w:val="none" w:sz="0" w:space="0" w:color="auto"/>
        <w:right w:val="none" w:sz="0" w:space="0" w:color="auto"/>
      </w:divBdr>
    </w:div>
    <w:div w:id="732964835">
      <w:bodyDiv w:val="1"/>
      <w:marLeft w:val="0"/>
      <w:marRight w:val="0"/>
      <w:marTop w:val="0"/>
      <w:marBottom w:val="0"/>
      <w:divBdr>
        <w:top w:val="none" w:sz="0" w:space="0" w:color="auto"/>
        <w:left w:val="none" w:sz="0" w:space="0" w:color="auto"/>
        <w:bottom w:val="none" w:sz="0" w:space="0" w:color="auto"/>
        <w:right w:val="none" w:sz="0" w:space="0" w:color="auto"/>
      </w:divBdr>
    </w:div>
    <w:div w:id="839319780">
      <w:bodyDiv w:val="1"/>
      <w:marLeft w:val="0"/>
      <w:marRight w:val="0"/>
      <w:marTop w:val="0"/>
      <w:marBottom w:val="0"/>
      <w:divBdr>
        <w:top w:val="none" w:sz="0" w:space="0" w:color="auto"/>
        <w:left w:val="none" w:sz="0" w:space="0" w:color="auto"/>
        <w:bottom w:val="none" w:sz="0" w:space="0" w:color="auto"/>
        <w:right w:val="none" w:sz="0" w:space="0" w:color="auto"/>
      </w:divBdr>
    </w:div>
    <w:div w:id="878782410">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41580415">
      <w:bodyDiv w:val="1"/>
      <w:marLeft w:val="0"/>
      <w:marRight w:val="0"/>
      <w:marTop w:val="0"/>
      <w:marBottom w:val="0"/>
      <w:divBdr>
        <w:top w:val="none" w:sz="0" w:space="0" w:color="auto"/>
        <w:left w:val="none" w:sz="0" w:space="0" w:color="auto"/>
        <w:bottom w:val="none" w:sz="0" w:space="0" w:color="auto"/>
        <w:right w:val="none" w:sz="0" w:space="0" w:color="auto"/>
      </w:divBdr>
    </w:div>
    <w:div w:id="1145051145">
      <w:bodyDiv w:val="1"/>
      <w:marLeft w:val="0"/>
      <w:marRight w:val="0"/>
      <w:marTop w:val="0"/>
      <w:marBottom w:val="0"/>
      <w:divBdr>
        <w:top w:val="none" w:sz="0" w:space="0" w:color="auto"/>
        <w:left w:val="none" w:sz="0" w:space="0" w:color="auto"/>
        <w:bottom w:val="none" w:sz="0" w:space="0" w:color="auto"/>
        <w:right w:val="none" w:sz="0" w:space="0" w:color="auto"/>
      </w:divBdr>
    </w:div>
    <w:div w:id="1181896924">
      <w:bodyDiv w:val="1"/>
      <w:marLeft w:val="0"/>
      <w:marRight w:val="0"/>
      <w:marTop w:val="0"/>
      <w:marBottom w:val="0"/>
      <w:divBdr>
        <w:top w:val="none" w:sz="0" w:space="0" w:color="auto"/>
        <w:left w:val="none" w:sz="0" w:space="0" w:color="auto"/>
        <w:bottom w:val="none" w:sz="0" w:space="0" w:color="auto"/>
        <w:right w:val="none" w:sz="0" w:space="0" w:color="auto"/>
      </w:divBdr>
    </w:div>
    <w:div w:id="1247573468">
      <w:bodyDiv w:val="1"/>
      <w:marLeft w:val="0"/>
      <w:marRight w:val="0"/>
      <w:marTop w:val="0"/>
      <w:marBottom w:val="0"/>
      <w:divBdr>
        <w:top w:val="none" w:sz="0" w:space="0" w:color="auto"/>
        <w:left w:val="none" w:sz="0" w:space="0" w:color="auto"/>
        <w:bottom w:val="none" w:sz="0" w:space="0" w:color="auto"/>
        <w:right w:val="none" w:sz="0" w:space="0" w:color="auto"/>
      </w:divBdr>
    </w:div>
    <w:div w:id="1288857974">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81207566">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70208805">
      <w:bodyDiv w:val="1"/>
      <w:marLeft w:val="0"/>
      <w:marRight w:val="0"/>
      <w:marTop w:val="0"/>
      <w:marBottom w:val="0"/>
      <w:divBdr>
        <w:top w:val="none" w:sz="0" w:space="0" w:color="auto"/>
        <w:left w:val="none" w:sz="0" w:space="0" w:color="auto"/>
        <w:bottom w:val="none" w:sz="0" w:space="0" w:color="auto"/>
        <w:right w:val="none" w:sz="0" w:space="0" w:color="auto"/>
      </w:divBdr>
    </w:div>
    <w:div w:id="1708487606">
      <w:bodyDiv w:val="1"/>
      <w:marLeft w:val="0"/>
      <w:marRight w:val="0"/>
      <w:marTop w:val="0"/>
      <w:marBottom w:val="0"/>
      <w:divBdr>
        <w:top w:val="none" w:sz="0" w:space="0" w:color="auto"/>
        <w:left w:val="none" w:sz="0" w:space="0" w:color="auto"/>
        <w:bottom w:val="none" w:sz="0" w:space="0" w:color="auto"/>
        <w:right w:val="none" w:sz="0" w:space="0" w:color="auto"/>
      </w:divBdr>
    </w:div>
    <w:div w:id="1724063883">
      <w:bodyDiv w:val="1"/>
      <w:marLeft w:val="0"/>
      <w:marRight w:val="0"/>
      <w:marTop w:val="0"/>
      <w:marBottom w:val="0"/>
      <w:divBdr>
        <w:top w:val="none" w:sz="0" w:space="0" w:color="auto"/>
        <w:left w:val="none" w:sz="0" w:space="0" w:color="auto"/>
        <w:bottom w:val="none" w:sz="0" w:space="0" w:color="auto"/>
        <w:right w:val="none" w:sz="0" w:space="0" w:color="auto"/>
      </w:divBdr>
    </w:div>
    <w:div w:id="1864048321">
      <w:bodyDiv w:val="1"/>
      <w:marLeft w:val="0"/>
      <w:marRight w:val="0"/>
      <w:marTop w:val="0"/>
      <w:marBottom w:val="0"/>
      <w:divBdr>
        <w:top w:val="none" w:sz="0" w:space="0" w:color="auto"/>
        <w:left w:val="none" w:sz="0" w:space="0" w:color="auto"/>
        <w:bottom w:val="none" w:sz="0" w:space="0" w:color="auto"/>
        <w:right w:val="none" w:sz="0" w:space="0" w:color="auto"/>
      </w:divBdr>
    </w:div>
    <w:div w:id="187927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9</Pages>
  <Words>1710</Words>
  <Characters>11734</Characters>
  <Application>Microsoft Office Word</Application>
  <DocSecurity>0</DocSecurity>
  <Lines>97</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 gada 10. marta noteikumos Nr. 126 „Tiešo maksājumu piešķiršanas kārtība lauksaimniekiem”</vt:lpstr>
      <vt:lpstr>Grozījumi Ministru kabineta 2015. gada 10. marta noteikumos Nr. 126 „Tiešo maksājumu piešķiršanas kārtība lauksaimniekiem”</vt:lpstr>
    </vt:vector>
  </TitlesOfParts>
  <Company>Zemkopības ministrija</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10. marta noteikumos Nr. 126 „Tiešo maksājumu piešķiršanas kārtība lauksaimniekiem”</dc:title>
  <dc:subject>Izziņa</dc:subject>
  <dc:creator>Elīna Dimanta</dc:creator>
  <cp:keywords/>
  <dc:description>Dimanta 67027237 Elina.Dimanta@zm.gov.lv</dc:description>
  <cp:lastModifiedBy>Sanita Papinova</cp:lastModifiedBy>
  <cp:revision>12</cp:revision>
  <cp:lastPrinted>2017-03-02T06:34:00Z</cp:lastPrinted>
  <dcterms:created xsi:type="dcterms:W3CDTF">2021-03-22T11:04:00Z</dcterms:created>
  <dcterms:modified xsi:type="dcterms:W3CDTF">2021-04-06T06:29:00Z</dcterms:modified>
</cp:coreProperties>
</file>