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CAAD9" w14:textId="52B4840C" w:rsidR="002647B4" w:rsidRPr="004231A0" w:rsidRDefault="00081D23" w:rsidP="00FF2211">
      <w:pPr>
        <w:shd w:val="clear" w:color="auto" w:fill="FFFFFF"/>
        <w:spacing w:before="100" w:beforeAutospacing="1" w:after="100" w:afterAutospacing="1" w:line="293" w:lineRule="atLeast"/>
        <w:ind w:right="-341" w:firstLine="30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</w:pPr>
      <w:r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>Ministru ka</w:t>
      </w:r>
      <w:r w:rsidR="009057C3"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 xml:space="preserve">bineta </w:t>
      </w:r>
      <w:r w:rsidR="0001101C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>”Grozījums</w:t>
      </w:r>
      <w:r w:rsidR="009057C3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 xml:space="preserve"> Ministru kabineta 2010.</w:t>
      </w:r>
      <w:r w:rsidR="00C92DE8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 xml:space="preserve"> </w:t>
      </w:r>
      <w:r w:rsidR="009057C3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>gada 17.</w:t>
      </w:r>
      <w:r w:rsidR="00C92DE8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 xml:space="preserve"> </w:t>
      </w:r>
      <w:r w:rsidR="009057C3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 xml:space="preserve">augusta noteikumos Nr.775 ”Noteikumi par </w:t>
      </w:r>
      <w:r w:rsidR="00FF2211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>karavīru un zemess</w:t>
      </w:r>
      <w:r w:rsidR="007177F3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>a</w:t>
      </w:r>
      <w:r w:rsidR="00FF2211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>rgu</w:t>
      </w:r>
      <w:r w:rsidR="00FF2211" w:rsidRPr="004231A0">
        <w:rPr>
          <w:rFonts w:ascii="Times New Roman" w:eastAsia="Times New Roman" w:hAnsi="Times New Roman" w:cs="Times New Roman"/>
          <w:iCs/>
          <w:sz w:val="25"/>
          <w:szCs w:val="25"/>
          <w:lang w:val="sv-SE" w:eastAsia="lv-LV"/>
        </w:rPr>
        <w:t xml:space="preserve"> </w:t>
      </w:r>
      <w:r w:rsidR="009057C3" w:rsidRPr="004231A0">
        <w:rPr>
          <w:rFonts w:ascii="Times New Roman" w:eastAsia="Times New Roman" w:hAnsi="Times New Roman" w:cs="Times New Roman"/>
          <w:b/>
          <w:iCs/>
          <w:sz w:val="25"/>
          <w:szCs w:val="25"/>
          <w:lang w:val="sv-SE" w:eastAsia="lv-LV"/>
        </w:rPr>
        <w:t>augstāko virsnieku militārajām dienesta pakāpēm atbilstošajiem amatiem”</w:t>
      </w:r>
      <w:r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 xml:space="preserve"> </w:t>
      </w:r>
      <w:r w:rsidR="00EE6E6D"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>noteikumu projekt</w:t>
      </w:r>
      <w:r w:rsidR="00DF2565"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>a</w:t>
      </w:r>
      <w:r w:rsidR="00133731"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>”</w:t>
      </w:r>
      <w:r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 xml:space="preserve"> </w:t>
      </w:r>
      <w:r w:rsidR="00621446"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>sākotnējās ietekmes novērtējuma ziņojums (anotācija</w:t>
      </w:r>
      <w:r w:rsidR="002647B4" w:rsidRPr="004231A0">
        <w:rPr>
          <w:rFonts w:ascii="Times New Roman" w:eastAsia="Times New Roman" w:hAnsi="Times New Roman" w:cs="Times New Roman"/>
          <w:b/>
          <w:bCs/>
          <w:sz w:val="25"/>
          <w:szCs w:val="25"/>
          <w:lang w:eastAsia="lv-LV"/>
        </w:rPr>
        <w:t>)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13"/>
        <w:gridCol w:w="6035"/>
      </w:tblGrid>
      <w:tr w:rsidR="00B55469" w:rsidRPr="004231A0" w14:paraId="4BD26073" w14:textId="77777777" w:rsidTr="00587AE0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F6CA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val="sv-SE"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val="sv-SE" w:eastAsia="lv-LV"/>
              </w:rPr>
              <w:t>Tiesību akta projekta anotācijas kopsavilkums</w:t>
            </w:r>
          </w:p>
        </w:tc>
      </w:tr>
      <w:tr w:rsidR="00B55469" w:rsidRPr="004231A0" w14:paraId="32A0E7DA" w14:textId="77777777" w:rsidTr="00587AE0">
        <w:trPr>
          <w:tblCellSpacing w:w="15" w:type="dxa"/>
        </w:trPr>
        <w:tc>
          <w:tcPr>
            <w:tcW w:w="1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AF70A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1D9C" w14:textId="1360CA45" w:rsidR="00FB2535" w:rsidRPr="004231A0" w:rsidRDefault="0001101C" w:rsidP="00011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Kopsavilkums nav aizpildāms saskaņā ar Ministru kabineta 2009.</w:t>
            </w:r>
            <w:r w:rsidR="00C92DE8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gada 15.</w:t>
            </w:r>
            <w:r w:rsidR="00C92DE8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decembra instrukcijas Nr.19 “Tiesību akta projekta sākotnējās ietekmes izvērtēšanas kārtība” 5.</w:t>
            </w:r>
            <w:r w:rsidRPr="004231A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1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punktu.</w:t>
            </w:r>
          </w:p>
        </w:tc>
      </w:tr>
    </w:tbl>
    <w:p w14:paraId="61EB6B89" w14:textId="77777777" w:rsidR="00081D23" w:rsidRPr="004231A0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 w:rsidRPr="004231A0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2790"/>
        <w:gridCol w:w="6027"/>
      </w:tblGrid>
      <w:tr w:rsidR="00B55469" w:rsidRPr="004231A0" w14:paraId="749C577F" w14:textId="77777777" w:rsidTr="00587AE0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62B4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val="sv-SE"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val="sv-SE" w:eastAsia="lv-LV"/>
              </w:rPr>
              <w:t>I. Tiesību akta projekta izstrādes nepieciešamība</w:t>
            </w:r>
          </w:p>
        </w:tc>
      </w:tr>
      <w:tr w:rsidR="00B55469" w:rsidRPr="004231A0" w14:paraId="0EA83FDC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5A79D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BEAE9" w14:textId="2FAC3343" w:rsidR="00BD0621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Pamatojums</w:t>
            </w:r>
          </w:p>
          <w:p w14:paraId="4A62F4A3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02B1417C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13FDCFDB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437E0B46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C7730E2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163C538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6EB889F1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57B045A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12F61583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7F6B6D1A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1E9D0920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3B3973F8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1E6E7468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4B86154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0CE932C7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65627E78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5D8314E6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09C22DF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149FDB92" w14:textId="77777777" w:rsidR="00BD0621" w:rsidRPr="00BD0621" w:rsidRDefault="00BD0621" w:rsidP="00BD0621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7C3763FB" w14:textId="20F2908B" w:rsidR="00081D23" w:rsidRPr="00BD0621" w:rsidRDefault="00081D23" w:rsidP="00BD0621">
            <w:pPr>
              <w:ind w:firstLine="720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05DB" w14:textId="62ADF3F8" w:rsidR="0001101C" w:rsidRPr="004231A0" w:rsidRDefault="0001101C" w:rsidP="00BD6D44">
            <w:pPr>
              <w:tabs>
                <w:tab w:val="left" w:pos="150"/>
              </w:tabs>
              <w:spacing w:after="0" w:line="240" w:lineRule="auto"/>
              <w:ind w:firstLine="579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Ministru kabienta noteikumu projekts ”Grozījums Ministru kabineta 2010.</w:t>
            </w:r>
            <w:r w:rsidR="00C92DE8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gada 17.</w:t>
            </w:r>
            <w:r w:rsidR="00C92DE8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augusta noteikumos Nr.775 ”Noteikumi par 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karavīru un zemess</w:t>
            </w:r>
            <w:r w:rsidR="007177F3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rgu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augstāko virsnieku militārajām dienesta pakāpēm atbilstošajiem amatiem” (turpmāk – MK noteikumu projekts) izstrādāts pēc Aizsardzības ministrijas iniciatīvas.</w:t>
            </w:r>
          </w:p>
          <w:p w14:paraId="7EA40CED" w14:textId="276FDC11" w:rsidR="00587155" w:rsidRPr="004231A0" w:rsidRDefault="00587155" w:rsidP="00BD6D44">
            <w:pPr>
              <w:pStyle w:val="Default"/>
              <w:ind w:firstLine="579"/>
              <w:jc w:val="both"/>
              <w:rPr>
                <w:color w:val="auto"/>
                <w:sz w:val="25"/>
                <w:szCs w:val="25"/>
              </w:rPr>
            </w:pPr>
            <w:r w:rsidRPr="004231A0">
              <w:rPr>
                <w:rFonts w:eastAsia="Times New Roman"/>
                <w:iCs/>
                <w:color w:val="auto"/>
                <w:sz w:val="25"/>
                <w:szCs w:val="25"/>
                <w:lang w:val="sv-SE" w:eastAsia="lv-LV"/>
              </w:rPr>
              <w:t xml:space="preserve">Ņemot vērā Saeimas 2020. gadā apstiprinātajā Valsts Aizsardzības koncepcijā minēto, un lai </w:t>
            </w:r>
            <w:r w:rsidRPr="004231A0">
              <w:rPr>
                <w:color w:val="auto"/>
                <w:sz w:val="25"/>
                <w:szCs w:val="25"/>
              </w:rPr>
              <w:t xml:space="preserve">nodrošinātu pilnvērtīgu atturēšanu un valsts gatavību ārējai agresijai, būtiski ir stiprināt un attīstīt divpusējo un daudzpusējo militāro sadarbību, tai skaitā </w:t>
            </w:r>
            <w:r w:rsidR="004776D8" w:rsidRPr="004231A0">
              <w:rPr>
                <w:color w:val="auto"/>
                <w:sz w:val="25"/>
                <w:szCs w:val="25"/>
              </w:rPr>
              <w:t xml:space="preserve">veicināt </w:t>
            </w:r>
            <w:r w:rsidRPr="004231A0">
              <w:rPr>
                <w:color w:val="auto"/>
                <w:sz w:val="25"/>
                <w:szCs w:val="25"/>
              </w:rPr>
              <w:t xml:space="preserve">ciešāku koordināciju ar </w:t>
            </w:r>
            <w:r w:rsidR="002C2324" w:rsidRPr="004231A0">
              <w:rPr>
                <w:color w:val="auto"/>
                <w:sz w:val="25"/>
                <w:szCs w:val="25"/>
                <w:shd w:val="clear" w:color="auto" w:fill="FFFFFF"/>
              </w:rPr>
              <w:t>Ziemeļatlantijas līguma organizācijas</w:t>
            </w:r>
            <w:r w:rsidR="002C2324" w:rsidRPr="004231A0">
              <w:rPr>
                <w:color w:val="auto"/>
                <w:sz w:val="25"/>
                <w:szCs w:val="25"/>
              </w:rPr>
              <w:t xml:space="preserve"> (turpmāk – </w:t>
            </w:r>
            <w:r w:rsidRPr="004231A0">
              <w:rPr>
                <w:color w:val="auto"/>
                <w:sz w:val="25"/>
                <w:szCs w:val="25"/>
              </w:rPr>
              <w:t>NATO</w:t>
            </w:r>
            <w:r w:rsidR="002C2324" w:rsidRPr="004231A0">
              <w:rPr>
                <w:color w:val="auto"/>
                <w:sz w:val="25"/>
                <w:szCs w:val="25"/>
              </w:rPr>
              <w:t>)</w:t>
            </w:r>
            <w:r w:rsidRPr="004231A0">
              <w:rPr>
                <w:color w:val="auto"/>
                <w:sz w:val="25"/>
                <w:szCs w:val="25"/>
              </w:rPr>
              <w:t xml:space="preserve"> štābiem un nacionālo iesaisti NATO plānu  un dokumentu izstrādes procesā. Šīs sadarbības un </w:t>
            </w:r>
            <w:r w:rsidR="004776D8" w:rsidRPr="004231A0">
              <w:rPr>
                <w:color w:val="auto"/>
                <w:sz w:val="25"/>
                <w:szCs w:val="25"/>
              </w:rPr>
              <w:t>koordinācijas</w:t>
            </w:r>
            <w:r w:rsidR="00212771">
              <w:rPr>
                <w:color w:val="auto"/>
                <w:sz w:val="25"/>
                <w:szCs w:val="25"/>
              </w:rPr>
              <w:t xml:space="preserve"> </w:t>
            </w:r>
            <w:r w:rsidRPr="004231A0">
              <w:rPr>
                <w:color w:val="auto"/>
                <w:sz w:val="25"/>
                <w:szCs w:val="25"/>
              </w:rPr>
              <w:t>mērķis ir veicināt informācijas apmaiņu, aizsardzības partnerību, kopīgu dalību starptautiskajās operācijās</w:t>
            </w:r>
            <w:r w:rsidR="007D0D49" w:rsidRPr="004231A0">
              <w:rPr>
                <w:color w:val="auto"/>
                <w:sz w:val="25"/>
                <w:szCs w:val="25"/>
              </w:rPr>
              <w:t xml:space="preserve"> un NATO gatavības spēkos</w:t>
            </w:r>
            <w:r w:rsidRPr="004231A0">
              <w:rPr>
                <w:color w:val="auto"/>
                <w:sz w:val="25"/>
                <w:szCs w:val="25"/>
              </w:rPr>
              <w:t xml:space="preserve"> kā a</w:t>
            </w:r>
            <w:r w:rsidR="007D0D49" w:rsidRPr="004231A0">
              <w:rPr>
                <w:color w:val="auto"/>
                <w:sz w:val="25"/>
                <w:szCs w:val="25"/>
              </w:rPr>
              <w:t>rī nacionālo interešu atspoguļošanu NATO plānos</w:t>
            </w:r>
            <w:r w:rsidRPr="004231A0">
              <w:rPr>
                <w:color w:val="auto"/>
                <w:sz w:val="25"/>
                <w:szCs w:val="25"/>
              </w:rPr>
              <w:t xml:space="preserve">.  </w:t>
            </w:r>
          </w:p>
          <w:p w14:paraId="2EB6EEBD" w14:textId="39DA6E29" w:rsidR="007D0D49" w:rsidRPr="004231A0" w:rsidRDefault="007D0D49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Tādejādi, lai 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uzlabotu koordinā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ci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ju un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militāro </w:t>
            </w:r>
            <w:r w:rsidR="00212771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lēmumu pieņemšanas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procesu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starp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Latvijas un 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stratēģiskā līmeņa štābiem un NATO atbildības rajonu komandieriem atturēšanas (deterrance) aktivitāšu laikā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,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papildus atbildīb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u tiek paredzēts 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uzticēt Latvijas pārstāvniecībai </w:t>
            </w:r>
            <w:r w:rsidR="004776D8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NATO </w:t>
            </w:r>
            <w:r w:rsidR="00DA596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Sabiedroto </w:t>
            </w:r>
            <w:r w:rsidR="00994FA1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operāciju</w:t>
            </w:r>
            <w:r w:rsidR="00DA596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</w:t>
            </w:r>
            <w:r w:rsidR="002F6B9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pavēlniecībā (</w:t>
            </w:r>
            <w:r w:rsidR="002C2324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turpmāk - </w:t>
            </w:r>
            <w:r w:rsidR="002F6B9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ACO)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un Nacionālājam militārajam pārstāvim</w:t>
            </w:r>
            <w:r w:rsidR="004776D8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tajā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. </w:t>
            </w:r>
          </w:p>
          <w:p w14:paraId="61BF9AF3" w14:textId="4EDEF8B8" w:rsidR="00081D23" w:rsidRPr="004231A0" w:rsidRDefault="003E0DBC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Viens no atzītajiem faktoriem militārā vidē</w:t>
            </w:r>
            <w:r w:rsidR="00212771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, jo īpaši starptautiskajā,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ir </w:t>
            </w:r>
            <w:r w:rsidR="007D0D49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militārā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pārstāvja militārā dienesta pakāpe, kura </w:t>
            </w:r>
            <w:r w:rsidR="007D0D49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palielina tā iespējamo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piekļuvi  </w:t>
            </w:r>
            <w:r w:rsidR="003565B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augstākā NATO militārā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līmeņa vadītājiem un </w:t>
            </w:r>
            <w:r w:rsidR="00C00C32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sarunu vienlīdzīgā līmenī un </w:t>
            </w:r>
            <w:r w:rsidR="007D0D49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nepieciešamības gadījumā </w:t>
            </w:r>
            <w:r w:rsidR="00C00C32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ātru </w:t>
            </w:r>
            <w:r w:rsidR="003565B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nacionālo </w:t>
            </w:r>
            <w:r w:rsidR="007D0D49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militāro </w:t>
            </w:r>
            <w:r w:rsidR="00C00C32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lēmuma pieņemšanu.</w:t>
            </w:r>
            <w:r w:rsidR="00A60FF0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</w:t>
            </w:r>
            <w:r w:rsidR="007D0D49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</w:t>
            </w:r>
          </w:p>
        </w:tc>
      </w:tr>
      <w:tr w:rsidR="00B55469" w:rsidRPr="004231A0" w14:paraId="5A44A590" w14:textId="77777777" w:rsidTr="00284036">
        <w:trPr>
          <w:trHeight w:val="6099"/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69DC1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lastRenderedPageBreak/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EF636" w14:textId="77777777" w:rsidR="00663C28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938748C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45DBED4F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12BD05C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28E5190A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77FE5046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725A7DBF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1496ED05" w14:textId="77777777" w:rsidR="00663C28" w:rsidRPr="004231A0" w:rsidRDefault="00663C28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  <w:p w14:paraId="554D4A60" w14:textId="343C7561" w:rsidR="00081D23" w:rsidRPr="004231A0" w:rsidRDefault="00081D23" w:rsidP="00663C28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3DE66" w14:textId="49F2F3DC" w:rsidR="00CC4298" w:rsidRPr="004231A0" w:rsidRDefault="00CC4298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Pēdējo 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divu/trīs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gadu laikā 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NATO vadība ir uzdevusi </w:t>
            </w:r>
            <w:r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NATO </w:t>
            </w:r>
            <w:r w:rsidR="00EA7268"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>ACO</w:t>
            </w:r>
            <w:r w:rsidR="002F6B9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>štābam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, koordinējot ar dalībvalstīm,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izstrādāt vai pārstrādāt 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vairākus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ļoti svarīgu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(tai skaitā Latvijai) NATO konceptuālu</w:t>
            </w:r>
            <w:r w:rsidR="00854434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dokumentu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, stratēģisko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plānu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s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un koncepcij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as</w:t>
            </w:r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gramStart"/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tādus kā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NATO </w:t>
            </w:r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militārā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stratēģija</w:t>
            </w:r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>Apvienoto spēku augstākā virspavēlnieka Eiropā (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SACEUR</w:t>
            </w:r>
            <w:r w:rsidR="008C2184" w:rsidRPr="004231A0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stratēģiskās vadlīnijas</w:t>
            </w:r>
            <w:proofErr w:type="gramEnd"/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, NATO 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Komandvadības</w:t>
            </w:r>
            <w:r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, </w:t>
            </w:r>
            <w:r w:rsidR="00C029B0"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>NATO Reaģēšanas spēku (</w:t>
            </w:r>
            <w:r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>NRF</w:t>
            </w:r>
            <w:r w:rsidR="00C029B0"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un NAT</w:t>
            </w:r>
            <w:r w:rsidR="000D08DD" w:rsidRPr="004231A0">
              <w:rPr>
                <w:rFonts w:ascii="Times New Roman" w:hAnsi="Times New Roman" w:cs="Times New Roman"/>
                <w:sz w:val="25"/>
                <w:szCs w:val="25"/>
              </w:rPr>
              <w:t>O gatavības iniciatīvas koncepci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jas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029B0" w:rsidRPr="004231A0">
              <w:rPr>
                <w:rFonts w:ascii="Times New Roman" w:hAnsi="Times New Roman" w:cs="Times New Roman"/>
                <w:sz w:val="25"/>
                <w:szCs w:val="25"/>
              </w:rPr>
              <w:t>Kā arī ir uzdevusi k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onceptuāli pārstrādāt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Graduated</w:t>
            </w:r>
            <w:proofErr w:type="spellEnd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response</w:t>
            </w:r>
            <w:proofErr w:type="spellEnd"/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un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Standing</w:t>
            </w:r>
            <w:proofErr w:type="spellEnd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defence</w:t>
            </w:r>
            <w:proofErr w:type="spellEnd"/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plānus, kā arī izstrādāt </w:t>
            </w:r>
            <w:r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>SACEUR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Strategic</w:t>
            </w:r>
            <w:proofErr w:type="spellEnd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Area</w:t>
            </w:r>
            <w:proofErr w:type="spellEnd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proofErr w:type="spellStart"/>
            <w:r w:rsidRPr="004231A0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wide</w:t>
            </w:r>
            <w:proofErr w:type="spellEnd"/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plānu. Papildus tam </w:t>
            </w:r>
            <w:r w:rsidR="009F1A76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NATO </w:t>
            </w:r>
            <w:r w:rsidR="00EA7268" w:rsidRPr="004231A0">
              <w:rPr>
                <w:rFonts w:ascii="Times New Roman" w:hAnsi="Times New Roman" w:cs="Times New Roman"/>
                <w:sz w:val="25"/>
                <w:szCs w:val="25"/>
              </w:rPr>
              <w:t>ACO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 uzsāka koordinēt un vadīt NATO kolektīvo mācību procesu, kur kritiska loma apmācību procesā ir arī </w:t>
            </w:r>
            <w:r w:rsidR="002F6B95" w:rsidRPr="004231A0">
              <w:rPr>
                <w:rFonts w:ascii="Times New Roman" w:hAnsi="Times New Roman" w:cs="Times New Roman"/>
                <w:sz w:val="25"/>
                <w:szCs w:val="25"/>
              </w:rPr>
              <w:t>tās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štābam un Nacionālo militāro pārstāvju (NMR) dalībai tajā</w:t>
            </w:r>
            <w:r w:rsidR="00F24692" w:rsidRPr="004231A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14:paraId="6BDF305B" w14:textId="0F450228" w:rsidR="009B6125" w:rsidRPr="004231A0" w:rsidRDefault="0001101C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Pieaugot uzdevumu apjomam un atbildībai, kas tiek deleģēta </w:t>
            </w:r>
            <w:r w:rsidRPr="004231A0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SACEUR un NATO ACO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štābam, tiek sagaidīta lielāka </w:t>
            </w:r>
            <w:r w:rsidR="00221972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iesaistīto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valstu Nacionālo militāro pārstāvju dalība ekspertīzes sniegšanā sākotnējā plānošanas procesā, jo</w:t>
            </w:r>
            <w:proofErr w:type="gramStart"/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īpaši sniedzot</w:t>
            </w:r>
            <w:proofErr w:type="gramEnd"/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valsts nacionālo militāro viedokli </w:t>
            </w:r>
            <w:r w:rsidR="00AE6DCA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un izvērtējumu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par </w:t>
            </w:r>
            <w:r w:rsidR="009F1A76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NATO </w:t>
            </w:r>
            <w:r w:rsidR="002F6B95" w:rsidRPr="004231A0">
              <w:rPr>
                <w:rFonts w:ascii="Times New Roman" w:hAnsi="Times New Roman" w:cs="Times New Roman"/>
                <w:sz w:val="25"/>
                <w:szCs w:val="25"/>
              </w:rPr>
              <w:t>ACO štāba izstrādātajiem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plāniem, koncepcijām</w:t>
            </w:r>
            <w:r w:rsidR="00221972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to izstrādes procesā. </w:t>
            </w:r>
          </w:p>
          <w:p w14:paraId="261FAD5F" w14:textId="6E7DAE9F" w:rsidR="00A60FF0" w:rsidRPr="004231A0" w:rsidRDefault="003D4A9A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</w:pP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Ņemot vērā, ka </w:t>
            </w:r>
            <w:r w:rsidR="009B612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palielinās </w:t>
            </w:r>
            <w:r w:rsidR="00F24692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Nacionālā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militār</w:t>
            </w:r>
            <w:r w:rsidR="009B612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ā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pārstāv</w:t>
            </w:r>
            <w:r w:rsidR="009B612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ja </w:t>
            </w:r>
            <w:r w:rsidR="002F6B9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NATO </w:t>
            </w:r>
            <w:r w:rsidR="00F24692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ACO </w:t>
            </w:r>
            <w:r w:rsidR="00994FA1" w:rsidRPr="004231A0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F17C39" w:rsidRPr="004231A0">
              <w:rPr>
                <w:rFonts w:ascii="Times New Roman" w:hAnsi="Times New Roman" w:cs="Times New Roman"/>
                <w:sz w:val="25"/>
                <w:szCs w:val="25"/>
              </w:rPr>
              <w:t>šobrīd</w:t>
            </w:r>
            <w:r w:rsidR="00994FA1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tas ir pulkveža amats) </w:t>
            </w:r>
            <w:r w:rsidR="009B6125" w:rsidRPr="004231A0">
              <w:rPr>
                <w:rFonts w:ascii="Times New Roman" w:hAnsi="Times New Roman" w:cs="Times New Roman"/>
                <w:sz w:val="25"/>
                <w:szCs w:val="25"/>
              </w:rPr>
              <w:t>loma</w:t>
            </w:r>
            <w:r w:rsidR="00F539FC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un atbildība</w:t>
            </w:r>
            <w:r w:rsidR="009B612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24692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NATO stratēģiskā līmeņa militāro lēmumu koordinācijas </w:t>
            </w:r>
            <w:r w:rsidR="009B6125" w:rsidRPr="004231A0">
              <w:rPr>
                <w:rFonts w:ascii="Times New Roman" w:hAnsi="Times New Roman" w:cs="Times New Roman"/>
                <w:sz w:val="25"/>
                <w:szCs w:val="25"/>
              </w:rPr>
              <w:t>proces</w:t>
            </w:r>
            <w:r w:rsidR="007D7345">
              <w:rPr>
                <w:rFonts w:ascii="Times New Roman" w:hAnsi="Times New Roman" w:cs="Times New Roman"/>
                <w:sz w:val="25"/>
                <w:szCs w:val="25"/>
              </w:rPr>
              <w:t>ā</w:t>
            </w:r>
            <w:r w:rsidR="009B612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miera un krīzes laikā</w:t>
            </w:r>
            <w:r w:rsidR="00F539FC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ir nepieciešamība noteikt 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minētajam </w:t>
            </w:r>
            <w:r w:rsidR="00F539FC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amatam amata pakāpi – brigādes ģenerālis.</w:t>
            </w:r>
          </w:p>
          <w:p w14:paraId="3FDC8926" w14:textId="4762477E" w:rsidR="008E7555" w:rsidRPr="004231A0" w:rsidRDefault="000201AA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Ministru kabineta 2010. gada 17. augusta noteikumu Nr.775 ”Noteikumi par karavīru un zemessrgu augstāko virsnieku militārajām dienesta pakāpēm atbilstošajiem amatiem” 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2.6.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apakšpunktā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minētais 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amata nosaukums nevar būt attiecināms uz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Nacionālā militārā pārstāvja NATO ACO 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amatu, jo tas </w:t>
            </w:r>
            <w:r w:rsidR="00C3148D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funkcionāli 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atrodas Latvijas pārstāvniecībā nevis NATO štābā. Tāpat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uz šo amatu 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nevar būt attiec</w:t>
            </w:r>
            <w:r w:rsidR="00C3148D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i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nāms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minēto 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noteikumu 3.2.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apakšpunktā</w:t>
            </w:r>
            <w:r w:rsidR="008E7555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minētais amats, jo tas ietver visu NATO un arī Eiropas Savien</w:t>
            </w:r>
            <w:r w:rsidR="00C3148D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ību</w:t>
            </w:r>
            <w:r w:rsidR="009F1A76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,</w:t>
            </w:r>
            <w:r w:rsidR="00C3148D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un </w:t>
            </w:r>
            <w:r w:rsidR="00364C5B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viņam</w:t>
            </w:r>
            <w:r w:rsidR="00C3148D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 ir pakļauts Nacionālais militārais pārstāvis </w:t>
            </w:r>
            <w:r w:rsidR="00364C5B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NATO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ACO</w:t>
            </w:r>
            <w:r w:rsidR="00364C5B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>.</w:t>
            </w:r>
          </w:p>
          <w:p w14:paraId="74B222A2" w14:textId="39D2AA9C" w:rsidR="00167E40" w:rsidRPr="004231A0" w:rsidRDefault="00221972" w:rsidP="00BD6D44">
            <w:pPr>
              <w:tabs>
                <w:tab w:val="left" w:pos="150"/>
              </w:tabs>
              <w:spacing w:after="0" w:line="240" w:lineRule="auto"/>
              <w:ind w:firstLine="7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231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Līdz ar to MK noteikumu projekts paredz Nacionālā militārā 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pārstāvja </w:t>
            </w:r>
            <w:r w:rsidR="00F24692" w:rsidRPr="004231A0">
              <w:rPr>
                <w:rFonts w:ascii="Times New Roman" w:hAnsi="Times New Roman" w:cs="Times New Roman"/>
                <w:sz w:val="25"/>
                <w:szCs w:val="25"/>
              </w:rPr>
              <w:t>NATO</w:t>
            </w: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201AA" w:rsidRPr="004231A0">
              <w:rPr>
                <w:rFonts w:ascii="Times New Roman" w:hAnsi="Times New Roman" w:cs="Times New Roman"/>
                <w:sz w:val="25"/>
                <w:szCs w:val="25"/>
              </w:rPr>
              <w:t>ACO</w:t>
            </w:r>
            <w:r w:rsidR="002F6B95" w:rsidRPr="004231A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231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amatam noteikt amata pakāpi</w:t>
            </w:r>
            <w:r w:rsidR="00D71E9E" w:rsidRPr="004231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BD6D44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t xml:space="preserve">– </w:t>
            </w:r>
            <w:r w:rsidRPr="004231A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brigādes ģenerālis.</w:t>
            </w:r>
          </w:p>
        </w:tc>
      </w:tr>
      <w:tr w:rsidR="00B55469" w:rsidRPr="004231A0" w14:paraId="6B9CA12A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059E9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F5E5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1926" w14:textId="033E5002" w:rsidR="00081D23" w:rsidRPr="004231A0" w:rsidRDefault="00E8281C" w:rsidP="003E6E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Aizsardzības ministrija, Nacionālie bruņotie spēki.</w:t>
            </w:r>
          </w:p>
        </w:tc>
      </w:tr>
      <w:tr w:rsidR="00B55469" w:rsidRPr="004231A0" w14:paraId="7BA505BF" w14:textId="77777777" w:rsidTr="00587AE0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FCAB5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lastRenderedPageBreak/>
              <w:t>4.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064BD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55831" w14:textId="77777777" w:rsidR="00081D23" w:rsidRPr="004231A0" w:rsidRDefault="0006188B" w:rsidP="00927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Nav</w:t>
            </w:r>
          </w:p>
        </w:tc>
      </w:tr>
    </w:tbl>
    <w:p w14:paraId="04DA6833" w14:textId="77777777" w:rsidR="00081D23" w:rsidRPr="004231A0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5"/>
          <w:szCs w:val="25"/>
          <w:lang w:val="en-US" w:eastAsia="lv-LV"/>
        </w:rPr>
      </w:pPr>
      <w:r w:rsidRPr="004231A0">
        <w:rPr>
          <w:rFonts w:ascii="Times New Roman" w:eastAsia="Times New Roman" w:hAnsi="Times New Roman" w:cs="Times New Roman"/>
          <w:iCs/>
          <w:sz w:val="25"/>
          <w:szCs w:val="25"/>
          <w:lang w:val="en-US"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"/>
        <w:gridCol w:w="2790"/>
        <w:gridCol w:w="6027"/>
      </w:tblGrid>
      <w:tr w:rsidR="00722D39" w:rsidRPr="004231A0" w14:paraId="1F53FA8D" w14:textId="77777777" w:rsidTr="00081D23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3116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22D39" w:rsidRPr="004231A0" w14:paraId="6267E899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FB9BA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1.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511DA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Sabiedrības mērķgrupas, kuras tiesiskais regulējums ietekmē</w:t>
            </w:r>
            <w:proofErr w:type="gramStart"/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AA6A4" w14:textId="496A25FF" w:rsidR="00EB6D92" w:rsidRPr="004231A0" w:rsidRDefault="00212771" w:rsidP="00212771">
            <w:pPr>
              <w:tabs>
                <w:tab w:val="left" w:pos="1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Nacionālo bruņoto spēku personāls.</w:t>
            </w:r>
          </w:p>
        </w:tc>
      </w:tr>
      <w:tr w:rsidR="00722D39" w:rsidRPr="004231A0" w14:paraId="01C049F8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31BB6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2.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ADEB2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3ABD" w14:textId="792A583E" w:rsidR="00081D23" w:rsidRPr="004231A0" w:rsidRDefault="000D1720" w:rsidP="00061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Sabiedrības grupām un institūcijām projekt</w:t>
            </w:r>
            <w:r w:rsidR="0045576F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a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 xml:space="preserve"> tiesiskais regulējums nemaina tiesības un pienākumus.</w:t>
            </w:r>
          </w:p>
        </w:tc>
      </w:tr>
      <w:tr w:rsidR="00722D39" w:rsidRPr="004231A0" w14:paraId="710004F3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5262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3.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F68A6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Administratīvo izmaksu monetārs novērtējums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E7A21" w14:textId="56E79F03" w:rsidR="00081D23" w:rsidRPr="004231A0" w:rsidRDefault="00405088" w:rsidP="004050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 xml:space="preserve">Projekts </w:t>
            </w:r>
            <w:r w:rsidR="00A4763D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šo jomu neskar.</w:t>
            </w:r>
          </w:p>
        </w:tc>
      </w:tr>
      <w:tr w:rsidR="00722D39" w:rsidRPr="004231A0" w14:paraId="35E27A0D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ACAA0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4.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C28C8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Atbilstības izmaksu monetārs novērtējums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52D29" w14:textId="0ECC0AFD" w:rsidR="00081D23" w:rsidRPr="004231A0" w:rsidRDefault="00A4763D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Projekt</w:t>
            </w:r>
            <w:r w:rsidR="00405088"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s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 xml:space="preserve"> šo jomu neskar.</w:t>
            </w:r>
          </w:p>
        </w:tc>
      </w:tr>
      <w:tr w:rsidR="00722D39" w:rsidRPr="004231A0" w14:paraId="00ABE230" w14:textId="77777777" w:rsidTr="00081D23">
        <w:trPr>
          <w:tblCellSpacing w:w="15" w:type="dxa"/>
        </w:trPr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11DBD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5.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EAD69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Cita informācija</w:t>
            </w:r>
          </w:p>
        </w:tc>
        <w:tc>
          <w:tcPr>
            <w:tcW w:w="3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F4F24" w14:textId="77777777" w:rsidR="00081D23" w:rsidRPr="004231A0" w:rsidRDefault="00A4763D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Nav</w:t>
            </w:r>
          </w:p>
        </w:tc>
      </w:tr>
    </w:tbl>
    <w:p w14:paraId="5D10F133" w14:textId="77777777" w:rsidR="00081D23" w:rsidRPr="004231A0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5"/>
          <w:szCs w:val="25"/>
          <w:lang w:val="en-US" w:eastAsia="lv-LV"/>
        </w:rPr>
      </w:pPr>
      <w:r w:rsidRPr="004231A0">
        <w:rPr>
          <w:rFonts w:ascii="Times New Roman" w:eastAsia="Times New Roman" w:hAnsi="Times New Roman" w:cs="Times New Roman"/>
          <w:iCs/>
          <w:sz w:val="25"/>
          <w:szCs w:val="25"/>
          <w:lang w:val="en-US"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E624EF" w:rsidRPr="004231A0" w14:paraId="629FCE12" w14:textId="77777777" w:rsidTr="00400580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2058" w14:textId="77777777" w:rsidR="00E624EF" w:rsidRPr="004231A0" w:rsidRDefault="00E624EF" w:rsidP="00E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  <w:t>III. Tiesību akta projekta ietekme uz valsts budžetu un pašvaldību budžetiem</w:t>
            </w:r>
          </w:p>
        </w:tc>
      </w:tr>
      <w:tr w:rsidR="00E624EF" w:rsidRPr="004231A0" w14:paraId="5F22C65A" w14:textId="77777777" w:rsidTr="00400580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7D5B" w14:textId="77777777" w:rsidR="00E624EF" w:rsidRPr="004231A0" w:rsidRDefault="00E624EF" w:rsidP="00E62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Projekts šo jomu neskar.</w:t>
            </w:r>
          </w:p>
        </w:tc>
      </w:tr>
    </w:tbl>
    <w:p w14:paraId="76C3B87D" w14:textId="6B52445A" w:rsidR="00081D23" w:rsidRPr="004231A0" w:rsidRDefault="00E624EF" w:rsidP="00081D23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5"/>
          <w:szCs w:val="25"/>
          <w:lang w:eastAsia="lv-LV"/>
        </w:rPr>
      </w:pPr>
      <w:r w:rsidRPr="004231A0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 xml:space="preserve">  </w:t>
      </w:r>
      <w:r w:rsidR="00081D23" w:rsidRPr="004231A0">
        <w:rPr>
          <w:rFonts w:ascii="Times New Roman" w:eastAsia="Times New Roman" w:hAnsi="Times New Roman" w:cs="Times New Roman"/>
          <w:iCs/>
          <w:color w:val="414142"/>
          <w:sz w:val="25"/>
          <w:szCs w:val="25"/>
          <w:lang w:eastAsia="lv-LV"/>
        </w:rPr>
        <w:t xml:space="preserve">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081D23" w:rsidRPr="004231A0" w14:paraId="2F8F5B33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83BA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  <w:t>IV. Tiesību akta projekta ietekme uz spēkā esošo tiesību normu sistēmu</w:t>
            </w:r>
          </w:p>
        </w:tc>
      </w:tr>
      <w:tr w:rsidR="00081D23" w:rsidRPr="004231A0" w14:paraId="0EAAC493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8B32" w14:textId="39EA96C7" w:rsidR="00081D23" w:rsidRPr="004231A0" w:rsidRDefault="009B1748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Projekt</w:t>
            </w:r>
            <w:r w:rsidR="00405088"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s</w:t>
            </w:r>
            <w:r w:rsidR="00081D23"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 xml:space="preserve"> šo jomu neskar</w:t>
            </w:r>
            <w:r w:rsidR="006966BE"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.</w:t>
            </w:r>
          </w:p>
        </w:tc>
      </w:tr>
    </w:tbl>
    <w:p w14:paraId="71C8588E" w14:textId="1FC958DA" w:rsidR="005E070D" w:rsidRPr="004231A0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5"/>
          <w:szCs w:val="25"/>
          <w:lang w:eastAsia="lv-LV"/>
        </w:rPr>
      </w:pPr>
      <w:r w:rsidRPr="004231A0">
        <w:rPr>
          <w:rFonts w:ascii="Times New Roman" w:eastAsia="Times New Roman" w:hAnsi="Times New Roman" w:cs="Times New Roman"/>
          <w:iCs/>
          <w:color w:val="414142"/>
          <w:sz w:val="25"/>
          <w:szCs w:val="25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722D39" w:rsidRPr="004231A0" w14:paraId="706048E3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24BE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  <w:t>V. Tiesību akta projekta atbilstība Latvijas Republikas starptautiskajām saistībām</w:t>
            </w:r>
          </w:p>
        </w:tc>
      </w:tr>
      <w:tr w:rsidR="00722D39" w:rsidRPr="004231A0" w14:paraId="7F540546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31B0" w14:textId="77A732D2" w:rsidR="00081D23" w:rsidRPr="004231A0" w:rsidRDefault="009B1748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Projekt</w:t>
            </w:r>
            <w:r w:rsidR="00405088"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s</w:t>
            </w:r>
            <w:r w:rsidR="00081D23"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 xml:space="preserve"> šo jomu neskar</w:t>
            </w:r>
            <w:r w:rsidR="0013233F"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.</w:t>
            </w:r>
          </w:p>
        </w:tc>
      </w:tr>
    </w:tbl>
    <w:p w14:paraId="2BC78475" w14:textId="3B05AE68" w:rsidR="005E070D" w:rsidRPr="004231A0" w:rsidRDefault="00081D23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  <w:r w:rsidRPr="004231A0"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  <w:t xml:space="preserve">  </w:t>
      </w: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722D39" w:rsidRPr="004231A0" w14:paraId="1F03E891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1512D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  <w:t>VI. Sabiedrības līdzdalība un komunikācijas aktivitātes</w:t>
            </w:r>
          </w:p>
        </w:tc>
      </w:tr>
      <w:tr w:rsidR="00284036" w:rsidRPr="004231A0" w14:paraId="1FDCDD37" w14:textId="77777777" w:rsidTr="008E362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21D59" w14:textId="0C32F315" w:rsidR="00284036" w:rsidRPr="004231A0" w:rsidRDefault="00284036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Cs/>
                <w:iCs/>
                <w:sz w:val="25"/>
                <w:szCs w:val="25"/>
                <w:lang w:eastAsia="lv-LV"/>
              </w:rPr>
              <w:t>Projekts šo jomu neskar.</w:t>
            </w:r>
          </w:p>
        </w:tc>
      </w:tr>
    </w:tbl>
    <w:p w14:paraId="6AB45BCC" w14:textId="77777777" w:rsidR="005E070D" w:rsidRPr="004231A0" w:rsidRDefault="005E070D" w:rsidP="00081D23">
      <w:pPr>
        <w:spacing w:after="0" w:line="240" w:lineRule="auto"/>
        <w:rPr>
          <w:rFonts w:ascii="Times New Roman" w:eastAsia="Times New Roman" w:hAnsi="Times New Roman" w:cs="Times New Roman"/>
          <w:iCs/>
          <w:sz w:val="25"/>
          <w:szCs w:val="25"/>
          <w:lang w:eastAsia="lv-LV"/>
        </w:rPr>
      </w:pPr>
    </w:p>
    <w:tbl>
      <w:tblPr>
        <w:tblW w:w="56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"/>
        <w:gridCol w:w="2715"/>
        <w:gridCol w:w="6111"/>
      </w:tblGrid>
      <w:tr w:rsidR="00081D23" w:rsidRPr="004231A0" w14:paraId="43B41F22" w14:textId="77777777" w:rsidTr="008E3625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29613" w14:textId="77777777" w:rsidR="00081D23" w:rsidRPr="004231A0" w:rsidRDefault="00081D23" w:rsidP="009C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b/>
                <w:bCs/>
                <w:iCs/>
                <w:sz w:val="25"/>
                <w:szCs w:val="25"/>
                <w:lang w:eastAsia="lv-LV"/>
              </w:rPr>
              <w:t>VII. Tiesību akta projekta izpildes nodrošināšana un tās ietekme uz institūcijām</w:t>
            </w:r>
          </w:p>
        </w:tc>
      </w:tr>
      <w:tr w:rsidR="00081D23" w:rsidRPr="004231A0" w14:paraId="172C97D8" w14:textId="77777777" w:rsidTr="00A14962">
        <w:trPr>
          <w:tblCellSpacing w:w="15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B3916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color w:val="414142"/>
                <w:sz w:val="25"/>
                <w:szCs w:val="25"/>
                <w:lang w:eastAsia="lv-LV"/>
              </w:rPr>
              <w:t>1.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9E3BF" w14:textId="77777777" w:rsidR="00081D23" w:rsidRPr="004231A0" w:rsidRDefault="00081D23" w:rsidP="009C13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Projekta izpildē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2FFCF" w14:textId="5338610C" w:rsidR="00081D23" w:rsidRPr="004231A0" w:rsidRDefault="00E8281C" w:rsidP="00E8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Aizsardzības ministrija, Nacionālie bruņotie spēki.</w:t>
            </w:r>
          </w:p>
        </w:tc>
      </w:tr>
      <w:tr w:rsidR="00D427D3" w:rsidRPr="004231A0" w14:paraId="39A9EFB9" w14:textId="77777777" w:rsidTr="00A14962">
        <w:trPr>
          <w:tblCellSpacing w:w="15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A05D3" w14:textId="77777777" w:rsidR="00D427D3" w:rsidRPr="004231A0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color w:val="414142"/>
                <w:sz w:val="25"/>
                <w:szCs w:val="25"/>
                <w:lang w:val="en-US" w:eastAsia="lv-LV"/>
              </w:rPr>
              <w:t>2.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E26A6" w14:textId="77777777" w:rsidR="00D427D3" w:rsidRPr="004231A0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Projekta izpildes ietekme uz pārvaldes funkcijām un institucionālo struktūru.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br/>
              <w:t xml:space="preserve">Jaunu institūciju izveide, </w:t>
            </w: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lastRenderedPageBreak/>
              <w:t>esošu institūciju likvidācija vai reorganizācija, to ietekme uz institūcijas cilvēkresursiem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D9495" w14:textId="47F4C5BA" w:rsidR="00D427D3" w:rsidRPr="004231A0" w:rsidRDefault="00284036" w:rsidP="002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sv-SE" w:eastAsia="lv-LV"/>
              </w:rPr>
              <w:lastRenderedPageBreak/>
              <w:t>Aizsardzības ministrija un Nacionālie bruņotie spēki veiks šīs funkcijas esošo pārvaldes uzdevumu ietvaros.</w:t>
            </w:r>
          </w:p>
        </w:tc>
      </w:tr>
      <w:tr w:rsidR="00D427D3" w:rsidRPr="004231A0" w14:paraId="7FF74067" w14:textId="77777777" w:rsidTr="00A14962">
        <w:trPr>
          <w:tblCellSpacing w:w="15" w:type="dxa"/>
        </w:trPr>
        <w:tc>
          <w:tcPr>
            <w:tcW w:w="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E4CA5" w14:textId="77777777" w:rsidR="00D427D3" w:rsidRPr="004231A0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val="en-US" w:eastAsia="lv-LV"/>
              </w:rPr>
              <w:t>3.</w:t>
            </w:r>
          </w:p>
        </w:tc>
        <w:tc>
          <w:tcPr>
            <w:tcW w:w="1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37E0" w14:textId="77777777" w:rsidR="00D427D3" w:rsidRPr="004231A0" w:rsidRDefault="00D427D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  <w:t>Cita informācija</w:t>
            </w:r>
          </w:p>
          <w:p w14:paraId="67FF4F5C" w14:textId="77777777" w:rsidR="00D427D3" w:rsidRPr="004231A0" w:rsidRDefault="00D427D3" w:rsidP="00D427D3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lv-LV"/>
              </w:rPr>
            </w:pP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6519" w14:textId="32B8FD09" w:rsidR="00D427D3" w:rsidRPr="004231A0" w:rsidRDefault="00E90753" w:rsidP="00D427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5"/>
                <w:szCs w:val="25"/>
                <w:lang w:eastAsia="lv-LV"/>
              </w:rPr>
            </w:pPr>
            <w:r w:rsidRPr="004231A0">
              <w:rPr>
                <w:rFonts w:ascii="Times New Roman" w:hAnsi="Times New Roman" w:cs="Times New Roman"/>
                <w:sz w:val="25"/>
                <w:szCs w:val="25"/>
              </w:rPr>
              <w:t>Noteikumu projekta izpilde tiks īstenota Aizsardzības ministrijai piešķirto budžeta līdzekļu ietvaros no budžeta programmas 22.00.00 “Nacionālie bruņotie spēki”.</w:t>
            </w:r>
          </w:p>
        </w:tc>
      </w:tr>
    </w:tbl>
    <w:p w14:paraId="0A03D0CD" w14:textId="77777777" w:rsidR="00A14962" w:rsidRPr="004231A0" w:rsidRDefault="00A14962" w:rsidP="00A14962">
      <w:pPr>
        <w:tabs>
          <w:tab w:val="left" w:pos="6804"/>
        </w:tabs>
        <w:spacing w:after="0"/>
        <w:rPr>
          <w:rFonts w:ascii="Times New Roman" w:hAnsi="Times New Roman" w:cs="Times New Roman"/>
          <w:sz w:val="25"/>
          <w:szCs w:val="25"/>
        </w:rPr>
      </w:pPr>
    </w:p>
    <w:p w14:paraId="51C32CBA" w14:textId="77777777" w:rsidR="00284036" w:rsidRPr="004231A0" w:rsidRDefault="00284036" w:rsidP="00E8281C">
      <w:pPr>
        <w:tabs>
          <w:tab w:val="left" w:pos="6804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4231A0">
        <w:rPr>
          <w:rFonts w:ascii="Times New Roman" w:hAnsi="Times New Roman" w:cs="Times New Roman"/>
          <w:sz w:val="25"/>
          <w:szCs w:val="25"/>
        </w:rPr>
        <w:t>Ministru prezidenta biedrs,</w:t>
      </w:r>
    </w:p>
    <w:p w14:paraId="2BDF43B7" w14:textId="694B8021" w:rsidR="00E8281C" w:rsidRPr="004231A0" w:rsidRDefault="007D7345" w:rsidP="00E8281C">
      <w:pPr>
        <w:tabs>
          <w:tab w:val="left" w:pos="6804"/>
        </w:tabs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</w:t>
      </w:r>
      <w:r w:rsidR="00284036" w:rsidRPr="004231A0">
        <w:rPr>
          <w:rFonts w:ascii="Times New Roman" w:hAnsi="Times New Roman" w:cs="Times New Roman"/>
          <w:sz w:val="25"/>
          <w:szCs w:val="25"/>
        </w:rPr>
        <w:t>izsardzības ministrs</w:t>
      </w:r>
      <w:r w:rsidR="00284036" w:rsidRPr="004231A0">
        <w:rPr>
          <w:rFonts w:ascii="Times New Roman" w:hAnsi="Times New Roman" w:cs="Times New Roman"/>
          <w:sz w:val="25"/>
          <w:szCs w:val="25"/>
        </w:rPr>
        <w:tab/>
        <w:t>A.Pabriks</w:t>
      </w:r>
    </w:p>
    <w:p w14:paraId="521F4625" w14:textId="74360865" w:rsidR="00A14962" w:rsidRPr="004231A0" w:rsidRDefault="00A14962" w:rsidP="00A1496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5"/>
          <w:szCs w:val="25"/>
        </w:rPr>
      </w:pPr>
    </w:p>
    <w:p w14:paraId="57ECF71D" w14:textId="2FD07291" w:rsidR="001175B5" w:rsidRPr="004231A0" w:rsidRDefault="001175B5" w:rsidP="00A1496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5"/>
          <w:szCs w:val="25"/>
        </w:rPr>
      </w:pPr>
    </w:p>
    <w:p w14:paraId="6AC7FD77" w14:textId="77777777" w:rsidR="001175B5" w:rsidRPr="008423CE" w:rsidRDefault="001175B5" w:rsidP="00A1496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14:paraId="1A387910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5D5CA2C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8A6E08A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5B654F5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64ED24F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47D1324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AEAD063" w14:textId="77777777" w:rsidR="00046B7F" w:rsidRPr="00A86457" w:rsidRDefault="00046B7F" w:rsidP="00046B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</w:pPr>
    </w:p>
    <w:p w14:paraId="1D4964D2" w14:textId="7AEFD575" w:rsidR="00046B7F" w:rsidRPr="00A86457" w:rsidRDefault="00046B7F" w:rsidP="00046B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A86457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Armaloviča-Rauza</w:t>
      </w:r>
      <w:r w:rsidRPr="00A86457">
        <w:rPr>
          <w:rFonts w:ascii="Times New Roman" w:eastAsia="Calibri" w:hAnsi="Times New Roman" w:cs="Times New Roman"/>
          <w:sz w:val="16"/>
          <w:szCs w:val="16"/>
          <w:lang w:eastAsia="lv-LV"/>
        </w:rPr>
        <w:t>, 67071911</w:t>
      </w:r>
    </w:p>
    <w:p w14:paraId="23AD93B3" w14:textId="77777777" w:rsidR="00046B7F" w:rsidRPr="00A86457" w:rsidRDefault="00046B7F" w:rsidP="00046B7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lv-LV"/>
        </w:rPr>
      </w:pPr>
      <w:r w:rsidRPr="00A86457">
        <w:rPr>
          <w:rFonts w:ascii="Times New Roman" w:eastAsia="Calibri" w:hAnsi="Times New Roman" w:cs="Times New Roman"/>
          <w:noProof/>
          <w:sz w:val="16"/>
          <w:szCs w:val="16"/>
          <w:lang w:eastAsia="lv-LV"/>
        </w:rPr>
        <w:t>jolanta.armalovica@mil.lv</w:t>
      </w:r>
    </w:p>
    <w:p w14:paraId="71D51E4E" w14:textId="251DFA24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BCE67B" w14:textId="77777777" w:rsidR="00046B7F" w:rsidRDefault="00046B7F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4D2C7E5" w14:textId="28944F8F" w:rsidR="00A14962" w:rsidRPr="008423CE" w:rsidRDefault="009057C3" w:rsidP="00A149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423CE">
        <w:rPr>
          <w:rFonts w:ascii="Times New Roman" w:hAnsi="Times New Roman" w:cs="Times New Roman"/>
          <w:color w:val="000000" w:themeColor="text1"/>
          <w:sz w:val="16"/>
          <w:szCs w:val="16"/>
        </w:rPr>
        <w:t>D.Pinne</w:t>
      </w:r>
      <w:r w:rsidR="00A624A2" w:rsidRPr="008423C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8423CE">
        <w:rPr>
          <w:rFonts w:ascii="Times New Roman" w:hAnsi="Times New Roman" w:cs="Times New Roman"/>
          <w:color w:val="000000" w:themeColor="text1"/>
          <w:sz w:val="16"/>
          <w:szCs w:val="16"/>
        </w:rPr>
        <w:t>67335027</w:t>
      </w:r>
    </w:p>
    <w:p w14:paraId="0E3CD31E" w14:textId="55A216F0" w:rsidR="00A3068D" w:rsidRPr="005100A2" w:rsidRDefault="00635AEF" w:rsidP="001175B5">
      <w:pPr>
        <w:tabs>
          <w:tab w:val="left" w:pos="6237"/>
        </w:tabs>
        <w:rPr>
          <w:rFonts w:ascii="Times New Roman" w:hAnsi="Times New Roman" w:cs="Times New Roman"/>
          <w:sz w:val="16"/>
          <w:szCs w:val="16"/>
        </w:rPr>
      </w:pPr>
      <w:hyperlink r:id="rId8" w:history="1">
        <w:r w:rsidR="007D7345" w:rsidRPr="005100A2">
          <w:rPr>
            <w:rStyle w:val="Hyperlink"/>
            <w:rFonts w:ascii="Times New Roman" w:hAnsi="Times New Roman" w:cs="Times New Roman"/>
            <w:color w:val="auto"/>
            <w:sz w:val="16"/>
            <w:szCs w:val="16"/>
            <w:u w:val="none"/>
          </w:rPr>
          <w:t>dana.pinne@mod.gov.lv</w:t>
        </w:r>
      </w:hyperlink>
    </w:p>
    <w:sectPr w:rsidR="00A3068D" w:rsidRPr="005100A2" w:rsidSect="002E6B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8D73" w14:textId="77777777" w:rsidR="00BB60BD" w:rsidRDefault="00BB60BD" w:rsidP="003961B4">
      <w:pPr>
        <w:spacing w:after="0" w:line="240" w:lineRule="auto"/>
      </w:pPr>
      <w:r>
        <w:separator/>
      </w:r>
    </w:p>
  </w:endnote>
  <w:endnote w:type="continuationSeparator" w:id="0">
    <w:p w14:paraId="5DEEC36D" w14:textId="77777777" w:rsidR="00BB60BD" w:rsidRDefault="00BB60BD" w:rsidP="003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984B" w14:textId="77777777" w:rsidR="00686E1D" w:rsidRDefault="0068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28CA" w14:textId="1AC0D05D" w:rsidR="003961B4" w:rsidRPr="005D79BF" w:rsidRDefault="00635AEF" w:rsidP="00635AEF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</w:t>
    </w:r>
    <w:r w:rsidR="00940E45" w:rsidRPr="00940E45">
      <w:rPr>
        <w:rFonts w:ascii="Times New Roman" w:hAnsi="Times New Roman" w:cs="Times New Roman"/>
        <w:sz w:val="20"/>
        <w:szCs w:val="20"/>
      </w:rPr>
      <w:t>not_</w:t>
    </w:r>
    <w:r w:rsidR="00686E1D">
      <w:rPr>
        <w:rFonts w:ascii="Times New Roman" w:hAnsi="Times New Roman" w:cs="Times New Roman"/>
        <w:sz w:val="20"/>
        <w:szCs w:val="20"/>
      </w:rPr>
      <w:t>18</w:t>
    </w:r>
    <w:r w:rsidR="00BD0621">
      <w:rPr>
        <w:rFonts w:ascii="Times New Roman" w:hAnsi="Times New Roman" w:cs="Times New Roman"/>
        <w:sz w:val="20"/>
        <w:szCs w:val="20"/>
      </w:rPr>
      <w:t>05</w:t>
    </w:r>
    <w:r w:rsidR="008423CE">
      <w:rPr>
        <w:rFonts w:ascii="Times New Roman" w:hAnsi="Times New Roman" w:cs="Times New Roman"/>
        <w:sz w:val="20"/>
        <w:szCs w:val="20"/>
      </w:rPr>
      <w:t>21</w:t>
    </w:r>
    <w:r w:rsidR="00A24807">
      <w:rPr>
        <w:rFonts w:ascii="Times New Roman" w:hAnsi="Times New Roman" w:cs="Times New Roman"/>
        <w:sz w:val="20"/>
        <w:szCs w:val="20"/>
      </w:rPr>
      <w:t>_</w:t>
    </w:r>
    <w:r w:rsidR="008423CE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_</w:t>
    </w:r>
    <w:r w:rsidR="008423CE">
      <w:rPr>
        <w:rFonts w:ascii="Times New Roman" w:hAnsi="Times New Roman" w:cs="Times New Roman"/>
        <w:sz w:val="20"/>
        <w:szCs w:val="20"/>
      </w:rPr>
      <w:t>775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B330" w14:textId="7B26474E" w:rsidR="00A4534F" w:rsidRDefault="00635AEF" w:rsidP="00635AEF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AIMa</w:t>
    </w:r>
    <w:r w:rsidR="00A24807" w:rsidRPr="00940E45">
      <w:rPr>
        <w:rFonts w:ascii="Times New Roman" w:hAnsi="Times New Roman" w:cs="Times New Roman"/>
        <w:sz w:val="20"/>
        <w:szCs w:val="20"/>
      </w:rPr>
      <w:t>not_</w:t>
    </w:r>
    <w:r w:rsidR="00686E1D">
      <w:rPr>
        <w:rFonts w:ascii="Times New Roman" w:hAnsi="Times New Roman" w:cs="Times New Roman"/>
        <w:sz w:val="20"/>
        <w:szCs w:val="20"/>
      </w:rPr>
      <w:t>18</w:t>
    </w:r>
    <w:r w:rsidR="00BD0621">
      <w:rPr>
        <w:rFonts w:ascii="Times New Roman" w:hAnsi="Times New Roman" w:cs="Times New Roman"/>
        <w:sz w:val="20"/>
        <w:szCs w:val="20"/>
      </w:rPr>
      <w:t>05</w:t>
    </w:r>
    <w:r w:rsidR="008423CE">
      <w:rPr>
        <w:rFonts w:ascii="Times New Roman" w:hAnsi="Times New Roman" w:cs="Times New Roman"/>
        <w:sz w:val="20"/>
        <w:szCs w:val="20"/>
      </w:rPr>
      <w:t>21</w:t>
    </w:r>
    <w:r w:rsidR="00A24807">
      <w:rPr>
        <w:rFonts w:ascii="Times New Roman" w:hAnsi="Times New Roman" w:cs="Times New Roman"/>
        <w:sz w:val="20"/>
        <w:szCs w:val="20"/>
      </w:rPr>
      <w:t>_</w:t>
    </w:r>
    <w:r w:rsidR="007306B3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_</w:t>
    </w:r>
    <w:r w:rsidR="008423CE">
      <w:rPr>
        <w:rFonts w:ascii="Times New Roman" w:hAnsi="Times New Roman" w:cs="Times New Roman"/>
        <w:sz w:val="20"/>
        <w:szCs w:val="20"/>
      </w:rPr>
      <w:t>7</w:t>
    </w:r>
    <w:r w:rsidR="007306B3">
      <w:rPr>
        <w:rFonts w:ascii="Times New Roman" w:hAnsi="Times New Roman" w:cs="Times New Roman"/>
        <w:sz w:val="20"/>
        <w:szCs w:val="20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9E33" w14:textId="77777777" w:rsidR="00BB60BD" w:rsidRDefault="00BB60BD" w:rsidP="003961B4">
      <w:pPr>
        <w:spacing w:after="0" w:line="240" w:lineRule="auto"/>
      </w:pPr>
      <w:r>
        <w:separator/>
      </w:r>
    </w:p>
  </w:footnote>
  <w:footnote w:type="continuationSeparator" w:id="0">
    <w:p w14:paraId="74CA28DD" w14:textId="77777777" w:rsidR="00BB60BD" w:rsidRDefault="00BB60BD" w:rsidP="003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4C35" w14:textId="77777777" w:rsidR="00686E1D" w:rsidRDefault="0068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292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343095" w14:textId="1F6EE01B" w:rsidR="002E6B41" w:rsidRDefault="002E6B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A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38BA97" w14:textId="77777777" w:rsidR="00D16652" w:rsidRDefault="00D1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7CB1" w14:textId="77777777" w:rsidR="00686E1D" w:rsidRDefault="0068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1668"/>
    <w:multiLevelType w:val="hybridMultilevel"/>
    <w:tmpl w:val="E4E4A880"/>
    <w:lvl w:ilvl="0" w:tplc="AC92F620">
      <w:start w:val="2"/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" w15:restartNumberingAfterBreak="0">
    <w:nsid w:val="24993B02"/>
    <w:multiLevelType w:val="hybridMultilevel"/>
    <w:tmpl w:val="FD1224F0"/>
    <w:lvl w:ilvl="0" w:tplc="92E86C74">
      <w:start w:val="6"/>
      <w:numFmt w:val="bullet"/>
      <w:lvlText w:val="-"/>
      <w:lvlJc w:val="left"/>
      <w:pPr>
        <w:ind w:left="656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" w15:restartNumberingAfterBreak="0">
    <w:nsid w:val="327745CB"/>
    <w:multiLevelType w:val="hybridMultilevel"/>
    <w:tmpl w:val="DAC8D016"/>
    <w:lvl w:ilvl="0" w:tplc="0426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417ED"/>
    <w:multiLevelType w:val="hybridMultilevel"/>
    <w:tmpl w:val="1542CB24"/>
    <w:lvl w:ilvl="0" w:tplc="6A1890E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93D33"/>
    <w:multiLevelType w:val="hybridMultilevel"/>
    <w:tmpl w:val="AE4E73D6"/>
    <w:lvl w:ilvl="0" w:tplc="0774663E">
      <w:start w:val="3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4"/>
    <w:rsid w:val="0001101C"/>
    <w:rsid w:val="0001496F"/>
    <w:rsid w:val="000201AA"/>
    <w:rsid w:val="0002106B"/>
    <w:rsid w:val="00022516"/>
    <w:rsid w:val="00022E60"/>
    <w:rsid w:val="00036164"/>
    <w:rsid w:val="00036923"/>
    <w:rsid w:val="00046B7F"/>
    <w:rsid w:val="0006188B"/>
    <w:rsid w:val="00076F5A"/>
    <w:rsid w:val="00081D23"/>
    <w:rsid w:val="00090D04"/>
    <w:rsid w:val="000A053A"/>
    <w:rsid w:val="000B2185"/>
    <w:rsid w:val="000B6B35"/>
    <w:rsid w:val="000C64EE"/>
    <w:rsid w:val="000D08DD"/>
    <w:rsid w:val="000D1720"/>
    <w:rsid w:val="000D1F34"/>
    <w:rsid w:val="000D2CB5"/>
    <w:rsid w:val="000E1224"/>
    <w:rsid w:val="000F231A"/>
    <w:rsid w:val="001117CF"/>
    <w:rsid w:val="001175B5"/>
    <w:rsid w:val="00117C41"/>
    <w:rsid w:val="0013233F"/>
    <w:rsid w:val="001323BB"/>
    <w:rsid w:val="00133731"/>
    <w:rsid w:val="001459E3"/>
    <w:rsid w:val="00156ED0"/>
    <w:rsid w:val="00167E40"/>
    <w:rsid w:val="00174805"/>
    <w:rsid w:val="00175547"/>
    <w:rsid w:val="00182662"/>
    <w:rsid w:val="0019430D"/>
    <w:rsid w:val="0019454E"/>
    <w:rsid w:val="001A0E10"/>
    <w:rsid w:val="001A6647"/>
    <w:rsid w:val="001B7021"/>
    <w:rsid w:val="001C7F39"/>
    <w:rsid w:val="001D1A1D"/>
    <w:rsid w:val="001E2B11"/>
    <w:rsid w:val="001E348F"/>
    <w:rsid w:val="001F4169"/>
    <w:rsid w:val="00200171"/>
    <w:rsid w:val="00210737"/>
    <w:rsid w:val="00212771"/>
    <w:rsid w:val="00212DEB"/>
    <w:rsid w:val="00221972"/>
    <w:rsid w:val="00222E54"/>
    <w:rsid w:val="00226BA4"/>
    <w:rsid w:val="00235A1E"/>
    <w:rsid w:val="00254A28"/>
    <w:rsid w:val="0025640D"/>
    <w:rsid w:val="002574AC"/>
    <w:rsid w:val="002647B4"/>
    <w:rsid w:val="00271017"/>
    <w:rsid w:val="0027163F"/>
    <w:rsid w:val="00275DDE"/>
    <w:rsid w:val="00284036"/>
    <w:rsid w:val="002C2324"/>
    <w:rsid w:val="002E4FBD"/>
    <w:rsid w:val="002E6B41"/>
    <w:rsid w:val="002F6B95"/>
    <w:rsid w:val="00307D20"/>
    <w:rsid w:val="00312BF0"/>
    <w:rsid w:val="003178D5"/>
    <w:rsid w:val="003257DE"/>
    <w:rsid w:val="00325D4C"/>
    <w:rsid w:val="003311E3"/>
    <w:rsid w:val="003411F3"/>
    <w:rsid w:val="00343F91"/>
    <w:rsid w:val="00353872"/>
    <w:rsid w:val="003565B6"/>
    <w:rsid w:val="00364C5B"/>
    <w:rsid w:val="003715D1"/>
    <w:rsid w:val="003746B8"/>
    <w:rsid w:val="003961B4"/>
    <w:rsid w:val="003A56E3"/>
    <w:rsid w:val="003B4866"/>
    <w:rsid w:val="003B6984"/>
    <w:rsid w:val="003C09EF"/>
    <w:rsid w:val="003D01CD"/>
    <w:rsid w:val="003D4A9A"/>
    <w:rsid w:val="003E0DBC"/>
    <w:rsid w:val="003E65BA"/>
    <w:rsid w:val="003E6EDD"/>
    <w:rsid w:val="003E73EC"/>
    <w:rsid w:val="003F1B77"/>
    <w:rsid w:val="00405088"/>
    <w:rsid w:val="004112E6"/>
    <w:rsid w:val="004154A5"/>
    <w:rsid w:val="004231A0"/>
    <w:rsid w:val="00435A6B"/>
    <w:rsid w:val="00441207"/>
    <w:rsid w:val="0045576F"/>
    <w:rsid w:val="00465060"/>
    <w:rsid w:val="004776D8"/>
    <w:rsid w:val="004908EF"/>
    <w:rsid w:val="00493245"/>
    <w:rsid w:val="004A75ED"/>
    <w:rsid w:val="004D1AB4"/>
    <w:rsid w:val="004D5629"/>
    <w:rsid w:val="004D7AC8"/>
    <w:rsid w:val="004F227A"/>
    <w:rsid w:val="005046A6"/>
    <w:rsid w:val="005100A2"/>
    <w:rsid w:val="00510534"/>
    <w:rsid w:val="00541562"/>
    <w:rsid w:val="00543B34"/>
    <w:rsid w:val="0054583D"/>
    <w:rsid w:val="00550D1C"/>
    <w:rsid w:val="005526D0"/>
    <w:rsid w:val="00563887"/>
    <w:rsid w:val="0056585C"/>
    <w:rsid w:val="005668EF"/>
    <w:rsid w:val="0057010E"/>
    <w:rsid w:val="005757D7"/>
    <w:rsid w:val="00580ADD"/>
    <w:rsid w:val="00587155"/>
    <w:rsid w:val="00587AE0"/>
    <w:rsid w:val="00595C47"/>
    <w:rsid w:val="005971B4"/>
    <w:rsid w:val="005B27AA"/>
    <w:rsid w:val="005B44EA"/>
    <w:rsid w:val="005C5FB9"/>
    <w:rsid w:val="005D2543"/>
    <w:rsid w:val="005D79BF"/>
    <w:rsid w:val="005E070D"/>
    <w:rsid w:val="00605C55"/>
    <w:rsid w:val="00607E55"/>
    <w:rsid w:val="00611B74"/>
    <w:rsid w:val="00617E4F"/>
    <w:rsid w:val="00621446"/>
    <w:rsid w:val="006265D3"/>
    <w:rsid w:val="00626D91"/>
    <w:rsid w:val="0063563B"/>
    <w:rsid w:val="00635AEF"/>
    <w:rsid w:val="00663C28"/>
    <w:rsid w:val="00665019"/>
    <w:rsid w:val="006656F8"/>
    <w:rsid w:val="006747EE"/>
    <w:rsid w:val="006811A3"/>
    <w:rsid w:val="00686E1D"/>
    <w:rsid w:val="00695A38"/>
    <w:rsid w:val="006966BE"/>
    <w:rsid w:val="006971CF"/>
    <w:rsid w:val="006B46D8"/>
    <w:rsid w:val="006C1101"/>
    <w:rsid w:val="006C4B43"/>
    <w:rsid w:val="006C5817"/>
    <w:rsid w:val="006C7372"/>
    <w:rsid w:val="006E29FF"/>
    <w:rsid w:val="00700479"/>
    <w:rsid w:val="007177F3"/>
    <w:rsid w:val="00722D39"/>
    <w:rsid w:val="007306B3"/>
    <w:rsid w:val="00734B67"/>
    <w:rsid w:val="00742061"/>
    <w:rsid w:val="00754AA0"/>
    <w:rsid w:val="00780DC6"/>
    <w:rsid w:val="007A3BF4"/>
    <w:rsid w:val="007B42E4"/>
    <w:rsid w:val="007B4CE8"/>
    <w:rsid w:val="007C0CF6"/>
    <w:rsid w:val="007C3558"/>
    <w:rsid w:val="007D0D49"/>
    <w:rsid w:val="007D4684"/>
    <w:rsid w:val="007D7345"/>
    <w:rsid w:val="007E37D7"/>
    <w:rsid w:val="00805313"/>
    <w:rsid w:val="00806365"/>
    <w:rsid w:val="0080637E"/>
    <w:rsid w:val="008073FC"/>
    <w:rsid w:val="00811C01"/>
    <w:rsid w:val="00824144"/>
    <w:rsid w:val="008423CE"/>
    <w:rsid w:val="00844338"/>
    <w:rsid w:val="00854434"/>
    <w:rsid w:val="00872F73"/>
    <w:rsid w:val="008760F4"/>
    <w:rsid w:val="00882293"/>
    <w:rsid w:val="00890D6A"/>
    <w:rsid w:val="008947D3"/>
    <w:rsid w:val="00896E55"/>
    <w:rsid w:val="008B55D4"/>
    <w:rsid w:val="008B6690"/>
    <w:rsid w:val="008C2184"/>
    <w:rsid w:val="008D40C8"/>
    <w:rsid w:val="008E3625"/>
    <w:rsid w:val="008E7555"/>
    <w:rsid w:val="009057C3"/>
    <w:rsid w:val="009254C5"/>
    <w:rsid w:val="00927691"/>
    <w:rsid w:val="009330E6"/>
    <w:rsid w:val="0093380B"/>
    <w:rsid w:val="00940E45"/>
    <w:rsid w:val="00945E13"/>
    <w:rsid w:val="00954D6D"/>
    <w:rsid w:val="009607D6"/>
    <w:rsid w:val="009635A4"/>
    <w:rsid w:val="009834CE"/>
    <w:rsid w:val="0098488B"/>
    <w:rsid w:val="00986A30"/>
    <w:rsid w:val="009937A5"/>
    <w:rsid w:val="00994FA1"/>
    <w:rsid w:val="009A01AD"/>
    <w:rsid w:val="009B1748"/>
    <w:rsid w:val="009B6125"/>
    <w:rsid w:val="009B789F"/>
    <w:rsid w:val="009D4C35"/>
    <w:rsid w:val="009F1A76"/>
    <w:rsid w:val="00A01F4E"/>
    <w:rsid w:val="00A10146"/>
    <w:rsid w:val="00A11800"/>
    <w:rsid w:val="00A14962"/>
    <w:rsid w:val="00A24807"/>
    <w:rsid w:val="00A3068D"/>
    <w:rsid w:val="00A44B94"/>
    <w:rsid w:val="00A4534F"/>
    <w:rsid w:val="00A4763D"/>
    <w:rsid w:val="00A60FF0"/>
    <w:rsid w:val="00A624A2"/>
    <w:rsid w:val="00A62D80"/>
    <w:rsid w:val="00A97741"/>
    <w:rsid w:val="00AA09B3"/>
    <w:rsid w:val="00AA745E"/>
    <w:rsid w:val="00AB4051"/>
    <w:rsid w:val="00AC090B"/>
    <w:rsid w:val="00AC1E35"/>
    <w:rsid w:val="00AD6B8F"/>
    <w:rsid w:val="00AE6DCA"/>
    <w:rsid w:val="00AF20B7"/>
    <w:rsid w:val="00B01300"/>
    <w:rsid w:val="00B2117F"/>
    <w:rsid w:val="00B35961"/>
    <w:rsid w:val="00B41949"/>
    <w:rsid w:val="00B4713E"/>
    <w:rsid w:val="00B4753E"/>
    <w:rsid w:val="00B55469"/>
    <w:rsid w:val="00B60639"/>
    <w:rsid w:val="00B66CE7"/>
    <w:rsid w:val="00B90546"/>
    <w:rsid w:val="00B90C26"/>
    <w:rsid w:val="00B90FD9"/>
    <w:rsid w:val="00B953E3"/>
    <w:rsid w:val="00B97CAB"/>
    <w:rsid w:val="00BA729C"/>
    <w:rsid w:val="00BB08B5"/>
    <w:rsid w:val="00BB60BD"/>
    <w:rsid w:val="00BC2602"/>
    <w:rsid w:val="00BC4907"/>
    <w:rsid w:val="00BD0621"/>
    <w:rsid w:val="00BD6D44"/>
    <w:rsid w:val="00BE0206"/>
    <w:rsid w:val="00BE0CD6"/>
    <w:rsid w:val="00BF4388"/>
    <w:rsid w:val="00BF4ECB"/>
    <w:rsid w:val="00BF52C2"/>
    <w:rsid w:val="00BF63BE"/>
    <w:rsid w:val="00C00C32"/>
    <w:rsid w:val="00C00D53"/>
    <w:rsid w:val="00C029B0"/>
    <w:rsid w:val="00C0313A"/>
    <w:rsid w:val="00C136EB"/>
    <w:rsid w:val="00C22618"/>
    <w:rsid w:val="00C22EF0"/>
    <w:rsid w:val="00C2634D"/>
    <w:rsid w:val="00C3148D"/>
    <w:rsid w:val="00C3550C"/>
    <w:rsid w:val="00C47D71"/>
    <w:rsid w:val="00C60369"/>
    <w:rsid w:val="00C70EA7"/>
    <w:rsid w:val="00C7709D"/>
    <w:rsid w:val="00C77EC0"/>
    <w:rsid w:val="00C8077D"/>
    <w:rsid w:val="00C92DE8"/>
    <w:rsid w:val="00C957B5"/>
    <w:rsid w:val="00CA292A"/>
    <w:rsid w:val="00CC26AA"/>
    <w:rsid w:val="00CC4298"/>
    <w:rsid w:val="00CD4407"/>
    <w:rsid w:val="00D0141E"/>
    <w:rsid w:val="00D06360"/>
    <w:rsid w:val="00D12F4F"/>
    <w:rsid w:val="00D16652"/>
    <w:rsid w:val="00D16741"/>
    <w:rsid w:val="00D333A4"/>
    <w:rsid w:val="00D369CD"/>
    <w:rsid w:val="00D42407"/>
    <w:rsid w:val="00D427D3"/>
    <w:rsid w:val="00D461BD"/>
    <w:rsid w:val="00D56A22"/>
    <w:rsid w:val="00D66341"/>
    <w:rsid w:val="00D7195D"/>
    <w:rsid w:val="00D71E9E"/>
    <w:rsid w:val="00D93215"/>
    <w:rsid w:val="00D932AE"/>
    <w:rsid w:val="00D9702E"/>
    <w:rsid w:val="00D977E5"/>
    <w:rsid w:val="00DA5965"/>
    <w:rsid w:val="00DC06E7"/>
    <w:rsid w:val="00DE11DA"/>
    <w:rsid w:val="00DF2565"/>
    <w:rsid w:val="00E0696A"/>
    <w:rsid w:val="00E16C00"/>
    <w:rsid w:val="00E223E4"/>
    <w:rsid w:val="00E40517"/>
    <w:rsid w:val="00E429DE"/>
    <w:rsid w:val="00E47202"/>
    <w:rsid w:val="00E624EF"/>
    <w:rsid w:val="00E671FA"/>
    <w:rsid w:val="00E72D0D"/>
    <w:rsid w:val="00E8281C"/>
    <w:rsid w:val="00E90753"/>
    <w:rsid w:val="00E92F6A"/>
    <w:rsid w:val="00EA0A53"/>
    <w:rsid w:val="00EA7268"/>
    <w:rsid w:val="00EB6D92"/>
    <w:rsid w:val="00EE091E"/>
    <w:rsid w:val="00EE6E6D"/>
    <w:rsid w:val="00EF6F77"/>
    <w:rsid w:val="00F00042"/>
    <w:rsid w:val="00F052B9"/>
    <w:rsid w:val="00F146B2"/>
    <w:rsid w:val="00F17C39"/>
    <w:rsid w:val="00F23B6F"/>
    <w:rsid w:val="00F24692"/>
    <w:rsid w:val="00F25C09"/>
    <w:rsid w:val="00F33B6F"/>
    <w:rsid w:val="00F372E1"/>
    <w:rsid w:val="00F539FC"/>
    <w:rsid w:val="00F73D4D"/>
    <w:rsid w:val="00F9416F"/>
    <w:rsid w:val="00F9776A"/>
    <w:rsid w:val="00FA0548"/>
    <w:rsid w:val="00FA2762"/>
    <w:rsid w:val="00FA2F6A"/>
    <w:rsid w:val="00FA4566"/>
    <w:rsid w:val="00FA6083"/>
    <w:rsid w:val="00FB2535"/>
    <w:rsid w:val="00FB6525"/>
    <w:rsid w:val="00FF2211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DF6778F"/>
  <w15:docId w15:val="{24CD2C5A-109D-471C-9E70-931B043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2647B4"/>
  </w:style>
  <w:style w:type="paragraph" w:styleId="Header">
    <w:name w:val="header"/>
    <w:basedOn w:val="Normal"/>
    <w:link w:val="HeaderChar"/>
    <w:uiPriority w:val="99"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2647B4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9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9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B4"/>
  </w:style>
  <w:style w:type="paragraph" w:styleId="NoSpacing">
    <w:name w:val="No Spacing"/>
    <w:uiPriority w:val="1"/>
    <w:qFormat/>
    <w:rsid w:val="00844338"/>
    <w:pPr>
      <w:tabs>
        <w:tab w:val="left" w:pos="720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uiPriority w:val="99"/>
    <w:semiHidden/>
    <w:unhideWhenUsed/>
    <w:rsid w:val="00090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76F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76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acopre">
    <w:name w:val="acopre"/>
    <w:basedOn w:val="DefaultParagraphFont"/>
    <w:rsid w:val="008C2184"/>
  </w:style>
  <w:style w:type="character" w:styleId="Emphasis">
    <w:name w:val="Emphasis"/>
    <w:basedOn w:val="DefaultParagraphFont"/>
    <w:uiPriority w:val="20"/>
    <w:qFormat/>
    <w:rsid w:val="008C2184"/>
    <w:rPr>
      <w:i/>
      <w:iCs/>
    </w:rPr>
  </w:style>
  <w:style w:type="paragraph" w:customStyle="1" w:styleId="Default">
    <w:name w:val="Default"/>
    <w:rsid w:val="00587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pinne@mo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C1DE-7B99-4018-970E-224498C2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787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MK236 un MK1719</vt:lpstr>
    </vt:vector>
  </TitlesOfParts>
  <Company>Aizsardzības ministrija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MK236 un MK1719</dc:title>
  <dc:creator>Kristine Korne</dc:creator>
  <cp:lastModifiedBy>Irina Zeigliša</cp:lastModifiedBy>
  <cp:revision>6</cp:revision>
  <cp:lastPrinted>2018-09-17T09:30:00Z</cp:lastPrinted>
  <dcterms:created xsi:type="dcterms:W3CDTF">2021-05-17T05:41:00Z</dcterms:created>
  <dcterms:modified xsi:type="dcterms:W3CDTF">2021-05-18T10:51:00Z</dcterms:modified>
</cp:coreProperties>
</file>