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D270" w14:textId="41C1574B" w:rsidR="00D463F8" w:rsidRPr="00D463F8" w:rsidRDefault="009E1608" w:rsidP="00D463F8">
      <w:pPr>
        <w:widowControl w:val="0"/>
        <w:suppressAutoHyphens/>
        <w:spacing w:after="240"/>
        <w:jc w:val="center"/>
        <w:rPr>
          <w:b/>
          <w:kern w:val="1"/>
          <w:lang w:val="lv-LV" w:eastAsia="ar-SA"/>
        </w:rPr>
      </w:pPr>
      <w:r>
        <w:rPr>
          <w:b/>
          <w:bCs/>
          <w:szCs w:val="28"/>
          <w:lang w:val="lv-LV"/>
        </w:rPr>
        <w:t>Informatīvais ziņojums “</w:t>
      </w:r>
      <w:r w:rsidR="00D463F8" w:rsidRPr="00D463F8">
        <w:rPr>
          <w:b/>
          <w:lang w:val="lv-LV"/>
        </w:rPr>
        <w:t>Par 2021. gada 24. – 25. jūnija Eiropadomē izskatāmajiem jautājumiem</w:t>
      </w:r>
      <w:r w:rsidR="00D463F8">
        <w:rPr>
          <w:b/>
          <w:lang w:val="lv-LV"/>
        </w:rPr>
        <w:t>”</w:t>
      </w:r>
    </w:p>
    <w:p w14:paraId="17F50661" w14:textId="77777777" w:rsidR="00D463F8" w:rsidRPr="00D463F8" w:rsidRDefault="00D463F8" w:rsidP="00D463F8">
      <w:pPr>
        <w:spacing w:after="120"/>
        <w:ind w:right="-567"/>
        <w:jc w:val="both"/>
        <w:rPr>
          <w:lang w:val="lv-LV"/>
        </w:rPr>
      </w:pPr>
      <w:r w:rsidRPr="00D463F8">
        <w:rPr>
          <w:lang w:val="lv-LV"/>
        </w:rPr>
        <w:t xml:space="preserve">24. - 25. jūnija ES valstu un valdību vadītāju  sanāksmes (Eiropadomes) darba kārtībā ir 5 jautājumu bloki: </w:t>
      </w:r>
    </w:p>
    <w:p w14:paraId="2E027C19" w14:textId="77777777" w:rsidR="00D463F8" w:rsidRPr="00D463F8" w:rsidRDefault="00D463F8" w:rsidP="00D463F8">
      <w:pPr>
        <w:spacing w:after="120"/>
        <w:ind w:right="-567"/>
        <w:jc w:val="both"/>
        <w:rPr>
          <w:lang w:val="lv-LV"/>
        </w:rPr>
      </w:pPr>
      <w:r w:rsidRPr="00D463F8">
        <w:rPr>
          <w:lang w:val="lv-LV"/>
        </w:rPr>
        <w:t xml:space="preserve">(1) ar </w:t>
      </w:r>
      <w:proofErr w:type="spellStart"/>
      <w:r w:rsidRPr="00D463F8">
        <w:rPr>
          <w:lang w:val="lv-LV"/>
        </w:rPr>
        <w:t>Covid-19</w:t>
      </w:r>
      <w:proofErr w:type="spellEnd"/>
      <w:r w:rsidRPr="00D463F8">
        <w:rPr>
          <w:lang w:val="lv-LV"/>
        </w:rPr>
        <w:t xml:space="preserve"> saistīto pasākumu koordinācija; </w:t>
      </w:r>
    </w:p>
    <w:p w14:paraId="305FA226" w14:textId="77777777" w:rsidR="00D463F8" w:rsidRPr="00D463F8" w:rsidRDefault="00D463F8" w:rsidP="00D463F8">
      <w:pPr>
        <w:spacing w:after="120"/>
        <w:ind w:right="-567"/>
        <w:jc w:val="both"/>
        <w:rPr>
          <w:lang w:val="lv-LV"/>
        </w:rPr>
      </w:pPr>
      <w:r w:rsidRPr="00D463F8">
        <w:rPr>
          <w:lang w:val="lv-LV"/>
        </w:rPr>
        <w:t>(2) ekonomikas atjaunošana;</w:t>
      </w:r>
    </w:p>
    <w:p w14:paraId="5FDC6831" w14:textId="77777777" w:rsidR="00D463F8" w:rsidRPr="00D463F8" w:rsidRDefault="00D463F8" w:rsidP="00D463F8">
      <w:pPr>
        <w:spacing w:after="120"/>
        <w:ind w:right="-567"/>
        <w:jc w:val="both"/>
        <w:rPr>
          <w:lang w:val="lv-LV"/>
        </w:rPr>
      </w:pPr>
      <w:r w:rsidRPr="00D463F8">
        <w:rPr>
          <w:lang w:val="lv-LV"/>
        </w:rPr>
        <w:t>(3) migrācija;</w:t>
      </w:r>
    </w:p>
    <w:p w14:paraId="2595F838" w14:textId="77777777" w:rsidR="00D463F8" w:rsidRPr="00D463F8" w:rsidRDefault="00D463F8" w:rsidP="00D463F8">
      <w:pPr>
        <w:spacing w:after="120"/>
        <w:ind w:right="-567"/>
        <w:jc w:val="both"/>
        <w:rPr>
          <w:lang w:val="lv-LV"/>
        </w:rPr>
      </w:pPr>
      <w:r w:rsidRPr="00D463F8">
        <w:rPr>
          <w:lang w:val="lv-LV"/>
        </w:rPr>
        <w:t>(4) Turcija;</w:t>
      </w:r>
    </w:p>
    <w:p w14:paraId="05603CB6" w14:textId="77777777" w:rsidR="00D463F8" w:rsidRPr="00D463F8" w:rsidRDefault="00D463F8" w:rsidP="00D463F8">
      <w:pPr>
        <w:spacing w:after="120"/>
        <w:ind w:right="-567"/>
        <w:jc w:val="both"/>
        <w:rPr>
          <w:lang w:val="lv-LV"/>
        </w:rPr>
      </w:pPr>
      <w:r w:rsidRPr="00D463F8">
        <w:rPr>
          <w:lang w:val="lv-LV"/>
        </w:rPr>
        <w:t>(5) Krievija.</w:t>
      </w:r>
    </w:p>
    <w:p w14:paraId="5805C6B7" w14:textId="77777777" w:rsidR="00D463F8" w:rsidRPr="00D463F8" w:rsidRDefault="00D463F8" w:rsidP="00D463F8">
      <w:pPr>
        <w:spacing w:after="120"/>
        <w:ind w:right="-567"/>
        <w:jc w:val="both"/>
        <w:rPr>
          <w:b/>
          <w:lang w:val="lv-LV"/>
        </w:rPr>
      </w:pPr>
    </w:p>
    <w:p w14:paraId="70A547F3" w14:textId="77777777" w:rsidR="00D463F8" w:rsidRPr="00D463F8" w:rsidRDefault="00D463F8" w:rsidP="00D463F8">
      <w:pPr>
        <w:spacing w:after="120"/>
        <w:ind w:right="-567"/>
        <w:jc w:val="both"/>
        <w:rPr>
          <w:b/>
          <w:lang w:val="lv-LV"/>
        </w:rPr>
      </w:pPr>
      <w:r w:rsidRPr="00D463F8">
        <w:rPr>
          <w:b/>
          <w:lang w:val="lv-LV"/>
        </w:rPr>
        <w:t xml:space="preserve">I </w:t>
      </w:r>
      <w:proofErr w:type="spellStart"/>
      <w:r w:rsidRPr="00D463F8">
        <w:rPr>
          <w:b/>
          <w:lang w:val="lv-LV"/>
        </w:rPr>
        <w:t>Covid-19</w:t>
      </w:r>
      <w:proofErr w:type="spellEnd"/>
    </w:p>
    <w:p w14:paraId="0FC61D95" w14:textId="77777777" w:rsidR="00D463F8" w:rsidRPr="00D463F8" w:rsidRDefault="00D463F8" w:rsidP="00D463F8">
      <w:pPr>
        <w:spacing w:after="120"/>
        <w:ind w:right="-567"/>
        <w:jc w:val="both"/>
        <w:rPr>
          <w:lang w:val="lv-LV"/>
        </w:rPr>
      </w:pPr>
      <w:r w:rsidRPr="00D463F8">
        <w:rPr>
          <w:lang w:val="lv-LV"/>
        </w:rPr>
        <w:t xml:space="preserve">2020. gada oktobra Eiropadomē ES valstu un valdību vadītāji vienojās regulāri diskutēt par aktuālajiem </w:t>
      </w:r>
      <w:proofErr w:type="spellStart"/>
      <w:r w:rsidRPr="00D463F8">
        <w:rPr>
          <w:lang w:val="lv-LV"/>
        </w:rPr>
        <w:t>Covid-19</w:t>
      </w:r>
      <w:proofErr w:type="spellEnd"/>
      <w:r w:rsidRPr="00D463F8">
        <w:rPr>
          <w:lang w:val="lv-LV"/>
        </w:rPr>
        <w:t xml:space="preserve"> koordinācijas jautājumiem. Diskusijas notiek katrā valstu un valdību vadītāju sanāksmē. </w:t>
      </w:r>
    </w:p>
    <w:p w14:paraId="3E698A9C" w14:textId="77777777" w:rsidR="00D463F8" w:rsidRPr="00D463F8" w:rsidRDefault="00D463F8" w:rsidP="00D463F8">
      <w:pPr>
        <w:spacing w:after="120"/>
        <w:ind w:right="-567"/>
        <w:jc w:val="both"/>
        <w:rPr>
          <w:b/>
          <w:lang w:val="lv-LV"/>
        </w:rPr>
      </w:pPr>
      <w:r w:rsidRPr="00D463F8">
        <w:rPr>
          <w:b/>
          <w:lang w:val="lv-LV"/>
        </w:rPr>
        <w:t>II Ekonomikas atjaunošana</w:t>
      </w:r>
    </w:p>
    <w:p w14:paraId="71F76653" w14:textId="77777777" w:rsidR="00D463F8" w:rsidRPr="00D463F8" w:rsidRDefault="00D463F8" w:rsidP="00D463F8">
      <w:pPr>
        <w:spacing w:after="120"/>
        <w:ind w:right="-567"/>
        <w:jc w:val="both"/>
        <w:rPr>
          <w:lang w:val="lv-LV"/>
        </w:rPr>
      </w:pPr>
      <w:r w:rsidRPr="00D463F8">
        <w:rPr>
          <w:lang w:val="lv-LV"/>
        </w:rPr>
        <w:t>Eiropadomē plānots izvērtēt situāciju ar Eiropas Atveseļošanas instrumenta (</w:t>
      </w:r>
      <w:proofErr w:type="spellStart"/>
      <w:r w:rsidRPr="00D463F8">
        <w:rPr>
          <w:i/>
          <w:lang w:val="lv-LV"/>
        </w:rPr>
        <w:t>NextGenerationEU</w:t>
      </w:r>
      <w:proofErr w:type="spellEnd"/>
      <w:r w:rsidRPr="00D463F8">
        <w:rPr>
          <w:lang w:val="lv-LV"/>
        </w:rPr>
        <w:t xml:space="preserve">) īstenošanu. Maija beigās tika pabeigta t.s. Pašu resursu lēmuma ratifikācija dalībvalstīs. Vienlaikus Eiropas Komisija (EK) turpina nacionālo Atveseļošanas un noturības (ANP) plānu izvērtēšanu. Papildus Eiropadomē plānotas diskusijas par 2021. gada Eiropas semestra Rekomendācijas projektu Eirozonas ekonomikas politikai 2021.-2022.gadam (Eirozonas rekomendācijas). </w:t>
      </w:r>
    </w:p>
    <w:p w14:paraId="3B1D6E52" w14:textId="77777777" w:rsidR="00D463F8" w:rsidRPr="00D463F8" w:rsidRDefault="00D463F8" w:rsidP="00D463F8">
      <w:pPr>
        <w:spacing w:after="120"/>
        <w:ind w:right="-567"/>
        <w:jc w:val="both"/>
        <w:rPr>
          <w:b/>
          <w:lang w:val="lv-LV"/>
        </w:rPr>
      </w:pPr>
      <w:r w:rsidRPr="00D463F8">
        <w:rPr>
          <w:b/>
          <w:lang w:val="lv-LV"/>
        </w:rPr>
        <w:t>III Migrācija</w:t>
      </w:r>
    </w:p>
    <w:p w14:paraId="731E167A" w14:textId="77777777" w:rsidR="00D463F8" w:rsidRPr="00D463F8" w:rsidRDefault="00D463F8" w:rsidP="00D463F8">
      <w:pPr>
        <w:spacing w:after="120"/>
        <w:ind w:right="-567"/>
        <w:jc w:val="both"/>
        <w:rPr>
          <w:lang w:val="lv-LV"/>
        </w:rPr>
      </w:pPr>
      <w:r w:rsidRPr="00D463F8">
        <w:rPr>
          <w:lang w:val="lv-LV"/>
        </w:rPr>
        <w:t xml:space="preserve">Eiropadomē plānots pievērsties ES migrācijas un patvēruma politikas ārējai dimensijai. Šajā jautājumā vērojama lielāka dalībvalstu viedokļu saskaņotība nekā atsevišķos migrācijas iekšējās dimensijas jautājumos. Vienlaikus jāņem vērā, ka  šī gada pirmajos četros mēnešos novērojams neregulārās migrācijas plūsmas pieaugums gandrīz visos migrācijas ceļos. </w:t>
      </w:r>
    </w:p>
    <w:p w14:paraId="64514C97" w14:textId="77777777" w:rsidR="00D463F8" w:rsidRPr="00D463F8" w:rsidRDefault="00D463F8" w:rsidP="00D463F8">
      <w:pPr>
        <w:spacing w:after="120"/>
        <w:ind w:right="-567"/>
        <w:jc w:val="both"/>
        <w:rPr>
          <w:b/>
          <w:lang w:val="lv-LV"/>
        </w:rPr>
      </w:pPr>
      <w:r w:rsidRPr="00D463F8">
        <w:rPr>
          <w:b/>
          <w:lang w:val="lv-LV"/>
        </w:rPr>
        <w:t>IV Turcija</w:t>
      </w:r>
    </w:p>
    <w:p w14:paraId="1DF429E1" w14:textId="77777777" w:rsidR="00D463F8" w:rsidRPr="00D463F8" w:rsidRDefault="00D463F8" w:rsidP="00D463F8">
      <w:pPr>
        <w:spacing w:after="120"/>
        <w:ind w:right="-567"/>
        <w:jc w:val="both"/>
        <w:rPr>
          <w:lang w:val="lv-LV"/>
        </w:rPr>
      </w:pPr>
      <w:r w:rsidRPr="00D463F8">
        <w:rPr>
          <w:lang w:val="lv-LV"/>
        </w:rPr>
        <w:t xml:space="preserve">Saskaņā ar š.g. 25. – 26. marta Eiropadomes paziņojumu, ES līderi turpinās izvērtēt situāciju ES - Turcijas attiecībās. Marta Eiropadomē tika vēlreiz apliecināta ES stratēģiskā interese veidot savstarpēji izdevīgas attiecības ar Turciju, kā arī gatavība pilnveidot sadarbību abpusējo interešu jomās, ja pozitīvā tendence Turcijas rīcībā saglabāsies. Atgādināts par negatīvām sekām, ja Turcija atsāks prettiesiskās darbības Vidusjūras austrumdaļā. </w:t>
      </w:r>
    </w:p>
    <w:p w14:paraId="3AF75B3B" w14:textId="77777777" w:rsidR="00D463F8" w:rsidRPr="00D463F8" w:rsidRDefault="00D463F8" w:rsidP="00D463F8">
      <w:pPr>
        <w:spacing w:after="120"/>
        <w:ind w:right="-567"/>
        <w:jc w:val="both"/>
        <w:rPr>
          <w:b/>
          <w:lang w:val="lv-LV"/>
        </w:rPr>
      </w:pPr>
      <w:r w:rsidRPr="00D463F8">
        <w:rPr>
          <w:b/>
          <w:lang w:val="lv-LV"/>
        </w:rPr>
        <w:t>V Krievija</w:t>
      </w:r>
    </w:p>
    <w:p w14:paraId="3E73ACA4" w14:textId="77777777" w:rsidR="00D463F8" w:rsidRPr="00D463F8" w:rsidRDefault="00D463F8" w:rsidP="00D463F8">
      <w:pPr>
        <w:spacing w:after="120"/>
        <w:ind w:right="-567"/>
        <w:jc w:val="both"/>
        <w:rPr>
          <w:lang w:val="lv-LV"/>
        </w:rPr>
      </w:pPr>
      <w:r w:rsidRPr="00D463F8">
        <w:rPr>
          <w:lang w:val="lv-LV"/>
        </w:rPr>
        <w:t xml:space="preserve">Eiropadomē paredzēts turpināt stratēģisko diskusiju par Krieviju, kas tika uzsākta š.g. 24. - 25. maija Eiropadomē. Gatavojoties jūnija sanāksmei, maijā Eiropadome aicināja ES Augsto pārstāvi ārlietās un drošības politikas jautājumos un EK sagatavot ziņojumu par ES un Krievijas attiecībām, kurā tiktu izklāstītas arī politikas iespējas ES un Krievijas attiecībām. Tas būs pamats Eiropadomes diskusijai. </w:t>
      </w:r>
    </w:p>
    <w:p w14:paraId="76B2F0FB" w14:textId="77777777" w:rsidR="00D463F8" w:rsidRPr="00D463F8" w:rsidRDefault="00D463F8" w:rsidP="00D463F8">
      <w:pPr>
        <w:spacing w:after="120"/>
        <w:ind w:right="-567"/>
        <w:jc w:val="both"/>
        <w:rPr>
          <w:lang w:val="lv-LV"/>
        </w:rPr>
      </w:pPr>
    </w:p>
    <w:p w14:paraId="4E623ABB" w14:textId="77777777" w:rsidR="00D463F8" w:rsidRDefault="00D463F8" w:rsidP="00D463F8">
      <w:pPr>
        <w:spacing w:after="120"/>
        <w:ind w:right="-567"/>
        <w:jc w:val="both"/>
        <w:rPr>
          <w:lang w:val="lv-LV"/>
        </w:rPr>
      </w:pPr>
      <w:r w:rsidRPr="00D463F8">
        <w:rPr>
          <w:lang w:val="lv-LV"/>
        </w:rPr>
        <w:t xml:space="preserve"> </w:t>
      </w:r>
    </w:p>
    <w:p w14:paraId="49D3D27B" w14:textId="313EB994" w:rsidR="00D463F8" w:rsidRPr="00D463F8" w:rsidRDefault="00D463F8" w:rsidP="00D463F8">
      <w:pPr>
        <w:spacing w:after="120"/>
        <w:ind w:right="-567"/>
        <w:jc w:val="both"/>
        <w:rPr>
          <w:u w:val="single"/>
        </w:rPr>
      </w:pPr>
      <w:proofErr w:type="spellStart"/>
      <w:r w:rsidRPr="00D463F8">
        <w:rPr>
          <w:u w:val="single"/>
        </w:rPr>
        <w:lastRenderedPageBreak/>
        <w:t>Latvijas</w:t>
      </w:r>
      <w:proofErr w:type="spellEnd"/>
      <w:r w:rsidRPr="00D463F8">
        <w:rPr>
          <w:u w:val="single"/>
        </w:rPr>
        <w:t xml:space="preserve"> </w:t>
      </w:r>
      <w:proofErr w:type="spellStart"/>
      <w:r w:rsidRPr="00D463F8">
        <w:rPr>
          <w:u w:val="single"/>
        </w:rPr>
        <w:t>nostāja</w:t>
      </w:r>
      <w:proofErr w:type="spellEnd"/>
      <w:r w:rsidRPr="00D463F8">
        <w:rPr>
          <w:u w:val="single"/>
        </w:rPr>
        <w:t>:</w:t>
      </w:r>
    </w:p>
    <w:p w14:paraId="5E3E97EA" w14:textId="77777777" w:rsidR="00D463F8" w:rsidRPr="00D463F8" w:rsidRDefault="00D463F8" w:rsidP="00D463F8">
      <w:pPr>
        <w:spacing w:after="120"/>
        <w:ind w:right="-567"/>
        <w:jc w:val="both"/>
        <w:rPr>
          <w:b/>
          <w:lang w:val="lv-LV"/>
        </w:rPr>
      </w:pPr>
      <w:r w:rsidRPr="00D463F8">
        <w:rPr>
          <w:b/>
          <w:lang w:val="lv-LV"/>
        </w:rPr>
        <w:t xml:space="preserve">I </w:t>
      </w:r>
      <w:proofErr w:type="spellStart"/>
      <w:r w:rsidRPr="00D463F8">
        <w:rPr>
          <w:b/>
          <w:lang w:val="lv-LV"/>
        </w:rPr>
        <w:t>Covid-19</w:t>
      </w:r>
      <w:proofErr w:type="spellEnd"/>
    </w:p>
    <w:p w14:paraId="2256E70B" w14:textId="77777777" w:rsidR="00D463F8" w:rsidRPr="00D463F8" w:rsidRDefault="00D463F8" w:rsidP="00D463F8">
      <w:pPr>
        <w:numPr>
          <w:ilvl w:val="0"/>
          <w:numId w:val="2"/>
        </w:numPr>
        <w:spacing w:after="120"/>
        <w:ind w:right="-567"/>
        <w:jc w:val="both"/>
        <w:rPr>
          <w:bCs/>
          <w:iCs/>
          <w:lang w:val="lv-LV"/>
        </w:rPr>
      </w:pPr>
      <w:r w:rsidRPr="00D463F8">
        <w:rPr>
          <w:bCs/>
          <w:iCs/>
          <w:lang w:val="lv-LV"/>
        </w:rPr>
        <w:t>Atbalstām ciešu ES līmeņa sadarbību, lai nodrošinātu vakcīnu pieejamību un laicīgu vakcīnu saņemšanu dalībvalstīs, t.sk. ar skatu uz nākotni.</w:t>
      </w:r>
    </w:p>
    <w:p w14:paraId="7AEA4E36" w14:textId="77777777" w:rsidR="00D463F8" w:rsidRPr="00D463F8" w:rsidRDefault="00D463F8" w:rsidP="00D463F8">
      <w:pPr>
        <w:numPr>
          <w:ilvl w:val="0"/>
          <w:numId w:val="2"/>
        </w:numPr>
        <w:spacing w:after="120"/>
        <w:ind w:right="-567"/>
        <w:jc w:val="both"/>
        <w:rPr>
          <w:bCs/>
          <w:iCs/>
          <w:lang w:val="lv-LV"/>
        </w:rPr>
      </w:pPr>
      <w:r w:rsidRPr="00D463F8">
        <w:rPr>
          <w:bCs/>
          <w:iCs/>
          <w:lang w:val="lv-LV"/>
        </w:rPr>
        <w:t xml:space="preserve">Jānodrošina pilnvērtīga ES Digitālā </w:t>
      </w:r>
      <w:proofErr w:type="spellStart"/>
      <w:r w:rsidRPr="00D463F8">
        <w:rPr>
          <w:bCs/>
          <w:iCs/>
          <w:lang w:val="lv-LV"/>
        </w:rPr>
        <w:t>Covid</w:t>
      </w:r>
      <w:proofErr w:type="spellEnd"/>
      <w:r w:rsidRPr="00D463F8">
        <w:rPr>
          <w:bCs/>
          <w:iCs/>
          <w:lang w:val="lv-LV"/>
        </w:rPr>
        <w:t xml:space="preserve"> sertifikāta darbības uzsākšana 1. jūlijā, kā arī jāstrādā pie tā sadarbspējas globālā līmenī. </w:t>
      </w:r>
    </w:p>
    <w:p w14:paraId="09C756D2" w14:textId="77777777" w:rsidR="00D463F8" w:rsidRPr="00D463F8" w:rsidRDefault="00D463F8" w:rsidP="00D463F8">
      <w:pPr>
        <w:numPr>
          <w:ilvl w:val="0"/>
          <w:numId w:val="2"/>
        </w:numPr>
        <w:spacing w:after="120"/>
        <w:ind w:right="-567"/>
        <w:jc w:val="both"/>
        <w:rPr>
          <w:bCs/>
          <w:iCs/>
          <w:lang w:val="lv-LV"/>
        </w:rPr>
      </w:pPr>
      <w:r w:rsidRPr="00D463F8">
        <w:rPr>
          <w:bCs/>
          <w:iCs/>
          <w:lang w:val="lv-LV"/>
        </w:rPr>
        <w:t xml:space="preserve">Latvija atbalsta ciešu ES koordināciju attiecībā uz pārvietošanās ierobežojumiem, vienlaikus saglabājot elastību dalībvalstīm reaģēt nepieciešamības gadījumā. </w:t>
      </w:r>
    </w:p>
    <w:p w14:paraId="3F5A6AAA" w14:textId="30C83D0C" w:rsidR="00D463F8" w:rsidRPr="00D463F8" w:rsidRDefault="00D463F8" w:rsidP="00D463F8">
      <w:pPr>
        <w:numPr>
          <w:ilvl w:val="0"/>
          <w:numId w:val="2"/>
        </w:numPr>
        <w:spacing w:after="120"/>
        <w:ind w:right="-567"/>
        <w:jc w:val="both"/>
        <w:rPr>
          <w:lang w:val="lv-LV"/>
        </w:rPr>
      </w:pPr>
      <w:r w:rsidRPr="00D463F8">
        <w:rPr>
          <w:bCs/>
          <w:iCs/>
          <w:lang w:val="lv-LV"/>
        </w:rPr>
        <w:t xml:space="preserve">Ar skatu uz no pandēmijas gūtajām mācībām - </w:t>
      </w:r>
      <w:r w:rsidRPr="00D463F8">
        <w:rPr>
          <w:lang w:val="lv-LV"/>
        </w:rPr>
        <w:t xml:space="preserve">nepieciešama vienota pieeja un savstarpēja komunikācija ar mērķi novērst nekoordinētu robežu slēgšanu un </w:t>
      </w:r>
      <w:r w:rsidR="001E2CA7">
        <w:rPr>
          <w:lang w:val="lv-LV"/>
        </w:rPr>
        <w:t>pirmās nepieciešamības preču, t.s</w:t>
      </w:r>
      <w:bookmarkStart w:id="0" w:name="_GoBack"/>
      <w:bookmarkEnd w:id="0"/>
      <w:r w:rsidR="001E2CA7">
        <w:rPr>
          <w:lang w:val="lv-LV"/>
        </w:rPr>
        <w:t xml:space="preserve">k. </w:t>
      </w:r>
      <w:r w:rsidRPr="00D463F8">
        <w:rPr>
          <w:lang w:val="lv-LV"/>
        </w:rPr>
        <w:t xml:space="preserve">medicīnas preču iztrūkumu pārrobežu veselības apdraudējumu situācijās. </w:t>
      </w:r>
    </w:p>
    <w:p w14:paraId="0ABAD454" w14:textId="77777777" w:rsidR="00D463F8" w:rsidRPr="00D463F8" w:rsidRDefault="00D463F8" w:rsidP="00D463F8">
      <w:pPr>
        <w:spacing w:after="120"/>
        <w:ind w:right="-567"/>
        <w:jc w:val="both"/>
        <w:rPr>
          <w:b/>
          <w:lang w:val="lv-LV"/>
        </w:rPr>
      </w:pPr>
      <w:r w:rsidRPr="00D463F8">
        <w:rPr>
          <w:b/>
          <w:lang w:val="lv-LV"/>
        </w:rPr>
        <w:t>II Ekonomikas atjaunošana</w:t>
      </w:r>
    </w:p>
    <w:p w14:paraId="3C704274" w14:textId="77777777" w:rsidR="00D463F8" w:rsidRPr="00D463F8" w:rsidRDefault="00D463F8" w:rsidP="00D463F8">
      <w:pPr>
        <w:numPr>
          <w:ilvl w:val="0"/>
          <w:numId w:val="10"/>
        </w:numPr>
        <w:spacing w:after="120"/>
        <w:ind w:left="357" w:right="-567" w:hanging="357"/>
        <w:jc w:val="both"/>
        <w:rPr>
          <w:lang w:val="lv-LV"/>
        </w:rPr>
      </w:pPr>
      <w:r w:rsidRPr="00D463F8">
        <w:rPr>
          <w:lang w:val="lv-LV"/>
        </w:rPr>
        <w:t xml:space="preserve">Latvija apsveic Pašu resursu lēmuma ratifikācijas noslēgumu visās dalībvalstīs un uzskata, ka svarīgi pēc iespējas ātrāk apstiprināt nacionālos ANP, lai stiprinātu ekonomikas atjaunošanos pēc </w:t>
      </w:r>
      <w:proofErr w:type="spellStart"/>
      <w:r w:rsidRPr="00D463F8">
        <w:rPr>
          <w:lang w:val="lv-LV"/>
        </w:rPr>
        <w:t>Covid-19</w:t>
      </w:r>
      <w:proofErr w:type="spellEnd"/>
      <w:r w:rsidRPr="00D463F8">
        <w:rPr>
          <w:lang w:val="lv-LV"/>
        </w:rPr>
        <w:t xml:space="preserve"> radītās krīzes.</w:t>
      </w:r>
    </w:p>
    <w:p w14:paraId="39B22EDD" w14:textId="77777777" w:rsidR="00D463F8" w:rsidRPr="00D463F8" w:rsidRDefault="00D463F8" w:rsidP="00D463F8">
      <w:pPr>
        <w:numPr>
          <w:ilvl w:val="0"/>
          <w:numId w:val="11"/>
        </w:numPr>
        <w:spacing w:after="120"/>
        <w:ind w:left="357" w:right="-567" w:hanging="357"/>
        <w:jc w:val="both"/>
        <w:rPr>
          <w:lang w:val="lv-LV"/>
        </w:rPr>
      </w:pPr>
      <w:r w:rsidRPr="00D463F8">
        <w:rPr>
          <w:lang w:val="lv-LV"/>
        </w:rPr>
        <w:t>Latvija kopumā atbalsta projektu Padomes rekomendācijām eirozonas ekonomikas politikai 2021. gada Eiropas semestra ietvaros un EK 2021. - 2022. gadam iezīmēto atbalstošu fiskālās politikas kursu, dalībvalstīm turpinot publisko finanšu atbalstu iekļaujošai ekonomikas atjaunošanai un pārejai uz klimata neitralitāti un digitalizāciju.</w:t>
      </w:r>
    </w:p>
    <w:p w14:paraId="03BC9C25" w14:textId="77777777" w:rsidR="00D463F8" w:rsidRPr="00D463F8" w:rsidRDefault="00D463F8" w:rsidP="00D463F8">
      <w:pPr>
        <w:spacing w:after="120"/>
        <w:ind w:right="-567"/>
        <w:jc w:val="both"/>
        <w:rPr>
          <w:b/>
          <w:lang w:val="lv-LV"/>
        </w:rPr>
      </w:pPr>
      <w:r w:rsidRPr="00D463F8">
        <w:rPr>
          <w:b/>
          <w:lang w:val="lv-LV"/>
        </w:rPr>
        <w:t>III Migrācija</w:t>
      </w:r>
    </w:p>
    <w:p w14:paraId="75BEF255" w14:textId="77777777" w:rsidR="00D463F8" w:rsidRPr="00D463F8" w:rsidRDefault="00D463F8" w:rsidP="00D463F8">
      <w:pPr>
        <w:numPr>
          <w:ilvl w:val="0"/>
          <w:numId w:val="9"/>
        </w:numPr>
        <w:spacing w:after="120"/>
        <w:ind w:left="357" w:right="-567" w:hanging="357"/>
        <w:jc w:val="both"/>
        <w:rPr>
          <w:b/>
          <w:lang w:val="lv-LV"/>
        </w:rPr>
      </w:pPr>
      <w:r w:rsidRPr="00D463F8">
        <w:rPr>
          <w:lang w:val="lv-LV"/>
        </w:rPr>
        <w:t>ES jāturpina aktīva sadarbība ar migrācijas izcelsmes un tranzīta valstīm, pilnveidojot jau esošos sadarbības mehānismus.</w:t>
      </w:r>
    </w:p>
    <w:p w14:paraId="39639E3E" w14:textId="77777777" w:rsidR="00D463F8" w:rsidRPr="00D463F8" w:rsidRDefault="00D463F8" w:rsidP="00D463F8">
      <w:pPr>
        <w:numPr>
          <w:ilvl w:val="0"/>
          <w:numId w:val="9"/>
        </w:numPr>
        <w:spacing w:after="120"/>
        <w:ind w:left="357" w:right="-567" w:hanging="357"/>
        <w:jc w:val="both"/>
        <w:rPr>
          <w:b/>
          <w:lang w:val="lv-LV"/>
        </w:rPr>
      </w:pPr>
      <w:r w:rsidRPr="00D463F8">
        <w:rPr>
          <w:lang w:val="lv-LV"/>
        </w:rPr>
        <w:t>Uzskatām, ka galvenie ES darbības virzieni migrācijas plūsmu mazināšanai no trešajām valstīm uz ES būtu migrācijas cēloņu risināšana, cīņa pret cilvēku tirdzniecību un migrantu kontrabandu, efektīva atgriešanas/atpakaļ uzņemšanas un reintegrācijas politika, atbalsts  tranzītvalstīm to kapacitāšu stiprināšanā migrācijas plūsmu pārvaldībai, kā arī ES attīstības sadarbības politikas stiprināšana.</w:t>
      </w:r>
    </w:p>
    <w:p w14:paraId="3DBA71A3" w14:textId="77777777" w:rsidR="00D463F8" w:rsidRPr="00D463F8" w:rsidRDefault="00D463F8" w:rsidP="00D463F8">
      <w:pPr>
        <w:spacing w:after="120"/>
        <w:ind w:right="-567"/>
        <w:jc w:val="both"/>
        <w:rPr>
          <w:b/>
          <w:lang w:val="lv-LV"/>
        </w:rPr>
      </w:pPr>
      <w:r w:rsidRPr="00D463F8">
        <w:rPr>
          <w:b/>
          <w:lang w:val="lv-LV"/>
        </w:rPr>
        <w:t>IV Turcija</w:t>
      </w:r>
    </w:p>
    <w:p w14:paraId="34A64E23" w14:textId="77777777" w:rsidR="00D463F8" w:rsidRPr="00D463F8" w:rsidRDefault="00D463F8" w:rsidP="00D463F8">
      <w:pPr>
        <w:numPr>
          <w:ilvl w:val="0"/>
          <w:numId w:val="12"/>
        </w:numPr>
        <w:spacing w:after="120"/>
        <w:ind w:right="-567"/>
        <w:jc w:val="both"/>
        <w:rPr>
          <w:lang w:val="lv-LV"/>
        </w:rPr>
      </w:pPr>
      <w:r w:rsidRPr="00D463F8">
        <w:rPr>
          <w:lang w:val="lv-LV"/>
        </w:rPr>
        <w:t xml:space="preserve">Jāturpina līdzsvarota pieeja attiecībās ar Turciju - pozitīva dienaskārtība un ierobežojošo pasākumu opcija atkarībā no situācijas attīstības. </w:t>
      </w:r>
    </w:p>
    <w:p w14:paraId="6B1058F9" w14:textId="77777777" w:rsidR="00D463F8" w:rsidRPr="00D463F8" w:rsidRDefault="00D463F8" w:rsidP="00D463F8">
      <w:pPr>
        <w:numPr>
          <w:ilvl w:val="0"/>
          <w:numId w:val="12"/>
        </w:numPr>
        <w:spacing w:after="120"/>
        <w:ind w:right="-567"/>
        <w:jc w:val="both"/>
        <w:rPr>
          <w:lang w:val="lv-LV"/>
        </w:rPr>
      </w:pPr>
      <w:r w:rsidRPr="00D463F8">
        <w:rPr>
          <w:lang w:val="lv-LV"/>
        </w:rPr>
        <w:t xml:space="preserve">Ņemot vērā Turcijas rīcību spriedzes mazināšanā un panākto progresu ES - Turcijas attiecību uzlabošanā, atbalstām darbu ar pozitīvās dienaskārtības elementiem. </w:t>
      </w:r>
    </w:p>
    <w:p w14:paraId="6D323480" w14:textId="77777777" w:rsidR="00D463F8" w:rsidRPr="00D463F8" w:rsidRDefault="00D463F8" w:rsidP="00D463F8">
      <w:pPr>
        <w:numPr>
          <w:ilvl w:val="0"/>
          <w:numId w:val="12"/>
        </w:numPr>
        <w:spacing w:after="120"/>
        <w:ind w:right="-567"/>
        <w:jc w:val="both"/>
        <w:rPr>
          <w:bCs/>
          <w:lang w:val="lv-LV"/>
        </w:rPr>
      </w:pPr>
      <w:r w:rsidRPr="00D463F8">
        <w:rPr>
          <w:lang w:val="lv-LV"/>
        </w:rPr>
        <w:t>Jāturpina sadarbība migrācijas jomā un ES atbalsts Sīrijas bēgļiem Turcijā. Jārunā arī par satraucošo situāciju tiesiskuma un cilvēktiesību jomā Turcijā, kas ir svarīgi ES – Turcijas attiecību elementi.</w:t>
      </w:r>
    </w:p>
    <w:p w14:paraId="3A151001" w14:textId="77777777" w:rsidR="00D463F8" w:rsidRPr="00D463F8" w:rsidRDefault="00D463F8" w:rsidP="00D463F8">
      <w:pPr>
        <w:spacing w:after="120"/>
        <w:ind w:right="-567"/>
        <w:jc w:val="both"/>
        <w:rPr>
          <w:b/>
          <w:lang w:val="lv-LV"/>
        </w:rPr>
      </w:pPr>
      <w:r w:rsidRPr="00D463F8">
        <w:rPr>
          <w:b/>
          <w:lang w:val="lv-LV"/>
        </w:rPr>
        <w:t>V Krievija</w:t>
      </w:r>
    </w:p>
    <w:p w14:paraId="5513D9CB" w14:textId="77777777" w:rsidR="00D463F8" w:rsidRPr="00D463F8" w:rsidRDefault="00D463F8" w:rsidP="00D463F8">
      <w:pPr>
        <w:numPr>
          <w:ilvl w:val="0"/>
          <w:numId w:val="5"/>
        </w:numPr>
        <w:spacing w:after="120"/>
        <w:ind w:right="-567"/>
        <w:jc w:val="both"/>
        <w:rPr>
          <w:lang w:val="lv-LV"/>
        </w:rPr>
      </w:pPr>
      <w:r w:rsidRPr="00D463F8">
        <w:rPr>
          <w:lang w:val="lv-LV"/>
        </w:rPr>
        <w:t xml:space="preserve">Latvijai ir svarīgi, lai </w:t>
      </w:r>
      <w:r w:rsidRPr="00D463F8">
        <w:rPr>
          <w:iCs/>
          <w:lang w:val="lv-LV"/>
        </w:rPr>
        <w:t>ES attiecībās ar Krieviju ievērotu principiālu nostāju: ES īstenotajai politikai jābalstās uz starptautiskajām tiesībām, demokrātiskām vērtībām, vienotību un solidaritāti.</w:t>
      </w:r>
    </w:p>
    <w:p w14:paraId="75971C01" w14:textId="77777777" w:rsidR="00D463F8" w:rsidRPr="00D463F8" w:rsidRDefault="00D463F8" w:rsidP="00D463F8">
      <w:pPr>
        <w:numPr>
          <w:ilvl w:val="0"/>
          <w:numId w:val="5"/>
        </w:numPr>
        <w:spacing w:after="120"/>
        <w:ind w:right="-567"/>
        <w:jc w:val="both"/>
        <w:rPr>
          <w:lang w:val="lv-LV"/>
        </w:rPr>
      </w:pPr>
      <w:r w:rsidRPr="00D463F8">
        <w:rPr>
          <w:lang w:val="lv-LV"/>
        </w:rPr>
        <w:lastRenderedPageBreak/>
        <w:t>Pašreizējā ES politika pret Krieviju (divu ceļu pieeja – sankcijas un dialogs) ir konsekventi jāturpina.</w:t>
      </w:r>
    </w:p>
    <w:p w14:paraId="411A5BB5" w14:textId="77777777" w:rsidR="00D463F8" w:rsidRPr="00D463F8" w:rsidRDefault="00D463F8" w:rsidP="00D463F8">
      <w:pPr>
        <w:numPr>
          <w:ilvl w:val="0"/>
          <w:numId w:val="5"/>
        </w:numPr>
        <w:spacing w:after="120"/>
        <w:ind w:right="-567"/>
        <w:jc w:val="both"/>
        <w:rPr>
          <w:lang w:val="lv-LV"/>
        </w:rPr>
      </w:pPr>
      <w:r w:rsidRPr="00D463F8">
        <w:rPr>
          <w:lang w:val="lv-LV"/>
        </w:rPr>
        <w:t>Krievijā pieaugošo demokrātisko tiesību ierobežojumu kontekstā, svarīgi paust solidaritāti un atbalstu Krievijas pilsoniskajai sabiedrībai, cilvēktiesību aizstāvjiem un neatkarīgajiem medijiem.</w:t>
      </w:r>
    </w:p>
    <w:p w14:paraId="64E2FFE7" w14:textId="3D890854" w:rsidR="009E1608" w:rsidRDefault="009E1608" w:rsidP="009E1608">
      <w:pPr>
        <w:spacing w:after="120"/>
        <w:ind w:right="-567"/>
        <w:jc w:val="both"/>
        <w:rPr>
          <w:iCs/>
          <w:lang w:val="lv-LV"/>
        </w:rPr>
      </w:pPr>
    </w:p>
    <w:p w14:paraId="4D115A9A" w14:textId="77777777" w:rsidR="009E1608" w:rsidRDefault="009E1608" w:rsidP="009E1608">
      <w:pPr>
        <w:spacing w:after="120"/>
        <w:ind w:right="-567"/>
        <w:jc w:val="both"/>
        <w:rPr>
          <w:iCs/>
          <w:lang w:val="lv-LV"/>
        </w:rPr>
      </w:pPr>
    </w:p>
    <w:p w14:paraId="474797F6" w14:textId="77777777" w:rsidR="009E1608" w:rsidRPr="009E1608" w:rsidRDefault="009E1608" w:rsidP="009E1608">
      <w:pPr>
        <w:spacing w:before="120" w:after="120"/>
        <w:ind w:left="360"/>
        <w:jc w:val="both"/>
        <w:rPr>
          <w:rFonts w:eastAsia="Calibri"/>
          <w:i/>
          <w:iCs/>
          <w:lang w:val="lv-LV"/>
        </w:rPr>
      </w:pP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9E1608" w:rsidRPr="009E1608" w14:paraId="285F4403" w14:textId="77777777" w:rsidTr="0037642A">
        <w:trPr>
          <w:trHeight w:val="284"/>
        </w:trPr>
        <w:tc>
          <w:tcPr>
            <w:tcW w:w="4321" w:type="dxa"/>
          </w:tcPr>
          <w:p w14:paraId="209D82C6" w14:textId="77777777" w:rsidR="009E1608" w:rsidRPr="009E1608" w:rsidRDefault="009E1608" w:rsidP="009E1608">
            <w:pPr>
              <w:tabs>
                <w:tab w:val="left" w:pos="6840"/>
              </w:tabs>
              <w:suppressAutoHyphens/>
              <w:jc w:val="both"/>
              <w:rPr>
                <w:lang w:val="lv-LV"/>
              </w:rPr>
            </w:pPr>
            <w:r w:rsidRPr="009E1608">
              <w:rPr>
                <w:lang w:val="lv-LV"/>
              </w:rPr>
              <w:t>Ārlietu ministrs</w:t>
            </w:r>
          </w:p>
        </w:tc>
        <w:tc>
          <w:tcPr>
            <w:tcW w:w="4454" w:type="dxa"/>
            <w:vAlign w:val="bottom"/>
          </w:tcPr>
          <w:p w14:paraId="55AEA791" w14:textId="77777777" w:rsidR="009E1608" w:rsidRPr="009E1608" w:rsidRDefault="009E1608" w:rsidP="009E1608">
            <w:pPr>
              <w:tabs>
                <w:tab w:val="left" w:pos="6840"/>
              </w:tabs>
              <w:suppressAutoHyphens/>
              <w:jc w:val="right"/>
              <w:rPr>
                <w:lang w:val="lv-LV"/>
              </w:rPr>
            </w:pPr>
            <w:r w:rsidRPr="009E1608">
              <w:rPr>
                <w:lang w:val="lv-LV"/>
              </w:rPr>
              <w:t>E.Rinkēvičs</w:t>
            </w:r>
          </w:p>
        </w:tc>
      </w:tr>
    </w:tbl>
    <w:p w14:paraId="69C0F4DD" w14:textId="77777777" w:rsidR="009E1608" w:rsidRPr="009E1608" w:rsidRDefault="009E1608" w:rsidP="009E1608">
      <w:pPr>
        <w:spacing w:after="120"/>
        <w:jc w:val="both"/>
        <w:rPr>
          <w:bCs/>
          <w:kern w:val="1"/>
          <w:lang w:val="lv-LV" w:eastAsia="ar-SA"/>
        </w:rPr>
      </w:pPr>
    </w:p>
    <w:p w14:paraId="2A7EB0F5" w14:textId="77777777" w:rsidR="009E1608" w:rsidRPr="009E1608" w:rsidRDefault="009E1608" w:rsidP="009E1608">
      <w:pPr>
        <w:spacing w:after="120"/>
        <w:jc w:val="both"/>
        <w:rPr>
          <w:bCs/>
          <w:kern w:val="1"/>
          <w:lang w:val="lv-LV" w:eastAsia="ar-SA"/>
        </w:rPr>
      </w:pPr>
    </w:p>
    <w:p w14:paraId="59576558" w14:textId="2A0884F7" w:rsidR="009E1608" w:rsidRPr="009E1608" w:rsidRDefault="009E1608" w:rsidP="009E1608">
      <w:pPr>
        <w:spacing w:after="120"/>
        <w:ind w:right="-113"/>
        <w:jc w:val="both"/>
        <w:rPr>
          <w:bCs/>
          <w:kern w:val="1"/>
          <w:lang w:val="lv-LV" w:eastAsia="ar-SA"/>
        </w:rPr>
      </w:pPr>
      <w:r w:rsidRPr="009E1608">
        <w:rPr>
          <w:bCs/>
          <w:kern w:val="1"/>
          <w:lang w:val="lv-LV" w:eastAsia="ar-SA"/>
        </w:rPr>
        <w:t>Vīza: valsts sekretār</w:t>
      </w:r>
      <w:r w:rsidR="006C24C4">
        <w:rPr>
          <w:bCs/>
          <w:kern w:val="1"/>
          <w:lang w:val="lv-LV" w:eastAsia="ar-SA"/>
        </w:rPr>
        <w:t>s</w:t>
      </w:r>
      <w:r w:rsidRPr="009E1608">
        <w:rPr>
          <w:bCs/>
          <w:kern w:val="1"/>
          <w:lang w:val="lv-LV" w:eastAsia="ar-SA"/>
        </w:rPr>
        <w:tab/>
      </w:r>
      <w:r w:rsidRPr="009E1608">
        <w:rPr>
          <w:bCs/>
          <w:kern w:val="1"/>
          <w:lang w:val="lv-LV" w:eastAsia="ar-SA"/>
        </w:rPr>
        <w:tab/>
      </w:r>
      <w:r w:rsidRPr="009E1608">
        <w:rPr>
          <w:bCs/>
          <w:kern w:val="1"/>
          <w:lang w:val="lv-LV" w:eastAsia="ar-SA"/>
        </w:rPr>
        <w:tab/>
      </w:r>
      <w:r w:rsidRPr="009E1608">
        <w:rPr>
          <w:bCs/>
          <w:kern w:val="1"/>
          <w:lang w:val="lv-LV" w:eastAsia="ar-SA"/>
        </w:rPr>
        <w:tab/>
      </w:r>
      <w:r w:rsidRPr="009E1608">
        <w:rPr>
          <w:bCs/>
          <w:kern w:val="1"/>
          <w:lang w:val="lv-LV" w:eastAsia="ar-SA"/>
        </w:rPr>
        <w:tab/>
      </w:r>
      <w:r w:rsidRPr="009E1608">
        <w:rPr>
          <w:bCs/>
          <w:kern w:val="1"/>
          <w:lang w:val="lv-LV" w:eastAsia="ar-SA"/>
        </w:rPr>
        <w:tab/>
        <w:t xml:space="preserve">     </w:t>
      </w:r>
      <w:r w:rsidR="006C24C4">
        <w:rPr>
          <w:bCs/>
          <w:kern w:val="1"/>
          <w:lang w:val="lv-LV" w:eastAsia="ar-SA"/>
        </w:rPr>
        <w:tab/>
      </w:r>
      <w:r w:rsidRPr="009E1608">
        <w:rPr>
          <w:bCs/>
          <w:kern w:val="1"/>
          <w:lang w:val="lv-LV" w:eastAsia="ar-SA"/>
        </w:rPr>
        <w:tab/>
        <w:t xml:space="preserve">     A. </w:t>
      </w:r>
      <w:r w:rsidR="006C24C4">
        <w:rPr>
          <w:bCs/>
          <w:kern w:val="1"/>
          <w:lang w:val="lv-LV" w:eastAsia="ar-SA"/>
        </w:rPr>
        <w:t>Pelšs</w:t>
      </w:r>
    </w:p>
    <w:p w14:paraId="08D7BF9B" w14:textId="77777777" w:rsidR="009E1608" w:rsidRPr="009E1608" w:rsidRDefault="009E1608" w:rsidP="009E1608">
      <w:pPr>
        <w:rPr>
          <w:sz w:val="20"/>
          <w:szCs w:val="20"/>
          <w:lang w:val="lv-LV"/>
        </w:rPr>
      </w:pPr>
    </w:p>
    <w:p w14:paraId="57DE6098" w14:textId="77777777" w:rsidR="009E1608" w:rsidRPr="009E1608" w:rsidRDefault="009E1608" w:rsidP="009E1608">
      <w:pPr>
        <w:rPr>
          <w:sz w:val="20"/>
          <w:szCs w:val="20"/>
          <w:lang w:val="lv-LV"/>
        </w:rPr>
      </w:pPr>
    </w:p>
    <w:p w14:paraId="092C8568" w14:textId="77777777" w:rsidR="009E1608" w:rsidRPr="009E1608" w:rsidRDefault="009E1608" w:rsidP="009E1608">
      <w:pPr>
        <w:rPr>
          <w:sz w:val="20"/>
          <w:szCs w:val="20"/>
          <w:lang w:val="lv-LV"/>
        </w:rPr>
      </w:pPr>
    </w:p>
    <w:p w14:paraId="0C06A6A0" w14:textId="77777777" w:rsidR="009E1608" w:rsidRPr="009E1608" w:rsidRDefault="009E1608" w:rsidP="009E1608">
      <w:pPr>
        <w:rPr>
          <w:sz w:val="20"/>
          <w:szCs w:val="20"/>
          <w:lang w:val="lv-LV"/>
        </w:rPr>
      </w:pPr>
    </w:p>
    <w:p w14:paraId="7632F24F" w14:textId="77777777" w:rsidR="009E1608" w:rsidRPr="009E1608" w:rsidRDefault="009E1608" w:rsidP="009E1608">
      <w:pPr>
        <w:rPr>
          <w:sz w:val="20"/>
          <w:szCs w:val="20"/>
          <w:lang w:val="lv-LV"/>
        </w:rPr>
      </w:pPr>
      <w:proofErr w:type="spellStart"/>
      <w:r w:rsidRPr="009E1608">
        <w:rPr>
          <w:sz w:val="20"/>
          <w:szCs w:val="20"/>
          <w:lang w:val="lv-LV"/>
        </w:rPr>
        <w:t>A.Butāne</w:t>
      </w:r>
      <w:proofErr w:type="spellEnd"/>
      <w:r w:rsidRPr="009E1608">
        <w:rPr>
          <w:sz w:val="20"/>
          <w:szCs w:val="20"/>
          <w:lang w:val="lv-LV"/>
        </w:rPr>
        <w:t>, 67015929</w:t>
      </w:r>
    </w:p>
    <w:p w14:paraId="1B86A4A8" w14:textId="77777777" w:rsidR="009E1608" w:rsidRPr="009E1608" w:rsidRDefault="001E2CA7" w:rsidP="009E1608">
      <w:pPr>
        <w:rPr>
          <w:sz w:val="20"/>
          <w:szCs w:val="20"/>
          <w:lang w:val="lv-LV"/>
        </w:rPr>
      </w:pPr>
      <w:hyperlink r:id="rId12" w:history="1">
        <w:r w:rsidR="009E1608" w:rsidRPr="009E1608">
          <w:rPr>
            <w:color w:val="0563C1"/>
            <w:sz w:val="20"/>
            <w:szCs w:val="20"/>
            <w:u w:val="single"/>
            <w:lang w:val="lv-LV"/>
          </w:rPr>
          <w:t>Aija.Butane@mfa.gov.lv</w:t>
        </w:r>
      </w:hyperlink>
    </w:p>
    <w:p w14:paraId="28608BFB" w14:textId="77777777" w:rsidR="009E1608" w:rsidRPr="009E1608" w:rsidRDefault="009E1608" w:rsidP="009E1608">
      <w:pPr>
        <w:spacing w:after="120"/>
        <w:ind w:right="-567"/>
        <w:jc w:val="both"/>
        <w:rPr>
          <w:iCs/>
          <w:lang w:val="lv-LV"/>
        </w:rPr>
      </w:pPr>
    </w:p>
    <w:p w14:paraId="04116DB7" w14:textId="77777777" w:rsidR="004F3153" w:rsidRPr="004F3153" w:rsidRDefault="004F3153" w:rsidP="004F3153">
      <w:pPr>
        <w:spacing w:after="120"/>
        <w:jc w:val="both"/>
        <w:rPr>
          <w:lang w:val="lv-LV"/>
        </w:rPr>
      </w:pPr>
    </w:p>
    <w:sectPr w:rsidR="004F3153" w:rsidRPr="004F3153" w:rsidSect="00075B55">
      <w:footerReference w:type="default" r:id="rId13"/>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0315" w14:textId="77777777" w:rsidR="00A160B6" w:rsidRDefault="00A160B6" w:rsidP="00A160B6">
      <w:r>
        <w:separator/>
      </w:r>
    </w:p>
  </w:endnote>
  <w:endnote w:type="continuationSeparator" w:id="0">
    <w:p w14:paraId="4054A6F3" w14:textId="77777777" w:rsidR="00A160B6" w:rsidRDefault="00A160B6" w:rsidP="00A1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634695"/>
      <w:docPartObj>
        <w:docPartGallery w:val="Page Numbers (Bottom of Page)"/>
        <w:docPartUnique/>
      </w:docPartObj>
    </w:sdtPr>
    <w:sdtEndPr>
      <w:rPr>
        <w:noProof/>
      </w:rPr>
    </w:sdtEndPr>
    <w:sdtContent>
      <w:p w14:paraId="233472ED" w14:textId="183B5E2A" w:rsidR="009E1608" w:rsidRDefault="00D463F8" w:rsidP="00D463F8">
        <w:pPr>
          <w:keepNext/>
          <w:keepLines/>
          <w:suppressAutoHyphens/>
          <w:spacing w:before="200"/>
          <w:jc w:val="both"/>
          <w:outlineLvl w:val="2"/>
        </w:pPr>
        <w:r w:rsidRPr="00D463F8">
          <w:rPr>
            <w:bCs/>
            <w:sz w:val="20"/>
            <w:szCs w:val="20"/>
            <w:lang w:val="lv-LV"/>
          </w:rPr>
          <w:t>AM</w:t>
        </w:r>
        <w:r>
          <w:rPr>
            <w:bCs/>
            <w:sz w:val="20"/>
            <w:szCs w:val="20"/>
            <w:lang w:val="lv-LV"/>
          </w:rPr>
          <w:t>zino</w:t>
        </w:r>
        <w:r w:rsidRPr="00D463F8">
          <w:rPr>
            <w:bCs/>
            <w:sz w:val="20"/>
            <w:szCs w:val="20"/>
            <w:lang w:val="lv-LV"/>
          </w:rPr>
          <w:t>_110621; Latvijas Republikas nacionālā pozīcija Nr. 1 “Par 2021. gada 24. - 25. jūnija Eiropadomē izskatāmajiem jautājumiem”</w:t>
        </w:r>
      </w:p>
      <w:p w14:paraId="24767867" w14:textId="070D459E" w:rsidR="00A160B6" w:rsidRDefault="00A160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EF2A2" w14:textId="77777777" w:rsidR="00A160B6" w:rsidRDefault="00A1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097F3" w14:textId="77777777" w:rsidR="00A160B6" w:rsidRDefault="00A160B6" w:rsidP="00A160B6">
      <w:r>
        <w:separator/>
      </w:r>
    </w:p>
  </w:footnote>
  <w:footnote w:type="continuationSeparator" w:id="0">
    <w:p w14:paraId="2FA4DDB6" w14:textId="77777777" w:rsidR="00A160B6" w:rsidRDefault="00A160B6" w:rsidP="00A1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84D"/>
    <w:multiLevelType w:val="hybridMultilevel"/>
    <w:tmpl w:val="3574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1794B"/>
    <w:multiLevelType w:val="hybridMultilevel"/>
    <w:tmpl w:val="26BEA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EE1E93"/>
    <w:multiLevelType w:val="hybridMultilevel"/>
    <w:tmpl w:val="4B4ACC9C"/>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3" w15:restartNumberingAfterBreak="0">
    <w:nsid w:val="2C7B21B2"/>
    <w:multiLevelType w:val="hybridMultilevel"/>
    <w:tmpl w:val="7C44C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D40F4B"/>
    <w:multiLevelType w:val="hybridMultilevel"/>
    <w:tmpl w:val="E30CD7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9B866B4"/>
    <w:multiLevelType w:val="hybridMultilevel"/>
    <w:tmpl w:val="2968D2DA"/>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6" w15:restartNumberingAfterBreak="0">
    <w:nsid w:val="530B11CF"/>
    <w:multiLevelType w:val="hybridMultilevel"/>
    <w:tmpl w:val="2ABCE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8C5AF3"/>
    <w:multiLevelType w:val="hybridMultilevel"/>
    <w:tmpl w:val="EEDE68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141082F"/>
    <w:multiLevelType w:val="hybridMultilevel"/>
    <w:tmpl w:val="6B0E6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AF7CE5"/>
    <w:multiLevelType w:val="hybridMultilevel"/>
    <w:tmpl w:val="E57C4572"/>
    <w:lvl w:ilvl="0" w:tplc="04260001">
      <w:start w:val="1"/>
      <w:numFmt w:val="bullet"/>
      <w:lvlText w:val=""/>
      <w:lvlJc w:val="left"/>
      <w:pPr>
        <w:ind w:left="451" w:hanging="360"/>
      </w:pPr>
      <w:rPr>
        <w:rFonts w:ascii="Symbol" w:hAnsi="Symbol" w:hint="default"/>
      </w:rPr>
    </w:lvl>
    <w:lvl w:ilvl="1" w:tplc="79423ABA">
      <w:numFmt w:val="bullet"/>
      <w:lvlText w:val="•"/>
      <w:lvlJc w:val="left"/>
      <w:pPr>
        <w:ind w:left="1531" w:hanging="720"/>
      </w:pPr>
      <w:rPr>
        <w:rFonts w:ascii="Times New Roman" w:eastAsia="Times New Roman" w:hAnsi="Times New Roman" w:cs="Times New Roman" w:hint="default"/>
      </w:rPr>
    </w:lvl>
    <w:lvl w:ilvl="2" w:tplc="04260005" w:tentative="1">
      <w:start w:val="1"/>
      <w:numFmt w:val="bullet"/>
      <w:lvlText w:val=""/>
      <w:lvlJc w:val="left"/>
      <w:pPr>
        <w:ind w:left="1891" w:hanging="360"/>
      </w:pPr>
      <w:rPr>
        <w:rFonts w:ascii="Wingdings" w:hAnsi="Wingdings" w:hint="default"/>
      </w:rPr>
    </w:lvl>
    <w:lvl w:ilvl="3" w:tplc="04260001" w:tentative="1">
      <w:start w:val="1"/>
      <w:numFmt w:val="bullet"/>
      <w:lvlText w:val=""/>
      <w:lvlJc w:val="left"/>
      <w:pPr>
        <w:ind w:left="2611" w:hanging="360"/>
      </w:pPr>
      <w:rPr>
        <w:rFonts w:ascii="Symbol" w:hAnsi="Symbol" w:hint="default"/>
      </w:rPr>
    </w:lvl>
    <w:lvl w:ilvl="4" w:tplc="04260003" w:tentative="1">
      <w:start w:val="1"/>
      <w:numFmt w:val="bullet"/>
      <w:lvlText w:val="o"/>
      <w:lvlJc w:val="left"/>
      <w:pPr>
        <w:ind w:left="3331" w:hanging="360"/>
      </w:pPr>
      <w:rPr>
        <w:rFonts w:ascii="Courier New" w:hAnsi="Courier New" w:cs="Courier New" w:hint="default"/>
      </w:rPr>
    </w:lvl>
    <w:lvl w:ilvl="5" w:tplc="04260005" w:tentative="1">
      <w:start w:val="1"/>
      <w:numFmt w:val="bullet"/>
      <w:lvlText w:val=""/>
      <w:lvlJc w:val="left"/>
      <w:pPr>
        <w:ind w:left="4051" w:hanging="360"/>
      </w:pPr>
      <w:rPr>
        <w:rFonts w:ascii="Wingdings" w:hAnsi="Wingdings" w:hint="default"/>
      </w:rPr>
    </w:lvl>
    <w:lvl w:ilvl="6" w:tplc="04260001" w:tentative="1">
      <w:start w:val="1"/>
      <w:numFmt w:val="bullet"/>
      <w:lvlText w:val=""/>
      <w:lvlJc w:val="left"/>
      <w:pPr>
        <w:ind w:left="4771" w:hanging="360"/>
      </w:pPr>
      <w:rPr>
        <w:rFonts w:ascii="Symbol" w:hAnsi="Symbol" w:hint="default"/>
      </w:rPr>
    </w:lvl>
    <w:lvl w:ilvl="7" w:tplc="04260003" w:tentative="1">
      <w:start w:val="1"/>
      <w:numFmt w:val="bullet"/>
      <w:lvlText w:val="o"/>
      <w:lvlJc w:val="left"/>
      <w:pPr>
        <w:ind w:left="5491" w:hanging="360"/>
      </w:pPr>
      <w:rPr>
        <w:rFonts w:ascii="Courier New" w:hAnsi="Courier New" w:cs="Courier New" w:hint="default"/>
      </w:rPr>
    </w:lvl>
    <w:lvl w:ilvl="8" w:tplc="04260005" w:tentative="1">
      <w:start w:val="1"/>
      <w:numFmt w:val="bullet"/>
      <w:lvlText w:val=""/>
      <w:lvlJc w:val="left"/>
      <w:pPr>
        <w:ind w:left="6211" w:hanging="360"/>
      </w:pPr>
      <w:rPr>
        <w:rFonts w:ascii="Wingdings" w:hAnsi="Wingdings" w:hint="default"/>
      </w:rPr>
    </w:lvl>
  </w:abstractNum>
  <w:abstractNum w:abstractNumId="11" w15:restartNumberingAfterBreak="0">
    <w:nsid w:val="7A880DFB"/>
    <w:multiLevelType w:val="hybridMultilevel"/>
    <w:tmpl w:val="F112F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4"/>
  </w:num>
  <w:num w:numId="6">
    <w:abstractNumId w:val="9"/>
  </w:num>
  <w:num w:numId="7">
    <w:abstractNumId w:val="7"/>
  </w:num>
  <w:num w:numId="8">
    <w:abstractNumId w:val="2"/>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F8"/>
    <w:rsid w:val="00066A1E"/>
    <w:rsid w:val="00075B55"/>
    <w:rsid w:val="000C2D10"/>
    <w:rsid w:val="000E2E08"/>
    <w:rsid w:val="001E2CA7"/>
    <w:rsid w:val="003323C7"/>
    <w:rsid w:val="003421B4"/>
    <w:rsid w:val="00370F8E"/>
    <w:rsid w:val="004F3153"/>
    <w:rsid w:val="00526E8E"/>
    <w:rsid w:val="005507DB"/>
    <w:rsid w:val="00576A11"/>
    <w:rsid w:val="005B2B0F"/>
    <w:rsid w:val="006C24C4"/>
    <w:rsid w:val="00705263"/>
    <w:rsid w:val="007C1377"/>
    <w:rsid w:val="007C2EE1"/>
    <w:rsid w:val="007F2073"/>
    <w:rsid w:val="008131E9"/>
    <w:rsid w:val="00851BDB"/>
    <w:rsid w:val="00907B67"/>
    <w:rsid w:val="009B71D2"/>
    <w:rsid w:val="009E1608"/>
    <w:rsid w:val="00A160B6"/>
    <w:rsid w:val="00A70C8E"/>
    <w:rsid w:val="00C51299"/>
    <w:rsid w:val="00D049F8"/>
    <w:rsid w:val="00D463F8"/>
    <w:rsid w:val="00EB3941"/>
    <w:rsid w:val="00ED29FE"/>
    <w:rsid w:val="00F0565E"/>
    <w:rsid w:val="00F40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31661"/>
  <w15:chartTrackingRefBased/>
  <w15:docId w15:val="{CDE4B0DB-88D7-4EA8-88AF-0D87B08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9F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L"/>
    <w:basedOn w:val="Normal"/>
    <w:link w:val="ListParagraphChar"/>
    <w:uiPriority w:val="34"/>
    <w:qFormat/>
    <w:rsid w:val="00D049F8"/>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049F8"/>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rsid w:val="00851BDB"/>
    <w:rPr>
      <w:sz w:val="20"/>
      <w:szCs w:val="20"/>
    </w:rPr>
  </w:style>
  <w:style w:type="character" w:customStyle="1" w:styleId="CommentTextChar">
    <w:name w:val="Comment Text Char"/>
    <w:basedOn w:val="DefaultParagraphFont"/>
    <w:link w:val="CommentText"/>
    <w:uiPriority w:val="99"/>
    <w:rsid w:val="00851BDB"/>
    <w:rPr>
      <w:rFonts w:ascii="Times New Roman" w:eastAsia="Times New Roman" w:hAnsi="Times New Roman" w:cs="Times New Roman"/>
      <w:sz w:val="20"/>
      <w:szCs w:val="20"/>
      <w:lang w:val="en-GB"/>
    </w:rPr>
  </w:style>
  <w:style w:type="character" w:styleId="CommentReference">
    <w:name w:val="annotation reference"/>
    <w:uiPriority w:val="99"/>
    <w:semiHidden/>
    <w:rsid w:val="00851BDB"/>
    <w:rPr>
      <w:sz w:val="16"/>
      <w:szCs w:val="16"/>
    </w:rPr>
  </w:style>
  <w:style w:type="paragraph" w:styleId="BalloonText">
    <w:name w:val="Balloon Text"/>
    <w:basedOn w:val="Normal"/>
    <w:link w:val="BalloonTextChar"/>
    <w:uiPriority w:val="99"/>
    <w:semiHidden/>
    <w:unhideWhenUsed/>
    <w:rsid w:val="00851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DB"/>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D29FE"/>
    <w:rPr>
      <w:b/>
      <w:bCs/>
    </w:rPr>
  </w:style>
  <w:style w:type="character" w:customStyle="1" w:styleId="CommentSubjectChar">
    <w:name w:val="Comment Subject Char"/>
    <w:basedOn w:val="CommentTextChar"/>
    <w:link w:val="CommentSubject"/>
    <w:uiPriority w:val="99"/>
    <w:semiHidden/>
    <w:rsid w:val="00ED29FE"/>
    <w:rPr>
      <w:rFonts w:ascii="Times New Roman" w:eastAsia="Times New Roman" w:hAnsi="Times New Roman" w:cs="Times New Roman"/>
      <w:b/>
      <w:bCs/>
      <w:sz w:val="20"/>
      <w:szCs w:val="20"/>
      <w:lang w:val="en-GB"/>
    </w:rPr>
  </w:style>
  <w:style w:type="paragraph" w:styleId="NoSpacing">
    <w:name w:val="No Spacing"/>
    <w:aliases w:val="My style,TĒZES"/>
    <w:link w:val="NoSpacingChar"/>
    <w:uiPriority w:val="1"/>
    <w:qFormat/>
    <w:rsid w:val="00370F8E"/>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aliases w:val="My style Char,TĒZES Char"/>
    <w:basedOn w:val="DefaultParagraphFont"/>
    <w:link w:val="NoSpacing"/>
    <w:uiPriority w:val="1"/>
    <w:rsid w:val="00370F8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160B6"/>
    <w:pPr>
      <w:tabs>
        <w:tab w:val="center" w:pos="4153"/>
        <w:tab w:val="right" w:pos="8306"/>
      </w:tabs>
    </w:pPr>
  </w:style>
  <w:style w:type="character" w:customStyle="1" w:styleId="HeaderChar">
    <w:name w:val="Header Char"/>
    <w:basedOn w:val="DefaultParagraphFont"/>
    <w:link w:val="Header"/>
    <w:uiPriority w:val="99"/>
    <w:rsid w:val="00A160B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160B6"/>
    <w:pPr>
      <w:tabs>
        <w:tab w:val="center" w:pos="4153"/>
        <w:tab w:val="right" w:pos="8306"/>
      </w:tabs>
    </w:pPr>
  </w:style>
  <w:style w:type="character" w:customStyle="1" w:styleId="FooterChar">
    <w:name w:val="Footer Char"/>
    <w:basedOn w:val="DefaultParagraphFont"/>
    <w:link w:val="Footer"/>
    <w:uiPriority w:val="99"/>
    <w:rsid w:val="00A160B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ija.Butane@mfa.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36" ma:contentTypeDescription="Izveidot jaunu dokumentu." ma:contentTypeScope="" ma:versionID="34ce31c1ba9369b4ab1c96595fb59767">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Nacionālā pozīcija nr. 1 par 2021. gada 24. - 25. jūnija Eiropadomē izskatāmajiem jautājumiem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2021-06-14T12:54:57Z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26-12695</amNumurs>
    <amPiekluvesLimenaPamatojums xmlns="801ff49e-5150-41f0-9cd7-015d16134d38" xsi:nil="true"/>
  </documentManagement>
</p:properties>
</file>

<file path=customXml/itemProps1.xml><?xml version="1.0" encoding="utf-8"?>
<ds:datastoreItem xmlns:ds="http://schemas.openxmlformats.org/officeDocument/2006/customXml" ds:itemID="{CFFCFA8F-B41D-4FA7-8C5C-86B0BADC2B88}"/>
</file>

<file path=customXml/itemProps2.xml><?xml version="1.0" encoding="utf-8"?>
<ds:datastoreItem xmlns:ds="http://schemas.openxmlformats.org/officeDocument/2006/customXml" ds:itemID="{B46871AC-D93F-4314-AE58-89D89E7DC9FD}"/>
</file>

<file path=customXml/itemProps3.xml><?xml version="1.0" encoding="utf-8"?>
<ds:datastoreItem xmlns:ds="http://schemas.openxmlformats.org/officeDocument/2006/customXml" ds:itemID="{49F39708-FB83-40DE-86AC-DEE6A02802EF}"/>
</file>

<file path=customXml/itemProps4.xml><?xml version="1.0" encoding="utf-8"?>
<ds:datastoreItem xmlns:ds="http://schemas.openxmlformats.org/officeDocument/2006/customXml" ds:itemID="{AB435916-14CC-4ED5-9DE6-B0F9235700E6}"/>
</file>

<file path=customXml/itemProps5.xml><?xml version="1.0" encoding="utf-8"?>
<ds:datastoreItem xmlns:ds="http://schemas.openxmlformats.org/officeDocument/2006/customXml" ds:itemID="{3377B021-C94B-4F82-9AD9-DEA4BCD88188}"/>
</file>

<file path=docProps/app.xml><?xml version="1.0" encoding="utf-8"?>
<Properties xmlns="http://schemas.openxmlformats.org/officeDocument/2006/extended-properties" xmlns:vt="http://schemas.openxmlformats.org/officeDocument/2006/docPropsVTypes">
  <Template>Normal</Template>
  <TotalTime>3</TotalTime>
  <Pages>3</Pages>
  <Words>3380</Words>
  <Characters>1928</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Butane</dc:creator>
  <cp:keywords/>
  <dc:description/>
  <cp:lastModifiedBy>Author</cp:lastModifiedBy>
  <cp:revision>10</cp:revision>
  <dcterms:created xsi:type="dcterms:W3CDTF">2021-05-12T12:53:00Z</dcterms:created>
  <dcterms:modified xsi:type="dcterms:W3CDTF">2021-06-11T07:48:00Z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