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3CA36" w14:textId="77777777" w:rsidR="006A5248" w:rsidRPr="006A5248" w:rsidRDefault="006A5248" w:rsidP="006A5248">
      <w:pPr>
        <w:spacing w:after="0" w:line="240" w:lineRule="auto"/>
        <w:ind w:firstLine="720"/>
        <w:jc w:val="center"/>
        <w:rPr>
          <w:rFonts w:ascii="Times New Roman" w:eastAsia="Times New Roman" w:hAnsi="Times New Roman" w:cs="Times New Roman"/>
          <w:b/>
          <w:bCs/>
          <w:sz w:val="28"/>
          <w:szCs w:val="28"/>
          <w:lang w:eastAsia="lv-LV"/>
        </w:rPr>
      </w:pPr>
      <w:r w:rsidRPr="006A5248">
        <w:rPr>
          <w:rFonts w:ascii="Times New Roman" w:eastAsia="Times New Roman" w:hAnsi="Times New Roman" w:cs="Times New Roman"/>
          <w:b/>
          <w:bCs/>
          <w:sz w:val="28"/>
          <w:szCs w:val="28"/>
          <w:lang w:eastAsia="lv-LV"/>
        </w:rPr>
        <w:t>Izziņa par atzinumos sniegtajiem iebildumiem</w:t>
      </w:r>
    </w:p>
    <w:p w14:paraId="71B124A0"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6A5248" w:rsidRPr="006A5248" w14:paraId="580EEF25" w14:textId="77777777" w:rsidTr="00BA53CB">
        <w:trPr>
          <w:jc w:val="center"/>
        </w:trPr>
        <w:tc>
          <w:tcPr>
            <w:tcW w:w="10188" w:type="dxa"/>
            <w:tcBorders>
              <w:bottom w:val="single" w:sz="6" w:space="0" w:color="000000"/>
            </w:tcBorders>
          </w:tcPr>
          <w:p w14:paraId="33D6F201" w14:textId="77777777" w:rsidR="006A5248" w:rsidRPr="006A5248" w:rsidRDefault="006A5248" w:rsidP="006A5248">
            <w:pPr>
              <w:spacing w:after="0" w:line="240" w:lineRule="auto"/>
              <w:jc w:val="center"/>
              <w:rPr>
                <w:rFonts w:ascii="Times New Roman" w:eastAsia="Times New Roman" w:hAnsi="Times New Roman" w:cs="Times New Roman"/>
                <w:b/>
                <w:sz w:val="28"/>
                <w:szCs w:val="28"/>
                <w:lang w:eastAsia="lv-LV"/>
              </w:rPr>
            </w:pPr>
            <w:r w:rsidRPr="006A5248">
              <w:rPr>
                <w:rFonts w:ascii="Times New Roman" w:eastAsia="Times New Roman" w:hAnsi="Times New Roman" w:cs="Times New Roman"/>
                <w:b/>
                <w:sz w:val="28"/>
                <w:szCs w:val="28"/>
                <w:lang w:eastAsia="lv-LV"/>
              </w:rPr>
              <w:t>Likum</w:t>
            </w:r>
            <w:r w:rsidR="00DA52E9">
              <w:rPr>
                <w:rFonts w:ascii="Times New Roman" w:eastAsia="Times New Roman" w:hAnsi="Times New Roman" w:cs="Times New Roman"/>
                <w:b/>
                <w:sz w:val="28"/>
                <w:szCs w:val="28"/>
                <w:lang w:eastAsia="lv-LV"/>
              </w:rPr>
              <w:t>projektam “Grozījums Narkotisko un psihotropo vielu un zāļu, kā arī prekursoru</w:t>
            </w:r>
            <w:r w:rsidR="0004043E">
              <w:rPr>
                <w:rFonts w:ascii="Times New Roman" w:eastAsia="Times New Roman" w:hAnsi="Times New Roman" w:cs="Times New Roman"/>
                <w:b/>
                <w:sz w:val="28"/>
                <w:szCs w:val="28"/>
                <w:lang w:eastAsia="lv-LV"/>
              </w:rPr>
              <w:t xml:space="preserve"> likumīgās aprites likumā</w:t>
            </w:r>
            <w:r w:rsidR="00DA52E9">
              <w:rPr>
                <w:rFonts w:ascii="Times New Roman" w:eastAsia="Times New Roman" w:hAnsi="Times New Roman" w:cs="Times New Roman"/>
                <w:b/>
                <w:sz w:val="28"/>
                <w:szCs w:val="28"/>
                <w:lang w:eastAsia="lv-LV"/>
              </w:rPr>
              <w:t>” (VSS - 1272</w:t>
            </w:r>
            <w:r w:rsidRPr="006A5248">
              <w:rPr>
                <w:rFonts w:ascii="Times New Roman" w:eastAsia="Times New Roman" w:hAnsi="Times New Roman" w:cs="Times New Roman"/>
                <w:b/>
                <w:sz w:val="28"/>
                <w:szCs w:val="28"/>
                <w:lang w:eastAsia="lv-LV"/>
              </w:rPr>
              <w:t>)</w:t>
            </w:r>
          </w:p>
        </w:tc>
      </w:tr>
    </w:tbl>
    <w:p w14:paraId="4FF95607" w14:textId="77777777" w:rsidR="006A5248" w:rsidRPr="006A5248" w:rsidRDefault="006A5248" w:rsidP="006A5248">
      <w:pPr>
        <w:spacing w:after="0" w:line="240" w:lineRule="auto"/>
        <w:ind w:firstLine="1080"/>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(dokumenta veids un nosaukums)</w:t>
      </w:r>
    </w:p>
    <w:p w14:paraId="2B66207D"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p w14:paraId="07F91C01" w14:textId="77777777" w:rsidR="006A5248" w:rsidRPr="006A5248" w:rsidRDefault="006A5248" w:rsidP="006A5248">
      <w:pPr>
        <w:spacing w:after="0" w:line="240" w:lineRule="auto"/>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I. Jautājumi, par kuriem saskaņošanā vienošanās nav panākta</w:t>
      </w:r>
    </w:p>
    <w:p w14:paraId="7AB3F580"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6A5248" w:rsidRPr="006A5248" w14:paraId="55EF29B2" w14:textId="77777777" w:rsidTr="00BA53CB">
        <w:tc>
          <w:tcPr>
            <w:tcW w:w="708" w:type="dxa"/>
            <w:tcBorders>
              <w:top w:val="single" w:sz="6" w:space="0" w:color="000000"/>
              <w:left w:val="single" w:sz="6" w:space="0" w:color="000000"/>
              <w:bottom w:val="single" w:sz="6" w:space="0" w:color="000000"/>
              <w:right w:val="single" w:sz="6" w:space="0" w:color="000000"/>
            </w:tcBorders>
            <w:vAlign w:val="center"/>
          </w:tcPr>
          <w:p w14:paraId="64DE36F8"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BEFB185" w14:textId="77777777" w:rsidR="006A5248" w:rsidRPr="006A5248" w:rsidRDefault="006A5248" w:rsidP="006A5248">
            <w:pPr>
              <w:spacing w:after="0" w:line="240" w:lineRule="auto"/>
              <w:ind w:firstLine="12"/>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57A0498" w14:textId="77777777" w:rsidR="006A5248" w:rsidRPr="006A5248" w:rsidRDefault="006A5248" w:rsidP="006A5248">
            <w:pPr>
              <w:spacing w:after="0" w:line="240" w:lineRule="auto"/>
              <w:ind w:right="3"/>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50F2DC8" w14:textId="77777777" w:rsidR="006A5248" w:rsidRPr="006A5248" w:rsidRDefault="006A5248" w:rsidP="006A5248">
            <w:pPr>
              <w:spacing w:after="0" w:line="240" w:lineRule="auto"/>
              <w:ind w:firstLine="21"/>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25C4786"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308870"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Projekta attiecīgā punkta (panta) galīgā redakcija</w:t>
            </w:r>
          </w:p>
        </w:tc>
      </w:tr>
      <w:tr w:rsidR="006A5248" w:rsidRPr="006A5248" w14:paraId="0525C3DA" w14:textId="77777777" w:rsidTr="00BA53CB">
        <w:tc>
          <w:tcPr>
            <w:tcW w:w="708" w:type="dxa"/>
            <w:tcBorders>
              <w:top w:val="single" w:sz="6" w:space="0" w:color="000000"/>
              <w:left w:val="single" w:sz="6" w:space="0" w:color="000000"/>
              <w:bottom w:val="single" w:sz="6" w:space="0" w:color="000000"/>
              <w:right w:val="single" w:sz="6" w:space="0" w:color="000000"/>
            </w:tcBorders>
          </w:tcPr>
          <w:p w14:paraId="531F78FD" w14:textId="77777777" w:rsidR="006A5248" w:rsidRPr="006A5248" w:rsidRDefault="006A5248" w:rsidP="006A5248">
            <w:pPr>
              <w:spacing w:after="0" w:line="240" w:lineRule="auto"/>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79716E41"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0F9FA67B"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7AC281B0"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12F6484F" w14:textId="77777777" w:rsidR="006A5248" w:rsidRPr="006A5248" w:rsidRDefault="006A5248" w:rsidP="006A5248">
            <w:pPr>
              <w:spacing w:after="0" w:line="240" w:lineRule="auto"/>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0D40AC7C" w14:textId="77777777" w:rsidR="006A5248" w:rsidRPr="006A5248" w:rsidRDefault="006A5248" w:rsidP="006A5248">
            <w:pPr>
              <w:spacing w:after="0" w:line="240" w:lineRule="auto"/>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6</w:t>
            </w:r>
          </w:p>
        </w:tc>
      </w:tr>
    </w:tbl>
    <w:p w14:paraId="14D73B85" w14:textId="77777777" w:rsidR="006A5248" w:rsidRPr="006A5248" w:rsidRDefault="006A5248" w:rsidP="006A5248">
      <w:pPr>
        <w:spacing w:after="0" w:line="240" w:lineRule="auto"/>
        <w:jc w:val="both"/>
        <w:rPr>
          <w:rFonts w:ascii="Times New Roman" w:eastAsia="Times New Roman" w:hAnsi="Times New Roman" w:cs="Times New Roman"/>
          <w:sz w:val="24"/>
          <w:szCs w:val="24"/>
          <w:lang w:eastAsia="lv-LV"/>
        </w:rPr>
      </w:pPr>
    </w:p>
    <w:tbl>
      <w:tblPr>
        <w:tblW w:w="12582" w:type="dxa"/>
        <w:tblLook w:val="00A0" w:firstRow="1" w:lastRow="0" w:firstColumn="1" w:lastColumn="0" w:noHBand="0" w:noVBand="0"/>
      </w:tblPr>
      <w:tblGrid>
        <w:gridCol w:w="12798"/>
        <w:gridCol w:w="222"/>
      </w:tblGrid>
      <w:tr w:rsidR="006A5248" w:rsidRPr="006A5248" w14:paraId="1B3BEE8A" w14:textId="77777777" w:rsidTr="00BA53CB">
        <w:tc>
          <w:tcPr>
            <w:tcW w:w="6708" w:type="dxa"/>
          </w:tcPr>
          <w:p w14:paraId="20130F12" w14:textId="77777777" w:rsidR="006A5248" w:rsidRPr="006A5248" w:rsidRDefault="006A5248" w:rsidP="006A5248">
            <w:pPr>
              <w:spacing w:after="0" w:line="240" w:lineRule="auto"/>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Informācija par starpministriju (starpinstitūciju) sanāksmi vai elektronisko saskaņošanu</w:t>
            </w:r>
          </w:p>
          <w:p w14:paraId="1635F065" w14:textId="77777777" w:rsidR="006A5248" w:rsidRPr="006A5248" w:rsidRDefault="006A5248" w:rsidP="006A5248">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1203"/>
              <w:gridCol w:w="5034"/>
            </w:tblGrid>
            <w:tr w:rsidR="006A5248" w:rsidRPr="006A5248" w14:paraId="6A1357F0" w14:textId="77777777" w:rsidTr="00BA53CB">
              <w:tc>
                <w:tcPr>
                  <w:tcW w:w="6345" w:type="dxa"/>
                  <w:hideMark/>
                </w:tcPr>
                <w:p w14:paraId="2E5417C7" w14:textId="77777777" w:rsidR="006A5248" w:rsidRPr="006A5248" w:rsidRDefault="006A5248" w:rsidP="006A5248">
                  <w:pPr>
                    <w:spacing w:after="0" w:line="240" w:lineRule="auto"/>
                    <w:jc w:val="both"/>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Datums</w:t>
                  </w:r>
                </w:p>
              </w:tc>
              <w:tc>
                <w:tcPr>
                  <w:tcW w:w="6237" w:type="dxa"/>
                  <w:gridSpan w:val="2"/>
                  <w:tcBorders>
                    <w:top w:val="nil"/>
                    <w:left w:val="nil"/>
                    <w:bottom w:val="single" w:sz="4" w:space="0" w:color="auto"/>
                    <w:right w:val="nil"/>
                  </w:tcBorders>
                  <w:hideMark/>
                </w:tcPr>
                <w:p w14:paraId="6B20F2E6"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p>
              </w:tc>
            </w:tr>
            <w:tr w:rsidR="006A5248" w:rsidRPr="006A5248" w14:paraId="07C6A9D5" w14:textId="77777777" w:rsidTr="00BA53CB">
              <w:tc>
                <w:tcPr>
                  <w:tcW w:w="6345" w:type="dxa"/>
                </w:tcPr>
                <w:p w14:paraId="03219218" w14:textId="77777777" w:rsidR="006A5248" w:rsidRPr="006A5248" w:rsidRDefault="006A5248" w:rsidP="006A5248">
                  <w:pPr>
                    <w:spacing w:after="0" w:line="240" w:lineRule="auto"/>
                    <w:jc w:val="both"/>
                    <w:rPr>
                      <w:rFonts w:ascii="Times New Roman" w:eastAsia="Times New Roman" w:hAnsi="Times New Roman" w:cs="Times New Roman"/>
                      <w:sz w:val="24"/>
                      <w:szCs w:val="24"/>
                      <w:lang w:eastAsia="lv-LV"/>
                    </w:rPr>
                  </w:pPr>
                </w:p>
              </w:tc>
              <w:tc>
                <w:tcPr>
                  <w:tcW w:w="6237" w:type="dxa"/>
                  <w:gridSpan w:val="2"/>
                  <w:tcBorders>
                    <w:top w:val="single" w:sz="4" w:space="0" w:color="auto"/>
                    <w:left w:val="nil"/>
                    <w:bottom w:val="nil"/>
                    <w:right w:val="nil"/>
                  </w:tcBorders>
                </w:tcPr>
                <w:p w14:paraId="39EE5885"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p>
              </w:tc>
            </w:tr>
            <w:tr w:rsidR="006A5248" w:rsidRPr="006A5248" w14:paraId="6BC1DC8A" w14:textId="77777777" w:rsidTr="00BA53CB">
              <w:tc>
                <w:tcPr>
                  <w:tcW w:w="6345" w:type="dxa"/>
                  <w:hideMark/>
                </w:tcPr>
                <w:p w14:paraId="6B6E0DBE"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Saskaņošanas dalībnieki</w:t>
                  </w:r>
                </w:p>
              </w:tc>
              <w:tc>
                <w:tcPr>
                  <w:tcW w:w="6237" w:type="dxa"/>
                  <w:gridSpan w:val="2"/>
                  <w:hideMark/>
                </w:tcPr>
                <w:p w14:paraId="78122928" w14:textId="33DDEDFF"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 xml:space="preserve">Tieslietu ministrija, Finanšu ministrija, Iekšlietu ministrija, Ekonomikas ministrija, </w:t>
                  </w:r>
                  <w:r w:rsidR="00C0697D">
                    <w:rPr>
                      <w:rFonts w:ascii="Times New Roman" w:eastAsia="Times New Roman" w:hAnsi="Times New Roman" w:cs="Times New Roman"/>
                      <w:sz w:val="24"/>
                      <w:szCs w:val="24"/>
                      <w:lang w:eastAsia="lv-LV"/>
                    </w:rPr>
                    <w:t>Veselības ministrija</w:t>
                  </w:r>
                  <w:r w:rsidR="000A5715">
                    <w:rPr>
                      <w:rFonts w:ascii="Times New Roman" w:eastAsia="Times New Roman" w:hAnsi="Times New Roman" w:cs="Times New Roman"/>
                      <w:sz w:val="24"/>
                      <w:szCs w:val="24"/>
                      <w:lang w:eastAsia="lv-LV"/>
                    </w:rPr>
                    <w:t>, Labklājības ministrija</w:t>
                  </w:r>
                  <w:r w:rsidR="0048318D">
                    <w:rPr>
                      <w:rFonts w:ascii="Times New Roman" w:eastAsia="Times New Roman" w:hAnsi="Times New Roman" w:cs="Times New Roman"/>
                      <w:sz w:val="24"/>
                      <w:szCs w:val="24"/>
                      <w:lang w:eastAsia="lv-LV"/>
                    </w:rPr>
                    <w:t>.</w:t>
                  </w:r>
                </w:p>
              </w:tc>
            </w:tr>
            <w:tr w:rsidR="006A5248" w:rsidRPr="006A5248" w14:paraId="0701D5DB" w14:textId="77777777" w:rsidTr="00BA53CB">
              <w:trPr>
                <w:trHeight w:val="285"/>
              </w:trPr>
              <w:tc>
                <w:tcPr>
                  <w:tcW w:w="6345" w:type="dxa"/>
                </w:tcPr>
                <w:p w14:paraId="07368176"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tc>
              <w:tc>
                <w:tcPr>
                  <w:tcW w:w="1203" w:type="dxa"/>
                </w:tcPr>
                <w:p w14:paraId="511151ED"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p>
              </w:tc>
              <w:tc>
                <w:tcPr>
                  <w:tcW w:w="5034" w:type="dxa"/>
                </w:tcPr>
                <w:p w14:paraId="2080C492" w14:textId="77777777" w:rsidR="006A5248" w:rsidRPr="006A5248" w:rsidRDefault="006A5248" w:rsidP="006A5248">
                  <w:pPr>
                    <w:spacing w:after="0" w:line="240" w:lineRule="auto"/>
                    <w:ind w:firstLine="12"/>
                    <w:rPr>
                      <w:rFonts w:ascii="Times New Roman" w:eastAsia="Times New Roman" w:hAnsi="Times New Roman" w:cs="Times New Roman"/>
                      <w:sz w:val="24"/>
                      <w:szCs w:val="24"/>
                      <w:lang w:eastAsia="lv-LV"/>
                    </w:rPr>
                  </w:pPr>
                </w:p>
              </w:tc>
            </w:tr>
          </w:tbl>
          <w:p w14:paraId="6C75EA9A"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tbl>
            <w:tblPr>
              <w:tblW w:w="12582" w:type="dxa"/>
              <w:tblLook w:val="00A0" w:firstRow="1" w:lastRow="0" w:firstColumn="1" w:lastColumn="0" w:noHBand="0" w:noVBand="0"/>
            </w:tblPr>
            <w:tblGrid>
              <w:gridCol w:w="6708"/>
              <w:gridCol w:w="840"/>
              <w:gridCol w:w="5034"/>
            </w:tblGrid>
            <w:tr w:rsidR="006A5248" w:rsidRPr="006A5248" w14:paraId="3C5C8D73" w14:textId="77777777" w:rsidTr="00BA53CB">
              <w:trPr>
                <w:trHeight w:val="285"/>
              </w:trPr>
              <w:tc>
                <w:tcPr>
                  <w:tcW w:w="6708" w:type="dxa"/>
                  <w:hideMark/>
                </w:tcPr>
                <w:p w14:paraId="02B6110E"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Pr>
                <w:p w14:paraId="1DB90A59"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p>
              </w:tc>
              <w:tc>
                <w:tcPr>
                  <w:tcW w:w="5034" w:type="dxa"/>
                </w:tcPr>
                <w:p w14:paraId="5ECEBE04" w14:textId="77777777" w:rsidR="006A5248" w:rsidRPr="006A5248" w:rsidRDefault="006A5248" w:rsidP="006A5248">
                  <w:pPr>
                    <w:spacing w:after="0" w:line="240" w:lineRule="auto"/>
                    <w:ind w:firstLine="12"/>
                    <w:rPr>
                      <w:rFonts w:ascii="Times New Roman" w:eastAsia="Times New Roman" w:hAnsi="Times New Roman" w:cs="Times New Roman"/>
                      <w:sz w:val="24"/>
                      <w:szCs w:val="24"/>
                      <w:lang w:eastAsia="lv-LV"/>
                    </w:rPr>
                  </w:pPr>
                </w:p>
              </w:tc>
            </w:tr>
            <w:tr w:rsidR="006A5248" w:rsidRPr="006A5248" w14:paraId="36BF789C" w14:textId="77777777" w:rsidTr="00BA53CB">
              <w:trPr>
                <w:trHeight w:val="465"/>
              </w:trPr>
              <w:tc>
                <w:tcPr>
                  <w:tcW w:w="6708" w:type="dxa"/>
                  <w:hideMark/>
                </w:tcPr>
                <w:p w14:paraId="45AB4121"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  </w:t>
                  </w:r>
                </w:p>
              </w:tc>
              <w:tc>
                <w:tcPr>
                  <w:tcW w:w="5874" w:type="dxa"/>
                  <w:gridSpan w:val="2"/>
                  <w:tcBorders>
                    <w:top w:val="single" w:sz="6" w:space="0" w:color="000000"/>
                    <w:left w:val="nil"/>
                    <w:bottom w:val="single" w:sz="6" w:space="0" w:color="000000"/>
                    <w:right w:val="nil"/>
                  </w:tcBorders>
                  <w:hideMark/>
                </w:tcPr>
                <w:p w14:paraId="55EE6C59"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tc>
            </w:tr>
            <w:tr w:rsidR="006A5248" w:rsidRPr="006A5248" w14:paraId="3779A146" w14:textId="77777777" w:rsidTr="00BA53CB">
              <w:trPr>
                <w:trHeight w:val="465"/>
              </w:trPr>
              <w:tc>
                <w:tcPr>
                  <w:tcW w:w="12582" w:type="dxa"/>
                  <w:gridSpan w:val="3"/>
                </w:tcPr>
                <w:p w14:paraId="6A82D030" w14:textId="77777777" w:rsidR="006A5248" w:rsidRPr="006A5248" w:rsidRDefault="006A5248" w:rsidP="006A5248">
                  <w:pPr>
                    <w:spacing w:after="0" w:line="240" w:lineRule="auto"/>
                    <w:ind w:left="4820" w:firstLine="720"/>
                    <w:jc w:val="center"/>
                    <w:rPr>
                      <w:rFonts w:ascii="Times New Roman" w:eastAsia="Times New Roman" w:hAnsi="Times New Roman" w:cs="Times New Roman"/>
                      <w:sz w:val="24"/>
                      <w:szCs w:val="24"/>
                      <w:lang w:eastAsia="lv-LV"/>
                    </w:rPr>
                  </w:pPr>
                </w:p>
              </w:tc>
            </w:tr>
            <w:tr w:rsidR="006A5248" w:rsidRPr="006A5248" w14:paraId="443ACC35" w14:textId="77777777" w:rsidTr="00BA53CB">
              <w:tc>
                <w:tcPr>
                  <w:tcW w:w="6708" w:type="dxa"/>
                  <w:hideMark/>
                </w:tcPr>
                <w:p w14:paraId="502CBA1E"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5874" w:type="dxa"/>
                  <w:gridSpan w:val="2"/>
                </w:tcPr>
                <w:p w14:paraId="5EECF9DF" w14:textId="77777777" w:rsidR="006A5248" w:rsidRPr="006A5248" w:rsidRDefault="006A5248" w:rsidP="006A5248">
                  <w:pPr>
                    <w:spacing w:after="0" w:line="240" w:lineRule="auto"/>
                    <w:jc w:val="both"/>
                    <w:rPr>
                      <w:rFonts w:ascii="Times New Roman" w:eastAsia="Times New Roman" w:hAnsi="Times New Roman" w:cs="Times New Roman"/>
                      <w:sz w:val="24"/>
                      <w:szCs w:val="24"/>
                      <w:u w:val="single"/>
                      <w:lang w:eastAsia="lv-LV"/>
                    </w:rPr>
                  </w:pPr>
                </w:p>
              </w:tc>
            </w:tr>
          </w:tbl>
          <w:p w14:paraId="1EB8F22F"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tc>
        <w:tc>
          <w:tcPr>
            <w:tcW w:w="5874" w:type="dxa"/>
          </w:tcPr>
          <w:p w14:paraId="382FC240" w14:textId="77777777" w:rsidR="006A5248" w:rsidRPr="006A5248" w:rsidRDefault="006A5248" w:rsidP="006A5248">
            <w:pPr>
              <w:spacing w:after="0" w:line="240" w:lineRule="auto"/>
              <w:jc w:val="both"/>
              <w:rPr>
                <w:rFonts w:ascii="Times New Roman" w:eastAsia="Times New Roman" w:hAnsi="Times New Roman" w:cs="Times New Roman"/>
                <w:sz w:val="24"/>
                <w:szCs w:val="24"/>
                <w:u w:val="single"/>
                <w:lang w:eastAsia="lv-LV"/>
              </w:rPr>
            </w:pPr>
          </w:p>
        </w:tc>
      </w:tr>
    </w:tbl>
    <w:p w14:paraId="653ADD14"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p w14:paraId="1E4023E8" w14:textId="77777777" w:rsidR="006A5248" w:rsidRPr="006A5248" w:rsidRDefault="006A5248" w:rsidP="006A5248">
      <w:pPr>
        <w:spacing w:after="0" w:line="240" w:lineRule="auto"/>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II. Jautājumi, par kuriem saskaņošanā vienošanās ir panākta</w:t>
      </w:r>
    </w:p>
    <w:p w14:paraId="1DAE3461"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3118"/>
      </w:tblGrid>
      <w:tr w:rsidR="006A5248" w:rsidRPr="006A5248" w14:paraId="09B184C7" w14:textId="77777777" w:rsidTr="00BA53CB">
        <w:tc>
          <w:tcPr>
            <w:tcW w:w="708" w:type="dxa"/>
            <w:tcBorders>
              <w:top w:val="single" w:sz="6" w:space="0" w:color="000000"/>
              <w:left w:val="single" w:sz="6" w:space="0" w:color="000000"/>
              <w:bottom w:val="single" w:sz="6" w:space="0" w:color="000000"/>
              <w:right w:val="single" w:sz="6" w:space="0" w:color="000000"/>
            </w:tcBorders>
            <w:vAlign w:val="center"/>
          </w:tcPr>
          <w:p w14:paraId="3F1C3073"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77B82FF" w14:textId="77777777" w:rsidR="006A5248" w:rsidRPr="006A5248" w:rsidRDefault="006A5248" w:rsidP="006A5248">
            <w:pPr>
              <w:spacing w:after="0" w:line="240" w:lineRule="auto"/>
              <w:ind w:firstLine="12"/>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85D3499" w14:textId="77777777" w:rsidR="006A5248" w:rsidRPr="006A5248" w:rsidRDefault="006A5248" w:rsidP="006A5248">
            <w:pPr>
              <w:spacing w:after="0" w:line="240" w:lineRule="auto"/>
              <w:ind w:right="3"/>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4AB7A1C1" w14:textId="77777777" w:rsidR="006A5248" w:rsidRPr="006A5248" w:rsidRDefault="006A5248" w:rsidP="006A5248">
            <w:pPr>
              <w:spacing w:after="0" w:line="240" w:lineRule="auto"/>
              <w:ind w:firstLine="21"/>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01C55098"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Projekta attiecīgā punkta (panta) galīgā redakcija</w:t>
            </w:r>
          </w:p>
        </w:tc>
      </w:tr>
      <w:tr w:rsidR="006A5248" w:rsidRPr="006A5248" w14:paraId="5C512ECE" w14:textId="77777777" w:rsidTr="00BA53CB">
        <w:tc>
          <w:tcPr>
            <w:tcW w:w="708" w:type="dxa"/>
            <w:tcBorders>
              <w:top w:val="single" w:sz="6" w:space="0" w:color="000000"/>
              <w:left w:val="single" w:sz="6" w:space="0" w:color="000000"/>
              <w:bottom w:val="single" w:sz="6" w:space="0" w:color="000000"/>
              <w:right w:val="single" w:sz="6" w:space="0" w:color="000000"/>
            </w:tcBorders>
          </w:tcPr>
          <w:p w14:paraId="7A3F8A8D" w14:textId="77777777" w:rsidR="006A5248" w:rsidRPr="006A5248" w:rsidRDefault="006A5248" w:rsidP="006A5248">
            <w:pPr>
              <w:spacing w:after="0" w:line="240" w:lineRule="auto"/>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2B34643"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2</w:t>
            </w:r>
          </w:p>
        </w:tc>
        <w:tc>
          <w:tcPr>
            <w:tcW w:w="4394" w:type="dxa"/>
            <w:tcBorders>
              <w:top w:val="single" w:sz="6" w:space="0" w:color="000000"/>
              <w:left w:val="single" w:sz="6" w:space="0" w:color="000000"/>
              <w:bottom w:val="single" w:sz="6" w:space="0" w:color="000000"/>
              <w:right w:val="single" w:sz="6" w:space="0" w:color="000000"/>
            </w:tcBorders>
          </w:tcPr>
          <w:p w14:paraId="629B5D6B"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7D5BAD0E" w14:textId="77777777" w:rsidR="006A5248" w:rsidRPr="006A5248" w:rsidRDefault="006A5248" w:rsidP="006A5248">
            <w:pPr>
              <w:spacing w:after="0" w:line="240" w:lineRule="auto"/>
              <w:ind w:firstLine="720"/>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4</w:t>
            </w:r>
          </w:p>
        </w:tc>
        <w:tc>
          <w:tcPr>
            <w:tcW w:w="3118" w:type="dxa"/>
            <w:tcBorders>
              <w:top w:val="single" w:sz="4" w:space="0" w:color="auto"/>
              <w:left w:val="single" w:sz="4" w:space="0" w:color="auto"/>
              <w:bottom w:val="single" w:sz="4" w:space="0" w:color="auto"/>
            </w:tcBorders>
          </w:tcPr>
          <w:p w14:paraId="410AF476" w14:textId="77777777" w:rsidR="006A5248" w:rsidRPr="006A5248" w:rsidRDefault="006A5248" w:rsidP="006A5248">
            <w:pPr>
              <w:spacing w:after="0" w:line="240" w:lineRule="auto"/>
              <w:jc w:val="center"/>
              <w:rPr>
                <w:rFonts w:ascii="Times New Roman" w:eastAsia="Times New Roman" w:hAnsi="Times New Roman" w:cs="Times New Roman"/>
                <w:sz w:val="20"/>
                <w:szCs w:val="20"/>
                <w:lang w:eastAsia="lv-LV"/>
              </w:rPr>
            </w:pPr>
            <w:r w:rsidRPr="006A5248">
              <w:rPr>
                <w:rFonts w:ascii="Times New Roman" w:eastAsia="Times New Roman" w:hAnsi="Times New Roman" w:cs="Times New Roman"/>
                <w:sz w:val="20"/>
                <w:szCs w:val="20"/>
                <w:lang w:eastAsia="lv-LV"/>
              </w:rPr>
              <w:t>5</w:t>
            </w:r>
          </w:p>
        </w:tc>
      </w:tr>
      <w:tr w:rsidR="006A5248" w:rsidRPr="006A5248" w14:paraId="26D24D65" w14:textId="77777777" w:rsidTr="00BA53CB">
        <w:tc>
          <w:tcPr>
            <w:tcW w:w="708" w:type="dxa"/>
            <w:tcBorders>
              <w:left w:val="single" w:sz="6" w:space="0" w:color="000000"/>
              <w:bottom w:val="single" w:sz="4" w:space="0" w:color="auto"/>
              <w:right w:val="single" w:sz="6" w:space="0" w:color="000000"/>
            </w:tcBorders>
          </w:tcPr>
          <w:p w14:paraId="317D69CE"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3350DCED"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403848D0" w14:textId="77777777" w:rsidR="006A5248" w:rsidRPr="006A5248" w:rsidRDefault="006A5248" w:rsidP="005A4D52">
            <w:pPr>
              <w:spacing w:after="0" w:line="240" w:lineRule="auto"/>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Finanšu mini</w:t>
            </w:r>
            <w:r w:rsidR="00505241">
              <w:rPr>
                <w:rFonts w:ascii="Times New Roman" w:eastAsia="Times New Roman" w:hAnsi="Times New Roman" w:cs="Times New Roman"/>
                <w:b/>
                <w:sz w:val="24"/>
                <w:szCs w:val="24"/>
                <w:lang w:eastAsia="lv-LV"/>
              </w:rPr>
              <w:t>strijas</w:t>
            </w:r>
          </w:p>
          <w:tbl>
            <w:tblPr>
              <w:tblW w:w="0" w:type="auto"/>
              <w:tblLayout w:type="fixed"/>
              <w:tblLook w:val="0000" w:firstRow="0" w:lastRow="0" w:firstColumn="0" w:lastColumn="0" w:noHBand="0" w:noVBand="0"/>
            </w:tblPr>
            <w:tblGrid>
              <w:gridCol w:w="1785"/>
              <w:gridCol w:w="708"/>
              <w:gridCol w:w="2727"/>
            </w:tblGrid>
            <w:tr w:rsidR="006A5248" w:rsidRPr="006A5248" w14:paraId="069B9D1B" w14:textId="77777777" w:rsidTr="00BA53CB">
              <w:tc>
                <w:tcPr>
                  <w:tcW w:w="1785" w:type="dxa"/>
                  <w:tcBorders>
                    <w:top w:val="nil"/>
                    <w:left w:val="nil"/>
                    <w:bottom w:val="single" w:sz="4" w:space="0" w:color="auto"/>
                    <w:right w:val="nil"/>
                  </w:tcBorders>
                </w:tcPr>
                <w:p w14:paraId="4A4E2FCD" w14:textId="77777777" w:rsidR="006A5248" w:rsidRPr="006A5248" w:rsidRDefault="006A5248" w:rsidP="005A4D52">
                  <w:pPr>
                    <w:tabs>
                      <w:tab w:val="left" w:pos="3960"/>
                    </w:tabs>
                    <w:spacing w:after="0" w:line="240" w:lineRule="auto"/>
                    <w:jc w:val="center"/>
                    <w:rPr>
                      <w:rFonts w:ascii="Times New Roman" w:eastAsia="Times New Roman" w:hAnsi="Times New Roman" w:cs="Times New Roman"/>
                      <w:sz w:val="24"/>
                      <w:szCs w:val="24"/>
                      <w:lang w:eastAsia="lv-LV"/>
                    </w:rPr>
                  </w:pPr>
                </w:p>
              </w:tc>
              <w:tc>
                <w:tcPr>
                  <w:tcW w:w="708" w:type="dxa"/>
                  <w:tcBorders>
                    <w:top w:val="nil"/>
                    <w:left w:val="nil"/>
                    <w:bottom w:val="nil"/>
                    <w:right w:val="nil"/>
                  </w:tcBorders>
                </w:tcPr>
                <w:p w14:paraId="348C95F4" w14:textId="77777777" w:rsidR="006A5248" w:rsidRPr="006A5248" w:rsidRDefault="006A5248" w:rsidP="005A4D52">
                  <w:pPr>
                    <w:tabs>
                      <w:tab w:val="left" w:pos="360"/>
                      <w:tab w:val="left" w:pos="3960"/>
                    </w:tabs>
                    <w:spacing w:after="0" w:line="240" w:lineRule="auto"/>
                    <w:jc w:val="center"/>
                    <w:rPr>
                      <w:rFonts w:ascii="Times New Roman" w:eastAsia="Times New Roman" w:hAnsi="Times New Roman" w:cs="Times New Roman"/>
                      <w:sz w:val="20"/>
                      <w:szCs w:val="24"/>
                      <w:lang w:eastAsia="lv-LV"/>
                    </w:rPr>
                  </w:pPr>
                </w:p>
              </w:tc>
              <w:tc>
                <w:tcPr>
                  <w:tcW w:w="2727" w:type="dxa"/>
                  <w:tcBorders>
                    <w:top w:val="nil"/>
                    <w:left w:val="nil"/>
                    <w:bottom w:val="single" w:sz="4" w:space="0" w:color="auto"/>
                    <w:right w:val="nil"/>
                  </w:tcBorders>
                </w:tcPr>
                <w:p w14:paraId="10617A40" w14:textId="77777777" w:rsidR="006A5248" w:rsidRPr="006A5248" w:rsidRDefault="006A5248" w:rsidP="005A4D52">
                  <w:pPr>
                    <w:tabs>
                      <w:tab w:val="left" w:pos="360"/>
                      <w:tab w:val="left" w:pos="3960"/>
                    </w:tabs>
                    <w:spacing w:after="0" w:line="240" w:lineRule="auto"/>
                    <w:jc w:val="center"/>
                    <w:rPr>
                      <w:rFonts w:ascii="Times New Roman" w:eastAsia="Times New Roman" w:hAnsi="Times New Roman" w:cs="Times New Roman"/>
                      <w:sz w:val="24"/>
                      <w:szCs w:val="24"/>
                      <w:lang w:eastAsia="lv-LV"/>
                    </w:rPr>
                  </w:pPr>
                </w:p>
              </w:tc>
            </w:tr>
          </w:tbl>
          <w:p w14:paraId="1AE6BC99" w14:textId="77777777" w:rsidR="006A5248" w:rsidRPr="006A5248" w:rsidRDefault="006A5248" w:rsidP="006A5248">
            <w:pPr>
              <w:spacing w:after="0" w:line="240" w:lineRule="auto"/>
              <w:rPr>
                <w:rFonts w:ascii="Times New Roman" w:eastAsia="Times New Roman" w:hAnsi="Times New Roman" w:cs="Times New Roman"/>
                <w:b/>
                <w:sz w:val="24"/>
                <w:szCs w:val="24"/>
                <w:lang w:eastAsia="lv-LV"/>
              </w:rPr>
            </w:pPr>
          </w:p>
        </w:tc>
        <w:tc>
          <w:tcPr>
            <w:tcW w:w="3544" w:type="dxa"/>
            <w:gridSpan w:val="2"/>
            <w:tcBorders>
              <w:left w:val="single" w:sz="6" w:space="0" w:color="000000"/>
              <w:bottom w:val="single" w:sz="4" w:space="0" w:color="auto"/>
              <w:right w:val="single" w:sz="6" w:space="0" w:color="000000"/>
            </w:tcBorders>
          </w:tcPr>
          <w:p w14:paraId="20DDFE5E"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tcBorders>
          </w:tcPr>
          <w:p w14:paraId="7F742C3E"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tc>
      </w:tr>
      <w:tr w:rsidR="006A5248" w:rsidRPr="006A5248" w14:paraId="098BE159" w14:textId="77777777" w:rsidTr="00BA53CB">
        <w:tc>
          <w:tcPr>
            <w:tcW w:w="708" w:type="dxa"/>
            <w:tcBorders>
              <w:left w:val="single" w:sz="6" w:space="0" w:color="000000"/>
              <w:bottom w:val="single" w:sz="4" w:space="0" w:color="auto"/>
              <w:right w:val="single" w:sz="6" w:space="0" w:color="000000"/>
            </w:tcBorders>
          </w:tcPr>
          <w:p w14:paraId="6CEFF3BB" w14:textId="77777777" w:rsidR="006A5248" w:rsidRPr="00543117" w:rsidRDefault="006A5248" w:rsidP="006A5248">
            <w:pPr>
              <w:spacing w:after="0" w:line="240" w:lineRule="auto"/>
              <w:ind w:firstLine="720"/>
              <w:jc w:val="center"/>
              <w:rPr>
                <w:rFonts w:ascii="Times New Roman" w:eastAsia="Times New Roman" w:hAnsi="Times New Roman" w:cs="Times New Roman"/>
                <w:sz w:val="24"/>
                <w:szCs w:val="24"/>
                <w:lang w:eastAsia="lv-LV"/>
              </w:rPr>
            </w:pPr>
            <w:r w:rsidRPr="00543117">
              <w:rPr>
                <w:rFonts w:ascii="Times New Roman" w:eastAsia="Times New Roman" w:hAnsi="Times New Roman" w:cs="Times New Roman"/>
                <w:sz w:val="24"/>
                <w:szCs w:val="24"/>
                <w:lang w:eastAsia="lv-LV"/>
              </w:rPr>
              <w:t>11.</w:t>
            </w:r>
          </w:p>
        </w:tc>
        <w:tc>
          <w:tcPr>
            <w:tcW w:w="3086" w:type="dxa"/>
            <w:gridSpan w:val="2"/>
            <w:tcBorders>
              <w:left w:val="single" w:sz="6" w:space="0" w:color="000000"/>
              <w:bottom w:val="single" w:sz="4" w:space="0" w:color="auto"/>
              <w:right w:val="single" w:sz="6" w:space="0" w:color="000000"/>
            </w:tcBorders>
          </w:tcPr>
          <w:p w14:paraId="4C66372E" w14:textId="77777777" w:rsidR="006A5248" w:rsidRPr="006A5248" w:rsidRDefault="006A5248" w:rsidP="006A5248">
            <w:pPr>
              <w:spacing w:after="0" w:line="240" w:lineRule="auto"/>
              <w:ind w:firstLine="709"/>
              <w:jc w:val="both"/>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085FCF6F" w14:textId="77777777" w:rsidR="00A47876" w:rsidRPr="00A47876" w:rsidRDefault="00A47876" w:rsidP="00A47876">
            <w:pPr>
              <w:spacing w:line="276" w:lineRule="auto"/>
              <w:ind w:firstLine="567"/>
              <w:jc w:val="both"/>
              <w:rPr>
                <w:rFonts w:ascii="Times New Roman" w:hAnsi="Times New Roman" w:cs="Times New Roman"/>
                <w:szCs w:val="24"/>
              </w:rPr>
            </w:pPr>
            <w:r w:rsidRPr="00A47876">
              <w:rPr>
                <w:rFonts w:ascii="Times New Roman" w:hAnsi="Times New Roman" w:cs="Times New Roman"/>
                <w:szCs w:val="24"/>
              </w:rPr>
              <w:t>Ņemot vērā, ka likumprojekts paredz papildināt likumu ar VII</w:t>
            </w:r>
            <w:r w:rsidRPr="00A47876">
              <w:rPr>
                <w:rFonts w:ascii="Times New Roman" w:hAnsi="Times New Roman" w:cs="Times New Roman"/>
                <w:szCs w:val="24"/>
                <w:vertAlign w:val="superscript"/>
              </w:rPr>
              <w:t xml:space="preserve"> 2</w:t>
            </w:r>
            <w:r w:rsidRPr="00A47876">
              <w:rPr>
                <w:rFonts w:ascii="Times New Roman" w:hAnsi="Times New Roman" w:cs="Times New Roman"/>
                <w:szCs w:val="24"/>
              </w:rPr>
              <w:t xml:space="preserve"> nodaļu “Narkotisko un psihotropo vielu un zāļu, kuru sastāvā ir II un III sarakstā iekļautās vielas, aprite Nacionālajos bruņotajos spēkos”, lūdzam anotācijas VII sadaļas “Tiesību akta projekta izpildes nodrošināšana un tās ietekme uz institūcijām” 3.punktā “Cita informācija” norādīt, ka Aizsardzības ministrija likumprojektā paredzētos narkotisko un psihotropo vielu un zāļu aprites pasākumus Nacionālajos bruņotajos spēkos nodrošinās piešķirto valsts budžeta līdzekļu ietvaros, attiecīgi norādot budžeta programmu/apakšprogrammu.</w:t>
            </w:r>
          </w:p>
          <w:p w14:paraId="5EA58221" w14:textId="77777777" w:rsidR="006A5248" w:rsidRPr="006A5248" w:rsidRDefault="006A5248" w:rsidP="00A47876">
            <w:pPr>
              <w:spacing w:after="0" w:line="240" w:lineRule="auto"/>
              <w:ind w:firstLine="720"/>
              <w:rPr>
                <w:rFonts w:ascii="Times New Roman" w:eastAsia="Times New Roman" w:hAnsi="Times New Roman" w:cs="Times New Roman"/>
                <w:sz w:val="24"/>
                <w:szCs w:val="24"/>
                <w:lang w:eastAsia="lv-LV"/>
              </w:rPr>
            </w:pPr>
          </w:p>
        </w:tc>
        <w:tc>
          <w:tcPr>
            <w:tcW w:w="3544" w:type="dxa"/>
            <w:gridSpan w:val="2"/>
            <w:tcBorders>
              <w:left w:val="single" w:sz="6" w:space="0" w:color="000000"/>
              <w:bottom w:val="single" w:sz="4" w:space="0" w:color="auto"/>
              <w:right w:val="single" w:sz="6" w:space="0" w:color="000000"/>
            </w:tcBorders>
          </w:tcPr>
          <w:p w14:paraId="0E7E1DA8" w14:textId="77777777" w:rsidR="00BD11F4" w:rsidRDefault="006A5248" w:rsidP="006A5248">
            <w:pPr>
              <w:spacing w:after="0" w:line="240" w:lineRule="auto"/>
              <w:ind w:firstLine="720"/>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Ņemts vērā.</w:t>
            </w:r>
          </w:p>
          <w:p w14:paraId="17447E91" w14:textId="77777777" w:rsidR="000C2557" w:rsidRPr="000C2557" w:rsidRDefault="000C2557" w:rsidP="000C2557">
            <w:pPr>
              <w:spacing w:after="0" w:line="240" w:lineRule="auto"/>
              <w:rPr>
                <w:rFonts w:ascii="Times New Roman" w:eastAsia="Times New Roman" w:hAnsi="Times New Roman" w:cs="Times New Roman"/>
                <w:sz w:val="24"/>
                <w:szCs w:val="24"/>
                <w:lang w:eastAsia="lv-LV"/>
              </w:rPr>
            </w:pPr>
            <w:r w:rsidRPr="000C2557">
              <w:rPr>
                <w:rFonts w:ascii="Times New Roman" w:eastAsia="Times New Roman" w:hAnsi="Times New Roman" w:cs="Times New Roman"/>
                <w:sz w:val="24"/>
                <w:szCs w:val="24"/>
                <w:lang w:eastAsia="lv-LV"/>
              </w:rPr>
              <w:t>Papildināts anotācijas VII sadaļas 3.punkts</w:t>
            </w:r>
          </w:p>
          <w:p w14:paraId="39B82D8F" w14:textId="77777777" w:rsidR="006A5248" w:rsidRPr="006A5248" w:rsidRDefault="006A5248" w:rsidP="000C2557">
            <w:pPr>
              <w:spacing w:after="0" w:line="240" w:lineRule="auto"/>
              <w:ind w:firstLine="720"/>
              <w:jc w:val="center"/>
              <w:rPr>
                <w:rFonts w:ascii="Times New Roman" w:eastAsia="Times New Roman" w:hAnsi="Times New Roman" w:cs="Times New Roman"/>
                <w:b/>
                <w:sz w:val="24"/>
                <w:szCs w:val="24"/>
                <w:lang w:eastAsia="lv-LV"/>
              </w:rPr>
            </w:pPr>
          </w:p>
        </w:tc>
        <w:tc>
          <w:tcPr>
            <w:tcW w:w="3118" w:type="dxa"/>
            <w:tcBorders>
              <w:top w:val="single" w:sz="4" w:space="0" w:color="auto"/>
              <w:left w:val="single" w:sz="4" w:space="0" w:color="auto"/>
              <w:bottom w:val="single" w:sz="4" w:space="0" w:color="auto"/>
            </w:tcBorders>
          </w:tcPr>
          <w:p w14:paraId="69B89938" w14:textId="77777777" w:rsidR="00656073" w:rsidRPr="002C5C09" w:rsidRDefault="00656073" w:rsidP="00656073">
            <w:pPr>
              <w:spacing w:after="0" w:line="240" w:lineRule="auto"/>
              <w:contextualSpacing/>
              <w:jc w:val="both"/>
              <w:rPr>
                <w:rFonts w:ascii="Times New Roman" w:hAnsi="Times New Roman" w:cs="Times New Roman"/>
                <w:sz w:val="24"/>
                <w:szCs w:val="24"/>
              </w:rPr>
            </w:pPr>
            <w:r w:rsidRPr="002C5C09">
              <w:rPr>
                <w:rFonts w:ascii="Times New Roman" w:hAnsi="Times New Roman" w:cs="Times New Roman"/>
                <w:sz w:val="24"/>
                <w:szCs w:val="24"/>
              </w:rPr>
              <w:t>Aizsardzības ministrija (NBS) likumprojektā paredzēto pasākumu īstenošanu saistītos izdevumus nodrošinās piešķirto valsts budžeta līdzekļu apakšprogrammas 22.12.00 “Nacionālo bruņoto spēku uzturēšana” ietvaros.</w:t>
            </w:r>
          </w:p>
          <w:p w14:paraId="69DAE41D" w14:textId="77777777" w:rsidR="00656073" w:rsidRPr="002C5C09" w:rsidRDefault="00656073" w:rsidP="00656073">
            <w:pPr>
              <w:spacing w:after="0" w:line="240" w:lineRule="auto"/>
              <w:jc w:val="both"/>
              <w:rPr>
                <w:rFonts w:eastAsia="Times New Roman" w:cs="Angsana New"/>
                <w:sz w:val="24"/>
                <w:szCs w:val="24"/>
                <w:lang w:eastAsia="lv-LV"/>
              </w:rPr>
            </w:pPr>
            <w:r w:rsidRPr="002C5C09">
              <w:rPr>
                <w:rFonts w:ascii="Times New Roman" w:eastAsia="Times New Roman" w:hAnsi="Times New Roman"/>
                <w:sz w:val="24"/>
                <w:szCs w:val="24"/>
                <w:lang w:eastAsia="lv-LV"/>
              </w:rPr>
              <w:t>Veselības ministrija (Veselības inspekcija) likumprojektā paredzēto pasākumu īstenošanu nodrošinās apakšprogrammai 46.01.00 “Uzraudzība un kontrole” piešķirto valsts budžeta līdzekļu ietvaros.</w:t>
            </w:r>
          </w:p>
          <w:p w14:paraId="55C88B11" w14:textId="76279459" w:rsidR="006A5248" w:rsidRPr="00D9336D" w:rsidRDefault="00656073" w:rsidP="00D9336D">
            <w:pPr>
              <w:spacing w:after="0" w:line="240" w:lineRule="auto"/>
              <w:jc w:val="both"/>
              <w:rPr>
                <w:rFonts w:eastAsia="Times New Roman" w:cs="Angsana New"/>
                <w:sz w:val="24"/>
                <w:szCs w:val="24"/>
                <w:lang w:eastAsia="lv-LV"/>
              </w:rPr>
            </w:pPr>
            <w:r w:rsidRPr="002C5C09">
              <w:rPr>
                <w:rFonts w:ascii="Times New Roman" w:eastAsia="Times New Roman" w:hAnsi="Times New Roman"/>
                <w:sz w:val="24"/>
                <w:szCs w:val="24"/>
                <w:lang w:eastAsia="lv-LV"/>
              </w:rPr>
              <w:t xml:space="preserve">Veselības ministrija (Zāļu valsts aģentūra) likumprojektā paredzēto pasākumu </w:t>
            </w:r>
            <w:r w:rsidRPr="002C5C09">
              <w:rPr>
                <w:rFonts w:ascii="Times New Roman" w:eastAsia="Times New Roman" w:hAnsi="Times New Roman"/>
                <w:sz w:val="24"/>
                <w:szCs w:val="24"/>
                <w:lang w:eastAsia="lv-LV"/>
              </w:rPr>
              <w:lastRenderedPageBreak/>
              <w:t>īstenošanu nodrošinās esoša finansējuma ietvaros.</w:t>
            </w:r>
          </w:p>
        </w:tc>
      </w:tr>
      <w:tr w:rsidR="006A5248" w:rsidRPr="006A5248" w14:paraId="4EF1481C" w14:textId="77777777" w:rsidTr="00BA53CB">
        <w:tc>
          <w:tcPr>
            <w:tcW w:w="708" w:type="dxa"/>
            <w:tcBorders>
              <w:left w:val="single" w:sz="6" w:space="0" w:color="000000"/>
              <w:bottom w:val="single" w:sz="4" w:space="0" w:color="auto"/>
              <w:right w:val="single" w:sz="6" w:space="0" w:color="000000"/>
            </w:tcBorders>
          </w:tcPr>
          <w:p w14:paraId="5650C276" w14:textId="77777777" w:rsidR="006A5248" w:rsidRP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sz w:val="24"/>
                <w:szCs w:val="24"/>
                <w:lang w:eastAsia="lv-LV"/>
              </w:rPr>
              <w:lastRenderedPageBreak/>
              <w:t xml:space="preserve"> </w:t>
            </w:r>
          </w:p>
        </w:tc>
        <w:tc>
          <w:tcPr>
            <w:tcW w:w="3086" w:type="dxa"/>
            <w:gridSpan w:val="2"/>
            <w:tcBorders>
              <w:left w:val="single" w:sz="6" w:space="0" w:color="000000"/>
              <w:bottom w:val="single" w:sz="4" w:space="0" w:color="auto"/>
              <w:right w:val="single" w:sz="6" w:space="0" w:color="000000"/>
            </w:tcBorders>
          </w:tcPr>
          <w:p w14:paraId="73410C5F" w14:textId="77777777" w:rsidR="006A5248" w:rsidRPr="006A5248" w:rsidRDefault="006A5248" w:rsidP="006A5248">
            <w:pPr>
              <w:contextualSpacing/>
              <w:jc w:val="both"/>
              <w:rPr>
                <w:rFonts w:ascii="Times New Roman" w:eastAsia="Calibri" w:hAnsi="Times New Roman" w:cs="Times New Roman"/>
                <w:sz w:val="24"/>
                <w:szCs w:val="24"/>
              </w:rPr>
            </w:pPr>
          </w:p>
        </w:tc>
        <w:tc>
          <w:tcPr>
            <w:tcW w:w="4394" w:type="dxa"/>
            <w:tcBorders>
              <w:left w:val="single" w:sz="6" w:space="0" w:color="000000"/>
              <w:bottom w:val="single" w:sz="4" w:space="0" w:color="auto"/>
              <w:right w:val="single" w:sz="6" w:space="0" w:color="000000"/>
            </w:tcBorders>
          </w:tcPr>
          <w:p w14:paraId="21847ABF" w14:textId="77777777" w:rsidR="006A5248" w:rsidRPr="006A5248" w:rsidRDefault="006A5248" w:rsidP="008D6C84">
            <w:pPr>
              <w:spacing w:after="0" w:line="240" w:lineRule="auto"/>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Tieslietu m</w:t>
            </w:r>
            <w:r w:rsidR="007F51BB">
              <w:rPr>
                <w:rFonts w:ascii="Times New Roman" w:eastAsia="Times New Roman" w:hAnsi="Times New Roman" w:cs="Times New Roman"/>
                <w:b/>
                <w:sz w:val="24"/>
                <w:szCs w:val="24"/>
                <w:lang w:eastAsia="lv-LV"/>
              </w:rPr>
              <w:t>inistrija</w:t>
            </w:r>
          </w:p>
        </w:tc>
        <w:tc>
          <w:tcPr>
            <w:tcW w:w="3544" w:type="dxa"/>
            <w:gridSpan w:val="2"/>
            <w:tcBorders>
              <w:left w:val="single" w:sz="6" w:space="0" w:color="000000"/>
              <w:bottom w:val="single" w:sz="4" w:space="0" w:color="auto"/>
              <w:right w:val="single" w:sz="6" w:space="0" w:color="000000"/>
            </w:tcBorders>
          </w:tcPr>
          <w:p w14:paraId="7265A9F4" w14:textId="77777777" w:rsidR="006A5248" w:rsidRP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p>
        </w:tc>
        <w:tc>
          <w:tcPr>
            <w:tcW w:w="3118" w:type="dxa"/>
            <w:tcBorders>
              <w:top w:val="single" w:sz="4" w:space="0" w:color="auto"/>
              <w:left w:val="single" w:sz="4" w:space="0" w:color="auto"/>
              <w:bottom w:val="single" w:sz="4" w:space="0" w:color="auto"/>
            </w:tcBorders>
          </w:tcPr>
          <w:p w14:paraId="4135FB2A" w14:textId="77777777" w:rsidR="006A5248" w:rsidRPr="006A5248" w:rsidRDefault="006A5248" w:rsidP="006A5248">
            <w:pPr>
              <w:spacing w:after="0" w:line="240" w:lineRule="auto"/>
              <w:ind w:firstLine="709"/>
              <w:jc w:val="both"/>
              <w:rPr>
                <w:rFonts w:ascii="Times New Roman" w:eastAsia="Times New Roman" w:hAnsi="Times New Roman" w:cs="Times New Roman"/>
                <w:sz w:val="24"/>
                <w:szCs w:val="24"/>
                <w:lang w:eastAsia="lv-LV"/>
              </w:rPr>
            </w:pPr>
          </w:p>
        </w:tc>
      </w:tr>
      <w:tr w:rsidR="006A5248" w:rsidRPr="006A5248" w14:paraId="2EC6A1CB" w14:textId="77777777" w:rsidTr="00BA53CB">
        <w:tc>
          <w:tcPr>
            <w:tcW w:w="708" w:type="dxa"/>
            <w:tcBorders>
              <w:left w:val="single" w:sz="6" w:space="0" w:color="000000"/>
              <w:bottom w:val="single" w:sz="4" w:space="0" w:color="auto"/>
              <w:right w:val="single" w:sz="6" w:space="0" w:color="000000"/>
            </w:tcBorders>
          </w:tcPr>
          <w:p w14:paraId="19682973" w14:textId="77777777" w:rsidR="006A5248" w:rsidRPr="006A5248" w:rsidRDefault="003A5B69" w:rsidP="006A524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6A5248" w:rsidRPr="006A5248">
              <w:rPr>
                <w:rFonts w:ascii="Times New Roman" w:eastAsia="Times New Roman" w:hAnsi="Times New Roman" w:cs="Times New Roman"/>
                <w:sz w:val="24"/>
                <w:szCs w:val="24"/>
                <w:lang w:eastAsia="lv-LV"/>
              </w:rPr>
              <w:t>.</w:t>
            </w:r>
          </w:p>
        </w:tc>
        <w:tc>
          <w:tcPr>
            <w:tcW w:w="3086" w:type="dxa"/>
            <w:gridSpan w:val="2"/>
            <w:tcBorders>
              <w:left w:val="single" w:sz="6" w:space="0" w:color="000000"/>
              <w:bottom w:val="single" w:sz="4" w:space="0" w:color="auto"/>
              <w:right w:val="single" w:sz="6" w:space="0" w:color="000000"/>
            </w:tcBorders>
          </w:tcPr>
          <w:p w14:paraId="4C0ADAFF" w14:textId="77777777" w:rsidR="002C2620" w:rsidRPr="00C25E9C" w:rsidRDefault="00BB34E9" w:rsidP="002C2620">
            <w:pPr>
              <w:jc w:val="both"/>
              <w:rPr>
                <w:rFonts w:ascii="Times New Roman" w:hAnsi="Times New Roman" w:cs="Times New Roman"/>
                <w:sz w:val="24"/>
                <w:szCs w:val="24"/>
              </w:rPr>
            </w:pPr>
            <w:r w:rsidRPr="00C25E9C">
              <w:rPr>
                <w:rFonts w:ascii="Times New Roman" w:hAnsi="Times New Roman" w:cs="Times New Roman"/>
                <w:b/>
                <w:sz w:val="24"/>
                <w:szCs w:val="24"/>
              </w:rPr>
              <w:t>42.</w:t>
            </w:r>
            <w:r w:rsidRPr="00C25E9C">
              <w:rPr>
                <w:rFonts w:ascii="Times New Roman" w:hAnsi="Times New Roman" w:cs="Times New Roman"/>
                <w:b/>
                <w:sz w:val="24"/>
                <w:szCs w:val="24"/>
                <w:vertAlign w:val="superscript"/>
              </w:rPr>
              <w:t>5</w:t>
            </w:r>
            <w:r w:rsidRPr="00C25E9C">
              <w:rPr>
                <w:rFonts w:ascii="Times New Roman" w:hAnsi="Times New Roman" w:cs="Times New Roman"/>
                <w:b/>
                <w:sz w:val="24"/>
                <w:szCs w:val="24"/>
              </w:rPr>
              <w:t>pants.</w:t>
            </w:r>
            <w:r w:rsidRPr="00C25E9C">
              <w:rPr>
                <w:rFonts w:ascii="Times New Roman" w:hAnsi="Times New Roman" w:cs="Times New Roman"/>
                <w:sz w:val="24"/>
                <w:szCs w:val="24"/>
              </w:rPr>
              <w:t xml:space="preserve"> (1) </w:t>
            </w:r>
            <w:r w:rsidR="002C2620" w:rsidRPr="00C25E9C">
              <w:rPr>
                <w:rFonts w:ascii="Times New Roman" w:hAnsi="Times New Roman" w:cs="Times New Roman"/>
                <w:sz w:val="24"/>
                <w:szCs w:val="24"/>
              </w:rPr>
              <w:t xml:space="preserve">Nacionālo bruņoto spēku ārstniecības līdzekļu noliktava </w:t>
            </w:r>
            <w:r w:rsidR="002C2620" w:rsidRPr="002C2620">
              <w:rPr>
                <w:rFonts w:ascii="Times New Roman" w:hAnsi="Times New Roman" w:cs="Times New Roman"/>
                <w:sz w:val="24"/>
                <w:szCs w:val="24"/>
              </w:rPr>
              <w:t>profesionālās darbības nodrošināšanai</w:t>
            </w:r>
            <w:r w:rsidR="002C2620" w:rsidRPr="00C25E9C">
              <w:rPr>
                <w:rFonts w:ascii="Times New Roman" w:hAnsi="Times New Roman" w:cs="Times New Roman"/>
                <w:sz w:val="24"/>
                <w:szCs w:val="24"/>
              </w:rPr>
              <w:t xml:space="preserve"> iegādājas zāles, kuru sastāvā ir II un III sarakstā iekļautās vielas tikai </w:t>
            </w:r>
            <w:r w:rsidR="002C2620" w:rsidRPr="00C25E9C">
              <w:rPr>
                <w:rFonts w:ascii="Times New Roman" w:hAnsi="Times New Roman" w:cs="Times New Roman"/>
              </w:rPr>
              <w:t>no zāļu lieltirgotavām un vispārēja tipa aptiekām.</w:t>
            </w:r>
            <w:r w:rsidR="002C2620" w:rsidRPr="00C25E9C">
              <w:rPr>
                <w:rFonts w:ascii="Times New Roman" w:hAnsi="Times New Roman" w:cs="Times New Roman"/>
                <w:sz w:val="24"/>
                <w:szCs w:val="24"/>
              </w:rPr>
              <w:t xml:space="preserve"> </w:t>
            </w:r>
          </w:p>
          <w:p w14:paraId="578047A5" w14:textId="77777777" w:rsidR="006A5248" w:rsidRPr="006A5248" w:rsidRDefault="006A5248" w:rsidP="00682290">
            <w:pPr>
              <w:jc w:val="both"/>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6E9D5B1E" w14:textId="5A8BDBDF" w:rsidR="006A5248" w:rsidRPr="00870324" w:rsidRDefault="004B2328" w:rsidP="00870324">
            <w:pPr>
              <w:pStyle w:val="NormalWeb"/>
              <w:spacing w:before="0" w:after="0"/>
              <w:ind w:right="13" w:firstLine="720"/>
              <w:jc w:val="both"/>
            </w:pPr>
            <w:r w:rsidRPr="004B2328">
              <w:t>1. Vēršam uzmanību uz to, ka projektā paredzētajā Narkotisko un psihotropo vielu un zāļu, kā arī prekursoru likumīgās aprites likuma (turpmāk – likums) 42.</w:t>
            </w:r>
            <w:r w:rsidRPr="004B2328">
              <w:rPr>
                <w:vertAlign w:val="superscript"/>
              </w:rPr>
              <w:t>5</w:t>
            </w:r>
            <w:r w:rsidRPr="004B2328">
              <w:t> pantā ietvertie vārdi "profesionālās darbības nodrošināšanai" ir neskaidri, jo nav saprotams, uz kādu profesionālo darbību tie attiecas, proti, uz Nacionālo bruņoto spēku vai Nacionālo bruņoto spēku ārstniecības līdzekļu noliktavas profesionālo darbību. Ievērojot minēto, lūdzam precizēt projektā paredzētajā likuma 42.</w:t>
            </w:r>
            <w:r w:rsidRPr="004B2328">
              <w:rPr>
                <w:vertAlign w:val="superscript"/>
              </w:rPr>
              <w:t>5</w:t>
            </w:r>
            <w:r w:rsidRPr="004B2328">
              <w:t> pantā ietverto regulējumu.</w:t>
            </w:r>
          </w:p>
        </w:tc>
        <w:tc>
          <w:tcPr>
            <w:tcW w:w="3544" w:type="dxa"/>
            <w:gridSpan w:val="2"/>
            <w:tcBorders>
              <w:left w:val="single" w:sz="6" w:space="0" w:color="000000"/>
              <w:bottom w:val="single" w:sz="4" w:space="0" w:color="auto"/>
              <w:right w:val="single" w:sz="6" w:space="0" w:color="000000"/>
            </w:tcBorders>
          </w:tcPr>
          <w:p w14:paraId="25BD7620" w14:textId="77777777" w:rsid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Ņemts vērā</w:t>
            </w:r>
          </w:p>
          <w:p w14:paraId="70697693" w14:textId="77777777" w:rsidR="00BD11F4" w:rsidRPr="00BD11F4" w:rsidRDefault="00BD11F4" w:rsidP="006A5248">
            <w:pPr>
              <w:spacing w:after="0" w:line="240" w:lineRule="auto"/>
              <w:ind w:firstLine="720"/>
              <w:jc w:val="center"/>
              <w:rPr>
                <w:rFonts w:ascii="Times New Roman" w:eastAsia="Times New Roman" w:hAnsi="Times New Roman" w:cs="Times New Roman"/>
                <w:sz w:val="24"/>
                <w:szCs w:val="24"/>
                <w:lang w:eastAsia="lv-LV"/>
              </w:rPr>
            </w:pPr>
            <w:r w:rsidRPr="00BD11F4">
              <w:rPr>
                <w:rFonts w:ascii="Times New Roman" w:eastAsia="Times New Roman" w:hAnsi="Times New Roman" w:cs="Times New Roman"/>
                <w:sz w:val="24"/>
                <w:szCs w:val="24"/>
                <w:lang w:eastAsia="lv-LV"/>
              </w:rPr>
              <w:t>Preciz</w:t>
            </w:r>
            <w:r w:rsidR="001E17C9">
              <w:rPr>
                <w:rFonts w:ascii="Times New Roman" w:eastAsia="Times New Roman" w:hAnsi="Times New Roman" w:cs="Times New Roman"/>
                <w:sz w:val="24"/>
                <w:szCs w:val="24"/>
                <w:lang w:eastAsia="lv-LV"/>
              </w:rPr>
              <w:t>ēts likumpro</w:t>
            </w:r>
            <w:r>
              <w:rPr>
                <w:rFonts w:ascii="Times New Roman" w:eastAsia="Times New Roman" w:hAnsi="Times New Roman" w:cs="Times New Roman"/>
                <w:sz w:val="24"/>
                <w:szCs w:val="24"/>
                <w:lang w:eastAsia="lv-LV"/>
              </w:rPr>
              <w:t>jekts</w:t>
            </w:r>
            <w:r w:rsidR="00C57243">
              <w:rPr>
                <w:rFonts w:ascii="Times New Roman" w:eastAsia="Times New Roman" w:hAnsi="Times New Roman" w:cs="Times New Roman"/>
                <w:sz w:val="24"/>
                <w:szCs w:val="24"/>
                <w:lang w:eastAsia="lv-LV"/>
              </w:rPr>
              <w:t>.</w:t>
            </w:r>
          </w:p>
        </w:tc>
        <w:tc>
          <w:tcPr>
            <w:tcW w:w="3118" w:type="dxa"/>
            <w:tcBorders>
              <w:top w:val="single" w:sz="4" w:space="0" w:color="auto"/>
              <w:left w:val="single" w:sz="4" w:space="0" w:color="auto"/>
              <w:bottom w:val="single" w:sz="4" w:space="0" w:color="auto"/>
            </w:tcBorders>
          </w:tcPr>
          <w:p w14:paraId="18F6D426" w14:textId="77777777" w:rsidR="00CD0738" w:rsidRPr="00016D5C" w:rsidRDefault="00CD0738" w:rsidP="00CD0738">
            <w:pPr>
              <w:jc w:val="both"/>
              <w:rPr>
                <w:rFonts w:ascii="Times New Roman" w:hAnsi="Times New Roman" w:cs="Times New Roman"/>
                <w:sz w:val="24"/>
                <w:szCs w:val="24"/>
              </w:rPr>
            </w:pPr>
            <w:r w:rsidRPr="00C25E9C">
              <w:rPr>
                <w:rFonts w:ascii="Times New Roman" w:hAnsi="Times New Roman" w:cs="Times New Roman"/>
                <w:b/>
                <w:sz w:val="24"/>
                <w:szCs w:val="24"/>
              </w:rPr>
              <w:t>42.</w:t>
            </w:r>
            <w:r w:rsidRPr="00C25E9C">
              <w:rPr>
                <w:rFonts w:ascii="Times New Roman" w:hAnsi="Times New Roman" w:cs="Times New Roman"/>
                <w:b/>
                <w:sz w:val="24"/>
                <w:szCs w:val="24"/>
                <w:vertAlign w:val="superscript"/>
              </w:rPr>
              <w:t>5</w:t>
            </w:r>
            <w:r w:rsidRPr="00C25E9C">
              <w:rPr>
                <w:rFonts w:ascii="Times New Roman" w:hAnsi="Times New Roman" w:cs="Times New Roman"/>
                <w:b/>
                <w:sz w:val="24"/>
                <w:szCs w:val="24"/>
              </w:rPr>
              <w:t>pants.</w:t>
            </w:r>
            <w:r w:rsidRPr="00C25E9C">
              <w:rPr>
                <w:rFonts w:ascii="Times New Roman" w:hAnsi="Times New Roman" w:cs="Times New Roman"/>
                <w:sz w:val="24"/>
                <w:szCs w:val="24"/>
              </w:rPr>
              <w:t xml:space="preserve"> Nacionālo bruņoto spēku ārstniecības līdzekļu noliktava </w:t>
            </w:r>
            <w:r w:rsidRPr="00016D5C">
              <w:rPr>
                <w:rFonts w:ascii="Times New Roman" w:hAnsi="Times New Roman" w:cs="Times New Roman"/>
                <w:sz w:val="24"/>
                <w:szCs w:val="24"/>
              </w:rPr>
              <w:t>Nacionālo bruņoto spēku uzdevumu nodrošināšanai iegādājas zāles, kuru sastāvā ir II un III sarakstā iekļautās vielas</w:t>
            </w:r>
            <w:r>
              <w:rPr>
                <w:rFonts w:ascii="Times New Roman" w:hAnsi="Times New Roman" w:cs="Times New Roman"/>
                <w:sz w:val="24"/>
                <w:szCs w:val="24"/>
              </w:rPr>
              <w:t>,</w:t>
            </w:r>
            <w:r w:rsidRPr="00016D5C">
              <w:rPr>
                <w:rFonts w:ascii="Times New Roman" w:hAnsi="Times New Roman" w:cs="Times New Roman"/>
                <w:sz w:val="24"/>
                <w:szCs w:val="24"/>
              </w:rPr>
              <w:t xml:space="preserve"> tikai </w:t>
            </w:r>
            <w:r w:rsidRPr="00016D5C">
              <w:rPr>
                <w:rFonts w:ascii="Times New Roman" w:hAnsi="Times New Roman" w:cs="Times New Roman"/>
              </w:rPr>
              <w:t>no zāļu lieltirgotavām un vispārēja tipa aptiekām.</w:t>
            </w:r>
            <w:r w:rsidRPr="00016D5C">
              <w:rPr>
                <w:rFonts w:ascii="Times New Roman" w:hAnsi="Times New Roman" w:cs="Times New Roman"/>
                <w:sz w:val="24"/>
                <w:szCs w:val="24"/>
              </w:rPr>
              <w:t xml:space="preserve"> </w:t>
            </w:r>
          </w:p>
          <w:p w14:paraId="50357B43" w14:textId="77777777" w:rsidR="006A5248" w:rsidRPr="006A5248" w:rsidRDefault="006A5248" w:rsidP="00682290">
            <w:pPr>
              <w:jc w:val="both"/>
              <w:rPr>
                <w:rFonts w:ascii="Times New Roman" w:eastAsia="Times New Roman" w:hAnsi="Times New Roman" w:cs="Times New Roman"/>
                <w:sz w:val="24"/>
                <w:szCs w:val="24"/>
                <w:lang w:eastAsia="lv-LV"/>
              </w:rPr>
            </w:pPr>
          </w:p>
        </w:tc>
      </w:tr>
      <w:tr w:rsidR="006A5248" w:rsidRPr="006A5248" w14:paraId="0DA41598" w14:textId="77777777" w:rsidTr="00BA53CB">
        <w:tc>
          <w:tcPr>
            <w:tcW w:w="708" w:type="dxa"/>
            <w:tcBorders>
              <w:left w:val="single" w:sz="6" w:space="0" w:color="000000"/>
              <w:bottom w:val="single" w:sz="4" w:space="0" w:color="auto"/>
              <w:right w:val="single" w:sz="6" w:space="0" w:color="000000"/>
            </w:tcBorders>
          </w:tcPr>
          <w:p w14:paraId="1539A42B"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p>
          <w:p w14:paraId="5F5BBAAB" w14:textId="77777777" w:rsidR="006A5248" w:rsidRPr="006A5248" w:rsidRDefault="003A5B69" w:rsidP="006A524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3</w:t>
            </w:r>
            <w:r w:rsidR="006A5248" w:rsidRPr="006A5248">
              <w:rPr>
                <w:rFonts w:ascii="Times New Roman" w:eastAsia="Times New Roman" w:hAnsi="Times New Roman" w:cs="Times New Roman"/>
                <w:sz w:val="24"/>
                <w:szCs w:val="24"/>
                <w:lang w:eastAsia="lv-LV"/>
              </w:rPr>
              <w:t>.</w:t>
            </w:r>
          </w:p>
        </w:tc>
        <w:tc>
          <w:tcPr>
            <w:tcW w:w="3086" w:type="dxa"/>
            <w:gridSpan w:val="2"/>
            <w:tcBorders>
              <w:left w:val="single" w:sz="6" w:space="0" w:color="000000"/>
              <w:bottom w:val="single" w:sz="4" w:space="0" w:color="auto"/>
              <w:right w:val="single" w:sz="6" w:space="0" w:color="000000"/>
            </w:tcBorders>
          </w:tcPr>
          <w:p w14:paraId="5D152309" w14:textId="77777777" w:rsidR="006A5248" w:rsidRPr="006A5248" w:rsidRDefault="006A5248" w:rsidP="00682290">
            <w:pPr>
              <w:jc w:val="both"/>
              <w:rPr>
                <w:rFonts w:ascii="Times New Roman" w:eastAsia="Calibri" w:hAnsi="Times New Roman" w:cs="Times New Roman"/>
                <w:bCs/>
                <w:sz w:val="24"/>
                <w:szCs w:val="24"/>
              </w:rPr>
            </w:pPr>
          </w:p>
        </w:tc>
        <w:tc>
          <w:tcPr>
            <w:tcW w:w="4394" w:type="dxa"/>
            <w:tcBorders>
              <w:left w:val="single" w:sz="6" w:space="0" w:color="000000"/>
              <w:bottom w:val="single" w:sz="4" w:space="0" w:color="auto"/>
              <w:right w:val="single" w:sz="6" w:space="0" w:color="000000"/>
            </w:tcBorders>
          </w:tcPr>
          <w:p w14:paraId="0EEE0636" w14:textId="77777777" w:rsidR="00682290" w:rsidRPr="00B07B00" w:rsidRDefault="00682290" w:rsidP="00B07B00">
            <w:pPr>
              <w:pStyle w:val="NormalWeb"/>
              <w:spacing w:before="0" w:after="0"/>
              <w:ind w:right="13"/>
              <w:jc w:val="both"/>
            </w:pPr>
            <w:r w:rsidRPr="00B07B00">
              <w:t xml:space="preserve">Projekta sākotnējās </w:t>
            </w:r>
            <w:r w:rsidRPr="00B07B00">
              <w:rPr>
                <w:i/>
              </w:rPr>
              <w:t>(</w:t>
            </w:r>
            <w:proofErr w:type="spellStart"/>
            <w:r w:rsidRPr="00B07B00">
              <w:rPr>
                <w:i/>
              </w:rPr>
              <w:t>ex-ante)</w:t>
            </w:r>
            <w:proofErr w:type="spellEnd"/>
            <w:r w:rsidRPr="00B07B00">
              <w:t xml:space="preserve"> ietekmes novērtējuma ziņojuma (turpmāk – anotācija) I sadaļas 2. punktā ir norādīts, ka, </w:t>
            </w:r>
            <w:r w:rsidRPr="00B07B00">
              <w:rPr>
                <w:u w:val="single"/>
              </w:rPr>
              <w:t xml:space="preserve">lai nodrošinātu projektā iekļauto normu realizāciju, tiktu izstrādāti jauni Ministru kabineta noteikumi, kuros būtu noteiktas prasības Nacionālo bruņoto spēku ārstniecības līdzekļu noliktavai – telpām, aprīkojumam, iekārtām, dokumentācijai un personālam, kārtība, kādā Nacionālo bruņoti spēku ārstniecības līdzekļu noliktava iegādājas, uzglabā, nodod lietošanā, uzskaita un iznīcina ārstniecības līdzekļus, kā arī kārtība, kādā Nacionālo bruņoto spēku ārstniecības līdzekļu noliktava sniedz Zāļu valsts aģentūrai un </w:t>
            </w:r>
            <w:r w:rsidRPr="00B07B00">
              <w:rPr>
                <w:u w:val="single"/>
              </w:rPr>
              <w:lastRenderedPageBreak/>
              <w:t>Veselības inspekcijai  informāciju par zāļu, kuru sastāvā ir II un III sarakstā iekļautās vielas, izlietojumu</w:t>
            </w:r>
            <w:r w:rsidRPr="00B07B00">
              <w:t>.</w:t>
            </w:r>
          </w:p>
          <w:p w14:paraId="5C70F558" w14:textId="77777777" w:rsidR="00682290" w:rsidRPr="00B07B00" w:rsidRDefault="00682290" w:rsidP="00682290">
            <w:pPr>
              <w:pStyle w:val="NormalWeb"/>
              <w:spacing w:before="0" w:after="0"/>
              <w:ind w:right="13" w:firstLine="720"/>
              <w:jc w:val="both"/>
            </w:pPr>
            <w:r w:rsidRPr="00B07B00">
              <w:t>Savukārt projektā paredzētajā likuma 42.</w:t>
            </w:r>
            <w:r w:rsidRPr="00B07B00">
              <w:rPr>
                <w:vertAlign w:val="superscript"/>
              </w:rPr>
              <w:t>6</w:t>
            </w:r>
            <w:r w:rsidRPr="00B07B00">
              <w:t xml:space="preserve"> pantā ir ietverts pilnvarojums Ministru kabinetam noteikt </w:t>
            </w:r>
            <w:r w:rsidRPr="00B07B00">
              <w:rPr>
                <w:u w:val="single"/>
              </w:rPr>
              <w:t>zāļu, kuru sastāvā ir II un III sarakstā iekļautās vielas, iegādes, saņemšanas, nodošanas lietošanā, uzglabāšanas, uzskaites un iznīcināšanas prasības un kārtību Nacionālo bruņoto spēku ārstniecības līdzekļu noliktavā</w:t>
            </w:r>
            <w:r w:rsidRPr="00B07B00">
              <w:t>, bet projektā paredzētajā likuma 42.</w:t>
            </w:r>
            <w:r w:rsidRPr="00B07B00">
              <w:rPr>
                <w:vertAlign w:val="superscript"/>
              </w:rPr>
              <w:t>9</w:t>
            </w:r>
            <w:r w:rsidRPr="00B07B00">
              <w:t xml:space="preserve"> pantā ir ietverts </w:t>
            </w:r>
            <w:r w:rsidRPr="00B07B00">
              <w:rPr>
                <w:u w:val="single"/>
              </w:rPr>
              <w:t>pilnvarojums Ministru kabinetam noteikt kārtību, kādā Nacionālo bruņoto spēku ārstniecības līdzekļu noliktava sniedz informāciju Zāļu valsts aģentūrai un Veselības inspekcijai par zāļu, kuru sastāvā ir  II un III sarakstā iekļautās vielas, izlietojumu</w:t>
            </w:r>
            <w:r w:rsidRPr="00B07B00">
              <w:t>. Ievērojot minēto, lūdzam precizēt anotācijas I sadaļas 2. punktā ietverto informāciju.</w:t>
            </w:r>
          </w:p>
          <w:p w14:paraId="748125DB" w14:textId="77777777" w:rsidR="006A5248" w:rsidRPr="00B07B00" w:rsidRDefault="006A5248" w:rsidP="00682290">
            <w:pPr>
              <w:spacing w:beforeAutospacing="1" w:after="0" w:afterAutospacing="1" w:line="240" w:lineRule="auto"/>
              <w:ind w:right="13" w:firstLine="720"/>
              <w:jc w:val="both"/>
              <w:rPr>
                <w:rFonts w:ascii="Times New Roman" w:eastAsia="Times New Roman" w:hAnsi="Times New Roman" w:cs="Times New Roman"/>
                <w:sz w:val="24"/>
                <w:szCs w:val="24"/>
              </w:rPr>
            </w:pPr>
          </w:p>
        </w:tc>
        <w:tc>
          <w:tcPr>
            <w:tcW w:w="3544" w:type="dxa"/>
            <w:gridSpan w:val="2"/>
            <w:tcBorders>
              <w:left w:val="single" w:sz="6" w:space="0" w:color="000000"/>
              <w:bottom w:val="single" w:sz="4" w:space="0" w:color="auto"/>
              <w:right w:val="single" w:sz="6" w:space="0" w:color="000000"/>
            </w:tcBorders>
          </w:tcPr>
          <w:p w14:paraId="19962A30" w14:textId="77777777" w:rsidR="006A5248" w:rsidRDefault="003A5B69" w:rsidP="00BD11F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6A5248" w:rsidRPr="006A5248">
              <w:rPr>
                <w:rFonts w:ascii="Times New Roman" w:eastAsia="Times New Roman" w:hAnsi="Times New Roman" w:cs="Times New Roman"/>
                <w:b/>
                <w:sz w:val="24"/>
                <w:szCs w:val="24"/>
                <w:lang w:eastAsia="lv-LV"/>
              </w:rPr>
              <w:t>emts vērā</w:t>
            </w:r>
          </w:p>
          <w:p w14:paraId="30DD2F02" w14:textId="77777777" w:rsidR="00BD11F4" w:rsidRPr="00BD11F4" w:rsidRDefault="007940DF" w:rsidP="00BD11F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w:t>
            </w:r>
            <w:r w:rsidR="00BD11F4" w:rsidRPr="00BD11F4">
              <w:rPr>
                <w:rFonts w:ascii="Times New Roman" w:eastAsia="Times New Roman" w:hAnsi="Times New Roman" w:cs="Times New Roman"/>
                <w:sz w:val="24"/>
                <w:szCs w:val="24"/>
                <w:lang w:eastAsia="lv-LV"/>
              </w:rPr>
              <w:t xml:space="preserve"> anotācija</w:t>
            </w:r>
            <w:r>
              <w:rPr>
                <w:rFonts w:ascii="Times New Roman" w:eastAsia="Times New Roman" w:hAnsi="Times New Roman" w:cs="Times New Roman"/>
                <w:sz w:val="24"/>
                <w:szCs w:val="24"/>
                <w:lang w:eastAsia="lv-LV"/>
              </w:rPr>
              <w:t>s I sadaļas 2.punkts.</w:t>
            </w:r>
          </w:p>
        </w:tc>
        <w:tc>
          <w:tcPr>
            <w:tcW w:w="3118" w:type="dxa"/>
            <w:tcBorders>
              <w:top w:val="single" w:sz="4" w:space="0" w:color="auto"/>
              <w:left w:val="single" w:sz="4" w:space="0" w:color="auto"/>
              <w:bottom w:val="single" w:sz="4" w:space="0" w:color="auto"/>
            </w:tcBorders>
          </w:tcPr>
          <w:p w14:paraId="306122B7" w14:textId="5E6B88F8" w:rsidR="00405387" w:rsidRPr="005E3E12" w:rsidRDefault="00405387" w:rsidP="00405387">
            <w:pPr>
              <w:pStyle w:val="CommentText"/>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Likumprojekta </w:t>
            </w:r>
            <w:r w:rsidRPr="004629F1">
              <w:rPr>
                <w:rFonts w:ascii="Times New Roman" w:eastAsia="Times New Roman" w:hAnsi="Times New Roman" w:cs="Times New Roman"/>
                <w:bCs/>
                <w:sz w:val="24"/>
                <w:szCs w:val="24"/>
                <w:lang w:eastAsia="lv-LV"/>
              </w:rPr>
              <w:t>42.</w:t>
            </w:r>
            <w:r w:rsidRPr="004629F1">
              <w:rPr>
                <w:rFonts w:ascii="Times New Roman" w:eastAsia="Times New Roman" w:hAnsi="Times New Roman" w:cs="Times New Roman"/>
                <w:bCs/>
                <w:sz w:val="24"/>
                <w:szCs w:val="24"/>
                <w:vertAlign w:val="superscript"/>
                <w:lang w:eastAsia="lv-LV"/>
              </w:rPr>
              <w:t xml:space="preserve">6 </w:t>
            </w:r>
            <w:r w:rsidRPr="004629F1">
              <w:rPr>
                <w:rFonts w:ascii="Times New Roman" w:eastAsia="Times New Roman" w:hAnsi="Times New Roman" w:cs="Times New Roman"/>
                <w:bCs/>
                <w:sz w:val="24"/>
                <w:szCs w:val="24"/>
                <w:lang w:eastAsia="lv-LV"/>
              </w:rPr>
              <w:t>,</w:t>
            </w:r>
            <w:r w:rsidRPr="004629F1">
              <w:rPr>
                <w:rFonts w:ascii="Times New Roman" w:hAnsi="Times New Roman" w:cs="Times New Roman"/>
                <w:sz w:val="22"/>
                <w:szCs w:val="22"/>
              </w:rPr>
              <w:t xml:space="preserve"> </w:t>
            </w:r>
            <w:r w:rsidRPr="004629F1">
              <w:rPr>
                <w:rFonts w:ascii="Times New Roman" w:eastAsia="Times New Roman" w:hAnsi="Times New Roman" w:cs="Times New Roman"/>
                <w:sz w:val="24"/>
                <w:szCs w:val="24"/>
                <w:lang w:eastAsia="lv-LV"/>
              </w:rPr>
              <w:t>42.</w:t>
            </w:r>
            <w:r w:rsidRPr="004629F1">
              <w:rPr>
                <w:rFonts w:ascii="Times New Roman" w:eastAsia="Times New Roman" w:hAnsi="Times New Roman" w:cs="Times New Roman"/>
                <w:sz w:val="24"/>
                <w:szCs w:val="24"/>
                <w:vertAlign w:val="superscript"/>
                <w:lang w:eastAsia="lv-LV"/>
              </w:rPr>
              <w:t>9</w:t>
            </w:r>
            <w:r w:rsidRPr="00F60755">
              <w:rPr>
                <w:rFonts w:ascii="Times New Roman" w:hAnsi="Times New Roman" w:cs="Times New Roman"/>
                <w:sz w:val="22"/>
                <w:szCs w:val="22"/>
              </w:rPr>
              <w:t xml:space="preserve"> pantos minētie Ministru kabineta noteikuma projekti tiks izstrādāti un stāsies spēkā vienlaikus </w:t>
            </w:r>
            <w:r w:rsidR="007361BF">
              <w:rPr>
                <w:rFonts w:ascii="Times New Roman" w:hAnsi="Times New Roman" w:cs="Times New Roman"/>
                <w:sz w:val="22"/>
                <w:szCs w:val="22"/>
              </w:rPr>
              <w:t>ar šo Likumprojektu</w:t>
            </w:r>
            <w:r w:rsidR="005E3E12">
              <w:rPr>
                <w:rFonts w:ascii="Times New Roman" w:hAnsi="Times New Roman" w:cs="Times New Roman"/>
                <w:sz w:val="22"/>
                <w:szCs w:val="22"/>
              </w:rPr>
              <w:t xml:space="preserve"> </w:t>
            </w:r>
            <w:r w:rsidR="005E3E12" w:rsidRPr="005E3E12">
              <w:rPr>
                <w:rFonts w:ascii="Times New Roman" w:hAnsi="Times New Roman" w:cs="Times New Roman"/>
                <w:sz w:val="24"/>
                <w:szCs w:val="24"/>
              </w:rPr>
              <w:t>2021. gada 1. jūlijā</w:t>
            </w:r>
            <w:r w:rsidR="005E3E12" w:rsidRPr="005E3E12">
              <w:rPr>
                <w:rFonts w:ascii="Times New Roman" w:eastAsia="Times New Roman" w:hAnsi="Times New Roman" w:cs="Times New Roman"/>
                <w:sz w:val="24"/>
                <w:szCs w:val="24"/>
                <w:lang w:eastAsia="lv-LV"/>
              </w:rPr>
              <w:t>.</w:t>
            </w:r>
          </w:p>
          <w:p w14:paraId="7FF5A411" w14:textId="77777777" w:rsidR="004531E9" w:rsidRPr="006821CD" w:rsidRDefault="004531E9" w:rsidP="0061349D">
            <w:pPr>
              <w:pStyle w:val="CommentText"/>
              <w:jc w:val="both"/>
              <w:rPr>
                <w:rFonts w:ascii="Times New Roman" w:eastAsia="Times New Roman" w:hAnsi="Times New Roman" w:cs="Times New Roman"/>
                <w:sz w:val="24"/>
                <w:szCs w:val="24"/>
                <w:lang w:eastAsia="lv-LV"/>
              </w:rPr>
            </w:pPr>
          </w:p>
        </w:tc>
      </w:tr>
      <w:tr w:rsidR="006A5248" w:rsidRPr="006A5248" w14:paraId="4F7B299F" w14:textId="77777777" w:rsidTr="00BA53CB">
        <w:tc>
          <w:tcPr>
            <w:tcW w:w="708" w:type="dxa"/>
            <w:tcBorders>
              <w:left w:val="single" w:sz="6" w:space="0" w:color="000000"/>
              <w:bottom w:val="single" w:sz="4" w:space="0" w:color="auto"/>
              <w:right w:val="single" w:sz="6" w:space="0" w:color="000000"/>
            </w:tcBorders>
          </w:tcPr>
          <w:p w14:paraId="6ADD0D9B" w14:textId="77777777" w:rsidR="006A5248" w:rsidRPr="006A5248" w:rsidRDefault="003A5B69" w:rsidP="006A5248">
            <w:pPr>
              <w:spacing w:after="0" w:line="240" w:lineRule="auto"/>
              <w:ind w:firstLine="72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44.</w:t>
            </w:r>
            <w:r w:rsidR="006A5248" w:rsidRPr="006A5248">
              <w:rPr>
                <w:rFonts w:ascii="Times New Roman" w:eastAsia="Times New Roman" w:hAnsi="Times New Roman" w:cs="Times New Roman"/>
                <w:sz w:val="24"/>
                <w:szCs w:val="24"/>
                <w:lang w:eastAsia="lv-LV"/>
              </w:rPr>
              <w:t xml:space="preserve">  </w:t>
            </w:r>
          </w:p>
        </w:tc>
        <w:tc>
          <w:tcPr>
            <w:tcW w:w="3086" w:type="dxa"/>
            <w:gridSpan w:val="2"/>
            <w:tcBorders>
              <w:left w:val="single" w:sz="6" w:space="0" w:color="000000"/>
              <w:bottom w:val="single" w:sz="4" w:space="0" w:color="auto"/>
              <w:right w:val="single" w:sz="6" w:space="0" w:color="000000"/>
            </w:tcBorders>
          </w:tcPr>
          <w:p w14:paraId="3D5FE5A6" w14:textId="77777777" w:rsidR="006A5248" w:rsidRPr="006A5248" w:rsidRDefault="006A5248" w:rsidP="006A5248">
            <w:pPr>
              <w:tabs>
                <w:tab w:val="left" w:pos="993"/>
              </w:tabs>
              <w:spacing w:after="0" w:line="240" w:lineRule="auto"/>
              <w:rPr>
                <w:rFonts w:ascii="Times New Roman" w:eastAsia="Calibri" w:hAnsi="Times New Roman" w:cs="Times New Roman"/>
                <w:bCs/>
                <w:sz w:val="24"/>
                <w:szCs w:val="24"/>
              </w:rPr>
            </w:pPr>
          </w:p>
        </w:tc>
        <w:tc>
          <w:tcPr>
            <w:tcW w:w="4394" w:type="dxa"/>
            <w:tcBorders>
              <w:left w:val="single" w:sz="6" w:space="0" w:color="000000"/>
              <w:bottom w:val="single" w:sz="4" w:space="0" w:color="auto"/>
              <w:right w:val="single" w:sz="6" w:space="0" w:color="000000"/>
            </w:tcBorders>
          </w:tcPr>
          <w:p w14:paraId="22F9F257" w14:textId="77777777" w:rsidR="006A5248" w:rsidRDefault="006A5248" w:rsidP="003A5B69">
            <w:pPr>
              <w:spacing w:beforeAutospacing="1" w:after="0" w:afterAutospacing="1" w:line="240" w:lineRule="auto"/>
              <w:ind w:right="13"/>
              <w:jc w:val="both"/>
              <w:rPr>
                <w:rFonts w:ascii="Times New Roman" w:eastAsia="Times New Roman" w:hAnsi="Times New Roman" w:cs="Times New Roman"/>
                <w:sz w:val="24"/>
                <w:szCs w:val="24"/>
                <w:lang w:eastAsia="lv-LV"/>
              </w:rPr>
            </w:pPr>
            <w:r w:rsidRPr="00B07B00">
              <w:rPr>
                <w:rFonts w:ascii="Times New Roman" w:eastAsia="Times New Roman" w:hAnsi="Times New Roman" w:cs="Times New Roman"/>
                <w:sz w:val="24"/>
                <w:szCs w:val="24"/>
                <w:lang w:eastAsia="lv-LV"/>
              </w:rPr>
              <w:t xml:space="preserve">Vēršam uzmanību uz to, ka atbilstoši Ministru kabineta 2009. gada 15. decembra instrukcijas Nr. 19 "Tiesību akta projekta sākotnējās ietekmes izvērtēšanas kārtība" (turpmāk – instrukcija) 54.1. apakšpunktā noteiktajam anotācijas IV sadaļas 1. punktā norāda </w:t>
            </w:r>
            <w:r w:rsidRPr="00B07B00">
              <w:rPr>
                <w:rFonts w:ascii="Times New Roman" w:eastAsia="Times New Roman" w:hAnsi="Times New Roman" w:cs="Times New Roman"/>
                <w:sz w:val="24"/>
                <w:szCs w:val="24"/>
                <w:u w:val="single"/>
                <w:lang w:eastAsia="lv-LV"/>
              </w:rPr>
              <w:t xml:space="preserve">tiesību aktu projektus, kuru izstrādāšanai paredzēts pilnvarojums projektā, kā arī skaidro to nepieciešamību un būtību. Ja nepieciešamie tiesību aktu </w:t>
            </w:r>
            <w:r w:rsidRPr="00B07B00">
              <w:rPr>
                <w:rFonts w:ascii="Times New Roman" w:eastAsia="Times New Roman" w:hAnsi="Times New Roman" w:cs="Times New Roman"/>
                <w:sz w:val="24"/>
                <w:szCs w:val="24"/>
                <w:u w:val="single"/>
                <w:lang w:eastAsia="lv-LV"/>
              </w:rPr>
              <w:lastRenderedPageBreak/>
              <w:t>projekti jau ir izsludināti Valsts sekretāru sanāksmē, norāda attiecīgās Valsts sekretāru sanāksmes datumu, protokola numuru un paragrāfu</w:t>
            </w:r>
            <w:r w:rsidRPr="00B07B00">
              <w:rPr>
                <w:rFonts w:ascii="Times New Roman" w:eastAsia="Times New Roman" w:hAnsi="Times New Roman" w:cs="Times New Roman"/>
                <w:sz w:val="24"/>
                <w:szCs w:val="24"/>
                <w:lang w:eastAsia="lv-LV"/>
              </w:rPr>
              <w:t>.</w:t>
            </w:r>
          </w:p>
          <w:p w14:paraId="69D2AFB2" w14:textId="77777777" w:rsidR="00EE513C" w:rsidRPr="003A5B69" w:rsidRDefault="00EE513C" w:rsidP="00EE513C">
            <w:pPr>
              <w:pStyle w:val="NormalWeb"/>
              <w:spacing w:before="0" w:after="0"/>
              <w:ind w:right="13"/>
              <w:jc w:val="both"/>
            </w:pPr>
            <w:r w:rsidRPr="003A5B69">
              <w:t xml:space="preserve">Savukārt atbilstoši instrukcijas 54.2. apakšpunktā noteiktajam anotācijas IV sadaļas 1. punktā norāda </w:t>
            </w:r>
            <w:r w:rsidRPr="003A5B69">
              <w:rPr>
                <w:u w:val="single"/>
              </w:rPr>
              <w:t>citus spēkā esošus (vai jau apstiprinātus) tiesību aktus, kuros jāizdara grozījumi vai kuri jāatzīst par spēku zaudējušiem (atceltiem) saistībā ar projektu, kā arī skaidro šādu izmaiņu nepieciešamību</w:t>
            </w:r>
            <w:r w:rsidRPr="003A5B69">
              <w:t xml:space="preserve">. </w:t>
            </w:r>
            <w:r w:rsidRPr="003A5B69">
              <w:rPr>
                <w:u w:val="single"/>
              </w:rPr>
              <w:t>Ja Valsts sekretāru sanāksmē jau ir izsludināts tiesību akta projekts, kas paredz veikt nepieciešamos grozījumus citos tiesību aktos vai arī paredz atzīt par spēku zaudējušiem (atceltiem) citus tiesību aktus, norāda attiecīgās Valsts sekretāru sanāksmes datumu, protokola numuru un paragrāfu</w:t>
            </w:r>
            <w:r w:rsidRPr="003A5B69">
              <w:t>. Ievērojot minēto, lūdzam aizpildīt anotācijas IV sadaļas 1. punktu atbilstoši instrukcijas 54.1. un 54.2. apakšpunktā noteiktajām prasībām.</w:t>
            </w:r>
          </w:p>
          <w:p w14:paraId="52AB336D" w14:textId="77777777" w:rsidR="00EE513C" w:rsidRPr="00EE55F0" w:rsidRDefault="00EE513C" w:rsidP="00EE513C">
            <w:pPr>
              <w:pStyle w:val="NormalWeb"/>
              <w:spacing w:before="0" w:after="0"/>
              <w:ind w:right="13" w:firstLine="720"/>
              <w:jc w:val="both"/>
            </w:pPr>
            <w:r w:rsidRPr="00EE55F0">
              <w:t>Vienlaikus vēršam uzmanību uz to, ka anotācijas IV sadaļas 1. punktā nav informācijas par to, ka tiks izstrādāti Ministru kabineta noteikumu projekti atbilstoši projektā paredzētajā likuma 42.</w:t>
            </w:r>
            <w:r w:rsidRPr="00EE55F0">
              <w:rPr>
                <w:vertAlign w:val="superscript"/>
              </w:rPr>
              <w:t>6</w:t>
            </w:r>
            <w:r w:rsidRPr="00EE55F0">
              <w:t xml:space="preserve"> un 42.</w:t>
            </w:r>
            <w:r w:rsidRPr="00EE55F0">
              <w:rPr>
                <w:vertAlign w:val="superscript"/>
              </w:rPr>
              <w:t>9</w:t>
            </w:r>
            <w:r w:rsidRPr="00EE55F0">
              <w:t> pantā ietvertajam pilnvarojumam Ministru kabinetam. Līdz ar to nepieciešams papildināt anotācijas IV sadaļas 1. punktu ar atbilstošu informāciju.</w:t>
            </w:r>
          </w:p>
          <w:p w14:paraId="0CE0CECB" w14:textId="77777777" w:rsidR="00EE513C" w:rsidRPr="00EE55F0" w:rsidRDefault="00EE513C" w:rsidP="003A5B69">
            <w:pPr>
              <w:spacing w:beforeAutospacing="1" w:after="0" w:afterAutospacing="1" w:line="240" w:lineRule="auto"/>
              <w:ind w:right="13"/>
              <w:jc w:val="both"/>
              <w:rPr>
                <w:rFonts w:ascii="Times New Roman" w:eastAsia="Times New Roman" w:hAnsi="Times New Roman" w:cs="Times New Roman"/>
                <w:sz w:val="24"/>
                <w:szCs w:val="24"/>
                <w:lang w:eastAsia="lv-LV"/>
              </w:rPr>
            </w:pPr>
          </w:p>
          <w:p w14:paraId="2769EE55" w14:textId="77777777" w:rsidR="006A5248" w:rsidRPr="00B07B00" w:rsidRDefault="006A5248" w:rsidP="007F51BB">
            <w:pPr>
              <w:spacing w:beforeAutospacing="1" w:after="0" w:afterAutospacing="1" w:line="240" w:lineRule="auto"/>
              <w:ind w:right="13" w:firstLine="720"/>
              <w:jc w:val="both"/>
              <w:rPr>
                <w:rFonts w:ascii="Times New Roman" w:eastAsia="Times New Roman" w:hAnsi="Times New Roman" w:cs="Times New Roman"/>
                <w:sz w:val="24"/>
                <w:szCs w:val="24"/>
              </w:rPr>
            </w:pPr>
          </w:p>
        </w:tc>
        <w:tc>
          <w:tcPr>
            <w:tcW w:w="3544" w:type="dxa"/>
            <w:gridSpan w:val="2"/>
            <w:tcBorders>
              <w:left w:val="single" w:sz="6" w:space="0" w:color="000000"/>
              <w:bottom w:val="single" w:sz="4" w:space="0" w:color="auto"/>
              <w:right w:val="single" w:sz="6" w:space="0" w:color="000000"/>
            </w:tcBorders>
          </w:tcPr>
          <w:p w14:paraId="25E8E947" w14:textId="77777777" w:rsidR="006A5248" w:rsidRP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p>
          <w:p w14:paraId="734A1DAF" w14:textId="77777777" w:rsid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Ņems vērā</w:t>
            </w:r>
          </w:p>
          <w:p w14:paraId="7D61BB0E" w14:textId="77777777" w:rsidR="00964D9E" w:rsidRPr="00964D9E" w:rsidRDefault="00964D9E" w:rsidP="00964D9E">
            <w:pPr>
              <w:spacing w:after="0" w:line="240" w:lineRule="auto"/>
              <w:jc w:val="both"/>
              <w:rPr>
                <w:rFonts w:ascii="Times New Roman" w:eastAsia="Times New Roman" w:hAnsi="Times New Roman" w:cs="Times New Roman"/>
                <w:sz w:val="24"/>
                <w:szCs w:val="24"/>
                <w:lang w:eastAsia="lv-LV"/>
              </w:rPr>
            </w:pPr>
            <w:r w:rsidRPr="00964D9E">
              <w:rPr>
                <w:rFonts w:ascii="Times New Roman" w:eastAsia="Times New Roman" w:hAnsi="Times New Roman" w:cs="Times New Roman"/>
                <w:sz w:val="24"/>
                <w:szCs w:val="24"/>
                <w:lang w:eastAsia="lv-LV"/>
              </w:rPr>
              <w:t>Precizēts anotācijas IV sadaļas 1.punkts</w:t>
            </w:r>
          </w:p>
          <w:p w14:paraId="29520B49" w14:textId="77777777" w:rsidR="006A5248" w:rsidRPr="00964D9E" w:rsidRDefault="006A5248" w:rsidP="00964D9E">
            <w:pPr>
              <w:spacing w:after="0" w:line="240" w:lineRule="auto"/>
              <w:ind w:firstLine="720"/>
              <w:jc w:val="both"/>
              <w:rPr>
                <w:rFonts w:ascii="Times New Roman" w:eastAsia="Times New Roman" w:hAnsi="Times New Roman" w:cs="Times New Roman"/>
                <w:sz w:val="24"/>
                <w:szCs w:val="24"/>
                <w:lang w:eastAsia="lv-LV"/>
              </w:rPr>
            </w:pPr>
          </w:p>
          <w:p w14:paraId="4B87CB75"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tcBorders>
          </w:tcPr>
          <w:p w14:paraId="33951C79" w14:textId="77777777" w:rsidR="00087B0D" w:rsidRPr="006B1B39" w:rsidRDefault="00087B0D" w:rsidP="00087B0D">
            <w:pPr>
              <w:spacing w:after="0" w:line="240" w:lineRule="auto"/>
              <w:jc w:val="both"/>
              <w:rPr>
                <w:rFonts w:ascii="Times New Roman" w:eastAsia="Times New Roman" w:hAnsi="Times New Roman" w:cs="Times New Roman"/>
                <w:bCs/>
                <w:sz w:val="24"/>
                <w:szCs w:val="24"/>
                <w:lang w:eastAsia="lv-LV"/>
              </w:rPr>
            </w:pPr>
            <w:r w:rsidRPr="006B1B39">
              <w:rPr>
                <w:rFonts w:ascii="Times New Roman" w:eastAsia="Times New Roman" w:hAnsi="Times New Roman" w:cs="Times New Roman"/>
                <w:bCs/>
                <w:sz w:val="24"/>
                <w:szCs w:val="24"/>
                <w:lang w:eastAsia="lv-LV"/>
              </w:rPr>
              <w:t>Tiks izstrādāti Ministru kabineta noteikumi:</w:t>
            </w:r>
          </w:p>
          <w:p w14:paraId="0850D014" w14:textId="1B21BE29" w:rsidR="00087B0D" w:rsidRPr="006B1B39" w:rsidRDefault="00087B0D" w:rsidP="00087B0D">
            <w:pPr>
              <w:spacing w:after="0" w:line="240" w:lineRule="auto"/>
              <w:jc w:val="both"/>
              <w:rPr>
                <w:rFonts w:ascii="Times New Roman" w:eastAsia="Times New Roman" w:hAnsi="Times New Roman" w:cs="Times New Roman"/>
                <w:sz w:val="24"/>
                <w:szCs w:val="24"/>
                <w:lang w:eastAsia="lv-LV"/>
              </w:rPr>
            </w:pPr>
            <w:r w:rsidRPr="006B1B39">
              <w:rPr>
                <w:rFonts w:ascii="Times New Roman" w:eastAsia="Times New Roman" w:hAnsi="Times New Roman" w:cs="Times New Roman"/>
                <w:bCs/>
                <w:sz w:val="24"/>
                <w:szCs w:val="24"/>
                <w:lang w:eastAsia="lv-LV"/>
              </w:rPr>
              <w:t xml:space="preserve">1) </w:t>
            </w:r>
            <w:r w:rsidRPr="006B1B39">
              <w:rPr>
                <w:rFonts w:ascii="Times New Roman" w:eastAsia="Times New Roman" w:hAnsi="Times New Roman" w:cs="Times New Roman"/>
                <w:sz w:val="24"/>
                <w:szCs w:val="24"/>
                <w:lang w:eastAsia="lv-LV"/>
              </w:rPr>
              <w:t xml:space="preserve">Zāļu, kuru sastāvā ir  II un III sarakstā iekļautās vielas, iegādes, saņemšanas, nodošanas bezatlīdzības lietošanā, uzglabāšanas, uzskaites un iznīcināšanas prasības un kārtību Nacionālo </w:t>
            </w:r>
            <w:r w:rsidRPr="006B1B39">
              <w:rPr>
                <w:rFonts w:ascii="Times New Roman" w:eastAsia="Times New Roman" w:hAnsi="Times New Roman" w:cs="Times New Roman"/>
                <w:sz w:val="24"/>
                <w:szCs w:val="24"/>
                <w:lang w:eastAsia="lv-LV"/>
              </w:rPr>
              <w:lastRenderedPageBreak/>
              <w:t>bruņoto spēku ārstniecības līdzekļu noliktavā.</w:t>
            </w:r>
          </w:p>
          <w:p w14:paraId="1F4B4524" w14:textId="7CB353AA" w:rsidR="00087B0D" w:rsidRPr="006B1B39" w:rsidRDefault="00541121" w:rsidP="00087B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87B0D" w:rsidRPr="006B1B39">
              <w:rPr>
                <w:rFonts w:ascii="Times New Roman" w:eastAsia="Times New Roman" w:hAnsi="Times New Roman" w:cs="Times New Roman"/>
                <w:sz w:val="24"/>
                <w:szCs w:val="24"/>
                <w:lang w:eastAsia="lv-LV"/>
              </w:rPr>
              <w:t>) Kārtību, kādā Nacionālo bruņoto spēku ārstniecības līdzekļu noliktava sniedz informāciju Zāļu valsts aģentūrai un Veselības inspekcijai par zāļu, kuru sastāvā ir  II un III sarakstā iekļautās vielas, izlietojumu”.</w:t>
            </w:r>
          </w:p>
          <w:p w14:paraId="25A8408F" w14:textId="024591AE" w:rsidR="00087B0D" w:rsidRPr="006B1B39" w:rsidRDefault="00541121" w:rsidP="00087B0D">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TW"/>
              </w:rPr>
              <w:t>3</w:t>
            </w:r>
            <w:r w:rsidR="00087B0D" w:rsidRPr="006B1B39">
              <w:rPr>
                <w:rFonts w:ascii="Times New Roman" w:eastAsia="Times New Roman" w:hAnsi="Times New Roman" w:cs="Times New Roman"/>
                <w:sz w:val="24"/>
                <w:szCs w:val="24"/>
                <w:lang w:eastAsia="zh-TW"/>
              </w:rPr>
              <w:t xml:space="preserve">) Grozījumi MK 2008.gada 17.jūnija noteikumos Nr. 441 “Narkotisko un psihotropo vielu un zāļu iepirkšanas, saņemšanas, uzglabāšanas, izplatīšanas, izsniegšanas, uzskaites un iznīcināšanas kārtība zāļu un veterināro zāļu ražošanā, zāļu un veterināro zāļu lieltirgotavās un aptiekās”. </w:t>
            </w:r>
          </w:p>
          <w:p w14:paraId="42C1768E" w14:textId="3F11AA0B" w:rsidR="00087B0D" w:rsidRPr="009547B4" w:rsidRDefault="00C853B7" w:rsidP="00087B0D">
            <w:pPr>
              <w:spacing w:line="25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1., 2., 3. </w:t>
            </w:r>
            <w:r w:rsidR="00087B0D" w:rsidRPr="006B1B39">
              <w:rPr>
                <w:rFonts w:ascii="Times New Roman" w:eastAsia="Times New Roman" w:hAnsi="Times New Roman" w:cs="Times New Roman"/>
                <w:sz w:val="24"/>
                <w:szCs w:val="24"/>
                <w:lang w:eastAsia="lv-LV"/>
              </w:rPr>
              <w:t>punktā minēti Ministru kabineta noteikumi tiks izdoti</w:t>
            </w:r>
            <w:r w:rsidR="006362CD">
              <w:rPr>
                <w:rFonts w:ascii="Times New Roman" w:eastAsia="Times New Roman" w:hAnsi="Times New Roman" w:cs="Times New Roman"/>
                <w:sz w:val="24"/>
                <w:szCs w:val="24"/>
                <w:lang w:eastAsia="lv-LV"/>
              </w:rPr>
              <w:t xml:space="preserve"> un stāsies spēkā</w:t>
            </w:r>
            <w:r w:rsidR="00087B0D" w:rsidRPr="006B1B39">
              <w:rPr>
                <w:rFonts w:ascii="Times New Roman" w:eastAsia="Times New Roman" w:hAnsi="Times New Roman" w:cs="Times New Roman"/>
                <w:sz w:val="24"/>
                <w:szCs w:val="24"/>
                <w:lang w:eastAsia="lv-LV"/>
              </w:rPr>
              <w:t xml:space="preserve"> vienlaikus ar Likumprojektu</w:t>
            </w:r>
            <w:r w:rsidR="009547B4">
              <w:rPr>
                <w:rFonts w:ascii="Times New Roman" w:eastAsia="Times New Roman" w:hAnsi="Times New Roman" w:cs="Times New Roman"/>
                <w:sz w:val="24"/>
                <w:szCs w:val="24"/>
                <w:lang w:eastAsia="lv-LV"/>
              </w:rPr>
              <w:t xml:space="preserve"> </w:t>
            </w:r>
            <w:r w:rsidR="009547B4" w:rsidRPr="009547B4">
              <w:rPr>
                <w:rFonts w:ascii="Times New Roman" w:hAnsi="Times New Roman" w:cs="Times New Roman"/>
                <w:sz w:val="24"/>
                <w:szCs w:val="24"/>
              </w:rPr>
              <w:t>2021. gada 1. jūlijā</w:t>
            </w:r>
            <w:r w:rsidR="009547B4" w:rsidRPr="009547B4">
              <w:rPr>
                <w:rFonts w:ascii="Times New Roman" w:eastAsia="Times New Roman" w:hAnsi="Times New Roman" w:cs="Times New Roman"/>
                <w:sz w:val="24"/>
                <w:szCs w:val="24"/>
                <w:lang w:eastAsia="lv-LV"/>
              </w:rPr>
              <w:t>.</w:t>
            </w:r>
            <w:r w:rsidR="00087B0D" w:rsidRPr="009547B4">
              <w:rPr>
                <w:rFonts w:ascii="Times New Roman" w:eastAsia="Times New Roman" w:hAnsi="Times New Roman" w:cs="Times New Roman"/>
                <w:sz w:val="24"/>
                <w:szCs w:val="24"/>
                <w:lang w:eastAsia="lv-LV"/>
              </w:rPr>
              <w:t xml:space="preserve"> </w:t>
            </w:r>
          </w:p>
          <w:p w14:paraId="2C74A59F" w14:textId="77777777" w:rsidR="006A5248" w:rsidRDefault="00087B0D" w:rsidP="00087B0D">
            <w:pPr>
              <w:spacing w:after="0" w:line="240" w:lineRule="auto"/>
              <w:rPr>
                <w:rFonts w:ascii="Times New Roman" w:eastAsia="Times New Roman" w:hAnsi="Times New Roman" w:cs="Times New Roman"/>
                <w:sz w:val="24"/>
                <w:szCs w:val="24"/>
                <w:lang w:eastAsia="lv-LV"/>
              </w:rPr>
            </w:pPr>
            <w:r w:rsidRPr="006B1B39">
              <w:rPr>
                <w:rFonts w:ascii="Times New Roman" w:eastAsia="Times New Roman" w:hAnsi="Times New Roman" w:cs="Times New Roman"/>
                <w:sz w:val="24"/>
                <w:szCs w:val="24"/>
                <w:lang w:eastAsia="lv-LV"/>
              </w:rPr>
              <w:t xml:space="preserve">Vienlaikus ar likumprojektu “Grozījumi Narkotisko un psihotropo vielu un zāļu, kā arī prekursoru likumīgās aprites likumā” tiek virzīts likumprojekts “Grozījumi </w:t>
            </w:r>
            <w:r w:rsidRPr="006B1B39">
              <w:rPr>
                <w:rFonts w:ascii="Times New Roman" w:eastAsia="Times New Roman" w:hAnsi="Times New Roman" w:cs="Times New Roman"/>
                <w:sz w:val="24"/>
                <w:szCs w:val="24"/>
                <w:lang w:eastAsia="lv-LV"/>
              </w:rPr>
              <w:lastRenderedPageBreak/>
              <w:t>Farmācijas likumā” (izsludi</w:t>
            </w:r>
            <w:r w:rsidR="0053003F">
              <w:rPr>
                <w:rFonts w:ascii="Times New Roman" w:eastAsia="Times New Roman" w:hAnsi="Times New Roman" w:cs="Times New Roman"/>
                <w:sz w:val="24"/>
                <w:szCs w:val="24"/>
                <w:lang w:eastAsia="lv-LV"/>
              </w:rPr>
              <w:t>nāts 02.01.2020 VSS prot. Nr.1 1</w:t>
            </w:r>
            <w:r w:rsidR="00054F74">
              <w:rPr>
                <w:rFonts w:ascii="Times New Roman" w:eastAsia="Times New Roman" w:hAnsi="Times New Roman" w:cs="Times New Roman"/>
                <w:sz w:val="24"/>
                <w:szCs w:val="24"/>
                <w:lang w:eastAsia="lv-LV"/>
              </w:rPr>
              <w:t>.§ (VSS- 1271))</w:t>
            </w:r>
            <w:r w:rsidRPr="006B1B39">
              <w:rPr>
                <w:rFonts w:ascii="Times New Roman" w:eastAsia="Times New Roman" w:hAnsi="Times New Roman" w:cs="Times New Roman"/>
                <w:sz w:val="24"/>
                <w:szCs w:val="24"/>
                <w:lang w:eastAsia="lv-LV"/>
              </w:rPr>
              <w:t>.</w:t>
            </w:r>
          </w:p>
          <w:p w14:paraId="12EDFFCD" w14:textId="1E09231D" w:rsidR="00023063" w:rsidRPr="006A5248" w:rsidRDefault="00023063" w:rsidP="00087B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stātos spēkā </w:t>
            </w:r>
            <w:r w:rsidRPr="00023063">
              <w:rPr>
                <w:rFonts w:ascii="Times New Roman" w:hAnsi="Times New Roman" w:cs="Times New Roman"/>
                <w:sz w:val="24"/>
                <w:szCs w:val="24"/>
              </w:rPr>
              <w:t>2021. gada 1. jūlijā</w:t>
            </w:r>
            <w:r w:rsidRPr="00023063">
              <w:rPr>
                <w:rFonts w:ascii="Times New Roman" w:eastAsia="Times New Roman" w:hAnsi="Times New Roman" w:cs="Times New Roman"/>
                <w:sz w:val="24"/>
                <w:szCs w:val="24"/>
                <w:lang w:eastAsia="lv-LV"/>
              </w:rPr>
              <w:t>.</w:t>
            </w:r>
          </w:p>
        </w:tc>
      </w:tr>
      <w:tr w:rsidR="006A5248" w:rsidRPr="006A5248" w14:paraId="4884EA6B" w14:textId="77777777" w:rsidTr="00BA53CB">
        <w:tc>
          <w:tcPr>
            <w:tcW w:w="708" w:type="dxa"/>
            <w:tcBorders>
              <w:left w:val="single" w:sz="6" w:space="0" w:color="000000"/>
              <w:bottom w:val="single" w:sz="4" w:space="0" w:color="auto"/>
              <w:right w:val="single" w:sz="6" w:space="0" w:color="000000"/>
            </w:tcBorders>
          </w:tcPr>
          <w:p w14:paraId="42F8A3E9" w14:textId="77777777" w:rsidR="006A5248" w:rsidRPr="006A5248" w:rsidRDefault="00640519" w:rsidP="006A5248">
            <w:pPr>
              <w:spacing w:after="0" w:line="240" w:lineRule="auto"/>
              <w:ind w:firstLine="72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5</w:t>
            </w:r>
            <w:r w:rsidR="003A5B6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3086" w:type="dxa"/>
            <w:gridSpan w:val="2"/>
            <w:tcBorders>
              <w:left w:val="single" w:sz="6" w:space="0" w:color="000000"/>
              <w:bottom w:val="single" w:sz="4" w:space="0" w:color="auto"/>
              <w:right w:val="single" w:sz="6" w:space="0" w:color="000000"/>
            </w:tcBorders>
          </w:tcPr>
          <w:p w14:paraId="57B4F1BE" w14:textId="77777777" w:rsidR="006A5248" w:rsidRPr="006A5248" w:rsidRDefault="006A5248" w:rsidP="006A5248">
            <w:pPr>
              <w:spacing w:after="0" w:line="240" w:lineRule="auto"/>
              <w:jc w:val="both"/>
              <w:rPr>
                <w:rFonts w:ascii="Times New Roman" w:eastAsia="Calibri" w:hAnsi="Times New Roman" w:cs="Times New Roman"/>
                <w:bCs/>
                <w:sz w:val="24"/>
                <w:szCs w:val="24"/>
              </w:rPr>
            </w:pPr>
          </w:p>
        </w:tc>
        <w:tc>
          <w:tcPr>
            <w:tcW w:w="4394" w:type="dxa"/>
            <w:tcBorders>
              <w:left w:val="single" w:sz="6" w:space="0" w:color="000000"/>
              <w:bottom w:val="single" w:sz="4" w:space="0" w:color="auto"/>
              <w:right w:val="single" w:sz="6" w:space="0" w:color="000000"/>
            </w:tcBorders>
          </w:tcPr>
          <w:p w14:paraId="53AAE688" w14:textId="77777777" w:rsidR="007F51BB" w:rsidRPr="003A5B69" w:rsidRDefault="007F51BB" w:rsidP="007F51BB">
            <w:pPr>
              <w:pStyle w:val="NormalWeb"/>
              <w:spacing w:before="0" w:after="0"/>
              <w:ind w:right="13" w:firstLine="720"/>
              <w:jc w:val="both"/>
            </w:pPr>
            <w:r w:rsidRPr="003A5B69">
              <w:t>Papildus lūdzam precizēt anotācijas IV sadaļas 1. punktā minētā Ministru kabineta noteikumu projekta nosaukumu atbilstoši likumprojektā "Grozījumi Farmācijas likumā", kas izsludināts 2020. gada 2. janvāra Valsts sekretāru sanāksmē (prot. Nr. 1 1. §, VSS-1271), paredzētajā Farmācijas likuma 68.</w:t>
            </w:r>
            <w:r w:rsidRPr="003A5B69">
              <w:rPr>
                <w:vertAlign w:val="superscript"/>
              </w:rPr>
              <w:t>3</w:t>
            </w:r>
            <w:r w:rsidRPr="003A5B69">
              <w:t> panta 1. punktā ietvertajam pilnvarojumam Ministru kabinetam.</w:t>
            </w:r>
          </w:p>
          <w:p w14:paraId="5E5AC772" w14:textId="77777777" w:rsidR="006A5248" w:rsidRPr="006A5248" w:rsidRDefault="006A5248" w:rsidP="007F51BB">
            <w:pPr>
              <w:spacing w:beforeAutospacing="1" w:after="0" w:afterAutospacing="1" w:line="240" w:lineRule="auto"/>
              <w:ind w:right="13" w:firstLine="720"/>
              <w:jc w:val="both"/>
              <w:rPr>
                <w:rFonts w:ascii="Times New Roman" w:eastAsia="Times New Roman" w:hAnsi="Times New Roman" w:cs="Times New Roman"/>
                <w:sz w:val="24"/>
                <w:szCs w:val="24"/>
              </w:rPr>
            </w:pPr>
          </w:p>
        </w:tc>
        <w:tc>
          <w:tcPr>
            <w:tcW w:w="3544" w:type="dxa"/>
            <w:gridSpan w:val="2"/>
            <w:tcBorders>
              <w:left w:val="single" w:sz="6" w:space="0" w:color="000000"/>
              <w:bottom w:val="single" w:sz="4" w:space="0" w:color="auto"/>
              <w:right w:val="single" w:sz="6" w:space="0" w:color="000000"/>
            </w:tcBorders>
          </w:tcPr>
          <w:p w14:paraId="5BA24AA9" w14:textId="77777777" w:rsidR="006A5248" w:rsidRPr="006A5248" w:rsidRDefault="006A5248" w:rsidP="006A5248">
            <w:pPr>
              <w:spacing w:after="0" w:line="240" w:lineRule="auto"/>
              <w:ind w:firstLine="720"/>
              <w:jc w:val="center"/>
              <w:rPr>
                <w:rFonts w:ascii="Times New Roman" w:eastAsia="Times New Roman" w:hAnsi="Times New Roman" w:cs="Times New Roman"/>
                <w:b/>
                <w:sz w:val="24"/>
                <w:szCs w:val="24"/>
                <w:lang w:eastAsia="lv-LV"/>
              </w:rPr>
            </w:pPr>
          </w:p>
          <w:p w14:paraId="7C1724F6" w14:textId="77777777" w:rsidR="00640519" w:rsidRDefault="00640519" w:rsidP="00640519">
            <w:pPr>
              <w:spacing w:after="0" w:line="240" w:lineRule="auto"/>
              <w:ind w:firstLine="720"/>
              <w:jc w:val="center"/>
              <w:rPr>
                <w:rFonts w:ascii="Times New Roman" w:eastAsia="Times New Roman" w:hAnsi="Times New Roman" w:cs="Times New Roman"/>
                <w:b/>
                <w:sz w:val="24"/>
                <w:szCs w:val="24"/>
                <w:lang w:eastAsia="lv-LV"/>
              </w:rPr>
            </w:pPr>
            <w:r w:rsidRPr="006A5248">
              <w:rPr>
                <w:rFonts w:ascii="Times New Roman" w:eastAsia="Times New Roman" w:hAnsi="Times New Roman" w:cs="Times New Roman"/>
                <w:b/>
                <w:sz w:val="24"/>
                <w:szCs w:val="24"/>
                <w:lang w:eastAsia="lv-LV"/>
              </w:rPr>
              <w:t>Ņems vērā</w:t>
            </w:r>
          </w:p>
          <w:p w14:paraId="1EF1DCF7" w14:textId="77777777" w:rsidR="00640519" w:rsidRPr="00964D9E" w:rsidRDefault="00640519" w:rsidP="00640519">
            <w:pPr>
              <w:spacing w:after="0" w:line="240" w:lineRule="auto"/>
              <w:jc w:val="both"/>
              <w:rPr>
                <w:rFonts w:ascii="Times New Roman" w:eastAsia="Times New Roman" w:hAnsi="Times New Roman" w:cs="Times New Roman"/>
                <w:sz w:val="24"/>
                <w:szCs w:val="24"/>
                <w:lang w:eastAsia="lv-LV"/>
              </w:rPr>
            </w:pPr>
            <w:r w:rsidRPr="00964D9E">
              <w:rPr>
                <w:rFonts w:ascii="Times New Roman" w:eastAsia="Times New Roman" w:hAnsi="Times New Roman" w:cs="Times New Roman"/>
                <w:sz w:val="24"/>
                <w:szCs w:val="24"/>
                <w:lang w:eastAsia="lv-LV"/>
              </w:rPr>
              <w:t>Precizēts anotācijas IV sadaļas 1.punkts</w:t>
            </w:r>
          </w:p>
          <w:p w14:paraId="3FB6C347" w14:textId="77777777" w:rsidR="00640519" w:rsidRPr="00964D9E" w:rsidRDefault="00640519" w:rsidP="00640519">
            <w:pPr>
              <w:spacing w:after="0" w:line="240" w:lineRule="auto"/>
              <w:ind w:firstLine="720"/>
              <w:jc w:val="both"/>
              <w:rPr>
                <w:rFonts w:ascii="Times New Roman" w:eastAsia="Times New Roman" w:hAnsi="Times New Roman" w:cs="Times New Roman"/>
                <w:sz w:val="24"/>
                <w:szCs w:val="24"/>
                <w:lang w:eastAsia="lv-LV"/>
              </w:rPr>
            </w:pPr>
          </w:p>
          <w:p w14:paraId="616E4293"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tcBorders>
          </w:tcPr>
          <w:p w14:paraId="5DFCDBB0" w14:textId="77777777" w:rsidR="006A5248" w:rsidRPr="006A5248" w:rsidRDefault="0013511F" w:rsidP="007F51B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izziņas 4.punkt</w:t>
            </w:r>
            <w:bookmarkStart w:id="0" w:name="_GoBack"/>
            <w:bookmarkEnd w:id="0"/>
            <w:r>
              <w:rPr>
                <w:rFonts w:ascii="Times New Roman" w:eastAsia="Times New Roman" w:hAnsi="Times New Roman" w:cs="Times New Roman"/>
                <w:sz w:val="24"/>
                <w:szCs w:val="24"/>
                <w:lang w:eastAsia="lv-LV"/>
              </w:rPr>
              <w:t>u.</w:t>
            </w:r>
          </w:p>
        </w:tc>
      </w:tr>
      <w:tr w:rsidR="006A5248" w:rsidRPr="006A5248" w14:paraId="05FE06D8" w14:textId="77777777" w:rsidTr="00BA53CB">
        <w:tblPrEx>
          <w:tblBorders>
            <w:top w:val="none" w:sz="0" w:space="0" w:color="auto"/>
            <w:left w:val="none" w:sz="0" w:space="0" w:color="auto"/>
            <w:bottom w:val="none" w:sz="0" w:space="0" w:color="auto"/>
            <w:right w:val="none" w:sz="0" w:space="0" w:color="auto"/>
          </w:tblBorders>
        </w:tblPrEx>
        <w:trPr>
          <w:gridAfter w:val="2"/>
          <w:wAfter w:w="5563" w:type="dxa"/>
        </w:trPr>
        <w:tc>
          <w:tcPr>
            <w:tcW w:w="3108" w:type="dxa"/>
            <w:gridSpan w:val="2"/>
          </w:tcPr>
          <w:p w14:paraId="2E21F1E6"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p w14:paraId="6749D507"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Atbildīgā amatpersona</w:t>
            </w:r>
          </w:p>
        </w:tc>
        <w:tc>
          <w:tcPr>
            <w:tcW w:w="6179" w:type="dxa"/>
            <w:gridSpan w:val="3"/>
          </w:tcPr>
          <w:p w14:paraId="167E4A88"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  </w:t>
            </w:r>
          </w:p>
        </w:tc>
      </w:tr>
      <w:tr w:rsidR="006A5248" w:rsidRPr="006A5248" w14:paraId="2FC8595B" w14:textId="77777777" w:rsidTr="00BA53CB">
        <w:tblPrEx>
          <w:tblBorders>
            <w:top w:val="none" w:sz="0" w:space="0" w:color="auto"/>
            <w:left w:val="none" w:sz="0" w:space="0" w:color="auto"/>
            <w:bottom w:val="none" w:sz="0" w:space="0" w:color="auto"/>
            <w:right w:val="none" w:sz="0" w:space="0" w:color="auto"/>
          </w:tblBorders>
        </w:tblPrEx>
        <w:trPr>
          <w:gridAfter w:val="2"/>
          <w:wAfter w:w="5563" w:type="dxa"/>
        </w:trPr>
        <w:tc>
          <w:tcPr>
            <w:tcW w:w="3108" w:type="dxa"/>
            <w:gridSpan w:val="2"/>
          </w:tcPr>
          <w:p w14:paraId="7D595239" w14:textId="77777777" w:rsidR="006A5248" w:rsidRPr="006A5248" w:rsidRDefault="006A5248" w:rsidP="006A5248">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66B45907" w14:textId="77777777" w:rsidR="006A5248" w:rsidRPr="006A5248" w:rsidRDefault="006A5248" w:rsidP="006A5248">
            <w:pPr>
              <w:spacing w:after="0" w:line="240" w:lineRule="auto"/>
              <w:ind w:firstLine="720"/>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(paraksts*)</w:t>
            </w:r>
          </w:p>
        </w:tc>
      </w:tr>
    </w:tbl>
    <w:p w14:paraId="3405FB16" w14:textId="0F0DB428"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p>
    <w:p w14:paraId="647E459E"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5B41BB4D" w14:textId="77777777" w:rsidR="006A5248" w:rsidRPr="006A5248" w:rsidRDefault="006A5248" w:rsidP="006A5248">
      <w:pPr>
        <w:spacing w:after="0" w:line="240" w:lineRule="auto"/>
        <w:ind w:firstLine="720"/>
        <w:jc w:val="both"/>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Biruta Kleina</w:t>
      </w:r>
    </w:p>
    <w:tbl>
      <w:tblPr>
        <w:tblW w:w="0" w:type="auto"/>
        <w:tblLook w:val="00A0" w:firstRow="1" w:lastRow="0" w:firstColumn="1" w:lastColumn="0" w:noHBand="0" w:noVBand="0"/>
      </w:tblPr>
      <w:tblGrid>
        <w:gridCol w:w="9039"/>
      </w:tblGrid>
      <w:tr w:rsidR="006A5248" w:rsidRPr="006A5248" w14:paraId="48F6B299" w14:textId="77777777" w:rsidTr="00BA53CB">
        <w:tc>
          <w:tcPr>
            <w:tcW w:w="9039" w:type="dxa"/>
            <w:tcBorders>
              <w:top w:val="single" w:sz="4" w:space="0" w:color="000000"/>
            </w:tcBorders>
          </w:tcPr>
          <w:p w14:paraId="03BB7150"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(par projektu atbildīgās amatpersonas vārds un uzvārds)</w:t>
            </w:r>
          </w:p>
        </w:tc>
      </w:tr>
      <w:tr w:rsidR="006A5248" w:rsidRPr="006A5248" w14:paraId="564B01B1" w14:textId="77777777" w:rsidTr="00BA53CB">
        <w:tc>
          <w:tcPr>
            <w:tcW w:w="9039" w:type="dxa"/>
            <w:tcBorders>
              <w:bottom w:val="single" w:sz="4" w:space="0" w:color="000000"/>
            </w:tcBorders>
          </w:tcPr>
          <w:p w14:paraId="3B2E7BB0"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p>
          <w:p w14:paraId="014BDC31" w14:textId="77777777" w:rsidR="006A5248" w:rsidRPr="006A5248" w:rsidRDefault="00FD6E6A" w:rsidP="006A52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71C3F">
              <w:rPr>
                <w:rFonts w:ascii="Times New Roman" w:eastAsia="Times New Roman" w:hAnsi="Times New Roman" w:cs="Times New Roman"/>
                <w:sz w:val="24"/>
                <w:szCs w:val="24"/>
                <w:lang w:eastAsia="lv-LV"/>
              </w:rPr>
              <w:t xml:space="preserve">AM </w:t>
            </w:r>
            <w:r>
              <w:rPr>
                <w:rFonts w:ascii="Times New Roman" w:eastAsia="Times New Roman" w:hAnsi="Times New Roman" w:cs="Times New Roman"/>
                <w:sz w:val="24"/>
                <w:szCs w:val="24"/>
                <w:lang w:eastAsia="lv-LV"/>
              </w:rPr>
              <w:t>NAIPD  Aizsardzības padomniece medicīnas nodrošinājuma jautājumos</w:t>
            </w:r>
          </w:p>
        </w:tc>
      </w:tr>
      <w:tr w:rsidR="006A5248" w:rsidRPr="006A5248" w14:paraId="3074A8E3" w14:textId="77777777" w:rsidTr="00BA53CB">
        <w:tc>
          <w:tcPr>
            <w:tcW w:w="9039" w:type="dxa"/>
            <w:tcBorders>
              <w:top w:val="single" w:sz="4" w:space="0" w:color="000000"/>
            </w:tcBorders>
          </w:tcPr>
          <w:p w14:paraId="168CBE7E"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(amats)</w:t>
            </w:r>
          </w:p>
        </w:tc>
      </w:tr>
      <w:tr w:rsidR="006A5248" w:rsidRPr="006A5248" w14:paraId="72CFFA39" w14:textId="77777777" w:rsidTr="00BA53CB">
        <w:tc>
          <w:tcPr>
            <w:tcW w:w="9039" w:type="dxa"/>
            <w:tcBorders>
              <w:bottom w:val="single" w:sz="4" w:space="0" w:color="000000"/>
            </w:tcBorders>
          </w:tcPr>
          <w:p w14:paraId="067FE063"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67335158</w:t>
            </w:r>
          </w:p>
        </w:tc>
      </w:tr>
      <w:tr w:rsidR="006A5248" w:rsidRPr="006A5248" w14:paraId="5856EB41" w14:textId="77777777" w:rsidTr="00BA53CB">
        <w:tc>
          <w:tcPr>
            <w:tcW w:w="9039" w:type="dxa"/>
            <w:tcBorders>
              <w:top w:val="single" w:sz="4" w:space="0" w:color="000000"/>
            </w:tcBorders>
          </w:tcPr>
          <w:p w14:paraId="2FBF48C1"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(tālruņa un faksa numurs)</w:t>
            </w:r>
          </w:p>
        </w:tc>
      </w:tr>
      <w:tr w:rsidR="006A5248" w:rsidRPr="006A5248" w14:paraId="2AE7A164" w14:textId="77777777" w:rsidTr="00BA53CB">
        <w:tc>
          <w:tcPr>
            <w:tcW w:w="9039" w:type="dxa"/>
            <w:tcBorders>
              <w:bottom w:val="single" w:sz="4" w:space="0" w:color="000000"/>
            </w:tcBorders>
          </w:tcPr>
          <w:p w14:paraId="198BFFF9" w14:textId="77777777" w:rsidR="006A5248" w:rsidRPr="006A5248" w:rsidRDefault="006A5248" w:rsidP="006A5248">
            <w:pPr>
              <w:spacing w:after="0" w:line="240" w:lineRule="auto"/>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Biruta.Kleina@mod.gov.lv</w:t>
            </w:r>
          </w:p>
        </w:tc>
      </w:tr>
      <w:tr w:rsidR="006A5248" w:rsidRPr="006A5248" w14:paraId="62EB759E" w14:textId="77777777" w:rsidTr="00BA53CB">
        <w:tc>
          <w:tcPr>
            <w:tcW w:w="9039" w:type="dxa"/>
            <w:tcBorders>
              <w:top w:val="single" w:sz="4" w:space="0" w:color="000000"/>
            </w:tcBorders>
          </w:tcPr>
          <w:p w14:paraId="13273A12" w14:textId="77777777" w:rsidR="006A5248" w:rsidRPr="006A5248" w:rsidRDefault="006A5248" w:rsidP="006A5248">
            <w:pPr>
              <w:spacing w:after="0" w:line="240" w:lineRule="auto"/>
              <w:jc w:val="center"/>
              <w:rPr>
                <w:rFonts w:ascii="Times New Roman" w:eastAsia="Times New Roman" w:hAnsi="Times New Roman" w:cs="Times New Roman"/>
                <w:sz w:val="24"/>
                <w:szCs w:val="24"/>
                <w:lang w:eastAsia="lv-LV"/>
              </w:rPr>
            </w:pPr>
            <w:r w:rsidRPr="006A5248">
              <w:rPr>
                <w:rFonts w:ascii="Times New Roman" w:eastAsia="Times New Roman" w:hAnsi="Times New Roman" w:cs="Times New Roman"/>
                <w:sz w:val="24"/>
                <w:szCs w:val="24"/>
                <w:lang w:eastAsia="lv-LV"/>
              </w:rPr>
              <w:t>(e-pasta adrese)</w:t>
            </w:r>
          </w:p>
        </w:tc>
      </w:tr>
    </w:tbl>
    <w:p w14:paraId="2E7F7F84" w14:textId="4D7BADFB" w:rsidR="00410391" w:rsidRDefault="00410391" w:rsidP="005B0191"/>
    <w:sectPr w:rsidR="00410391" w:rsidSect="00364BB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2851" w14:textId="77777777" w:rsidR="00DC1843" w:rsidRDefault="003A5B69">
      <w:pPr>
        <w:spacing w:after="0" w:line="240" w:lineRule="auto"/>
      </w:pPr>
      <w:r>
        <w:separator/>
      </w:r>
    </w:p>
  </w:endnote>
  <w:endnote w:type="continuationSeparator" w:id="0">
    <w:p w14:paraId="7527DD33" w14:textId="77777777" w:rsidR="00DC1843" w:rsidRDefault="003A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E9E8" w14:textId="77777777" w:rsidR="005515A4" w:rsidRDefault="0055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A04C" w14:textId="1071157C" w:rsidR="00A6628F" w:rsidRPr="00015C84" w:rsidRDefault="006A5248" w:rsidP="00A6628F">
    <w:pPr>
      <w:pStyle w:val="Footer"/>
      <w:rPr>
        <w:sz w:val="20"/>
        <w:szCs w:val="20"/>
      </w:rPr>
    </w:pPr>
    <w:r>
      <w:rPr>
        <w:sz w:val="20"/>
        <w:szCs w:val="20"/>
      </w:rPr>
      <w:t>AiM</w:t>
    </w:r>
    <w:r w:rsidR="00E8444F">
      <w:rPr>
        <w:sz w:val="20"/>
        <w:szCs w:val="20"/>
      </w:rPr>
      <w:t>Izz_NAL_070421</w:t>
    </w:r>
  </w:p>
  <w:p w14:paraId="26DF66BE" w14:textId="77777777" w:rsidR="00561D3C" w:rsidRPr="00A6628F" w:rsidRDefault="00023063" w:rsidP="00A66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3058" w14:textId="46624AC2" w:rsidR="006455E7" w:rsidRPr="00015C84" w:rsidRDefault="006A5248" w:rsidP="00364BB6">
    <w:pPr>
      <w:pStyle w:val="Footer"/>
      <w:rPr>
        <w:sz w:val="20"/>
        <w:szCs w:val="20"/>
      </w:rPr>
    </w:pPr>
    <w:r>
      <w:rPr>
        <w:sz w:val="20"/>
        <w:szCs w:val="20"/>
      </w:rPr>
      <w:t>AiM</w:t>
    </w:r>
    <w:r w:rsidR="00B231CC">
      <w:rPr>
        <w:sz w:val="20"/>
        <w:szCs w:val="20"/>
      </w:rPr>
      <w:t>I</w:t>
    </w:r>
    <w:r w:rsidRPr="00015C84">
      <w:rPr>
        <w:sz w:val="20"/>
        <w:szCs w:val="20"/>
      </w:rPr>
      <w:t>zz_</w:t>
    </w:r>
    <w:r w:rsidR="005515A4">
      <w:rPr>
        <w:sz w:val="20"/>
        <w:szCs w:val="20"/>
      </w:rPr>
      <w:t>NAL_</w:t>
    </w:r>
    <w:r w:rsidR="00E8444F">
      <w:rPr>
        <w:sz w:val="20"/>
        <w:szCs w:val="20"/>
      </w:rPr>
      <w:t>070421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DA07" w14:textId="77777777" w:rsidR="00DC1843" w:rsidRDefault="003A5B69">
      <w:pPr>
        <w:spacing w:after="0" w:line="240" w:lineRule="auto"/>
      </w:pPr>
      <w:r>
        <w:separator/>
      </w:r>
    </w:p>
  </w:footnote>
  <w:footnote w:type="continuationSeparator" w:id="0">
    <w:p w14:paraId="511D4BE5" w14:textId="77777777" w:rsidR="00DC1843" w:rsidRDefault="003A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2698" w14:textId="77777777" w:rsidR="006455E7" w:rsidRDefault="006A524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3670B" w14:textId="77777777" w:rsidR="006455E7" w:rsidRDefault="0002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905B" w14:textId="2D62A47A" w:rsidR="006455E7" w:rsidRDefault="006A524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063">
      <w:rPr>
        <w:rStyle w:val="PageNumber"/>
        <w:noProof/>
      </w:rPr>
      <w:t>6</w:t>
    </w:r>
    <w:r>
      <w:rPr>
        <w:rStyle w:val="PageNumber"/>
      </w:rPr>
      <w:fldChar w:fldCharType="end"/>
    </w:r>
  </w:p>
  <w:p w14:paraId="45C99932" w14:textId="77777777" w:rsidR="006455E7" w:rsidRDefault="00023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1D9C" w14:textId="77777777" w:rsidR="005515A4" w:rsidRDefault="0055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48"/>
    <w:rsid w:val="0000671A"/>
    <w:rsid w:val="00023063"/>
    <w:rsid w:val="0004043E"/>
    <w:rsid w:val="00054F74"/>
    <w:rsid w:val="00087B0D"/>
    <w:rsid w:val="000A5715"/>
    <w:rsid w:val="000B6BE7"/>
    <w:rsid w:val="000C2557"/>
    <w:rsid w:val="00132D18"/>
    <w:rsid w:val="0013511F"/>
    <w:rsid w:val="00156244"/>
    <w:rsid w:val="001C3E2C"/>
    <w:rsid w:val="001E17C9"/>
    <w:rsid w:val="001E3E9B"/>
    <w:rsid w:val="00286642"/>
    <w:rsid w:val="002A2E4D"/>
    <w:rsid w:val="002B0A38"/>
    <w:rsid w:val="002C2620"/>
    <w:rsid w:val="002E6F5F"/>
    <w:rsid w:val="00300FC9"/>
    <w:rsid w:val="00371C3F"/>
    <w:rsid w:val="003963A3"/>
    <w:rsid w:val="003A5B69"/>
    <w:rsid w:val="003B4F28"/>
    <w:rsid w:val="003D45DD"/>
    <w:rsid w:val="003F4DB0"/>
    <w:rsid w:val="00405387"/>
    <w:rsid w:val="00410391"/>
    <w:rsid w:val="004531E9"/>
    <w:rsid w:val="0048318D"/>
    <w:rsid w:val="004B2328"/>
    <w:rsid w:val="004B71C2"/>
    <w:rsid w:val="004F0DCA"/>
    <w:rsid w:val="00505241"/>
    <w:rsid w:val="00517E4F"/>
    <w:rsid w:val="0053003F"/>
    <w:rsid w:val="00541121"/>
    <w:rsid w:val="00543117"/>
    <w:rsid w:val="005515A4"/>
    <w:rsid w:val="00583475"/>
    <w:rsid w:val="005A029A"/>
    <w:rsid w:val="005A4D52"/>
    <w:rsid w:val="005B0191"/>
    <w:rsid w:val="005D4DB6"/>
    <w:rsid w:val="005E3E12"/>
    <w:rsid w:val="005F39F2"/>
    <w:rsid w:val="006075D2"/>
    <w:rsid w:val="0061349D"/>
    <w:rsid w:val="006362CD"/>
    <w:rsid w:val="00640519"/>
    <w:rsid w:val="00650D3C"/>
    <w:rsid w:val="00656073"/>
    <w:rsid w:val="00681AF8"/>
    <w:rsid w:val="006821CD"/>
    <w:rsid w:val="00682290"/>
    <w:rsid w:val="006A5248"/>
    <w:rsid w:val="006B4D44"/>
    <w:rsid w:val="0072210B"/>
    <w:rsid w:val="007361BF"/>
    <w:rsid w:val="007940DF"/>
    <w:rsid w:val="007945CC"/>
    <w:rsid w:val="007C689C"/>
    <w:rsid w:val="007F1201"/>
    <w:rsid w:val="007F51BB"/>
    <w:rsid w:val="00835FBF"/>
    <w:rsid w:val="00870324"/>
    <w:rsid w:val="008D6C84"/>
    <w:rsid w:val="009547B4"/>
    <w:rsid w:val="009578C0"/>
    <w:rsid w:val="00964D9E"/>
    <w:rsid w:val="00A1162E"/>
    <w:rsid w:val="00A47876"/>
    <w:rsid w:val="00B07B00"/>
    <w:rsid w:val="00B231CC"/>
    <w:rsid w:val="00B63181"/>
    <w:rsid w:val="00B66673"/>
    <w:rsid w:val="00BB34E9"/>
    <w:rsid w:val="00BC6EFB"/>
    <w:rsid w:val="00BD11F4"/>
    <w:rsid w:val="00BF5FC3"/>
    <w:rsid w:val="00C0697D"/>
    <w:rsid w:val="00C57243"/>
    <w:rsid w:val="00C853B7"/>
    <w:rsid w:val="00CA1D72"/>
    <w:rsid w:val="00CD0738"/>
    <w:rsid w:val="00D9336D"/>
    <w:rsid w:val="00DA52E9"/>
    <w:rsid w:val="00DC1843"/>
    <w:rsid w:val="00E474DF"/>
    <w:rsid w:val="00E8444F"/>
    <w:rsid w:val="00EE513C"/>
    <w:rsid w:val="00EE55F0"/>
    <w:rsid w:val="00FD6E6A"/>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E0AF"/>
  <w15:chartTrackingRefBased/>
  <w15:docId w15:val="{6E9D03B6-F7E4-4184-9DDC-995527C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52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6A5248"/>
    <w:rPr>
      <w:rFonts w:ascii="Times New Roman" w:eastAsia="Times New Roman" w:hAnsi="Times New Roman" w:cs="Times New Roman"/>
      <w:sz w:val="24"/>
      <w:szCs w:val="24"/>
      <w:lang w:eastAsia="lv-LV"/>
    </w:rPr>
  </w:style>
  <w:style w:type="character" w:styleId="PageNumber">
    <w:name w:val="page number"/>
    <w:uiPriority w:val="99"/>
    <w:rsid w:val="006A5248"/>
    <w:rPr>
      <w:rFonts w:cs="Times New Roman"/>
    </w:rPr>
  </w:style>
  <w:style w:type="paragraph" w:styleId="Footer">
    <w:name w:val="footer"/>
    <w:basedOn w:val="Normal"/>
    <w:link w:val="FooterChar"/>
    <w:uiPriority w:val="99"/>
    <w:rsid w:val="006A524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6A5248"/>
    <w:rPr>
      <w:rFonts w:ascii="Times New Roman" w:eastAsia="Times New Roman" w:hAnsi="Times New Roman" w:cs="Times New Roman"/>
      <w:sz w:val="24"/>
      <w:szCs w:val="24"/>
      <w:lang w:eastAsia="lv-LV"/>
    </w:rPr>
  </w:style>
  <w:style w:type="paragraph" w:styleId="NormalWeb">
    <w:name w:val="Normal (Web)"/>
    <w:basedOn w:val="Normal"/>
    <w:uiPriority w:val="99"/>
    <w:rsid w:val="004B2328"/>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681AF8"/>
    <w:pPr>
      <w:spacing w:line="240" w:lineRule="auto"/>
    </w:pPr>
    <w:rPr>
      <w:sz w:val="20"/>
      <w:szCs w:val="20"/>
    </w:rPr>
  </w:style>
  <w:style w:type="character" w:customStyle="1" w:styleId="CommentTextChar">
    <w:name w:val="Comment Text Char"/>
    <w:basedOn w:val="DefaultParagraphFont"/>
    <w:link w:val="CommentText"/>
    <w:uiPriority w:val="99"/>
    <w:rsid w:val="00681AF8"/>
    <w:rPr>
      <w:sz w:val="20"/>
      <w:szCs w:val="20"/>
    </w:rPr>
  </w:style>
  <w:style w:type="paragraph" w:styleId="NoSpacing">
    <w:name w:val="No Spacing"/>
    <w:basedOn w:val="Normal"/>
    <w:uiPriority w:val="99"/>
    <w:qFormat/>
    <w:rsid w:val="006821CD"/>
    <w:pPr>
      <w:spacing w:after="0" w:line="240" w:lineRule="auto"/>
    </w:pPr>
    <w:rPr>
      <w:rFonts w:ascii="Calibri" w:hAnsi="Calibri" w:cs="Calibri"/>
    </w:rPr>
  </w:style>
  <w:style w:type="table" w:styleId="TableGrid">
    <w:name w:val="Table Grid"/>
    <w:basedOn w:val="TableNormal"/>
    <w:uiPriority w:val="39"/>
    <w:rsid w:val="0065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6029</Words>
  <Characters>3437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Biruta Kleina</cp:lastModifiedBy>
  <cp:revision>9</cp:revision>
  <dcterms:created xsi:type="dcterms:W3CDTF">2021-04-07T09:16:00Z</dcterms:created>
  <dcterms:modified xsi:type="dcterms:W3CDTF">2021-04-29T14:12:00Z</dcterms:modified>
</cp:coreProperties>
</file>