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392" w14:textId="77777777" w:rsidR="00DC58A9" w:rsidRDefault="00DC58A9" w:rsidP="00052DAC">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56DC9238" w14:textId="3B5D9B33" w:rsidR="00052DAC" w:rsidRPr="002158F0" w:rsidRDefault="00052DAC" w:rsidP="00F43101">
      <w:pPr>
        <w:jc w:val="center"/>
        <w:rPr>
          <w:rFonts w:ascii="Times New Roman" w:eastAsia="Times New Roman" w:hAnsi="Times New Roman" w:cs="Times New Roman"/>
          <w:b/>
          <w:bCs/>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r w:rsidR="00F51139">
        <w:rPr>
          <w:rFonts w:ascii="Times New Roman" w:hAnsi="Times New Roman" w:cs="Times New Roman"/>
          <w:b/>
          <w:sz w:val="28"/>
          <w:szCs w:val="28"/>
        </w:rPr>
        <w:t>“</w:t>
      </w:r>
      <w:r w:rsidR="00F51139" w:rsidRPr="00F51139">
        <w:rPr>
          <w:rFonts w:ascii="Times New Roman" w:eastAsia="Times New Roman" w:hAnsi="Times New Roman" w:cs="Times New Roman"/>
          <w:b/>
          <w:bCs/>
          <w:sz w:val="28"/>
          <w:szCs w:val="28"/>
          <w:lang w:eastAsia="lv-LV"/>
        </w:rPr>
        <w:t>Grozījum</w:t>
      </w:r>
      <w:r w:rsidR="0097171F">
        <w:rPr>
          <w:rFonts w:ascii="Times New Roman" w:eastAsia="Times New Roman" w:hAnsi="Times New Roman" w:cs="Times New Roman"/>
          <w:b/>
          <w:bCs/>
          <w:sz w:val="28"/>
          <w:szCs w:val="28"/>
          <w:lang w:eastAsia="lv-LV"/>
        </w:rPr>
        <w:t>s</w:t>
      </w:r>
      <w:r w:rsidR="00F51139" w:rsidRPr="00F51139">
        <w:rPr>
          <w:rFonts w:ascii="Times New Roman" w:eastAsia="Times New Roman" w:hAnsi="Times New Roman" w:cs="Times New Roman"/>
          <w:b/>
          <w:bCs/>
          <w:sz w:val="28"/>
          <w:szCs w:val="28"/>
          <w:lang w:eastAsia="lv-LV"/>
        </w:rPr>
        <w:t xml:space="preserve"> Ministru kabineta 2011. gada 28. jūnija noteikumos</w:t>
      </w:r>
      <w:r w:rsidR="00F51139">
        <w:rPr>
          <w:rFonts w:ascii="Times New Roman" w:eastAsia="Times New Roman" w:hAnsi="Times New Roman" w:cs="Times New Roman"/>
          <w:b/>
          <w:bCs/>
          <w:sz w:val="28"/>
          <w:szCs w:val="28"/>
          <w:lang w:eastAsia="lv-LV"/>
        </w:rPr>
        <w:t xml:space="preserve"> </w:t>
      </w:r>
      <w:r w:rsidR="00F51139" w:rsidRPr="00F51139">
        <w:rPr>
          <w:rFonts w:ascii="Times New Roman" w:eastAsia="Times New Roman" w:hAnsi="Times New Roman" w:cs="Times New Roman"/>
          <w:b/>
          <w:bCs/>
          <w:sz w:val="28"/>
          <w:szCs w:val="28"/>
          <w:lang w:eastAsia="lv-LV"/>
        </w:rPr>
        <w:t>Nr. 500 “</w:t>
      </w:r>
      <w:bookmarkStart w:id="3" w:name="_Hlk58500889"/>
      <w:r w:rsidR="00F51139" w:rsidRPr="00F51139">
        <w:rPr>
          <w:rFonts w:ascii="Times New Roman" w:eastAsia="Times New Roman" w:hAnsi="Times New Roman" w:cs="Times New Roman"/>
          <w:b/>
          <w:bCs/>
          <w:sz w:val="28"/>
          <w:szCs w:val="28"/>
          <w:lang w:eastAsia="lv-LV"/>
        </w:rPr>
        <w:t>Noteikumi par transportējamām spiedieniekārtām</w:t>
      </w:r>
      <w:bookmarkEnd w:id="3"/>
      <w:r w:rsidR="00F51139" w:rsidRPr="00F51139">
        <w:rPr>
          <w:rFonts w:ascii="Times New Roman" w:eastAsia="Times New Roman" w:hAnsi="Times New Roman" w:cs="Times New Roman"/>
          <w:b/>
          <w:bCs/>
          <w:sz w:val="28"/>
          <w:szCs w:val="28"/>
          <w:lang w:eastAsia="lv-LV"/>
        </w:rPr>
        <w:t>”</w:t>
      </w:r>
      <w:r w:rsidR="00BE7936">
        <w:rPr>
          <w:rFonts w:ascii="Times New Roman" w:eastAsia="Times New Roman" w:hAnsi="Times New Roman" w:cs="Times New Roman"/>
          <w:b/>
          <w:bCs/>
          <w:sz w:val="28"/>
          <w:szCs w:val="28"/>
          <w:lang w:eastAsia="lv-LV"/>
        </w:rPr>
        <w:t xml:space="preserve"> un</w:t>
      </w:r>
      <w:r w:rsidR="00F51139">
        <w:rPr>
          <w:rFonts w:ascii="Times New Roman" w:eastAsia="Times New Roman" w:hAnsi="Times New Roman" w:cs="Times New Roman"/>
          <w:b/>
          <w:bCs/>
          <w:sz w:val="28"/>
          <w:szCs w:val="28"/>
          <w:lang w:eastAsia="lv-LV"/>
        </w:rPr>
        <w:t xml:space="preserve"> </w:t>
      </w:r>
      <w:r w:rsidR="0097171F">
        <w:rPr>
          <w:rFonts w:ascii="Times New Roman" w:eastAsia="Times New Roman" w:hAnsi="Times New Roman" w:cs="Times New Roman"/>
          <w:b/>
          <w:bCs/>
          <w:sz w:val="28"/>
          <w:szCs w:val="28"/>
          <w:lang w:eastAsia="lv-LV"/>
        </w:rPr>
        <w:t>“</w:t>
      </w:r>
      <w:r w:rsidR="00BE7936" w:rsidRPr="00BE7936">
        <w:rPr>
          <w:rFonts w:ascii="Times New Roman" w:eastAsia="Times New Roman" w:hAnsi="Times New Roman" w:cs="Times New Roman"/>
          <w:b/>
          <w:bCs/>
          <w:sz w:val="28"/>
          <w:szCs w:val="28"/>
          <w:lang w:eastAsia="lv-LV"/>
        </w:rPr>
        <w:t>Grozījum</w:t>
      </w:r>
      <w:r w:rsidR="0097171F">
        <w:rPr>
          <w:rFonts w:ascii="Times New Roman" w:eastAsia="Times New Roman" w:hAnsi="Times New Roman" w:cs="Times New Roman"/>
          <w:b/>
          <w:bCs/>
          <w:sz w:val="28"/>
          <w:szCs w:val="28"/>
          <w:lang w:eastAsia="lv-LV"/>
        </w:rPr>
        <w:t>s</w:t>
      </w:r>
      <w:r w:rsidR="00BE7936" w:rsidRPr="00BE7936">
        <w:rPr>
          <w:rFonts w:ascii="Times New Roman" w:eastAsia="Times New Roman" w:hAnsi="Times New Roman" w:cs="Times New Roman"/>
          <w:b/>
          <w:bCs/>
          <w:sz w:val="28"/>
          <w:szCs w:val="28"/>
          <w:lang w:eastAsia="lv-LV"/>
        </w:rPr>
        <w:t xml:space="preserve"> Ministru kabineta 2003. gada 16. septembra noteikumos Nr. 518 “Spiedieniekārtu kompleksu tehniskās uzraudzības kārtība”” </w:t>
      </w:r>
      <w:r>
        <w:rPr>
          <w:rFonts w:ascii="Times New Roman" w:eastAsia="Times New Roman" w:hAnsi="Times New Roman" w:cs="Times New Roman"/>
          <w:b/>
          <w:sz w:val="28"/>
          <w:szCs w:val="28"/>
          <w:lang w:eastAsia="lv-LV"/>
        </w:rPr>
        <w:t>sākotnējās ietekmes novērtējuma ziņojums (anotācija)</w:t>
      </w:r>
    </w:p>
    <w:p w14:paraId="66E24170" w14:textId="77777777" w:rsidR="00052DAC" w:rsidRDefault="00052DAC" w:rsidP="00052DA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052DAC" w14:paraId="2E19B29E" w14:textId="77777777" w:rsidTr="001B326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0F55063" w14:textId="77777777" w:rsidR="00052DAC" w:rsidRDefault="00052DAC" w:rsidP="00F3506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52DAC" w14:paraId="54D9C6F0" w14:textId="77777777" w:rsidTr="001B3262">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2AE62A45"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66B7B2CD" w14:textId="7CCC3ED8" w:rsidR="00D01A62" w:rsidRDefault="003706BA" w:rsidP="00D50CB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w:t>
            </w:r>
            <w:r w:rsidR="00411E18">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projekts</w:t>
            </w:r>
            <w:bookmarkStart w:id="4" w:name="_GoBack"/>
            <w:bookmarkEnd w:id="4"/>
            <w:r>
              <w:rPr>
                <w:rFonts w:ascii="Times New Roman" w:hAnsi="Times New Roman" w:cs="Times New Roman"/>
                <w:sz w:val="24"/>
                <w:szCs w:val="24"/>
                <w:shd w:val="clear" w:color="auto" w:fill="FFFFFF"/>
              </w:rPr>
              <w:t xml:space="preserve"> izstrādāts ar mērķi, lai pilnveidotu normatīvo regulējumu  </w:t>
            </w:r>
            <w:r>
              <w:rPr>
                <w:rFonts w:ascii="Times New Roman" w:hAnsi="Times New Roman" w:cs="Times New Roman"/>
                <w:sz w:val="24"/>
                <w:szCs w:val="24"/>
                <w:shd w:val="clear" w:color="auto" w:fill="FFFFFF"/>
              </w:rPr>
              <w:t>spiedieniekārtām un to kompleksiem (klasifikācija atbilst III vai IV kategorijai), kas atrodas privātpersonu valdījumā</w:t>
            </w:r>
            <w:r w:rsidR="00411E18">
              <w:rPr>
                <w:rFonts w:ascii="Times New Roman" w:hAnsi="Times New Roman" w:cs="Times New Roman"/>
                <w:sz w:val="24"/>
                <w:szCs w:val="24"/>
                <w:shd w:val="clear" w:color="auto" w:fill="FFFFFF"/>
              </w:rPr>
              <w:t>, tādejādi nodrošinot privātpersonu valdījumā esošajiem spiedieniekārtu kompleksiem tehnisk</w:t>
            </w:r>
            <w:r w:rsidR="00B84D44">
              <w:rPr>
                <w:rFonts w:ascii="Times New Roman" w:hAnsi="Times New Roman" w:cs="Times New Roman"/>
                <w:sz w:val="24"/>
                <w:szCs w:val="24"/>
                <w:shd w:val="clear" w:color="auto" w:fill="FFFFFF"/>
              </w:rPr>
              <w:t>o</w:t>
            </w:r>
            <w:r w:rsidR="00411E18">
              <w:rPr>
                <w:rFonts w:ascii="Times New Roman" w:hAnsi="Times New Roman" w:cs="Times New Roman"/>
                <w:sz w:val="24"/>
                <w:szCs w:val="24"/>
                <w:shd w:val="clear" w:color="auto" w:fill="FFFFFF"/>
              </w:rPr>
              <w:t xml:space="preserve"> pārbau</w:t>
            </w:r>
            <w:r w:rsidR="00B84D44">
              <w:rPr>
                <w:rFonts w:ascii="Times New Roman" w:hAnsi="Times New Roman" w:cs="Times New Roman"/>
                <w:sz w:val="24"/>
                <w:szCs w:val="24"/>
                <w:shd w:val="clear" w:color="auto" w:fill="FFFFFF"/>
              </w:rPr>
              <w:t>žu</w:t>
            </w:r>
            <w:r w:rsidR="00411E18">
              <w:rPr>
                <w:rFonts w:ascii="Times New Roman" w:hAnsi="Times New Roman" w:cs="Times New Roman"/>
                <w:sz w:val="24"/>
                <w:szCs w:val="24"/>
                <w:shd w:val="clear" w:color="auto" w:fill="FFFFFF"/>
              </w:rPr>
              <w:t xml:space="preserve"> veikšanu noteiktajos termiņos un apjomā, neapdraudot </w:t>
            </w:r>
            <w:r>
              <w:rPr>
                <w:rFonts w:ascii="Times New Roman" w:hAnsi="Times New Roman" w:cs="Times New Roman"/>
                <w:sz w:val="24"/>
                <w:szCs w:val="24"/>
                <w:shd w:val="clear" w:color="auto" w:fill="FFFFFF"/>
              </w:rPr>
              <w:t xml:space="preserve"> </w:t>
            </w:r>
            <w:r w:rsidR="00411E18">
              <w:rPr>
                <w:rFonts w:ascii="Times New Roman" w:hAnsi="Times New Roman" w:cs="Times New Roman"/>
                <w:sz w:val="24"/>
                <w:szCs w:val="24"/>
                <w:shd w:val="clear" w:color="auto" w:fill="FFFFFF"/>
              </w:rPr>
              <w:t xml:space="preserve">cilvēku dzīvību un veselību. </w:t>
            </w:r>
          </w:p>
          <w:p w14:paraId="5AF06EDC" w14:textId="3B973FB3" w:rsidR="003706BA" w:rsidRDefault="003706BA" w:rsidP="003706BA">
            <w:pPr>
              <w:spacing w:after="0" w:line="240" w:lineRule="auto"/>
              <w:jc w:val="both"/>
              <w:rPr>
                <w:rFonts w:ascii="Times New Roman" w:hAnsi="Times New Roman" w:cs="Times New Roman"/>
                <w:sz w:val="24"/>
                <w:szCs w:val="24"/>
                <w:shd w:val="clear" w:color="auto" w:fill="FFFFFF"/>
              </w:rPr>
            </w:pPr>
            <w:r w:rsidRPr="00965ECB">
              <w:rPr>
                <w:rFonts w:ascii="Times New Roman" w:hAnsi="Times New Roman" w:cs="Times New Roman"/>
                <w:sz w:val="24"/>
                <w:szCs w:val="24"/>
                <w:shd w:val="clear" w:color="auto" w:fill="FFFFFF"/>
              </w:rPr>
              <w:t xml:space="preserve">Noteikumu projekts stājas spēkā </w:t>
            </w:r>
            <w:r w:rsidR="00411E18">
              <w:rPr>
                <w:rFonts w:ascii="Times New Roman" w:hAnsi="Times New Roman" w:cs="Times New Roman"/>
                <w:sz w:val="24"/>
                <w:szCs w:val="24"/>
                <w:shd w:val="clear" w:color="auto" w:fill="FFFFFF"/>
              </w:rPr>
              <w:t xml:space="preserve">2021.gada 1.novembrī. </w:t>
            </w:r>
          </w:p>
        </w:tc>
      </w:tr>
    </w:tbl>
    <w:p w14:paraId="41B1B6E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052DAC" w14:paraId="47F0082E" w14:textId="77777777" w:rsidTr="001B326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C3CF2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bookmarkStart w:id="5" w:name="_Hlk38539324"/>
            <w:r>
              <w:rPr>
                <w:rFonts w:ascii="Times New Roman" w:eastAsia="Times New Roman" w:hAnsi="Times New Roman" w:cs="Times New Roman"/>
                <w:b/>
                <w:bCs/>
                <w:iCs/>
                <w:sz w:val="24"/>
                <w:szCs w:val="24"/>
                <w:lang w:eastAsia="lv-LV"/>
              </w:rPr>
              <w:t>I. Tiesību akta projekta izstrādes nepieciešamība</w:t>
            </w:r>
          </w:p>
        </w:tc>
      </w:tr>
      <w:tr w:rsidR="00052DAC" w14:paraId="67464F3F"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E7698D6"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06D2389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49D0B897" w14:textId="0CF8DB0C" w:rsidR="00052DAC" w:rsidRDefault="00437D17" w:rsidP="00DC58A9">
            <w:pPr>
              <w:spacing w:after="0" w:line="240" w:lineRule="auto"/>
              <w:jc w:val="both"/>
              <w:rPr>
                <w:rFonts w:ascii="Times New Roman" w:hAnsi="Times New Roman" w:cs="Times New Roman"/>
                <w:sz w:val="24"/>
                <w:szCs w:val="24"/>
              </w:rPr>
            </w:pPr>
            <w:r w:rsidRPr="00437D17">
              <w:rPr>
                <w:rFonts w:ascii="Times New Roman" w:hAnsi="Times New Roman" w:cs="Times New Roman"/>
                <w:sz w:val="24"/>
                <w:szCs w:val="24"/>
              </w:rPr>
              <w:t>Noteikumu projekts izstrādāts pēc Ekonomikas ministrijas iniciatīvas.</w:t>
            </w:r>
          </w:p>
        </w:tc>
      </w:tr>
      <w:tr w:rsidR="00052DAC" w14:paraId="23A82005"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B0E4A"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B115A4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33D6E4" w14:textId="77777777" w:rsidR="009521FE" w:rsidRPr="009521FE" w:rsidRDefault="009521FE" w:rsidP="009521FE">
            <w:pPr>
              <w:rPr>
                <w:rFonts w:ascii="Times New Roman" w:eastAsia="Times New Roman" w:hAnsi="Times New Roman" w:cs="Times New Roman"/>
                <w:sz w:val="24"/>
                <w:szCs w:val="24"/>
                <w:lang w:eastAsia="lv-LV"/>
              </w:rPr>
            </w:pPr>
          </w:p>
          <w:p w14:paraId="5E0B05B7" w14:textId="77777777" w:rsidR="009521FE" w:rsidRPr="009521FE" w:rsidRDefault="009521FE" w:rsidP="009521FE">
            <w:pPr>
              <w:rPr>
                <w:rFonts w:ascii="Times New Roman" w:eastAsia="Times New Roman" w:hAnsi="Times New Roman" w:cs="Times New Roman"/>
                <w:sz w:val="24"/>
                <w:szCs w:val="24"/>
                <w:lang w:eastAsia="lv-LV"/>
              </w:rPr>
            </w:pPr>
          </w:p>
          <w:p w14:paraId="27203A58" w14:textId="77777777" w:rsidR="009521FE" w:rsidRPr="009521FE" w:rsidRDefault="009521FE" w:rsidP="009521FE">
            <w:pPr>
              <w:rPr>
                <w:rFonts w:ascii="Times New Roman" w:eastAsia="Times New Roman" w:hAnsi="Times New Roman" w:cs="Times New Roman"/>
                <w:sz w:val="24"/>
                <w:szCs w:val="24"/>
                <w:lang w:eastAsia="lv-LV"/>
              </w:rPr>
            </w:pPr>
          </w:p>
          <w:p w14:paraId="158D5A1F" w14:textId="77777777" w:rsidR="009521FE" w:rsidRPr="009521FE" w:rsidRDefault="009521FE" w:rsidP="009521FE">
            <w:pPr>
              <w:rPr>
                <w:rFonts w:ascii="Times New Roman" w:eastAsia="Times New Roman" w:hAnsi="Times New Roman" w:cs="Times New Roman"/>
                <w:sz w:val="24"/>
                <w:szCs w:val="24"/>
                <w:lang w:eastAsia="lv-LV"/>
              </w:rPr>
            </w:pPr>
          </w:p>
          <w:p w14:paraId="732CECB9" w14:textId="77777777" w:rsidR="009521FE" w:rsidRPr="009521FE" w:rsidRDefault="009521FE" w:rsidP="009521FE">
            <w:pPr>
              <w:rPr>
                <w:rFonts w:ascii="Times New Roman" w:eastAsia="Times New Roman" w:hAnsi="Times New Roman" w:cs="Times New Roman"/>
                <w:sz w:val="24"/>
                <w:szCs w:val="24"/>
                <w:lang w:eastAsia="lv-LV"/>
              </w:rPr>
            </w:pPr>
          </w:p>
          <w:p w14:paraId="2F412184" w14:textId="77777777" w:rsidR="009521FE" w:rsidRPr="009521FE" w:rsidRDefault="009521FE" w:rsidP="009521FE">
            <w:pPr>
              <w:rPr>
                <w:rFonts w:ascii="Times New Roman" w:eastAsia="Times New Roman" w:hAnsi="Times New Roman" w:cs="Times New Roman"/>
                <w:sz w:val="24"/>
                <w:szCs w:val="24"/>
                <w:lang w:eastAsia="lv-LV"/>
              </w:rPr>
            </w:pPr>
          </w:p>
          <w:p w14:paraId="1A57DB59" w14:textId="77777777" w:rsidR="009521FE" w:rsidRPr="009521FE" w:rsidRDefault="009521FE" w:rsidP="009521FE">
            <w:pPr>
              <w:rPr>
                <w:rFonts w:ascii="Times New Roman" w:eastAsia="Times New Roman" w:hAnsi="Times New Roman" w:cs="Times New Roman"/>
                <w:sz w:val="24"/>
                <w:szCs w:val="24"/>
                <w:lang w:eastAsia="lv-LV"/>
              </w:rPr>
            </w:pPr>
          </w:p>
          <w:p w14:paraId="40D7D7ED" w14:textId="77777777" w:rsidR="009521FE" w:rsidRPr="009521FE" w:rsidRDefault="009521FE" w:rsidP="009521FE">
            <w:pPr>
              <w:rPr>
                <w:rFonts w:ascii="Times New Roman" w:eastAsia="Times New Roman" w:hAnsi="Times New Roman" w:cs="Times New Roman"/>
                <w:sz w:val="24"/>
                <w:szCs w:val="24"/>
                <w:lang w:eastAsia="lv-LV"/>
              </w:rPr>
            </w:pPr>
          </w:p>
          <w:p w14:paraId="52EF0173" w14:textId="77777777" w:rsidR="009521FE" w:rsidRPr="009521FE" w:rsidRDefault="009521FE" w:rsidP="009521FE">
            <w:pPr>
              <w:rPr>
                <w:rFonts w:ascii="Times New Roman" w:eastAsia="Times New Roman" w:hAnsi="Times New Roman" w:cs="Times New Roman"/>
                <w:sz w:val="24"/>
                <w:szCs w:val="24"/>
                <w:lang w:eastAsia="lv-LV"/>
              </w:rPr>
            </w:pPr>
          </w:p>
          <w:p w14:paraId="3CEB2531" w14:textId="77777777" w:rsidR="009521FE" w:rsidRPr="009521FE" w:rsidRDefault="009521FE" w:rsidP="009521FE">
            <w:pPr>
              <w:rPr>
                <w:rFonts w:ascii="Times New Roman" w:eastAsia="Times New Roman" w:hAnsi="Times New Roman" w:cs="Times New Roman"/>
                <w:sz w:val="24"/>
                <w:szCs w:val="24"/>
                <w:lang w:eastAsia="lv-LV"/>
              </w:rPr>
            </w:pPr>
          </w:p>
          <w:p w14:paraId="79594EC4" w14:textId="77777777" w:rsidR="009521FE" w:rsidRPr="009521FE" w:rsidRDefault="009521FE" w:rsidP="009521FE">
            <w:pPr>
              <w:rPr>
                <w:rFonts w:ascii="Times New Roman" w:eastAsia="Times New Roman" w:hAnsi="Times New Roman" w:cs="Times New Roman"/>
                <w:sz w:val="24"/>
                <w:szCs w:val="24"/>
                <w:lang w:eastAsia="lv-LV"/>
              </w:rPr>
            </w:pPr>
          </w:p>
          <w:p w14:paraId="2A9CF08C" w14:textId="77777777" w:rsidR="009521FE" w:rsidRPr="009521FE" w:rsidRDefault="009521FE" w:rsidP="009521FE">
            <w:pPr>
              <w:rPr>
                <w:rFonts w:ascii="Times New Roman" w:eastAsia="Times New Roman" w:hAnsi="Times New Roman" w:cs="Times New Roman"/>
                <w:sz w:val="24"/>
                <w:szCs w:val="24"/>
                <w:lang w:eastAsia="lv-LV"/>
              </w:rPr>
            </w:pPr>
          </w:p>
          <w:p w14:paraId="5D5AE3D2" w14:textId="77777777" w:rsidR="009521FE" w:rsidRPr="009521FE" w:rsidRDefault="009521FE" w:rsidP="009521FE">
            <w:pPr>
              <w:rPr>
                <w:rFonts w:ascii="Times New Roman" w:eastAsia="Times New Roman" w:hAnsi="Times New Roman" w:cs="Times New Roman"/>
                <w:sz w:val="24"/>
                <w:szCs w:val="24"/>
                <w:lang w:eastAsia="lv-LV"/>
              </w:rPr>
            </w:pPr>
          </w:p>
          <w:p w14:paraId="529839A8" w14:textId="77777777" w:rsidR="009521FE" w:rsidRPr="009521FE" w:rsidRDefault="009521FE" w:rsidP="009521FE">
            <w:pPr>
              <w:rPr>
                <w:rFonts w:ascii="Times New Roman" w:eastAsia="Times New Roman" w:hAnsi="Times New Roman" w:cs="Times New Roman"/>
                <w:sz w:val="24"/>
                <w:szCs w:val="24"/>
                <w:lang w:eastAsia="lv-LV"/>
              </w:rPr>
            </w:pPr>
          </w:p>
          <w:p w14:paraId="62845FC4" w14:textId="77777777" w:rsidR="009521FE" w:rsidRPr="009521FE" w:rsidRDefault="009521FE" w:rsidP="009521FE">
            <w:pPr>
              <w:rPr>
                <w:rFonts w:ascii="Times New Roman" w:eastAsia="Times New Roman" w:hAnsi="Times New Roman" w:cs="Times New Roman"/>
                <w:sz w:val="24"/>
                <w:szCs w:val="24"/>
                <w:lang w:eastAsia="lv-LV"/>
              </w:rPr>
            </w:pPr>
          </w:p>
          <w:p w14:paraId="3739B223" w14:textId="77777777" w:rsidR="009521FE" w:rsidRPr="009521FE" w:rsidRDefault="009521FE" w:rsidP="009521FE">
            <w:pPr>
              <w:jc w:val="center"/>
              <w:rPr>
                <w:rFonts w:ascii="Times New Roman" w:eastAsia="Times New Roman" w:hAnsi="Times New Roman" w:cs="Times New Roman"/>
                <w:sz w:val="24"/>
                <w:szCs w:val="24"/>
                <w:lang w:eastAsia="lv-LV"/>
              </w:rPr>
            </w:pPr>
          </w:p>
          <w:p w14:paraId="333FDDAA" w14:textId="0B5AD8BE" w:rsidR="009521FE" w:rsidRPr="009521FE" w:rsidRDefault="009521FE" w:rsidP="009521FE">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21A8868A" w14:textId="6169F378"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lastRenderedPageBreak/>
              <w:t>Ministru kabineta 2011. gada 28. jūnija noteikumi Nr. 500 “Noteikumi par transportējamām spiedieniekārtām”</w:t>
            </w:r>
            <w:r w:rsidR="00BE7936">
              <w:rPr>
                <w:rFonts w:ascii="Times New Roman" w:hAnsi="Times New Roman"/>
                <w:sz w:val="24"/>
                <w:szCs w:val="24"/>
              </w:rPr>
              <w:t xml:space="preserve"> (turpmāk – Noteikumi Nr. 500)</w:t>
            </w:r>
            <w:r w:rsidRPr="00D50CBD">
              <w:rPr>
                <w:rFonts w:ascii="Times New Roman" w:hAnsi="Times New Roman"/>
                <w:sz w:val="24"/>
                <w:szCs w:val="24"/>
              </w:rPr>
              <w:t xml:space="preserve"> nosaka</w:t>
            </w:r>
            <w:r w:rsidR="00BE7936">
              <w:rPr>
                <w:rFonts w:ascii="Times New Roman" w:hAnsi="Times New Roman"/>
                <w:sz w:val="24"/>
                <w:szCs w:val="24"/>
              </w:rPr>
              <w:t xml:space="preserve"> </w:t>
            </w:r>
            <w:r w:rsidRPr="00D50CBD">
              <w:rPr>
                <w:rFonts w:ascii="Times New Roman" w:hAnsi="Times New Roman"/>
                <w:sz w:val="24"/>
                <w:szCs w:val="24"/>
              </w:rPr>
              <w:t xml:space="preserve">transportējamo spiedieniekārtu (tajā skaitā cisternas) atbilstības novērtēšanas, atkārtotas atbilstības novērtēšanas, tirgus uzraudzības un tehniskās uzraudzības kārtību, lai apritē esošās transportējamās spiedieniekārtas neradītu draudus cilvēku dzīvībai, veselībai, īpašumam un videi, kā arī prasības, kas jāievēro, organizējot un veicot darbus ar attiecīgajām transportējamām spiedieniekārtām. </w:t>
            </w:r>
          </w:p>
          <w:p w14:paraId="0CE9E474" w14:textId="77777777" w:rsidR="00BE7936"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Spiedieniekārtu kompleksiem prasības noteiktas Ministru kabineta 2003. gada 16. septembra noteikumos Nr. 518 „Spiedieniekārtu kompleksu tehniskās uzraudzības kārtība” (turpmāk – Noteikumi Nr. 518), kas nosaka, kas jāievēro, organizējot un veicot darbus ar spiedieniekārtu kompleksiem, kā arī nosaka spiedieniekārtu kompleksa tehniskās uzraudzības kārtību. </w:t>
            </w:r>
          </w:p>
          <w:p w14:paraId="59C63CF5" w14:textId="737D8EA6" w:rsidR="00BE7936" w:rsidRDefault="00BE7936" w:rsidP="00D50CBD">
            <w:pPr>
              <w:autoSpaceDE w:val="0"/>
              <w:autoSpaceDN w:val="0"/>
              <w:adjustRightInd w:val="0"/>
              <w:spacing w:after="0" w:line="240" w:lineRule="auto"/>
              <w:jc w:val="both"/>
              <w:rPr>
                <w:rFonts w:ascii="Times New Roman" w:hAnsi="Times New Roman"/>
                <w:sz w:val="24"/>
                <w:szCs w:val="24"/>
              </w:rPr>
            </w:pPr>
            <w:r w:rsidRPr="00BE7936">
              <w:rPr>
                <w:rFonts w:ascii="Times New Roman" w:hAnsi="Times New Roman"/>
                <w:sz w:val="24"/>
                <w:szCs w:val="24"/>
              </w:rPr>
              <w:t>Attiecībā uz spiedieniekārtu kompleksu tehniskajām pārbaudēm Noteikumu Nr. 518 prasības paredz, ka spiedieniekārtu kompleksa valdītājam visā spiedieniekārtu kompleksa lietošanas laikā</w:t>
            </w:r>
            <w:r w:rsidR="00617A39">
              <w:rPr>
                <w:rFonts w:ascii="Times New Roman" w:hAnsi="Times New Roman"/>
                <w:sz w:val="24"/>
                <w:szCs w:val="24"/>
              </w:rPr>
              <w:t xml:space="preserve"> </w:t>
            </w:r>
            <w:r w:rsidRPr="00BE7936">
              <w:rPr>
                <w:rFonts w:ascii="Times New Roman" w:hAnsi="Times New Roman"/>
                <w:sz w:val="24"/>
                <w:szCs w:val="24"/>
              </w:rPr>
              <w:t xml:space="preserve">jāveic kārtējās tehniskās pārbaudes, proti, ārējo tehnisko pārbaudi, iekšējo tehnisko pārbaudi </w:t>
            </w:r>
            <w:r w:rsidR="00A26C97">
              <w:rPr>
                <w:rFonts w:ascii="Times New Roman" w:hAnsi="Times New Roman"/>
                <w:sz w:val="24"/>
                <w:szCs w:val="24"/>
              </w:rPr>
              <w:t>un</w:t>
            </w:r>
            <w:r w:rsidRPr="00BE7936">
              <w:rPr>
                <w:rFonts w:ascii="Times New Roman" w:hAnsi="Times New Roman"/>
                <w:sz w:val="24"/>
                <w:szCs w:val="24"/>
              </w:rPr>
              <w:t xml:space="preserve"> hidraulisko pārbaudi. Spiedieniekārtu kompleksu tehniskās pārbaudes veic nacionālajā akreditācijas institūcijā akreditētas inspicēšanas institūcijas vai citā Eiropas Savienības dalībvalstī akreditēta inspicēšanas institūcija.</w:t>
            </w:r>
          </w:p>
          <w:p w14:paraId="192ECB3F" w14:textId="7D7BA798" w:rsidR="00AB01CA" w:rsidRPr="00833BE1" w:rsidRDefault="00821E3B" w:rsidP="00D50CBD">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Pamatojoties uz </w:t>
            </w:r>
            <w:r w:rsidR="00AB01CA" w:rsidRPr="00833BE1">
              <w:rPr>
                <w:rFonts w:ascii="Times New Roman" w:hAnsi="Times New Roman"/>
                <w:sz w:val="24"/>
                <w:szCs w:val="24"/>
              </w:rPr>
              <w:t>Ministru kabineta 2006.gada 1.augusta noteikum</w:t>
            </w:r>
            <w:r w:rsidRPr="00833BE1">
              <w:rPr>
                <w:rFonts w:ascii="Times New Roman" w:hAnsi="Times New Roman"/>
                <w:sz w:val="24"/>
                <w:szCs w:val="24"/>
              </w:rPr>
              <w:t>iem</w:t>
            </w:r>
            <w:r w:rsidR="00AB01CA" w:rsidRPr="00833BE1">
              <w:rPr>
                <w:rFonts w:ascii="Times New Roman" w:hAnsi="Times New Roman"/>
                <w:sz w:val="24"/>
                <w:szCs w:val="24"/>
              </w:rPr>
              <w:t xml:space="preserve"> Nr.632 “Patērētāju tiesību aizsardzības centra </w:t>
            </w:r>
            <w:r w:rsidR="00AB01CA" w:rsidRPr="00833BE1">
              <w:rPr>
                <w:rFonts w:ascii="Times New Roman" w:hAnsi="Times New Roman"/>
                <w:sz w:val="24"/>
                <w:szCs w:val="24"/>
              </w:rPr>
              <w:lastRenderedPageBreak/>
              <w:t>nolikums” Patērētāju tiesību aizsardzības centrs (turpmāk -  PTAC)</w:t>
            </w:r>
            <w:r w:rsidR="00AB01CA" w:rsidRPr="00833BE1">
              <w:t xml:space="preserve"> </w:t>
            </w:r>
            <w:r w:rsidR="00AB01CA" w:rsidRPr="00833BE1">
              <w:rPr>
                <w:rFonts w:ascii="Times New Roman" w:hAnsi="Times New Roman"/>
                <w:sz w:val="24"/>
                <w:szCs w:val="24"/>
              </w:rPr>
              <w:t xml:space="preserve">bez speciālas atļaujas </w:t>
            </w:r>
            <w:r w:rsidR="00AB01CA" w:rsidRPr="00833BE1">
              <w:rPr>
                <w:rFonts w:ascii="Times New Roman" w:hAnsi="Times New Roman" w:cs="Times New Roman"/>
                <w:sz w:val="24"/>
                <w:szCs w:val="24"/>
              </w:rPr>
              <w:t>drīkst</w:t>
            </w:r>
            <w:r w:rsidR="00AB01CA" w:rsidRPr="00833BE1">
              <w:t xml:space="preserve"> </w:t>
            </w:r>
            <w:r w:rsidR="00AB01CA" w:rsidRPr="00833BE1">
              <w:rPr>
                <w:rFonts w:ascii="Times New Roman" w:hAnsi="Times New Roman"/>
                <w:sz w:val="24"/>
                <w:szCs w:val="24"/>
              </w:rPr>
              <w:t>apmeklēt jebkuras ēkas, telpas, teritorijas un citas vietas, kurās lieto kontrolei un uzraudzībai pakļautās bīstamās iekārtas, līdz ar to PTAC ir tiesīgs ierasties jebkurā mājsaimniecībā, kur lietošanā atrodas spiedieniekārtu komplekss un pārbaudīt, vai spiedieniekārtu kompleksam ir veikta kārtējā tehniskā pārbaude</w:t>
            </w:r>
            <w:r w:rsidR="00975B93" w:rsidRPr="00833BE1">
              <w:rPr>
                <w:rFonts w:ascii="Times New Roman" w:hAnsi="Times New Roman"/>
                <w:sz w:val="24"/>
                <w:szCs w:val="24"/>
              </w:rPr>
              <w:t>.</w:t>
            </w:r>
          </w:p>
          <w:p w14:paraId="40399F31" w14:textId="29C8C8FA"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Transportējamās spiedieniekārtas - cisternas lieto sašķidrinātās naftas gāzes</w:t>
            </w:r>
            <w:r w:rsidR="00A26C97">
              <w:rPr>
                <w:rFonts w:ascii="Times New Roman" w:hAnsi="Times New Roman"/>
                <w:sz w:val="24"/>
                <w:szCs w:val="24"/>
              </w:rPr>
              <w:t>, dabas gāzes</w:t>
            </w:r>
            <w:r w:rsidRPr="00D50CBD">
              <w:rPr>
                <w:rFonts w:ascii="Times New Roman" w:hAnsi="Times New Roman"/>
                <w:sz w:val="24"/>
                <w:szCs w:val="24"/>
              </w:rPr>
              <w:t xml:space="preserve"> pārvadāšanai līdz mājsaimniecībām (privātmājām), kur tiek veikta spiedieniekārtu kompleksa </w:t>
            </w:r>
            <w:proofErr w:type="spellStart"/>
            <w:r w:rsidRPr="00D50CBD">
              <w:rPr>
                <w:rFonts w:ascii="Times New Roman" w:hAnsi="Times New Roman"/>
                <w:sz w:val="24"/>
                <w:szCs w:val="24"/>
              </w:rPr>
              <w:t>uzpilde</w:t>
            </w:r>
            <w:proofErr w:type="spellEnd"/>
            <w:r w:rsidRPr="00D50CBD">
              <w:rPr>
                <w:rFonts w:ascii="Times New Roman" w:hAnsi="Times New Roman"/>
                <w:sz w:val="24"/>
                <w:szCs w:val="24"/>
              </w:rPr>
              <w:t xml:space="preserve"> ar gāzveida kurināmo (sašķidrināto naftas gāzi</w:t>
            </w:r>
            <w:r w:rsidR="00A26C97">
              <w:rPr>
                <w:rFonts w:ascii="Times New Roman" w:hAnsi="Times New Roman"/>
                <w:sz w:val="24"/>
                <w:szCs w:val="24"/>
              </w:rPr>
              <w:t>, dabas gāzi</w:t>
            </w:r>
            <w:r w:rsidRPr="00D50CBD">
              <w:rPr>
                <w:rFonts w:ascii="Times New Roman" w:hAnsi="Times New Roman"/>
                <w:sz w:val="24"/>
                <w:szCs w:val="24"/>
              </w:rPr>
              <w:t>)</w:t>
            </w:r>
            <w:r w:rsidR="00617A39">
              <w:rPr>
                <w:rFonts w:ascii="Times New Roman" w:hAnsi="Times New Roman"/>
                <w:sz w:val="24"/>
                <w:szCs w:val="24"/>
              </w:rPr>
              <w:t>, kas tiek lietota mājsaimniecīb</w:t>
            </w:r>
            <w:r w:rsidR="00A2645E">
              <w:rPr>
                <w:rFonts w:ascii="Times New Roman" w:hAnsi="Times New Roman"/>
                <w:sz w:val="24"/>
                <w:szCs w:val="24"/>
              </w:rPr>
              <w:t>u</w:t>
            </w:r>
            <w:r w:rsidR="00617A39">
              <w:rPr>
                <w:rFonts w:ascii="Times New Roman" w:hAnsi="Times New Roman"/>
                <w:sz w:val="24"/>
                <w:szCs w:val="24"/>
              </w:rPr>
              <w:t xml:space="preserve"> apkurei. </w:t>
            </w:r>
            <w:r w:rsidR="003D6B6E" w:rsidRPr="003D6B6E">
              <w:rPr>
                <w:rFonts w:ascii="Times New Roman" w:hAnsi="Times New Roman"/>
                <w:sz w:val="24"/>
                <w:szCs w:val="24"/>
              </w:rPr>
              <w:t>Šo spiedieniekārtu kompleksu uzpildi veic lielākie uzpildītāji,</w:t>
            </w:r>
            <w:r w:rsidR="00AB01CA">
              <w:rPr>
                <w:rFonts w:ascii="Times New Roman" w:hAnsi="Times New Roman"/>
                <w:sz w:val="24"/>
                <w:szCs w:val="24"/>
              </w:rPr>
              <w:t xml:space="preserve"> kas ir cisternu valdītāji (juridiskas personas), </w:t>
            </w:r>
            <w:r w:rsidR="003D6B6E" w:rsidRPr="003D6B6E">
              <w:rPr>
                <w:rFonts w:ascii="Times New Roman" w:hAnsi="Times New Roman"/>
                <w:sz w:val="24"/>
                <w:szCs w:val="24"/>
              </w:rPr>
              <w:t>piemēram SIA “Latvijas propāna gāze”, SIA “INTERGAZ”, SIA “</w:t>
            </w:r>
            <w:proofErr w:type="spellStart"/>
            <w:r w:rsidR="003D6B6E" w:rsidRPr="003D6B6E">
              <w:rPr>
                <w:rFonts w:ascii="Times New Roman" w:hAnsi="Times New Roman"/>
                <w:sz w:val="24"/>
                <w:szCs w:val="24"/>
              </w:rPr>
              <w:t>Pirmas</w:t>
            </w:r>
            <w:proofErr w:type="spellEnd"/>
            <w:r w:rsidR="003D6B6E" w:rsidRPr="003D6B6E">
              <w:rPr>
                <w:rFonts w:ascii="Times New Roman" w:hAnsi="Times New Roman"/>
                <w:sz w:val="24"/>
                <w:szCs w:val="24"/>
              </w:rPr>
              <w:t xml:space="preserve">”, SIA “Virāža A”.  </w:t>
            </w:r>
            <w:r w:rsidR="003D6B6E">
              <w:rPr>
                <w:rFonts w:ascii="Times New Roman" w:hAnsi="Times New Roman"/>
                <w:sz w:val="24"/>
                <w:szCs w:val="24"/>
              </w:rPr>
              <w:t xml:space="preserve"> </w:t>
            </w:r>
          </w:p>
          <w:p w14:paraId="7D9D001A" w14:textId="36B4B19F"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Pamatojoties uz</w:t>
            </w:r>
            <w:r w:rsidR="00821E3B">
              <w:rPr>
                <w:rFonts w:ascii="Times New Roman" w:hAnsi="Times New Roman"/>
                <w:sz w:val="24"/>
                <w:szCs w:val="24"/>
              </w:rPr>
              <w:t xml:space="preserve"> </w:t>
            </w:r>
            <w:r w:rsidRPr="00D50CBD">
              <w:rPr>
                <w:rFonts w:ascii="Times New Roman" w:hAnsi="Times New Roman"/>
                <w:sz w:val="24"/>
                <w:szCs w:val="24"/>
              </w:rPr>
              <w:t xml:space="preserve">PTAC sniegto informāciju, mājsaimniecībās privātpersonu valdījumā esošajiem spiedieniekārtu kompleksiem netiek veiktas kārtējās tehniskās pārbaudes Noteikumu Nr. 518 4. nodaļā noteiktajos termiņos un apjomā. Saskaņā ar Bīstamo iekārtu reģistra (turpmāk – BIR) datiem no 835 spiedieniekārtu kompleksiem kārtējā tehniskā pārbaude nav veikta 227 spiedieniekārtu kompleksiem (27%), savukārt 35 spiedieniekārtu kompleksi (4%) nav reģistrēti BIR. Līdz ar to, secināms, ka  mājsaimniecībās tiek lietoti </w:t>
            </w:r>
            <w:r w:rsidR="008572FE">
              <w:rPr>
                <w:rFonts w:ascii="Times New Roman" w:hAnsi="Times New Roman"/>
                <w:sz w:val="24"/>
                <w:szCs w:val="24"/>
              </w:rPr>
              <w:t>nepārbaudīti</w:t>
            </w:r>
            <w:r w:rsidRPr="00D50CBD">
              <w:rPr>
                <w:rFonts w:ascii="Times New Roman" w:hAnsi="Times New Roman"/>
                <w:sz w:val="24"/>
                <w:szCs w:val="24"/>
              </w:rPr>
              <w:t xml:space="preserve"> spiedieniekārtu kompleksi, kas var apdraudēt cilvēku dzīvību un veselību. </w:t>
            </w:r>
          </w:p>
          <w:p w14:paraId="1F5F3502" w14:textId="25FC776C" w:rsidR="008572FE" w:rsidRDefault="00D50CBD" w:rsidP="007A5BF8">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Lai mājsaimniecībās lietotu drošības prasībām atbilstošus spiedieniekārtu kompleksus Ekonomikas ministrija sadarbībā ar PTAC ir izstrādājusi Noteikumu projektu, kurā </w:t>
            </w:r>
            <w:r w:rsidR="00FA418A">
              <w:rPr>
                <w:rFonts w:ascii="Times New Roman" w:hAnsi="Times New Roman"/>
                <w:sz w:val="24"/>
                <w:szCs w:val="24"/>
              </w:rPr>
              <w:t xml:space="preserve">papildinātas prasības cisternu un spiedieniekārtu kompleksu valdītājiem, </w:t>
            </w:r>
            <w:r w:rsidR="008572FE">
              <w:rPr>
                <w:rFonts w:ascii="Times New Roman" w:hAnsi="Times New Roman"/>
                <w:sz w:val="24"/>
                <w:szCs w:val="24"/>
              </w:rPr>
              <w:t>proti,:</w:t>
            </w:r>
          </w:p>
          <w:p w14:paraId="7FA4A976" w14:textId="014A1B32" w:rsidR="008572FE" w:rsidRDefault="00D50CBD" w:rsidP="008572F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 xml:space="preserve">cisternu valdītājiem pirms spiedieniekārtu kompleksa </w:t>
            </w:r>
            <w:proofErr w:type="spellStart"/>
            <w:r w:rsidRPr="008572FE">
              <w:rPr>
                <w:rFonts w:ascii="Times New Roman" w:hAnsi="Times New Roman"/>
                <w:sz w:val="24"/>
                <w:szCs w:val="24"/>
              </w:rPr>
              <w:t>uzpildes</w:t>
            </w:r>
            <w:proofErr w:type="spellEnd"/>
            <w:r w:rsidRPr="008572FE">
              <w:rPr>
                <w:rFonts w:ascii="Times New Roman" w:hAnsi="Times New Roman"/>
                <w:sz w:val="24"/>
                <w:szCs w:val="24"/>
              </w:rPr>
              <w:t xml:space="preserve"> jāpārliecinās par kārtējās tehniskās pārbaudes esamību un, ja spiedieniekārtu kompleksam nav veikta kārtējā tehniskā pārbaude, tad cisternu valdītājs nedrīkst veikt spiedieniekārtu kompleksa uzpildi</w:t>
            </w:r>
            <w:r w:rsidR="008572FE">
              <w:rPr>
                <w:rFonts w:ascii="Times New Roman" w:hAnsi="Times New Roman"/>
                <w:sz w:val="24"/>
                <w:szCs w:val="24"/>
              </w:rPr>
              <w:t>;</w:t>
            </w:r>
          </w:p>
          <w:p w14:paraId="5387451C" w14:textId="004F7D83" w:rsidR="00975B93" w:rsidRDefault="008572FE" w:rsidP="007A5BF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 xml:space="preserve">spiedieniekārtu kompleksa valdītājam ir pienākums pirms spiedieniekārtu kompleksa </w:t>
            </w:r>
            <w:proofErr w:type="spellStart"/>
            <w:r w:rsidRPr="008572FE">
              <w:rPr>
                <w:rFonts w:ascii="Times New Roman" w:hAnsi="Times New Roman"/>
                <w:sz w:val="24"/>
                <w:szCs w:val="24"/>
              </w:rPr>
              <w:t>uzpildes</w:t>
            </w:r>
            <w:proofErr w:type="spellEnd"/>
            <w:r w:rsidRPr="008572FE">
              <w:rPr>
                <w:rFonts w:ascii="Times New Roman" w:hAnsi="Times New Roman"/>
                <w:sz w:val="24"/>
                <w:szCs w:val="24"/>
              </w:rPr>
              <w:t xml:space="preserve"> uzrādīt uzpildītājam informāciju par pēdējo spiedieniekārtu kompleksam veikto tehnisko pārbaudi, tādejādi novēršot, ka mājsaimniecībās tiek lietoti drošības prasībām atbilstoši spiedieniekārtu kompleksi. </w:t>
            </w:r>
          </w:p>
          <w:p w14:paraId="048EB1DB" w14:textId="47626DB3" w:rsidR="005E017F" w:rsidRPr="00833BE1" w:rsidRDefault="005E017F" w:rsidP="005E017F">
            <w:pPr>
              <w:autoSpaceDE w:val="0"/>
              <w:autoSpaceDN w:val="0"/>
              <w:adjustRightInd w:val="0"/>
              <w:spacing w:after="0" w:line="240" w:lineRule="auto"/>
              <w:jc w:val="both"/>
              <w:rPr>
                <w:rFonts w:ascii="Times New Roman" w:hAnsi="Times New Roman"/>
                <w:sz w:val="24"/>
                <w:szCs w:val="24"/>
              </w:rPr>
            </w:pPr>
            <w:bookmarkStart w:id="6" w:name="_Hlk69212123"/>
            <w:r w:rsidRPr="00833BE1">
              <w:rPr>
                <w:rFonts w:ascii="Times New Roman" w:hAnsi="Times New Roman"/>
                <w:sz w:val="24"/>
                <w:szCs w:val="24"/>
              </w:rPr>
              <w:t xml:space="preserve">Šobrīd normatīvajā regulējumā </w:t>
            </w:r>
            <w:r w:rsidR="00817C41" w:rsidRPr="00833BE1">
              <w:rPr>
                <w:rFonts w:ascii="Times New Roman" w:hAnsi="Times New Roman"/>
                <w:sz w:val="24"/>
                <w:szCs w:val="24"/>
              </w:rPr>
              <w:t>ir noteikts, ka viens no  spiedieniekārtu kompleksa valdītāja pienākumiem ir nodrošināt spiedieniekārtu kompleksiem kārtējās tehniskās pārbaudes un ņemot vērā, ka mājsaimniecībās privātpersonu valdījumā esošajiem spiedieniekārtu kompleksiem netiek veiktas šīs kārtējās tehniskās pārbaudes</w:t>
            </w:r>
            <w:r w:rsidR="007871F8" w:rsidRPr="00833BE1">
              <w:rPr>
                <w:rFonts w:ascii="Times New Roman" w:hAnsi="Times New Roman"/>
                <w:sz w:val="24"/>
                <w:szCs w:val="24"/>
              </w:rPr>
              <w:t xml:space="preserve">, kā arī </w:t>
            </w:r>
            <w:r w:rsidR="00817C41" w:rsidRPr="00833BE1">
              <w:rPr>
                <w:rFonts w:ascii="Times New Roman" w:hAnsi="Times New Roman"/>
                <w:sz w:val="24"/>
                <w:szCs w:val="24"/>
              </w:rPr>
              <w:t>PTAC nav pietiekamas kapacitātes, lai veiktu visās mājsaimniecībās šo spiedieniekārtu kompleksu uzraudzību</w:t>
            </w:r>
            <w:r w:rsidR="007871F8" w:rsidRPr="00833BE1">
              <w:rPr>
                <w:rFonts w:ascii="Times New Roman" w:hAnsi="Times New Roman"/>
                <w:sz w:val="24"/>
                <w:szCs w:val="24"/>
              </w:rPr>
              <w:t xml:space="preserve"> un </w:t>
            </w:r>
            <w:r w:rsidR="00817C41" w:rsidRPr="00833BE1">
              <w:rPr>
                <w:rFonts w:ascii="Times New Roman" w:hAnsi="Times New Roman"/>
                <w:sz w:val="24"/>
                <w:szCs w:val="24"/>
              </w:rPr>
              <w:t xml:space="preserve">ne visās </w:t>
            </w:r>
            <w:r w:rsidR="00817C41" w:rsidRPr="00833BE1">
              <w:rPr>
                <w:rFonts w:ascii="Times New Roman" w:hAnsi="Times New Roman"/>
                <w:sz w:val="24"/>
                <w:szCs w:val="24"/>
              </w:rPr>
              <w:lastRenderedPageBreak/>
              <w:t xml:space="preserve">mājsaimniecībās </w:t>
            </w:r>
            <w:r w:rsidR="007871F8" w:rsidRPr="00833BE1">
              <w:rPr>
                <w:rFonts w:ascii="Times New Roman" w:hAnsi="Times New Roman"/>
                <w:sz w:val="24"/>
                <w:szCs w:val="24"/>
              </w:rPr>
              <w:t xml:space="preserve">PTAC </w:t>
            </w:r>
            <w:r w:rsidR="00817C41" w:rsidRPr="00833BE1">
              <w:rPr>
                <w:rFonts w:ascii="Times New Roman" w:hAnsi="Times New Roman"/>
                <w:sz w:val="24"/>
                <w:szCs w:val="24"/>
              </w:rPr>
              <w:t>ir iespējams piekļūt pie</w:t>
            </w:r>
            <w:r w:rsidR="007871F8" w:rsidRPr="00833BE1">
              <w:rPr>
                <w:rFonts w:ascii="Times New Roman" w:hAnsi="Times New Roman"/>
                <w:sz w:val="24"/>
                <w:szCs w:val="24"/>
              </w:rPr>
              <w:t xml:space="preserve"> šiem </w:t>
            </w:r>
            <w:r w:rsidR="00817C41" w:rsidRPr="00833BE1">
              <w:rPr>
                <w:rFonts w:ascii="Times New Roman" w:hAnsi="Times New Roman"/>
                <w:sz w:val="24"/>
                <w:szCs w:val="24"/>
              </w:rPr>
              <w:t>spiedieniekārtu kompleksiem, tādēļ</w:t>
            </w:r>
            <w:r w:rsidR="007871F8" w:rsidRPr="00833BE1">
              <w:rPr>
                <w:rFonts w:ascii="Times New Roman" w:hAnsi="Times New Roman"/>
                <w:sz w:val="24"/>
                <w:szCs w:val="24"/>
              </w:rPr>
              <w:t xml:space="preserve"> Noteikumu projektā ir papildināts ar cisternu un spiedieniekārtu valdītāju pienākumiem,  tādejādi, veicinot </w:t>
            </w:r>
            <w:r w:rsidR="00817C41" w:rsidRPr="00833BE1">
              <w:rPr>
                <w:rFonts w:ascii="Times New Roman" w:hAnsi="Times New Roman"/>
                <w:sz w:val="24"/>
                <w:szCs w:val="24"/>
              </w:rPr>
              <w:t xml:space="preserve">spiedieniekārtu kompleksu valdītājiem veikt </w:t>
            </w:r>
            <w:r w:rsidR="007871F8" w:rsidRPr="00833BE1">
              <w:rPr>
                <w:rFonts w:ascii="Times New Roman" w:hAnsi="Times New Roman"/>
                <w:sz w:val="24"/>
                <w:szCs w:val="24"/>
              </w:rPr>
              <w:t xml:space="preserve">tehniskās pārbaudes noteiktajos termiņos un apjomā. </w:t>
            </w:r>
            <w:r w:rsidR="00817C41" w:rsidRPr="00833BE1">
              <w:rPr>
                <w:rFonts w:ascii="Times New Roman" w:hAnsi="Times New Roman"/>
                <w:sz w:val="24"/>
                <w:szCs w:val="24"/>
              </w:rPr>
              <w:t xml:space="preserve"> </w:t>
            </w:r>
          </w:p>
          <w:bookmarkEnd w:id="6"/>
          <w:p w14:paraId="6844FBFF" w14:textId="7E5CE3F5" w:rsidR="008F492E" w:rsidRPr="00833BE1" w:rsidRDefault="00AA2838" w:rsidP="00975B93">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Spiedieniekārtu kompleksu valdīt</w:t>
            </w:r>
            <w:r w:rsidR="00F36079" w:rsidRPr="00833BE1">
              <w:rPr>
                <w:rFonts w:ascii="Times New Roman" w:hAnsi="Times New Roman"/>
                <w:sz w:val="24"/>
                <w:szCs w:val="24"/>
              </w:rPr>
              <w:t>ā</w:t>
            </w:r>
            <w:r w:rsidRPr="00833BE1">
              <w:rPr>
                <w:rFonts w:ascii="Times New Roman" w:hAnsi="Times New Roman"/>
                <w:sz w:val="24"/>
                <w:szCs w:val="24"/>
              </w:rPr>
              <w:t>j</w:t>
            </w:r>
            <w:r w:rsidR="00360924" w:rsidRPr="00833BE1">
              <w:rPr>
                <w:rFonts w:ascii="Times New Roman" w:hAnsi="Times New Roman"/>
                <w:sz w:val="24"/>
                <w:szCs w:val="24"/>
              </w:rPr>
              <w:t>s</w:t>
            </w:r>
            <w:r w:rsidRPr="00833BE1">
              <w:rPr>
                <w:rFonts w:ascii="Times New Roman" w:hAnsi="Times New Roman"/>
                <w:sz w:val="24"/>
                <w:szCs w:val="24"/>
              </w:rPr>
              <w:t xml:space="preserve"> </w:t>
            </w:r>
            <w:r w:rsidR="00A26C97" w:rsidRPr="00833BE1">
              <w:rPr>
                <w:rFonts w:ascii="Times New Roman" w:hAnsi="Times New Roman"/>
                <w:sz w:val="24"/>
                <w:szCs w:val="24"/>
              </w:rPr>
              <w:t xml:space="preserve">spiedieniekārtu kompleksam </w:t>
            </w:r>
            <w:r w:rsidRPr="00833BE1">
              <w:rPr>
                <w:rFonts w:ascii="Times New Roman" w:hAnsi="Times New Roman"/>
                <w:sz w:val="24"/>
                <w:szCs w:val="24"/>
              </w:rPr>
              <w:t>ārēj</w:t>
            </w:r>
            <w:r w:rsidR="00F36079" w:rsidRPr="00833BE1">
              <w:rPr>
                <w:rFonts w:ascii="Times New Roman" w:hAnsi="Times New Roman"/>
                <w:sz w:val="24"/>
                <w:szCs w:val="24"/>
              </w:rPr>
              <w:t>o</w:t>
            </w:r>
            <w:r w:rsidRPr="00833BE1">
              <w:rPr>
                <w:rFonts w:ascii="Times New Roman" w:hAnsi="Times New Roman"/>
                <w:sz w:val="24"/>
                <w:szCs w:val="24"/>
              </w:rPr>
              <w:t xml:space="preserve"> tehnisk</w:t>
            </w:r>
            <w:r w:rsidR="00F36079" w:rsidRPr="00833BE1">
              <w:rPr>
                <w:rFonts w:ascii="Times New Roman" w:hAnsi="Times New Roman"/>
                <w:sz w:val="24"/>
                <w:szCs w:val="24"/>
              </w:rPr>
              <w:t>o</w:t>
            </w:r>
            <w:r w:rsidRPr="00833BE1">
              <w:rPr>
                <w:rFonts w:ascii="Times New Roman" w:hAnsi="Times New Roman"/>
                <w:sz w:val="24"/>
                <w:szCs w:val="24"/>
              </w:rPr>
              <w:t xml:space="preserve"> pārbaud</w:t>
            </w:r>
            <w:r w:rsidR="00F36079" w:rsidRPr="00833BE1">
              <w:rPr>
                <w:rFonts w:ascii="Times New Roman" w:hAnsi="Times New Roman"/>
                <w:sz w:val="24"/>
                <w:szCs w:val="24"/>
              </w:rPr>
              <w:t>i</w:t>
            </w:r>
            <w:r w:rsidRPr="00833BE1">
              <w:rPr>
                <w:rFonts w:ascii="Times New Roman" w:hAnsi="Times New Roman"/>
                <w:sz w:val="24"/>
                <w:szCs w:val="24"/>
              </w:rPr>
              <w:t xml:space="preserve"> veic reizi 12 mēnešos, </w:t>
            </w:r>
            <w:r w:rsidR="00A26C97" w:rsidRPr="00833BE1">
              <w:rPr>
                <w:rFonts w:ascii="Times New Roman" w:hAnsi="Times New Roman"/>
                <w:sz w:val="24"/>
                <w:szCs w:val="24"/>
              </w:rPr>
              <w:t>iekšēj</w:t>
            </w:r>
            <w:r w:rsidR="00F36079" w:rsidRPr="00833BE1">
              <w:rPr>
                <w:rFonts w:ascii="Times New Roman" w:hAnsi="Times New Roman"/>
                <w:sz w:val="24"/>
                <w:szCs w:val="24"/>
              </w:rPr>
              <w:t>o</w:t>
            </w:r>
            <w:r w:rsidR="00A26C97" w:rsidRPr="00833BE1">
              <w:rPr>
                <w:rFonts w:ascii="Times New Roman" w:hAnsi="Times New Roman"/>
                <w:sz w:val="24"/>
                <w:szCs w:val="24"/>
              </w:rPr>
              <w:t xml:space="preserve"> pārbaud</w:t>
            </w:r>
            <w:r w:rsidR="00F36079" w:rsidRPr="00833BE1">
              <w:rPr>
                <w:rFonts w:ascii="Times New Roman" w:hAnsi="Times New Roman"/>
                <w:sz w:val="24"/>
                <w:szCs w:val="24"/>
              </w:rPr>
              <w:t>i</w:t>
            </w:r>
            <w:r w:rsidR="00A26C97" w:rsidRPr="00833BE1">
              <w:rPr>
                <w:rFonts w:ascii="Times New Roman" w:hAnsi="Times New Roman"/>
                <w:sz w:val="24"/>
                <w:szCs w:val="24"/>
              </w:rPr>
              <w:t xml:space="preserve"> reizi 4 gados, </w:t>
            </w:r>
            <w:r w:rsidRPr="00833BE1">
              <w:rPr>
                <w:rFonts w:ascii="Times New Roman" w:hAnsi="Times New Roman"/>
                <w:sz w:val="24"/>
                <w:szCs w:val="24"/>
              </w:rPr>
              <w:t>hidraulisk</w:t>
            </w:r>
            <w:r w:rsidR="00F36079" w:rsidRPr="00833BE1">
              <w:rPr>
                <w:rFonts w:ascii="Times New Roman" w:hAnsi="Times New Roman"/>
                <w:sz w:val="24"/>
                <w:szCs w:val="24"/>
              </w:rPr>
              <w:t>o</w:t>
            </w:r>
            <w:r w:rsidR="008F492E" w:rsidRPr="00833BE1">
              <w:rPr>
                <w:rFonts w:ascii="Times New Roman" w:hAnsi="Times New Roman"/>
                <w:sz w:val="24"/>
                <w:szCs w:val="24"/>
              </w:rPr>
              <w:t xml:space="preserve"> pārbaud</w:t>
            </w:r>
            <w:r w:rsidR="00F36079" w:rsidRPr="00833BE1">
              <w:rPr>
                <w:rFonts w:ascii="Times New Roman" w:hAnsi="Times New Roman"/>
                <w:sz w:val="24"/>
                <w:szCs w:val="24"/>
              </w:rPr>
              <w:t>i</w:t>
            </w:r>
            <w:r w:rsidR="008F492E" w:rsidRPr="00833BE1">
              <w:rPr>
                <w:rFonts w:ascii="Times New Roman" w:hAnsi="Times New Roman"/>
                <w:sz w:val="24"/>
                <w:szCs w:val="24"/>
              </w:rPr>
              <w:t xml:space="preserve"> reizi 8</w:t>
            </w:r>
            <w:r w:rsidRPr="00833BE1">
              <w:rPr>
                <w:rFonts w:ascii="Times New Roman" w:hAnsi="Times New Roman"/>
                <w:sz w:val="24"/>
                <w:szCs w:val="24"/>
              </w:rPr>
              <w:t xml:space="preserve"> gados.</w:t>
            </w:r>
            <w:r w:rsidR="008F492E" w:rsidRPr="00833BE1">
              <w:rPr>
                <w:rFonts w:ascii="Times New Roman" w:hAnsi="Times New Roman"/>
                <w:sz w:val="24"/>
                <w:szCs w:val="24"/>
              </w:rPr>
              <w:t xml:space="preserve"> Savukārt spiedieniekārtu kompleksam kurā uzglabā sašķidrināto naftas gāzi, hidraulisko vai iekšēj</w:t>
            </w:r>
            <w:r w:rsidR="00E42363" w:rsidRPr="00833BE1">
              <w:rPr>
                <w:rFonts w:ascii="Times New Roman" w:hAnsi="Times New Roman"/>
                <w:sz w:val="24"/>
                <w:szCs w:val="24"/>
              </w:rPr>
              <w:t>o</w:t>
            </w:r>
            <w:r w:rsidR="008F492E" w:rsidRPr="00833BE1">
              <w:rPr>
                <w:rFonts w:ascii="Times New Roman" w:hAnsi="Times New Roman"/>
                <w:sz w:val="24"/>
                <w:szCs w:val="24"/>
              </w:rPr>
              <w:t xml:space="preserve"> pārbaudi veic reizi 12 gados.</w:t>
            </w:r>
          </w:p>
          <w:p w14:paraId="213AF578" w14:textId="431D4246" w:rsidR="00F36079" w:rsidRPr="00833BE1" w:rsidRDefault="00F36079" w:rsidP="00F36079">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Spiedieniekārtu kompleksu valdītājam ārējās tehniskās pārbaudes izmaksas ir aptuveni 50 </w:t>
            </w:r>
            <w:proofErr w:type="spellStart"/>
            <w:r w:rsidRPr="00833BE1">
              <w:rPr>
                <w:rFonts w:ascii="Times New Roman" w:hAnsi="Times New Roman"/>
                <w:sz w:val="24"/>
                <w:szCs w:val="24"/>
              </w:rPr>
              <w:t>euro</w:t>
            </w:r>
            <w:proofErr w:type="spellEnd"/>
            <w:r w:rsidRPr="00833BE1">
              <w:rPr>
                <w:rFonts w:ascii="Times New Roman" w:hAnsi="Times New Roman"/>
                <w:sz w:val="24"/>
                <w:szCs w:val="24"/>
              </w:rPr>
              <w:t xml:space="preserve"> (atkarīgs no spiedieniekārtu kompleksu atrašanās vietas),</w:t>
            </w:r>
            <w:r w:rsidR="00432B68" w:rsidRPr="00833BE1">
              <w:rPr>
                <w:rFonts w:ascii="Times New Roman" w:hAnsi="Times New Roman"/>
                <w:sz w:val="24"/>
                <w:szCs w:val="24"/>
              </w:rPr>
              <w:t xml:space="preserve"> s</w:t>
            </w:r>
            <w:r w:rsidR="00415CA3" w:rsidRPr="00833BE1">
              <w:rPr>
                <w:rFonts w:ascii="Times New Roman" w:hAnsi="Times New Roman"/>
                <w:sz w:val="24"/>
                <w:szCs w:val="24"/>
              </w:rPr>
              <w:t xml:space="preserve">avukārt iekšējās un hidrauliskās tehniskās pārbaudes izmaksas ir aptuveni  400 </w:t>
            </w:r>
            <w:proofErr w:type="spellStart"/>
            <w:r w:rsidR="00415CA3" w:rsidRPr="00833BE1">
              <w:rPr>
                <w:rFonts w:ascii="Times New Roman" w:hAnsi="Times New Roman"/>
                <w:sz w:val="24"/>
                <w:szCs w:val="24"/>
              </w:rPr>
              <w:t>euro</w:t>
            </w:r>
            <w:proofErr w:type="spellEnd"/>
            <w:r w:rsidR="00415CA3" w:rsidRPr="00833BE1">
              <w:rPr>
                <w:rFonts w:ascii="Times New Roman" w:hAnsi="Times New Roman"/>
                <w:sz w:val="24"/>
                <w:szCs w:val="24"/>
              </w:rPr>
              <w:t xml:space="preserve"> (atkarīgs no iekārtas tehniskā stāvokļa, iekārtas izvietojuma (apakšzemes/virszemes), iekārtas tilpuma, iekārtas atrašanās vietas).</w:t>
            </w:r>
          </w:p>
          <w:p w14:paraId="486D328D" w14:textId="4CAAA6BC" w:rsidR="008F492E" w:rsidRPr="00833BE1" w:rsidRDefault="008F492E" w:rsidP="00975B93">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Ar Noteikumu projektu paredzēts, ka cisternu valdītājs veic  </w:t>
            </w:r>
          </w:p>
          <w:p w14:paraId="1F9E4A19" w14:textId="7D39FFF1" w:rsidR="008F492E" w:rsidRPr="00833BE1" w:rsidRDefault="008F492E" w:rsidP="00975B93">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uzpildi tikai tādiem spiedieniekārtu kompleksiem, kuriem nav beidzies pēdējais </w:t>
            </w:r>
            <w:r w:rsidR="003563CA" w:rsidRPr="00833BE1">
              <w:rPr>
                <w:rFonts w:ascii="Times New Roman" w:hAnsi="Times New Roman"/>
                <w:sz w:val="24"/>
                <w:szCs w:val="24"/>
              </w:rPr>
              <w:t xml:space="preserve">kārtējais </w:t>
            </w:r>
            <w:r w:rsidRPr="00833BE1">
              <w:rPr>
                <w:rFonts w:ascii="Times New Roman" w:hAnsi="Times New Roman"/>
                <w:sz w:val="24"/>
                <w:szCs w:val="24"/>
              </w:rPr>
              <w:t>tehniskās pārbaudes termiņš</w:t>
            </w:r>
            <w:r w:rsidR="00666663" w:rsidRPr="00833BE1">
              <w:rPr>
                <w:rFonts w:ascii="Times New Roman" w:hAnsi="Times New Roman"/>
                <w:sz w:val="24"/>
                <w:szCs w:val="24"/>
              </w:rPr>
              <w:t xml:space="preserve">, piemēram, ja </w:t>
            </w:r>
            <w:r w:rsidR="00E8087C" w:rsidRPr="00833BE1">
              <w:rPr>
                <w:rFonts w:ascii="Times New Roman" w:hAnsi="Times New Roman"/>
                <w:sz w:val="24"/>
                <w:szCs w:val="24"/>
              </w:rPr>
              <w:t xml:space="preserve">spiedieniekārtu kompleksam </w:t>
            </w:r>
            <w:r w:rsidR="00666663" w:rsidRPr="00833BE1">
              <w:rPr>
                <w:rFonts w:ascii="Times New Roman" w:hAnsi="Times New Roman"/>
                <w:sz w:val="24"/>
                <w:szCs w:val="24"/>
              </w:rPr>
              <w:t xml:space="preserve">ārējā tehniskā pārbaude ir veikta līdz 12 mēnešiem, tad cisternu valdītājs ir tiesīgs veikt šo spiedieniekārtu kompleksu uzpildi, bet ja ārējā tehniskā pārbaude ir veikta vēlāk kā 12 mēneši, tad cisternu valdītājs nedrīkst veikt šo spiedieniekārtu kompleksu uzpildi.  </w:t>
            </w:r>
          </w:p>
          <w:p w14:paraId="1A38B72B" w14:textId="351CA8DA" w:rsidR="00E42363" w:rsidRPr="00833BE1" w:rsidRDefault="00E42363" w:rsidP="00975B93">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Pašlaik mājsaimniecībās, kur valdītājs ievēro tehniskās pārbaudes periodiskumu, </w:t>
            </w:r>
            <w:r w:rsidR="0034027D" w:rsidRPr="00833BE1">
              <w:rPr>
                <w:rFonts w:ascii="Times New Roman" w:hAnsi="Times New Roman"/>
                <w:sz w:val="24"/>
                <w:szCs w:val="24"/>
              </w:rPr>
              <w:t>parasti</w:t>
            </w:r>
            <w:r w:rsidRPr="00833BE1">
              <w:rPr>
                <w:rFonts w:ascii="Times New Roman" w:hAnsi="Times New Roman"/>
                <w:sz w:val="24"/>
                <w:szCs w:val="24"/>
              </w:rPr>
              <w:t xml:space="preserve"> cenšas organizēt visas tehniskās pārbaudes kopā, piemēram,</w:t>
            </w:r>
            <w:r w:rsidR="002102F2" w:rsidRPr="00833BE1">
              <w:rPr>
                <w:rFonts w:ascii="Times New Roman" w:hAnsi="Times New Roman"/>
                <w:sz w:val="24"/>
                <w:szCs w:val="24"/>
              </w:rPr>
              <w:t xml:space="preserve"> </w:t>
            </w:r>
            <w:r w:rsidRPr="00833BE1">
              <w:rPr>
                <w:rFonts w:ascii="Times New Roman" w:hAnsi="Times New Roman"/>
                <w:sz w:val="24"/>
                <w:szCs w:val="24"/>
              </w:rPr>
              <w:t>ārējo tehnisko pārbaudi kopā ar iekšējo tehnisko pārbaudi vai hidraulisko pārbaudi kopā ar ārējo un iekšējo tehnisko pārbaudi.</w:t>
            </w:r>
          </w:p>
          <w:p w14:paraId="2786870B" w14:textId="153013B5" w:rsidR="00E8087C" w:rsidRPr="00833BE1" w:rsidRDefault="00E8087C" w:rsidP="00975B93">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Noteikumu projekts paredz, ka spiedieniekārtu kompleksu valdītājam uzpildītājam jāuzrāda pēdējais tehniskās pārbaudes protokols. </w:t>
            </w:r>
          </w:p>
          <w:p w14:paraId="243BC2AD" w14:textId="362FE1DA" w:rsidR="00666663" w:rsidRPr="009F131D" w:rsidRDefault="002102F2" w:rsidP="003563CA">
            <w:pPr>
              <w:autoSpaceDE w:val="0"/>
              <w:autoSpaceDN w:val="0"/>
              <w:adjustRightInd w:val="0"/>
              <w:spacing w:after="0" w:line="240" w:lineRule="auto"/>
              <w:jc w:val="both"/>
              <w:rPr>
                <w:rFonts w:ascii="Times New Roman" w:hAnsi="Times New Roman"/>
                <w:sz w:val="24"/>
                <w:szCs w:val="24"/>
              </w:rPr>
            </w:pPr>
            <w:r w:rsidRPr="00833BE1">
              <w:rPr>
                <w:rFonts w:ascii="Times New Roman" w:hAnsi="Times New Roman"/>
                <w:sz w:val="24"/>
                <w:szCs w:val="24"/>
              </w:rPr>
              <w:t xml:space="preserve">Lai </w:t>
            </w:r>
            <w:r w:rsidR="00432B68" w:rsidRPr="00833BE1">
              <w:rPr>
                <w:rFonts w:ascii="Times New Roman" w:hAnsi="Times New Roman"/>
                <w:sz w:val="24"/>
                <w:szCs w:val="24"/>
              </w:rPr>
              <w:t>spiedieniekārtu kompleksu</w:t>
            </w:r>
            <w:r w:rsidR="00946F5A" w:rsidRPr="00833BE1">
              <w:rPr>
                <w:rFonts w:ascii="Times New Roman" w:hAnsi="Times New Roman"/>
                <w:sz w:val="24"/>
                <w:szCs w:val="24"/>
              </w:rPr>
              <w:t xml:space="preserve"> un cisternu valdītāji</w:t>
            </w:r>
            <w:r w:rsidRPr="00833BE1">
              <w:rPr>
                <w:rFonts w:ascii="Times New Roman" w:hAnsi="Times New Roman"/>
                <w:sz w:val="24"/>
                <w:szCs w:val="24"/>
              </w:rPr>
              <w:t xml:space="preserve"> varētu sagatavoties Noteikumu projektā paredzētajam regulējumam, </w:t>
            </w:r>
            <w:r w:rsidR="00946F5A" w:rsidRPr="00833BE1">
              <w:rPr>
                <w:rFonts w:ascii="Times New Roman" w:hAnsi="Times New Roman"/>
                <w:sz w:val="24"/>
                <w:szCs w:val="24"/>
              </w:rPr>
              <w:t>ir noteikts Noteikumu projekta spēkā stāšanās laiks, proti, 2021.gada 1.novembris.</w:t>
            </w:r>
          </w:p>
        </w:tc>
      </w:tr>
      <w:tr w:rsidR="00052DAC" w14:paraId="12C92182"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3E12A0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7014EEBB"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6E1766A1" w14:textId="15017669"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FB3DEF">
              <w:rPr>
                <w:rFonts w:ascii="Times New Roman" w:eastAsia="Times New Roman" w:hAnsi="Times New Roman" w:cs="Times New Roman"/>
                <w:iCs/>
                <w:sz w:val="24"/>
                <w:szCs w:val="24"/>
                <w:lang w:eastAsia="lv-LV"/>
              </w:rPr>
              <w:t>, Patērētāju tiesību aizsardzības centrs</w:t>
            </w:r>
            <w:r w:rsidR="008572FE">
              <w:rPr>
                <w:rFonts w:ascii="Times New Roman" w:eastAsia="Times New Roman" w:hAnsi="Times New Roman" w:cs="Times New Roman"/>
                <w:iCs/>
                <w:sz w:val="24"/>
                <w:szCs w:val="24"/>
                <w:lang w:eastAsia="lv-LV"/>
              </w:rPr>
              <w:t xml:space="preserve">. </w:t>
            </w:r>
          </w:p>
        </w:tc>
      </w:tr>
      <w:tr w:rsidR="00052DAC" w14:paraId="23B4E377"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91724CF"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17EBF5F7"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5247B343" w14:textId="434E6178" w:rsidR="00262D93" w:rsidRPr="001B3262" w:rsidRDefault="00262D93" w:rsidP="00F35061">
            <w:pPr>
              <w:spacing w:after="0" w:line="240" w:lineRule="auto"/>
              <w:jc w:val="both"/>
              <w:rPr>
                <w:rFonts w:ascii="Times New Roman" w:hAnsi="Times New Roman" w:cs="Times New Roman"/>
                <w:sz w:val="24"/>
                <w:szCs w:val="24"/>
              </w:rPr>
            </w:pPr>
          </w:p>
        </w:tc>
      </w:tr>
      <w:bookmarkEnd w:id="5"/>
    </w:tbl>
    <w:p w14:paraId="6D8702B3" w14:textId="306ED97F"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1B3262" w:rsidRPr="00EA4A31" w14:paraId="464CA414" w14:textId="77777777" w:rsidTr="00452227">
        <w:trPr>
          <w:trHeight w:val="794"/>
          <w:tblCellSpacing w:w="20" w:type="dxa"/>
        </w:trPr>
        <w:tc>
          <w:tcPr>
            <w:tcW w:w="4957" w:type="pct"/>
            <w:gridSpan w:val="3"/>
            <w:shd w:val="clear" w:color="auto" w:fill="auto"/>
            <w:vAlign w:val="center"/>
            <w:hideMark/>
          </w:tcPr>
          <w:p w14:paraId="0097455D" w14:textId="77777777" w:rsidR="001B3262" w:rsidRPr="00EA4A31" w:rsidRDefault="001B3262" w:rsidP="00452227">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B3262" w:rsidRPr="00EA4A31" w14:paraId="319D8644" w14:textId="77777777" w:rsidTr="00452227">
        <w:trPr>
          <w:tblCellSpacing w:w="20" w:type="dxa"/>
        </w:trPr>
        <w:tc>
          <w:tcPr>
            <w:tcW w:w="262" w:type="pct"/>
            <w:shd w:val="clear" w:color="auto" w:fill="auto"/>
            <w:hideMark/>
          </w:tcPr>
          <w:p w14:paraId="053F5BF3"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6AB73F8F"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 xml:space="preserve">Sabiedrības </w:t>
            </w:r>
            <w:proofErr w:type="spellStart"/>
            <w:r w:rsidRPr="00EA4A31">
              <w:rPr>
                <w:rFonts w:ascii="Times New Roman" w:eastAsia="Times New Roman" w:hAnsi="Times New Roman" w:cs="Times New Roman"/>
                <w:iCs/>
                <w:sz w:val="24"/>
                <w:szCs w:val="24"/>
                <w:lang w:eastAsia="lv-LV"/>
              </w:rPr>
              <w:t>mērķgrupas</w:t>
            </w:r>
            <w:proofErr w:type="spellEnd"/>
            <w:r w:rsidRPr="00EA4A31">
              <w:rPr>
                <w:rFonts w:ascii="Times New Roman" w:eastAsia="Times New Roman" w:hAnsi="Times New Roman" w:cs="Times New Roman"/>
                <w:iCs/>
                <w:sz w:val="24"/>
                <w:szCs w:val="24"/>
                <w:lang w:eastAsia="lv-LV"/>
              </w:rPr>
              <w:t xml:space="preserve">, kuras tiesiskais </w:t>
            </w:r>
            <w:r w:rsidRPr="00EA4A31">
              <w:rPr>
                <w:rFonts w:ascii="Times New Roman" w:eastAsia="Times New Roman" w:hAnsi="Times New Roman" w:cs="Times New Roman"/>
                <w:iCs/>
                <w:sz w:val="24"/>
                <w:szCs w:val="24"/>
                <w:lang w:eastAsia="lv-LV"/>
              </w:rPr>
              <w:lastRenderedPageBreak/>
              <w:t>regulējums ietekmē vai varētu ietekmēt</w:t>
            </w:r>
          </w:p>
        </w:tc>
        <w:tc>
          <w:tcPr>
            <w:tcW w:w="3478" w:type="pct"/>
            <w:shd w:val="clear" w:color="auto" w:fill="auto"/>
            <w:hideMark/>
          </w:tcPr>
          <w:p w14:paraId="23B9FFF8" w14:textId="387ABB55" w:rsidR="001B3262" w:rsidRPr="00EA4A31" w:rsidRDefault="001B3262" w:rsidP="00E3283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Noteikumu projekts attiecas uz </w:t>
            </w:r>
            <w:r w:rsidR="00AA4B53">
              <w:rPr>
                <w:rFonts w:ascii="Times New Roman" w:eastAsia="Calibri" w:hAnsi="Times New Roman" w:cs="Times New Roman"/>
                <w:sz w:val="24"/>
                <w:szCs w:val="24"/>
              </w:rPr>
              <w:t xml:space="preserve">cisternu valdītājiem, </w:t>
            </w:r>
            <w:r>
              <w:rPr>
                <w:rFonts w:ascii="Times New Roman" w:eastAsia="Calibri" w:hAnsi="Times New Roman" w:cs="Times New Roman"/>
                <w:sz w:val="24"/>
                <w:szCs w:val="24"/>
              </w:rPr>
              <w:t>spiedieniekārtu kompleksu valdītājiem (privātpersonām)</w:t>
            </w:r>
            <w:r w:rsidR="00B9482A">
              <w:rPr>
                <w:rFonts w:ascii="Times New Roman" w:eastAsia="Calibri" w:hAnsi="Times New Roman" w:cs="Times New Roman"/>
                <w:sz w:val="24"/>
                <w:szCs w:val="24"/>
              </w:rPr>
              <w:t xml:space="preserve">, </w:t>
            </w:r>
            <w:r w:rsidR="00B9482A" w:rsidRPr="00B9482A">
              <w:rPr>
                <w:rFonts w:ascii="Times New Roman" w:eastAsia="Calibri" w:hAnsi="Times New Roman" w:cs="Times New Roman"/>
                <w:sz w:val="24"/>
                <w:szCs w:val="24"/>
              </w:rPr>
              <w:t xml:space="preserve">spiedieniekārtu kompleksu uzpildītājiem, akreditētām </w:t>
            </w:r>
            <w:r w:rsidR="00B9482A" w:rsidRPr="00B9482A">
              <w:rPr>
                <w:rFonts w:ascii="Times New Roman" w:eastAsia="Calibri" w:hAnsi="Times New Roman" w:cs="Times New Roman"/>
                <w:sz w:val="24"/>
                <w:szCs w:val="24"/>
              </w:rPr>
              <w:lastRenderedPageBreak/>
              <w:t>inspicēšanas institūcijām</w:t>
            </w:r>
            <w:r w:rsidRPr="001B3262">
              <w:rPr>
                <w:rFonts w:ascii="Times New Roman" w:eastAsia="Calibri" w:hAnsi="Times New Roman" w:cs="Times New Roman"/>
                <w:sz w:val="24"/>
                <w:szCs w:val="24"/>
              </w:rPr>
              <w:t>, kā arī tirgus uzraudzības institūciju – Patērētāju tiesību aizsardzības centru.</w:t>
            </w:r>
          </w:p>
        </w:tc>
      </w:tr>
      <w:tr w:rsidR="001B3262" w:rsidRPr="00A505FE" w14:paraId="03A50AF2" w14:textId="77777777" w:rsidTr="00452227">
        <w:trPr>
          <w:tblCellSpacing w:w="20" w:type="dxa"/>
        </w:trPr>
        <w:tc>
          <w:tcPr>
            <w:tcW w:w="262" w:type="pct"/>
            <w:shd w:val="clear" w:color="auto" w:fill="auto"/>
            <w:hideMark/>
          </w:tcPr>
          <w:p w14:paraId="0334A8E3" w14:textId="77777777"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lastRenderedPageBreak/>
              <w:t>2.</w:t>
            </w:r>
          </w:p>
        </w:tc>
        <w:tc>
          <w:tcPr>
            <w:tcW w:w="1173" w:type="pct"/>
            <w:shd w:val="clear" w:color="auto" w:fill="auto"/>
            <w:hideMark/>
          </w:tcPr>
          <w:p w14:paraId="163FB933" w14:textId="70FB7C06"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00E3283C" w:rsidRPr="00E3283C">
              <w:rPr>
                <w:rFonts w:ascii="Times New Roman" w:eastAsia="Times New Roman" w:hAnsi="Times New Roman" w:cs="Times New Roman"/>
                <w:iCs/>
                <w:sz w:val="24"/>
                <w:szCs w:val="24"/>
                <w:lang w:eastAsia="lv-LV"/>
              </w:rPr>
              <w:t>administratīvo slogu</w:t>
            </w:r>
          </w:p>
        </w:tc>
        <w:tc>
          <w:tcPr>
            <w:tcW w:w="3478" w:type="pct"/>
            <w:shd w:val="clear" w:color="auto" w:fill="auto"/>
            <w:hideMark/>
          </w:tcPr>
          <w:p w14:paraId="25B09DDE" w14:textId="683618A8" w:rsidR="001B3262" w:rsidRPr="00C64ACC" w:rsidRDefault="00E3283C" w:rsidP="00452227">
            <w:pPr>
              <w:spacing w:after="0" w:line="240" w:lineRule="auto"/>
              <w:contextualSpacing/>
              <w:jc w:val="both"/>
              <w:rPr>
                <w:rFonts w:ascii="Times New Roman" w:eastAsia="Calibri" w:hAnsi="Times New Roman" w:cs="Times New Roman"/>
                <w:sz w:val="24"/>
                <w:szCs w:val="24"/>
                <w:highlight w:val="yellow"/>
              </w:rPr>
            </w:pPr>
            <w:r w:rsidRPr="00AA6D05">
              <w:rPr>
                <w:rFonts w:ascii="Times New Roman" w:eastAsia="Calibri" w:hAnsi="Times New Roman" w:cs="Times New Roman"/>
                <w:sz w:val="24"/>
                <w:szCs w:val="24"/>
              </w:rPr>
              <w:t xml:space="preserve">Noteikumu projekts </w:t>
            </w:r>
            <w:r w:rsidR="00F36079">
              <w:rPr>
                <w:rFonts w:ascii="Times New Roman" w:eastAsia="Calibri" w:hAnsi="Times New Roman" w:cs="Times New Roman"/>
                <w:sz w:val="24"/>
                <w:szCs w:val="24"/>
              </w:rPr>
              <w:t>šo jomu neskar.</w:t>
            </w:r>
            <w:r w:rsidR="00C64ACC" w:rsidRPr="00AA6D05">
              <w:rPr>
                <w:rFonts w:ascii="Times New Roman" w:eastAsia="Calibri" w:hAnsi="Times New Roman" w:cs="Times New Roman"/>
                <w:sz w:val="24"/>
                <w:szCs w:val="24"/>
              </w:rPr>
              <w:t xml:space="preserve"> </w:t>
            </w:r>
          </w:p>
        </w:tc>
      </w:tr>
      <w:tr w:rsidR="001B3262" w:rsidRPr="00EA4A31" w14:paraId="15CC4F2A" w14:textId="77777777" w:rsidTr="00452227">
        <w:trPr>
          <w:tblCellSpacing w:w="20" w:type="dxa"/>
        </w:trPr>
        <w:tc>
          <w:tcPr>
            <w:tcW w:w="262" w:type="pct"/>
            <w:shd w:val="clear" w:color="auto" w:fill="auto"/>
            <w:hideMark/>
          </w:tcPr>
          <w:p w14:paraId="6DA1895A"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3.</w:t>
            </w:r>
          </w:p>
        </w:tc>
        <w:tc>
          <w:tcPr>
            <w:tcW w:w="1173" w:type="pct"/>
            <w:shd w:val="clear" w:color="auto" w:fill="auto"/>
            <w:hideMark/>
          </w:tcPr>
          <w:p w14:paraId="691F3EA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6EB44BC9" w14:textId="435EEED0" w:rsidR="001B3262" w:rsidRPr="00EA4A31" w:rsidRDefault="00E3283C" w:rsidP="00452227">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Noteikumu p</w:t>
            </w:r>
            <w:r w:rsidR="001B3262" w:rsidRPr="00EA4A31">
              <w:rPr>
                <w:rFonts w:ascii="Times New Roman" w:eastAsia="Calibri" w:hAnsi="Times New Roman" w:cs="Times New Roman"/>
                <w:sz w:val="24"/>
                <w:szCs w:val="24"/>
              </w:rPr>
              <w:t>rojekts šo jomu neskar.</w:t>
            </w:r>
          </w:p>
        </w:tc>
      </w:tr>
      <w:tr w:rsidR="001B3262" w:rsidRPr="00EA4A31" w14:paraId="31120AC1" w14:textId="77777777" w:rsidTr="00E3283C">
        <w:trPr>
          <w:tblCellSpacing w:w="20" w:type="dxa"/>
        </w:trPr>
        <w:tc>
          <w:tcPr>
            <w:tcW w:w="262" w:type="pct"/>
            <w:shd w:val="clear" w:color="auto" w:fill="auto"/>
            <w:hideMark/>
          </w:tcPr>
          <w:p w14:paraId="5A05BC86"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291E3859"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tcPr>
          <w:p w14:paraId="792239D8" w14:textId="35174EDB" w:rsidR="001B3262" w:rsidRPr="00432B68" w:rsidRDefault="00432B68" w:rsidP="00452227">
            <w:pPr>
              <w:spacing w:after="0" w:line="240" w:lineRule="auto"/>
              <w:contextualSpacing/>
              <w:jc w:val="both"/>
              <w:rPr>
                <w:rFonts w:ascii="Times New Roman" w:eastAsia="Times New Roman" w:hAnsi="Times New Roman" w:cs="Times New Roman"/>
                <w:iCs/>
                <w:sz w:val="24"/>
                <w:szCs w:val="24"/>
                <w:lang w:eastAsia="lv-LV"/>
              </w:rPr>
            </w:pPr>
            <w:r w:rsidRPr="00432B68">
              <w:rPr>
                <w:rFonts w:ascii="Times New Roman" w:eastAsia="Times New Roman" w:hAnsi="Times New Roman" w:cs="Times New Roman"/>
                <w:iCs/>
                <w:sz w:val="24"/>
                <w:szCs w:val="24"/>
                <w:lang w:eastAsia="lv-LV"/>
              </w:rPr>
              <w:t>Noteikumu projekts šo jomu neskar.</w:t>
            </w:r>
          </w:p>
        </w:tc>
      </w:tr>
      <w:tr w:rsidR="001B3262" w:rsidRPr="00EA4A31" w14:paraId="4CBC7549" w14:textId="77777777" w:rsidTr="00452227">
        <w:trPr>
          <w:tblCellSpacing w:w="20" w:type="dxa"/>
        </w:trPr>
        <w:tc>
          <w:tcPr>
            <w:tcW w:w="262" w:type="pct"/>
            <w:shd w:val="clear" w:color="auto" w:fill="auto"/>
            <w:hideMark/>
          </w:tcPr>
          <w:p w14:paraId="1C336E8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5.</w:t>
            </w:r>
          </w:p>
        </w:tc>
        <w:tc>
          <w:tcPr>
            <w:tcW w:w="1173" w:type="pct"/>
            <w:shd w:val="clear" w:color="auto" w:fill="auto"/>
            <w:hideMark/>
          </w:tcPr>
          <w:p w14:paraId="7C24C1EE"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2930B5D5" w14:textId="35E4FAE4"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r w:rsidR="00B9482A">
              <w:rPr>
                <w:rFonts w:ascii="Times New Roman" w:eastAsia="Times New Roman" w:hAnsi="Times New Roman" w:cs="Times New Roman"/>
                <w:iCs/>
                <w:sz w:val="24"/>
                <w:szCs w:val="24"/>
                <w:lang w:eastAsia="lv-LV"/>
              </w:rPr>
              <w:t>.</w:t>
            </w:r>
          </w:p>
        </w:tc>
      </w:tr>
    </w:tbl>
    <w:p w14:paraId="22FBAE1C" w14:textId="77777777" w:rsidR="005C1134" w:rsidRDefault="005C1134" w:rsidP="00052DAC">
      <w:pPr>
        <w:spacing w:after="0" w:line="240" w:lineRule="auto"/>
        <w:rPr>
          <w:rFonts w:ascii="Times New Roman" w:eastAsia="Times New Roman" w:hAnsi="Times New Roman" w:cs="Times New Roman"/>
          <w:iCs/>
          <w:sz w:val="24"/>
          <w:szCs w:val="24"/>
          <w:lang w:eastAsia="lv-LV"/>
        </w:rPr>
      </w:pPr>
    </w:p>
    <w:tbl>
      <w:tblPr>
        <w:tblW w:w="55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052DAC" w14:paraId="284C645C" w14:textId="77777777" w:rsidTr="007E27E6">
        <w:trPr>
          <w:trHeight w:val="2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160A"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2DAC" w14:paraId="0DF294F2" w14:textId="77777777" w:rsidTr="007E27E6">
        <w:trPr>
          <w:trHeight w:val="2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F876" w14:textId="2C79D7F1"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bl>
    <w:p w14:paraId="2E48C5BB" w14:textId="08F175F2"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7E27E6" w:rsidRPr="00395ACC" w14:paraId="5012D980"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DF7186" w14:textId="77777777" w:rsidR="007E27E6" w:rsidRPr="00395ACC" w:rsidRDefault="007E27E6" w:rsidP="00452227">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B9482A" w:rsidRPr="00395ACC" w14:paraId="583D8E59"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A8054AE" w14:textId="796EC58C" w:rsidR="00B9482A" w:rsidRPr="00B9482A" w:rsidRDefault="00B9482A" w:rsidP="00452227">
            <w:pPr>
              <w:spacing w:after="0" w:line="240" w:lineRule="auto"/>
              <w:jc w:val="center"/>
              <w:rPr>
                <w:rFonts w:ascii="Times New Roman" w:eastAsia="Times New Roman" w:hAnsi="Times New Roman" w:cs="Times New Roman"/>
                <w:iCs/>
                <w:sz w:val="24"/>
                <w:szCs w:val="24"/>
                <w:lang w:eastAsia="lv-LV"/>
              </w:rPr>
            </w:pPr>
            <w:r w:rsidRPr="00B9482A">
              <w:rPr>
                <w:rFonts w:ascii="Times New Roman" w:eastAsia="Times New Roman" w:hAnsi="Times New Roman" w:cs="Times New Roman"/>
                <w:iCs/>
                <w:sz w:val="24"/>
                <w:szCs w:val="24"/>
                <w:lang w:eastAsia="lv-LV"/>
              </w:rPr>
              <w:t>Noteikumu projekts šo jomu neskar.</w:t>
            </w:r>
          </w:p>
        </w:tc>
      </w:tr>
    </w:tbl>
    <w:p w14:paraId="6966F1BF" w14:textId="4BF1F220"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52DAC" w14:paraId="327509E4"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550A33"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DAC" w14:paraId="2E4E457B"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092E9E" w14:textId="7D0FEA3D"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sidR="00B9482A">
              <w:rPr>
                <w:rFonts w:ascii="Times New Roman" w:eastAsia="Times New Roman" w:hAnsi="Times New Roman" w:cs="Times New Roman"/>
                <w:bCs/>
                <w:iCs/>
                <w:sz w:val="24"/>
                <w:szCs w:val="24"/>
                <w:lang w:eastAsia="lv-LV"/>
              </w:rPr>
              <w:t>.</w:t>
            </w:r>
          </w:p>
        </w:tc>
      </w:tr>
    </w:tbl>
    <w:p w14:paraId="0BCC509C" w14:textId="3DA4225E"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8"/>
        <w:gridCol w:w="1259"/>
        <w:gridCol w:w="7557"/>
      </w:tblGrid>
      <w:tr w:rsidR="007A5BF8" w:rsidRPr="007A5BF8" w14:paraId="2B186C8E" w14:textId="77777777" w:rsidTr="007A5BF8">
        <w:trPr>
          <w:tblCellSpacing w:w="15" w:type="dxa"/>
        </w:trPr>
        <w:tc>
          <w:tcPr>
            <w:tcW w:w="9154" w:type="dxa"/>
            <w:gridSpan w:val="3"/>
            <w:tcBorders>
              <w:top w:val="outset" w:sz="6" w:space="0" w:color="auto"/>
              <w:left w:val="outset" w:sz="6" w:space="0" w:color="auto"/>
              <w:bottom w:val="outset" w:sz="6" w:space="0" w:color="auto"/>
              <w:right w:val="outset" w:sz="6" w:space="0" w:color="auto"/>
            </w:tcBorders>
            <w:vAlign w:val="center"/>
            <w:hideMark/>
          </w:tcPr>
          <w:p w14:paraId="0331DDD8" w14:textId="77777777" w:rsidR="007A5BF8" w:rsidRPr="007A5BF8" w:rsidRDefault="007A5BF8" w:rsidP="007A5BF8">
            <w:pPr>
              <w:spacing w:after="0" w:line="240" w:lineRule="auto"/>
              <w:jc w:val="center"/>
              <w:rPr>
                <w:rFonts w:ascii="Times New Roman" w:eastAsia="Times New Roman" w:hAnsi="Times New Roman" w:cs="Times New Roman"/>
                <w:b/>
                <w:bCs/>
                <w:iCs/>
                <w:sz w:val="24"/>
                <w:szCs w:val="24"/>
                <w:lang w:eastAsia="lv-LV"/>
              </w:rPr>
            </w:pPr>
            <w:r w:rsidRPr="007A5BF8">
              <w:rPr>
                <w:rFonts w:ascii="Times New Roman" w:eastAsia="Times New Roman" w:hAnsi="Times New Roman" w:cs="Times New Roman"/>
                <w:b/>
                <w:bCs/>
                <w:iCs/>
                <w:sz w:val="24"/>
                <w:szCs w:val="24"/>
                <w:lang w:eastAsia="lv-LV"/>
              </w:rPr>
              <w:t>VI. Sabiedrības līdzdalība un komunikācijas aktivitātes</w:t>
            </w:r>
          </w:p>
        </w:tc>
      </w:tr>
      <w:tr w:rsidR="007A5BF8" w:rsidRPr="007A5BF8" w14:paraId="77249C90"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309493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1.</w:t>
            </w:r>
          </w:p>
        </w:tc>
        <w:tc>
          <w:tcPr>
            <w:tcW w:w="1229" w:type="dxa"/>
            <w:tcBorders>
              <w:top w:val="outset" w:sz="6" w:space="0" w:color="auto"/>
              <w:left w:val="outset" w:sz="6" w:space="0" w:color="auto"/>
              <w:bottom w:val="outset" w:sz="6" w:space="0" w:color="auto"/>
              <w:right w:val="outset" w:sz="6" w:space="0" w:color="auto"/>
            </w:tcBorders>
            <w:hideMark/>
          </w:tcPr>
          <w:p w14:paraId="7649EA3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512" w:type="dxa"/>
            <w:tcBorders>
              <w:top w:val="outset" w:sz="6" w:space="0" w:color="auto"/>
              <w:left w:val="outset" w:sz="6" w:space="0" w:color="auto"/>
              <w:bottom w:val="outset" w:sz="6" w:space="0" w:color="auto"/>
              <w:right w:val="outset" w:sz="6" w:space="0" w:color="auto"/>
            </w:tcBorders>
            <w:hideMark/>
          </w:tcPr>
          <w:p w14:paraId="0CAA2A47" w14:textId="77777777" w:rsidR="007A5BF8" w:rsidRPr="007A5BF8" w:rsidRDefault="007A5BF8" w:rsidP="007A5BF8">
            <w:pPr>
              <w:spacing w:after="0" w:line="240" w:lineRule="auto"/>
              <w:jc w:val="both"/>
              <w:rPr>
                <w:rFonts w:ascii="Times New Roman" w:eastAsia="Times New Roman" w:hAnsi="Times New Roman" w:cs="Times New Roman"/>
                <w:bCs/>
                <w:sz w:val="24"/>
                <w:szCs w:val="24"/>
                <w:lang w:eastAsia="lv-LV"/>
              </w:rPr>
            </w:pPr>
            <w:r w:rsidRPr="007A5BF8">
              <w:rPr>
                <w:rFonts w:ascii="Times New Roman" w:eastAsia="Times New Roman" w:hAnsi="Times New Roman" w:cs="Times New Roman"/>
                <w:bCs/>
                <w:sz w:val="24"/>
                <w:szCs w:val="24"/>
                <w:lang w:eastAsia="lv-LV"/>
              </w:rPr>
              <w:t>Sabiedrības līdzdalība Projekta izstrādē īstenota atbilstoši Ministru kabineta 2009. gada 25. augusta noteikumiem Nr. 970 “Sabiedrības līdzdalības kārtība attīstības plānošanas procesā” 7.4.</w:t>
            </w:r>
            <w:r w:rsidRPr="007A5BF8">
              <w:rPr>
                <w:rFonts w:ascii="Times New Roman" w:eastAsia="Times New Roman" w:hAnsi="Times New Roman" w:cs="Times New Roman"/>
                <w:sz w:val="24"/>
                <w:szCs w:val="24"/>
                <w:vertAlign w:val="superscript"/>
                <w:lang w:eastAsia="lv-LV"/>
              </w:rPr>
              <w:t xml:space="preserve"> 1</w:t>
            </w:r>
            <w:r w:rsidRPr="007A5BF8">
              <w:rPr>
                <w:rFonts w:ascii="Times New Roman" w:eastAsia="Times New Roman" w:hAnsi="Times New Roman" w:cs="Times New Roman"/>
                <w:bCs/>
                <w:sz w:val="24"/>
                <w:szCs w:val="24"/>
                <w:lang w:eastAsia="lv-LV"/>
              </w:rPr>
              <w:t xml:space="preserve"> apakšpunktā, proti, sabiedrības pārstāvjiem tika dota iespēja rakstiski sniegt viedokli par Noteikumu projektu tā izstrādes stadijā.</w:t>
            </w:r>
          </w:p>
        </w:tc>
      </w:tr>
      <w:tr w:rsidR="007A5BF8" w:rsidRPr="007A5BF8" w14:paraId="62320B0C"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5297380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2.</w:t>
            </w:r>
          </w:p>
        </w:tc>
        <w:tc>
          <w:tcPr>
            <w:tcW w:w="1229" w:type="dxa"/>
            <w:tcBorders>
              <w:top w:val="outset" w:sz="6" w:space="0" w:color="auto"/>
              <w:left w:val="outset" w:sz="6" w:space="0" w:color="auto"/>
              <w:bottom w:val="outset" w:sz="6" w:space="0" w:color="auto"/>
              <w:right w:val="outset" w:sz="6" w:space="0" w:color="auto"/>
            </w:tcBorders>
            <w:hideMark/>
          </w:tcPr>
          <w:p w14:paraId="0E4E086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 projekta izstrādē</w:t>
            </w:r>
          </w:p>
        </w:tc>
        <w:tc>
          <w:tcPr>
            <w:tcW w:w="7512" w:type="dxa"/>
            <w:tcBorders>
              <w:top w:val="outset" w:sz="6" w:space="0" w:color="auto"/>
              <w:left w:val="outset" w:sz="6" w:space="0" w:color="auto"/>
              <w:bottom w:val="outset" w:sz="6" w:space="0" w:color="auto"/>
              <w:right w:val="outset" w:sz="6" w:space="0" w:color="auto"/>
            </w:tcBorders>
            <w:hideMark/>
          </w:tcPr>
          <w:p w14:paraId="62A4AA9C" w14:textId="59BFDD3F"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896405">
              <w:rPr>
                <w:rFonts w:ascii="Times New Roman" w:hAnsi="Times New Roman" w:cs="Times New Roman"/>
                <w:color w:val="000000" w:themeColor="text1"/>
                <w:sz w:val="24"/>
                <w:szCs w:val="24"/>
              </w:rPr>
              <w:t xml:space="preserve">2021. gada </w:t>
            </w:r>
            <w:r w:rsidR="00F43101">
              <w:rPr>
                <w:rFonts w:ascii="Times New Roman" w:hAnsi="Times New Roman" w:cs="Times New Roman"/>
                <w:color w:val="000000" w:themeColor="text1"/>
                <w:sz w:val="24"/>
                <w:szCs w:val="24"/>
              </w:rPr>
              <w:t>17.</w:t>
            </w:r>
            <w:r w:rsidRPr="00896405">
              <w:rPr>
                <w:rFonts w:ascii="Times New Roman" w:hAnsi="Times New Roman" w:cs="Times New Roman"/>
                <w:color w:val="000000" w:themeColor="text1"/>
                <w:sz w:val="24"/>
                <w:szCs w:val="24"/>
              </w:rPr>
              <w:t>februārī</w:t>
            </w:r>
            <w:r w:rsidRPr="007A5BF8">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  </w:t>
            </w:r>
            <w:hyperlink r:id="rId7" w:history="1">
              <w:r w:rsidRPr="007A5BF8">
                <w:rPr>
                  <w:rFonts w:ascii="Times New Roman" w:hAnsi="Times New Roman" w:cs="Times New Roman"/>
                  <w:color w:val="0000FF"/>
                  <w:sz w:val="24"/>
                  <w:szCs w:val="24"/>
                  <w:u w:val="single"/>
                </w:rPr>
                <w:t>https://em.gov.lv/lv/Ministrija/sabiedribas_lidzdaliba/diskusiju_dokumenti/</w:t>
              </w:r>
            </w:hyperlink>
            <w:r w:rsidRPr="007A5BF8">
              <w:rPr>
                <w:rFonts w:ascii="Times New Roman" w:hAnsi="Times New Roman" w:cs="Times New Roman"/>
                <w:color w:val="000000" w:themeColor="text1"/>
                <w:sz w:val="24"/>
                <w:szCs w:val="24"/>
              </w:rPr>
              <w:t xml:space="preserve"> un Valsts kancelejas tīmekļa vietnē: </w:t>
            </w:r>
            <w:hyperlink r:id="rId8" w:history="1">
              <w:r w:rsidRPr="007A5BF8">
                <w:rPr>
                  <w:rFonts w:ascii="Times New Roman" w:hAnsi="Times New Roman" w:cs="Times New Roman"/>
                  <w:color w:val="0000FF"/>
                  <w:sz w:val="24"/>
                  <w:szCs w:val="24"/>
                  <w:u w:val="single"/>
                </w:rPr>
                <w:t>https://www.mk.gov.lv/content/ministru-kabineta-diskusiju-dokumenti</w:t>
              </w:r>
            </w:hyperlink>
            <w:r w:rsidRPr="007A5BF8">
              <w:rPr>
                <w:rFonts w:ascii="Times New Roman" w:hAnsi="Times New Roman" w:cs="Times New Roman"/>
                <w:color w:val="000000" w:themeColor="text1"/>
                <w:sz w:val="24"/>
                <w:szCs w:val="24"/>
              </w:rPr>
              <w:t>, aicinot sabiedrību izteikt savu rakstisku viedokli</w:t>
            </w:r>
            <w:r w:rsidRPr="007A5BF8">
              <w:rPr>
                <w:rFonts w:ascii="Times New Roman" w:eastAsia="Times New Roman" w:hAnsi="Times New Roman" w:cs="Times New Roman"/>
                <w:iCs/>
                <w:sz w:val="24"/>
                <w:szCs w:val="24"/>
                <w:lang w:eastAsia="lv-LV"/>
              </w:rPr>
              <w:t xml:space="preserve"> </w:t>
            </w:r>
          </w:p>
        </w:tc>
      </w:tr>
      <w:tr w:rsidR="007A5BF8" w:rsidRPr="007A5BF8" w14:paraId="73575C3B"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34DEA62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3.</w:t>
            </w:r>
          </w:p>
        </w:tc>
        <w:tc>
          <w:tcPr>
            <w:tcW w:w="1229" w:type="dxa"/>
            <w:tcBorders>
              <w:top w:val="outset" w:sz="6" w:space="0" w:color="auto"/>
              <w:left w:val="outset" w:sz="6" w:space="0" w:color="auto"/>
              <w:bottom w:val="outset" w:sz="6" w:space="0" w:color="auto"/>
              <w:right w:val="outset" w:sz="6" w:space="0" w:color="auto"/>
            </w:tcBorders>
            <w:hideMark/>
          </w:tcPr>
          <w:p w14:paraId="5C99C58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līdzdalības rezultāti</w:t>
            </w:r>
          </w:p>
          <w:p w14:paraId="123B498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p>
        </w:tc>
        <w:tc>
          <w:tcPr>
            <w:tcW w:w="7512" w:type="dxa"/>
            <w:tcBorders>
              <w:top w:val="outset" w:sz="6" w:space="0" w:color="auto"/>
              <w:left w:val="outset" w:sz="6" w:space="0" w:color="auto"/>
              <w:bottom w:val="outset" w:sz="6" w:space="0" w:color="auto"/>
              <w:right w:val="outset" w:sz="6" w:space="0" w:color="auto"/>
            </w:tcBorders>
            <w:hideMark/>
          </w:tcPr>
          <w:p w14:paraId="39A7BF01" w14:textId="74C7326B"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 xml:space="preserve"> </w:t>
            </w:r>
            <w:r w:rsidR="00C87E76">
              <w:rPr>
                <w:rFonts w:ascii="Times New Roman" w:eastAsia="Times New Roman" w:hAnsi="Times New Roman" w:cs="Times New Roman"/>
                <w:iCs/>
                <w:sz w:val="24"/>
                <w:szCs w:val="24"/>
                <w:lang w:eastAsia="lv-LV"/>
              </w:rPr>
              <w:t xml:space="preserve">SIA “INTERGAZ” izteica savu viedokli par to, ka atbalsta noteikumu projekta grozījumus, lai mājsaimniecībās tiktu lietoti drošības prasībām atbilstoši spiedieniekārtu kompleksi. </w:t>
            </w:r>
          </w:p>
        </w:tc>
      </w:tr>
      <w:tr w:rsidR="007A5BF8" w:rsidRPr="007A5BF8" w14:paraId="59F14498"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797A3F96"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4.</w:t>
            </w:r>
          </w:p>
        </w:tc>
        <w:tc>
          <w:tcPr>
            <w:tcW w:w="1229" w:type="dxa"/>
            <w:tcBorders>
              <w:top w:val="outset" w:sz="6" w:space="0" w:color="auto"/>
              <w:left w:val="outset" w:sz="6" w:space="0" w:color="auto"/>
              <w:bottom w:val="outset" w:sz="6" w:space="0" w:color="auto"/>
              <w:right w:val="outset" w:sz="6" w:space="0" w:color="auto"/>
            </w:tcBorders>
            <w:hideMark/>
          </w:tcPr>
          <w:p w14:paraId="61E65CF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Cita informācija</w:t>
            </w:r>
          </w:p>
        </w:tc>
        <w:tc>
          <w:tcPr>
            <w:tcW w:w="7512" w:type="dxa"/>
            <w:tcBorders>
              <w:top w:val="outset" w:sz="6" w:space="0" w:color="auto"/>
              <w:left w:val="outset" w:sz="6" w:space="0" w:color="auto"/>
              <w:bottom w:val="outset" w:sz="6" w:space="0" w:color="auto"/>
              <w:right w:val="outset" w:sz="6" w:space="0" w:color="auto"/>
            </w:tcBorders>
            <w:hideMark/>
          </w:tcPr>
          <w:p w14:paraId="5D8888B4" w14:textId="4AC89B75"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0D3E0A77" w14:textId="1CF03859" w:rsidR="00CA1A00"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CA1A00" w14:paraId="25B27CFF" w14:textId="77777777" w:rsidTr="007A5BF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24252A" w14:textId="77777777" w:rsidR="00CA1A00" w:rsidRDefault="00CA1A0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1A00" w14:paraId="3CAB1392"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4B721A14"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735F4A2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29ABBE2A" w14:textId="248EB7AC"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r w:rsidR="00E1124F">
              <w:rPr>
                <w:rFonts w:ascii="Times New Roman" w:eastAsia="Times New Roman" w:hAnsi="Times New Roman" w:cs="Times New Roman"/>
                <w:iCs/>
                <w:sz w:val="24"/>
                <w:szCs w:val="24"/>
                <w:lang w:eastAsia="lv-LV"/>
              </w:rPr>
              <w:t>.</w:t>
            </w:r>
          </w:p>
        </w:tc>
      </w:tr>
      <w:tr w:rsidR="00CA1A00" w14:paraId="2CC1633F"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A1A985E"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953F6D6"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65313B6B" w14:textId="30979F7E" w:rsidR="00CA1A00" w:rsidRDefault="00E1124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CA1A00">
              <w:rPr>
                <w:rFonts w:ascii="Times New Roman" w:hAnsi="Times New Roman" w:cs="Times New Roman"/>
                <w:sz w:val="24"/>
                <w:szCs w:val="24"/>
              </w:rPr>
              <w:t>rojekts šo jomu neskar</w:t>
            </w:r>
            <w:r>
              <w:rPr>
                <w:rFonts w:ascii="Times New Roman" w:hAnsi="Times New Roman" w:cs="Times New Roman"/>
                <w:sz w:val="24"/>
                <w:szCs w:val="24"/>
              </w:rPr>
              <w:t>.</w:t>
            </w:r>
          </w:p>
        </w:tc>
      </w:tr>
      <w:tr w:rsidR="00CA1A00" w14:paraId="22CD1AA1"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2092688"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0417DD3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228D539B" w14:textId="0D00C654"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12D42432" w14:textId="5787BBD7" w:rsidR="00052DAC" w:rsidRDefault="00052DAC" w:rsidP="00052DAC">
      <w:pPr>
        <w:spacing w:after="0" w:line="240" w:lineRule="auto"/>
        <w:rPr>
          <w:rFonts w:ascii="Times New Roman" w:eastAsia="Times New Roman" w:hAnsi="Times New Roman" w:cs="Times New Roman"/>
          <w:iCs/>
          <w:sz w:val="24"/>
          <w:szCs w:val="24"/>
          <w:lang w:eastAsia="lv-LV"/>
        </w:rPr>
      </w:pPr>
    </w:p>
    <w:p w14:paraId="6ECEEC10" w14:textId="77777777" w:rsidR="00CA1A00" w:rsidRDefault="00CA1A00" w:rsidP="00052DAC">
      <w:pPr>
        <w:spacing w:after="0" w:line="240" w:lineRule="auto"/>
        <w:rPr>
          <w:rFonts w:ascii="Times New Roman" w:eastAsia="Times New Roman" w:hAnsi="Times New Roman" w:cs="Times New Roman"/>
          <w:iCs/>
          <w:sz w:val="24"/>
          <w:szCs w:val="24"/>
          <w:lang w:eastAsia="lv-LV"/>
        </w:rPr>
      </w:pPr>
    </w:p>
    <w:p w14:paraId="10F72A01" w14:textId="23E94B39" w:rsidR="00052DAC" w:rsidRPr="00855CA4" w:rsidRDefault="00052DAC" w:rsidP="00052DA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751330F7" w14:textId="77777777" w:rsidR="00052DAC" w:rsidRDefault="00052DAC" w:rsidP="00052DAC">
      <w:pPr>
        <w:tabs>
          <w:tab w:val="left" w:pos="6720"/>
        </w:tabs>
        <w:spacing w:after="0" w:line="240" w:lineRule="auto"/>
        <w:rPr>
          <w:rFonts w:ascii="Times New Roman" w:hAnsi="Times New Roman" w:cs="Times New Roman"/>
          <w:sz w:val="24"/>
          <w:szCs w:val="24"/>
        </w:rPr>
      </w:pPr>
    </w:p>
    <w:p w14:paraId="51BE94B7"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175C12A4" w14:textId="1F2696C9"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sidR="009521FE">
        <w:rPr>
          <w:rFonts w:ascii="Times New Roman" w:hAnsi="Times New Roman" w:cs="Times New Roman"/>
          <w:bCs/>
          <w:sz w:val="24"/>
          <w:szCs w:val="24"/>
        </w:rPr>
        <w:t xml:space="preserve">s                                                                                   </w:t>
      </w:r>
      <w:proofErr w:type="spellStart"/>
      <w:r w:rsidR="009521FE">
        <w:rPr>
          <w:rFonts w:ascii="Times New Roman" w:hAnsi="Times New Roman" w:cs="Times New Roman"/>
          <w:bCs/>
          <w:sz w:val="24"/>
          <w:szCs w:val="24"/>
        </w:rPr>
        <w:t>E.Valantis</w:t>
      </w:r>
      <w:proofErr w:type="spellEnd"/>
    </w:p>
    <w:p w14:paraId="4243CF1B" w14:textId="57C89D09" w:rsidR="001E0190" w:rsidRPr="001E0190" w:rsidRDefault="001E0190" w:rsidP="001E0190">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E6D1B1F"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p>
    <w:p w14:paraId="39D708BB" w14:textId="26734CD3" w:rsidR="00D9161A" w:rsidRDefault="00D9161A" w:rsidP="00052DAC">
      <w:pPr>
        <w:tabs>
          <w:tab w:val="left" w:pos="6237"/>
        </w:tabs>
        <w:spacing w:after="0" w:line="240" w:lineRule="auto"/>
        <w:rPr>
          <w:rFonts w:ascii="Times New Roman" w:hAnsi="Times New Roman" w:cs="Times New Roman"/>
          <w:sz w:val="18"/>
          <w:szCs w:val="18"/>
        </w:rPr>
      </w:pPr>
    </w:p>
    <w:p w14:paraId="30571026" w14:textId="77777777" w:rsidR="009521FE" w:rsidRDefault="009521FE" w:rsidP="00052DAC">
      <w:pPr>
        <w:tabs>
          <w:tab w:val="left" w:pos="6237"/>
        </w:tabs>
        <w:spacing w:after="0" w:line="240" w:lineRule="auto"/>
        <w:rPr>
          <w:rFonts w:ascii="Times New Roman" w:hAnsi="Times New Roman" w:cs="Times New Roman"/>
          <w:sz w:val="18"/>
          <w:szCs w:val="18"/>
        </w:rPr>
      </w:pPr>
    </w:p>
    <w:p w14:paraId="18B2AA20" w14:textId="594DD785" w:rsidR="00D9161A" w:rsidRDefault="00D9161A" w:rsidP="00052DAC">
      <w:pPr>
        <w:tabs>
          <w:tab w:val="left" w:pos="6237"/>
        </w:tabs>
        <w:spacing w:after="0" w:line="240" w:lineRule="auto"/>
        <w:rPr>
          <w:rFonts w:ascii="Times New Roman" w:hAnsi="Times New Roman" w:cs="Times New Roman"/>
          <w:sz w:val="18"/>
          <w:szCs w:val="18"/>
        </w:rPr>
      </w:pPr>
    </w:p>
    <w:p w14:paraId="1A51FE48" w14:textId="77777777" w:rsidR="001836FB" w:rsidRDefault="001836FB" w:rsidP="00052DAC">
      <w:pPr>
        <w:tabs>
          <w:tab w:val="left" w:pos="6237"/>
        </w:tabs>
        <w:spacing w:after="0" w:line="240" w:lineRule="auto"/>
        <w:rPr>
          <w:rFonts w:ascii="Times New Roman" w:hAnsi="Times New Roman" w:cs="Times New Roman"/>
          <w:sz w:val="18"/>
          <w:szCs w:val="18"/>
        </w:rPr>
      </w:pPr>
    </w:p>
    <w:p w14:paraId="6A7E22B9" w14:textId="29C9B2A4"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0407148A" w14:textId="77777777"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EAB92E1" w14:textId="77777777" w:rsidR="00052DAC" w:rsidRPr="003A1374" w:rsidRDefault="00052DAC" w:rsidP="00052DAC">
      <w:pPr>
        <w:rPr>
          <w:sz w:val="18"/>
          <w:szCs w:val="18"/>
        </w:rPr>
      </w:pPr>
    </w:p>
    <w:sectPr w:rsidR="00052DAC"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AFA0" w14:textId="77777777" w:rsidR="002C384A" w:rsidRDefault="002C384A" w:rsidP="00652C23">
      <w:pPr>
        <w:spacing w:after="0" w:line="240" w:lineRule="auto"/>
      </w:pPr>
      <w:r>
        <w:separator/>
      </w:r>
    </w:p>
  </w:endnote>
  <w:endnote w:type="continuationSeparator" w:id="0">
    <w:p w14:paraId="78C89ADD" w14:textId="77777777" w:rsidR="002C384A" w:rsidRDefault="002C384A" w:rsidP="006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6048" w14:textId="4616135B" w:rsidR="00C63502" w:rsidRPr="00C63502" w:rsidRDefault="009521FE"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EMAnot_</w:t>
    </w:r>
    <w:r w:rsidR="002158F0">
      <w:rPr>
        <w:rFonts w:ascii="Times New Roman" w:hAnsi="Times New Roman" w:cs="Times New Roman"/>
        <w:sz w:val="18"/>
        <w:szCs w:val="18"/>
      </w:rPr>
      <w:t>GrozMK5</w:t>
    </w:r>
    <w:r w:rsidR="00791611">
      <w:rPr>
        <w:rFonts w:ascii="Times New Roman" w:hAnsi="Times New Roman" w:cs="Times New Roman"/>
        <w:sz w:val="18"/>
        <w:szCs w:val="18"/>
      </w:rPr>
      <w:t>00</w:t>
    </w:r>
    <w:r w:rsidR="00B50C49">
      <w:rPr>
        <w:rFonts w:ascii="Times New Roman" w:hAnsi="Times New Roman" w:cs="Times New Roman"/>
        <w:sz w:val="18"/>
        <w:szCs w:val="18"/>
      </w:rPr>
      <w:t>_MK518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AAAA" w14:textId="77777777" w:rsidR="002C384A" w:rsidRDefault="002C384A" w:rsidP="00652C23">
      <w:pPr>
        <w:spacing w:after="0" w:line="240" w:lineRule="auto"/>
      </w:pPr>
      <w:r>
        <w:separator/>
      </w:r>
    </w:p>
  </w:footnote>
  <w:footnote w:type="continuationSeparator" w:id="0">
    <w:p w14:paraId="28A08BD2" w14:textId="77777777" w:rsidR="002C384A" w:rsidRDefault="002C384A" w:rsidP="0065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6128"/>
    <w:multiLevelType w:val="hybridMultilevel"/>
    <w:tmpl w:val="C8CCDC9E"/>
    <w:lvl w:ilvl="0" w:tplc="A6B295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C"/>
    <w:rsid w:val="00012BA5"/>
    <w:rsid w:val="00035242"/>
    <w:rsid w:val="00051774"/>
    <w:rsid w:val="00052DAC"/>
    <w:rsid w:val="000611EE"/>
    <w:rsid w:val="000855CC"/>
    <w:rsid w:val="00101022"/>
    <w:rsid w:val="00104434"/>
    <w:rsid w:val="00115C92"/>
    <w:rsid w:val="001235E4"/>
    <w:rsid w:val="0013004D"/>
    <w:rsid w:val="00145879"/>
    <w:rsid w:val="001836FB"/>
    <w:rsid w:val="00186325"/>
    <w:rsid w:val="00193885"/>
    <w:rsid w:val="001B3262"/>
    <w:rsid w:val="001D66FF"/>
    <w:rsid w:val="001D6B76"/>
    <w:rsid w:val="001D7BC7"/>
    <w:rsid w:val="001E0190"/>
    <w:rsid w:val="001E1A5B"/>
    <w:rsid w:val="002102F2"/>
    <w:rsid w:val="002158F0"/>
    <w:rsid w:val="00234CB4"/>
    <w:rsid w:val="00237D18"/>
    <w:rsid w:val="002535F4"/>
    <w:rsid w:val="00255E33"/>
    <w:rsid w:val="00262D93"/>
    <w:rsid w:val="00294165"/>
    <w:rsid w:val="002A09C9"/>
    <w:rsid w:val="002C276B"/>
    <w:rsid w:val="002C384A"/>
    <w:rsid w:val="002D7E52"/>
    <w:rsid w:val="00307B34"/>
    <w:rsid w:val="00335760"/>
    <w:rsid w:val="0034027D"/>
    <w:rsid w:val="00343697"/>
    <w:rsid w:val="00347ABB"/>
    <w:rsid w:val="00355CA2"/>
    <w:rsid w:val="003563CA"/>
    <w:rsid w:val="003573E2"/>
    <w:rsid w:val="00360924"/>
    <w:rsid w:val="003706BA"/>
    <w:rsid w:val="00394B1B"/>
    <w:rsid w:val="003A1374"/>
    <w:rsid w:val="003B6056"/>
    <w:rsid w:val="003D6B6E"/>
    <w:rsid w:val="00411E18"/>
    <w:rsid w:val="00415CA3"/>
    <w:rsid w:val="00432B68"/>
    <w:rsid w:val="00437D17"/>
    <w:rsid w:val="00471809"/>
    <w:rsid w:val="004A70A6"/>
    <w:rsid w:val="004B2AD7"/>
    <w:rsid w:val="004E2924"/>
    <w:rsid w:val="004E2CCB"/>
    <w:rsid w:val="004F3D47"/>
    <w:rsid w:val="00502BD0"/>
    <w:rsid w:val="00521F76"/>
    <w:rsid w:val="00553618"/>
    <w:rsid w:val="00570730"/>
    <w:rsid w:val="005A6364"/>
    <w:rsid w:val="005C1134"/>
    <w:rsid w:val="005C68ED"/>
    <w:rsid w:val="005E017F"/>
    <w:rsid w:val="00617A39"/>
    <w:rsid w:val="00620EEC"/>
    <w:rsid w:val="00622907"/>
    <w:rsid w:val="006339CA"/>
    <w:rsid w:val="00652C23"/>
    <w:rsid w:val="00666663"/>
    <w:rsid w:val="00666EFD"/>
    <w:rsid w:val="00687EDB"/>
    <w:rsid w:val="006A57CE"/>
    <w:rsid w:val="006B16AF"/>
    <w:rsid w:val="006C05FF"/>
    <w:rsid w:val="006D6DEF"/>
    <w:rsid w:val="006E1757"/>
    <w:rsid w:val="00716C5C"/>
    <w:rsid w:val="007224BE"/>
    <w:rsid w:val="00730DA4"/>
    <w:rsid w:val="007357E7"/>
    <w:rsid w:val="007871F8"/>
    <w:rsid w:val="007909AB"/>
    <w:rsid w:val="00791611"/>
    <w:rsid w:val="007A5BF8"/>
    <w:rsid w:val="007D6244"/>
    <w:rsid w:val="007E27E6"/>
    <w:rsid w:val="007F1C42"/>
    <w:rsid w:val="00817C41"/>
    <w:rsid w:val="00821E3B"/>
    <w:rsid w:val="00822E0A"/>
    <w:rsid w:val="008328F1"/>
    <w:rsid w:val="00833BE1"/>
    <w:rsid w:val="00842A34"/>
    <w:rsid w:val="008572FE"/>
    <w:rsid w:val="00896405"/>
    <w:rsid w:val="008A1B0C"/>
    <w:rsid w:val="008D71E8"/>
    <w:rsid w:val="008F160E"/>
    <w:rsid w:val="008F492E"/>
    <w:rsid w:val="009440BC"/>
    <w:rsid w:val="00946F5A"/>
    <w:rsid w:val="009521FE"/>
    <w:rsid w:val="0096132B"/>
    <w:rsid w:val="00965ECB"/>
    <w:rsid w:val="0097171F"/>
    <w:rsid w:val="00975B93"/>
    <w:rsid w:val="00975E78"/>
    <w:rsid w:val="00980C02"/>
    <w:rsid w:val="00995068"/>
    <w:rsid w:val="009B287D"/>
    <w:rsid w:val="009D2C2A"/>
    <w:rsid w:val="009E59DF"/>
    <w:rsid w:val="009F131D"/>
    <w:rsid w:val="009F43EC"/>
    <w:rsid w:val="009F5571"/>
    <w:rsid w:val="00A10122"/>
    <w:rsid w:val="00A2645E"/>
    <w:rsid w:val="00A26C97"/>
    <w:rsid w:val="00A46257"/>
    <w:rsid w:val="00A5452A"/>
    <w:rsid w:val="00A6611E"/>
    <w:rsid w:val="00A701A1"/>
    <w:rsid w:val="00A7431D"/>
    <w:rsid w:val="00A86749"/>
    <w:rsid w:val="00A90B67"/>
    <w:rsid w:val="00AA1405"/>
    <w:rsid w:val="00AA2838"/>
    <w:rsid w:val="00AA4B53"/>
    <w:rsid w:val="00AA6D05"/>
    <w:rsid w:val="00AB01CA"/>
    <w:rsid w:val="00AB3F48"/>
    <w:rsid w:val="00AC477D"/>
    <w:rsid w:val="00AC7871"/>
    <w:rsid w:val="00B042E4"/>
    <w:rsid w:val="00B2092C"/>
    <w:rsid w:val="00B22DCD"/>
    <w:rsid w:val="00B506E6"/>
    <w:rsid w:val="00B50C49"/>
    <w:rsid w:val="00B6172B"/>
    <w:rsid w:val="00B84D44"/>
    <w:rsid w:val="00B9482A"/>
    <w:rsid w:val="00B9581C"/>
    <w:rsid w:val="00B97999"/>
    <w:rsid w:val="00BA41D0"/>
    <w:rsid w:val="00BA652D"/>
    <w:rsid w:val="00BB2AFA"/>
    <w:rsid w:val="00BE7936"/>
    <w:rsid w:val="00BE7F0D"/>
    <w:rsid w:val="00C11EDF"/>
    <w:rsid w:val="00C14C56"/>
    <w:rsid w:val="00C229A6"/>
    <w:rsid w:val="00C64ACC"/>
    <w:rsid w:val="00C87E76"/>
    <w:rsid w:val="00CA1A00"/>
    <w:rsid w:val="00CD0EB1"/>
    <w:rsid w:val="00CD6F26"/>
    <w:rsid w:val="00CE5C2F"/>
    <w:rsid w:val="00D01A62"/>
    <w:rsid w:val="00D14317"/>
    <w:rsid w:val="00D201DF"/>
    <w:rsid w:val="00D50CBD"/>
    <w:rsid w:val="00D87100"/>
    <w:rsid w:val="00D9161A"/>
    <w:rsid w:val="00DA1866"/>
    <w:rsid w:val="00DA20DD"/>
    <w:rsid w:val="00DC58A9"/>
    <w:rsid w:val="00DD459E"/>
    <w:rsid w:val="00E10BF1"/>
    <w:rsid w:val="00E1124F"/>
    <w:rsid w:val="00E271B7"/>
    <w:rsid w:val="00E31C86"/>
    <w:rsid w:val="00E3283C"/>
    <w:rsid w:val="00E32881"/>
    <w:rsid w:val="00E42363"/>
    <w:rsid w:val="00E4307F"/>
    <w:rsid w:val="00E4358C"/>
    <w:rsid w:val="00E55F0E"/>
    <w:rsid w:val="00E615A9"/>
    <w:rsid w:val="00E8087C"/>
    <w:rsid w:val="00F00C96"/>
    <w:rsid w:val="00F21CF3"/>
    <w:rsid w:val="00F31A1C"/>
    <w:rsid w:val="00F36079"/>
    <w:rsid w:val="00F401E2"/>
    <w:rsid w:val="00F43101"/>
    <w:rsid w:val="00F51139"/>
    <w:rsid w:val="00F83241"/>
    <w:rsid w:val="00FA418A"/>
    <w:rsid w:val="00FB3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C0C"/>
  <w15:chartTrackingRefBased/>
  <w15:docId w15:val="{26DD69C7-7DF3-477B-8D1B-BB2A36C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AC"/>
    <w:pPr>
      <w:spacing w:line="256" w:lineRule="auto"/>
    </w:pPr>
  </w:style>
  <w:style w:type="paragraph" w:styleId="Heading3">
    <w:name w:val="heading 3"/>
    <w:basedOn w:val="Normal"/>
    <w:next w:val="Normal"/>
    <w:link w:val="Heading3Char"/>
    <w:uiPriority w:val="9"/>
    <w:unhideWhenUsed/>
    <w:qFormat/>
    <w:rsid w:val="00052DA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AC"/>
    <w:rPr>
      <w:rFonts w:asciiTheme="majorHAnsi" w:eastAsiaTheme="majorEastAsia" w:hAnsiTheme="majorHAnsi" w:cstheme="majorBidi"/>
      <w:b/>
      <w:bCs/>
      <w:color w:val="4472C4" w:themeColor="accent1"/>
    </w:rPr>
  </w:style>
  <w:style w:type="paragraph" w:styleId="Title">
    <w:name w:val="Title"/>
    <w:basedOn w:val="Normal"/>
    <w:link w:val="TitleChar"/>
    <w:qFormat/>
    <w:rsid w:val="00052DA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52DA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5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DAC"/>
  </w:style>
  <w:style w:type="paragraph" w:styleId="Header">
    <w:name w:val="header"/>
    <w:basedOn w:val="Normal"/>
    <w:link w:val="HeaderChar"/>
    <w:uiPriority w:val="99"/>
    <w:unhideWhenUsed/>
    <w:rsid w:val="0065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C23"/>
  </w:style>
  <w:style w:type="character" w:styleId="CommentReference">
    <w:name w:val="annotation reference"/>
    <w:basedOn w:val="DefaultParagraphFont"/>
    <w:uiPriority w:val="99"/>
    <w:semiHidden/>
    <w:unhideWhenUsed/>
    <w:rsid w:val="00471809"/>
    <w:rPr>
      <w:sz w:val="16"/>
      <w:szCs w:val="16"/>
    </w:rPr>
  </w:style>
  <w:style w:type="paragraph" w:styleId="CommentText">
    <w:name w:val="annotation text"/>
    <w:basedOn w:val="Normal"/>
    <w:link w:val="CommentTextChar"/>
    <w:uiPriority w:val="99"/>
    <w:unhideWhenUsed/>
    <w:rsid w:val="00471809"/>
    <w:pPr>
      <w:spacing w:line="240" w:lineRule="auto"/>
    </w:pPr>
    <w:rPr>
      <w:sz w:val="20"/>
      <w:szCs w:val="20"/>
    </w:rPr>
  </w:style>
  <w:style w:type="character" w:customStyle="1" w:styleId="CommentTextChar">
    <w:name w:val="Comment Text Char"/>
    <w:basedOn w:val="DefaultParagraphFont"/>
    <w:link w:val="CommentText"/>
    <w:uiPriority w:val="99"/>
    <w:rsid w:val="00471809"/>
    <w:rPr>
      <w:sz w:val="20"/>
      <w:szCs w:val="20"/>
    </w:rPr>
  </w:style>
  <w:style w:type="paragraph" w:styleId="CommentSubject">
    <w:name w:val="annotation subject"/>
    <w:basedOn w:val="CommentText"/>
    <w:next w:val="CommentText"/>
    <w:link w:val="CommentSubjectChar"/>
    <w:uiPriority w:val="99"/>
    <w:semiHidden/>
    <w:unhideWhenUsed/>
    <w:rsid w:val="00471809"/>
    <w:rPr>
      <w:b/>
      <w:bCs/>
    </w:rPr>
  </w:style>
  <w:style w:type="character" w:customStyle="1" w:styleId="CommentSubjectChar">
    <w:name w:val="Comment Subject Char"/>
    <w:basedOn w:val="CommentTextChar"/>
    <w:link w:val="CommentSubject"/>
    <w:uiPriority w:val="99"/>
    <w:semiHidden/>
    <w:rsid w:val="00471809"/>
    <w:rPr>
      <w:b/>
      <w:bCs/>
      <w:sz w:val="20"/>
      <w:szCs w:val="20"/>
    </w:rPr>
  </w:style>
  <w:style w:type="paragraph" w:styleId="BalloonText">
    <w:name w:val="Balloon Text"/>
    <w:basedOn w:val="Normal"/>
    <w:link w:val="BalloonTextChar"/>
    <w:uiPriority w:val="99"/>
    <w:semiHidden/>
    <w:unhideWhenUsed/>
    <w:rsid w:val="0047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09"/>
    <w:rPr>
      <w:rFonts w:ascii="Segoe UI" w:hAnsi="Segoe UI" w:cs="Segoe UI"/>
      <w:sz w:val="18"/>
      <w:szCs w:val="18"/>
    </w:rPr>
  </w:style>
  <w:style w:type="paragraph" w:customStyle="1" w:styleId="tv213">
    <w:name w:val="tv213"/>
    <w:basedOn w:val="Normal"/>
    <w:rsid w:val="002941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11EE"/>
    <w:rPr>
      <w:color w:val="0000FF"/>
      <w:u w:val="single"/>
    </w:rPr>
  </w:style>
  <w:style w:type="paragraph" w:customStyle="1" w:styleId="labojumupamats">
    <w:name w:val="labojumu_pamats"/>
    <w:basedOn w:val="Normal"/>
    <w:rsid w:val="00061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09AB"/>
    <w:pPr>
      <w:spacing w:after="0" w:line="240" w:lineRule="auto"/>
    </w:pPr>
  </w:style>
  <w:style w:type="paragraph" w:styleId="FootnoteText">
    <w:name w:val="footnote text"/>
    <w:basedOn w:val="Normal"/>
    <w:link w:val="FootnoteTextChar"/>
    <w:uiPriority w:val="99"/>
    <w:semiHidden/>
    <w:unhideWhenUsed/>
    <w:rsid w:val="009E59DF"/>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E59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E59DF"/>
    <w:rPr>
      <w:vertAlign w:val="superscript"/>
    </w:rPr>
  </w:style>
  <w:style w:type="paragraph" w:styleId="ListParagraph">
    <w:name w:val="List Paragraph"/>
    <w:basedOn w:val="Normal"/>
    <w:uiPriority w:val="34"/>
    <w:qFormat/>
    <w:rsid w:val="0085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131">
      <w:bodyDiv w:val="1"/>
      <w:marLeft w:val="0"/>
      <w:marRight w:val="0"/>
      <w:marTop w:val="0"/>
      <w:marBottom w:val="0"/>
      <w:divBdr>
        <w:top w:val="none" w:sz="0" w:space="0" w:color="auto"/>
        <w:left w:val="none" w:sz="0" w:space="0" w:color="auto"/>
        <w:bottom w:val="none" w:sz="0" w:space="0" w:color="auto"/>
        <w:right w:val="none" w:sz="0" w:space="0" w:color="auto"/>
      </w:divBdr>
      <w:divsChild>
        <w:div w:id="385762288">
          <w:marLeft w:val="0"/>
          <w:marRight w:val="0"/>
          <w:marTop w:val="0"/>
          <w:marBottom w:val="0"/>
          <w:divBdr>
            <w:top w:val="none" w:sz="0" w:space="0" w:color="auto"/>
            <w:left w:val="none" w:sz="0" w:space="0" w:color="auto"/>
            <w:bottom w:val="none" w:sz="0" w:space="0" w:color="auto"/>
            <w:right w:val="none" w:sz="0" w:space="0" w:color="auto"/>
          </w:divBdr>
        </w:div>
        <w:div w:id="1923295261">
          <w:marLeft w:val="0"/>
          <w:marRight w:val="0"/>
          <w:marTop w:val="0"/>
          <w:marBottom w:val="0"/>
          <w:divBdr>
            <w:top w:val="none" w:sz="0" w:space="0" w:color="auto"/>
            <w:left w:val="none" w:sz="0" w:space="0" w:color="auto"/>
            <w:bottom w:val="none" w:sz="0" w:space="0" w:color="auto"/>
            <w:right w:val="none" w:sz="0" w:space="0" w:color="auto"/>
          </w:divBdr>
        </w:div>
      </w:divsChild>
    </w:div>
    <w:div w:id="372198970">
      <w:bodyDiv w:val="1"/>
      <w:marLeft w:val="0"/>
      <w:marRight w:val="0"/>
      <w:marTop w:val="0"/>
      <w:marBottom w:val="0"/>
      <w:divBdr>
        <w:top w:val="none" w:sz="0" w:space="0" w:color="auto"/>
        <w:left w:val="none" w:sz="0" w:space="0" w:color="auto"/>
        <w:bottom w:val="none" w:sz="0" w:space="0" w:color="auto"/>
        <w:right w:val="none" w:sz="0" w:space="0" w:color="auto"/>
      </w:divBdr>
    </w:div>
    <w:div w:id="724305015">
      <w:bodyDiv w:val="1"/>
      <w:marLeft w:val="0"/>
      <w:marRight w:val="0"/>
      <w:marTop w:val="0"/>
      <w:marBottom w:val="0"/>
      <w:divBdr>
        <w:top w:val="none" w:sz="0" w:space="0" w:color="auto"/>
        <w:left w:val="none" w:sz="0" w:space="0" w:color="auto"/>
        <w:bottom w:val="none" w:sz="0" w:space="0" w:color="auto"/>
        <w:right w:val="none" w:sz="0" w:space="0" w:color="auto"/>
      </w:divBdr>
    </w:div>
    <w:div w:id="1119296092">
      <w:bodyDiv w:val="1"/>
      <w:marLeft w:val="0"/>
      <w:marRight w:val="0"/>
      <w:marTop w:val="0"/>
      <w:marBottom w:val="0"/>
      <w:divBdr>
        <w:top w:val="none" w:sz="0" w:space="0" w:color="auto"/>
        <w:left w:val="none" w:sz="0" w:space="0" w:color="auto"/>
        <w:bottom w:val="none" w:sz="0" w:space="0" w:color="auto"/>
        <w:right w:val="none" w:sz="0" w:space="0" w:color="auto"/>
      </w:divBdr>
    </w:div>
    <w:div w:id="13332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1474</TotalTime>
  <Pages>5</Pages>
  <Words>6883</Words>
  <Characters>3924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25</cp:revision>
  <dcterms:created xsi:type="dcterms:W3CDTF">2021-02-08T08:53:00Z</dcterms:created>
  <dcterms:modified xsi:type="dcterms:W3CDTF">2021-04-28T11:41:00Z</dcterms:modified>
</cp:coreProperties>
</file>