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ED08" w14:textId="77777777" w:rsidR="00592113" w:rsidRDefault="00592113" w:rsidP="0091069F">
      <w:pPr>
        <w:jc w:val="center"/>
        <w:rPr>
          <w:sz w:val="28"/>
          <w:szCs w:val="28"/>
        </w:rPr>
      </w:pPr>
    </w:p>
    <w:p w14:paraId="62FAB1BA" w14:textId="4C9E03FD" w:rsidR="0091069F" w:rsidRPr="003D5429" w:rsidRDefault="0091069F" w:rsidP="0091069F">
      <w:pPr>
        <w:jc w:val="center"/>
        <w:rPr>
          <w:sz w:val="28"/>
          <w:szCs w:val="28"/>
        </w:rPr>
      </w:pPr>
      <w:r w:rsidRPr="003D5429">
        <w:rPr>
          <w:sz w:val="28"/>
          <w:szCs w:val="28"/>
        </w:rPr>
        <w:t>Izziņa par atzinumos sniegtajiem iebildumiem par</w:t>
      </w:r>
    </w:p>
    <w:tbl>
      <w:tblPr>
        <w:tblW w:w="0" w:type="auto"/>
        <w:jc w:val="center"/>
        <w:tblLook w:val="00A0" w:firstRow="1" w:lastRow="0" w:firstColumn="1" w:lastColumn="0" w:noHBand="0" w:noVBand="0"/>
      </w:tblPr>
      <w:tblGrid>
        <w:gridCol w:w="10188"/>
      </w:tblGrid>
      <w:tr w:rsidR="0091069F" w:rsidRPr="003D5429" w14:paraId="19049D0D" w14:textId="77777777" w:rsidTr="002B0E4B">
        <w:trPr>
          <w:jc w:val="center"/>
        </w:trPr>
        <w:tc>
          <w:tcPr>
            <w:tcW w:w="10188" w:type="dxa"/>
            <w:tcBorders>
              <w:bottom w:val="single" w:sz="6" w:space="0" w:color="000000"/>
            </w:tcBorders>
          </w:tcPr>
          <w:p w14:paraId="46810CA1" w14:textId="77777777" w:rsidR="0091069F" w:rsidRDefault="0091069F" w:rsidP="002B0E4B">
            <w:pPr>
              <w:pStyle w:val="Body1"/>
              <w:spacing w:after="0" w:line="240" w:lineRule="auto"/>
              <w:jc w:val="center"/>
              <w:rPr>
                <w:rFonts w:ascii="Times New Roman" w:hAnsi="Times New Roman"/>
                <w:b/>
                <w:color w:val="auto"/>
                <w:sz w:val="28"/>
                <w:szCs w:val="28"/>
              </w:rPr>
            </w:pPr>
          </w:p>
          <w:p w14:paraId="5FCE5115" w14:textId="68E05207" w:rsidR="0091069F" w:rsidRDefault="00EF70A1" w:rsidP="002B0E4B">
            <w:pPr>
              <w:pStyle w:val="Body1"/>
              <w:spacing w:after="0" w:line="240" w:lineRule="auto"/>
              <w:jc w:val="center"/>
              <w:rPr>
                <w:rFonts w:ascii="Times New Roman" w:hAnsi="Times New Roman"/>
                <w:b/>
                <w:color w:val="auto"/>
                <w:sz w:val="28"/>
                <w:szCs w:val="28"/>
              </w:rPr>
            </w:pPr>
            <w:bookmarkStart w:id="0" w:name="_Hlk22909231"/>
            <w:r>
              <w:rPr>
                <w:rFonts w:ascii="Times New Roman" w:hAnsi="Times New Roman"/>
                <w:b/>
                <w:color w:val="auto"/>
                <w:sz w:val="28"/>
                <w:szCs w:val="28"/>
              </w:rPr>
              <w:t>Ministru kabineta noteikumu</w:t>
            </w:r>
            <w:r w:rsidR="0091069F">
              <w:rPr>
                <w:rFonts w:ascii="Times New Roman" w:hAnsi="Times New Roman"/>
                <w:b/>
                <w:color w:val="auto"/>
                <w:sz w:val="28"/>
                <w:szCs w:val="28"/>
              </w:rPr>
              <w:t xml:space="preserve"> projektu</w:t>
            </w:r>
          </w:p>
          <w:p w14:paraId="2B6B9659" w14:textId="75A14487" w:rsidR="002F0C6D" w:rsidRPr="008C6382" w:rsidRDefault="0091069F" w:rsidP="002F0C6D">
            <w:pPr>
              <w:jc w:val="center"/>
              <w:rPr>
                <w:b/>
                <w:bCs/>
                <w:sz w:val="28"/>
                <w:szCs w:val="28"/>
              </w:rPr>
            </w:pPr>
            <w:r>
              <w:rPr>
                <w:b/>
                <w:sz w:val="28"/>
                <w:szCs w:val="28"/>
              </w:rPr>
              <w:t>“</w:t>
            </w:r>
            <w:r w:rsidR="002F0C6D" w:rsidRPr="008C6382">
              <w:rPr>
                <w:b/>
                <w:bCs/>
                <w:sz w:val="28"/>
                <w:szCs w:val="28"/>
              </w:rPr>
              <w:t>Grozījum</w:t>
            </w:r>
            <w:r w:rsidR="0023477B">
              <w:rPr>
                <w:b/>
                <w:bCs/>
                <w:sz w:val="28"/>
                <w:szCs w:val="28"/>
              </w:rPr>
              <w:t>i</w:t>
            </w:r>
            <w:r w:rsidR="002F0C6D" w:rsidRPr="008C6382">
              <w:rPr>
                <w:b/>
                <w:bCs/>
                <w:sz w:val="28"/>
                <w:szCs w:val="28"/>
              </w:rPr>
              <w:t xml:space="preserve"> Ministru kabineta 20</w:t>
            </w:r>
            <w:r w:rsidR="002F0C6D">
              <w:rPr>
                <w:b/>
                <w:bCs/>
                <w:sz w:val="28"/>
                <w:szCs w:val="28"/>
              </w:rPr>
              <w:t>11</w:t>
            </w:r>
            <w:r w:rsidR="002F0C6D" w:rsidRPr="008C6382">
              <w:rPr>
                <w:b/>
                <w:bCs/>
                <w:sz w:val="28"/>
                <w:szCs w:val="28"/>
              </w:rPr>
              <w:t xml:space="preserve">. gada </w:t>
            </w:r>
            <w:r w:rsidR="002F0C6D">
              <w:rPr>
                <w:b/>
                <w:bCs/>
                <w:sz w:val="28"/>
                <w:szCs w:val="28"/>
              </w:rPr>
              <w:t>28</w:t>
            </w:r>
            <w:r w:rsidR="002F0C6D" w:rsidRPr="008C6382">
              <w:rPr>
                <w:b/>
                <w:bCs/>
                <w:sz w:val="28"/>
                <w:szCs w:val="28"/>
              </w:rPr>
              <w:t>. </w:t>
            </w:r>
            <w:r w:rsidR="002F0C6D">
              <w:rPr>
                <w:b/>
                <w:bCs/>
                <w:sz w:val="28"/>
                <w:szCs w:val="28"/>
              </w:rPr>
              <w:t>jūnija</w:t>
            </w:r>
            <w:r w:rsidR="002F0C6D" w:rsidRPr="008C6382">
              <w:rPr>
                <w:b/>
                <w:bCs/>
                <w:sz w:val="28"/>
                <w:szCs w:val="28"/>
              </w:rPr>
              <w:t xml:space="preserve"> noteikumos</w:t>
            </w:r>
          </w:p>
          <w:p w14:paraId="0A3F52DB" w14:textId="0BD4149A" w:rsidR="00A35ECE" w:rsidRPr="00A35ECE" w:rsidRDefault="002F0C6D" w:rsidP="00A35ECE">
            <w:pPr>
              <w:jc w:val="center"/>
              <w:rPr>
                <w:b/>
                <w:bCs/>
                <w:sz w:val="28"/>
                <w:szCs w:val="28"/>
              </w:rPr>
            </w:pPr>
            <w:r w:rsidRPr="008C6382">
              <w:rPr>
                <w:b/>
                <w:bCs/>
                <w:sz w:val="28"/>
                <w:szCs w:val="28"/>
              </w:rPr>
              <w:t>Nr. </w:t>
            </w:r>
            <w:r>
              <w:rPr>
                <w:b/>
                <w:bCs/>
                <w:sz w:val="28"/>
                <w:szCs w:val="28"/>
              </w:rPr>
              <w:t>500</w:t>
            </w:r>
            <w:r w:rsidRPr="008C6382">
              <w:rPr>
                <w:b/>
                <w:bCs/>
                <w:sz w:val="28"/>
                <w:szCs w:val="28"/>
              </w:rPr>
              <w:t xml:space="preserve"> “</w:t>
            </w:r>
            <w:bookmarkStart w:id="1" w:name="_Hlk58500889"/>
            <w:r w:rsidRPr="00A07CA1">
              <w:rPr>
                <w:b/>
                <w:bCs/>
                <w:sz w:val="28"/>
                <w:szCs w:val="28"/>
              </w:rPr>
              <w:t>Noteikumi par transportējamām spiedieniekārtām</w:t>
            </w:r>
            <w:bookmarkEnd w:id="1"/>
            <w:r w:rsidRPr="008C6382">
              <w:rPr>
                <w:b/>
                <w:bCs/>
                <w:sz w:val="28"/>
                <w:szCs w:val="28"/>
              </w:rPr>
              <w:t>”</w:t>
            </w:r>
            <w:bookmarkEnd w:id="0"/>
            <w:r w:rsidR="00A35ECE">
              <w:rPr>
                <w:b/>
                <w:bCs/>
                <w:sz w:val="28"/>
                <w:szCs w:val="28"/>
              </w:rPr>
              <w:t xml:space="preserve"> un </w:t>
            </w:r>
            <w:r w:rsidR="00A35ECE" w:rsidRPr="00A35ECE">
              <w:rPr>
                <w:b/>
                <w:bCs/>
                <w:sz w:val="28"/>
                <w:szCs w:val="28"/>
              </w:rPr>
              <w:t>Grozījum</w:t>
            </w:r>
            <w:r w:rsidR="0023477B">
              <w:rPr>
                <w:b/>
                <w:bCs/>
                <w:sz w:val="28"/>
                <w:szCs w:val="28"/>
              </w:rPr>
              <w:t>i</w:t>
            </w:r>
            <w:bookmarkStart w:id="2" w:name="_GoBack"/>
            <w:bookmarkEnd w:id="2"/>
            <w:r w:rsidR="00A35ECE" w:rsidRPr="00A35ECE">
              <w:rPr>
                <w:b/>
                <w:bCs/>
                <w:sz w:val="28"/>
                <w:szCs w:val="28"/>
              </w:rPr>
              <w:t xml:space="preserve"> Ministru kabineta 2003. gada 16. septembra noteikumos</w:t>
            </w:r>
          </w:p>
          <w:p w14:paraId="49FD647B" w14:textId="3A5A4DD6" w:rsidR="0091069F" w:rsidRPr="002F0C6D" w:rsidRDefault="00A35ECE" w:rsidP="00A35ECE">
            <w:pPr>
              <w:jc w:val="center"/>
              <w:rPr>
                <w:b/>
                <w:bCs/>
                <w:sz w:val="28"/>
                <w:szCs w:val="28"/>
              </w:rPr>
            </w:pPr>
            <w:r w:rsidRPr="00A35ECE">
              <w:rPr>
                <w:b/>
                <w:bCs/>
                <w:sz w:val="28"/>
                <w:szCs w:val="28"/>
              </w:rPr>
              <w:t>Nr. 518 “Spiedieniekārtu kompleksu tehniskās uzraudzības kārtība””</w:t>
            </w:r>
          </w:p>
        </w:tc>
      </w:tr>
    </w:tbl>
    <w:p w14:paraId="6109B172" w14:textId="77777777" w:rsidR="0091069F" w:rsidRPr="00974415" w:rsidRDefault="0091069F" w:rsidP="0091069F">
      <w:pPr>
        <w:pStyle w:val="naisc"/>
        <w:spacing w:before="0" w:after="0"/>
        <w:ind w:firstLine="1080"/>
        <w:rPr>
          <w:sz w:val="28"/>
          <w:szCs w:val="28"/>
        </w:rPr>
      </w:pPr>
      <w:r w:rsidRPr="003D5429">
        <w:rPr>
          <w:sz w:val="28"/>
          <w:szCs w:val="28"/>
        </w:rPr>
        <w:t>(dokumenta veids un nosaukums)</w:t>
      </w:r>
    </w:p>
    <w:p w14:paraId="4F152BA3" w14:textId="77777777" w:rsidR="0091069F" w:rsidRPr="007A1F1E" w:rsidRDefault="0091069F" w:rsidP="0091069F">
      <w:pPr>
        <w:pStyle w:val="naisf"/>
        <w:spacing w:before="0" w:after="0"/>
        <w:ind w:firstLine="0"/>
        <w:rPr>
          <w:sz w:val="28"/>
          <w:szCs w:val="28"/>
        </w:rPr>
      </w:pPr>
    </w:p>
    <w:p w14:paraId="7A37E5AD" w14:textId="77777777" w:rsidR="0091069F" w:rsidRPr="007A1F1E" w:rsidRDefault="0091069F" w:rsidP="0091069F">
      <w:pPr>
        <w:pStyle w:val="naisf"/>
        <w:numPr>
          <w:ilvl w:val="0"/>
          <w:numId w:val="1"/>
        </w:numPr>
        <w:spacing w:before="0" w:after="0"/>
        <w:rPr>
          <w:b/>
          <w:sz w:val="28"/>
          <w:szCs w:val="28"/>
        </w:rPr>
      </w:pPr>
      <w:r w:rsidRPr="007A1F1E">
        <w:rPr>
          <w:b/>
          <w:sz w:val="28"/>
          <w:szCs w:val="28"/>
        </w:rPr>
        <w:t>Jautājumi, par kuriem saskaņošanā vienošanās nav panākta</w:t>
      </w: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3119"/>
        <w:gridCol w:w="3685"/>
        <w:gridCol w:w="3544"/>
        <w:gridCol w:w="1843"/>
        <w:gridCol w:w="1817"/>
      </w:tblGrid>
      <w:tr w:rsidR="0091069F" w:rsidRPr="007A1F1E" w14:paraId="2EE0A80F" w14:textId="77777777" w:rsidTr="002B0E4B">
        <w:tc>
          <w:tcPr>
            <w:tcW w:w="559" w:type="dxa"/>
            <w:tcBorders>
              <w:top w:val="single" w:sz="6" w:space="0" w:color="000000"/>
              <w:left w:val="single" w:sz="6" w:space="0" w:color="000000"/>
              <w:bottom w:val="single" w:sz="6" w:space="0" w:color="000000"/>
              <w:right w:val="single" w:sz="6" w:space="0" w:color="000000"/>
            </w:tcBorders>
            <w:vAlign w:val="center"/>
          </w:tcPr>
          <w:p w14:paraId="4D731967" w14:textId="77777777" w:rsidR="0091069F" w:rsidRPr="00F16C44" w:rsidRDefault="0091069F" w:rsidP="00C048FB">
            <w:pPr>
              <w:pStyle w:val="naisc"/>
              <w:spacing w:before="0" w:after="0"/>
            </w:pPr>
            <w:r w:rsidRPr="00F16C44">
              <w:t>Nr. p. k.</w:t>
            </w:r>
          </w:p>
        </w:tc>
        <w:tc>
          <w:tcPr>
            <w:tcW w:w="3119" w:type="dxa"/>
            <w:tcBorders>
              <w:top w:val="single" w:sz="6" w:space="0" w:color="000000"/>
              <w:left w:val="single" w:sz="6" w:space="0" w:color="000000"/>
              <w:bottom w:val="single" w:sz="6" w:space="0" w:color="000000"/>
              <w:right w:val="single" w:sz="6" w:space="0" w:color="000000"/>
            </w:tcBorders>
            <w:vAlign w:val="center"/>
          </w:tcPr>
          <w:p w14:paraId="53A2727D" w14:textId="77777777" w:rsidR="0091069F" w:rsidRDefault="0091069F" w:rsidP="00C048FB">
            <w:pPr>
              <w:pStyle w:val="naisc"/>
              <w:spacing w:before="0" w:after="0"/>
              <w:ind w:firstLine="12"/>
            </w:pPr>
            <w:r w:rsidRPr="00F16C44">
              <w:t>Saskaņošanai nosūtītā projekta redakcija (konkrēta punkta (panta) redakcija)</w:t>
            </w:r>
          </w:p>
          <w:p w14:paraId="1A0EF8BC" w14:textId="77777777" w:rsidR="0091069F" w:rsidRDefault="0091069F" w:rsidP="00C048FB">
            <w:pPr>
              <w:jc w:val="center"/>
            </w:pPr>
          </w:p>
          <w:p w14:paraId="4B68F72C" w14:textId="77777777" w:rsidR="0091069F" w:rsidRPr="000669FD" w:rsidRDefault="0091069F" w:rsidP="00C048FB">
            <w:pPr>
              <w:jc w:val="center"/>
            </w:pPr>
          </w:p>
        </w:tc>
        <w:tc>
          <w:tcPr>
            <w:tcW w:w="3685" w:type="dxa"/>
            <w:tcBorders>
              <w:top w:val="single" w:sz="6" w:space="0" w:color="000000"/>
              <w:left w:val="single" w:sz="6" w:space="0" w:color="000000"/>
              <w:bottom w:val="single" w:sz="6" w:space="0" w:color="000000"/>
              <w:right w:val="single" w:sz="6" w:space="0" w:color="000000"/>
            </w:tcBorders>
            <w:vAlign w:val="center"/>
          </w:tcPr>
          <w:p w14:paraId="14DF39A4" w14:textId="77777777" w:rsidR="0091069F" w:rsidRPr="00F16C44" w:rsidRDefault="0091069F" w:rsidP="00C048FB">
            <w:pPr>
              <w:pStyle w:val="naisc"/>
              <w:spacing w:before="0" w:after="0"/>
              <w:ind w:right="3"/>
            </w:pPr>
            <w:r w:rsidRPr="00F16C44">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52B2F635" w14:textId="77777777" w:rsidR="0091069F" w:rsidRPr="00F16C44" w:rsidRDefault="0091069F" w:rsidP="00C048FB">
            <w:pPr>
              <w:pStyle w:val="naisc"/>
              <w:spacing w:before="0" w:after="0"/>
              <w:ind w:firstLine="21"/>
            </w:pPr>
            <w:r w:rsidRPr="00F16C44">
              <w:t>Atbildīgās ministrijas pamatojums iebilduma noraidījumam</w:t>
            </w:r>
          </w:p>
        </w:tc>
        <w:tc>
          <w:tcPr>
            <w:tcW w:w="1843" w:type="dxa"/>
            <w:tcBorders>
              <w:top w:val="single" w:sz="4" w:space="0" w:color="auto"/>
              <w:left w:val="single" w:sz="4" w:space="0" w:color="auto"/>
              <w:bottom w:val="single" w:sz="4" w:space="0" w:color="auto"/>
              <w:right w:val="single" w:sz="4" w:space="0" w:color="auto"/>
            </w:tcBorders>
            <w:vAlign w:val="center"/>
          </w:tcPr>
          <w:p w14:paraId="369C40D9" w14:textId="77777777" w:rsidR="0091069F" w:rsidRPr="00F16C44" w:rsidRDefault="0091069F" w:rsidP="00C048FB">
            <w:pPr>
              <w:jc w:val="center"/>
            </w:pPr>
            <w:r w:rsidRPr="00F16C44">
              <w:t>Atzinuma sniedzēja uzturētais iebildums, ja tas atšķiras no atzinumā norādītā iebilduma pamatojuma</w:t>
            </w:r>
          </w:p>
        </w:tc>
        <w:tc>
          <w:tcPr>
            <w:tcW w:w="1817" w:type="dxa"/>
            <w:tcBorders>
              <w:top w:val="single" w:sz="4" w:space="0" w:color="auto"/>
              <w:left w:val="single" w:sz="4" w:space="0" w:color="auto"/>
              <w:bottom w:val="single" w:sz="4" w:space="0" w:color="auto"/>
            </w:tcBorders>
            <w:vAlign w:val="center"/>
          </w:tcPr>
          <w:p w14:paraId="23708665" w14:textId="77777777" w:rsidR="0091069F" w:rsidRPr="00F16C44" w:rsidRDefault="0091069F" w:rsidP="00C048FB">
            <w:pPr>
              <w:jc w:val="center"/>
            </w:pPr>
            <w:r w:rsidRPr="00F16C44">
              <w:t>Projekta attiecīgā punkta (panta) galīgā redakcija</w:t>
            </w:r>
          </w:p>
        </w:tc>
      </w:tr>
      <w:tr w:rsidR="0091069F" w:rsidRPr="007A1F1E" w14:paraId="65F8D819" w14:textId="77777777" w:rsidTr="002B0E4B">
        <w:tc>
          <w:tcPr>
            <w:tcW w:w="559" w:type="dxa"/>
            <w:tcBorders>
              <w:top w:val="single" w:sz="6" w:space="0" w:color="000000"/>
              <w:left w:val="single" w:sz="6" w:space="0" w:color="000000"/>
              <w:bottom w:val="single" w:sz="6" w:space="0" w:color="000000"/>
              <w:right w:val="single" w:sz="6" w:space="0" w:color="000000"/>
            </w:tcBorders>
          </w:tcPr>
          <w:p w14:paraId="7B9C1958" w14:textId="77777777" w:rsidR="0091069F" w:rsidRPr="00F16C44" w:rsidRDefault="0091069F" w:rsidP="00C048FB">
            <w:pPr>
              <w:pStyle w:val="naisc"/>
              <w:spacing w:before="0" w:after="0"/>
            </w:pPr>
            <w:r w:rsidRPr="007A1F1E">
              <w:rPr>
                <w:sz w:val="28"/>
                <w:szCs w:val="28"/>
              </w:rPr>
              <w:t>1</w:t>
            </w:r>
          </w:p>
        </w:tc>
        <w:tc>
          <w:tcPr>
            <w:tcW w:w="3119" w:type="dxa"/>
            <w:tcBorders>
              <w:top w:val="single" w:sz="6" w:space="0" w:color="000000"/>
              <w:left w:val="single" w:sz="6" w:space="0" w:color="000000"/>
              <w:bottom w:val="single" w:sz="6" w:space="0" w:color="000000"/>
              <w:right w:val="single" w:sz="6" w:space="0" w:color="000000"/>
            </w:tcBorders>
          </w:tcPr>
          <w:p w14:paraId="2E853344" w14:textId="77777777" w:rsidR="0091069F" w:rsidRPr="00F16C44" w:rsidRDefault="0091069F" w:rsidP="00C048FB">
            <w:pPr>
              <w:pStyle w:val="naisc"/>
              <w:spacing w:before="0" w:after="0"/>
              <w:ind w:firstLine="12"/>
            </w:pPr>
            <w:r w:rsidRPr="007A1F1E">
              <w:rPr>
                <w:sz w:val="28"/>
                <w:szCs w:val="28"/>
              </w:rPr>
              <w:t>2</w:t>
            </w:r>
          </w:p>
        </w:tc>
        <w:tc>
          <w:tcPr>
            <w:tcW w:w="3685" w:type="dxa"/>
            <w:tcBorders>
              <w:top w:val="single" w:sz="6" w:space="0" w:color="000000"/>
              <w:left w:val="single" w:sz="6" w:space="0" w:color="000000"/>
              <w:bottom w:val="single" w:sz="6" w:space="0" w:color="000000"/>
              <w:right w:val="single" w:sz="6" w:space="0" w:color="000000"/>
            </w:tcBorders>
          </w:tcPr>
          <w:p w14:paraId="470C7991" w14:textId="77777777" w:rsidR="0091069F" w:rsidRPr="00F16C44" w:rsidRDefault="0091069F" w:rsidP="00C048FB">
            <w:pPr>
              <w:pStyle w:val="naisc"/>
              <w:spacing w:before="0" w:after="0"/>
              <w:ind w:right="3"/>
            </w:pPr>
            <w:r w:rsidRPr="007A1F1E">
              <w:rPr>
                <w:sz w:val="28"/>
                <w:szCs w:val="28"/>
              </w:rPr>
              <w:t>3</w:t>
            </w:r>
          </w:p>
        </w:tc>
        <w:tc>
          <w:tcPr>
            <w:tcW w:w="3544" w:type="dxa"/>
            <w:tcBorders>
              <w:top w:val="single" w:sz="6" w:space="0" w:color="000000"/>
              <w:left w:val="single" w:sz="6" w:space="0" w:color="000000"/>
              <w:bottom w:val="single" w:sz="6" w:space="0" w:color="000000"/>
              <w:right w:val="single" w:sz="6" w:space="0" w:color="000000"/>
            </w:tcBorders>
          </w:tcPr>
          <w:p w14:paraId="44A07C8D" w14:textId="77777777" w:rsidR="0091069F" w:rsidRPr="00F16C44" w:rsidRDefault="0091069F" w:rsidP="00C048FB">
            <w:pPr>
              <w:pStyle w:val="naisc"/>
              <w:spacing w:before="0" w:after="0"/>
              <w:ind w:firstLine="21"/>
            </w:pPr>
            <w:r w:rsidRPr="007A1F1E">
              <w:rPr>
                <w:sz w:val="28"/>
                <w:szCs w:val="28"/>
              </w:rPr>
              <w:t>4</w:t>
            </w:r>
          </w:p>
        </w:tc>
        <w:tc>
          <w:tcPr>
            <w:tcW w:w="1843" w:type="dxa"/>
            <w:tcBorders>
              <w:top w:val="single" w:sz="4" w:space="0" w:color="auto"/>
              <w:left w:val="single" w:sz="4" w:space="0" w:color="auto"/>
              <w:bottom w:val="single" w:sz="4" w:space="0" w:color="auto"/>
              <w:right w:val="single" w:sz="4" w:space="0" w:color="auto"/>
            </w:tcBorders>
          </w:tcPr>
          <w:p w14:paraId="5BD714FF" w14:textId="77777777" w:rsidR="0091069F" w:rsidRPr="00F16C44" w:rsidRDefault="0091069F" w:rsidP="00C048FB">
            <w:pPr>
              <w:jc w:val="center"/>
            </w:pPr>
            <w:r w:rsidRPr="007A1F1E">
              <w:rPr>
                <w:sz w:val="28"/>
                <w:szCs w:val="28"/>
              </w:rPr>
              <w:t>5</w:t>
            </w:r>
          </w:p>
        </w:tc>
        <w:tc>
          <w:tcPr>
            <w:tcW w:w="1817" w:type="dxa"/>
            <w:tcBorders>
              <w:top w:val="single" w:sz="4" w:space="0" w:color="auto"/>
              <w:left w:val="single" w:sz="4" w:space="0" w:color="auto"/>
              <w:bottom w:val="single" w:sz="4" w:space="0" w:color="auto"/>
            </w:tcBorders>
          </w:tcPr>
          <w:p w14:paraId="654D6A6E" w14:textId="77777777" w:rsidR="0091069F" w:rsidRPr="00F16C44" w:rsidRDefault="0091069F" w:rsidP="00C048FB">
            <w:pPr>
              <w:jc w:val="center"/>
            </w:pPr>
            <w:r w:rsidRPr="007A1F1E">
              <w:rPr>
                <w:sz w:val="28"/>
                <w:szCs w:val="28"/>
              </w:rPr>
              <w:t>6</w:t>
            </w:r>
          </w:p>
        </w:tc>
      </w:tr>
      <w:tr w:rsidR="0091069F" w:rsidRPr="007A1F1E" w14:paraId="69B0D7EA" w14:textId="77777777" w:rsidTr="002B0E4B">
        <w:tc>
          <w:tcPr>
            <w:tcW w:w="559" w:type="dxa"/>
            <w:tcBorders>
              <w:top w:val="single" w:sz="6" w:space="0" w:color="000000"/>
              <w:left w:val="single" w:sz="6" w:space="0" w:color="000000"/>
              <w:bottom w:val="single" w:sz="6" w:space="0" w:color="000000"/>
              <w:right w:val="single" w:sz="6" w:space="0" w:color="000000"/>
            </w:tcBorders>
            <w:vAlign w:val="center"/>
          </w:tcPr>
          <w:p w14:paraId="168724A1" w14:textId="77777777" w:rsidR="0091069F" w:rsidRDefault="0091069F" w:rsidP="002B0E4B">
            <w:pPr>
              <w:pStyle w:val="naisc"/>
              <w:spacing w:before="0" w:after="0"/>
              <w:jc w:val="both"/>
            </w:pPr>
          </w:p>
        </w:tc>
        <w:tc>
          <w:tcPr>
            <w:tcW w:w="3119" w:type="dxa"/>
            <w:tcBorders>
              <w:top w:val="single" w:sz="6" w:space="0" w:color="000000"/>
              <w:left w:val="single" w:sz="6" w:space="0" w:color="000000"/>
              <w:bottom w:val="single" w:sz="6" w:space="0" w:color="000000"/>
              <w:right w:val="single" w:sz="6" w:space="0" w:color="000000"/>
            </w:tcBorders>
            <w:vAlign w:val="center"/>
          </w:tcPr>
          <w:p w14:paraId="5994FD64" w14:textId="77777777" w:rsidR="0091069F" w:rsidRPr="00215C2F" w:rsidRDefault="0091069F" w:rsidP="002B0E4B">
            <w:pPr>
              <w:pStyle w:val="naisc"/>
              <w:spacing w:before="0" w:after="0"/>
              <w:ind w:firstLine="12"/>
              <w:jc w:val="both"/>
            </w:pPr>
          </w:p>
        </w:tc>
        <w:tc>
          <w:tcPr>
            <w:tcW w:w="3685" w:type="dxa"/>
            <w:tcBorders>
              <w:top w:val="single" w:sz="6" w:space="0" w:color="000000"/>
              <w:left w:val="single" w:sz="6" w:space="0" w:color="000000"/>
              <w:bottom w:val="single" w:sz="6" w:space="0" w:color="000000"/>
              <w:right w:val="single" w:sz="6" w:space="0" w:color="000000"/>
            </w:tcBorders>
            <w:vAlign w:val="center"/>
          </w:tcPr>
          <w:p w14:paraId="43C9DB6A" w14:textId="77777777" w:rsidR="0091069F" w:rsidRPr="00215C2F" w:rsidRDefault="0091069F" w:rsidP="002B0E4B">
            <w:pPr>
              <w:pStyle w:val="naisc"/>
              <w:spacing w:before="0" w:after="0"/>
              <w:ind w:right="3"/>
              <w:jc w:val="both"/>
            </w:pPr>
          </w:p>
        </w:tc>
        <w:tc>
          <w:tcPr>
            <w:tcW w:w="3544" w:type="dxa"/>
            <w:tcBorders>
              <w:top w:val="single" w:sz="6" w:space="0" w:color="000000"/>
              <w:left w:val="single" w:sz="6" w:space="0" w:color="000000"/>
              <w:bottom w:val="single" w:sz="6" w:space="0" w:color="000000"/>
              <w:right w:val="single" w:sz="6" w:space="0" w:color="000000"/>
            </w:tcBorders>
            <w:vAlign w:val="center"/>
          </w:tcPr>
          <w:p w14:paraId="31F3558A" w14:textId="77777777" w:rsidR="0091069F" w:rsidRDefault="0091069F" w:rsidP="002B0E4B">
            <w:pPr>
              <w:pStyle w:val="naisc"/>
              <w:spacing w:before="0" w:after="0"/>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5F25556A" w14:textId="77777777" w:rsidR="0091069F" w:rsidRPr="00F16C44" w:rsidRDefault="0091069F" w:rsidP="002B0E4B">
            <w:pPr>
              <w:jc w:val="both"/>
            </w:pPr>
          </w:p>
        </w:tc>
        <w:tc>
          <w:tcPr>
            <w:tcW w:w="1817" w:type="dxa"/>
            <w:tcBorders>
              <w:top w:val="single" w:sz="4" w:space="0" w:color="auto"/>
              <w:left w:val="single" w:sz="4" w:space="0" w:color="auto"/>
              <w:bottom w:val="single" w:sz="4" w:space="0" w:color="auto"/>
            </w:tcBorders>
            <w:vAlign w:val="center"/>
          </w:tcPr>
          <w:p w14:paraId="364AABE2" w14:textId="77777777" w:rsidR="0091069F" w:rsidRPr="00F16C44" w:rsidRDefault="0091069F" w:rsidP="002B0E4B">
            <w:pPr>
              <w:jc w:val="both"/>
            </w:pPr>
          </w:p>
        </w:tc>
      </w:tr>
    </w:tbl>
    <w:p w14:paraId="40580B8B" w14:textId="77777777" w:rsidR="0091069F" w:rsidRPr="007A1F1E" w:rsidRDefault="0091069F" w:rsidP="0091069F">
      <w:pPr>
        <w:pStyle w:val="naisf"/>
        <w:spacing w:before="0" w:after="0"/>
        <w:ind w:firstLine="0"/>
        <w:rPr>
          <w:b/>
          <w:sz w:val="28"/>
          <w:szCs w:val="28"/>
        </w:rPr>
      </w:pPr>
      <w:r w:rsidRPr="007A1F1E">
        <w:rPr>
          <w:b/>
          <w:sz w:val="28"/>
          <w:szCs w:val="28"/>
        </w:rPr>
        <w:t>Informācija par starpministriju (starpinstitūciju) sanāksmi vai elektronisko saskaņošanu</w:t>
      </w:r>
    </w:p>
    <w:p w14:paraId="0CBF9DAE" w14:textId="77777777" w:rsidR="0091069F" w:rsidRPr="007A1F1E" w:rsidRDefault="0091069F" w:rsidP="0091069F">
      <w:pPr>
        <w:pStyle w:val="naisf"/>
        <w:spacing w:before="0" w:after="0"/>
        <w:ind w:firstLine="0"/>
        <w:rPr>
          <w:b/>
          <w:sz w:val="28"/>
          <w:szCs w:val="28"/>
        </w:rPr>
      </w:pPr>
    </w:p>
    <w:tbl>
      <w:tblPr>
        <w:tblW w:w="4408" w:type="pct"/>
        <w:tblLook w:val="00A0" w:firstRow="1" w:lastRow="0" w:firstColumn="1" w:lastColumn="0" w:noHBand="0" w:noVBand="0"/>
      </w:tblPr>
      <w:tblGrid>
        <w:gridCol w:w="2595"/>
        <w:gridCol w:w="9750"/>
      </w:tblGrid>
      <w:tr w:rsidR="0091069F" w:rsidRPr="007A1F1E" w14:paraId="09EB53E8" w14:textId="77777777" w:rsidTr="00D1331E">
        <w:trPr>
          <w:trHeight w:val="257"/>
        </w:trPr>
        <w:tc>
          <w:tcPr>
            <w:tcW w:w="1051" w:type="pct"/>
          </w:tcPr>
          <w:p w14:paraId="2E10C8F2" w14:textId="77777777" w:rsidR="0091069F" w:rsidRPr="00974415" w:rsidRDefault="0091069F" w:rsidP="002B0E4B">
            <w:pPr>
              <w:pStyle w:val="naisf"/>
              <w:spacing w:before="0" w:after="0"/>
              <w:ind w:firstLine="0"/>
            </w:pPr>
            <w:r w:rsidRPr="00974415">
              <w:t>Datums</w:t>
            </w:r>
          </w:p>
        </w:tc>
        <w:tc>
          <w:tcPr>
            <w:tcW w:w="3949" w:type="pct"/>
            <w:tcBorders>
              <w:bottom w:val="single" w:sz="4" w:space="0" w:color="auto"/>
            </w:tcBorders>
          </w:tcPr>
          <w:p w14:paraId="54F9B03F" w14:textId="5B8D331B" w:rsidR="0091069F" w:rsidRPr="00F55AEF" w:rsidRDefault="008B3DD7" w:rsidP="002B0E4B">
            <w:pPr>
              <w:pStyle w:val="NormalWeb"/>
              <w:spacing w:before="0" w:beforeAutospacing="0" w:after="0" w:afterAutospacing="0"/>
              <w:jc w:val="both"/>
            </w:pPr>
            <w:r w:rsidRPr="00A35ECE">
              <w:t>14</w:t>
            </w:r>
            <w:r w:rsidR="009621BC" w:rsidRPr="00A35ECE">
              <w:t>.0</w:t>
            </w:r>
            <w:r w:rsidRPr="00A35ECE">
              <w:t>4</w:t>
            </w:r>
            <w:r w:rsidR="009621BC" w:rsidRPr="00A35ECE">
              <w:t>.2021.</w:t>
            </w:r>
          </w:p>
        </w:tc>
      </w:tr>
      <w:tr w:rsidR="0091069F" w:rsidRPr="007A1F1E" w14:paraId="355AC288" w14:textId="77777777" w:rsidTr="00D1331E">
        <w:trPr>
          <w:trHeight w:val="532"/>
        </w:trPr>
        <w:tc>
          <w:tcPr>
            <w:tcW w:w="1051" w:type="pct"/>
          </w:tcPr>
          <w:p w14:paraId="53FEF5EC" w14:textId="77777777" w:rsidR="0091069F" w:rsidRDefault="0091069F" w:rsidP="002B0E4B">
            <w:pPr>
              <w:pStyle w:val="naisf"/>
              <w:spacing w:before="0" w:after="0"/>
              <w:ind w:firstLine="0"/>
            </w:pPr>
          </w:p>
          <w:p w14:paraId="3A6BC338" w14:textId="77777777" w:rsidR="00485287" w:rsidRPr="00485287" w:rsidRDefault="00485287" w:rsidP="00485287"/>
          <w:p w14:paraId="05390ABD" w14:textId="6FB5742B" w:rsidR="00485287" w:rsidRDefault="00485287" w:rsidP="00485287"/>
          <w:p w14:paraId="3D2A6B53" w14:textId="77777777" w:rsidR="00485287" w:rsidRPr="00485287" w:rsidRDefault="00485287" w:rsidP="00485287"/>
          <w:p w14:paraId="0D994C33" w14:textId="77777777" w:rsidR="00485287" w:rsidRDefault="00485287" w:rsidP="00485287"/>
          <w:p w14:paraId="06A5E8C5" w14:textId="77777777" w:rsidR="004E5EE9" w:rsidRPr="004E5EE9" w:rsidRDefault="004E5EE9" w:rsidP="004E5EE9"/>
          <w:p w14:paraId="0A4C75D6" w14:textId="77777777" w:rsidR="004E5EE9" w:rsidRPr="004E5EE9" w:rsidRDefault="004E5EE9" w:rsidP="004E5EE9"/>
          <w:p w14:paraId="6F9AC7A6" w14:textId="77777777" w:rsidR="004E5EE9" w:rsidRPr="004E5EE9" w:rsidRDefault="004E5EE9" w:rsidP="004E5EE9"/>
          <w:p w14:paraId="23FE97CA" w14:textId="6BF0835B" w:rsidR="004E5EE9" w:rsidRPr="004E5EE9" w:rsidRDefault="004E5EE9" w:rsidP="004E5EE9"/>
        </w:tc>
        <w:tc>
          <w:tcPr>
            <w:tcW w:w="3949" w:type="pct"/>
            <w:tcBorders>
              <w:top w:val="single" w:sz="4" w:space="0" w:color="auto"/>
            </w:tcBorders>
          </w:tcPr>
          <w:p w14:paraId="7911F62C" w14:textId="77777777" w:rsidR="0091069F" w:rsidRPr="00974415" w:rsidRDefault="0091069F" w:rsidP="002B0E4B">
            <w:pPr>
              <w:pStyle w:val="NormalWeb"/>
              <w:spacing w:before="0" w:beforeAutospacing="0" w:after="0" w:afterAutospacing="0"/>
              <w:jc w:val="both"/>
            </w:pPr>
          </w:p>
          <w:p w14:paraId="411DF55D" w14:textId="77777777" w:rsidR="0091069F" w:rsidRPr="00974415" w:rsidRDefault="0091069F" w:rsidP="002B0E4B">
            <w:pPr>
              <w:pStyle w:val="NormalWeb"/>
              <w:spacing w:before="0" w:beforeAutospacing="0" w:after="0" w:afterAutospacing="0"/>
              <w:jc w:val="both"/>
            </w:pPr>
          </w:p>
        </w:tc>
      </w:tr>
      <w:tr w:rsidR="0091069F" w:rsidRPr="007A1F1E" w14:paraId="3D5B8BCB" w14:textId="77777777" w:rsidTr="00D1331E">
        <w:trPr>
          <w:trHeight w:val="2133"/>
        </w:trPr>
        <w:tc>
          <w:tcPr>
            <w:tcW w:w="1051" w:type="pct"/>
          </w:tcPr>
          <w:p w14:paraId="75E5BBC3" w14:textId="426F4AC0" w:rsidR="00D1331E" w:rsidRPr="00D1331E" w:rsidRDefault="0091069F" w:rsidP="00D1331E">
            <w:pPr>
              <w:pStyle w:val="naiskr"/>
              <w:spacing w:before="0" w:after="0"/>
              <w:jc w:val="both"/>
            </w:pPr>
            <w:r w:rsidRPr="00974415">
              <w:t>Saskaņošanas dalībnieki</w:t>
            </w:r>
          </w:p>
        </w:tc>
        <w:tc>
          <w:tcPr>
            <w:tcW w:w="3949" w:type="pct"/>
          </w:tcPr>
          <w:p w14:paraId="5B6741ED" w14:textId="7003380D" w:rsidR="00E25032" w:rsidRDefault="00E25032" w:rsidP="002B0E4B">
            <w:pPr>
              <w:pStyle w:val="NormalWeb"/>
              <w:tabs>
                <w:tab w:val="left" w:pos="6618"/>
              </w:tabs>
              <w:spacing w:before="0" w:beforeAutospacing="0" w:after="0" w:afterAutospacing="0"/>
              <w:jc w:val="both"/>
            </w:pPr>
            <w:r>
              <w:t xml:space="preserve">Tieslietu ministrija </w:t>
            </w:r>
            <w:r w:rsidR="00255AFF">
              <w:t>(</w:t>
            </w:r>
            <w:hyperlink r:id="rId8" w:history="1">
              <w:r w:rsidR="002F0C6D" w:rsidRPr="009055BE">
                <w:rPr>
                  <w:rStyle w:val="Hyperlink"/>
                </w:rPr>
                <w:t>Linda.Upite@tm.gov.lv</w:t>
              </w:r>
            </w:hyperlink>
            <w:r>
              <w:t>);</w:t>
            </w:r>
          </w:p>
          <w:p w14:paraId="7439A59D" w14:textId="77777777" w:rsidR="00384B8A" w:rsidRDefault="00384B8A" w:rsidP="00384B8A">
            <w:pPr>
              <w:pStyle w:val="NormalWeb"/>
              <w:tabs>
                <w:tab w:val="left" w:pos="6618"/>
              </w:tabs>
              <w:spacing w:before="0" w:beforeAutospacing="0" w:after="0" w:afterAutospacing="0"/>
              <w:jc w:val="both"/>
            </w:pPr>
            <w:r>
              <w:t>Valsts kanceleja (</w:t>
            </w:r>
            <w:hyperlink r:id="rId9" w:history="1">
              <w:r w:rsidRPr="0017033A">
                <w:rPr>
                  <w:rStyle w:val="Hyperlink"/>
                </w:rPr>
                <w:t>Marina.Blaske@mk.gov.lv</w:t>
              </w:r>
            </w:hyperlink>
            <w:r>
              <w:t>);</w:t>
            </w:r>
          </w:p>
          <w:p w14:paraId="01C9510C" w14:textId="383263B0" w:rsidR="00E25032" w:rsidRDefault="00E25032" w:rsidP="002B0E4B">
            <w:pPr>
              <w:pStyle w:val="NormalWeb"/>
              <w:tabs>
                <w:tab w:val="left" w:pos="6618"/>
              </w:tabs>
              <w:spacing w:before="0" w:beforeAutospacing="0" w:after="0" w:afterAutospacing="0"/>
              <w:jc w:val="both"/>
            </w:pPr>
            <w:r>
              <w:t>Finanšu ministrija</w:t>
            </w:r>
            <w:r w:rsidR="00384B8A">
              <w:t>;</w:t>
            </w:r>
          </w:p>
          <w:p w14:paraId="289FA494" w14:textId="615A9AD9" w:rsidR="00A87B3B" w:rsidRDefault="002F0C6D" w:rsidP="002B0E4B">
            <w:pPr>
              <w:pStyle w:val="NormalWeb"/>
              <w:tabs>
                <w:tab w:val="left" w:pos="6618"/>
              </w:tabs>
              <w:spacing w:before="0" w:beforeAutospacing="0" w:after="0" w:afterAutospacing="0"/>
              <w:jc w:val="both"/>
            </w:pPr>
            <w:r>
              <w:t>Satiksmes</w:t>
            </w:r>
            <w:r w:rsidR="00A87B3B">
              <w:t xml:space="preserve"> ministrija (</w:t>
            </w:r>
            <w:hyperlink r:id="rId10" w:history="1">
              <w:r w:rsidRPr="009055BE">
                <w:rPr>
                  <w:rStyle w:val="Hyperlink"/>
                </w:rPr>
                <w:t>Ineta.Vula@sam.gov.lv</w:t>
              </w:r>
            </w:hyperlink>
            <w:r w:rsidR="00384B8A">
              <w:t>);</w:t>
            </w:r>
          </w:p>
          <w:p w14:paraId="773FF9F8" w14:textId="6A93A18E" w:rsidR="00384B8A" w:rsidRDefault="00384B8A" w:rsidP="002B0E4B">
            <w:pPr>
              <w:pStyle w:val="NormalWeb"/>
              <w:tabs>
                <w:tab w:val="left" w:pos="6618"/>
              </w:tabs>
              <w:spacing w:before="0" w:beforeAutospacing="0" w:after="0" w:afterAutospacing="0"/>
              <w:jc w:val="both"/>
            </w:pPr>
            <w:r>
              <w:t xml:space="preserve">Latvijas </w:t>
            </w:r>
            <w:r w:rsidR="002F0C6D">
              <w:t>Pašvaldību savienība (</w:t>
            </w:r>
            <w:hyperlink r:id="rId11" w:history="1">
              <w:r w:rsidR="002F0C6D" w:rsidRPr="009055BE">
                <w:rPr>
                  <w:rStyle w:val="Hyperlink"/>
                </w:rPr>
                <w:t>Aino.Salmins@lps.lv</w:t>
              </w:r>
            </w:hyperlink>
            <w:r w:rsidR="002F0C6D">
              <w:t>)</w:t>
            </w:r>
          </w:p>
          <w:p w14:paraId="6CEE5AE6" w14:textId="306B8A26" w:rsidR="0091069F" w:rsidRDefault="0091069F" w:rsidP="002B0E4B">
            <w:pPr>
              <w:pStyle w:val="NormalWeb"/>
              <w:tabs>
                <w:tab w:val="left" w:pos="6618"/>
              </w:tabs>
              <w:spacing w:before="0" w:beforeAutospacing="0" w:after="0" w:afterAutospacing="0"/>
              <w:jc w:val="both"/>
            </w:pPr>
            <w:r w:rsidRPr="00974415">
              <w:tab/>
            </w:r>
          </w:p>
          <w:p w14:paraId="0F221F58" w14:textId="77777777" w:rsidR="0091069F" w:rsidRPr="00610374" w:rsidRDefault="0091069F" w:rsidP="002B0E4B"/>
          <w:p w14:paraId="2B193B20" w14:textId="77777777" w:rsidR="0091069F" w:rsidRPr="00610374" w:rsidRDefault="0091069F" w:rsidP="002B0E4B"/>
          <w:p w14:paraId="01FE1165" w14:textId="77777777" w:rsidR="0091069F" w:rsidRPr="00610374" w:rsidRDefault="0091069F" w:rsidP="002B0E4B"/>
          <w:p w14:paraId="0AEE1035" w14:textId="77777777" w:rsidR="0091069F" w:rsidRDefault="0091069F" w:rsidP="002B0E4B"/>
          <w:p w14:paraId="25515CA2" w14:textId="77777777" w:rsidR="0091069F" w:rsidRPr="00610374" w:rsidRDefault="0091069F" w:rsidP="002B0E4B"/>
        </w:tc>
      </w:tr>
      <w:tr w:rsidR="0091069F" w:rsidRPr="007A1F1E" w14:paraId="013877E3" w14:textId="77777777" w:rsidTr="00D1331E">
        <w:trPr>
          <w:trHeight w:val="1248"/>
        </w:trPr>
        <w:tc>
          <w:tcPr>
            <w:tcW w:w="1051" w:type="pct"/>
          </w:tcPr>
          <w:p w14:paraId="7C0EB585" w14:textId="55510626" w:rsidR="0091069F" w:rsidRPr="00974415" w:rsidRDefault="00D1331E" w:rsidP="002B0E4B">
            <w:pPr>
              <w:pStyle w:val="naiskr"/>
              <w:spacing w:before="0" w:after="0"/>
              <w:jc w:val="both"/>
            </w:pPr>
            <w:r>
              <w:t>M</w:t>
            </w:r>
            <w:r w:rsidR="0091069F" w:rsidRPr="00974415">
              <w:t>inistrijas (citas institūcijas), kuras nav ieradušās uz sanāksmi vai kuras nav atbildējušas uz uzaicinājumu piedalīties elektroniskajā saskaņošanā</w:t>
            </w:r>
          </w:p>
        </w:tc>
        <w:tc>
          <w:tcPr>
            <w:tcW w:w="3949" w:type="pct"/>
            <w:tcBorders>
              <w:bottom w:val="single" w:sz="4" w:space="0" w:color="auto"/>
            </w:tcBorders>
          </w:tcPr>
          <w:p w14:paraId="5B56BA28" w14:textId="77777777" w:rsidR="0091069F" w:rsidRPr="00974415" w:rsidRDefault="0091069F" w:rsidP="002B0E4B">
            <w:pPr>
              <w:pStyle w:val="naiskr"/>
              <w:spacing w:before="0" w:after="0"/>
              <w:jc w:val="both"/>
            </w:pPr>
          </w:p>
          <w:p w14:paraId="293080B3" w14:textId="77777777" w:rsidR="0091069F" w:rsidRPr="00974415" w:rsidRDefault="0091069F" w:rsidP="002B0E4B">
            <w:pPr>
              <w:jc w:val="both"/>
            </w:pPr>
          </w:p>
          <w:p w14:paraId="44C629A5" w14:textId="77777777" w:rsidR="0091069F" w:rsidRPr="00974415" w:rsidRDefault="0091069F" w:rsidP="002B0E4B">
            <w:pPr>
              <w:jc w:val="both"/>
            </w:pPr>
          </w:p>
        </w:tc>
      </w:tr>
    </w:tbl>
    <w:p w14:paraId="3FE820B0" w14:textId="77777777" w:rsidR="0091069F" w:rsidRPr="007A1F1E" w:rsidRDefault="0091069F" w:rsidP="0091069F">
      <w:pPr>
        <w:pStyle w:val="naisf"/>
        <w:spacing w:before="0" w:after="0"/>
        <w:ind w:firstLine="0"/>
        <w:rPr>
          <w:sz w:val="28"/>
          <w:szCs w:val="28"/>
        </w:rPr>
      </w:pPr>
    </w:p>
    <w:p w14:paraId="473AD581" w14:textId="77777777" w:rsidR="0091069F" w:rsidRPr="007A1F1E" w:rsidRDefault="0091069F" w:rsidP="0091069F">
      <w:pPr>
        <w:pStyle w:val="naisf"/>
        <w:spacing w:before="0" w:after="0"/>
        <w:ind w:firstLine="0"/>
        <w:rPr>
          <w:b/>
          <w:sz w:val="28"/>
          <w:szCs w:val="28"/>
        </w:rPr>
      </w:pPr>
      <w:r w:rsidRPr="007A1F1E">
        <w:rPr>
          <w:b/>
          <w:sz w:val="28"/>
          <w:szCs w:val="28"/>
        </w:rPr>
        <w:t>II. Jautājumi, par kuriem saskaņošanā vienošanās ir panākta</w:t>
      </w:r>
    </w:p>
    <w:p w14:paraId="371DA056" w14:textId="77777777" w:rsidR="0091069F" w:rsidRPr="007A1F1E" w:rsidRDefault="0091069F" w:rsidP="0091069F">
      <w:pPr>
        <w:pStyle w:val="naisf"/>
        <w:spacing w:before="0" w:after="0"/>
        <w:ind w:firstLine="720"/>
        <w:rPr>
          <w:sz w:val="28"/>
          <w:szCs w:val="28"/>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45"/>
        <w:gridCol w:w="4536"/>
        <w:gridCol w:w="3402"/>
        <w:gridCol w:w="2951"/>
      </w:tblGrid>
      <w:tr w:rsidR="0091069F" w:rsidRPr="007A1F1E" w14:paraId="66FAF31C" w14:textId="77777777" w:rsidTr="00D1331E">
        <w:tc>
          <w:tcPr>
            <w:tcW w:w="675" w:type="dxa"/>
            <w:tcBorders>
              <w:top w:val="single" w:sz="6" w:space="0" w:color="000000"/>
              <w:left w:val="single" w:sz="6" w:space="0" w:color="000000"/>
              <w:bottom w:val="single" w:sz="6" w:space="0" w:color="000000"/>
              <w:right w:val="single" w:sz="6" w:space="0" w:color="000000"/>
            </w:tcBorders>
            <w:vAlign w:val="center"/>
          </w:tcPr>
          <w:p w14:paraId="069CE15B" w14:textId="77777777" w:rsidR="0091069F" w:rsidRPr="00F16C44" w:rsidRDefault="0091069F" w:rsidP="00D1331E">
            <w:pPr>
              <w:pStyle w:val="naisc"/>
              <w:spacing w:before="0" w:after="0"/>
            </w:pPr>
            <w:r w:rsidRPr="00F16C44">
              <w:t>Nr. p. k.</w:t>
            </w:r>
          </w:p>
        </w:tc>
        <w:tc>
          <w:tcPr>
            <w:tcW w:w="3145" w:type="dxa"/>
            <w:tcBorders>
              <w:top w:val="single" w:sz="6" w:space="0" w:color="000000"/>
              <w:left w:val="single" w:sz="6" w:space="0" w:color="000000"/>
              <w:bottom w:val="single" w:sz="6" w:space="0" w:color="000000"/>
              <w:right w:val="single" w:sz="6" w:space="0" w:color="000000"/>
            </w:tcBorders>
            <w:vAlign w:val="center"/>
          </w:tcPr>
          <w:p w14:paraId="4B7E18EE" w14:textId="77777777" w:rsidR="0091069F" w:rsidRPr="00F16C44" w:rsidRDefault="0091069F" w:rsidP="00D1331E">
            <w:pPr>
              <w:pStyle w:val="naisc"/>
              <w:spacing w:before="0" w:after="0"/>
              <w:ind w:firstLine="12"/>
            </w:pPr>
            <w:r w:rsidRPr="00F16C44">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3F8F3721" w14:textId="77777777" w:rsidR="0091069F" w:rsidRPr="00F16C44" w:rsidRDefault="0091069F" w:rsidP="00D1331E">
            <w:pPr>
              <w:pStyle w:val="naisc"/>
              <w:spacing w:before="0" w:after="0"/>
              <w:ind w:right="3"/>
            </w:pPr>
            <w:r w:rsidRPr="00F16C44">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7442D091" w14:textId="77777777" w:rsidR="0091069F" w:rsidRPr="00F16C44" w:rsidRDefault="0091069F" w:rsidP="00D1331E">
            <w:pPr>
              <w:pStyle w:val="naisc"/>
              <w:spacing w:before="0" w:after="0"/>
              <w:ind w:firstLine="21"/>
            </w:pPr>
            <w:r w:rsidRPr="00F16C44">
              <w:t>Atbildīgās ministrijas norāde par to, ka iebildums ir ņemts vērā, vai informācija par saskaņošanā panākto alternatīvo risinājumu</w:t>
            </w:r>
          </w:p>
        </w:tc>
        <w:tc>
          <w:tcPr>
            <w:tcW w:w="2951" w:type="dxa"/>
            <w:tcBorders>
              <w:top w:val="single" w:sz="4" w:space="0" w:color="auto"/>
              <w:left w:val="single" w:sz="4" w:space="0" w:color="auto"/>
              <w:bottom w:val="single" w:sz="4" w:space="0" w:color="auto"/>
            </w:tcBorders>
            <w:vAlign w:val="center"/>
          </w:tcPr>
          <w:p w14:paraId="424833E0" w14:textId="77777777" w:rsidR="0091069F" w:rsidRPr="00F16C44" w:rsidRDefault="0091069F" w:rsidP="00D1331E">
            <w:pPr>
              <w:jc w:val="center"/>
              <w:rPr>
                <w:highlight w:val="yellow"/>
              </w:rPr>
            </w:pPr>
            <w:r w:rsidRPr="00F16C44">
              <w:t>Projekta attiecīgā punkta (panta) galīgā redakcija</w:t>
            </w:r>
          </w:p>
        </w:tc>
      </w:tr>
      <w:tr w:rsidR="0091069F" w:rsidRPr="007A1F1E" w14:paraId="0EAD6179" w14:textId="77777777" w:rsidTr="00E90C95">
        <w:tc>
          <w:tcPr>
            <w:tcW w:w="675" w:type="dxa"/>
            <w:tcBorders>
              <w:top w:val="single" w:sz="6" w:space="0" w:color="000000"/>
              <w:left w:val="single" w:sz="6" w:space="0" w:color="000000"/>
              <w:bottom w:val="single" w:sz="6" w:space="0" w:color="000000"/>
              <w:right w:val="single" w:sz="6" w:space="0" w:color="000000"/>
            </w:tcBorders>
            <w:vAlign w:val="center"/>
          </w:tcPr>
          <w:p w14:paraId="444D781A" w14:textId="77777777" w:rsidR="0091069F" w:rsidRPr="007A1F1E" w:rsidRDefault="0091069F" w:rsidP="00E90C95">
            <w:pPr>
              <w:pStyle w:val="naisc"/>
              <w:spacing w:before="0" w:after="0"/>
              <w:rPr>
                <w:sz w:val="28"/>
                <w:szCs w:val="28"/>
              </w:rPr>
            </w:pPr>
            <w:r w:rsidRPr="007A1F1E">
              <w:rPr>
                <w:sz w:val="28"/>
                <w:szCs w:val="28"/>
              </w:rPr>
              <w:t>1</w:t>
            </w:r>
          </w:p>
        </w:tc>
        <w:tc>
          <w:tcPr>
            <w:tcW w:w="3145" w:type="dxa"/>
            <w:tcBorders>
              <w:top w:val="single" w:sz="6" w:space="0" w:color="000000"/>
              <w:left w:val="single" w:sz="6" w:space="0" w:color="000000"/>
              <w:bottom w:val="single" w:sz="6" w:space="0" w:color="000000"/>
              <w:right w:val="single" w:sz="6" w:space="0" w:color="000000"/>
            </w:tcBorders>
            <w:vAlign w:val="center"/>
          </w:tcPr>
          <w:p w14:paraId="6B054BBE" w14:textId="77777777" w:rsidR="0091069F" w:rsidRPr="007A1F1E" w:rsidRDefault="0091069F" w:rsidP="00E90C95">
            <w:pPr>
              <w:pStyle w:val="naisc"/>
              <w:spacing w:before="0" w:after="0"/>
              <w:rPr>
                <w:sz w:val="28"/>
                <w:szCs w:val="28"/>
              </w:rPr>
            </w:pPr>
            <w:r w:rsidRPr="007A1F1E">
              <w:rPr>
                <w:sz w:val="28"/>
                <w:szCs w:val="28"/>
              </w:rPr>
              <w:t>2</w:t>
            </w:r>
          </w:p>
        </w:tc>
        <w:tc>
          <w:tcPr>
            <w:tcW w:w="4536" w:type="dxa"/>
            <w:tcBorders>
              <w:top w:val="single" w:sz="6" w:space="0" w:color="000000"/>
              <w:left w:val="single" w:sz="6" w:space="0" w:color="000000"/>
              <w:bottom w:val="single" w:sz="6" w:space="0" w:color="000000"/>
              <w:right w:val="single" w:sz="6" w:space="0" w:color="000000"/>
            </w:tcBorders>
            <w:vAlign w:val="center"/>
          </w:tcPr>
          <w:p w14:paraId="4537B11C" w14:textId="77777777" w:rsidR="0091069F" w:rsidRPr="007A1F1E" w:rsidRDefault="0091069F" w:rsidP="00E90C95">
            <w:pPr>
              <w:pStyle w:val="naisc"/>
              <w:spacing w:before="0" w:after="0"/>
              <w:ind w:firstLine="720"/>
              <w:rPr>
                <w:sz w:val="28"/>
                <w:szCs w:val="28"/>
              </w:rPr>
            </w:pPr>
            <w:r w:rsidRPr="007A1F1E">
              <w:rPr>
                <w:sz w:val="28"/>
                <w:szCs w:val="28"/>
              </w:rPr>
              <w:t>3</w:t>
            </w:r>
          </w:p>
        </w:tc>
        <w:tc>
          <w:tcPr>
            <w:tcW w:w="3402" w:type="dxa"/>
            <w:tcBorders>
              <w:top w:val="single" w:sz="6" w:space="0" w:color="000000"/>
              <w:left w:val="single" w:sz="6" w:space="0" w:color="000000"/>
              <w:bottom w:val="single" w:sz="6" w:space="0" w:color="000000"/>
              <w:right w:val="single" w:sz="6" w:space="0" w:color="000000"/>
            </w:tcBorders>
            <w:vAlign w:val="center"/>
          </w:tcPr>
          <w:p w14:paraId="04924708" w14:textId="77777777" w:rsidR="0091069F" w:rsidRPr="007A1F1E" w:rsidRDefault="0091069F" w:rsidP="00E90C95">
            <w:pPr>
              <w:pStyle w:val="naisc"/>
              <w:spacing w:before="0" w:after="0"/>
              <w:ind w:firstLine="720"/>
              <w:rPr>
                <w:sz w:val="28"/>
                <w:szCs w:val="28"/>
              </w:rPr>
            </w:pPr>
            <w:r w:rsidRPr="007A1F1E">
              <w:rPr>
                <w:sz w:val="28"/>
                <w:szCs w:val="28"/>
              </w:rPr>
              <w:t>4</w:t>
            </w:r>
          </w:p>
        </w:tc>
        <w:tc>
          <w:tcPr>
            <w:tcW w:w="2951" w:type="dxa"/>
            <w:tcBorders>
              <w:top w:val="single" w:sz="4" w:space="0" w:color="auto"/>
              <w:left w:val="single" w:sz="4" w:space="0" w:color="auto"/>
              <w:bottom w:val="single" w:sz="4" w:space="0" w:color="auto"/>
            </w:tcBorders>
            <w:vAlign w:val="center"/>
          </w:tcPr>
          <w:p w14:paraId="7ABBB8CC" w14:textId="77777777" w:rsidR="0091069F" w:rsidRPr="007A1F1E" w:rsidRDefault="0091069F" w:rsidP="00E90C95">
            <w:pPr>
              <w:jc w:val="center"/>
              <w:rPr>
                <w:sz w:val="28"/>
                <w:szCs w:val="28"/>
                <w:highlight w:val="yellow"/>
              </w:rPr>
            </w:pPr>
            <w:r w:rsidRPr="007A1F1E">
              <w:rPr>
                <w:sz w:val="28"/>
                <w:szCs w:val="28"/>
              </w:rPr>
              <w:t>5</w:t>
            </w:r>
          </w:p>
        </w:tc>
      </w:tr>
      <w:tr w:rsidR="0091069F" w:rsidRPr="007A1F1E" w14:paraId="762D2C26" w14:textId="77777777" w:rsidTr="002F0C6D">
        <w:tc>
          <w:tcPr>
            <w:tcW w:w="675" w:type="dxa"/>
            <w:tcBorders>
              <w:top w:val="single" w:sz="6" w:space="0" w:color="000000"/>
              <w:left w:val="single" w:sz="6" w:space="0" w:color="000000"/>
              <w:bottom w:val="single" w:sz="6" w:space="0" w:color="000000"/>
              <w:right w:val="single" w:sz="6" w:space="0" w:color="000000"/>
            </w:tcBorders>
            <w:vAlign w:val="center"/>
          </w:tcPr>
          <w:p w14:paraId="2C812012" w14:textId="19B515B6" w:rsidR="0091069F" w:rsidRDefault="0091069F" w:rsidP="00F0650C">
            <w:pPr>
              <w:pStyle w:val="naisc"/>
              <w:numPr>
                <w:ilvl w:val="0"/>
                <w:numId w:val="4"/>
              </w:numPr>
              <w:spacing w:before="0" w:after="0"/>
              <w:ind w:left="530"/>
              <w:rPr>
                <w:sz w:val="28"/>
                <w:szCs w:val="28"/>
              </w:rPr>
            </w:pPr>
          </w:p>
        </w:tc>
        <w:tc>
          <w:tcPr>
            <w:tcW w:w="3145" w:type="dxa"/>
            <w:tcBorders>
              <w:left w:val="single" w:sz="6" w:space="0" w:color="000000"/>
              <w:bottom w:val="single" w:sz="4" w:space="0" w:color="auto"/>
              <w:right w:val="single" w:sz="6" w:space="0" w:color="000000"/>
            </w:tcBorders>
          </w:tcPr>
          <w:p w14:paraId="70B82675" w14:textId="67940EC8" w:rsidR="0091069F" w:rsidRPr="00D1331E" w:rsidRDefault="0091069F" w:rsidP="002B0E4B">
            <w:pPr>
              <w:jc w:val="both"/>
              <w:outlineLvl w:val="0"/>
              <w:rPr>
                <w:rFonts w:eastAsia="Arial Unicode MS"/>
              </w:rPr>
            </w:pPr>
          </w:p>
        </w:tc>
        <w:tc>
          <w:tcPr>
            <w:tcW w:w="4536" w:type="dxa"/>
            <w:tcBorders>
              <w:left w:val="single" w:sz="6" w:space="0" w:color="000000"/>
              <w:bottom w:val="single" w:sz="4" w:space="0" w:color="auto"/>
              <w:right w:val="single" w:sz="6" w:space="0" w:color="000000"/>
            </w:tcBorders>
          </w:tcPr>
          <w:p w14:paraId="50AC4EBF" w14:textId="4667EB1E" w:rsidR="00D1331E" w:rsidRPr="00A35ECE" w:rsidRDefault="0091069F" w:rsidP="00E90C95">
            <w:pPr>
              <w:jc w:val="center"/>
              <w:rPr>
                <w:szCs w:val="28"/>
              </w:rPr>
            </w:pPr>
            <w:r w:rsidRPr="00D1331E">
              <w:rPr>
                <w:b/>
                <w:bCs/>
                <w:szCs w:val="28"/>
              </w:rPr>
              <w:t>Tieslietu ministrija</w:t>
            </w:r>
            <w:r w:rsidR="00A35ECE">
              <w:rPr>
                <w:b/>
                <w:bCs/>
                <w:szCs w:val="28"/>
              </w:rPr>
              <w:t xml:space="preserve"> </w:t>
            </w:r>
            <w:r w:rsidR="00A35ECE">
              <w:rPr>
                <w:szCs w:val="28"/>
              </w:rPr>
              <w:t>(VSS-232)</w:t>
            </w:r>
          </w:p>
          <w:p w14:paraId="2DB4B4A0" w14:textId="77777777" w:rsidR="00F0650C" w:rsidRPr="00D1331E" w:rsidRDefault="00F0650C" w:rsidP="00E90C95">
            <w:pPr>
              <w:jc w:val="center"/>
              <w:rPr>
                <w:b/>
                <w:bCs/>
                <w:szCs w:val="28"/>
              </w:rPr>
            </w:pPr>
          </w:p>
          <w:p w14:paraId="096344C9" w14:textId="77777777" w:rsidR="00F0650C" w:rsidRPr="00F0650C" w:rsidRDefault="00F0650C" w:rsidP="00F0650C">
            <w:pPr>
              <w:jc w:val="both"/>
              <w:rPr>
                <w:szCs w:val="28"/>
              </w:rPr>
            </w:pPr>
            <w:r w:rsidRPr="00F0650C">
              <w:rPr>
                <w:szCs w:val="28"/>
              </w:rPr>
              <w:lastRenderedPageBreak/>
              <w:t xml:space="preserve">Projekta 1. punkts paredz papildināt Ministru kabineta 2011. gada 28. jūnija noteikumus Nr. 500 "Noteikumi par transportējamām spiedieniekārtām" (turpmāk – noteikumi) ar 14.1 punktu, nosakot, ka cisternu valdītājs pirms normatīvajos aktos par spiedieniekārtām un to kompleksiem noteiktā spiedieniekārtu kompleksa uzpildes pārliecinās par tā kārtējās tehniskās pārbaudes esamību. Ja spiedieniekārtu kompleksa kārtējā tehniskā pārbaude nav veikta noteiktajā termiņā un apjomā, cisternu valdītājam aizliegts veikt spiedieniekārtu kompleksa uzpildi. Ministru kabineta 2003. gada 16. septembra noteikumu Nr. 518 "Spiedieniekārtu kompleksu tehniskās uzraudzības kārtība" (turpmāk – uzraudzības noteikumi) 13.6. apakšpunkts paredz, ka spiedieniekārtu kompleksa lietošanas laikā tā valdītājam ir pienākums nodrošināt spiedieniekārtu kompleksa savlaicīgas tehniskās pārbaudes. Savukārt uzraudzības noteikumu 44. punkts paredz, kādas ir spiedieniekārtu kompleksa kārtējās tehniskās pārbaudes, un 46. punkts paredz termiņus, kādos spiedieniekārtu kompleksa valdītājam ir pienākums nodrošināt visā spiedieniekārtu kompleksa lietošanas laikā kārtējās tehniskās pārbaudes. Ministru kabineta noteikumu projekta "Grozījumi Ministru kabineta 2003. gada 16. septembra noteikumos Nr. 518 "Spiedieniekārtu kompleksu tehniskās uzraudzības kārtība"" (turpmāk – saistītais </w:t>
            </w:r>
            <w:r w:rsidRPr="00F0650C">
              <w:rPr>
                <w:szCs w:val="28"/>
              </w:rPr>
              <w:lastRenderedPageBreak/>
              <w:t>projekts) 1. punkts paredz papildināt uzraudzības noteikumus ar 13.8. apakšpunktu, paredzot, ka spiedieniekārtu kompleksa lietošanas laikā tā valdītājam ir pienākums pirms spiedieniekārtu kompleksa uzpildes pēc pieprasījuma sniegt spiedieniekārtu kompleksa uzpildītājam informāciju par pēdējo spiedieniekārtu kompleksam veikto tehnisko pārbaudi. No projekta 1. punktā un saistītā projekta 1. punktā ietvertā regulējuma izriet, ka cisternu valdītājam (privātpersonai) būs jākontrolē, vai spiedieniekārtu kompleksa valdītājs (privātpersona) ir izpildījis savus pienākumus nodrošināt savlaicīgas tehniskās pārbaudes. Vēršam uzmanību, ka starp cisternu valdītāju un spiedieniekārtu kompleksa valdītāju pastāvēs civiltiesiskas saistības, kuru īstenošanu projekts ierobežos, lai gan uzraudzības noteikumu 65.1 punkts paredz, ka spiedieniekārtu kompleksu uzraudzību un kontroli veic Patērētāju tiesību aizsardzības centrs.</w:t>
            </w:r>
          </w:p>
          <w:p w14:paraId="405277CF" w14:textId="77777777" w:rsidR="00F0650C" w:rsidRPr="00F0650C" w:rsidRDefault="00F0650C" w:rsidP="00F0650C">
            <w:pPr>
              <w:jc w:val="both"/>
              <w:rPr>
                <w:szCs w:val="28"/>
              </w:rPr>
            </w:pPr>
            <w:r w:rsidRPr="00F0650C">
              <w:rPr>
                <w:szCs w:val="28"/>
              </w:rPr>
              <w:t xml:space="preserve">Likums "Par bīstamo iekārtu tehnisko uzraudzību" paredz piemērot administratīvos sodus par pārkāpumiem bīstamo iekārtu tehniskās uzraudzības jomā. Līdz ar to šobrīd ir paredzēta iespēja administratīvi sodīt spiedieniekārtu kompleksu valdītāju, ja tas nav veicis kārtējo tehnisko pārbaudi. No projekta 1. punktā ietvertā regulējuma izriet, ka cisternu valdītājam ir aizliegts uzpildīt spiedieniekārtas kompleksu, lai piespiestu </w:t>
            </w:r>
            <w:r w:rsidRPr="00F0650C">
              <w:rPr>
                <w:szCs w:val="28"/>
              </w:rPr>
              <w:lastRenderedPageBreak/>
              <w:t>spiedieniekārtu kompleksa valdītāju izpildīt tam uzlikto pienākumu, proti, šāds mehānisms rada iespaidu, ka spiedieniekārtu kompleksa valdītājs tiek sodīts par pienākuma neizpildi. Vēršam uzmanību, ka gadījumos, kad pret privātpersonu vērsti ierobežojoši pasākumi, nepieciešams noteikt privātpersonas tiesisko interešu aizsardzības mehānismus, kas šajā gadījumā nav paredzēti.</w:t>
            </w:r>
          </w:p>
          <w:p w14:paraId="36CB2128" w14:textId="77777777" w:rsidR="00F0650C" w:rsidRPr="00F0650C" w:rsidRDefault="00F0650C" w:rsidP="00F0650C">
            <w:pPr>
              <w:jc w:val="both"/>
              <w:rPr>
                <w:szCs w:val="28"/>
              </w:rPr>
            </w:pPr>
            <w:r w:rsidRPr="00F0650C">
              <w:rPr>
                <w:szCs w:val="28"/>
              </w:rPr>
              <w:t>No projekta sākotnējās ietekmes novērtējuma ziņojuma (turpmāk – anotācija) neizriet, kāpēc šobrīd spēkā esošie mehānismi nav pietiekami, lai veicinātu spiedieniekārtu kompleksu valdītāju pienākumu izpildi. Vēršam uzmanību uz to, ka jebkuram privātpersonai uzliktajam ierobežojumam ir jābūt samērīgam, tostarp, jāizvērtē, vai tiesiskā regulējuma mērķi nevar sasniegt ar privātpersonas tiesības mazāk ierobežojošiem pasākumiem. Līdz ar to lūdzam papildināt anotāciju ar attiecīgu skaidrojumu.</w:t>
            </w:r>
          </w:p>
          <w:p w14:paraId="29C3D705" w14:textId="77777777" w:rsidR="00F0650C" w:rsidRPr="00F0650C" w:rsidRDefault="00F0650C" w:rsidP="00F0650C">
            <w:pPr>
              <w:jc w:val="both"/>
              <w:rPr>
                <w:szCs w:val="28"/>
              </w:rPr>
            </w:pPr>
            <w:r w:rsidRPr="00F0650C">
              <w:rPr>
                <w:szCs w:val="28"/>
              </w:rPr>
              <w:t xml:space="preserve">Vienlaikus norādām, ka nav skaidrs, cik ilgu laika posmu pēc tehniskās pārbaudes veikšanas būtu pieļaujams veikt spiedieniekārtas kompleksa uzpildi, ja tehniskā pārbaude jāveic reizi 12 mēnešos, reizi četros gados vai reizi astoņos gados. Piemēram, vai cisternu valdītājs būs tiesīgs uzpildīt spiedieniekārtas kompleksu, ja pēdējā tehniskā pārbaude, kas jāveic reizi 12 mēnešos, veikta pirms 11 mēnešiem. No </w:t>
            </w:r>
            <w:r w:rsidRPr="00F0650C">
              <w:rPr>
                <w:szCs w:val="28"/>
              </w:rPr>
              <w:lastRenderedPageBreak/>
              <w:t>projekta 1. punktā un saistītā projekta 1. punktā noteiktā arī nav skaidrs, vai būs jāsniedz informācija par to, ka ir veiktas visas kārtējās tehniskās pārbaudes, kuras paredz uzraudzības noteikumu 44. un 46. punkts, vai pietiks, ka tiks sniegta informācija par pēdējo veikto tehnisko pārbaudi neatkarīgi no tā, kura no uzraudzības noteikumu 44. punktā minētajām pārbaudēm tā būs. Līdz ar to lūdzam papildināt anotāciju ar attiecīgu skaidrojumu.</w:t>
            </w:r>
          </w:p>
          <w:p w14:paraId="46CDA66B" w14:textId="591CAC56" w:rsidR="0091069F" w:rsidRPr="00EF70A1" w:rsidRDefault="00F0650C" w:rsidP="00F0650C">
            <w:pPr>
              <w:jc w:val="both"/>
              <w:rPr>
                <w:szCs w:val="28"/>
                <w:highlight w:val="yellow"/>
              </w:rPr>
            </w:pPr>
            <w:r w:rsidRPr="00F0650C">
              <w:rPr>
                <w:szCs w:val="28"/>
              </w:rPr>
              <w:tab/>
              <w:t>Papildus lūdzam spēkā stāšanos noteikt projektam, nevis papildināt noteikumus ar jaunu pārejas noteikumu (projekta 2. punkts) un skaidrot anotācijā, kāpēc projekta 1. punktā paredzētajam regulējumam jāstājas spēkā 2021. gada 1. novembrī.</w:t>
            </w:r>
          </w:p>
        </w:tc>
        <w:tc>
          <w:tcPr>
            <w:tcW w:w="3402" w:type="dxa"/>
            <w:tcBorders>
              <w:top w:val="single" w:sz="6" w:space="0" w:color="000000"/>
              <w:left w:val="single" w:sz="6" w:space="0" w:color="000000"/>
              <w:bottom w:val="single" w:sz="6" w:space="0" w:color="000000"/>
              <w:right w:val="single" w:sz="6" w:space="0" w:color="000000"/>
            </w:tcBorders>
          </w:tcPr>
          <w:p w14:paraId="5A763B6C" w14:textId="77777777" w:rsidR="0091069F" w:rsidRPr="00EF70A1" w:rsidRDefault="0091069F" w:rsidP="002B0E4B">
            <w:pPr>
              <w:spacing w:after="120"/>
              <w:jc w:val="center"/>
              <w:rPr>
                <w:b/>
                <w:sz w:val="28"/>
                <w:szCs w:val="28"/>
                <w:highlight w:val="yellow"/>
              </w:rPr>
            </w:pPr>
            <w:r w:rsidRPr="00D1331E">
              <w:rPr>
                <w:rFonts w:eastAsia="SimSun"/>
                <w:b/>
                <w:lang w:eastAsia="zh-CN"/>
              </w:rPr>
              <w:lastRenderedPageBreak/>
              <w:t>Iebildums ņemts vērā</w:t>
            </w:r>
          </w:p>
        </w:tc>
        <w:tc>
          <w:tcPr>
            <w:tcW w:w="2951" w:type="dxa"/>
            <w:tcBorders>
              <w:top w:val="single" w:sz="4" w:space="0" w:color="auto"/>
              <w:left w:val="single" w:sz="4" w:space="0" w:color="auto"/>
              <w:bottom w:val="single" w:sz="4" w:space="0" w:color="auto"/>
            </w:tcBorders>
          </w:tcPr>
          <w:p w14:paraId="472F451B" w14:textId="77777777" w:rsidR="00230E38" w:rsidRDefault="00731EB1" w:rsidP="00E90C95">
            <w:r>
              <w:t>Precizēt</w:t>
            </w:r>
            <w:r w:rsidR="00A35ECE">
              <w:t>a</w:t>
            </w:r>
            <w:r w:rsidR="000A6405">
              <w:t xml:space="preserve"> Noteikumu </w:t>
            </w:r>
            <w:r w:rsidR="00A35ECE">
              <w:t>projekta anotācija</w:t>
            </w:r>
          </w:p>
          <w:p w14:paraId="35D10170" w14:textId="77777777" w:rsidR="00A35ECE" w:rsidRDefault="00A35ECE" w:rsidP="00E90C95"/>
          <w:p w14:paraId="25DC5157" w14:textId="77777777" w:rsidR="00A35ECE" w:rsidRDefault="00A35ECE" w:rsidP="00E90C95"/>
          <w:p w14:paraId="1B873C85" w14:textId="77777777" w:rsidR="00A35ECE" w:rsidRDefault="00A35ECE" w:rsidP="00E90C95"/>
          <w:p w14:paraId="0945B550" w14:textId="77777777" w:rsidR="00A35ECE" w:rsidRDefault="00A35ECE" w:rsidP="00E90C95"/>
          <w:p w14:paraId="69642C79" w14:textId="77777777" w:rsidR="00A35ECE" w:rsidRDefault="00A35ECE" w:rsidP="00E90C95"/>
          <w:p w14:paraId="179495FD" w14:textId="77777777" w:rsidR="00A35ECE" w:rsidRDefault="00A35ECE" w:rsidP="00E90C95"/>
          <w:p w14:paraId="6464C05F" w14:textId="77777777" w:rsidR="00A35ECE" w:rsidRDefault="00A35ECE" w:rsidP="00E90C95"/>
          <w:p w14:paraId="704EF280" w14:textId="77777777" w:rsidR="00A35ECE" w:rsidRDefault="00A35ECE" w:rsidP="00E90C95"/>
          <w:p w14:paraId="3E7863FD" w14:textId="77777777" w:rsidR="00A35ECE" w:rsidRDefault="00A35ECE" w:rsidP="00E90C95"/>
          <w:p w14:paraId="4D072D81" w14:textId="77777777" w:rsidR="00A35ECE" w:rsidRDefault="00A35ECE" w:rsidP="00E90C95"/>
          <w:p w14:paraId="164B78C8" w14:textId="77777777" w:rsidR="00A35ECE" w:rsidRDefault="00A35ECE" w:rsidP="00E90C95"/>
          <w:p w14:paraId="115AEDDC" w14:textId="77777777" w:rsidR="00A35ECE" w:rsidRDefault="00A35ECE" w:rsidP="00E90C95"/>
          <w:p w14:paraId="59AB499C" w14:textId="77777777" w:rsidR="00A35ECE" w:rsidRDefault="00A35ECE" w:rsidP="00E90C95"/>
          <w:p w14:paraId="2C2FABCA" w14:textId="77777777" w:rsidR="00A35ECE" w:rsidRDefault="00A35ECE" w:rsidP="00E90C95"/>
          <w:p w14:paraId="53ECB195" w14:textId="77777777" w:rsidR="00A35ECE" w:rsidRDefault="00A35ECE" w:rsidP="00E90C95"/>
          <w:p w14:paraId="634DA0B4" w14:textId="77777777" w:rsidR="00A35ECE" w:rsidRDefault="00A35ECE" w:rsidP="00E90C95"/>
          <w:p w14:paraId="09BE06ED" w14:textId="77777777" w:rsidR="00A35ECE" w:rsidRDefault="00A35ECE" w:rsidP="00E90C95"/>
          <w:p w14:paraId="10855227" w14:textId="77777777" w:rsidR="00A35ECE" w:rsidRDefault="00A35ECE" w:rsidP="00E90C95"/>
          <w:p w14:paraId="466504FC" w14:textId="77777777" w:rsidR="00A35ECE" w:rsidRDefault="00A35ECE" w:rsidP="00E90C95"/>
          <w:p w14:paraId="530E4BC9" w14:textId="77777777" w:rsidR="00A35ECE" w:rsidRDefault="00A35ECE" w:rsidP="00E90C95"/>
          <w:p w14:paraId="1470D63E" w14:textId="77777777" w:rsidR="00A35ECE" w:rsidRDefault="00A35ECE" w:rsidP="00E90C95"/>
          <w:p w14:paraId="3AB2F968" w14:textId="77777777" w:rsidR="00A35ECE" w:rsidRDefault="00A35ECE" w:rsidP="00E90C95"/>
          <w:p w14:paraId="291A3E4B" w14:textId="77777777" w:rsidR="00A35ECE" w:rsidRDefault="00A35ECE" w:rsidP="00E90C95"/>
          <w:p w14:paraId="6B5680C9" w14:textId="77777777" w:rsidR="00A35ECE" w:rsidRDefault="00A35ECE" w:rsidP="00E90C95"/>
          <w:p w14:paraId="01F83426" w14:textId="77777777" w:rsidR="00A35ECE" w:rsidRDefault="00A35ECE" w:rsidP="00E90C95"/>
          <w:p w14:paraId="441A0909" w14:textId="77777777" w:rsidR="00A35ECE" w:rsidRDefault="00A35ECE" w:rsidP="00E90C95"/>
          <w:p w14:paraId="71DC079C" w14:textId="77777777" w:rsidR="00A35ECE" w:rsidRDefault="00A35ECE" w:rsidP="00E90C95"/>
          <w:p w14:paraId="6C35F1D8" w14:textId="77777777" w:rsidR="00A35ECE" w:rsidRDefault="00A35ECE" w:rsidP="00E90C95"/>
          <w:p w14:paraId="4B1FC25F" w14:textId="77777777" w:rsidR="00A35ECE" w:rsidRDefault="00A35ECE" w:rsidP="00E90C95"/>
          <w:p w14:paraId="26169618" w14:textId="77777777" w:rsidR="00A35ECE" w:rsidRDefault="00A35ECE" w:rsidP="00E90C95"/>
          <w:p w14:paraId="5A686A55" w14:textId="77777777" w:rsidR="00A35ECE" w:rsidRDefault="00A35ECE" w:rsidP="00E90C95"/>
          <w:p w14:paraId="6C506A56" w14:textId="77777777" w:rsidR="00A35ECE" w:rsidRDefault="00A35ECE" w:rsidP="00E90C95"/>
          <w:p w14:paraId="46A8C5AF" w14:textId="77777777" w:rsidR="00A35ECE" w:rsidRDefault="00A35ECE" w:rsidP="00E90C95"/>
          <w:p w14:paraId="53FA6958" w14:textId="77777777" w:rsidR="00A35ECE" w:rsidRDefault="00A35ECE" w:rsidP="00E90C95"/>
          <w:p w14:paraId="76D66FD8" w14:textId="77777777" w:rsidR="00A35ECE" w:rsidRDefault="00A35ECE" w:rsidP="00E90C95"/>
          <w:p w14:paraId="22C9A922" w14:textId="77777777" w:rsidR="00A35ECE" w:rsidRDefault="00A35ECE" w:rsidP="00E90C95"/>
          <w:p w14:paraId="5E7E1F93" w14:textId="77777777" w:rsidR="00A35ECE" w:rsidRDefault="00A35ECE" w:rsidP="00E90C95"/>
          <w:p w14:paraId="13870AE5" w14:textId="77777777" w:rsidR="00A35ECE" w:rsidRDefault="00A35ECE" w:rsidP="00E90C95"/>
          <w:p w14:paraId="7697391F" w14:textId="77777777" w:rsidR="00A35ECE" w:rsidRDefault="00A35ECE" w:rsidP="00E90C95"/>
          <w:p w14:paraId="5715C191" w14:textId="77777777" w:rsidR="00A35ECE" w:rsidRDefault="00A35ECE" w:rsidP="00E90C95"/>
          <w:p w14:paraId="084AFA58" w14:textId="77777777" w:rsidR="00A35ECE" w:rsidRDefault="00A35ECE" w:rsidP="00E90C95"/>
          <w:p w14:paraId="2D6B7650" w14:textId="77777777" w:rsidR="00A35ECE" w:rsidRDefault="00A35ECE" w:rsidP="00E90C95"/>
          <w:p w14:paraId="2B576086" w14:textId="77777777" w:rsidR="00A35ECE" w:rsidRDefault="00A35ECE" w:rsidP="00E90C95"/>
          <w:p w14:paraId="0158E7D7" w14:textId="77777777" w:rsidR="00A35ECE" w:rsidRDefault="00A35ECE" w:rsidP="00E90C95"/>
          <w:p w14:paraId="2E9AF038" w14:textId="77777777" w:rsidR="00A35ECE" w:rsidRDefault="00A35ECE" w:rsidP="00E90C95"/>
          <w:p w14:paraId="21888D43" w14:textId="77777777" w:rsidR="00A35ECE" w:rsidRDefault="00A35ECE" w:rsidP="00E90C95"/>
          <w:p w14:paraId="29DAE0F4" w14:textId="77777777" w:rsidR="00A35ECE" w:rsidRDefault="00A35ECE" w:rsidP="00E90C95"/>
          <w:p w14:paraId="62E0E6B2" w14:textId="77777777" w:rsidR="00A35ECE" w:rsidRDefault="00A35ECE" w:rsidP="00E90C95"/>
          <w:p w14:paraId="1DC23F07" w14:textId="77777777" w:rsidR="00A35ECE" w:rsidRDefault="00A35ECE" w:rsidP="00E90C95"/>
          <w:p w14:paraId="43084C2B" w14:textId="77777777" w:rsidR="00A35ECE" w:rsidRDefault="00A35ECE" w:rsidP="00E90C95"/>
          <w:p w14:paraId="40CBEF1B" w14:textId="77777777" w:rsidR="00A35ECE" w:rsidRDefault="00A35ECE" w:rsidP="00E90C95"/>
          <w:p w14:paraId="3023C925" w14:textId="77777777" w:rsidR="00A35ECE" w:rsidRDefault="00A35ECE" w:rsidP="00E90C95"/>
          <w:p w14:paraId="598D05F9" w14:textId="77777777" w:rsidR="00A35ECE" w:rsidRDefault="00A35ECE" w:rsidP="00E90C95"/>
          <w:p w14:paraId="1A4FD23C" w14:textId="77777777" w:rsidR="00A35ECE" w:rsidRDefault="00A35ECE" w:rsidP="00E90C95"/>
          <w:p w14:paraId="7158C28D" w14:textId="77777777" w:rsidR="00A35ECE" w:rsidRDefault="00A35ECE" w:rsidP="00E90C95"/>
          <w:p w14:paraId="4BF1A63C" w14:textId="77777777" w:rsidR="00A35ECE" w:rsidRDefault="00A35ECE" w:rsidP="00E90C95"/>
          <w:p w14:paraId="126FEE14" w14:textId="77777777" w:rsidR="00A35ECE" w:rsidRDefault="00A35ECE" w:rsidP="00E90C95"/>
          <w:p w14:paraId="75A9B29F" w14:textId="77777777" w:rsidR="00A35ECE" w:rsidRDefault="00A35ECE" w:rsidP="00E90C95"/>
          <w:p w14:paraId="63D0E969" w14:textId="77777777" w:rsidR="00A35ECE" w:rsidRDefault="00A35ECE" w:rsidP="00E90C95"/>
          <w:p w14:paraId="298A1000" w14:textId="77777777" w:rsidR="00A35ECE" w:rsidRDefault="00A35ECE" w:rsidP="00E90C95"/>
          <w:p w14:paraId="4D34091A" w14:textId="77777777" w:rsidR="00A35ECE" w:rsidRDefault="00A35ECE" w:rsidP="00E90C95"/>
          <w:p w14:paraId="2E88395A" w14:textId="77777777" w:rsidR="00A35ECE" w:rsidRDefault="00A35ECE" w:rsidP="00E90C95"/>
          <w:p w14:paraId="7EB1363D" w14:textId="77777777" w:rsidR="00A35ECE" w:rsidRDefault="00A35ECE" w:rsidP="00E90C95"/>
          <w:p w14:paraId="546DD0DF" w14:textId="77777777" w:rsidR="00A35ECE" w:rsidRDefault="00A35ECE" w:rsidP="00E90C95"/>
          <w:p w14:paraId="686063E5" w14:textId="77777777" w:rsidR="00A35ECE" w:rsidRDefault="00A35ECE" w:rsidP="00E90C95"/>
          <w:p w14:paraId="7AA9E146" w14:textId="77777777" w:rsidR="00A35ECE" w:rsidRDefault="00A35ECE" w:rsidP="00E90C95"/>
          <w:p w14:paraId="0921A5F2" w14:textId="77777777" w:rsidR="00A35ECE" w:rsidRDefault="00A35ECE" w:rsidP="00E90C95"/>
          <w:p w14:paraId="5F88A1F4" w14:textId="77777777" w:rsidR="00A35ECE" w:rsidRDefault="00A35ECE" w:rsidP="00E90C95"/>
          <w:p w14:paraId="53E654DA" w14:textId="77777777" w:rsidR="00A35ECE" w:rsidRDefault="00A35ECE" w:rsidP="00E90C95"/>
          <w:p w14:paraId="55E65C48" w14:textId="77777777" w:rsidR="00A35ECE" w:rsidRDefault="00A35ECE" w:rsidP="00E90C95"/>
          <w:p w14:paraId="20910F99" w14:textId="77777777" w:rsidR="00A35ECE" w:rsidRDefault="00A35ECE" w:rsidP="00E90C95"/>
          <w:p w14:paraId="1FC6B39F" w14:textId="77777777" w:rsidR="00A35ECE" w:rsidRDefault="00A35ECE" w:rsidP="00E90C95"/>
          <w:p w14:paraId="157D4C9C" w14:textId="77777777" w:rsidR="00A35ECE" w:rsidRDefault="00A35ECE" w:rsidP="00E90C95"/>
          <w:p w14:paraId="6A45C993" w14:textId="77777777" w:rsidR="00A35ECE" w:rsidRDefault="00A35ECE" w:rsidP="00E90C95"/>
          <w:p w14:paraId="1265F50B" w14:textId="77777777" w:rsidR="00A35ECE" w:rsidRDefault="00A35ECE" w:rsidP="00E90C95"/>
          <w:p w14:paraId="173C9A4F" w14:textId="77777777" w:rsidR="00A35ECE" w:rsidRDefault="00A35ECE" w:rsidP="00E90C95"/>
          <w:p w14:paraId="79C65BC2" w14:textId="77777777" w:rsidR="00A35ECE" w:rsidRDefault="00A35ECE" w:rsidP="00E90C95"/>
          <w:p w14:paraId="29BA70F6" w14:textId="77777777" w:rsidR="00A35ECE" w:rsidRDefault="00A35ECE" w:rsidP="00E90C95"/>
          <w:p w14:paraId="5340E65E" w14:textId="77777777" w:rsidR="00A35ECE" w:rsidRDefault="00A35ECE" w:rsidP="00E90C95"/>
          <w:p w14:paraId="56E7512F" w14:textId="77777777" w:rsidR="00A35ECE" w:rsidRDefault="00A35ECE" w:rsidP="00E90C95"/>
          <w:p w14:paraId="55F557F5" w14:textId="77777777" w:rsidR="00A35ECE" w:rsidRDefault="00A35ECE" w:rsidP="00E90C95"/>
          <w:p w14:paraId="5EA1AF32" w14:textId="77777777" w:rsidR="00A35ECE" w:rsidRDefault="00A35ECE" w:rsidP="00E90C95"/>
          <w:p w14:paraId="3435E50F" w14:textId="77777777" w:rsidR="00A35ECE" w:rsidRDefault="00A35ECE" w:rsidP="00E90C95"/>
          <w:p w14:paraId="510206AD" w14:textId="77777777" w:rsidR="00A35ECE" w:rsidRDefault="00A35ECE" w:rsidP="00E90C95"/>
          <w:p w14:paraId="4B4CE521" w14:textId="77777777" w:rsidR="00A35ECE" w:rsidRDefault="00A35ECE" w:rsidP="00E90C95"/>
          <w:p w14:paraId="5383EAB4" w14:textId="77777777" w:rsidR="00A35ECE" w:rsidRDefault="00A35ECE" w:rsidP="00E90C95"/>
          <w:p w14:paraId="71EE5F2B" w14:textId="77777777" w:rsidR="00A35ECE" w:rsidRDefault="00A35ECE" w:rsidP="00E90C95"/>
          <w:p w14:paraId="216B8126" w14:textId="77777777" w:rsidR="00A35ECE" w:rsidRDefault="00A35ECE" w:rsidP="00E90C95"/>
          <w:p w14:paraId="085ADF75" w14:textId="77777777" w:rsidR="00A35ECE" w:rsidRDefault="00A35ECE" w:rsidP="00E90C95"/>
          <w:p w14:paraId="7B3EFA15" w14:textId="77777777" w:rsidR="00A35ECE" w:rsidRDefault="00A35ECE" w:rsidP="00E90C95"/>
          <w:p w14:paraId="1D1F687A" w14:textId="77777777" w:rsidR="00A35ECE" w:rsidRDefault="00A35ECE" w:rsidP="00E90C95"/>
          <w:p w14:paraId="37BFB103" w14:textId="77777777" w:rsidR="00A35ECE" w:rsidRDefault="00A35ECE" w:rsidP="00E90C95"/>
          <w:p w14:paraId="3E68A014" w14:textId="77777777" w:rsidR="00A35ECE" w:rsidRDefault="00A35ECE" w:rsidP="00E90C95"/>
          <w:p w14:paraId="683473A4" w14:textId="77777777" w:rsidR="00A35ECE" w:rsidRDefault="00A35ECE" w:rsidP="00E90C95"/>
          <w:p w14:paraId="62765F4D" w14:textId="77777777" w:rsidR="00A35ECE" w:rsidRDefault="00A35ECE" w:rsidP="00E90C95"/>
          <w:p w14:paraId="28710CD8" w14:textId="77777777" w:rsidR="00A35ECE" w:rsidRDefault="00A35ECE" w:rsidP="00E90C95"/>
          <w:p w14:paraId="59FEBD2F" w14:textId="77777777" w:rsidR="00A35ECE" w:rsidRDefault="00A35ECE" w:rsidP="00E90C95"/>
          <w:p w14:paraId="22881EC9" w14:textId="77777777" w:rsidR="00A35ECE" w:rsidRDefault="00A35ECE" w:rsidP="00E90C95"/>
          <w:p w14:paraId="55214C4E" w14:textId="77777777" w:rsidR="00A35ECE" w:rsidRDefault="00A35ECE" w:rsidP="00E90C95"/>
          <w:p w14:paraId="36C8E8E2" w14:textId="77777777" w:rsidR="00A35ECE" w:rsidRDefault="00A35ECE" w:rsidP="00E90C95"/>
          <w:p w14:paraId="59709130" w14:textId="77777777" w:rsidR="00A35ECE" w:rsidRDefault="00A35ECE" w:rsidP="00E90C95"/>
          <w:p w14:paraId="6F2E04ED" w14:textId="77777777" w:rsidR="00A35ECE" w:rsidRDefault="00A35ECE" w:rsidP="00E90C95"/>
          <w:p w14:paraId="6ECFFA71" w14:textId="77777777" w:rsidR="00A35ECE" w:rsidRDefault="00A35ECE" w:rsidP="00E90C95"/>
          <w:p w14:paraId="77E65C99" w14:textId="77777777" w:rsidR="00A35ECE" w:rsidRDefault="00A35ECE" w:rsidP="00E90C95"/>
          <w:p w14:paraId="24EB7475" w14:textId="77777777" w:rsidR="00A35ECE" w:rsidRDefault="00A35ECE" w:rsidP="00E90C95"/>
          <w:p w14:paraId="52437165" w14:textId="77777777" w:rsidR="00A35ECE" w:rsidRDefault="00A35ECE" w:rsidP="00E90C95"/>
          <w:p w14:paraId="4C3CB644" w14:textId="77777777" w:rsidR="00A35ECE" w:rsidRDefault="00A35ECE" w:rsidP="00E90C95"/>
          <w:p w14:paraId="58CE1C7B" w14:textId="77777777" w:rsidR="00A35ECE" w:rsidRDefault="00A35ECE" w:rsidP="00E90C95"/>
          <w:p w14:paraId="63F5BB9B" w14:textId="77777777" w:rsidR="00A35ECE" w:rsidRDefault="00A35ECE" w:rsidP="00E90C95"/>
          <w:p w14:paraId="4268E955" w14:textId="77777777" w:rsidR="00A35ECE" w:rsidRDefault="00A35ECE" w:rsidP="00E90C95"/>
          <w:p w14:paraId="30130865" w14:textId="77777777" w:rsidR="00A35ECE" w:rsidRDefault="00A35ECE" w:rsidP="00E90C95"/>
          <w:p w14:paraId="1DB65024" w14:textId="6038007A" w:rsidR="00A35ECE" w:rsidRPr="0086282C" w:rsidRDefault="00A35ECE" w:rsidP="00E90C95">
            <w:r>
              <w:t>Svītrots Noteikumu projekta 2.punkts</w:t>
            </w:r>
            <w:r w:rsidR="007E1EB1">
              <w:t xml:space="preserve"> un precizēta</w:t>
            </w:r>
            <w:r w:rsidR="00433ABE">
              <w:t xml:space="preserve"> </w:t>
            </w:r>
            <w:r w:rsidR="007E1EB1">
              <w:t>anotācija</w:t>
            </w:r>
          </w:p>
        </w:tc>
      </w:tr>
      <w:tr w:rsidR="00A35ECE" w:rsidRPr="007A1F1E" w14:paraId="3C4D2125" w14:textId="77777777" w:rsidTr="002F0C6D">
        <w:tc>
          <w:tcPr>
            <w:tcW w:w="675" w:type="dxa"/>
            <w:tcBorders>
              <w:top w:val="single" w:sz="6" w:space="0" w:color="000000"/>
              <w:left w:val="single" w:sz="6" w:space="0" w:color="000000"/>
              <w:bottom w:val="single" w:sz="6" w:space="0" w:color="000000"/>
              <w:right w:val="single" w:sz="6" w:space="0" w:color="000000"/>
            </w:tcBorders>
            <w:vAlign w:val="center"/>
          </w:tcPr>
          <w:p w14:paraId="2D2D41EB" w14:textId="77777777" w:rsidR="00A35ECE" w:rsidRDefault="00A35ECE" w:rsidP="00F0650C">
            <w:pPr>
              <w:pStyle w:val="naisc"/>
              <w:numPr>
                <w:ilvl w:val="0"/>
                <w:numId w:val="4"/>
              </w:numPr>
              <w:spacing w:before="0" w:after="0"/>
              <w:ind w:left="530"/>
              <w:rPr>
                <w:sz w:val="28"/>
                <w:szCs w:val="28"/>
              </w:rPr>
            </w:pPr>
          </w:p>
        </w:tc>
        <w:tc>
          <w:tcPr>
            <w:tcW w:w="3145" w:type="dxa"/>
            <w:tcBorders>
              <w:left w:val="single" w:sz="6" w:space="0" w:color="000000"/>
              <w:bottom w:val="single" w:sz="4" w:space="0" w:color="auto"/>
              <w:right w:val="single" w:sz="6" w:space="0" w:color="000000"/>
            </w:tcBorders>
          </w:tcPr>
          <w:p w14:paraId="2DE71C4D" w14:textId="77777777" w:rsidR="00283812" w:rsidRDefault="00283812" w:rsidP="002B0E4B">
            <w:pPr>
              <w:jc w:val="both"/>
              <w:outlineLvl w:val="0"/>
              <w:rPr>
                <w:rFonts w:eastAsia="Arial Unicode MS"/>
              </w:rPr>
            </w:pPr>
          </w:p>
          <w:p w14:paraId="3A2E875D" w14:textId="77777777" w:rsidR="00946396" w:rsidRDefault="00946396" w:rsidP="002B0E4B">
            <w:pPr>
              <w:jc w:val="both"/>
              <w:outlineLvl w:val="0"/>
              <w:rPr>
                <w:rFonts w:eastAsia="Arial Unicode MS"/>
              </w:rPr>
            </w:pPr>
          </w:p>
          <w:p w14:paraId="2B81D6FC" w14:textId="77777777" w:rsidR="00946396" w:rsidRDefault="00946396" w:rsidP="002B0E4B">
            <w:pPr>
              <w:jc w:val="both"/>
              <w:outlineLvl w:val="0"/>
              <w:rPr>
                <w:rFonts w:eastAsia="Arial Unicode MS"/>
              </w:rPr>
            </w:pPr>
          </w:p>
          <w:p w14:paraId="2B12754A" w14:textId="77777777" w:rsidR="00946396" w:rsidRDefault="00946396" w:rsidP="002B0E4B">
            <w:pPr>
              <w:jc w:val="both"/>
              <w:outlineLvl w:val="0"/>
              <w:rPr>
                <w:rFonts w:eastAsia="Arial Unicode MS"/>
              </w:rPr>
            </w:pPr>
          </w:p>
          <w:p w14:paraId="3A2C1C7B" w14:textId="77777777" w:rsidR="00946396" w:rsidRDefault="00946396" w:rsidP="002B0E4B">
            <w:pPr>
              <w:jc w:val="both"/>
              <w:outlineLvl w:val="0"/>
              <w:rPr>
                <w:rFonts w:eastAsia="Arial Unicode MS"/>
              </w:rPr>
            </w:pPr>
          </w:p>
          <w:p w14:paraId="37FB32B4" w14:textId="77777777" w:rsidR="00946396" w:rsidRDefault="00946396" w:rsidP="002B0E4B">
            <w:pPr>
              <w:jc w:val="both"/>
              <w:outlineLvl w:val="0"/>
              <w:rPr>
                <w:rFonts w:eastAsia="Arial Unicode MS"/>
              </w:rPr>
            </w:pPr>
          </w:p>
          <w:p w14:paraId="152972F5" w14:textId="77777777" w:rsidR="00946396" w:rsidRDefault="00946396" w:rsidP="002B0E4B">
            <w:pPr>
              <w:jc w:val="both"/>
              <w:outlineLvl w:val="0"/>
              <w:rPr>
                <w:rFonts w:eastAsia="Arial Unicode MS"/>
              </w:rPr>
            </w:pPr>
          </w:p>
          <w:p w14:paraId="1815B241" w14:textId="77777777" w:rsidR="00946396" w:rsidRDefault="00946396" w:rsidP="002B0E4B">
            <w:pPr>
              <w:jc w:val="both"/>
              <w:outlineLvl w:val="0"/>
              <w:rPr>
                <w:rFonts w:eastAsia="Arial Unicode MS"/>
              </w:rPr>
            </w:pPr>
          </w:p>
          <w:p w14:paraId="022B1623" w14:textId="77777777" w:rsidR="00946396" w:rsidRDefault="00946396" w:rsidP="002B0E4B">
            <w:pPr>
              <w:jc w:val="both"/>
              <w:outlineLvl w:val="0"/>
              <w:rPr>
                <w:rFonts w:eastAsia="Arial Unicode MS"/>
              </w:rPr>
            </w:pPr>
          </w:p>
          <w:p w14:paraId="05193630" w14:textId="77777777" w:rsidR="00946396" w:rsidRDefault="00946396" w:rsidP="002B0E4B">
            <w:pPr>
              <w:jc w:val="both"/>
              <w:outlineLvl w:val="0"/>
              <w:rPr>
                <w:rFonts w:eastAsia="Arial Unicode MS"/>
              </w:rPr>
            </w:pPr>
          </w:p>
          <w:p w14:paraId="4F6C1FD7" w14:textId="77777777" w:rsidR="00946396" w:rsidRDefault="00946396" w:rsidP="002B0E4B">
            <w:pPr>
              <w:jc w:val="both"/>
              <w:outlineLvl w:val="0"/>
              <w:rPr>
                <w:rFonts w:eastAsia="Arial Unicode MS"/>
              </w:rPr>
            </w:pPr>
          </w:p>
          <w:p w14:paraId="7B0E7762" w14:textId="77777777" w:rsidR="00946396" w:rsidRDefault="00946396" w:rsidP="002B0E4B">
            <w:pPr>
              <w:jc w:val="both"/>
              <w:outlineLvl w:val="0"/>
              <w:rPr>
                <w:rFonts w:eastAsia="Arial Unicode MS"/>
              </w:rPr>
            </w:pPr>
          </w:p>
          <w:p w14:paraId="26595EDB" w14:textId="77777777" w:rsidR="00946396" w:rsidRDefault="00946396" w:rsidP="002B0E4B">
            <w:pPr>
              <w:jc w:val="both"/>
              <w:outlineLvl w:val="0"/>
              <w:rPr>
                <w:rFonts w:eastAsia="Arial Unicode MS"/>
              </w:rPr>
            </w:pPr>
          </w:p>
          <w:p w14:paraId="750308A5" w14:textId="77777777" w:rsidR="00946396" w:rsidRDefault="00946396" w:rsidP="002B0E4B">
            <w:pPr>
              <w:jc w:val="both"/>
              <w:outlineLvl w:val="0"/>
              <w:rPr>
                <w:rFonts w:eastAsia="Arial Unicode MS"/>
              </w:rPr>
            </w:pPr>
          </w:p>
          <w:p w14:paraId="252DBCE1" w14:textId="77777777" w:rsidR="00946396" w:rsidRDefault="00946396" w:rsidP="002B0E4B">
            <w:pPr>
              <w:jc w:val="both"/>
              <w:outlineLvl w:val="0"/>
              <w:rPr>
                <w:rFonts w:eastAsia="Arial Unicode MS"/>
              </w:rPr>
            </w:pPr>
          </w:p>
          <w:p w14:paraId="1CAFEF4B" w14:textId="77777777" w:rsidR="00946396" w:rsidRDefault="00946396" w:rsidP="002B0E4B">
            <w:pPr>
              <w:jc w:val="both"/>
              <w:outlineLvl w:val="0"/>
              <w:rPr>
                <w:rFonts w:eastAsia="Arial Unicode MS"/>
              </w:rPr>
            </w:pPr>
          </w:p>
          <w:p w14:paraId="3EFB94BF" w14:textId="77777777" w:rsidR="00946396" w:rsidRDefault="00946396" w:rsidP="002B0E4B">
            <w:pPr>
              <w:jc w:val="both"/>
              <w:outlineLvl w:val="0"/>
              <w:rPr>
                <w:rFonts w:eastAsia="Arial Unicode MS"/>
              </w:rPr>
            </w:pPr>
          </w:p>
          <w:p w14:paraId="3A04ECFB" w14:textId="77777777" w:rsidR="00946396" w:rsidRDefault="00946396" w:rsidP="002B0E4B">
            <w:pPr>
              <w:jc w:val="both"/>
              <w:outlineLvl w:val="0"/>
              <w:rPr>
                <w:rFonts w:eastAsia="Arial Unicode MS"/>
              </w:rPr>
            </w:pPr>
          </w:p>
          <w:p w14:paraId="3BD3399F" w14:textId="77777777" w:rsidR="00946396" w:rsidRDefault="00946396" w:rsidP="002B0E4B">
            <w:pPr>
              <w:jc w:val="both"/>
              <w:outlineLvl w:val="0"/>
              <w:rPr>
                <w:rFonts w:eastAsia="Arial Unicode MS"/>
              </w:rPr>
            </w:pPr>
          </w:p>
          <w:p w14:paraId="5B5C10BE" w14:textId="77777777" w:rsidR="00946396" w:rsidRDefault="00946396" w:rsidP="002B0E4B">
            <w:pPr>
              <w:jc w:val="both"/>
              <w:outlineLvl w:val="0"/>
              <w:rPr>
                <w:rFonts w:eastAsia="Arial Unicode MS"/>
              </w:rPr>
            </w:pPr>
          </w:p>
          <w:p w14:paraId="421B7FED" w14:textId="77777777" w:rsidR="00946396" w:rsidRDefault="00946396" w:rsidP="002B0E4B">
            <w:pPr>
              <w:jc w:val="both"/>
              <w:outlineLvl w:val="0"/>
              <w:rPr>
                <w:rFonts w:eastAsia="Arial Unicode MS"/>
              </w:rPr>
            </w:pPr>
          </w:p>
          <w:p w14:paraId="1F5D43B0" w14:textId="77777777" w:rsidR="00946396" w:rsidRDefault="00946396" w:rsidP="002B0E4B">
            <w:pPr>
              <w:jc w:val="both"/>
              <w:outlineLvl w:val="0"/>
              <w:rPr>
                <w:rFonts w:eastAsia="Arial Unicode MS"/>
              </w:rPr>
            </w:pPr>
          </w:p>
          <w:p w14:paraId="40CAC866" w14:textId="77777777" w:rsidR="00946396" w:rsidRDefault="00946396" w:rsidP="002B0E4B">
            <w:pPr>
              <w:jc w:val="both"/>
              <w:outlineLvl w:val="0"/>
              <w:rPr>
                <w:rFonts w:eastAsia="Arial Unicode MS"/>
              </w:rPr>
            </w:pPr>
          </w:p>
          <w:p w14:paraId="6E190773" w14:textId="77777777" w:rsidR="00946396" w:rsidRDefault="00946396" w:rsidP="002B0E4B">
            <w:pPr>
              <w:jc w:val="both"/>
              <w:outlineLvl w:val="0"/>
              <w:rPr>
                <w:rFonts w:eastAsia="Arial Unicode MS"/>
              </w:rPr>
            </w:pPr>
          </w:p>
          <w:p w14:paraId="11CAD618" w14:textId="77777777" w:rsidR="00946396" w:rsidRDefault="00946396" w:rsidP="002B0E4B">
            <w:pPr>
              <w:jc w:val="both"/>
              <w:outlineLvl w:val="0"/>
              <w:rPr>
                <w:rFonts w:eastAsia="Arial Unicode MS"/>
              </w:rPr>
            </w:pPr>
          </w:p>
          <w:p w14:paraId="414526C5" w14:textId="77777777" w:rsidR="00946396" w:rsidRDefault="00946396" w:rsidP="002B0E4B">
            <w:pPr>
              <w:jc w:val="both"/>
              <w:outlineLvl w:val="0"/>
              <w:rPr>
                <w:rFonts w:eastAsia="Arial Unicode MS"/>
              </w:rPr>
            </w:pPr>
          </w:p>
          <w:p w14:paraId="6B32D218" w14:textId="77777777" w:rsidR="00946396" w:rsidRDefault="00946396" w:rsidP="002B0E4B">
            <w:pPr>
              <w:jc w:val="both"/>
              <w:outlineLvl w:val="0"/>
              <w:rPr>
                <w:rFonts w:eastAsia="Arial Unicode MS"/>
              </w:rPr>
            </w:pPr>
          </w:p>
          <w:p w14:paraId="45172523" w14:textId="77777777" w:rsidR="00946396" w:rsidRDefault="00946396" w:rsidP="002B0E4B">
            <w:pPr>
              <w:jc w:val="both"/>
              <w:outlineLvl w:val="0"/>
              <w:rPr>
                <w:rFonts w:eastAsia="Arial Unicode MS"/>
              </w:rPr>
            </w:pPr>
          </w:p>
          <w:p w14:paraId="134E60E7" w14:textId="77777777" w:rsidR="00946396" w:rsidRDefault="00946396" w:rsidP="002B0E4B">
            <w:pPr>
              <w:jc w:val="both"/>
              <w:outlineLvl w:val="0"/>
              <w:rPr>
                <w:rFonts w:eastAsia="Arial Unicode MS"/>
              </w:rPr>
            </w:pPr>
          </w:p>
          <w:p w14:paraId="2A33F967" w14:textId="77777777" w:rsidR="00946396" w:rsidRDefault="00946396" w:rsidP="002B0E4B">
            <w:pPr>
              <w:jc w:val="both"/>
              <w:outlineLvl w:val="0"/>
              <w:rPr>
                <w:rFonts w:eastAsia="Arial Unicode MS"/>
              </w:rPr>
            </w:pPr>
          </w:p>
          <w:p w14:paraId="6EA8E93A" w14:textId="77777777" w:rsidR="00946396" w:rsidRDefault="00946396" w:rsidP="002B0E4B">
            <w:pPr>
              <w:jc w:val="both"/>
              <w:outlineLvl w:val="0"/>
              <w:rPr>
                <w:rFonts w:eastAsia="Arial Unicode MS"/>
              </w:rPr>
            </w:pPr>
          </w:p>
          <w:p w14:paraId="13AC9D9A" w14:textId="77777777" w:rsidR="00946396" w:rsidRDefault="00946396" w:rsidP="002B0E4B">
            <w:pPr>
              <w:jc w:val="both"/>
              <w:outlineLvl w:val="0"/>
              <w:rPr>
                <w:rFonts w:eastAsia="Arial Unicode MS"/>
              </w:rPr>
            </w:pPr>
          </w:p>
          <w:p w14:paraId="4DA61EEE" w14:textId="77777777" w:rsidR="00946396" w:rsidRDefault="00946396" w:rsidP="002B0E4B">
            <w:pPr>
              <w:jc w:val="both"/>
              <w:outlineLvl w:val="0"/>
              <w:rPr>
                <w:rFonts w:eastAsia="Arial Unicode MS"/>
              </w:rPr>
            </w:pPr>
          </w:p>
          <w:p w14:paraId="2D3739E5" w14:textId="77777777" w:rsidR="00946396" w:rsidRDefault="00946396" w:rsidP="002B0E4B">
            <w:pPr>
              <w:jc w:val="both"/>
              <w:outlineLvl w:val="0"/>
              <w:rPr>
                <w:rFonts w:eastAsia="Arial Unicode MS"/>
              </w:rPr>
            </w:pPr>
          </w:p>
          <w:p w14:paraId="474B6CDB" w14:textId="77777777" w:rsidR="00946396" w:rsidRDefault="00946396" w:rsidP="002B0E4B">
            <w:pPr>
              <w:jc w:val="both"/>
              <w:outlineLvl w:val="0"/>
              <w:rPr>
                <w:rFonts w:eastAsia="Arial Unicode MS"/>
              </w:rPr>
            </w:pPr>
          </w:p>
          <w:p w14:paraId="7E3FCEC7" w14:textId="77777777" w:rsidR="00946396" w:rsidRDefault="00946396" w:rsidP="002B0E4B">
            <w:pPr>
              <w:jc w:val="both"/>
              <w:outlineLvl w:val="0"/>
              <w:rPr>
                <w:rFonts w:eastAsia="Arial Unicode MS"/>
              </w:rPr>
            </w:pPr>
          </w:p>
          <w:p w14:paraId="3F348279" w14:textId="77777777" w:rsidR="00946396" w:rsidRDefault="00946396" w:rsidP="002B0E4B">
            <w:pPr>
              <w:jc w:val="both"/>
              <w:outlineLvl w:val="0"/>
              <w:rPr>
                <w:rFonts w:eastAsia="Arial Unicode MS"/>
              </w:rPr>
            </w:pPr>
          </w:p>
          <w:p w14:paraId="724714BE" w14:textId="77777777" w:rsidR="00946396" w:rsidRDefault="00946396" w:rsidP="002B0E4B">
            <w:pPr>
              <w:jc w:val="both"/>
              <w:outlineLvl w:val="0"/>
              <w:rPr>
                <w:rFonts w:eastAsia="Arial Unicode MS"/>
              </w:rPr>
            </w:pPr>
          </w:p>
          <w:p w14:paraId="3EC681CE" w14:textId="77777777" w:rsidR="00946396" w:rsidRDefault="00946396" w:rsidP="002B0E4B">
            <w:pPr>
              <w:jc w:val="both"/>
              <w:outlineLvl w:val="0"/>
              <w:rPr>
                <w:rFonts w:eastAsia="Arial Unicode MS"/>
              </w:rPr>
            </w:pPr>
          </w:p>
          <w:p w14:paraId="0A2C6528" w14:textId="77777777" w:rsidR="00946396" w:rsidRDefault="00946396" w:rsidP="002B0E4B">
            <w:pPr>
              <w:jc w:val="both"/>
              <w:outlineLvl w:val="0"/>
              <w:rPr>
                <w:rFonts w:eastAsia="Arial Unicode MS"/>
              </w:rPr>
            </w:pPr>
          </w:p>
          <w:p w14:paraId="571D24F9" w14:textId="77777777" w:rsidR="00946396" w:rsidRDefault="00946396" w:rsidP="002B0E4B">
            <w:pPr>
              <w:jc w:val="both"/>
              <w:outlineLvl w:val="0"/>
              <w:rPr>
                <w:rFonts w:eastAsia="Arial Unicode MS"/>
              </w:rPr>
            </w:pPr>
          </w:p>
          <w:p w14:paraId="35FF8464" w14:textId="77777777" w:rsidR="00946396" w:rsidRDefault="00946396" w:rsidP="002B0E4B">
            <w:pPr>
              <w:jc w:val="both"/>
              <w:outlineLvl w:val="0"/>
              <w:rPr>
                <w:rFonts w:eastAsia="Arial Unicode MS"/>
              </w:rPr>
            </w:pPr>
          </w:p>
          <w:p w14:paraId="1BE146FA" w14:textId="77777777" w:rsidR="00946396" w:rsidRDefault="00946396" w:rsidP="002B0E4B">
            <w:pPr>
              <w:jc w:val="both"/>
              <w:outlineLvl w:val="0"/>
              <w:rPr>
                <w:rFonts w:eastAsia="Arial Unicode MS"/>
              </w:rPr>
            </w:pPr>
          </w:p>
          <w:p w14:paraId="5F51B3CD" w14:textId="77777777" w:rsidR="00946396" w:rsidRDefault="00946396" w:rsidP="002B0E4B">
            <w:pPr>
              <w:jc w:val="both"/>
              <w:outlineLvl w:val="0"/>
              <w:rPr>
                <w:rFonts w:eastAsia="Arial Unicode MS"/>
              </w:rPr>
            </w:pPr>
          </w:p>
          <w:p w14:paraId="2BA54D08" w14:textId="77777777" w:rsidR="00946396" w:rsidRDefault="00946396" w:rsidP="002B0E4B">
            <w:pPr>
              <w:jc w:val="both"/>
              <w:outlineLvl w:val="0"/>
              <w:rPr>
                <w:rFonts w:eastAsia="Arial Unicode MS"/>
              </w:rPr>
            </w:pPr>
          </w:p>
          <w:p w14:paraId="44163FEF" w14:textId="77777777" w:rsidR="00946396" w:rsidRDefault="00946396" w:rsidP="002B0E4B">
            <w:pPr>
              <w:jc w:val="both"/>
              <w:outlineLvl w:val="0"/>
              <w:rPr>
                <w:rFonts w:eastAsia="Arial Unicode MS"/>
              </w:rPr>
            </w:pPr>
          </w:p>
          <w:p w14:paraId="16EB115D" w14:textId="77777777" w:rsidR="00946396" w:rsidRDefault="00946396" w:rsidP="002B0E4B">
            <w:pPr>
              <w:jc w:val="both"/>
              <w:outlineLvl w:val="0"/>
              <w:rPr>
                <w:rFonts w:eastAsia="Arial Unicode MS"/>
              </w:rPr>
            </w:pPr>
          </w:p>
          <w:p w14:paraId="25467BA5" w14:textId="77777777" w:rsidR="00946396" w:rsidRDefault="00946396" w:rsidP="002B0E4B">
            <w:pPr>
              <w:jc w:val="both"/>
              <w:outlineLvl w:val="0"/>
              <w:rPr>
                <w:rFonts w:eastAsia="Arial Unicode MS"/>
              </w:rPr>
            </w:pPr>
          </w:p>
          <w:p w14:paraId="1CB4D0BF" w14:textId="77777777" w:rsidR="00946396" w:rsidRDefault="00946396" w:rsidP="002B0E4B">
            <w:pPr>
              <w:jc w:val="both"/>
              <w:outlineLvl w:val="0"/>
              <w:rPr>
                <w:rFonts w:eastAsia="Arial Unicode MS"/>
              </w:rPr>
            </w:pPr>
          </w:p>
          <w:p w14:paraId="549EB60A" w14:textId="77777777" w:rsidR="00946396" w:rsidRDefault="00946396" w:rsidP="002B0E4B">
            <w:pPr>
              <w:jc w:val="both"/>
              <w:outlineLvl w:val="0"/>
              <w:rPr>
                <w:rFonts w:eastAsia="Arial Unicode MS"/>
              </w:rPr>
            </w:pPr>
          </w:p>
          <w:p w14:paraId="7A159124" w14:textId="77777777" w:rsidR="00946396" w:rsidRDefault="00946396" w:rsidP="002B0E4B">
            <w:pPr>
              <w:jc w:val="both"/>
              <w:outlineLvl w:val="0"/>
              <w:rPr>
                <w:rFonts w:eastAsia="Arial Unicode MS"/>
              </w:rPr>
            </w:pPr>
          </w:p>
          <w:p w14:paraId="1EDA8745" w14:textId="77777777" w:rsidR="00946396" w:rsidRDefault="00946396" w:rsidP="002B0E4B">
            <w:pPr>
              <w:jc w:val="both"/>
              <w:outlineLvl w:val="0"/>
              <w:rPr>
                <w:rFonts w:eastAsia="Arial Unicode MS"/>
              </w:rPr>
            </w:pPr>
          </w:p>
          <w:p w14:paraId="2B516C96" w14:textId="77777777" w:rsidR="00946396" w:rsidRDefault="00946396" w:rsidP="002B0E4B">
            <w:pPr>
              <w:jc w:val="both"/>
              <w:outlineLvl w:val="0"/>
              <w:rPr>
                <w:rFonts w:eastAsia="Arial Unicode MS"/>
              </w:rPr>
            </w:pPr>
          </w:p>
          <w:p w14:paraId="65312B2B" w14:textId="77777777" w:rsidR="00946396" w:rsidRDefault="00946396" w:rsidP="002B0E4B">
            <w:pPr>
              <w:jc w:val="both"/>
              <w:outlineLvl w:val="0"/>
              <w:rPr>
                <w:rFonts w:eastAsia="Arial Unicode MS"/>
              </w:rPr>
            </w:pPr>
          </w:p>
          <w:p w14:paraId="23E73F2E" w14:textId="77777777" w:rsidR="00946396" w:rsidRDefault="00946396" w:rsidP="002B0E4B">
            <w:pPr>
              <w:jc w:val="both"/>
              <w:outlineLvl w:val="0"/>
              <w:rPr>
                <w:rFonts w:eastAsia="Arial Unicode MS"/>
              </w:rPr>
            </w:pPr>
          </w:p>
          <w:p w14:paraId="45F5252D" w14:textId="77777777" w:rsidR="00946396" w:rsidRDefault="00946396" w:rsidP="002B0E4B">
            <w:pPr>
              <w:jc w:val="both"/>
              <w:outlineLvl w:val="0"/>
              <w:rPr>
                <w:rFonts w:eastAsia="Arial Unicode MS"/>
              </w:rPr>
            </w:pPr>
          </w:p>
          <w:p w14:paraId="5FFD378E" w14:textId="77777777" w:rsidR="00946396" w:rsidRDefault="00946396" w:rsidP="002B0E4B">
            <w:pPr>
              <w:jc w:val="both"/>
              <w:outlineLvl w:val="0"/>
              <w:rPr>
                <w:rFonts w:eastAsia="Arial Unicode MS"/>
              </w:rPr>
            </w:pPr>
          </w:p>
          <w:p w14:paraId="6133037D" w14:textId="77777777" w:rsidR="00946396" w:rsidRDefault="00946396" w:rsidP="002B0E4B">
            <w:pPr>
              <w:jc w:val="both"/>
              <w:outlineLvl w:val="0"/>
              <w:rPr>
                <w:rFonts w:eastAsia="Arial Unicode MS"/>
              </w:rPr>
            </w:pPr>
          </w:p>
          <w:p w14:paraId="62052A77" w14:textId="77777777" w:rsidR="00946396" w:rsidRDefault="00946396" w:rsidP="002B0E4B">
            <w:pPr>
              <w:jc w:val="both"/>
              <w:outlineLvl w:val="0"/>
              <w:rPr>
                <w:rFonts w:eastAsia="Arial Unicode MS"/>
              </w:rPr>
            </w:pPr>
          </w:p>
          <w:p w14:paraId="21C2F43E" w14:textId="77777777" w:rsidR="00946396" w:rsidRDefault="00946396" w:rsidP="002B0E4B">
            <w:pPr>
              <w:jc w:val="both"/>
              <w:outlineLvl w:val="0"/>
              <w:rPr>
                <w:rFonts w:eastAsia="Arial Unicode MS"/>
              </w:rPr>
            </w:pPr>
          </w:p>
          <w:p w14:paraId="374BEE1D" w14:textId="77777777" w:rsidR="00946396" w:rsidRDefault="00946396" w:rsidP="002B0E4B">
            <w:pPr>
              <w:jc w:val="both"/>
              <w:outlineLvl w:val="0"/>
              <w:rPr>
                <w:rFonts w:eastAsia="Arial Unicode MS"/>
              </w:rPr>
            </w:pPr>
          </w:p>
          <w:p w14:paraId="0845861F" w14:textId="77777777" w:rsidR="00946396" w:rsidRDefault="00946396" w:rsidP="002B0E4B">
            <w:pPr>
              <w:jc w:val="both"/>
              <w:outlineLvl w:val="0"/>
              <w:rPr>
                <w:rFonts w:eastAsia="Arial Unicode MS"/>
              </w:rPr>
            </w:pPr>
          </w:p>
          <w:p w14:paraId="4FAE5678" w14:textId="77777777" w:rsidR="00946396" w:rsidRDefault="00946396" w:rsidP="002B0E4B">
            <w:pPr>
              <w:jc w:val="both"/>
              <w:outlineLvl w:val="0"/>
              <w:rPr>
                <w:rFonts w:eastAsia="Arial Unicode MS"/>
              </w:rPr>
            </w:pPr>
          </w:p>
          <w:p w14:paraId="7AC6BE8B" w14:textId="77777777" w:rsidR="00946396" w:rsidRDefault="00946396" w:rsidP="002B0E4B">
            <w:pPr>
              <w:jc w:val="both"/>
              <w:outlineLvl w:val="0"/>
              <w:rPr>
                <w:rFonts w:eastAsia="Arial Unicode MS"/>
              </w:rPr>
            </w:pPr>
          </w:p>
          <w:p w14:paraId="5A8C0131" w14:textId="77777777" w:rsidR="00946396" w:rsidRDefault="00946396" w:rsidP="002B0E4B">
            <w:pPr>
              <w:jc w:val="both"/>
              <w:outlineLvl w:val="0"/>
              <w:rPr>
                <w:rFonts w:eastAsia="Arial Unicode MS"/>
              </w:rPr>
            </w:pPr>
          </w:p>
          <w:p w14:paraId="26BE007B" w14:textId="77777777" w:rsidR="00946396" w:rsidRDefault="00946396" w:rsidP="002B0E4B">
            <w:pPr>
              <w:jc w:val="both"/>
              <w:outlineLvl w:val="0"/>
              <w:rPr>
                <w:rFonts w:eastAsia="Arial Unicode MS"/>
              </w:rPr>
            </w:pPr>
          </w:p>
          <w:p w14:paraId="49EEFEC7" w14:textId="77777777" w:rsidR="00946396" w:rsidRDefault="00946396" w:rsidP="002B0E4B">
            <w:pPr>
              <w:jc w:val="both"/>
              <w:outlineLvl w:val="0"/>
              <w:rPr>
                <w:rFonts w:eastAsia="Arial Unicode MS"/>
              </w:rPr>
            </w:pPr>
          </w:p>
          <w:p w14:paraId="4D268C77" w14:textId="77777777" w:rsidR="00946396" w:rsidRDefault="00946396" w:rsidP="002B0E4B">
            <w:pPr>
              <w:jc w:val="both"/>
              <w:outlineLvl w:val="0"/>
              <w:rPr>
                <w:rFonts w:eastAsia="Arial Unicode MS"/>
              </w:rPr>
            </w:pPr>
          </w:p>
          <w:p w14:paraId="017E2FD1" w14:textId="77777777" w:rsidR="00946396" w:rsidRDefault="00946396" w:rsidP="002B0E4B">
            <w:pPr>
              <w:jc w:val="both"/>
              <w:outlineLvl w:val="0"/>
              <w:rPr>
                <w:rFonts w:eastAsia="Arial Unicode MS"/>
              </w:rPr>
            </w:pPr>
          </w:p>
          <w:p w14:paraId="67E6015E" w14:textId="77777777" w:rsidR="00946396" w:rsidRDefault="00946396" w:rsidP="002B0E4B">
            <w:pPr>
              <w:jc w:val="both"/>
              <w:outlineLvl w:val="0"/>
              <w:rPr>
                <w:rFonts w:eastAsia="Arial Unicode MS"/>
              </w:rPr>
            </w:pPr>
          </w:p>
          <w:p w14:paraId="15B7ECDA" w14:textId="77777777" w:rsidR="00946396" w:rsidRDefault="00946396" w:rsidP="002B0E4B">
            <w:pPr>
              <w:jc w:val="both"/>
              <w:outlineLvl w:val="0"/>
              <w:rPr>
                <w:rFonts w:eastAsia="Arial Unicode MS"/>
              </w:rPr>
            </w:pPr>
          </w:p>
          <w:p w14:paraId="21A7453E" w14:textId="77777777" w:rsidR="00946396" w:rsidRDefault="00946396" w:rsidP="002B0E4B">
            <w:pPr>
              <w:jc w:val="both"/>
              <w:outlineLvl w:val="0"/>
              <w:rPr>
                <w:rFonts w:eastAsia="Arial Unicode MS"/>
              </w:rPr>
            </w:pPr>
          </w:p>
          <w:p w14:paraId="203A08AB" w14:textId="77777777" w:rsidR="00946396" w:rsidRDefault="00946396" w:rsidP="002B0E4B">
            <w:pPr>
              <w:jc w:val="both"/>
              <w:outlineLvl w:val="0"/>
              <w:rPr>
                <w:rFonts w:eastAsia="Arial Unicode MS"/>
              </w:rPr>
            </w:pPr>
          </w:p>
          <w:p w14:paraId="3C46988E" w14:textId="0E06FD52" w:rsidR="00A35ECE" w:rsidRPr="00D1331E" w:rsidRDefault="00283812" w:rsidP="002B0E4B">
            <w:pPr>
              <w:jc w:val="both"/>
              <w:outlineLvl w:val="0"/>
              <w:rPr>
                <w:rFonts w:eastAsia="Arial Unicode MS"/>
              </w:rPr>
            </w:pPr>
            <w:r w:rsidRPr="00283812">
              <w:rPr>
                <w:rFonts w:eastAsia="Arial Unicode MS"/>
              </w:rPr>
              <w:t>13.8. pirms spiedieniekārtu kompleksa uzpildes</w:t>
            </w:r>
            <w:r>
              <w:rPr>
                <w:rFonts w:eastAsia="Arial Unicode MS"/>
              </w:rPr>
              <w:t xml:space="preserve"> </w:t>
            </w:r>
            <w:r w:rsidRPr="00433ABE">
              <w:rPr>
                <w:rFonts w:eastAsia="Arial Unicode MS"/>
                <w:i/>
                <w:iCs/>
              </w:rPr>
              <w:t>pēc pieprasījuma</w:t>
            </w:r>
            <w:r w:rsidRPr="00283812">
              <w:rPr>
                <w:rFonts w:eastAsia="Arial Unicode MS"/>
              </w:rPr>
              <w:t xml:space="preserve"> sniegt spiedieniekārtu kompleksa uzpildītājam informāciju par pēdējo spiedieniekārtu kompleksam veikto tehnisko pārbaudi.”</w:t>
            </w:r>
          </w:p>
        </w:tc>
        <w:tc>
          <w:tcPr>
            <w:tcW w:w="4536" w:type="dxa"/>
            <w:tcBorders>
              <w:left w:val="single" w:sz="6" w:space="0" w:color="000000"/>
              <w:bottom w:val="single" w:sz="4" w:space="0" w:color="auto"/>
              <w:right w:val="single" w:sz="6" w:space="0" w:color="000000"/>
            </w:tcBorders>
          </w:tcPr>
          <w:p w14:paraId="2B0430EA" w14:textId="5DA742EB" w:rsidR="00A35ECE" w:rsidRPr="00A35ECE" w:rsidRDefault="00A35ECE" w:rsidP="00A35ECE">
            <w:pPr>
              <w:jc w:val="center"/>
              <w:rPr>
                <w:szCs w:val="28"/>
              </w:rPr>
            </w:pPr>
            <w:r w:rsidRPr="00D1331E">
              <w:rPr>
                <w:b/>
                <w:bCs/>
                <w:szCs w:val="28"/>
              </w:rPr>
              <w:lastRenderedPageBreak/>
              <w:t>Tieslietu ministrija</w:t>
            </w:r>
            <w:r>
              <w:rPr>
                <w:b/>
                <w:bCs/>
                <w:szCs w:val="28"/>
              </w:rPr>
              <w:t xml:space="preserve"> </w:t>
            </w:r>
            <w:r>
              <w:rPr>
                <w:szCs w:val="28"/>
              </w:rPr>
              <w:t>(VSS-233)</w:t>
            </w:r>
          </w:p>
          <w:p w14:paraId="5AD54305" w14:textId="77777777" w:rsidR="00A35ECE" w:rsidRPr="00D1331E" w:rsidRDefault="00A35ECE" w:rsidP="00A35ECE">
            <w:pPr>
              <w:jc w:val="center"/>
              <w:rPr>
                <w:b/>
                <w:bCs/>
                <w:szCs w:val="28"/>
              </w:rPr>
            </w:pPr>
          </w:p>
          <w:p w14:paraId="4278F1A1" w14:textId="77777777" w:rsidR="00A35ECE" w:rsidRPr="00D15E96" w:rsidRDefault="00A35ECE" w:rsidP="00A35ECE">
            <w:pPr>
              <w:jc w:val="both"/>
              <w:rPr>
                <w:szCs w:val="28"/>
              </w:rPr>
            </w:pPr>
            <w:r w:rsidRPr="00D15E96">
              <w:rPr>
                <w:szCs w:val="28"/>
              </w:rPr>
              <w:t xml:space="preserve">Projekta 1. punkts paredz papildināt Ministru kabineta 2003. gada 16. septembra noteikumus Nr. 518 "Spiedieniekārtu kompleksu tehniskās uzraudzības kārtība" (turpmāk – noteikumi) ar 13.8. apakšpunktu, paredzot, ka spiedieniekārtu kompleksa lietošanas laikā tā valdītājam ir pienākums pirms spiedieniekārtu kompleksa uzpildes pēc pieprasījuma sniegt spiedieniekārtu kompleksa uzpildītājam informāciju par pēdējo spiedieniekārtu kompleksam veikto tehnisko pārbaudi. Savukārt Ministru kabineta noteikumu projekta "Ministru </w:t>
            </w:r>
            <w:r w:rsidRPr="00D15E96">
              <w:rPr>
                <w:szCs w:val="28"/>
              </w:rPr>
              <w:lastRenderedPageBreak/>
              <w:t>kabineta 2011. gada 28. jūnija noteikumus Nr. 500 "Noteikumi par transportējamām spiedieniekārtām"" (turpmāk – saistītais projekts) 1. punkts paredz papildināt Ministru kabineta 2011. gada 28. jūnija noteikumus Nr. 500 "Noteikumi par transportējamām spiedieniekārtām" ar 14.1 punktu, nosakot, ka cisternu valdītājs pirms normatīvajos aktos par spiedieniekārtām un to kompleksiem noteiktā spiedieniekārtu kompleksa uzpildes pārliecinās par tā kārtējās tehniskās pārbaudes esamību. No projekta 1. punktā un saistītā projekta 1. punktā ietvertā regulējuma izriet, ka cisternu valdītājam (privātpersonai) būs jākontrolē, vai spiedieniekārtu kompleksa valdītājs (privātpersona) ir izpildījis savus pienākumus nodrošināt savlaicīgas tehniskās pārbaudes. Vēršam uzmanību, ka starp cisternu valdītāju un spiedieniekārtu kompleksa valdītāju pastāvēs civiltiesiskas saistības, kuru īstenošanu projekts ierobežos.</w:t>
            </w:r>
          </w:p>
          <w:p w14:paraId="34DA8D06" w14:textId="77777777" w:rsidR="00A35ECE" w:rsidRPr="00D15E96" w:rsidRDefault="00A35ECE" w:rsidP="00A35ECE">
            <w:pPr>
              <w:jc w:val="both"/>
              <w:rPr>
                <w:szCs w:val="28"/>
              </w:rPr>
            </w:pPr>
            <w:r w:rsidRPr="00D15E96">
              <w:rPr>
                <w:szCs w:val="28"/>
              </w:rPr>
              <w:t xml:space="preserve">Noteikumu 4.1 nodaļa paredz spiedieniekārtu kompleksu uzraudzību un kontroli un noteikumu 65.1 punkts paredz, ka spiedieniekārtu kompleksu uzraudzību un kontroli veic Patērētāju tiesību aizsardzības centrs, savukārt noteikumu 65.3 punkts paredz, ka Patērētāju tiesību aizsardzības centrs, veicot spiedieniekārtu kompleksu uzraudzību un kontroli to lietošanas laikā, ir tiesīgs aizliegt spiedieniekārtu kompleksa lietošanu, ja tam nav veikta tehniskā </w:t>
            </w:r>
            <w:r w:rsidRPr="00D15E96">
              <w:rPr>
                <w:szCs w:val="28"/>
              </w:rPr>
              <w:lastRenderedPageBreak/>
              <w:t>pārbaude noteikumu 4. nodaļā noteiktajā kārtībā. Ar projekta 1. punktā un saistītā projekta 1. punktā noteikto uzraudzības un kontroles pienākums tiek uzlikts arī cisternu valdītājam (privātpersonai). Vēršam uzmanību, ka likums "Par bīstamo iekārtu tehnisko uzraudzību" paredz piemērot administratīvos sodus par pārkāpumiem bīstamo iekārtu tehniskās uzraudzības jomā. Līdz ar to šobrīd ir paredzēta iespēja administratīvi sodīt spiedieniekārtu kompleksu valdītāju, ja tas nav veicis kārtējo tehnisko pārbaudi. No projekta sākotnējās ietekmes novērtējuma ziņojuma (turpmāk – anotācija) neizriet, kāpēc šobrīd spēkā esošie mehānismi nav pietiekami, lai veicinātu spiedieniekārtu kompleksu valdītāju pienākumu izpildi. Vēršam uzmanību uz to, ka jebkuram privātpersonai uzliktajam ierobežojumam ir jābūt samērīgam, tostarp, jāizvērtē, vai tiesiskā regulējuma mērķi nevar sasniegt ar privātpersonas tiesības mazāk ierobežojošiem pasākumiem. Līdz ar to lūdzam papildināt anotāciju ar attiecīgu skaidrojumu.</w:t>
            </w:r>
          </w:p>
          <w:p w14:paraId="4A15D0DC" w14:textId="77777777" w:rsidR="00433ABE" w:rsidRDefault="00A35ECE" w:rsidP="00433ABE">
            <w:pPr>
              <w:jc w:val="both"/>
              <w:rPr>
                <w:szCs w:val="28"/>
              </w:rPr>
            </w:pPr>
            <w:r w:rsidRPr="00D15E96">
              <w:rPr>
                <w:szCs w:val="28"/>
              </w:rPr>
              <w:t xml:space="preserve">Vienlaikus norādām, ka no saistītā projekta 1. punkta izriet, ka cisternu valdītājam visos gadījumos ir jāpārliecinās par kārtējās tehniskās pārbaudes esamību, līdz ar to nav skaidrs, kāpēc spiedieniekārtu kompleksa valdītājam pienākums sniegt attiecīgo informāciju ir tikai tad, ja cisternas valdītājs šādu informāciju sniegt ir pieprasījis. Ņemot </w:t>
            </w:r>
            <w:r w:rsidRPr="00D15E96">
              <w:rPr>
                <w:szCs w:val="28"/>
              </w:rPr>
              <w:lastRenderedPageBreak/>
              <w:t>vērā minēto, lūdzam precizēt projektu vai papildināt anotāciju ar attiecīgu skaidrojumu.</w:t>
            </w:r>
          </w:p>
          <w:p w14:paraId="7B5764A9" w14:textId="5A936B5B" w:rsidR="00A35ECE" w:rsidRPr="00433ABE" w:rsidRDefault="00433ABE" w:rsidP="00433ABE">
            <w:pPr>
              <w:jc w:val="both"/>
              <w:rPr>
                <w:szCs w:val="28"/>
              </w:rPr>
            </w:pPr>
            <w:r>
              <w:rPr>
                <w:szCs w:val="28"/>
              </w:rPr>
              <w:t xml:space="preserve">    </w:t>
            </w:r>
            <w:r w:rsidR="00A35ECE" w:rsidRPr="00D15E96">
              <w:rPr>
                <w:szCs w:val="28"/>
              </w:rPr>
              <w:t>Papildus lūdzam spēkā stāšanos noteikt projektam, nevis papildināt noteikumus ar jaunu pārejas noteikumu (projekta 2. punkts) un skaidrot anotācijā, kāpēc projekta 1. punktā paredzētajam regulējumam jāstājas spēkā 2021. gada 1. novembrī.</w:t>
            </w:r>
          </w:p>
        </w:tc>
        <w:tc>
          <w:tcPr>
            <w:tcW w:w="3402" w:type="dxa"/>
            <w:tcBorders>
              <w:top w:val="single" w:sz="6" w:space="0" w:color="000000"/>
              <w:left w:val="single" w:sz="6" w:space="0" w:color="000000"/>
              <w:bottom w:val="single" w:sz="6" w:space="0" w:color="000000"/>
              <w:right w:val="single" w:sz="6" w:space="0" w:color="000000"/>
            </w:tcBorders>
          </w:tcPr>
          <w:p w14:paraId="62BDA8DE" w14:textId="0320FA44" w:rsidR="00A35ECE" w:rsidRPr="00D1331E" w:rsidRDefault="00A35ECE" w:rsidP="002B0E4B">
            <w:pPr>
              <w:spacing w:after="120"/>
              <w:jc w:val="center"/>
              <w:rPr>
                <w:rFonts w:eastAsia="SimSun"/>
                <w:b/>
                <w:lang w:eastAsia="zh-CN"/>
              </w:rPr>
            </w:pPr>
            <w:r>
              <w:rPr>
                <w:rFonts w:eastAsia="SimSun"/>
                <w:b/>
                <w:lang w:eastAsia="zh-CN"/>
              </w:rPr>
              <w:lastRenderedPageBreak/>
              <w:t>Iebildums ņemts vērā</w:t>
            </w:r>
          </w:p>
        </w:tc>
        <w:tc>
          <w:tcPr>
            <w:tcW w:w="2951" w:type="dxa"/>
            <w:tcBorders>
              <w:top w:val="single" w:sz="4" w:space="0" w:color="auto"/>
              <w:left w:val="single" w:sz="4" w:space="0" w:color="auto"/>
              <w:bottom w:val="single" w:sz="4" w:space="0" w:color="auto"/>
            </w:tcBorders>
          </w:tcPr>
          <w:p w14:paraId="1248DDCD" w14:textId="77777777" w:rsidR="00A35ECE" w:rsidRDefault="00283812" w:rsidP="00946396">
            <w:pPr>
              <w:jc w:val="both"/>
            </w:pPr>
            <w:r>
              <w:t>Precizēta Noteikumu projekta anotācija</w:t>
            </w:r>
          </w:p>
          <w:p w14:paraId="77BE62D9" w14:textId="77777777" w:rsidR="00946396" w:rsidRDefault="00946396" w:rsidP="00946396">
            <w:pPr>
              <w:jc w:val="both"/>
            </w:pPr>
          </w:p>
          <w:p w14:paraId="6C1F1A1E" w14:textId="77777777" w:rsidR="00946396" w:rsidRDefault="00946396" w:rsidP="00946396">
            <w:pPr>
              <w:jc w:val="both"/>
            </w:pPr>
          </w:p>
          <w:p w14:paraId="461A8FDA" w14:textId="77777777" w:rsidR="00946396" w:rsidRDefault="00946396" w:rsidP="00946396">
            <w:pPr>
              <w:jc w:val="both"/>
            </w:pPr>
          </w:p>
          <w:p w14:paraId="11308EF2" w14:textId="77777777" w:rsidR="00946396" w:rsidRDefault="00946396" w:rsidP="00946396">
            <w:pPr>
              <w:jc w:val="both"/>
            </w:pPr>
          </w:p>
          <w:p w14:paraId="0D2E485A" w14:textId="77777777" w:rsidR="00946396" w:rsidRDefault="00946396" w:rsidP="00946396">
            <w:pPr>
              <w:jc w:val="both"/>
            </w:pPr>
          </w:p>
          <w:p w14:paraId="16405E9D" w14:textId="77777777" w:rsidR="00946396" w:rsidRDefault="00946396" w:rsidP="00946396">
            <w:pPr>
              <w:jc w:val="both"/>
            </w:pPr>
          </w:p>
          <w:p w14:paraId="77203B68" w14:textId="77777777" w:rsidR="00946396" w:rsidRDefault="00946396" w:rsidP="00946396">
            <w:pPr>
              <w:jc w:val="both"/>
            </w:pPr>
          </w:p>
          <w:p w14:paraId="0A28B98A" w14:textId="77777777" w:rsidR="00946396" w:rsidRDefault="00946396" w:rsidP="00946396">
            <w:pPr>
              <w:jc w:val="both"/>
            </w:pPr>
          </w:p>
          <w:p w14:paraId="7AF3DEF4" w14:textId="77777777" w:rsidR="00946396" w:rsidRDefault="00946396" w:rsidP="00946396">
            <w:pPr>
              <w:jc w:val="both"/>
            </w:pPr>
          </w:p>
          <w:p w14:paraId="0EA8A5BD" w14:textId="77777777" w:rsidR="00946396" w:rsidRDefault="00946396" w:rsidP="00946396">
            <w:pPr>
              <w:jc w:val="both"/>
            </w:pPr>
          </w:p>
          <w:p w14:paraId="2F234ADF" w14:textId="77777777" w:rsidR="00946396" w:rsidRDefault="00946396" w:rsidP="00946396">
            <w:pPr>
              <w:jc w:val="both"/>
            </w:pPr>
          </w:p>
          <w:p w14:paraId="1CE767D7" w14:textId="77777777" w:rsidR="00946396" w:rsidRDefault="00946396" w:rsidP="00946396">
            <w:pPr>
              <w:jc w:val="both"/>
            </w:pPr>
          </w:p>
          <w:p w14:paraId="0761E02F" w14:textId="77777777" w:rsidR="00946396" w:rsidRDefault="00946396" w:rsidP="00946396">
            <w:pPr>
              <w:jc w:val="both"/>
            </w:pPr>
          </w:p>
          <w:p w14:paraId="0DA3D9EF" w14:textId="77777777" w:rsidR="00946396" w:rsidRDefault="00946396" w:rsidP="00946396">
            <w:pPr>
              <w:jc w:val="both"/>
            </w:pPr>
          </w:p>
          <w:p w14:paraId="424A7ABB" w14:textId="77777777" w:rsidR="00946396" w:rsidRDefault="00946396" w:rsidP="00946396">
            <w:pPr>
              <w:jc w:val="both"/>
            </w:pPr>
          </w:p>
          <w:p w14:paraId="1AC5B24A" w14:textId="77777777" w:rsidR="00946396" w:rsidRDefault="00946396" w:rsidP="00946396">
            <w:pPr>
              <w:jc w:val="both"/>
            </w:pPr>
          </w:p>
          <w:p w14:paraId="46ECCA96" w14:textId="77777777" w:rsidR="00946396" w:rsidRDefault="00946396" w:rsidP="00946396">
            <w:pPr>
              <w:jc w:val="both"/>
            </w:pPr>
          </w:p>
          <w:p w14:paraId="6E9B93B8" w14:textId="77777777" w:rsidR="00946396" w:rsidRDefault="00946396" w:rsidP="00946396">
            <w:pPr>
              <w:jc w:val="both"/>
            </w:pPr>
          </w:p>
          <w:p w14:paraId="5BA25A44" w14:textId="77777777" w:rsidR="00946396" w:rsidRDefault="00946396" w:rsidP="00946396">
            <w:pPr>
              <w:jc w:val="both"/>
            </w:pPr>
          </w:p>
          <w:p w14:paraId="53FDC59F" w14:textId="77777777" w:rsidR="00946396" w:rsidRDefault="00946396" w:rsidP="00946396">
            <w:pPr>
              <w:jc w:val="both"/>
            </w:pPr>
          </w:p>
          <w:p w14:paraId="341CC5DB" w14:textId="77777777" w:rsidR="00946396" w:rsidRDefault="00946396" w:rsidP="00946396">
            <w:pPr>
              <w:jc w:val="both"/>
            </w:pPr>
          </w:p>
          <w:p w14:paraId="62EF3FD0" w14:textId="77777777" w:rsidR="00946396" w:rsidRDefault="00946396" w:rsidP="00946396">
            <w:pPr>
              <w:jc w:val="both"/>
            </w:pPr>
          </w:p>
          <w:p w14:paraId="57F65241" w14:textId="77777777" w:rsidR="00946396" w:rsidRDefault="00946396" w:rsidP="00946396">
            <w:pPr>
              <w:jc w:val="both"/>
            </w:pPr>
          </w:p>
          <w:p w14:paraId="68371395" w14:textId="77777777" w:rsidR="00946396" w:rsidRDefault="00946396" w:rsidP="00946396">
            <w:pPr>
              <w:jc w:val="both"/>
            </w:pPr>
          </w:p>
          <w:p w14:paraId="5D0290B1" w14:textId="77777777" w:rsidR="00946396" w:rsidRDefault="00946396" w:rsidP="00946396">
            <w:pPr>
              <w:jc w:val="both"/>
            </w:pPr>
          </w:p>
          <w:p w14:paraId="2B4C6E41" w14:textId="77777777" w:rsidR="00946396" w:rsidRDefault="00946396" w:rsidP="00946396">
            <w:pPr>
              <w:jc w:val="both"/>
            </w:pPr>
          </w:p>
          <w:p w14:paraId="4677A08B" w14:textId="77777777" w:rsidR="00946396" w:rsidRDefault="00946396" w:rsidP="00946396">
            <w:pPr>
              <w:jc w:val="both"/>
            </w:pPr>
          </w:p>
          <w:p w14:paraId="7AF74DC2" w14:textId="77777777" w:rsidR="00946396" w:rsidRDefault="00946396" w:rsidP="00946396">
            <w:pPr>
              <w:jc w:val="both"/>
            </w:pPr>
          </w:p>
          <w:p w14:paraId="47658EE5" w14:textId="77777777" w:rsidR="00946396" w:rsidRDefault="00946396" w:rsidP="00946396">
            <w:pPr>
              <w:jc w:val="both"/>
            </w:pPr>
          </w:p>
          <w:p w14:paraId="7533AC70" w14:textId="77777777" w:rsidR="00946396" w:rsidRDefault="00946396" w:rsidP="00946396">
            <w:pPr>
              <w:jc w:val="both"/>
            </w:pPr>
          </w:p>
          <w:p w14:paraId="604FEFCC" w14:textId="77777777" w:rsidR="00946396" w:rsidRDefault="00946396" w:rsidP="00946396">
            <w:pPr>
              <w:jc w:val="both"/>
            </w:pPr>
          </w:p>
          <w:p w14:paraId="6213FF29" w14:textId="77777777" w:rsidR="00946396" w:rsidRDefault="00946396" w:rsidP="00946396">
            <w:pPr>
              <w:jc w:val="both"/>
            </w:pPr>
          </w:p>
          <w:p w14:paraId="494374C3" w14:textId="77777777" w:rsidR="00946396" w:rsidRDefault="00946396" w:rsidP="00946396">
            <w:pPr>
              <w:jc w:val="both"/>
            </w:pPr>
          </w:p>
          <w:p w14:paraId="15BE4E02" w14:textId="77777777" w:rsidR="00946396" w:rsidRDefault="00946396" w:rsidP="00946396">
            <w:pPr>
              <w:jc w:val="both"/>
            </w:pPr>
          </w:p>
          <w:p w14:paraId="221C4B90" w14:textId="77777777" w:rsidR="00946396" w:rsidRDefault="00946396" w:rsidP="00946396">
            <w:pPr>
              <w:jc w:val="both"/>
            </w:pPr>
          </w:p>
          <w:p w14:paraId="30C6E223" w14:textId="77777777" w:rsidR="00946396" w:rsidRDefault="00946396" w:rsidP="00946396">
            <w:pPr>
              <w:jc w:val="both"/>
            </w:pPr>
          </w:p>
          <w:p w14:paraId="5F2F444A" w14:textId="77777777" w:rsidR="00946396" w:rsidRDefault="00946396" w:rsidP="00946396">
            <w:pPr>
              <w:jc w:val="both"/>
            </w:pPr>
          </w:p>
          <w:p w14:paraId="62AAA6C0" w14:textId="77777777" w:rsidR="00946396" w:rsidRDefault="00946396" w:rsidP="00946396">
            <w:pPr>
              <w:jc w:val="both"/>
            </w:pPr>
          </w:p>
          <w:p w14:paraId="7782F336" w14:textId="77777777" w:rsidR="00946396" w:rsidRDefault="00946396" w:rsidP="00946396">
            <w:pPr>
              <w:jc w:val="both"/>
            </w:pPr>
          </w:p>
          <w:p w14:paraId="6246BDBE" w14:textId="77777777" w:rsidR="00946396" w:rsidRDefault="00946396" w:rsidP="00946396">
            <w:pPr>
              <w:jc w:val="both"/>
            </w:pPr>
          </w:p>
          <w:p w14:paraId="04A639F9" w14:textId="77777777" w:rsidR="00946396" w:rsidRDefault="00946396" w:rsidP="00946396">
            <w:pPr>
              <w:jc w:val="both"/>
            </w:pPr>
          </w:p>
          <w:p w14:paraId="4FEC68E8" w14:textId="77777777" w:rsidR="00946396" w:rsidRDefault="00946396" w:rsidP="00946396">
            <w:pPr>
              <w:jc w:val="both"/>
            </w:pPr>
          </w:p>
          <w:p w14:paraId="706AEB95" w14:textId="77777777" w:rsidR="00946396" w:rsidRDefault="00946396" w:rsidP="00946396">
            <w:pPr>
              <w:jc w:val="both"/>
            </w:pPr>
          </w:p>
          <w:p w14:paraId="3D76DA06" w14:textId="77777777" w:rsidR="00946396" w:rsidRDefault="00946396" w:rsidP="00946396">
            <w:pPr>
              <w:jc w:val="both"/>
            </w:pPr>
          </w:p>
          <w:p w14:paraId="1FC9E742" w14:textId="77777777" w:rsidR="00946396" w:rsidRDefault="00946396" w:rsidP="00946396">
            <w:pPr>
              <w:jc w:val="both"/>
            </w:pPr>
          </w:p>
          <w:p w14:paraId="2F325B3F" w14:textId="77777777" w:rsidR="00946396" w:rsidRDefault="00946396" w:rsidP="00946396">
            <w:pPr>
              <w:jc w:val="both"/>
            </w:pPr>
          </w:p>
          <w:p w14:paraId="61E1E725" w14:textId="77777777" w:rsidR="00946396" w:rsidRDefault="00946396" w:rsidP="00946396">
            <w:pPr>
              <w:jc w:val="both"/>
            </w:pPr>
          </w:p>
          <w:p w14:paraId="2AEF1AD1" w14:textId="77777777" w:rsidR="00946396" w:rsidRDefault="00946396" w:rsidP="00946396">
            <w:pPr>
              <w:jc w:val="both"/>
            </w:pPr>
          </w:p>
          <w:p w14:paraId="265AC9DB" w14:textId="77777777" w:rsidR="00946396" w:rsidRDefault="00946396" w:rsidP="00946396">
            <w:pPr>
              <w:jc w:val="both"/>
            </w:pPr>
          </w:p>
          <w:p w14:paraId="5BD93533" w14:textId="77777777" w:rsidR="00946396" w:rsidRDefault="00946396" w:rsidP="00946396">
            <w:pPr>
              <w:jc w:val="both"/>
            </w:pPr>
          </w:p>
          <w:p w14:paraId="04E2FD2C" w14:textId="77777777" w:rsidR="00946396" w:rsidRDefault="00946396" w:rsidP="00946396">
            <w:pPr>
              <w:jc w:val="both"/>
            </w:pPr>
          </w:p>
          <w:p w14:paraId="7CA90002" w14:textId="77777777" w:rsidR="00946396" w:rsidRDefault="00946396" w:rsidP="00946396">
            <w:pPr>
              <w:jc w:val="both"/>
            </w:pPr>
          </w:p>
          <w:p w14:paraId="0F4E6901" w14:textId="77777777" w:rsidR="00946396" w:rsidRDefault="00946396" w:rsidP="00946396">
            <w:pPr>
              <w:jc w:val="both"/>
            </w:pPr>
          </w:p>
          <w:p w14:paraId="189033D8" w14:textId="77777777" w:rsidR="00946396" w:rsidRDefault="00946396" w:rsidP="00946396">
            <w:pPr>
              <w:jc w:val="both"/>
            </w:pPr>
          </w:p>
          <w:p w14:paraId="7B78D998" w14:textId="77777777" w:rsidR="00946396" w:rsidRDefault="00946396" w:rsidP="00946396">
            <w:pPr>
              <w:jc w:val="both"/>
            </w:pPr>
          </w:p>
          <w:p w14:paraId="569E39EA" w14:textId="77777777" w:rsidR="00946396" w:rsidRDefault="00946396" w:rsidP="00946396">
            <w:pPr>
              <w:jc w:val="both"/>
            </w:pPr>
          </w:p>
          <w:p w14:paraId="711FBF52" w14:textId="77777777" w:rsidR="00946396" w:rsidRDefault="00946396" w:rsidP="00946396">
            <w:pPr>
              <w:jc w:val="both"/>
            </w:pPr>
          </w:p>
          <w:p w14:paraId="7622C9B6" w14:textId="77777777" w:rsidR="00946396" w:rsidRDefault="00946396" w:rsidP="00946396">
            <w:pPr>
              <w:jc w:val="both"/>
            </w:pPr>
          </w:p>
          <w:p w14:paraId="58778A42" w14:textId="77777777" w:rsidR="00946396" w:rsidRDefault="00946396" w:rsidP="00946396">
            <w:pPr>
              <w:jc w:val="both"/>
            </w:pPr>
          </w:p>
          <w:p w14:paraId="013CAF74" w14:textId="77777777" w:rsidR="00946396" w:rsidRDefault="00946396" w:rsidP="00946396">
            <w:pPr>
              <w:jc w:val="both"/>
            </w:pPr>
          </w:p>
          <w:p w14:paraId="41A9D6D9" w14:textId="77777777" w:rsidR="00946396" w:rsidRDefault="00946396" w:rsidP="00946396">
            <w:pPr>
              <w:jc w:val="both"/>
            </w:pPr>
          </w:p>
          <w:p w14:paraId="542FFA22" w14:textId="77777777" w:rsidR="00946396" w:rsidRDefault="00946396" w:rsidP="00946396">
            <w:pPr>
              <w:jc w:val="both"/>
            </w:pPr>
          </w:p>
          <w:p w14:paraId="284080C4" w14:textId="77777777" w:rsidR="00946396" w:rsidRDefault="00946396" w:rsidP="00946396">
            <w:pPr>
              <w:jc w:val="both"/>
            </w:pPr>
          </w:p>
          <w:p w14:paraId="720EE592" w14:textId="77777777" w:rsidR="00946396" w:rsidRDefault="00946396" w:rsidP="00946396">
            <w:pPr>
              <w:jc w:val="both"/>
            </w:pPr>
          </w:p>
          <w:p w14:paraId="07A097AD" w14:textId="77777777" w:rsidR="00946396" w:rsidRDefault="00946396" w:rsidP="00946396">
            <w:pPr>
              <w:jc w:val="both"/>
            </w:pPr>
          </w:p>
          <w:p w14:paraId="6AA0C33E" w14:textId="77777777" w:rsidR="00946396" w:rsidRDefault="00946396" w:rsidP="00946396">
            <w:pPr>
              <w:jc w:val="both"/>
            </w:pPr>
          </w:p>
          <w:p w14:paraId="24C16184" w14:textId="77777777" w:rsidR="00946396" w:rsidRDefault="00946396" w:rsidP="00946396">
            <w:pPr>
              <w:jc w:val="both"/>
            </w:pPr>
          </w:p>
          <w:p w14:paraId="47958605" w14:textId="77777777" w:rsidR="00946396" w:rsidRDefault="00946396" w:rsidP="00946396">
            <w:pPr>
              <w:jc w:val="both"/>
            </w:pPr>
          </w:p>
          <w:p w14:paraId="07E9D525" w14:textId="77777777" w:rsidR="00946396" w:rsidRDefault="00946396" w:rsidP="00946396">
            <w:pPr>
              <w:jc w:val="both"/>
            </w:pPr>
          </w:p>
          <w:p w14:paraId="6956B21E" w14:textId="77777777" w:rsidR="00946396" w:rsidRDefault="00946396" w:rsidP="00946396">
            <w:pPr>
              <w:jc w:val="both"/>
            </w:pPr>
          </w:p>
          <w:p w14:paraId="48CDC098" w14:textId="77777777" w:rsidR="00946396" w:rsidRDefault="00946396" w:rsidP="00946396">
            <w:pPr>
              <w:jc w:val="both"/>
            </w:pPr>
          </w:p>
          <w:p w14:paraId="3DF0BB02" w14:textId="42D036A9" w:rsidR="00946396" w:rsidRDefault="00946396" w:rsidP="00946396">
            <w:pPr>
              <w:jc w:val="both"/>
            </w:pPr>
            <w:r>
              <w:t xml:space="preserve">Precizēts Noteikumu projekts: </w:t>
            </w:r>
          </w:p>
          <w:p w14:paraId="1129AE83" w14:textId="77777777" w:rsidR="00946396" w:rsidRDefault="00946396" w:rsidP="00946396">
            <w:pPr>
              <w:jc w:val="both"/>
            </w:pPr>
            <w:r>
              <w:t xml:space="preserve">13.8. pirms spiedieniekārtu kompleksa uzpildes sniegt spiedieniekārtu kompleksa uzpildītājam informāciju par pēdējo spiedieniekārtu </w:t>
            </w:r>
            <w:r>
              <w:lastRenderedPageBreak/>
              <w:t>kompleksam veikto tehnisko pārbaudi.</w:t>
            </w:r>
          </w:p>
          <w:p w14:paraId="5564E849" w14:textId="1B300ED7" w:rsidR="00946396" w:rsidRDefault="00946396" w:rsidP="00946396">
            <w:pPr>
              <w:jc w:val="both"/>
            </w:pPr>
          </w:p>
          <w:p w14:paraId="1DB60B2D" w14:textId="584D952E" w:rsidR="00946396" w:rsidRDefault="00946396" w:rsidP="00946396">
            <w:pPr>
              <w:jc w:val="both"/>
            </w:pPr>
            <w:r>
              <w:t>Svītrots Noteikumu projekta 2.punkts</w:t>
            </w:r>
            <w:r w:rsidR="00433ABE">
              <w:t xml:space="preserve"> un precizēta anotācija.</w:t>
            </w:r>
          </w:p>
          <w:p w14:paraId="2104480F" w14:textId="071896FC" w:rsidR="00946396" w:rsidRDefault="00946396" w:rsidP="00946396">
            <w:pPr>
              <w:jc w:val="both"/>
            </w:pPr>
          </w:p>
        </w:tc>
      </w:tr>
    </w:tbl>
    <w:tbl>
      <w:tblPr>
        <w:tblW w:w="10847" w:type="dxa"/>
        <w:tblInd w:w="8" w:type="dxa"/>
        <w:tblLayout w:type="fixed"/>
        <w:tblLook w:val="00A0" w:firstRow="1" w:lastRow="0" w:firstColumn="1" w:lastColumn="0" w:noHBand="0" w:noVBand="0"/>
      </w:tblPr>
      <w:tblGrid>
        <w:gridCol w:w="3108"/>
        <w:gridCol w:w="7739"/>
      </w:tblGrid>
      <w:tr w:rsidR="0091069F" w:rsidRPr="00F96C8D" w14:paraId="421B1444" w14:textId="77777777" w:rsidTr="002B0E4B">
        <w:tc>
          <w:tcPr>
            <w:tcW w:w="3108" w:type="dxa"/>
          </w:tcPr>
          <w:p w14:paraId="3E039B0D" w14:textId="66468DB6" w:rsidR="0091069F" w:rsidRDefault="0024055C" w:rsidP="0024055C">
            <w:pPr>
              <w:pStyle w:val="naiskr"/>
              <w:tabs>
                <w:tab w:val="left" w:pos="630"/>
              </w:tabs>
              <w:spacing w:before="0" w:after="0"/>
              <w:rPr>
                <w:sz w:val="22"/>
                <w:szCs w:val="22"/>
              </w:rPr>
            </w:pPr>
            <w:r>
              <w:rPr>
                <w:sz w:val="22"/>
                <w:szCs w:val="22"/>
              </w:rPr>
              <w:lastRenderedPageBreak/>
              <w:tab/>
            </w:r>
          </w:p>
          <w:p w14:paraId="57923BA7" w14:textId="77777777" w:rsidR="00C048FB" w:rsidRPr="00F96C8D" w:rsidRDefault="00C048FB" w:rsidP="002B0E4B">
            <w:pPr>
              <w:pStyle w:val="naiskr"/>
              <w:spacing w:before="0" w:after="0"/>
              <w:jc w:val="center"/>
              <w:rPr>
                <w:sz w:val="22"/>
                <w:szCs w:val="22"/>
              </w:rPr>
            </w:pPr>
          </w:p>
          <w:p w14:paraId="201CBFDA" w14:textId="77777777" w:rsidR="0091069F" w:rsidRPr="00F96C8D" w:rsidRDefault="0091069F" w:rsidP="00EF70A1">
            <w:pPr>
              <w:pStyle w:val="naiskr"/>
              <w:spacing w:before="0" w:after="0"/>
              <w:rPr>
                <w:sz w:val="22"/>
                <w:szCs w:val="22"/>
              </w:rPr>
            </w:pPr>
          </w:p>
          <w:p w14:paraId="09F8C220" w14:textId="77777777" w:rsidR="0091069F" w:rsidRPr="00F96C8D" w:rsidRDefault="0091069F" w:rsidP="002B0E4B">
            <w:pPr>
              <w:pStyle w:val="naiskr"/>
              <w:spacing w:before="0" w:after="0"/>
              <w:rPr>
                <w:sz w:val="22"/>
                <w:szCs w:val="22"/>
              </w:rPr>
            </w:pPr>
            <w:r w:rsidRPr="00F96C8D">
              <w:rPr>
                <w:sz w:val="22"/>
                <w:szCs w:val="22"/>
              </w:rPr>
              <w:t>Atbildīgā amatpersona</w:t>
            </w:r>
          </w:p>
        </w:tc>
        <w:tc>
          <w:tcPr>
            <w:tcW w:w="7739" w:type="dxa"/>
          </w:tcPr>
          <w:p w14:paraId="273BF462" w14:textId="77777777" w:rsidR="0091069F" w:rsidRPr="00F96C8D" w:rsidRDefault="0091069F" w:rsidP="002B0E4B">
            <w:pPr>
              <w:pStyle w:val="naisf"/>
              <w:spacing w:before="0" w:after="0"/>
              <w:ind w:firstLine="0"/>
              <w:jc w:val="center"/>
              <w:rPr>
                <w:sz w:val="22"/>
                <w:szCs w:val="22"/>
              </w:rPr>
            </w:pPr>
          </w:p>
        </w:tc>
      </w:tr>
      <w:tr w:rsidR="0091069F" w:rsidRPr="00F96C8D" w14:paraId="535232F8" w14:textId="77777777" w:rsidTr="002B0E4B">
        <w:tc>
          <w:tcPr>
            <w:tcW w:w="3108" w:type="dxa"/>
          </w:tcPr>
          <w:p w14:paraId="23E5452E" w14:textId="77777777" w:rsidR="0091069F" w:rsidRPr="00F96C8D" w:rsidRDefault="0091069F" w:rsidP="002B0E4B">
            <w:pPr>
              <w:pStyle w:val="naiskr"/>
              <w:spacing w:before="0" w:after="0"/>
              <w:ind w:firstLine="720"/>
              <w:jc w:val="center"/>
              <w:rPr>
                <w:sz w:val="22"/>
                <w:szCs w:val="22"/>
              </w:rPr>
            </w:pPr>
          </w:p>
        </w:tc>
        <w:tc>
          <w:tcPr>
            <w:tcW w:w="7739" w:type="dxa"/>
            <w:tcBorders>
              <w:top w:val="single" w:sz="6" w:space="0" w:color="000000"/>
            </w:tcBorders>
          </w:tcPr>
          <w:p w14:paraId="2D9BAC56" w14:textId="77777777" w:rsidR="0091069F" w:rsidRPr="00F96C8D" w:rsidRDefault="0091069F" w:rsidP="002B0E4B">
            <w:pPr>
              <w:pStyle w:val="naisc"/>
              <w:spacing w:before="0" w:after="0"/>
              <w:ind w:firstLine="720"/>
              <w:rPr>
                <w:sz w:val="22"/>
                <w:szCs w:val="22"/>
              </w:rPr>
            </w:pPr>
            <w:r w:rsidRPr="00F96C8D">
              <w:rPr>
                <w:sz w:val="22"/>
                <w:szCs w:val="22"/>
              </w:rPr>
              <w:t>(paraksts)*</w:t>
            </w:r>
          </w:p>
          <w:p w14:paraId="482F22AD" w14:textId="77777777" w:rsidR="0091069F" w:rsidRPr="00F96C8D" w:rsidRDefault="0091069F" w:rsidP="002B0E4B">
            <w:pPr>
              <w:pStyle w:val="naisc"/>
              <w:spacing w:before="0" w:after="0"/>
              <w:ind w:firstLine="720"/>
              <w:rPr>
                <w:sz w:val="22"/>
                <w:szCs w:val="22"/>
              </w:rPr>
            </w:pPr>
          </w:p>
        </w:tc>
      </w:tr>
    </w:tbl>
    <w:p w14:paraId="137A320F" w14:textId="074E9F54" w:rsidR="0091069F" w:rsidRPr="00C048FB" w:rsidRDefault="00EF70A1" w:rsidP="0091069F">
      <w:pPr>
        <w:pStyle w:val="naisf"/>
        <w:spacing w:before="0" w:after="0"/>
        <w:ind w:left="2160" w:firstLine="720"/>
      </w:pPr>
      <w:r w:rsidRPr="00C048FB">
        <w:t>Inese Matēviča</w:t>
      </w:r>
    </w:p>
    <w:tbl>
      <w:tblPr>
        <w:tblW w:w="0" w:type="auto"/>
        <w:tblLook w:val="00A0" w:firstRow="1" w:lastRow="0" w:firstColumn="1" w:lastColumn="0" w:noHBand="0" w:noVBand="0"/>
      </w:tblPr>
      <w:tblGrid>
        <w:gridCol w:w="8268"/>
      </w:tblGrid>
      <w:tr w:rsidR="0091069F" w:rsidRPr="00F96C8D" w14:paraId="761DD082" w14:textId="77777777" w:rsidTr="002B0E4B">
        <w:tc>
          <w:tcPr>
            <w:tcW w:w="8268" w:type="dxa"/>
            <w:tcBorders>
              <w:top w:val="single" w:sz="4" w:space="0" w:color="000000"/>
            </w:tcBorders>
          </w:tcPr>
          <w:p w14:paraId="51DF1462" w14:textId="77777777" w:rsidR="0091069F" w:rsidRPr="00F96C8D" w:rsidRDefault="0091069F" w:rsidP="002B0E4B">
            <w:pPr>
              <w:jc w:val="center"/>
              <w:rPr>
                <w:sz w:val="22"/>
                <w:szCs w:val="22"/>
              </w:rPr>
            </w:pPr>
            <w:r w:rsidRPr="00F96C8D">
              <w:rPr>
                <w:sz w:val="22"/>
                <w:szCs w:val="22"/>
              </w:rPr>
              <w:t>(par projektu atbildīgās amatpersonas vārds un uzvārds)</w:t>
            </w:r>
          </w:p>
        </w:tc>
      </w:tr>
      <w:tr w:rsidR="0091069F" w:rsidRPr="00F96C8D" w14:paraId="14A13F12" w14:textId="77777777" w:rsidTr="002B0E4B">
        <w:tc>
          <w:tcPr>
            <w:tcW w:w="8268" w:type="dxa"/>
            <w:tcBorders>
              <w:bottom w:val="single" w:sz="4" w:space="0" w:color="000000"/>
            </w:tcBorders>
          </w:tcPr>
          <w:p w14:paraId="1DD4B842" w14:textId="77777777" w:rsidR="00EF70A1" w:rsidRDefault="00EF70A1" w:rsidP="00EF70A1">
            <w:pPr>
              <w:jc w:val="center"/>
              <w:rPr>
                <w:sz w:val="22"/>
                <w:szCs w:val="22"/>
              </w:rPr>
            </w:pPr>
          </w:p>
          <w:p w14:paraId="397D3D30" w14:textId="411AEBAE" w:rsidR="0091069F" w:rsidRPr="00C048FB" w:rsidRDefault="0091069F" w:rsidP="00EF70A1">
            <w:pPr>
              <w:jc w:val="center"/>
            </w:pPr>
            <w:r w:rsidRPr="00C048FB">
              <w:t xml:space="preserve">Ekonomikas ministrijas Iekšējā tirgus departamenta Atbilstības novērtēšanas nodaļas </w:t>
            </w:r>
            <w:r w:rsidR="007A5F0E">
              <w:t>vadītāja vietniece</w:t>
            </w:r>
          </w:p>
        </w:tc>
      </w:tr>
      <w:tr w:rsidR="0091069F" w:rsidRPr="00F96C8D" w14:paraId="779393DF" w14:textId="77777777" w:rsidTr="002B0E4B">
        <w:tc>
          <w:tcPr>
            <w:tcW w:w="8268" w:type="dxa"/>
            <w:tcBorders>
              <w:top w:val="single" w:sz="4" w:space="0" w:color="000000"/>
            </w:tcBorders>
          </w:tcPr>
          <w:p w14:paraId="1D1EA93C" w14:textId="77777777" w:rsidR="0091069F" w:rsidRDefault="0091069F" w:rsidP="002B0E4B">
            <w:pPr>
              <w:jc w:val="center"/>
              <w:rPr>
                <w:sz w:val="22"/>
                <w:szCs w:val="22"/>
              </w:rPr>
            </w:pPr>
            <w:r w:rsidRPr="00F96C8D">
              <w:rPr>
                <w:sz w:val="22"/>
                <w:szCs w:val="22"/>
              </w:rPr>
              <w:t>(amats)</w:t>
            </w:r>
          </w:p>
          <w:p w14:paraId="08FD46D8" w14:textId="395C1858" w:rsidR="00EF70A1" w:rsidRPr="00F96C8D" w:rsidRDefault="00EF70A1" w:rsidP="002B0E4B">
            <w:pPr>
              <w:jc w:val="center"/>
              <w:rPr>
                <w:sz w:val="22"/>
                <w:szCs w:val="22"/>
              </w:rPr>
            </w:pPr>
          </w:p>
        </w:tc>
      </w:tr>
      <w:tr w:rsidR="0091069F" w:rsidRPr="00F96C8D" w14:paraId="62D1B2CC" w14:textId="77777777" w:rsidTr="002B0E4B">
        <w:tc>
          <w:tcPr>
            <w:tcW w:w="8268" w:type="dxa"/>
            <w:tcBorders>
              <w:bottom w:val="single" w:sz="4" w:space="0" w:color="000000"/>
            </w:tcBorders>
          </w:tcPr>
          <w:p w14:paraId="739CD62F" w14:textId="388D1A1B" w:rsidR="0091069F" w:rsidRPr="00C048FB" w:rsidRDefault="0091069F" w:rsidP="002B0E4B">
            <w:pPr>
              <w:jc w:val="center"/>
            </w:pPr>
            <w:r w:rsidRPr="00C048FB">
              <w:t>Tālr. 670130</w:t>
            </w:r>
            <w:r w:rsidR="00EF70A1" w:rsidRPr="00C048FB">
              <w:t>66</w:t>
            </w:r>
          </w:p>
        </w:tc>
      </w:tr>
      <w:tr w:rsidR="0091069F" w:rsidRPr="00F96C8D" w14:paraId="73E30F0B" w14:textId="77777777" w:rsidTr="002B0E4B">
        <w:tc>
          <w:tcPr>
            <w:tcW w:w="8268" w:type="dxa"/>
            <w:tcBorders>
              <w:top w:val="single" w:sz="4" w:space="0" w:color="000000"/>
            </w:tcBorders>
          </w:tcPr>
          <w:p w14:paraId="21C52157" w14:textId="77777777" w:rsidR="0091069F" w:rsidRPr="00F96C8D" w:rsidRDefault="0091069F" w:rsidP="002B0E4B">
            <w:pPr>
              <w:jc w:val="center"/>
              <w:rPr>
                <w:sz w:val="22"/>
                <w:szCs w:val="22"/>
              </w:rPr>
            </w:pPr>
            <w:r w:rsidRPr="00F96C8D">
              <w:rPr>
                <w:sz w:val="22"/>
                <w:szCs w:val="22"/>
              </w:rPr>
              <w:t>(tālruņa un faksa numurs)</w:t>
            </w:r>
          </w:p>
          <w:p w14:paraId="229CC94B" w14:textId="77777777" w:rsidR="0091069F" w:rsidRPr="00F96C8D" w:rsidRDefault="0091069F" w:rsidP="002B0E4B">
            <w:pPr>
              <w:jc w:val="center"/>
              <w:rPr>
                <w:sz w:val="22"/>
                <w:szCs w:val="22"/>
              </w:rPr>
            </w:pPr>
          </w:p>
        </w:tc>
      </w:tr>
      <w:tr w:rsidR="0091069F" w:rsidRPr="00F96C8D" w14:paraId="6D6FDF2B" w14:textId="77777777" w:rsidTr="002B0E4B">
        <w:tc>
          <w:tcPr>
            <w:tcW w:w="8268" w:type="dxa"/>
            <w:tcBorders>
              <w:bottom w:val="single" w:sz="4" w:space="0" w:color="000000"/>
            </w:tcBorders>
          </w:tcPr>
          <w:p w14:paraId="68C5202A" w14:textId="08B706D5" w:rsidR="0091069F" w:rsidRPr="00C048FB" w:rsidRDefault="00EF70A1" w:rsidP="002B0E4B">
            <w:pPr>
              <w:jc w:val="center"/>
            </w:pPr>
            <w:r w:rsidRPr="00C048FB">
              <w:t>Inese</w:t>
            </w:r>
            <w:r w:rsidR="0091069F" w:rsidRPr="00C048FB">
              <w:t>.</w:t>
            </w:r>
            <w:r w:rsidR="00071595" w:rsidRPr="00C048FB">
              <w:t>Matevica</w:t>
            </w:r>
            <w:r w:rsidR="0091069F" w:rsidRPr="00C048FB">
              <w:t xml:space="preserve">@em.gov.lv </w:t>
            </w:r>
          </w:p>
        </w:tc>
      </w:tr>
      <w:tr w:rsidR="0091069F" w:rsidRPr="00F96C8D" w14:paraId="3978B49B" w14:textId="77777777" w:rsidTr="002B0E4B">
        <w:tc>
          <w:tcPr>
            <w:tcW w:w="8268" w:type="dxa"/>
            <w:tcBorders>
              <w:top w:val="single" w:sz="4" w:space="0" w:color="000000"/>
            </w:tcBorders>
          </w:tcPr>
          <w:p w14:paraId="77D174BF" w14:textId="77777777" w:rsidR="0091069F" w:rsidRPr="00F96C8D" w:rsidRDefault="0091069F" w:rsidP="002B0E4B">
            <w:pPr>
              <w:jc w:val="center"/>
              <w:rPr>
                <w:sz w:val="22"/>
                <w:szCs w:val="22"/>
              </w:rPr>
            </w:pPr>
            <w:r w:rsidRPr="00F96C8D">
              <w:rPr>
                <w:sz w:val="22"/>
                <w:szCs w:val="22"/>
              </w:rPr>
              <w:t>(e-pasta adrese)</w:t>
            </w:r>
          </w:p>
        </w:tc>
      </w:tr>
    </w:tbl>
    <w:p w14:paraId="66B56377" w14:textId="77777777" w:rsidR="0091069F" w:rsidRDefault="0091069F" w:rsidP="0091069F">
      <w:pPr>
        <w:jc w:val="both"/>
        <w:rPr>
          <w:sz w:val="26"/>
          <w:szCs w:val="26"/>
        </w:rPr>
      </w:pPr>
    </w:p>
    <w:p w14:paraId="792BF601" w14:textId="3C4F1E4A" w:rsidR="0091069F" w:rsidRDefault="0091069F" w:rsidP="0091069F">
      <w:pPr>
        <w:jc w:val="both"/>
        <w:rPr>
          <w:sz w:val="20"/>
          <w:szCs w:val="20"/>
        </w:rPr>
      </w:pPr>
    </w:p>
    <w:p w14:paraId="26897954" w14:textId="77777777" w:rsidR="0091069F" w:rsidRPr="003D4098" w:rsidRDefault="0091069F" w:rsidP="0091069F">
      <w:pPr>
        <w:rPr>
          <w:sz w:val="20"/>
          <w:szCs w:val="20"/>
        </w:rPr>
      </w:pPr>
    </w:p>
    <w:sectPr w:rsidR="0091069F" w:rsidRPr="003D4098" w:rsidSect="004E5EE9">
      <w:headerReference w:type="even" r:id="rId12"/>
      <w:headerReference w:type="default" r:id="rId13"/>
      <w:footerReference w:type="default" r:id="rId14"/>
      <w:footerReference w:type="first" r:id="rId15"/>
      <w:pgSz w:w="16838" w:h="11906" w:orient="landscape" w:code="9"/>
      <w:pgMar w:top="1134"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1C3A4" w14:textId="77777777" w:rsidR="00CE243C" w:rsidRDefault="00CE243C">
      <w:r>
        <w:separator/>
      </w:r>
    </w:p>
  </w:endnote>
  <w:endnote w:type="continuationSeparator" w:id="0">
    <w:p w14:paraId="4EBB1782" w14:textId="77777777" w:rsidR="00CE243C" w:rsidRDefault="00CE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6D36D" w14:textId="21FAA53F" w:rsidR="000669FD" w:rsidRPr="000669FD" w:rsidRDefault="0091069F" w:rsidP="000669FD">
    <w:pPr>
      <w:pStyle w:val="naislab"/>
      <w:ind w:left="-567"/>
      <w:jc w:val="both"/>
      <w:rPr>
        <w:sz w:val="20"/>
        <w:szCs w:val="20"/>
      </w:rPr>
    </w:pPr>
    <w:r>
      <w:rPr>
        <w:sz w:val="20"/>
        <w:szCs w:val="20"/>
      </w:rPr>
      <w:t>EMIzz_</w:t>
    </w:r>
    <w:r w:rsidR="00384B8A">
      <w:rPr>
        <w:sz w:val="20"/>
        <w:szCs w:val="20"/>
      </w:rPr>
      <w:t>GrozMK</w:t>
    </w:r>
    <w:r w:rsidR="008B3DD7">
      <w:rPr>
        <w:sz w:val="20"/>
        <w:szCs w:val="20"/>
      </w:rPr>
      <w:t>500</w:t>
    </w:r>
    <w:r w:rsidR="00A35ECE">
      <w:rPr>
        <w:sz w:val="20"/>
        <w:szCs w:val="20"/>
      </w:rPr>
      <w:t>_MK518</w:t>
    </w:r>
  </w:p>
  <w:p w14:paraId="3B79BD90" w14:textId="77777777" w:rsidR="00F877D6" w:rsidRPr="000669FD" w:rsidRDefault="0023477B" w:rsidP="00066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D471D" w14:textId="1D44D770" w:rsidR="00F877D6" w:rsidRPr="000669FD" w:rsidRDefault="0091069F" w:rsidP="000669FD">
    <w:pPr>
      <w:pStyle w:val="naislab"/>
      <w:ind w:left="-567"/>
      <w:jc w:val="both"/>
      <w:rPr>
        <w:sz w:val="20"/>
        <w:szCs w:val="20"/>
      </w:rPr>
    </w:pPr>
    <w:bookmarkStart w:id="3" w:name="_Hlk1484360"/>
    <w:bookmarkStart w:id="4" w:name="_Hlk1484361"/>
    <w:bookmarkStart w:id="5" w:name="_Hlk21010111"/>
    <w:bookmarkStart w:id="6" w:name="_Hlk21010112"/>
    <w:bookmarkStart w:id="7" w:name="_Hlk22909325"/>
    <w:bookmarkStart w:id="8" w:name="_Hlk22909326"/>
    <w:r w:rsidRPr="00D1331E">
      <w:rPr>
        <w:sz w:val="20"/>
        <w:szCs w:val="20"/>
      </w:rPr>
      <w:t>EMIzz</w:t>
    </w:r>
    <w:r w:rsidRPr="00474161">
      <w:rPr>
        <w:sz w:val="20"/>
        <w:szCs w:val="20"/>
      </w:rPr>
      <w:t>_</w:t>
    </w:r>
    <w:bookmarkEnd w:id="3"/>
    <w:bookmarkEnd w:id="4"/>
    <w:bookmarkEnd w:id="5"/>
    <w:bookmarkEnd w:id="6"/>
    <w:bookmarkEnd w:id="7"/>
    <w:bookmarkEnd w:id="8"/>
    <w:r w:rsidR="00384B8A">
      <w:rPr>
        <w:sz w:val="20"/>
        <w:szCs w:val="20"/>
      </w:rPr>
      <w:t>GrozMK</w:t>
    </w:r>
    <w:r w:rsidR="002F0C6D">
      <w:rPr>
        <w:sz w:val="20"/>
        <w:szCs w:val="20"/>
      </w:rPr>
      <w:t>500</w:t>
    </w:r>
    <w:r w:rsidR="00A35ECE">
      <w:rPr>
        <w:sz w:val="20"/>
        <w:szCs w:val="20"/>
      </w:rPr>
      <w:t>_MK518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26780" w14:textId="77777777" w:rsidR="00CE243C" w:rsidRDefault="00CE243C">
      <w:r>
        <w:separator/>
      </w:r>
    </w:p>
  </w:footnote>
  <w:footnote w:type="continuationSeparator" w:id="0">
    <w:p w14:paraId="6C1278E4" w14:textId="77777777" w:rsidR="00CE243C" w:rsidRDefault="00CE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F0EB" w14:textId="77777777" w:rsidR="00F877D6" w:rsidRDefault="0091069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DA3CDC" w14:textId="77777777" w:rsidR="00F877D6" w:rsidRDefault="00234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A09D" w14:textId="77777777" w:rsidR="00F877D6" w:rsidRDefault="0091069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89A85E5" w14:textId="77777777" w:rsidR="00F877D6" w:rsidRDefault="00234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21A6"/>
    <w:multiLevelType w:val="hybridMultilevel"/>
    <w:tmpl w:val="DF381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853D5A"/>
    <w:multiLevelType w:val="hybridMultilevel"/>
    <w:tmpl w:val="DF08B12A"/>
    <w:lvl w:ilvl="0" w:tplc="CE7609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0E769C"/>
    <w:multiLevelType w:val="hybridMultilevel"/>
    <w:tmpl w:val="3F725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674D01"/>
    <w:multiLevelType w:val="hybridMultilevel"/>
    <w:tmpl w:val="B45258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9F"/>
    <w:rsid w:val="000236FF"/>
    <w:rsid w:val="00071595"/>
    <w:rsid w:val="0007256B"/>
    <w:rsid w:val="000A6405"/>
    <w:rsid w:val="0014405F"/>
    <w:rsid w:val="00183118"/>
    <w:rsid w:val="001C0972"/>
    <w:rsid w:val="00206951"/>
    <w:rsid w:val="00230E38"/>
    <w:rsid w:val="0023477B"/>
    <w:rsid w:val="0024055C"/>
    <w:rsid w:val="00255AFF"/>
    <w:rsid w:val="00283812"/>
    <w:rsid w:val="002F0C6D"/>
    <w:rsid w:val="002F3BE5"/>
    <w:rsid w:val="00350CC1"/>
    <w:rsid w:val="00384B8A"/>
    <w:rsid w:val="00397571"/>
    <w:rsid w:val="00433ABE"/>
    <w:rsid w:val="00485287"/>
    <w:rsid w:val="004E5EE9"/>
    <w:rsid w:val="00540DA9"/>
    <w:rsid w:val="00592113"/>
    <w:rsid w:val="0062595A"/>
    <w:rsid w:val="00731EB1"/>
    <w:rsid w:val="007A5F0E"/>
    <w:rsid w:val="007C61D4"/>
    <w:rsid w:val="007E1EB1"/>
    <w:rsid w:val="007F77FC"/>
    <w:rsid w:val="0080576C"/>
    <w:rsid w:val="00812015"/>
    <w:rsid w:val="008B3DD7"/>
    <w:rsid w:val="00905EB2"/>
    <w:rsid w:val="0091069F"/>
    <w:rsid w:val="00946396"/>
    <w:rsid w:val="009621BC"/>
    <w:rsid w:val="009B2D87"/>
    <w:rsid w:val="009E45FD"/>
    <w:rsid w:val="00A35ECE"/>
    <w:rsid w:val="00A621E2"/>
    <w:rsid w:val="00A63FCA"/>
    <w:rsid w:val="00A80325"/>
    <w:rsid w:val="00A87B3B"/>
    <w:rsid w:val="00AC37FE"/>
    <w:rsid w:val="00B71329"/>
    <w:rsid w:val="00C048FB"/>
    <w:rsid w:val="00CA0614"/>
    <w:rsid w:val="00CE243C"/>
    <w:rsid w:val="00CF11EB"/>
    <w:rsid w:val="00D1264A"/>
    <w:rsid w:val="00D1331E"/>
    <w:rsid w:val="00D64552"/>
    <w:rsid w:val="00D96C73"/>
    <w:rsid w:val="00E25032"/>
    <w:rsid w:val="00E90C95"/>
    <w:rsid w:val="00E937D9"/>
    <w:rsid w:val="00EF70A1"/>
    <w:rsid w:val="00F0650C"/>
    <w:rsid w:val="00F34F32"/>
    <w:rsid w:val="00F65802"/>
    <w:rsid w:val="00F85A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6AA8"/>
  <w15:chartTrackingRefBased/>
  <w15:docId w15:val="{941F6D03-A45A-4344-8F28-4E34E69D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69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69F"/>
    <w:rPr>
      <w:rFonts w:cs="Times New Roman"/>
      <w:color w:val="0000FF"/>
      <w:u w:val="single"/>
    </w:rPr>
  </w:style>
  <w:style w:type="paragraph" w:styleId="NormalWeb">
    <w:name w:val="Normal (Web)"/>
    <w:basedOn w:val="Normal"/>
    <w:uiPriority w:val="99"/>
    <w:rsid w:val="0091069F"/>
    <w:pPr>
      <w:spacing w:before="100" w:beforeAutospacing="1" w:after="100" w:afterAutospacing="1"/>
    </w:pPr>
  </w:style>
  <w:style w:type="paragraph" w:customStyle="1" w:styleId="naisf">
    <w:name w:val="naisf"/>
    <w:basedOn w:val="Normal"/>
    <w:rsid w:val="0091069F"/>
    <w:pPr>
      <w:spacing w:before="75" w:after="75"/>
      <w:ind w:firstLine="375"/>
      <w:jc w:val="both"/>
    </w:pPr>
  </w:style>
  <w:style w:type="paragraph" w:customStyle="1" w:styleId="naislab">
    <w:name w:val="naislab"/>
    <w:basedOn w:val="Normal"/>
    <w:rsid w:val="0091069F"/>
    <w:pPr>
      <w:spacing w:before="75" w:after="75"/>
      <w:jc w:val="right"/>
    </w:pPr>
  </w:style>
  <w:style w:type="paragraph" w:customStyle="1" w:styleId="naiskr">
    <w:name w:val="naiskr"/>
    <w:basedOn w:val="Normal"/>
    <w:rsid w:val="0091069F"/>
    <w:pPr>
      <w:spacing w:before="75" w:after="75"/>
    </w:pPr>
  </w:style>
  <w:style w:type="paragraph" w:customStyle="1" w:styleId="naisc">
    <w:name w:val="naisc"/>
    <w:basedOn w:val="Normal"/>
    <w:rsid w:val="0091069F"/>
    <w:pPr>
      <w:spacing w:before="75" w:after="75"/>
      <w:jc w:val="center"/>
    </w:pPr>
  </w:style>
  <w:style w:type="paragraph" w:styleId="Header">
    <w:name w:val="header"/>
    <w:basedOn w:val="Normal"/>
    <w:link w:val="HeaderChar"/>
    <w:rsid w:val="0091069F"/>
    <w:pPr>
      <w:tabs>
        <w:tab w:val="center" w:pos="4153"/>
        <w:tab w:val="right" w:pos="8306"/>
      </w:tabs>
    </w:pPr>
  </w:style>
  <w:style w:type="character" w:customStyle="1" w:styleId="HeaderChar">
    <w:name w:val="Header Char"/>
    <w:basedOn w:val="DefaultParagraphFont"/>
    <w:link w:val="Header"/>
    <w:rsid w:val="0091069F"/>
    <w:rPr>
      <w:rFonts w:ascii="Times New Roman" w:eastAsia="Times New Roman" w:hAnsi="Times New Roman" w:cs="Times New Roman"/>
      <w:sz w:val="24"/>
      <w:szCs w:val="24"/>
      <w:lang w:eastAsia="lv-LV"/>
    </w:rPr>
  </w:style>
  <w:style w:type="character" w:styleId="PageNumber">
    <w:name w:val="page number"/>
    <w:uiPriority w:val="99"/>
    <w:rsid w:val="0091069F"/>
    <w:rPr>
      <w:rFonts w:cs="Times New Roman"/>
    </w:rPr>
  </w:style>
  <w:style w:type="paragraph" w:styleId="Footer">
    <w:name w:val="footer"/>
    <w:basedOn w:val="Normal"/>
    <w:link w:val="FooterChar"/>
    <w:rsid w:val="0091069F"/>
    <w:pPr>
      <w:tabs>
        <w:tab w:val="center" w:pos="4153"/>
        <w:tab w:val="right" w:pos="8306"/>
      </w:tabs>
    </w:pPr>
  </w:style>
  <w:style w:type="character" w:customStyle="1" w:styleId="FooterChar">
    <w:name w:val="Footer Char"/>
    <w:basedOn w:val="DefaultParagraphFont"/>
    <w:link w:val="Footer"/>
    <w:rsid w:val="0091069F"/>
    <w:rPr>
      <w:rFonts w:ascii="Times New Roman" w:eastAsia="Times New Roman" w:hAnsi="Times New Roman" w:cs="Times New Roman"/>
      <w:sz w:val="24"/>
      <w:szCs w:val="24"/>
      <w:lang w:eastAsia="lv-LV"/>
    </w:rPr>
  </w:style>
  <w:style w:type="paragraph" w:customStyle="1" w:styleId="Body1">
    <w:name w:val="Body 1"/>
    <w:rsid w:val="0091069F"/>
    <w:pPr>
      <w:spacing w:after="200" w:line="276" w:lineRule="auto"/>
      <w:outlineLvl w:val="0"/>
    </w:pPr>
    <w:rPr>
      <w:rFonts w:ascii="Helvetica" w:eastAsia="Arial Unicode MS" w:hAnsi="Helvetica" w:cs="Times New Roman"/>
      <w:color w:val="000000"/>
      <w:szCs w:val="20"/>
      <w:u w:color="000000"/>
      <w:lang w:eastAsia="lv-LV"/>
    </w:rPr>
  </w:style>
  <w:style w:type="character" w:styleId="UnresolvedMention">
    <w:name w:val="Unresolved Mention"/>
    <w:basedOn w:val="DefaultParagraphFont"/>
    <w:uiPriority w:val="99"/>
    <w:semiHidden/>
    <w:unhideWhenUsed/>
    <w:rsid w:val="00D1331E"/>
    <w:rPr>
      <w:color w:val="605E5C"/>
      <w:shd w:val="clear" w:color="auto" w:fill="E1DFDD"/>
    </w:rPr>
  </w:style>
  <w:style w:type="paragraph" w:styleId="ListParagraph">
    <w:name w:val="List Paragraph"/>
    <w:basedOn w:val="Normal"/>
    <w:uiPriority w:val="34"/>
    <w:qFormat/>
    <w:rsid w:val="00A80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Upite@t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no.Salmins@lp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eta.Vula@sam.gov.lv" TargetMode="External"/><Relationship Id="rId4" Type="http://schemas.openxmlformats.org/officeDocument/2006/relationships/settings" Target="settings.xml"/><Relationship Id="rId9" Type="http://schemas.openxmlformats.org/officeDocument/2006/relationships/hyperlink" Target="mailto:Marina.Blaske@mk.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F9524-DD39-40DA-8363-C98CBF72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9</Pages>
  <Words>7367</Words>
  <Characters>4200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Inese Matēviča</cp:lastModifiedBy>
  <cp:revision>28</cp:revision>
  <dcterms:created xsi:type="dcterms:W3CDTF">2019-12-09T12:01:00Z</dcterms:created>
  <dcterms:modified xsi:type="dcterms:W3CDTF">2021-04-27T09:24:00Z</dcterms:modified>
</cp:coreProperties>
</file>