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9043" w14:textId="77777777" w:rsidR="00F8459C" w:rsidRDefault="00F8459C">
      <w:pPr>
        <w:spacing w:after="0" w:line="240" w:lineRule="auto"/>
        <w:jc w:val="both"/>
        <w:rPr>
          <w:rFonts w:ascii="Times New Roman" w:hAnsi="Times New Roman" w:cs="Times New Roman"/>
          <w:sz w:val="24"/>
          <w:szCs w:val="24"/>
        </w:rPr>
      </w:pPr>
    </w:p>
    <w:p w14:paraId="4D282A70" w14:textId="77777777" w:rsidR="00F8459C" w:rsidRDefault="00F8459C">
      <w:pPr>
        <w:spacing w:after="0" w:line="240" w:lineRule="auto"/>
        <w:jc w:val="both"/>
        <w:rPr>
          <w:rFonts w:ascii="Times New Roman" w:hAnsi="Times New Roman" w:cs="Times New Roman"/>
          <w:sz w:val="24"/>
          <w:szCs w:val="24"/>
        </w:rPr>
      </w:pPr>
    </w:p>
    <w:p w14:paraId="64C492A9" w14:textId="77777777" w:rsidR="00055D79" w:rsidRPr="00F13A7D" w:rsidRDefault="00055D79" w:rsidP="00055D79">
      <w:pPr>
        <w:spacing w:after="0" w:line="240" w:lineRule="auto"/>
        <w:ind w:firstLine="360"/>
        <w:jc w:val="right"/>
        <w:rPr>
          <w:rFonts w:ascii="Times New Roman" w:hAnsi="Times New Roman"/>
          <w:sz w:val="28"/>
          <w:szCs w:val="28"/>
        </w:rPr>
      </w:pPr>
      <w:r w:rsidRPr="00B811F2">
        <w:rPr>
          <w:rFonts w:ascii="Times New Roman" w:hAnsi="Times New Roman" w:cs="Times New Roman"/>
          <w:sz w:val="24"/>
          <w:szCs w:val="24"/>
        </w:rPr>
        <w:t>(</w:t>
      </w:r>
      <w:r w:rsidRPr="00F13A7D">
        <w:rPr>
          <w:rFonts w:ascii="Times New Roman" w:hAnsi="Times New Roman"/>
          <w:sz w:val="28"/>
          <w:szCs w:val="28"/>
        </w:rPr>
        <w:t xml:space="preserve">Ministru kabineta </w:t>
      </w:r>
    </w:p>
    <w:p w14:paraId="643B4205" w14:textId="5CC4B396" w:rsidR="00055D79" w:rsidRPr="00F13A7D" w:rsidRDefault="00055D79" w:rsidP="00055D79">
      <w:pPr>
        <w:spacing w:after="0" w:line="240" w:lineRule="auto"/>
        <w:ind w:firstLine="360"/>
        <w:jc w:val="right"/>
        <w:rPr>
          <w:rFonts w:ascii="Times New Roman" w:hAnsi="Times New Roman"/>
          <w:sz w:val="28"/>
          <w:szCs w:val="28"/>
        </w:rPr>
      </w:pPr>
      <w:r w:rsidRPr="009004AC">
        <w:rPr>
          <w:rFonts w:ascii="Times New Roman" w:hAnsi="Times New Roman"/>
          <w:sz w:val="28"/>
          <w:szCs w:val="28"/>
        </w:rPr>
        <w:t>2021.</w:t>
      </w:r>
      <w:r w:rsidRPr="00F13A7D">
        <w:rPr>
          <w:rFonts w:ascii="Times New Roman" w:hAnsi="Times New Roman"/>
          <w:sz w:val="28"/>
          <w:szCs w:val="28"/>
        </w:rPr>
        <w:t xml:space="preserve"> gada </w:t>
      </w:r>
      <w:r w:rsidR="00A7716D" w:rsidRPr="00A7716D">
        <w:rPr>
          <w:rFonts w:ascii="Times New Roman" w:hAnsi="Times New Roman" w:cs="Times New Roman"/>
          <w:sz w:val="28"/>
          <w:szCs w:val="28"/>
        </w:rPr>
        <w:t>8. jūnij</w:t>
      </w:r>
      <w:r w:rsidR="00A7716D" w:rsidRPr="00A7716D">
        <w:rPr>
          <w:rFonts w:ascii="Times New Roman" w:hAnsi="Times New Roman" w:cs="Times New Roman"/>
          <w:sz w:val="28"/>
          <w:szCs w:val="28"/>
        </w:rPr>
        <w:t>a</w:t>
      </w:r>
    </w:p>
    <w:p w14:paraId="5060B7D8" w14:textId="501258DE" w:rsidR="00055D79" w:rsidRPr="00B811F2" w:rsidRDefault="00055D79" w:rsidP="00055D79">
      <w:pPr>
        <w:spacing w:after="0" w:line="240" w:lineRule="auto"/>
        <w:ind w:firstLine="360"/>
        <w:jc w:val="right"/>
        <w:rPr>
          <w:rFonts w:ascii="Times New Roman" w:hAnsi="Times New Roman" w:cs="Times New Roman"/>
          <w:sz w:val="24"/>
          <w:szCs w:val="24"/>
        </w:rPr>
      </w:pPr>
      <w:r w:rsidRPr="00F13A7D">
        <w:rPr>
          <w:rFonts w:ascii="Times New Roman" w:hAnsi="Times New Roman"/>
          <w:sz w:val="28"/>
          <w:szCs w:val="28"/>
        </w:rPr>
        <w:t>rīkojum</w:t>
      </w:r>
      <w:r>
        <w:rPr>
          <w:rFonts w:ascii="Times New Roman" w:hAnsi="Times New Roman"/>
          <w:sz w:val="28"/>
          <w:szCs w:val="28"/>
        </w:rPr>
        <w:t>s</w:t>
      </w:r>
      <w:r w:rsidRPr="00F13A7D">
        <w:rPr>
          <w:rFonts w:ascii="Times New Roman" w:hAnsi="Times New Roman"/>
          <w:sz w:val="28"/>
          <w:szCs w:val="28"/>
        </w:rPr>
        <w:t xml:space="preserve"> Nr.</w:t>
      </w:r>
      <w:r w:rsidR="005C1647">
        <w:rPr>
          <w:rFonts w:ascii="Times New Roman" w:hAnsi="Times New Roman"/>
          <w:sz w:val="28"/>
          <w:szCs w:val="28"/>
        </w:rPr>
        <w:t> </w:t>
      </w:r>
      <w:bookmarkStart w:id="0" w:name="_GoBack"/>
      <w:bookmarkEnd w:id="0"/>
      <w:r w:rsidR="00A7716D">
        <w:rPr>
          <w:rFonts w:ascii="Times New Roman" w:hAnsi="Times New Roman"/>
          <w:sz w:val="28"/>
          <w:szCs w:val="28"/>
        </w:rPr>
        <w:t>399</w:t>
      </w:r>
      <w:r w:rsidRPr="00B811F2">
        <w:rPr>
          <w:rFonts w:ascii="Times New Roman" w:hAnsi="Times New Roman" w:cs="Times New Roman"/>
          <w:sz w:val="24"/>
          <w:szCs w:val="24"/>
        </w:rPr>
        <w:t>)</w:t>
      </w:r>
    </w:p>
    <w:p w14:paraId="3341D17F" w14:textId="3D0170DC" w:rsidR="00F8459C" w:rsidRDefault="00F8459C">
      <w:pPr>
        <w:spacing w:after="0" w:line="240" w:lineRule="auto"/>
        <w:jc w:val="center"/>
        <w:rPr>
          <w:rFonts w:ascii="Times New Roman" w:hAnsi="Times New Roman" w:cs="Times New Roman"/>
          <w:sz w:val="24"/>
          <w:szCs w:val="24"/>
        </w:rPr>
      </w:pPr>
    </w:p>
    <w:p w14:paraId="7B537BC3" w14:textId="4CBFF1DB" w:rsidR="00474BDF" w:rsidRDefault="00474BDF">
      <w:pPr>
        <w:spacing w:after="0" w:line="240" w:lineRule="auto"/>
        <w:jc w:val="center"/>
        <w:rPr>
          <w:rFonts w:ascii="Times New Roman" w:hAnsi="Times New Roman" w:cs="Times New Roman"/>
          <w:sz w:val="24"/>
          <w:szCs w:val="24"/>
        </w:rPr>
      </w:pPr>
    </w:p>
    <w:p w14:paraId="7AAE4EDF" w14:textId="0C14CBEF" w:rsidR="00474BDF" w:rsidRDefault="00474BDF">
      <w:pPr>
        <w:spacing w:after="0" w:line="240" w:lineRule="auto"/>
        <w:jc w:val="center"/>
        <w:rPr>
          <w:rFonts w:ascii="Times New Roman" w:hAnsi="Times New Roman" w:cs="Times New Roman"/>
          <w:sz w:val="24"/>
          <w:szCs w:val="24"/>
        </w:rPr>
      </w:pPr>
    </w:p>
    <w:p w14:paraId="14E03A50" w14:textId="7929C229" w:rsidR="00474BDF" w:rsidRDefault="00474BDF">
      <w:pPr>
        <w:spacing w:after="0" w:line="240" w:lineRule="auto"/>
        <w:jc w:val="center"/>
        <w:rPr>
          <w:rFonts w:ascii="Times New Roman" w:hAnsi="Times New Roman" w:cs="Times New Roman"/>
          <w:sz w:val="24"/>
          <w:szCs w:val="24"/>
        </w:rPr>
      </w:pPr>
    </w:p>
    <w:p w14:paraId="520A9A73" w14:textId="7BD41BD8" w:rsidR="00474BDF" w:rsidRDefault="00474BDF">
      <w:pPr>
        <w:spacing w:after="0" w:line="240" w:lineRule="auto"/>
        <w:jc w:val="center"/>
        <w:rPr>
          <w:rFonts w:ascii="Times New Roman" w:hAnsi="Times New Roman" w:cs="Times New Roman"/>
          <w:sz w:val="24"/>
          <w:szCs w:val="24"/>
        </w:rPr>
      </w:pPr>
    </w:p>
    <w:p w14:paraId="133D2728" w14:textId="2C13DC69" w:rsidR="00474BDF" w:rsidRDefault="00474BDF">
      <w:pPr>
        <w:spacing w:after="0" w:line="240" w:lineRule="auto"/>
        <w:jc w:val="center"/>
        <w:rPr>
          <w:rFonts w:ascii="Times New Roman" w:hAnsi="Times New Roman" w:cs="Times New Roman"/>
          <w:sz w:val="24"/>
          <w:szCs w:val="24"/>
        </w:rPr>
      </w:pPr>
    </w:p>
    <w:p w14:paraId="10FB6870" w14:textId="17E23E52" w:rsidR="00474BDF" w:rsidRDefault="00474BDF">
      <w:pPr>
        <w:spacing w:after="0" w:line="240" w:lineRule="auto"/>
        <w:jc w:val="center"/>
        <w:rPr>
          <w:rFonts w:ascii="Times New Roman" w:hAnsi="Times New Roman" w:cs="Times New Roman"/>
          <w:sz w:val="24"/>
          <w:szCs w:val="24"/>
        </w:rPr>
      </w:pPr>
    </w:p>
    <w:p w14:paraId="5D7D9B04" w14:textId="36B0D061" w:rsidR="00474BDF" w:rsidRDefault="00474BDF">
      <w:pPr>
        <w:spacing w:after="0" w:line="240" w:lineRule="auto"/>
        <w:jc w:val="center"/>
        <w:rPr>
          <w:rFonts w:ascii="Times New Roman" w:hAnsi="Times New Roman" w:cs="Times New Roman"/>
          <w:sz w:val="24"/>
          <w:szCs w:val="24"/>
        </w:rPr>
      </w:pPr>
    </w:p>
    <w:p w14:paraId="3836F09B" w14:textId="2EB93C35" w:rsidR="00474BDF" w:rsidRDefault="00474BDF">
      <w:pPr>
        <w:spacing w:after="0" w:line="240" w:lineRule="auto"/>
        <w:jc w:val="center"/>
        <w:rPr>
          <w:rFonts w:ascii="Times New Roman" w:hAnsi="Times New Roman" w:cs="Times New Roman"/>
          <w:sz w:val="24"/>
          <w:szCs w:val="24"/>
        </w:rPr>
      </w:pPr>
    </w:p>
    <w:p w14:paraId="13478530" w14:textId="39CD444D" w:rsidR="00474BDF" w:rsidRDefault="00474BDF">
      <w:pPr>
        <w:spacing w:after="0" w:line="240" w:lineRule="auto"/>
        <w:jc w:val="center"/>
        <w:rPr>
          <w:rFonts w:ascii="Times New Roman" w:hAnsi="Times New Roman" w:cs="Times New Roman"/>
          <w:sz w:val="24"/>
          <w:szCs w:val="24"/>
        </w:rPr>
      </w:pPr>
    </w:p>
    <w:p w14:paraId="12C20ADA" w14:textId="39270E9C" w:rsidR="00474BDF" w:rsidRDefault="00474BDF">
      <w:pPr>
        <w:spacing w:after="0" w:line="240" w:lineRule="auto"/>
        <w:jc w:val="center"/>
        <w:rPr>
          <w:rFonts w:ascii="Times New Roman" w:hAnsi="Times New Roman" w:cs="Times New Roman"/>
          <w:sz w:val="24"/>
          <w:szCs w:val="24"/>
        </w:rPr>
      </w:pPr>
    </w:p>
    <w:p w14:paraId="2A68401A" w14:textId="77777777" w:rsidR="00474BDF" w:rsidRDefault="00474BDF">
      <w:pPr>
        <w:spacing w:after="0" w:line="240" w:lineRule="auto"/>
        <w:jc w:val="center"/>
        <w:rPr>
          <w:rFonts w:ascii="Times New Roman" w:hAnsi="Times New Roman" w:cs="Times New Roman"/>
          <w:sz w:val="24"/>
          <w:szCs w:val="24"/>
        </w:rPr>
      </w:pPr>
    </w:p>
    <w:p w14:paraId="7F0EC070" w14:textId="77777777" w:rsidR="00F8459C" w:rsidRDefault="00F8459C">
      <w:pPr>
        <w:spacing w:after="0" w:line="240" w:lineRule="auto"/>
        <w:jc w:val="center"/>
        <w:rPr>
          <w:rFonts w:ascii="Times New Roman" w:hAnsi="Times New Roman" w:cs="Times New Roman"/>
          <w:sz w:val="24"/>
          <w:szCs w:val="24"/>
        </w:rPr>
      </w:pPr>
    </w:p>
    <w:p w14:paraId="73F97794" w14:textId="77777777" w:rsidR="00F8459C" w:rsidRDefault="00C71529">
      <w:pPr>
        <w:spacing w:after="0" w:line="240" w:lineRule="auto"/>
        <w:jc w:val="center"/>
        <w:rPr>
          <w:rFonts w:ascii="Times New Roman" w:hAnsi="Times New Roman" w:cs="Times New Roman"/>
          <w:b/>
          <w:sz w:val="24"/>
          <w:szCs w:val="24"/>
        </w:rPr>
      </w:pPr>
      <w:bookmarkStart w:id="1" w:name="OLE_LINK1"/>
      <w:bookmarkStart w:id="2" w:name="OLE_LINK2"/>
      <w:r>
        <w:rPr>
          <w:rFonts w:ascii="Times New Roman" w:hAnsi="Times New Roman" w:cs="Times New Roman"/>
          <w:b/>
          <w:sz w:val="24"/>
          <w:szCs w:val="24"/>
        </w:rPr>
        <w:t>Konceptuāls ziņojums</w:t>
      </w:r>
    </w:p>
    <w:p w14:paraId="446D6260" w14:textId="77777777" w:rsidR="00F8459C" w:rsidRDefault="00C71529">
      <w:pPr>
        <w:spacing w:after="0" w:line="240" w:lineRule="auto"/>
        <w:jc w:val="center"/>
        <w:rPr>
          <w:rFonts w:ascii="Times New Roman" w:hAnsi="Times New Roman" w:cs="Times New Roman"/>
          <w:b/>
          <w:sz w:val="36"/>
          <w:szCs w:val="36"/>
        </w:rPr>
      </w:pPr>
      <w:bookmarkStart w:id="3" w:name="OLE_LINK3"/>
      <w:bookmarkStart w:id="4" w:name="OLE_LINK4"/>
      <w:bookmarkEnd w:id="1"/>
      <w:bookmarkEnd w:id="2"/>
      <w:r>
        <w:rPr>
          <w:rFonts w:ascii="Times New Roman" w:hAnsi="Times New Roman" w:cs="Times New Roman"/>
          <w:b/>
          <w:sz w:val="36"/>
          <w:szCs w:val="36"/>
        </w:rPr>
        <w:t xml:space="preserve">„Par valsts naftas produktu </w:t>
      </w:r>
    </w:p>
    <w:p w14:paraId="3363CF39" w14:textId="77777777" w:rsidR="00F8459C" w:rsidRDefault="00C7152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drošības rezervju nodrošināšanu”</w:t>
      </w:r>
    </w:p>
    <w:bookmarkEnd w:id="3"/>
    <w:bookmarkEnd w:id="4"/>
    <w:p w14:paraId="32FF4C48" w14:textId="77777777" w:rsidR="00F8459C" w:rsidRDefault="00F8459C">
      <w:pPr>
        <w:spacing w:after="0" w:line="240" w:lineRule="auto"/>
        <w:jc w:val="center"/>
        <w:rPr>
          <w:rFonts w:ascii="Times New Roman" w:hAnsi="Times New Roman" w:cs="Times New Roman"/>
          <w:sz w:val="24"/>
          <w:szCs w:val="24"/>
        </w:rPr>
      </w:pPr>
    </w:p>
    <w:p w14:paraId="071E3D14" w14:textId="77777777" w:rsidR="00F8459C" w:rsidRDefault="00F8459C">
      <w:pPr>
        <w:spacing w:after="0" w:line="240" w:lineRule="auto"/>
        <w:jc w:val="center"/>
        <w:rPr>
          <w:rFonts w:ascii="Times New Roman" w:hAnsi="Times New Roman" w:cs="Times New Roman"/>
          <w:sz w:val="24"/>
          <w:szCs w:val="24"/>
        </w:rPr>
      </w:pPr>
    </w:p>
    <w:p w14:paraId="2E19D05B" w14:textId="77777777" w:rsidR="00F8459C" w:rsidRDefault="00F8459C">
      <w:pPr>
        <w:spacing w:after="0" w:line="240" w:lineRule="auto"/>
        <w:jc w:val="center"/>
        <w:rPr>
          <w:rFonts w:ascii="Times New Roman" w:hAnsi="Times New Roman" w:cs="Times New Roman"/>
          <w:sz w:val="24"/>
          <w:szCs w:val="24"/>
        </w:rPr>
      </w:pPr>
    </w:p>
    <w:p w14:paraId="2F5AED5B" w14:textId="77777777" w:rsidR="00F8459C" w:rsidRDefault="00F8459C">
      <w:pPr>
        <w:spacing w:after="0" w:line="240" w:lineRule="auto"/>
        <w:jc w:val="center"/>
        <w:rPr>
          <w:rFonts w:ascii="Times New Roman" w:hAnsi="Times New Roman" w:cs="Times New Roman"/>
          <w:sz w:val="24"/>
          <w:szCs w:val="24"/>
        </w:rPr>
      </w:pPr>
    </w:p>
    <w:p w14:paraId="4E507BAC" w14:textId="77777777" w:rsidR="00F8459C" w:rsidRDefault="00F8459C">
      <w:pPr>
        <w:spacing w:after="0" w:line="240" w:lineRule="auto"/>
        <w:jc w:val="center"/>
        <w:rPr>
          <w:rFonts w:ascii="Times New Roman" w:hAnsi="Times New Roman" w:cs="Times New Roman"/>
          <w:sz w:val="24"/>
          <w:szCs w:val="24"/>
        </w:rPr>
      </w:pPr>
    </w:p>
    <w:p w14:paraId="00A5577F" w14:textId="77777777" w:rsidR="00F8459C" w:rsidRDefault="00F8459C">
      <w:pPr>
        <w:spacing w:after="0" w:line="240" w:lineRule="auto"/>
        <w:jc w:val="center"/>
        <w:rPr>
          <w:rFonts w:ascii="Times New Roman" w:hAnsi="Times New Roman" w:cs="Times New Roman"/>
          <w:sz w:val="24"/>
          <w:szCs w:val="24"/>
        </w:rPr>
      </w:pPr>
    </w:p>
    <w:p w14:paraId="621A46BA" w14:textId="77777777" w:rsidR="00F8459C" w:rsidRDefault="00F8459C">
      <w:pPr>
        <w:spacing w:after="0" w:line="240" w:lineRule="auto"/>
        <w:jc w:val="center"/>
        <w:rPr>
          <w:rFonts w:ascii="Times New Roman" w:hAnsi="Times New Roman" w:cs="Times New Roman"/>
          <w:sz w:val="24"/>
          <w:szCs w:val="24"/>
        </w:rPr>
      </w:pPr>
    </w:p>
    <w:p w14:paraId="25183221" w14:textId="77777777" w:rsidR="00F8459C" w:rsidRDefault="00F8459C">
      <w:pPr>
        <w:spacing w:after="0" w:line="240" w:lineRule="auto"/>
        <w:jc w:val="center"/>
        <w:rPr>
          <w:rFonts w:ascii="Times New Roman" w:hAnsi="Times New Roman" w:cs="Times New Roman"/>
          <w:sz w:val="24"/>
          <w:szCs w:val="24"/>
        </w:rPr>
      </w:pPr>
    </w:p>
    <w:p w14:paraId="2C47D1CA" w14:textId="77777777" w:rsidR="00F8459C" w:rsidRDefault="00F8459C">
      <w:pPr>
        <w:spacing w:after="0" w:line="240" w:lineRule="auto"/>
        <w:jc w:val="center"/>
        <w:rPr>
          <w:rFonts w:ascii="Times New Roman" w:hAnsi="Times New Roman" w:cs="Times New Roman"/>
          <w:sz w:val="24"/>
          <w:szCs w:val="24"/>
        </w:rPr>
      </w:pPr>
    </w:p>
    <w:p w14:paraId="5A47F5E4" w14:textId="77777777" w:rsidR="00F8459C" w:rsidRDefault="00F8459C">
      <w:pPr>
        <w:spacing w:after="0" w:line="240" w:lineRule="auto"/>
        <w:jc w:val="center"/>
        <w:rPr>
          <w:rFonts w:ascii="Times New Roman" w:hAnsi="Times New Roman" w:cs="Times New Roman"/>
          <w:sz w:val="24"/>
          <w:szCs w:val="24"/>
        </w:rPr>
      </w:pPr>
    </w:p>
    <w:p w14:paraId="15B11EEC" w14:textId="77777777" w:rsidR="00F8459C" w:rsidRDefault="00F8459C">
      <w:pPr>
        <w:spacing w:after="0" w:line="240" w:lineRule="auto"/>
        <w:jc w:val="center"/>
        <w:rPr>
          <w:rFonts w:ascii="Times New Roman" w:hAnsi="Times New Roman" w:cs="Times New Roman"/>
          <w:sz w:val="24"/>
          <w:szCs w:val="24"/>
        </w:rPr>
      </w:pPr>
    </w:p>
    <w:p w14:paraId="46FBF736" w14:textId="77777777" w:rsidR="00F8459C" w:rsidRDefault="00F8459C">
      <w:pPr>
        <w:spacing w:after="0" w:line="240" w:lineRule="auto"/>
        <w:jc w:val="center"/>
        <w:rPr>
          <w:rFonts w:ascii="Times New Roman" w:hAnsi="Times New Roman" w:cs="Times New Roman"/>
          <w:sz w:val="24"/>
          <w:szCs w:val="24"/>
        </w:rPr>
      </w:pPr>
    </w:p>
    <w:p w14:paraId="4B47A44A" w14:textId="77777777" w:rsidR="00F8459C" w:rsidRDefault="00F8459C">
      <w:pPr>
        <w:spacing w:after="0" w:line="240" w:lineRule="auto"/>
        <w:jc w:val="center"/>
        <w:rPr>
          <w:rFonts w:ascii="Times New Roman" w:hAnsi="Times New Roman" w:cs="Times New Roman"/>
          <w:sz w:val="24"/>
          <w:szCs w:val="24"/>
        </w:rPr>
      </w:pPr>
    </w:p>
    <w:p w14:paraId="16768446" w14:textId="77777777" w:rsidR="00F8459C" w:rsidRDefault="00F8459C">
      <w:pPr>
        <w:spacing w:after="0" w:line="240" w:lineRule="auto"/>
        <w:jc w:val="center"/>
        <w:rPr>
          <w:rFonts w:ascii="Times New Roman" w:hAnsi="Times New Roman" w:cs="Times New Roman"/>
          <w:sz w:val="24"/>
          <w:szCs w:val="24"/>
        </w:rPr>
      </w:pPr>
    </w:p>
    <w:p w14:paraId="5BBD3FA7" w14:textId="77777777" w:rsidR="00F8459C" w:rsidRDefault="00F8459C">
      <w:pPr>
        <w:spacing w:after="0" w:line="240" w:lineRule="auto"/>
        <w:jc w:val="center"/>
        <w:rPr>
          <w:rFonts w:ascii="Times New Roman" w:hAnsi="Times New Roman" w:cs="Times New Roman"/>
          <w:sz w:val="24"/>
          <w:szCs w:val="24"/>
        </w:rPr>
      </w:pPr>
    </w:p>
    <w:p w14:paraId="063FDBCA" w14:textId="77777777" w:rsidR="00F8459C" w:rsidRDefault="00F8459C">
      <w:pPr>
        <w:spacing w:after="0" w:line="240" w:lineRule="auto"/>
        <w:jc w:val="center"/>
        <w:rPr>
          <w:rFonts w:ascii="Times New Roman" w:hAnsi="Times New Roman" w:cs="Times New Roman"/>
          <w:sz w:val="24"/>
          <w:szCs w:val="24"/>
        </w:rPr>
      </w:pPr>
    </w:p>
    <w:p w14:paraId="5ADF79FF" w14:textId="77777777" w:rsidR="00F8459C" w:rsidRDefault="00F8459C">
      <w:pPr>
        <w:spacing w:after="0" w:line="240" w:lineRule="auto"/>
        <w:jc w:val="center"/>
        <w:rPr>
          <w:rFonts w:ascii="Times New Roman" w:hAnsi="Times New Roman" w:cs="Times New Roman"/>
          <w:sz w:val="24"/>
          <w:szCs w:val="24"/>
        </w:rPr>
      </w:pPr>
    </w:p>
    <w:p w14:paraId="4A580C85" w14:textId="77777777" w:rsidR="00F8459C" w:rsidRDefault="00F8459C">
      <w:pPr>
        <w:spacing w:after="0" w:line="240" w:lineRule="auto"/>
        <w:jc w:val="center"/>
        <w:rPr>
          <w:rFonts w:ascii="Times New Roman" w:hAnsi="Times New Roman" w:cs="Times New Roman"/>
          <w:sz w:val="24"/>
          <w:szCs w:val="24"/>
        </w:rPr>
      </w:pPr>
    </w:p>
    <w:p w14:paraId="2EE51ED6" w14:textId="77777777" w:rsidR="00F8459C" w:rsidRDefault="00F8459C">
      <w:pPr>
        <w:spacing w:after="0" w:line="240" w:lineRule="auto"/>
        <w:jc w:val="center"/>
        <w:rPr>
          <w:rFonts w:ascii="Times New Roman" w:hAnsi="Times New Roman" w:cs="Times New Roman"/>
          <w:sz w:val="24"/>
          <w:szCs w:val="24"/>
        </w:rPr>
      </w:pPr>
    </w:p>
    <w:p w14:paraId="26DCCD63" w14:textId="77777777" w:rsidR="00F8459C" w:rsidRDefault="00F8459C">
      <w:pPr>
        <w:spacing w:after="0" w:line="240" w:lineRule="auto"/>
        <w:jc w:val="center"/>
        <w:rPr>
          <w:rFonts w:ascii="Times New Roman" w:hAnsi="Times New Roman" w:cs="Times New Roman"/>
          <w:sz w:val="24"/>
          <w:szCs w:val="24"/>
        </w:rPr>
      </w:pPr>
    </w:p>
    <w:p w14:paraId="7FC01A0A" w14:textId="77777777" w:rsidR="00F8459C" w:rsidRDefault="00F8459C">
      <w:pPr>
        <w:spacing w:after="0" w:line="240" w:lineRule="auto"/>
        <w:jc w:val="center"/>
        <w:rPr>
          <w:rFonts w:ascii="Times New Roman" w:hAnsi="Times New Roman" w:cs="Times New Roman"/>
          <w:sz w:val="24"/>
          <w:szCs w:val="24"/>
        </w:rPr>
      </w:pPr>
    </w:p>
    <w:p w14:paraId="07B3F1FD" w14:textId="77777777" w:rsidR="00F8459C" w:rsidRDefault="00F8459C">
      <w:pPr>
        <w:spacing w:after="0" w:line="240" w:lineRule="auto"/>
        <w:jc w:val="center"/>
        <w:rPr>
          <w:rFonts w:ascii="Times New Roman" w:hAnsi="Times New Roman" w:cs="Times New Roman"/>
          <w:sz w:val="24"/>
          <w:szCs w:val="24"/>
        </w:rPr>
      </w:pPr>
    </w:p>
    <w:p w14:paraId="1D57303C" w14:textId="77777777" w:rsidR="00F8459C" w:rsidRDefault="00F8459C">
      <w:pPr>
        <w:spacing w:after="0" w:line="240" w:lineRule="auto"/>
        <w:jc w:val="center"/>
        <w:rPr>
          <w:rFonts w:ascii="Times New Roman" w:hAnsi="Times New Roman" w:cs="Times New Roman"/>
          <w:sz w:val="24"/>
          <w:szCs w:val="24"/>
        </w:rPr>
      </w:pPr>
    </w:p>
    <w:p w14:paraId="34E21F8D" w14:textId="77777777" w:rsidR="00F8459C" w:rsidRDefault="00F8459C">
      <w:pPr>
        <w:spacing w:after="0" w:line="240" w:lineRule="auto"/>
        <w:jc w:val="center"/>
        <w:rPr>
          <w:rFonts w:ascii="Times New Roman" w:hAnsi="Times New Roman" w:cs="Times New Roman"/>
          <w:sz w:val="24"/>
          <w:szCs w:val="24"/>
        </w:rPr>
      </w:pPr>
    </w:p>
    <w:p w14:paraId="61E12F13" w14:textId="77777777" w:rsidR="00F8459C" w:rsidRDefault="00F8459C">
      <w:pPr>
        <w:spacing w:after="0" w:line="240" w:lineRule="auto"/>
        <w:jc w:val="center"/>
        <w:rPr>
          <w:rFonts w:ascii="Times New Roman" w:hAnsi="Times New Roman" w:cs="Times New Roman"/>
          <w:sz w:val="24"/>
          <w:szCs w:val="24"/>
        </w:rPr>
      </w:pPr>
    </w:p>
    <w:p w14:paraId="16D7D75A" w14:textId="77777777" w:rsidR="00F8459C" w:rsidRDefault="00F8459C">
      <w:pPr>
        <w:spacing w:after="0" w:line="240" w:lineRule="auto"/>
        <w:jc w:val="center"/>
        <w:rPr>
          <w:rFonts w:ascii="Times New Roman" w:hAnsi="Times New Roman" w:cs="Times New Roman"/>
          <w:sz w:val="24"/>
          <w:szCs w:val="24"/>
        </w:rPr>
      </w:pPr>
    </w:p>
    <w:p w14:paraId="716D5D4D" w14:textId="77777777" w:rsidR="00F8459C" w:rsidRDefault="00F8459C">
      <w:pPr>
        <w:spacing w:after="0" w:line="240" w:lineRule="auto"/>
        <w:jc w:val="center"/>
        <w:rPr>
          <w:rFonts w:ascii="Times New Roman" w:hAnsi="Times New Roman" w:cs="Times New Roman"/>
          <w:sz w:val="24"/>
          <w:szCs w:val="24"/>
        </w:rPr>
      </w:pPr>
    </w:p>
    <w:p w14:paraId="0BA1495D" w14:textId="77777777" w:rsidR="00F8459C" w:rsidRDefault="00F8459C">
      <w:pPr>
        <w:spacing w:after="0" w:line="240" w:lineRule="auto"/>
        <w:jc w:val="center"/>
        <w:rPr>
          <w:rFonts w:ascii="Times New Roman" w:hAnsi="Times New Roman" w:cs="Times New Roman"/>
          <w:sz w:val="24"/>
          <w:szCs w:val="24"/>
        </w:rPr>
      </w:pPr>
    </w:p>
    <w:p w14:paraId="458827F6" w14:textId="77777777" w:rsidR="00F8459C" w:rsidRDefault="00F8459C">
      <w:pPr>
        <w:spacing w:after="0" w:line="240" w:lineRule="auto"/>
        <w:jc w:val="center"/>
        <w:rPr>
          <w:rFonts w:ascii="Times New Roman" w:hAnsi="Times New Roman" w:cs="Times New Roman"/>
          <w:sz w:val="24"/>
          <w:szCs w:val="24"/>
        </w:rPr>
      </w:pPr>
    </w:p>
    <w:p w14:paraId="1371E488" w14:textId="77777777" w:rsidR="00F8459C" w:rsidRDefault="00F8459C">
      <w:pPr>
        <w:spacing w:after="0" w:line="240" w:lineRule="auto"/>
        <w:jc w:val="center"/>
        <w:rPr>
          <w:rFonts w:ascii="Times New Roman" w:hAnsi="Times New Roman" w:cs="Times New Roman"/>
          <w:sz w:val="24"/>
          <w:szCs w:val="24"/>
        </w:rPr>
      </w:pPr>
    </w:p>
    <w:p w14:paraId="040CC4ED" w14:textId="572683BF" w:rsidR="00474BDF" w:rsidRDefault="00474BDF">
      <w:pPr>
        <w:rPr>
          <w:rFonts w:ascii="Times New Roman" w:hAnsi="Times New Roman" w:cs="Times New Roman"/>
          <w:b/>
          <w:sz w:val="24"/>
          <w:szCs w:val="24"/>
        </w:rPr>
      </w:pPr>
      <w:r>
        <w:rPr>
          <w:rFonts w:ascii="Times New Roman" w:hAnsi="Times New Roman" w:cs="Times New Roman"/>
          <w:b/>
          <w:sz w:val="24"/>
          <w:szCs w:val="24"/>
        </w:rPr>
        <w:br w:type="page"/>
      </w:r>
    </w:p>
    <w:p w14:paraId="7B9923DB" w14:textId="77777777" w:rsidR="00F8459C" w:rsidRDefault="00F8459C">
      <w:pPr>
        <w:rPr>
          <w:rFonts w:ascii="Times New Roman" w:hAnsi="Times New Roman" w:cs="Times New Roman"/>
          <w:b/>
          <w:sz w:val="24"/>
          <w:szCs w:val="24"/>
        </w:rPr>
      </w:pPr>
    </w:p>
    <w:sdt>
      <w:sdtPr>
        <w:rPr>
          <w:rFonts w:ascii="Times New Roman" w:eastAsiaTheme="minorHAnsi" w:hAnsi="Times New Roman" w:cs="Times New Roman"/>
          <w:b w:val="0"/>
          <w:bCs w:val="0"/>
          <w:color w:val="auto"/>
          <w:sz w:val="24"/>
          <w:szCs w:val="24"/>
        </w:rPr>
        <w:id w:val="531839264"/>
        <w:docPartObj>
          <w:docPartGallery w:val="Table of Contents"/>
          <w:docPartUnique/>
        </w:docPartObj>
      </w:sdtPr>
      <w:sdtEndPr/>
      <w:sdtContent>
        <w:p w14:paraId="78EB6367" w14:textId="77777777" w:rsidR="00F8459C" w:rsidRDefault="00C71529">
          <w:pPr>
            <w:pStyle w:val="TOCHeading"/>
            <w:spacing w:before="0" w:line="240" w:lineRule="auto"/>
            <w:jc w:val="center"/>
            <w:rPr>
              <w:rFonts w:ascii="Times New Roman" w:hAnsi="Times New Roman" w:cs="Times New Roman"/>
              <w:color w:val="auto"/>
            </w:rPr>
          </w:pPr>
          <w:r>
            <w:rPr>
              <w:rFonts w:ascii="Times New Roman" w:hAnsi="Times New Roman" w:cs="Times New Roman"/>
              <w:color w:val="auto"/>
            </w:rPr>
            <w:t>Saturs</w:t>
          </w:r>
        </w:p>
        <w:p w14:paraId="7951662B" w14:textId="77777777" w:rsidR="00F8459C" w:rsidRDefault="00F8459C">
          <w:pPr>
            <w:rPr>
              <w:rFonts w:ascii="Times New Roman" w:hAnsi="Times New Roman" w:cs="Times New Roman"/>
            </w:rPr>
          </w:pPr>
        </w:p>
        <w:p w14:paraId="1C6EC6E7" w14:textId="184FF97D" w:rsidR="00261B44" w:rsidRPr="00261B44" w:rsidRDefault="00C71529">
          <w:pPr>
            <w:pStyle w:val="TOC1"/>
            <w:rPr>
              <w:rFonts w:ascii="Times New Roman" w:eastAsiaTheme="minorEastAsia" w:hAnsi="Times New Roman" w:cs="Times New Roman"/>
              <w:noProof/>
              <w:sz w:val="24"/>
              <w:szCs w:val="24"/>
              <w:lang w:eastAsia="lv-LV"/>
            </w:rPr>
          </w:pPr>
          <w:r w:rsidRPr="00261B44">
            <w:rPr>
              <w:rFonts w:ascii="Times New Roman" w:hAnsi="Times New Roman" w:cs="Times New Roman"/>
              <w:sz w:val="24"/>
              <w:szCs w:val="24"/>
            </w:rPr>
            <w:fldChar w:fldCharType="begin"/>
          </w:r>
          <w:r w:rsidRPr="00261B44">
            <w:rPr>
              <w:rFonts w:ascii="Times New Roman" w:hAnsi="Times New Roman" w:cs="Times New Roman"/>
              <w:sz w:val="24"/>
              <w:szCs w:val="24"/>
            </w:rPr>
            <w:instrText xml:space="preserve"> TOC \o "1-3" \h \z \u </w:instrText>
          </w:r>
          <w:r w:rsidRPr="00261B44">
            <w:rPr>
              <w:rFonts w:ascii="Times New Roman" w:hAnsi="Times New Roman" w:cs="Times New Roman"/>
              <w:sz w:val="24"/>
              <w:szCs w:val="24"/>
            </w:rPr>
            <w:fldChar w:fldCharType="separate"/>
          </w:r>
          <w:hyperlink w:anchor="_Toc67921659" w:history="1">
            <w:r w:rsidR="00261B44" w:rsidRPr="00261B44">
              <w:rPr>
                <w:rStyle w:val="Hyperlink"/>
                <w:rFonts w:ascii="Times New Roman" w:hAnsi="Times New Roman" w:cs="Times New Roman"/>
                <w:noProof/>
                <w:sz w:val="24"/>
                <w:szCs w:val="24"/>
              </w:rPr>
              <w:t>1. Kopsavilkums</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_Toc67921659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3</w:t>
            </w:r>
            <w:r w:rsidR="00261B44" w:rsidRPr="00261B44">
              <w:rPr>
                <w:rFonts w:ascii="Times New Roman" w:hAnsi="Times New Roman" w:cs="Times New Roman"/>
                <w:noProof/>
                <w:webHidden/>
                <w:sz w:val="24"/>
                <w:szCs w:val="24"/>
              </w:rPr>
              <w:fldChar w:fldCharType="end"/>
            </w:r>
          </w:hyperlink>
        </w:p>
        <w:p w14:paraId="60D15A11" w14:textId="1C0821CF" w:rsidR="00261B44" w:rsidRPr="00261B44" w:rsidRDefault="005C1647">
          <w:pPr>
            <w:pStyle w:val="TOC1"/>
            <w:rPr>
              <w:rFonts w:ascii="Times New Roman" w:eastAsiaTheme="minorEastAsia" w:hAnsi="Times New Roman" w:cs="Times New Roman"/>
              <w:noProof/>
              <w:sz w:val="24"/>
              <w:szCs w:val="24"/>
              <w:lang w:eastAsia="lv-LV"/>
            </w:rPr>
          </w:pPr>
          <w:hyperlink w:anchor="_Toc67921660" w:history="1">
            <w:r w:rsidR="00261B44" w:rsidRPr="00261B44">
              <w:rPr>
                <w:rStyle w:val="Hyperlink"/>
                <w:rFonts w:ascii="Times New Roman" w:hAnsi="Times New Roman" w:cs="Times New Roman"/>
                <w:noProof/>
                <w:sz w:val="24"/>
                <w:szCs w:val="24"/>
              </w:rPr>
              <w:t>2. Latvijas drošības rezervju pārvaldības sistēmas apraksts un identificētās problēmas</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_Toc67921660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4</w:t>
            </w:r>
            <w:r w:rsidR="00261B44" w:rsidRPr="00261B44">
              <w:rPr>
                <w:rFonts w:ascii="Times New Roman" w:hAnsi="Times New Roman" w:cs="Times New Roman"/>
                <w:noProof/>
                <w:webHidden/>
                <w:sz w:val="24"/>
                <w:szCs w:val="24"/>
              </w:rPr>
              <w:fldChar w:fldCharType="end"/>
            </w:r>
          </w:hyperlink>
        </w:p>
        <w:p w14:paraId="5A792952" w14:textId="1CB515E1" w:rsidR="00261B44" w:rsidRPr="00261B44" w:rsidRDefault="005C1647">
          <w:pPr>
            <w:pStyle w:val="TOC2"/>
            <w:tabs>
              <w:tab w:val="right" w:leader="dot" w:pos="9487"/>
            </w:tabs>
            <w:rPr>
              <w:rFonts w:ascii="Times New Roman" w:eastAsiaTheme="minorEastAsia" w:hAnsi="Times New Roman" w:cs="Times New Roman"/>
              <w:noProof/>
              <w:sz w:val="24"/>
              <w:szCs w:val="24"/>
              <w:lang w:eastAsia="lv-LV"/>
            </w:rPr>
          </w:pPr>
          <w:hyperlink w:anchor="_Toc67921661" w:history="1">
            <w:r w:rsidR="00261B44" w:rsidRPr="00261B44">
              <w:rPr>
                <w:rStyle w:val="Hyperlink"/>
                <w:rFonts w:ascii="Times New Roman" w:hAnsi="Times New Roman" w:cs="Times New Roman"/>
                <w:noProof/>
                <w:sz w:val="24"/>
                <w:szCs w:val="24"/>
              </w:rPr>
              <w:t>2.1. Naftas produktu rezervju izveides tiesiskais regulējums</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_Toc67921661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4</w:t>
            </w:r>
            <w:r w:rsidR="00261B44" w:rsidRPr="00261B44">
              <w:rPr>
                <w:rFonts w:ascii="Times New Roman" w:hAnsi="Times New Roman" w:cs="Times New Roman"/>
                <w:noProof/>
                <w:webHidden/>
                <w:sz w:val="24"/>
                <w:szCs w:val="24"/>
              </w:rPr>
              <w:fldChar w:fldCharType="end"/>
            </w:r>
          </w:hyperlink>
        </w:p>
        <w:p w14:paraId="7533253F" w14:textId="46CCD145" w:rsidR="00261B44" w:rsidRPr="00261B44" w:rsidRDefault="005C1647">
          <w:pPr>
            <w:pStyle w:val="TOC2"/>
            <w:tabs>
              <w:tab w:val="right" w:leader="dot" w:pos="9487"/>
            </w:tabs>
            <w:rPr>
              <w:rFonts w:ascii="Times New Roman" w:eastAsiaTheme="minorEastAsia" w:hAnsi="Times New Roman" w:cs="Times New Roman"/>
              <w:noProof/>
              <w:sz w:val="24"/>
              <w:szCs w:val="24"/>
              <w:lang w:eastAsia="lv-LV"/>
            </w:rPr>
          </w:pPr>
          <w:hyperlink w:anchor="_Toc67921662" w:history="1">
            <w:r w:rsidR="00261B44" w:rsidRPr="00261B44">
              <w:rPr>
                <w:rStyle w:val="Hyperlink"/>
                <w:rFonts w:ascii="Times New Roman" w:hAnsi="Times New Roman" w:cs="Times New Roman"/>
                <w:noProof/>
                <w:sz w:val="24"/>
                <w:szCs w:val="24"/>
              </w:rPr>
              <w:t>2.2. Drošības rezervju uzturēšana</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_Toc67921662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5</w:t>
            </w:r>
            <w:r w:rsidR="00261B44" w:rsidRPr="00261B44">
              <w:rPr>
                <w:rFonts w:ascii="Times New Roman" w:hAnsi="Times New Roman" w:cs="Times New Roman"/>
                <w:noProof/>
                <w:webHidden/>
                <w:sz w:val="24"/>
                <w:szCs w:val="24"/>
              </w:rPr>
              <w:fldChar w:fldCharType="end"/>
            </w:r>
          </w:hyperlink>
        </w:p>
        <w:p w14:paraId="4628E8C2" w14:textId="20465A0A" w:rsidR="00261B44" w:rsidRPr="00261B44" w:rsidRDefault="005C1647">
          <w:pPr>
            <w:pStyle w:val="TOC2"/>
            <w:tabs>
              <w:tab w:val="right" w:leader="dot" w:pos="9487"/>
            </w:tabs>
            <w:rPr>
              <w:rFonts w:ascii="Times New Roman" w:eastAsiaTheme="minorEastAsia" w:hAnsi="Times New Roman" w:cs="Times New Roman"/>
              <w:noProof/>
              <w:sz w:val="24"/>
              <w:szCs w:val="24"/>
              <w:lang w:eastAsia="lv-LV"/>
            </w:rPr>
          </w:pPr>
          <w:hyperlink w:anchor="_Toc67921663" w:history="1">
            <w:r w:rsidR="00261B44" w:rsidRPr="00261B44">
              <w:rPr>
                <w:rStyle w:val="Hyperlink"/>
                <w:rFonts w:ascii="Times New Roman" w:hAnsi="Times New Roman" w:cs="Times New Roman"/>
                <w:noProof/>
                <w:sz w:val="24"/>
                <w:szCs w:val="24"/>
              </w:rPr>
              <w:t>2.3. Identificētās problēmas</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_Toc67921663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8</w:t>
            </w:r>
            <w:r w:rsidR="00261B44" w:rsidRPr="00261B44">
              <w:rPr>
                <w:rFonts w:ascii="Times New Roman" w:hAnsi="Times New Roman" w:cs="Times New Roman"/>
                <w:noProof/>
                <w:webHidden/>
                <w:sz w:val="24"/>
                <w:szCs w:val="24"/>
              </w:rPr>
              <w:fldChar w:fldCharType="end"/>
            </w:r>
          </w:hyperlink>
        </w:p>
        <w:p w14:paraId="2A763285" w14:textId="7DAFF8D5" w:rsidR="00261B44" w:rsidRPr="00261B44" w:rsidRDefault="005C1647">
          <w:pPr>
            <w:pStyle w:val="TOC2"/>
            <w:tabs>
              <w:tab w:val="right" w:leader="dot" w:pos="9487"/>
            </w:tabs>
            <w:rPr>
              <w:rFonts w:ascii="Times New Roman" w:eastAsiaTheme="minorEastAsia" w:hAnsi="Times New Roman" w:cs="Times New Roman"/>
              <w:noProof/>
              <w:sz w:val="24"/>
              <w:szCs w:val="24"/>
              <w:lang w:eastAsia="lv-LV"/>
            </w:rPr>
          </w:pPr>
          <w:hyperlink w:anchor="_Toc67921664" w:history="1">
            <w:r w:rsidR="00261B44" w:rsidRPr="00261B44">
              <w:rPr>
                <w:rStyle w:val="Hyperlink"/>
                <w:rFonts w:ascii="Times New Roman" w:hAnsi="Times New Roman" w:cs="Times New Roman"/>
                <w:noProof/>
                <w:sz w:val="24"/>
                <w:szCs w:val="24"/>
              </w:rPr>
              <w:t>2.4. Citu ES dalībvalstu pieredze drošības rezervju izveidē</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_Toc67921664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9</w:t>
            </w:r>
            <w:r w:rsidR="00261B44" w:rsidRPr="00261B44">
              <w:rPr>
                <w:rFonts w:ascii="Times New Roman" w:hAnsi="Times New Roman" w:cs="Times New Roman"/>
                <w:noProof/>
                <w:webHidden/>
                <w:sz w:val="24"/>
                <w:szCs w:val="24"/>
              </w:rPr>
              <w:fldChar w:fldCharType="end"/>
            </w:r>
          </w:hyperlink>
        </w:p>
        <w:p w14:paraId="137CDC34" w14:textId="476CF34E" w:rsidR="00261B44" w:rsidRPr="00261B44" w:rsidRDefault="005C1647">
          <w:pPr>
            <w:pStyle w:val="TOC1"/>
            <w:rPr>
              <w:rFonts w:ascii="Times New Roman" w:eastAsiaTheme="minorEastAsia" w:hAnsi="Times New Roman" w:cs="Times New Roman"/>
              <w:noProof/>
              <w:sz w:val="24"/>
              <w:szCs w:val="24"/>
              <w:lang w:eastAsia="lv-LV"/>
            </w:rPr>
          </w:pPr>
          <w:hyperlink w:anchor="_Toc67921665" w:history="1">
            <w:r w:rsidR="00261B44" w:rsidRPr="00261B44">
              <w:rPr>
                <w:rStyle w:val="Hyperlink"/>
                <w:rFonts w:ascii="Times New Roman" w:hAnsi="Times New Roman" w:cs="Times New Roman"/>
                <w:noProof/>
                <w:sz w:val="24"/>
                <w:szCs w:val="24"/>
              </w:rPr>
              <w:t>3. Risinājumi valstij nepieciešamo naftas un naftas produktu drošības rezervju nodrošināšanai</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_Toc67921665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11</w:t>
            </w:r>
            <w:r w:rsidR="00261B44" w:rsidRPr="00261B44">
              <w:rPr>
                <w:rFonts w:ascii="Times New Roman" w:hAnsi="Times New Roman" w:cs="Times New Roman"/>
                <w:noProof/>
                <w:webHidden/>
                <w:sz w:val="24"/>
                <w:szCs w:val="24"/>
              </w:rPr>
              <w:fldChar w:fldCharType="end"/>
            </w:r>
          </w:hyperlink>
        </w:p>
        <w:p w14:paraId="38188019" w14:textId="69B04E67" w:rsidR="00261B44" w:rsidRPr="00261B44" w:rsidRDefault="005C1647">
          <w:pPr>
            <w:pStyle w:val="TOC1"/>
            <w:rPr>
              <w:rFonts w:ascii="Times New Roman" w:eastAsiaTheme="minorEastAsia" w:hAnsi="Times New Roman" w:cs="Times New Roman"/>
              <w:noProof/>
              <w:sz w:val="24"/>
              <w:szCs w:val="24"/>
              <w:lang w:eastAsia="lv-LV"/>
            </w:rPr>
          </w:pPr>
          <w:hyperlink w:anchor="_Toc67921666" w:history="1">
            <w:r w:rsidR="00261B44" w:rsidRPr="00261B44">
              <w:rPr>
                <w:rStyle w:val="Hyperlink"/>
                <w:rFonts w:ascii="Times New Roman" w:hAnsi="Times New Roman" w:cs="Times New Roman"/>
                <w:noProof/>
                <w:sz w:val="24"/>
                <w:szCs w:val="24"/>
              </w:rPr>
              <w:t>4. Risinājumu ietekmes izvērtējums</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_Toc67921666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12</w:t>
            </w:r>
            <w:r w:rsidR="00261B44" w:rsidRPr="00261B44">
              <w:rPr>
                <w:rFonts w:ascii="Times New Roman" w:hAnsi="Times New Roman" w:cs="Times New Roman"/>
                <w:noProof/>
                <w:webHidden/>
                <w:sz w:val="24"/>
                <w:szCs w:val="24"/>
              </w:rPr>
              <w:fldChar w:fldCharType="end"/>
            </w:r>
          </w:hyperlink>
        </w:p>
        <w:p w14:paraId="1EF70451" w14:textId="0318E065" w:rsidR="00261B44" w:rsidRPr="00261B44" w:rsidRDefault="005C1647">
          <w:pPr>
            <w:pStyle w:val="TOC1"/>
            <w:rPr>
              <w:rFonts w:ascii="Times New Roman" w:eastAsiaTheme="minorEastAsia" w:hAnsi="Times New Roman" w:cs="Times New Roman"/>
              <w:noProof/>
              <w:sz w:val="24"/>
              <w:szCs w:val="24"/>
              <w:lang w:eastAsia="lv-LV"/>
            </w:rPr>
          </w:pPr>
          <w:hyperlink w:anchor="_Toc67921667" w:history="1">
            <w:r w:rsidR="00261B44" w:rsidRPr="00261B44">
              <w:rPr>
                <w:rStyle w:val="Hyperlink"/>
                <w:rFonts w:ascii="Times New Roman" w:hAnsi="Times New Roman" w:cs="Times New Roman"/>
                <w:noProof/>
                <w:sz w:val="24"/>
                <w:szCs w:val="24"/>
              </w:rPr>
              <w:t>5. Risinājumu ietekme uz valsts budžetu</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_Toc67921667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15</w:t>
            </w:r>
            <w:r w:rsidR="00261B44" w:rsidRPr="00261B44">
              <w:rPr>
                <w:rFonts w:ascii="Times New Roman" w:hAnsi="Times New Roman" w:cs="Times New Roman"/>
                <w:noProof/>
                <w:webHidden/>
                <w:sz w:val="24"/>
                <w:szCs w:val="24"/>
              </w:rPr>
              <w:fldChar w:fldCharType="end"/>
            </w:r>
          </w:hyperlink>
        </w:p>
        <w:p w14:paraId="056D6AFA" w14:textId="035A3019" w:rsidR="00261B44" w:rsidRPr="00261B44" w:rsidRDefault="005C1647">
          <w:pPr>
            <w:pStyle w:val="TOC1"/>
            <w:rPr>
              <w:rFonts w:ascii="Times New Roman" w:eastAsiaTheme="minorEastAsia" w:hAnsi="Times New Roman" w:cs="Times New Roman"/>
              <w:noProof/>
              <w:sz w:val="24"/>
              <w:szCs w:val="24"/>
              <w:lang w:eastAsia="lv-LV"/>
            </w:rPr>
          </w:pPr>
          <w:hyperlink w:anchor="_Toc67921668" w:history="1">
            <w:r w:rsidR="00261B44" w:rsidRPr="00261B44">
              <w:rPr>
                <w:rStyle w:val="Hyperlink"/>
                <w:rFonts w:ascii="Times New Roman" w:hAnsi="Times New Roman" w:cs="Times New Roman"/>
                <w:noProof/>
                <w:sz w:val="24"/>
                <w:szCs w:val="24"/>
              </w:rPr>
              <w:t>6. Konsultācijas ar nozari</w:t>
            </w:r>
            <w:r w:rsidR="00261B44" w:rsidRPr="00261B44">
              <w:rPr>
                <w:rFonts w:ascii="Times New Roman" w:hAnsi="Times New Roman" w:cs="Times New Roman"/>
                <w:noProof/>
                <w:webHidden/>
                <w:sz w:val="24"/>
                <w:szCs w:val="24"/>
              </w:rPr>
              <w:tab/>
            </w:r>
            <w:r w:rsidR="00261B44" w:rsidRPr="00261B44">
              <w:rPr>
                <w:rFonts w:ascii="Times New Roman" w:hAnsi="Times New Roman" w:cs="Times New Roman"/>
                <w:noProof/>
                <w:webHidden/>
                <w:sz w:val="24"/>
                <w:szCs w:val="24"/>
              </w:rPr>
              <w:fldChar w:fldCharType="begin"/>
            </w:r>
            <w:r w:rsidR="00261B44" w:rsidRPr="00261B44">
              <w:rPr>
                <w:rFonts w:ascii="Times New Roman" w:hAnsi="Times New Roman" w:cs="Times New Roman"/>
                <w:noProof/>
                <w:webHidden/>
                <w:sz w:val="24"/>
                <w:szCs w:val="24"/>
              </w:rPr>
              <w:instrText xml:space="preserve"> PAGEREF _Toc67921668 \h </w:instrText>
            </w:r>
            <w:r w:rsidR="00261B44" w:rsidRPr="00261B44">
              <w:rPr>
                <w:rFonts w:ascii="Times New Roman" w:hAnsi="Times New Roman" w:cs="Times New Roman"/>
                <w:noProof/>
                <w:webHidden/>
                <w:sz w:val="24"/>
                <w:szCs w:val="24"/>
              </w:rPr>
            </w:r>
            <w:r w:rsidR="00261B44" w:rsidRPr="00261B44">
              <w:rPr>
                <w:rFonts w:ascii="Times New Roman" w:hAnsi="Times New Roman" w:cs="Times New Roman"/>
                <w:noProof/>
                <w:webHidden/>
                <w:sz w:val="24"/>
                <w:szCs w:val="24"/>
              </w:rPr>
              <w:fldChar w:fldCharType="separate"/>
            </w:r>
            <w:r w:rsidR="00E9751F">
              <w:rPr>
                <w:rFonts w:ascii="Times New Roman" w:hAnsi="Times New Roman" w:cs="Times New Roman"/>
                <w:noProof/>
                <w:webHidden/>
                <w:sz w:val="24"/>
                <w:szCs w:val="24"/>
              </w:rPr>
              <w:t>18</w:t>
            </w:r>
            <w:r w:rsidR="00261B44" w:rsidRPr="00261B44">
              <w:rPr>
                <w:rFonts w:ascii="Times New Roman" w:hAnsi="Times New Roman" w:cs="Times New Roman"/>
                <w:noProof/>
                <w:webHidden/>
                <w:sz w:val="24"/>
                <w:szCs w:val="24"/>
              </w:rPr>
              <w:fldChar w:fldCharType="end"/>
            </w:r>
          </w:hyperlink>
        </w:p>
        <w:p w14:paraId="51AD9A3D" w14:textId="774F3D83" w:rsidR="00261B44" w:rsidRPr="00261B44" w:rsidRDefault="005C1647">
          <w:pPr>
            <w:pStyle w:val="TOC1"/>
            <w:rPr>
              <w:rFonts w:ascii="Times New Roman" w:eastAsiaTheme="minorEastAsia" w:hAnsi="Times New Roman" w:cs="Times New Roman"/>
              <w:noProof/>
              <w:sz w:val="24"/>
              <w:szCs w:val="24"/>
              <w:lang w:eastAsia="lv-LV"/>
            </w:rPr>
          </w:pPr>
          <w:hyperlink w:anchor="_Toc67921669" w:history="1">
            <w:r w:rsidR="00F67657">
              <w:rPr>
                <w:rStyle w:val="Hyperlink"/>
                <w:rFonts w:ascii="Times New Roman" w:hAnsi="Times New Roman" w:cs="Times New Roman"/>
                <w:noProof/>
                <w:sz w:val="24"/>
                <w:szCs w:val="24"/>
              </w:rPr>
              <w:t>7</w:t>
            </w:r>
            <w:r w:rsidR="00261B44" w:rsidRPr="00261B44">
              <w:rPr>
                <w:rStyle w:val="Hyperlink"/>
                <w:rFonts w:ascii="Times New Roman" w:hAnsi="Times New Roman" w:cs="Times New Roman"/>
                <w:noProof/>
                <w:sz w:val="24"/>
                <w:szCs w:val="24"/>
              </w:rPr>
              <w:t>. Turpmākie soļi</w:t>
            </w:r>
            <w:r w:rsidR="00261B44" w:rsidRPr="00261B44">
              <w:rPr>
                <w:rFonts w:ascii="Times New Roman" w:hAnsi="Times New Roman" w:cs="Times New Roman"/>
                <w:noProof/>
                <w:webHidden/>
                <w:sz w:val="24"/>
                <w:szCs w:val="24"/>
              </w:rPr>
              <w:tab/>
            </w:r>
            <w:r w:rsidR="0032694B">
              <w:rPr>
                <w:rFonts w:ascii="Times New Roman" w:hAnsi="Times New Roman" w:cs="Times New Roman"/>
                <w:noProof/>
                <w:webHidden/>
                <w:sz w:val="24"/>
                <w:szCs w:val="24"/>
              </w:rPr>
              <w:t>19</w:t>
            </w:r>
          </w:hyperlink>
        </w:p>
        <w:p w14:paraId="557F1A47" w14:textId="77777777" w:rsidR="00F8459C" w:rsidRDefault="00C71529">
          <w:pPr>
            <w:spacing w:after="0" w:line="240" w:lineRule="auto"/>
            <w:jc w:val="both"/>
            <w:rPr>
              <w:rFonts w:ascii="Times New Roman" w:hAnsi="Times New Roman" w:cs="Times New Roman"/>
              <w:sz w:val="24"/>
              <w:szCs w:val="24"/>
            </w:rPr>
          </w:pPr>
          <w:r w:rsidRPr="00261B44">
            <w:rPr>
              <w:rFonts w:ascii="Times New Roman" w:hAnsi="Times New Roman" w:cs="Times New Roman"/>
              <w:sz w:val="24"/>
              <w:szCs w:val="24"/>
            </w:rPr>
            <w:fldChar w:fldCharType="end"/>
          </w:r>
        </w:p>
      </w:sdtContent>
    </w:sdt>
    <w:p w14:paraId="0820025E" w14:textId="7B74A76F" w:rsidR="00F8459C" w:rsidRDefault="00C71529">
      <w:pPr>
        <w:spacing w:after="0" w:line="240" w:lineRule="auto"/>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b/>
          <w:bCs/>
          <w:color w:val="414142"/>
          <w:sz w:val="24"/>
          <w:szCs w:val="24"/>
          <w:lang w:eastAsia="lv-LV"/>
        </w:rPr>
        <w:br w:type="page"/>
      </w:r>
    </w:p>
    <w:p w14:paraId="4F078B31" w14:textId="77777777" w:rsidR="00F8459C" w:rsidRDefault="00C71529">
      <w:pPr>
        <w:pStyle w:val="Style1"/>
        <w:spacing w:before="0" w:line="240" w:lineRule="auto"/>
        <w:jc w:val="center"/>
      </w:pPr>
      <w:bookmarkStart w:id="5" w:name="_Toc67921659"/>
      <w:r>
        <w:lastRenderedPageBreak/>
        <w:t>1. Kopsavilkums</w:t>
      </w:r>
      <w:bookmarkEnd w:id="5"/>
    </w:p>
    <w:p w14:paraId="6F73B5BB" w14:textId="77777777" w:rsidR="00F8459C" w:rsidRDefault="00F8459C">
      <w:pPr>
        <w:spacing w:after="0" w:line="240" w:lineRule="auto"/>
        <w:jc w:val="both"/>
        <w:rPr>
          <w:rFonts w:ascii="Times New Roman" w:hAnsi="Times New Roman" w:cs="Times New Roman"/>
          <w:sz w:val="24"/>
          <w:szCs w:val="24"/>
        </w:rPr>
      </w:pPr>
    </w:p>
    <w:p w14:paraId="450FCC75" w14:textId="77777777" w:rsidR="00F8459C" w:rsidRDefault="00C71529">
      <w:pPr>
        <w:pStyle w:val="Style2"/>
      </w:pPr>
      <w:r>
        <w:t>Lai uzlabotu valsts naftas produktu drošības rezervju (turpmāk - drošības rezervju) pakalpojuma izveides sistēmu, Ekonomikas ministrija sagatavojusi Konceptuālo ziņojumu “</w:t>
      </w:r>
      <w:bookmarkStart w:id="6" w:name="_Hlk44340195"/>
      <w:r>
        <w:t>Par valsts naftas produktu drošības rezervju nodrošināšanu</w:t>
      </w:r>
      <w:bookmarkEnd w:id="6"/>
      <w:r>
        <w:t xml:space="preserve">” (turpmāk – Konceptuālais ziņojums). </w:t>
      </w:r>
    </w:p>
    <w:p w14:paraId="0A23725C" w14:textId="10ED833E" w:rsidR="00F8459C" w:rsidRDefault="00C71529">
      <w:pPr>
        <w:pStyle w:val="Style2"/>
      </w:pPr>
      <w:r>
        <w:t xml:space="preserve">Konceptuālais ziņojums izstrādāts saskaņā ar Ministru kabineta 2018.gada 9.februāra rīkojumu Nr.49 “Par konceptuālo ziņojumu “Par drošības rezervju pakalpojuma valsts naftas produktu drošības rezervju izveidei pilnveidošanu”” ar kuru tika atbalstīts konceptuālais ziņojums “Par drošības rezervju pakalpojuma valsts naftas produktu drošības rezervju izveidei pilnveidošanu” (turpmāk – 2018.gada ziņojums). 2018.gada ziņojums tika izstrādāts ar mērķi uzlabot drošības rezervju izveides sistēmu. Kā atbilstošākais risinājums konstatēto problēmjautājumu risināšanai iespējami īsākajā termiņā tika izvēlēts ziņojumā iekļautais 1.variants, kas paredzēja, ka </w:t>
      </w:r>
      <w:r w:rsidR="00F86A98">
        <w:t>iepirkuma</w:t>
      </w:r>
      <w:r>
        <w:t xml:space="preserve"> procedūra var tikt organizēta, piemērojot Aizsardzības un drošības jomas iepirkumu likumu. Taču </w:t>
      </w:r>
      <w:r w:rsidR="00102369">
        <w:t xml:space="preserve">2018.gada ziņojumā </w:t>
      </w:r>
      <w:r w:rsidRPr="006A652F">
        <w:rPr>
          <w:u w:val="single"/>
        </w:rPr>
        <w:t xml:space="preserve">tika atzīts, ka ilgtermiņa risinājums būtu </w:t>
      </w:r>
      <w:r w:rsidR="003347F5">
        <w:rPr>
          <w:u w:val="single"/>
        </w:rPr>
        <w:t>drošības rezervju</w:t>
      </w:r>
      <w:r w:rsidRPr="006A652F">
        <w:rPr>
          <w:u w:val="single"/>
        </w:rPr>
        <w:t xml:space="preserve"> izveide un uzglabāšana, kas nodota valsts izveidotai aģentūrai</w:t>
      </w:r>
      <w:r>
        <w:t>.</w:t>
      </w:r>
    </w:p>
    <w:p w14:paraId="0CE6DC56" w14:textId="77777777" w:rsidR="00F8459C" w:rsidRDefault="00C71529">
      <w:pPr>
        <w:pStyle w:val="Style2"/>
        <w:rPr>
          <w:b/>
          <w:bCs/>
        </w:rPr>
      </w:pPr>
      <w:r>
        <w:t xml:space="preserve">Konceptuālais ziņojums ir izstrādāts ar mērķi izvērtēt turpmākus soļus šī augstāk minētā ilgtermiņa risinājuma īstenošanā. </w:t>
      </w:r>
      <w:r>
        <w:rPr>
          <w:b/>
          <w:bCs/>
        </w:rPr>
        <w:t>Konceptuālā ziņojuma mērķis ir piedāvāt priekšlikums efektīvākam risinājumam, lai nodrošinātu valstij nepieciešamās drošības rezerves, izvērtējot valsts aģentūras izveidi.</w:t>
      </w:r>
      <w:r w:rsidR="002000DE">
        <w:rPr>
          <w:b/>
          <w:bCs/>
        </w:rPr>
        <w:t xml:space="preserve"> </w:t>
      </w:r>
    </w:p>
    <w:p w14:paraId="0F9F8977" w14:textId="4C66237F" w:rsidR="00F8459C" w:rsidRDefault="00C71529">
      <w:pPr>
        <w:pStyle w:val="Style2"/>
      </w:pPr>
      <w:r>
        <w:t>Lai sagatavotu padziļinātu izvērtējamu ar priekšlikumu efektīvākam risinājumam kā nodrošināt valstij nepieciešamās drošības rezerves, tika secināts, ka būtu nepieciešams veikt analīzi par citu Eiropas Savienības (turpmāk - ES) dalībvalstu pieredzi, izpētīt naftas un naftas produktu uzglabāšanas cenas veidošanās mehānismu un uzglabāšanas iespējas. Papildus, valsts īpašumā iegād</w:t>
      </w:r>
      <w:r w:rsidR="003347F5">
        <w:t>ājoties</w:t>
      </w:r>
      <w:r>
        <w:t xml:space="preserve"> un uzglabā</w:t>
      </w:r>
      <w:r w:rsidR="003347F5">
        <w:t>jot</w:t>
      </w:r>
      <w:r>
        <w:t xml:space="preserve"> drošības rezerves, ir paredzama ietekme uz valsts budžetu. </w:t>
      </w:r>
    </w:p>
    <w:p w14:paraId="766952E0" w14:textId="472BE2AC" w:rsidR="00F8459C" w:rsidRDefault="00C71529">
      <w:pPr>
        <w:pStyle w:val="Style2"/>
      </w:pPr>
      <w:r>
        <w:t xml:space="preserve">Līdz ar to Ekonomikas ministrija 2019.gada 7.novembrī parakstīja ar konsultantu kompāniju </w:t>
      </w:r>
      <w:proofErr w:type="spellStart"/>
      <w:r>
        <w:rPr>
          <w:i/>
          <w:iCs/>
        </w:rPr>
        <w:t>Deloitte</w:t>
      </w:r>
      <w:proofErr w:type="spellEnd"/>
      <w:r>
        <w:rPr>
          <w:i/>
          <w:iCs/>
        </w:rPr>
        <w:t xml:space="preserve"> </w:t>
      </w:r>
      <w:proofErr w:type="spellStart"/>
      <w:r>
        <w:rPr>
          <w:i/>
          <w:iCs/>
        </w:rPr>
        <w:t>Advisory</w:t>
      </w:r>
      <w:proofErr w:type="spellEnd"/>
      <w:r>
        <w:rPr>
          <w:i/>
          <w:iCs/>
        </w:rPr>
        <w:t xml:space="preserve"> </w:t>
      </w:r>
      <w:proofErr w:type="spellStart"/>
      <w:r>
        <w:rPr>
          <w:i/>
          <w:iCs/>
        </w:rPr>
        <w:t>s.r.o</w:t>
      </w:r>
      <w:proofErr w:type="spellEnd"/>
      <w:r>
        <w:t xml:space="preserve"> (turpmāk – Konsultants) iepirkuma līgumu pētījumam par n naftas produktu drošības rezervju cenas veidošanos un priekšlikumu izstrādi labākajam risinājumam drošības rezervju izveidei</w:t>
      </w:r>
      <w:r>
        <w:rPr>
          <w:rStyle w:val="FootnoteReference"/>
        </w:rPr>
        <w:footnoteReference w:id="2"/>
      </w:r>
      <w:r>
        <w:t xml:space="preserve">. Konceptuālajā ziņojumā tiek sniegts pārskats par esošo drošības rezervju uzturēšanas modeli un tā izmaksām, pievēršot uzmanību problēmjautājumiem, kurus būtu nepieciešams atrisināt. </w:t>
      </w:r>
    </w:p>
    <w:p w14:paraId="419D4181" w14:textId="77777777" w:rsidR="00F8459C" w:rsidRDefault="00C71529">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Konceptuālajā ziņojumā ir aplūkoti trīs iespējamie risinājumi:</w:t>
      </w:r>
    </w:p>
    <w:p w14:paraId="48E6BB84" w14:textId="77777777" w:rsidR="00F8459C" w:rsidRDefault="00C71529" w:rsidP="009710D7">
      <w:pPr>
        <w:pStyle w:val="ListParagraph"/>
        <w:numPr>
          <w:ilvl w:val="0"/>
          <w:numId w:val="4"/>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risinājums - Saglabāt esošo drošības rezervju nodrošināšanas sistēmu. </w:t>
      </w:r>
      <w:r>
        <w:rPr>
          <w:rFonts w:ascii="Times New Roman" w:hAnsi="Times New Roman" w:cs="Times New Roman"/>
          <w:sz w:val="24"/>
          <w:szCs w:val="24"/>
        </w:rPr>
        <w:t>Šim risinājumam tiek piedāvāti divi iespējamie īstenošanas scenāriji:</w:t>
      </w:r>
    </w:p>
    <w:p w14:paraId="56B4A5FF" w14:textId="77777777" w:rsidR="00F8459C" w:rsidRDefault="00C71529" w:rsidP="009710D7">
      <w:pPr>
        <w:pStyle w:val="ListParagraph"/>
        <w:numPr>
          <w:ilvl w:val="0"/>
          <w:numId w:val="5"/>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Saglabāt esošo drošības rezervju nodrošināšanas sistēmu bez izmaiņām.</w:t>
      </w:r>
    </w:p>
    <w:p w14:paraId="6B5108D1" w14:textId="77777777" w:rsidR="00F8459C" w:rsidRDefault="00C71529" w:rsidP="009710D7">
      <w:pPr>
        <w:pStyle w:val="ListParagraph"/>
        <w:numPr>
          <w:ilvl w:val="0"/>
          <w:numId w:val="5"/>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Saglabāt esošo drošības rezervju nodrošināšanas sistēmu pakāpeniski 3 gadu laikā palielinot drošības rezervju apjomu, kas glabājās Latvijas teritorijā.  </w:t>
      </w:r>
    </w:p>
    <w:p w14:paraId="1ECC2A52" w14:textId="77777777" w:rsidR="00F8459C" w:rsidRDefault="00C71529" w:rsidP="009710D7">
      <w:pPr>
        <w:pStyle w:val="ListParagraph"/>
        <w:numPr>
          <w:ilvl w:val="0"/>
          <w:numId w:val="4"/>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 xml:space="preserve">risinājums - Iegadāties drošības rezerves valsts īpašumā un veikt pāreju uz aģentūras modeli. </w:t>
      </w:r>
      <w:r>
        <w:rPr>
          <w:rFonts w:ascii="Times New Roman" w:hAnsi="Times New Roman" w:cs="Times New Roman"/>
          <w:sz w:val="24"/>
          <w:szCs w:val="24"/>
        </w:rPr>
        <w:t>Šim risinājumam tiek piedāvāti divi iespējamie īstenošanas scenāriji:</w:t>
      </w:r>
    </w:p>
    <w:p w14:paraId="198050F3" w14:textId="77777777" w:rsidR="00F8459C" w:rsidRDefault="00C71529" w:rsidP="009710D7">
      <w:pPr>
        <w:pStyle w:val="ListParagraph"/>
        <w:numPr>
          <w:ilvl w:val="0"/>
          <w:numId w:val="5"/>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Visa drošības rezervju nodrošināšanai naftas produktu apjoma iegāde uzreiz.</w:t>
      </w:r>
    </w:p>
    <w:p w14:paraId="6AAE46DA" w14:textId="79B16C44" w:rsidR="00F8459C" w:rsidRDefault="00C71529" w:rsidP="009710D7">
      <w:pPr>
        <w:pStyle w:val="ListParagraph"/>
        <w:numPr>
          <w:ilvl w:val="0"/>
          <w:numId w:val="5"/>
        </w:num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Pakāpeniskā pāreja uz aģentūras modeli un krājumu iegāde </w:t>
      </w:r>
      <w:r w:rsidR="00DB48BA">
        <w:rPr>
          <w:rFonts w:ascii="Times New Roman" w:hAnsi="Times New Roman" w:cs="Times New Roman"/>
          <w:sz w:val="24"/>
          <w:szCs w:val="24"/>
        </w:rPr>
        <w:t>5</w:t>
      </w:r>
      <w:r>
        <w:rPr>
          <w:rFonts w:ascii="Times New Roman" w:hAnsi="Times New Roman" w:cs="Times New Roman"/>
          <w:sz w:val="24"/>
          <w:szCs w:val="24"/>
        </w:rPr>
        <w:t xml:space="preserve"> gadu laikā.</w:t>
      </w:r>
    </w:p>
    <w:p w14:paraId="3AE10B76" w14:textId="77777777" w:rsidR="00F8459C" w:rsidRDefault="00C71529" w:rsidP="009710D7">
      <w:pPr>
        <w:pStyle w:val="ListParagraph"/>
        <w:numPr>
          <w:ilvl w:val="0"/>
          <w:numId w:val="4"/>
        </w:numPr>
        <w:tabs>
          <w:tab w:val="left" w:pos="284"/>
        </w:tabs>
        <w:spacing w:after="0" w:line="240" w:lineRule="auto"/>
        <w:ind w:left="0" w:firstLine="0"/>
        <w:jc w:val="both"/>
        <w:rPr>
          <w:rFonts w:ascii="Times New Roman" w:hAnsi="Times New Roman" w:cs="Times New Roman"/>
          <w:b/>
          <w:bCs/>
          <w:sz w:val="24"/>
          <w:szCs w:val="24"/>
        </w:rPr>
      </w:pPr>
      <w:r>
        <w:rPr>
          <w:rFonts w:ascii="Times New Roman" w:hAnsi="Times New Roman" w:cs="Times New Roman"/>
          <w:b/>
          <w:bCs/>
          <w:sz w:val="24"/>
          <w:szCs w:val="24"/>
        </w:rPr>
        <w:t>risinājums - Piemērot industrijas modeli, uzliekot komersantiem  pienākumu nodrošināt drošības rezerves.</w:t>
      </w:r>
    </w:p>
    <w:p w14:paraId="668187C7" w14:textId="6B8FF848" w:rsidR="00F8459C" w:rsidRDefault="00C7152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Ekonomikas ministrijas ieskatā būtu nepieciešams īstenot 2.risinājumu – pakāpeniski pāriet uz aģentūras modeli,  iegādājoties naftas produktus valsts īpašumā un uzglabāt tos kā </w:t>
      </w:r>
      <w:r w:rsidR="003347F5">
        <w:rPr>
          <w:rFonts w:ascii="Times New Roman" w:hAnsi="Times New Roman" w:cs="Times New Roman"/>
          <w:b/>
          <w:bCs/>
          <w:sz w:val="24"/>
          <w:szCs w:val="24"/>
        </w:rPr>
        <w:t>drošības</w:t>
      </w:r>
      <w:r>
        <w:rPr>
          <w:rFonts w:ascii="Times New Roman" w:hAnsi="Times New Roman" w:cs="Times New Roman"/>
          <w:b/>
          <w:bCs/>
          <w:sz w:val="24"/>
          <w:szCs w:val="24"/>
        </w:rPr>
        <w:t xml:space="preserve"> rezerves. </w:t>
      </w:r>
      <w:r>
        <w:rPr>
          <w:rFonts w:ascii="Times New Roman" w:hAnsi="Times New Roman" w:cs="Times New Roman"/>
          <w:sz w:val="24"/>
          <w:szCs w:val="24"/>
        </w:rPr>
        <w:t xml:space="preserve">Pēc Konsultantu aplēsēm papildus nepieciešamais finansējums drošības rezervju iegādei sastāda </w:t>
      </w:r>
      <w:r>
        <w:rPr>
          <w:rFonts w:ascii="Times New Roman" w:hAnsi="Times New Roman" w:cs="Times New Roman"/>
          <w:b/>
          <w:bCs/>
          <w:sz w:val="24"/>
          <w:szCs w:val="24"/>
          <w:u w:val="single"/>
        </w:rPr>
        <w:t>172 miljoni EUR</w:t>
      </w:r>
      <w:r>
        <w:rPr>
          <w:rFonts w:ascii="Times New Roman" w:hAnsi="Times New Roman" w:cs="Times New Roman"/>
          <w:sz w:val="24"/>
          <w:szCs w:val="24"/>
        </w:rPr>
        <w:t xml:space="preserve">. Vienlaikus, jaunā izmaksu efektīvā sistēma uzsākot pilnvērtīgu darbību varētu radīt  gadā </w:t>
      </w:r>
      <w:r w:rsidR="000D0C24">
        <w:rPr>
          <w:rFonts w:ascii="Times New Roman" w:hAnsi="Times New Roman" w:cs="Times New Roman"/>
          <w:sz w:val="24"/>
          <w:szCs w:val="24"/>
        </w:rPr>
        <w:t>izmaksu samazinājumu</w:t>
      </w:r>
      <w:r>
        <w:rPr>
          <w:rFonts w:ascii="Times New Roman" w:hAnsi="Times New Roman" w:cs="Times New Roman"/>
          <w:sz w:val="24"/>
          <w:szCs w:val="24"/>
        </w:rPr>
        <w:t>, kas sastāda</w:t>
      </w:r>
      <w:r w:rsidR="000D0C24">
        <w:rPr>
          <w:rFonts w:ascii="Times New Roman" w:hAnsi="Times New Roman" w:cs="Times New Roman"/>
          <w:sz w:val="24"/>
          <w:szCs w:val="24"/>
        </w:rPr>
        <w:t xml:space="preserve"> aptuveni</w:t>
      </w:r>
      <w:r>
        <w:rPr>
          <w:rFonts w:ascii="Times New Roman" w:hAnsi="Times New Roman" w:cs="Times New Roman"/>
          <w:sz w:val="24"/>
          <w:szCs w:val="24"/>
        </w:rPr>
        <w:t xml:space="preserve"> </w:t>
      </w:r>
      <w:r w:rsidR="00813698">
        <w:rPr>
          <w:rFonts w:ascii="Times New Roman" w:hAnsi="Times New Roman" w:cs="Times New Roman"/>
          <w:b/>
          <w:bCs/>
          <w:sz w:val="24"/>
          <w:szCs w:val="24"/>
          <w:u w:val="single"/>
        </w:rPr>
        <w:t>gandrīz 15</w:t>
      </w:r>
      <w:r>
        <w:rPr>
          <w:rFonts w:ascii="Times New Roman" w:hAnsi="Times New Roman" w:cs="Times New Roman"/>
          <w:b/>
          <w:bCs/>
          <w:sz w:val="24"/>
          <w:szCs w:val="24"/>
          <w:u w:val="single"/>
        </w:rPr>
        <w:t xml:space="preserve"> miljoni EUR</w:t>
      </w:r>
      <w:r>
        <w:rPr>
          <w:rFonts w:ascii="Times New Roman" w:hAnsi="Times New Roman" w:cs="Times New Roman"/>
          <w:sz w:val="24"/>
          <w:szCs w:val="24"/>
        </w:rPr>
        <w:t xml:space="preserve">. </w:t>
      </w:r>
    </w:p>
    <w:p w14:paraId="60B0801B" w14:textId="77777777" w:rsidR="00261B44" w:rsidRDefault="00261B44">
      <w:pPr>
        <w:spacing w:after="0" w:line="240" w:lineRule="auto"/>
        <w:ind w:firstLine="709"/>
        <w:jc w:val="both"/>
        <w:rPr>
          <w:rFonts w:ascii="Times New Roman" w:hAnsi="Times New Roman" w:cs="Times New Roman"/>
          <w:sz w:val="24"/>
          <w:szCs w:val="24"/>
        </w:rPr>
      </w:pPr>
    </w:p>
    <w:p w14:paraId="1242DC4D" w14:textId="77777777" w:rsidR="00F8459C" w:rsidRDefault="00C71529">
      <w:pPr>
        <w:pStyle w:val="Style1"/>
        <w:spacing w:before="0" w:line="240" w:lineRule="auto"/>
        <w:jc w:val="center"/>
      </w:pPr>
      <w:bookmarkStart w:id="7" w:name="_Toc67921660"/>
      <w:r>
        <w:t>2. Latvijas drošības rezervju pārvaldības sistēmas apraksts un identificētās problēmas</w:t>
      </w:r>
      <w:bookmarkEnd w:id="7"/>
      <w:r>
        <w:t xml:space="preserve"> </w:t>
      </w:r>
    </w:p>
    <w:p w14:paraId="2A0A24E1" w14:textId="77777777" w:rsidR="00F8459C" w:rsidRDefault="00F8459C">
      <w:pPr>
        <w:pStyle w:val="Style1"/>
        <w:spacing w:before="0" w:line="240" w:lineRule="auto"/>
        <w:jc w:val="center"/>
      </w:pPr>
    </w:p>
    <w:p w14:paraId="62359A56" w14:textId="353F8F2E" w:rsidR="00F8459C" w:rsidRDefault="00C71529">
      <w:pPr>
        <w:pStyle w:val="Style3"/>
        <w:spacing w:before="0" w:line="240" w:lineRule="auto"/>
      </w:pPr>
      <w:bookmarkStart w:id="8" w:name="_Toc67921661"/>
      <w:r>
        <w:t xml:space="preserve">2.1. </w:t>
      </w:r>
      <w:r w:rsidR="003347F5">
        <w:t>Drošības</w:t>
      </w:r>
      <w:r>
        <w:t xml:space="preserve"> rezervju izveides tiesiskais regulējums</w:t>
      </w:r>
      <w:bookmarkEnd w:id="8"/>
    </w:p>
    <w:p w14:paraId="3D6EC3D6" w14:textId="77777777" w:rsidR="00F8459C" w:rsidRDefault="00F8459C">
      <w:pPr>
        <w:pStyle w:val="Style2"/>
      </w:pPr>
    </w:p>
    <w:p w14:paraId="5D5BC67A" w14:textId="77777777" w:rsidR="00F8459C" w:rsidRDefault="00C71529">
      <w:pPr>
        <w:pStyle w:val="Style2"/>
      </w:pPr>
      <w:r>
        <w:t xml:space="preserve">Drošības rezerves izveides mērķis ir nodrošināt dažādas enerģijas lietotāju grupas ar naftas produktu apgādi izsludinātas valsts vai vietējā mēroga enerģētiskās krīzes laikā, valsts apdraudējuma gadījumā, kā arī lai koordinētu darbību veikšanu Eiropas Savienības (turpmāk -  ES) ietvaros un pasaulē. </w:t>
      </w:r>
    </w:p>
    <w:p w14:paraId="24DA1914" w14:textId="286E74E0" w:rsidR="00F8459C" w:rsidRDefault="00C71529">
      <w:pPr>
        <w:pStyle w:val="Style2"/>
      </w:pPr>
      <w:r>
        <w:t>Enerģētikas krīzes vadības mehānismu, tajā skaitā arī drošības rezervju izveides pienākumu, regulē Starptautiskās enerģētikas aģentūras 1974.gada Starptautiskās enerģijas programmas līgums. Savukārt</w:t>
      </w:r>
      <w:r w:rsidR="000F76FB">
        <w:t xml:space="preserve"> </w:t>
      </w:r>
      <w:r>
        <w:rPr>
          <w:i/>
          <w:iCs/>
        </w:rPr>
        <w:t>Direktīvas </w:t>
      </w:r>
      <w:hyperlink r:id="rId11" w:tgtFrame="_blank" w:history="1">
        <w:r>
          <w:rPr>
            <w:i/>
            <w:iCs/>
          </w:rPr>
          <w:t>2009/119/EK</w:t>
        </w:r>
      </w:hyperlink>
      <w:r w:rsidR="00FC7AE6">
        <w:rPr>
          <w:rStyle w:val="FootnoteReference"/>
          <w:i/>
          <w:iCs/>
        </w:rPr>
        <w:footnoteReference w:id="3"/>
      </w:r>
      <w:r>
        <w:rPr>
          <w:i/>
          <w:iCs/>
        </w:rPr>
        <w:t xml:space="preserve">  </w:t>
      </w:r>
      <w:r>
        <w:t xml:space="preserve">prasības uzliek par pienākumu katrai ES dalībvalstij nodrošināt </w:t>
      </w:r>
      <w:r w:rsidR="003347F5">
        <w:t>drošības rezervju</w:t>
      </w:r>
      <w:r>
        <w:t xml:space="preserve"> apjomus, kas atbilst vismaz dienas vidējā tīrā importa daudzumiem 90 dienu laikā vai arī dienas vidējam iekšzemes patēriņam 61 dienai atkarībā no tā, kurš no abiem daudzumiem ir lielāks, kā arī nosaka rīcību obligāto rezervju izmantošanai nopietnu apgādes traucējumu gadījumā. Tā kā Latvija ir naftas produktu importētāja valsts, tad drošības rezervju apjomam tiek piemērotas 90 dienas. </w:t>
      </w:r>
    </w:p>
    <w:p w14:paraId="5E00D72D" w14:textId="77777777" w:rsidR="00F8459C" w:rsidRDefault="00C71529">
      <w:pPr>
        <w:pStyle w:val="Style2"/>
      </w:pPr>
      <w:r>
        <w:t xml:space="preserve">Direktīva 2009/119/EK nosaka, ka drošības rezervju pieejamība un enerģijas piegāžu saglabāšana ir ES un dalībvalstu valsts drošības būtiskas sastāvdaļas, atzīstot, ka </w:t>
      </w:r>
      <w:bookmarkStart w:id="9" w:name="_Hlk44316052"/>
      <w:r>
        <w:t xml:space="preserve">Centrālo krājumu uzturēšanas struktūru </w:t>
      </w:r>
      <w:bookmarkEnd w:id="9"/>
      <w:r>
        <w:t>(turpmāk - CKUS) pastāvēšana ES ļauj tuvoties šo mērķu sasniegšanai. Direktīvas 2009/119/EK izpratnē CKUS ir organizācija vai dienests, kuram uzticētas pilnvaras rīkoties, lai iegādātos, uzturētu vai pārdotu naftas krājumus, tostarp drošības rezerves un īpašos krājumus.</w:t>
      </w:r>
    </w:p>
    <w:p w14:paraId="614BBB0D" w14:textId="77777777" w:rsidR="00F8459C" w:rsidRDefault="00C71529">
      <w:pPr>
        <w:pStyle w:val="Style2"/>
      </w:pPr>
      <w:r>
        <w:t>Latvijā drošības rezerves tiek veidotas atbilstoši Direktīva </w:t>
      </w:r>
      <w:hyperlink r:id="rId12" w:tgtFrame="_blank" w:history="1">
        <w:r>
          <w:t>2009/119/EK</w:t>
        </w:r>
      </w:hyperlink>
      <w:r>
        <w:t xml:space="preserve"> prasībām, kas Latvijas normatīvajos aktos ir pārņemta ar </w:t>
      </w:r>
      <w:hyperlink r:id="rId13" w:tgtFrame="_blank" w:history="1">
        <w:r>
          <w:t>Enerģētikas likumu</w:t>
        </w:r>
      </w:hyperlink>
      <w:r>
        <w:t xml:space="preserve">. </w:t>
      </w:r>
    </w:p>
    <w:p w14:paraId="3153DC88" w14:textId="3086773D" w:rsidR="00F8459C" w:rsidRDefault="00C71529">
      <w:pPr>
        <w:pStyle w:val="Style2"/>
      </w:pPr>
      <w:r>
        <w:t>Atbilstoši Enerģētikas likuma 72.</w:t>
      </w:r>
      <w:r>
        <w:rPr>
          <w:vertAlign w:val="superscript"/>
        </w:rPr>
        <w:t>1</w:t>
      </w:r>
      <w:r>
        <w:t xml:space="preserve"> pantam kopš 2020.gada 1. janvāra CKUS funkcijas pilda Būvniecības valsts kontroles birojs (turpmāk – Birojs). CKUS funkcijas ietver iegādāties un administrēt drošības</w:t>
      </w:r>
      <w:r w:rsidR="00C424DD">
        <w:t xml:space="preserve"> </w:t>
      </w:r>
      <w:r>
        <w:t>rezervju izveides pakalpojumu noteiktā apjomā, lai enerģētiskās krīzes periodos tiktu nodrošināta apgāde ar naftas produktiem.</w:t>
      </w:r>
    </w:p>
    <w:p w14:paraId="79401C14" w14:textId="77777777" w:rsidR="00F8459C" w:rsidRDefault="00C71529">
      <w:pPr>
        <w:pStyle w:val="Style2"/>
      </w:pPr>
      <w:r>
        <w:t xml:space="preserve">Enerģētikas likums nosaka deleģējumu Ministru kabinetam izdot tiesību aktus drošības rezervju izveidei, rīkojot iepirkuma procedūras. </w:t>
      </w:r>
    </w:p>
    <w:p w14:paraId="2B8220D4" w14:textId="73476AD5" w:rsidR="00F8459C" w:rsidRDefault="00C71529">
      <w:pPr>
        <w:pStyle w:val="Style2"/>
      </w:pPr>
      <w:bookmarkStart w:id="10" w:name="_Hlk69221740"/>
      <w:r>
        <w:t>Ministru kabineta noteikumi Nr. 286</w:t>
      </w:r>
      <w:r w:rsidR="00825E85">
        <w:rPr>
          <w:rStyle w:val="FootnoteReference"/>
        </w:rPr>
        <w:footnoteReference w:id="4"/>
      </w:r>
      <w:r>
        <w:t xml:space="preserve">  </w:t>
      </w:r>
      <w:bookmarkEnd w:id="10"/>
      <w:r w:rsidR="001D1364">
        <w:t xml:space="preserve">(turpmāk - Noteikumi Nr.286) </w:t>
      </w:r>
      <w:r>
        <w:t>nosaka kārtību, kādā komersanti nodrošina un sniedz drošības rezervju pakalpojumu (naftas produktu uzglabāšanas pakalpojums).</w:t>
      </w:r>
    </w:p>
    <w:p w14:paraId="3A323EB5" w14:textId="06735F28" w:rsidR="00F8459C" w:rsidRDefault="00C71529">
      <w:pPr>
        <w:pStyle w:val="Style2"/>
      </w:pPr>
      <w:bookmarkStart w:id="11" w:name="_Hlk69221840"/>
      <w:r>
        <w:t>Ministru kabineta noteikumi Nr.450</w:t>
      </w:r>
      <w:r w:rsidR="00825E85">
        <w:rPr>
          <w:rStyle w:val="FootnoteReference"/>
        </w:rPr>
        <w:footnoteReference w:id="5"/>
      </w:r>
      <w:r>
        <w:t xml:space="preserve"> </w:t>
      </w:r>
      <w:bookmarkEnd w:id="11"/>
      <w:r w:rsidR="001D1364">
        <w:t>(turpmāk - Noteikumi Nr.450</w:t>
      </w:r>
      <w:r w:rsidR="001D1364" w:rsidRPr="006A652F">
        <w:t>)</w:t>
      </w:r>
      <w:r w:rsidR="001D1364">
        <w:t xml:space="preserve"> </w:t>
      </w:r>
      <w:r>
        <w:t>nosaka valsts nodevas likmi par drošības rezervju uzturēšanu (turpmāk – valsts nodeva), valsts nodevas maksāšanas kārtību un kārtību, kādā valsts nodeva tiek administrēta</w:t>
      </w:r>
      <w:r w:rsidRPr="006A652F">
        <w:t xml:space="preserve">. Valsts nodevu maksā komersanti, kas saņēmuši speciālu atļauju (licenci) </w:t>
      </w:r>
      <w:r>
        <w:t>apstiprinātā akcīzes preču noliktavas turētāja darbībai, komersanti, kas saņēmuši speciālu atļauju (licenci) reģistrēta saņēmēja darbībai, komersanti, kas saņēmuši speciālu atļauju (licenci) naftas produktu vairumtirdzniecībai, komersanti, kas saņēmuši speciālu atļauju (licenci) naftas produktu mazumtirdzniecībai. Citi komersanti maksā valsts nodevu par naftas produktu apjomu, kuru tie Latvijas Republikā savam patēriņam ieved no ES dalībvalsts vai trešās valsts. Saskaņā ar Ekonomikas ministrijas rīcībā esošo informāciju tie ir aptuveni 60</w:t>
      </w:r>
      <w:r>
        <w:rPr>
          <w:color w:val="414142"/>
        </w:rPr>
        <w:t xml:space="preserve"> </w:t>
      </w:r>
      <w:r>
        <w:t>komersanti, kuriem ir izsniegtas</w:t>
      </w:r>
      <w:r>
        <w:rPr>
          <w:sz w:val="26"/>
          <w:szCs w:val="26"/>
        </w:rPr>
        <w:t xml:space="preserve"> </w:t>
      </w:r>
      <w:r>
        <w:t xml:space="preserve">dažāda veida speciālās atļaujas (licences) darbībām ar akcīzes precēm (naftas produktiem).  </w:t>
      </w:r>
    </w:p>
    <w:p w14:paraId="349C697D" w14:textId="659121F5" w:rsidR="00F8459C" w:rsidRDefault="00C71529">
      <w:pPr>
        <w:pStyle w:val="Style2"/>
      </w:pPr>
      <w:r>
        <w:lastRenderedPageBreak/>
        <w:t>Ministru kabineta noteikumi Nr.312</w:t>
      </w:r>
      <w:r w:rsidR="00605CB7">
        <w:rPr>
          <w:rStyle w:val="FootnoteReference"/>
        </w:rPr>
        <w:footnoteReference w:id="6"/>
      </w:r>
      <w:r>
        <w:t xml:space="preserve"> nosaka kārtību, kādā tiek izmantotas drošības rezerves izsludinātas enerģētiskās krīzes laikā un valsts apdraudējuma gadījumā.</w:t>
      </w:r>
    </w:p>
    <w:p w14:paraId="6F87C20A" w14:textId="5D9609D8" w:rsidR="00F8459C" w:rsidRDefault="00C71529">
      <w:pPr>
        <w:pStyle w:val="Style2"/>
      </w:pPr>
      <w:bookmarkStart w:id="13" w:name="_Hlk69222328"/>
      <w:r>
        <w:t>Ministru kabineta noteikumi Nr.40</w:t>
      </w:r>
      <w:r w:rsidR="00605CB7">
        <w:rPr>
          <w:rStyle w:val="FootnoteReference"/>
        </w:rPr>
        <w:footnoteReference w:id="7"/>
      </w:r>
      <w:r>
        <w:t xml:space="preserve"> </w:t>
      </w:r>
      <w:bookmarkEnd w:id="13"/>
      <w:r>
        <w:t>nosaka Valsts enerģētiskās krīzes centra (turpmāk - Centrs) darbības kārtību un kompetenci. Centrs ir koordinējoša un konsultatīva valsts institūcija, un tās uzdevums ir izsludinātas valsts enerģētiskās krīzes laikā vadīt krīzes novēršanas un krīzes izraisīto seku likvidēšanas pasākumus.</w:t>
      </w:r>
    </w:p>
    <w:p w14:paraId="5224A4DB" w14:textId="1956ACA5" w:rsidR="000F76FB" w:rsidRDefault="000F76FB">
      <w:pPr>
        <w:pStyle w:val="Style2"/>
        <w:rPr>
          <w:color w:val="FF0000"/>
        </w:rPr>
      </w:pPr>
      <w:r w:rsidRPr="002971AE">
        <w:t>Par Enerģētikas likumā</w:t>
      </w:r>
      <w:r w:rsidRPr="002971AE">
        <w:rPr>
          <w:rStyle w:val="FootnoteReference"/>
        </w:rPr>
        <w:footnoteReference w:id="8"/>
      </w:r>
      <w:r w:rsidRPr="002971AE">
        <w:t xml:space="preserve"> </w:t>
      </w:r>
      <w:r w:rsidRPr="000478F5">
        <w:t>minēto drošības rezervju uzturēšanu maksājama valsts nodeva, kas noteikta MK noteikumos Nr.450</w:t>
      </w:r>
      <w:r>
        <w:rPr>
          <w:rStyle w:val="FootnoteReference"/>
        </w:rPr>
        <w:footnoteReference w:id="9"/>
      </w:r>
      <w:r w:rsidRPr="000478F5">
        <w:t>.</w:t>
      </w:r>
      <w:r w:rsidRPr="000F76FB">
        <w:t xml:space="preserve"> </w:t>
      </w:r>
      <w:r w:rsidRPr="000478F5">
        <w:t>Drošības rezervju uzturēšanas valsts nodevu ieskaita valsts pamatbudžetā.</w:t>
      </w:r>
    </w:p>
    <w:p w14:paraId="1E420DE8" w14:textId="77777777" w:rsidR="00F8459C" w:rsidRDefault="00F8459C">
      <w:pPr>
        <w:pStyle w:val="Style2"/>
      </w:pPr>
    </w:p>
    <w:p w14:paraId="671C33AD" w14:textId="77777777" w:rsidR="00F8459C" w:rsidRDefault="00C71529">
      <w:pPr>
        <w:pStyle w:val="Style3"/>
        <w:spacing w:before="0" w:line="240" w:lineRule="auto"/>
      </w:pPr>
      <w:bookmarkStart w:id="14" w:name="_Toc67921662"/>
      <w:r>
        <w:t>2.2. Drošības rezervju uzturēšana</w:t>
      </w:r>
      <w:bookmarkEnd w:id="14"/>
      <w:r>
        <w:t xml:space="preserve"> </w:t>
      </w:r>
    </w:p>
    <w:p w14:paraId="3FF76F1B" w14:textId="77777777" w:rsidR="00F8459C" w:rsidRDefault="00F8459C">
      <w:pPr>
        <w:pStyle w:val="Style2"/>
      </w:pPr>
    </w:p>
    <w:p w14:paraId="2857F74D" w14:textId="2F7BD156" w:rsidR="00F8459C" w:rsidRDefault="00C71529">
      <w:pPr>
        <w:pStyle w:val="Style2"/>
      </w:pPr>
      <w:r>
        <w:t xml:space="preserve">Saskaņā ar augstāk minēto regulējumu Latvijas drošību rezervju modelis paredz, ka 90 dienu drošības rezervju izveide tiek nodrošināta izsludinot </w:t>
      </w:r>
      <w:r w:rsidR="00F86A98">
        <w:t>iepirkumu</w:t>
      </w:r>
      <w:r w:rsidR="00C424DD">
        <w:t>s</w:t>
      </w:r>
      <w:r>
        <w:t xml:space="preserve"> un valsts pērk tikai uzglabāšanas pakalpojumu bez naftas produktu pirkšanas. </w:t>
      </w:r>
      <w:r>
        <w:rPr>
          <w:u w:val="single"/>
        </w:rPr>
        <w:t>Tas nozīmē, ka pašlaik Latvijā drošības rezerves tiek uzturētas, pamatojoties uz noslēgtajiem līgumiem ar komersantiem par naftas produktu atliktajām piegādēm.</w:t>
      </w:r>
      <w:r>
        <w:t xml:space="preserve"> Komersanti uzglabā sev piederošus naftas produktus kā drošības rezerves nolīgtajā apjomā un noteiktajā termiņā. </w:t>
      </w:r>
      <w:r w:rsidR="00C424DD" w:rsidRPr="00164E6A">
        <w:t xml:space="preserve">Valsts nodevas likme veidojas no iepirkuma par drošības rezervju uzglabāšanas pakalpojumu sniegšanas kopsummas. Noslēdzoties iepirkumam, tiek mainīta valsts nodevas likme. </w:t>
      </w:r>
      <w:r>
        <w:t xml:space="preserve">Tabulā 1 tiek </w:t>
      </w:r>
      <w:r>
        <w:rPr>
          <w:u w:val="single"/>
        </w:rPr>
        <w:t>atspoguļots drošības rezervju apjoms</w:t>
      </w:r>
      <w:r w:rsidR="00C424DD">
        <w:rPr>
          <w:u w:val="single"/>
        </w:rPr>
        <w:t>,</w:t>
      </w:r>
      <w:r>
        <w:rPr>
          <w:u w:val="single"/>
        </w:rPr>
        <w:t xml:space="preserve"> administrēto drošības rezervju līgumu summas</w:t>
      </w:r>
      <w:r w:rsidR="00C424DD">
        <w:rPr>
          <w:u w:val="single"/>
        </w:rPr>
        <w:t xml:space="preserve"> </w:t>
      </w:r>
      <w:r w:rsidR="00C424DD" w:rsidRPr="00164E6A">
        <w:t>un valsts nodevas likmes pa gadiem un iekasētās valsts nodevas apjoms</w:t>
      </w:r>
      <w:r>
        <w:t>.</w:t>
      </w:r>
    </w:p>
    <w:p w14:paraId="51B6FA79" w14:textId="3E1A3FED" w:rsidR="00F8459C" w:rsidRDefault="00C71529">
      <w:pPr>
        <w:pStyle w:val="Style2"/>
      </w:pPr>
      <w:r>
        <w:t>Esošajā drošības rezervju izveides modelī, kad valsts centralizēti pērk naftas produktu uzglabāšanu bez naftas produktu pirkšanas valsts īpašumā, komersanti - potenciālie uzglabātāji  uzglabāšanas cenā ieceno šādas būtiskākās pozīcijas:</w:t>
      </w:r>
    </w:p>
    <w:p w14:paraId="73B3C1F4" w14:textId="1363ECBC" w:rsidR="00F8459C" w:rsidRDefault="00C71529" w:rsidP="00715D85">
      <w:pPr>
        <w:pStyle w:val="Style2"/>
        <w:numPr>
          <w:ilvl w:val="1"/>
          <w:numId w:val="5"/>
        </w:numPr>
        <w:ind w:left="426"/>
      </w:pPr>
      <w:r>
        <w:t xml:space="preserve">Naftas </w:t>
      </w:r>
      <w:r w:rsidR="00E260A6">
        <w:t xml:space="preserve">produktu </w:t>
      </w:r>
      <w:r>
        <w:t>cenas svārstības risk</w:t>
      </w:r>
      <w:r w:rsidR="00220916">
        <w:t>a</w:t>
      </w:r>
      <w:r>
        <w:t xml:space="preserve"> </w:t>
      </w:r>
      <w:r w:rsidR="00220916">
        <w:t>apdrošināšana (</w:t>
      </w:r>
      <w:proofErr w:type="spellStart"/>
      <w:r w:rsidR="00220916">
        <w:t>hedžēšana</w:t>
      </w:r>
      <w:proofErr w:type="spellEnd"/>
      <w:r w:rsidR="00220916">
        <w:t xml:space="preserve">) visā </w:t>
      </w:r>
      <w:r>
        <w:t>uzglabāšanas periodā (</w:t>
      </w:r>
      <w:r w:rsidR="00220916">
        <w:t>uzglabāšanas pakalpojuma sniegšanas periods un laiks pirms un pēc uzglabāšanas pakalpojuma perioda, kas komersantam nepieciešams krājumu izveidošanai un/vai produkta realizēšanai tirgū</w:t>
      </w:r>
      <w:r>
        <w:t>)</w:t>
      </w:r>
      <w:r w:rsidR="00220916">
        <w:t>.</w:t>
      </w:r>
      <w:r>
        <w:t xml:space="preserve"> </w:t>
      </w:r>
      <w:r w:rsidR="00220916">
        <w:t>K</w:t>
      </w:r>
      <w:r>
        <w:t xml:space="preserve">omersantu princips </w:t>
      </w:r>
      <w:r w:rsidR="00715D85">
        <w:t xml:space="preserve">ir </w:t>
      </w:r>
      <w:r w:rsidR="00220916">
        <w:t>pirms pakalpojuma sniegšanas nofiksēt (</w:t>
      </w:r>
      <w:proofErr w:type="spellStart"/>
      <w:r w:rsidR="00220916">
        <w:t>hedžēt</w:t>
      </w:r>
      <w:proofErr w:type="spellEnd"/>
      <w:r w:rsidR="00220916">
        <w:t xml:space="preserve">), aprēķināt un iekļaut </w:t>
      </w:r>
      <w:r>
        <w:t>uzglabāšanas cenā</w:t>
      </w:r>
      <w:r w:rsidR="00220916">
        <w:t xml:space="preserve"> naftas produktu cenu svārstību izmaksas.</w:t>
      </w:r>
      <w:r>
        <w:t xml:space="preserve"> </w:t>
      </w:r>
      <w:r w:rsidR="00220916">
        <w:t>Mērķis ir nodrošināt,</w:t>
      </w:r>
      <w:r>
        <w:t xml:space="preserve"> lai pēc uzglabāšanas perioda beigām</w:t>
      </w:r>
      <w:r w:rsidR="00220916">
        <w:t>, pārdodot naftas produktus tirgū,</w:t>
      </w:r>
      <w:r>
        <w:t xml:space="preserve"> nerastos zaudējumi</w:t>
      </w:r>
      <w:r w:rsidR="00220916">
        <w:t xml:space="preserve">, ja pārdošanas </w:t>
      </w:r>
      <w:r w:rsidR="00715D85">
        <w:t>tirgus cena būtu zemāka, nekā cena par kādu komersants iegādājās naftas produktus, lai varētu sniegt uzglabāšanas pakalpojumu. Tai pat laikā, ja tirgus konjunktūra prognozē cenu pieaugumu ilgtermiņā, tad fiksējot cenu svārstības (</w:t>
      </w:r>
      <w:proofErr w:type="spellStart"/>
      <w:r w:rsidR="00715D85">
        <w:t>hedžējot</w:t>
      </w:r>
      <w:proofErr w:type="spellEnd"/>
      <w:r w:rsidR="00715D85">
        <w:t>)  komersants var fiksēt peļņu no cenas pieauguma, tādējādi samazinot uzglabāšanas pakalpojuma izmaksas un piedāvātā uzglabāšanas pakalpojuma cena būtu zemāka</w:t>
      </w:r>
      <w:r>
        <w:t>;</w:t>
      </w:r>
    </w:p>
    <w:p w14:paraId="5224B137" w14:textId="7B7D95A0" w:rsidR="00F8459C" w:rsidRDefault="00C71529" w:rsidP="00715D85">
      <w:pPr>
        <w:pStyle w:val="Style2"/>
        <w:numPr>
          <w:ilvl w:val="1"/>
          <w:numId w:val="5"/>
        </w:numPr>
        <w:ind w:left="426"/>
      </w:pPr>
      <w:r>
        <w:t>Uzglabājamā produkta esošais statuss (vai ir jau komersanta īpašumā, vai komersants tikai plāno ņemt kredītu, pirkt un ievest, un glabāt);</w:t>
      </w:r>
    </w:p>
    <w:p w14:paraId="64AF6352" w14:textId="1BE21735" w:rsidR="00F8459C" w:rsidRDefault="00C71529" w:rsidP="00715D85">
      <w:pPr>
        <w:pStyle w:val="Style2"/>
        <w:numPr>
          <w:ilvl w:val="1"/>
          <w:numId w:val="5"/>
        </w:numPr>
        <w:ind w:left="426"/>
      </w:pPr>
      <w:r>
        <w:t>Akcīzes nodrošinājums (apmērs noteikts normatīvajos aktos)</w:t>
      </w:r>
      <w:r w:rsidR="00715D85">
        <w:t>, ja pakalpojuma sniegšanas vieta ir akcīzes preču noliktava, vai Muitas un brīvostu likumdošanas prasības, ja pakalpojuma sniegšanas vieta/termināls ir Muitas noliktava un/vai Brīvostas teritorija</w:t>
      </w:r>
      <w:r>
        <w:t>;</w:t>
      </w:r>
    </w:p>
    <w:p w14:paraId="3782208C" w14:textId="4BA11E4D" w:rsidR="00F8459C" w:rsidRDefault="00C71529" w:rsidP="00715D85">
      <w:pPr>
        <w:pStyle w:val="Style2"/>
        <w:numPr>
          <w:ilvl w:val="1"/>
          <w:numId w:val="5"/>
        </w:numPr>
        <w:ind w:left="426"/>
      </w:pPr>
      <w:r>
        <w:t>Valūtu svārstības (darījumi ar naftas produktiem notiek ASV dolāros, iepirkuma procedūrā tiek uzrādītas uzglabāšanas pakalpojuma cenas euro);</w:t>
      </w:r>
    </w:p>
    <w:p w14:paraId="4932BB99" w14:textId="052E4A68" w:rsidR="00715D85" w:rsidRDefault="00715D85" w:rsidP="00715D85">
      <w:pPr>
        <w:pStyle w:val="Style2"/>
        <w:numPr>
          <w:ilvl w:val="1"/>
          <w:numId w:val="5"/>
        </w:numPr>
        <w:ind w:left="426"/>
      </w:pPr>
      <w:r w:rsidRPr="00715D85">
        <w:t xml:space="preserve">Uzglabāta produkta finansēšanas izmaksas katra </w:t>
      </w:r>
      <w:r w:rsidR="001537F4">
        <w:t>komersanta</w:t>
      </w:r>
      <w:r w:rsidRPr="00715D85">
        <w:t xml:space="preserve"> vidējās svērtās kapitāla izmaksas, piesaistītā banku finansējuma izmaksas, finansētāja papildus nosacījumi (produkta ieķīlāšana, periodiskas daudzuma un produkta kvalitātes pārbaudes u</w:t>
      </w:r>
      <w:r>
        <w:t>.</w:t>
      </w:r>
      <w:r w:rsidRPr="00715D85">
        <w:t>c.)</w:t>
      </w:r>
    </w:p>
    <w:p w14:paraId="037DFFA7" w14:textId="64DD250E" w:rsidR="00F8459C" w:rsidRDefault="00C71529" w:rsidP="00715D85">
      <w:pPr>
        <w:pStyle w:val="Style2"/>
        <w:numPr>
          <w:ilvl w:val="1"/>
          <w:numId w:val="5"/>
        </w:numPr>
        <w:ind w:left="426"/>
      </w:pPr>
      <w:r>
        <w:lastRenderedPageBreak/>
        <w:t>Iesaistīto starpnieku skaits (bankas kredīts naftas produktu iegādei; nomas līgumi ar noliktavu, vieta, kur tiks uzglabāti naftas produkti; nopirkto naftas produktu piegāde, u.c.);</w:t>
      </w:r>
    </w:p>
    <w:p w14:paraId="6B052D45" w14:textId="3789BA68" w:rsidR="00A71878" w:rsidRDefault="00A71878" w:rsidP="00715D85">
      <w:pPr>
        <w:pStyle w:val="Style2"/>
        <w:numPr>
          <w:ilvl w:val="1"/>
          <w:numId w:val="5"/>
        </w:numPr>
        <w:ind w:left="426"/>
      </w:pPr>
      <w:r>
        <w:t>Uzglabāšanas tvertņu izmaksas (neatkarīgi no tā, vai tvertnes atrodas pakalpojuma sniedzēja īpašumā vai tvertnes tiek nomātas no cita komersanta - termināla pakalpojuma sniedzēja). Citas loģistikas izmaksas produkta transportēšanai.</w:t>
      </w:r>
    </w:p>
    <w:p w14:paraId="13C548C4" w14:textId="3A9114D8" w:rsidR="00F8459C" w:rsidRDefault="00A71878" w:rsidP="00715D85">
      <w:pPr>
        <w:pStyle w:val="Style2"/>
        <w:numPr>
          <w:ilvl w:val="1"/>
          <w:numId w:val="5"/>
        </w:numPr>
        <w:ind w:left="426"/>
      </w:pPr>
      <w:r>
        <w:t>Komersanta a</w:t>
      </w:r>
      <w:r w:rsidR="00C71529">
        <w:t>dministratīvās izmaksas;</w:t>
      </w:r>
    </w:p>
    <w:p w14:paraId="1285494B" w14:textId="6AD980BA" w:rsidR="00F8459C" w:rsidRDefault="00C71529" w:rsidP="00715D85">
      <w:pPr>
        <w:pStyle w:val="Style2"/>
        <w:numPr>
          <w:ilvl w:val="1"/>
          <w:numId w:val="5"/>
        </w:numPr>
        <w:ind w:left="426"/>
      </w:pPr>
      <w:r>
        <w:t>Peļņa.</w:t>
      </w:r>
    </w:p>
    <w:p w14:paraId="62F945B4" w14:textId="77777777" w:rsidR="00F8459C" w:rsidRDefault="00F8459C">
      <w:pPr>
        <w:pStyle w:val="Style2"/>
        <w:ind w:firstLine="0"/>
      </w:pPr>
    </w:p>
    <w:p w14:paraId="0FF406DA" w14:textId="352C4CBE"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bookmarkStart w:id="15" w:name="_Hlk40360463"/>
      <w:r>
        <w:rPr>
          <w:i/>
          <w:iCs/>
          <w:color w:val="808080" w:themeColor="background1" w:themeShade="80"/>
        </w:rPr>
        <w:t xml:space="preserve">Tabula 1. </w:t>
      </w:r>
      <w:r w:rsidR="00E260A6">
        <w:rPr>
          <w:i/>
          <w:iCs/>
          <w:color w:val="808080" w:themeColor="background1" w:themeShade="80"/>
        </w:rPr>
        <w:t>D</w:t>
      </w:r>
      <w:r>
        <w:rPr>
          <w:i/>
          <w:iCs/>
          <w:color w:val="808080" w:themeColor="background1" w:themeShade="80"/>
        </w:rPr>
        <w:t>rošības rezervju administrēšana</w:t>
      </w:r>
    </w:p>
    <w:tbl>
      <w:tblPr>
        <w:tblW w:w="5168" w:type="pct"/>
        <w:tblInd w:w="-150" w:type="dxa"/>
        <w:tblBorders>
          <w:top w:val="outset" w:sz="6" w:space="0" w:color="414142"/>
          <w:left w:val="outset" w:sz="2" w:space="0" w:color="414142"/>
          <w:bottom w:val="outset" w:sz="2" w:space="0" w:color="414142"/>
          <w:right w:val="outset" w:sz="2"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284"/>
        <w:gridCol w:w="1131"/>
        <w:gridCol w:w="1736"/>
        <w:gridCol w:w="1004"/>
        <w:gridCol w:w="1004"/>
        <w:gridCol w:w="1004"/>
        <w:gridCol w:w="791"/>
        <w:gridCol w:w="1260"/>
      </w:tblGrid>
      <w:tr w:rsidR="00F8459C" w14:paraId="1A2E095E" w14:textId="77777777" w:rsidTr="000D0C24">
        <w:tc>
          <w:tcPr>
            <w:tcW w:w="696" w:type="pct"/>
            <w:vMerge w:val="restart"/>
            <w:tcBorders>
              <w:top w:val="outset" w:sz="6" w:space="0" w:color="414142"/>
              <w:left w:val="outset" w:sz="6" w:space="0" w:color="414142"/>
              <w:right w:val="outset" w:sz="6" w:space="0" w:color="414142"/>
            </w:tcBorders>
            <w:shd w:val="clear" w:color="auto" w:fill="F2F2F2" w:themeFill="background1" w:themeFillShade="F2"/>
            <w:hideMark/>
          </w:tcPr>
          <w:p w14:paraId="1FB7815C" w14:textId="77777777" w:rsidR="00F8459C" w:rsidRDefault="00C71529">
            <w:pPr>
              <w:pStyle w:val="NormalWeb"/>
              <w:spacing w:before="0" w:beforeAutospacing="0" w:after="0" w:afterAutospacing="0"/>
              <w:jc w:val="center"/>
              <w:rPr>
                <w:b/>
                <w:bCs/>
                <w:color w:val="000000" w:themeColor="text1"/>
                <w:sz w:val="22"/>
                <w:szCs w:val="22"/>
              </w:rPr>
            </w:pPr>
            <w:r>
              <w:rPr>
                <w:b/>
                <w:bCs/>
                <w:color w:val="000000" w:themeColor="text1"/>
                <w:sz w:val="22"/>
                <w:szCs w:val="22"/>
              </w:rPr>
              <w:t>Laika posms</w:t>
            </w:r>
          </w:p>
        </w:tc>
        <w:tc>
          <w:tcPr>
            <w:tcW w:w="614" w:type="pct"/>
            <w:vMerge w:val="restart"/>
            <w:tcBorders>
              <w:top w:val="outset" w:sz="6" w:space="0" w:color="414142"/>
              <w:left w:val="outset" w:sz="6" w:space="0" w:color="414142"/>
              <w:right w:val="outset" w:sz="6" w:space="0" w:color="414142"/>
            </w:tcBorders>
            <w:shd w:val="clear" w:color="auto" w:fill="F2F2F2" w:themeFill="background1" w:themeFillShade="F2"/>
            <w:hideMark/>
          </w:tcPr>
          <w:p w14:paraId="5DEA67AF" w14:textId="77777777" w:rsidR="00F8459C" w:rsidRDefault="00C71529">
            <w:pPr>
              <w:pStyle w:val="NormalWeb"/>
              <w:spacing w:before="0" w:beforeAutospacing="0" w:after="0" w:afterAutospacing="0"/>
              <w:jc w:val="center"/>
              <w:rPr>
                <w:b/>
                <w:bCs/>
                <w:color w:val="000000" w:themeColor="text1"/>
                <w:sz w:val="22"/>
                <w:szCs w:val="22"/>
              </w:rPr>
            </w:pPr>
            <w:r>
              <w:rPr>
                <w:b/>
                <w:bCs/>
                <w:color w:val="000000" w:themeColor="text1"/>
                <w:sz w:val="22"/>
                <w:szCs w:val="22"/>
              </w:rPr>
              <w:t>Drošības rezervju apjoms (tonnas)</w:t>
            </w:r>
          </w:p>
        </w:tc>
        <w:tc>
          <w:tcPr>
            <w:tcW w:w="942" w:type="pct"/>
            <w:vMerge w:val="restart"/>
            <w:tcBorders>
              <w:top w:val="outset" w:sz="6" w:space="0" w:color="414142"/>
              <w:left w:val="outset" w:sz="6" w:space="0" w:color="414142"/>
              <w:right w:val="outset" w:sz="6" w:space="0" w:color="414142"/>
            </w:tcBorders>
            <w:shd w:val="clear" w:color="auto" w:fill="F2F2F2" w:themeFill="background1" w:themeFillShade="F2"/>
            <w:hideMark/>
          </w:tcPr>
          <w:p w14:paraId="0498866F" w14:textId="77777777" w:rsidR="00F8459C" w:rsidRDefault="00C71529">
            <w:pPr>
              <w:pStyle w:val="NormalWeb"/>
              <w:spacing w:before="0" w:beforeAutospacing="0" w:after="0" w:afterAutospacing="0"/>
              <w:jc w:val="center"/>
              <w:rPr>
                <w:b/>
                <w:bCs/>
                <w:color w:val="000000" w:themeColor="text1"/>
                <w:sz w:val="22"/>
                <w:szCs w:val="22"/>
              </w:rPr>
            </w:pPr>
            <w:r>
              <w:rPr>
                <w:b/>
                <w:bCs/>
                <w:color w:val="000000" w:themeColor="text1"/>
                <w:sz w:val="22"/>
                <w:szCs w:val="22"/>
              </w:rPr>
              <w:t>CKUS administrēto drošības rezervju līgumu summa bez PVN (EUR)</w:t>
            </w:r>
          </w:p>
        </w:tc>
        <w:tc>
          <w:tcPr>
            <w:tcW w:w="2064" w:type="pct"/>
            <w:gridSpan w:val="4"/>
            <w:tcBorders>
              <w:top w:val="outset" w:sz="6" w:space="0" w:color="414142"/>
              <w:left w:val="outset" w:sz="6" w:space="0" w:color="414142"/>
              <w:bottom w:val="outset" w:sz="6" w:space="0" w:color="414142"/>
              <w:right w:val="outset" w:sz="6" w:space="0" w:color="414142"/>
            </w:tcBorders>
            <w:shd w:val="clear" w:color="auto" w:fill="F2F2F2" w:themeFill="background1" w:themeFillShade="F2"/>
            <w:vAlign w:val="center"/>
            <w:hideMark/>
          </w:tcPr>
          <w:p w14:paraId="6A6A0C57" w14:textId="104CD872" w:rsidR="00F8459C" w:rsidRDefault="00C71529">
            <w:pPr>
              <w:pStyle w:val="NormalWeb"/>
              <w:spacing w:before="0" w:beforeAutospacing="0" w:after="0" w:afterAutospacing="0"/>
              <w:jc w:val="center"/>
              <w:rPr>
                <w:b/>
                <w:bCs/>
                <w:color w:val="000000" w:themeColor="text1"/>
                <w:sz w:val="22"/>
                <w:szCs w:val="22"/>
              </w:rPr>
            </w:pPr>
            <w:r>
              <w:rPr>
                <w:b/>
                <w:bCs/>
                <w:color w:val="000000" w:themeColor="text1"/>
                <w:sz w:val="22"/>
                <w:szCs w:val="22"/>
              </w:rPr>
              <w:t>Valsts nodevas likme (EUR</w:t>
            </w:r>
            <w:r w:rsidR="001D1364">
              <w:rPr>
                <w:b/>
                <w:bCs/>
                <w:color w:val="000000" w:themeColor="text1"/>
                <w:sz w:val="22"/>
                <w:szCs w:val="22"/>
              </w:rPr>
              <w:t>/t</w:t>
            </w:r>
            <w:r>
              <w:rPr>
                <w:b/>
                <w:bCs/>
                <w:color w:val="000000" w:themeColor="text1"/>
                <w:sz w:val="22"/>
                <w:szCs w:val="22"/>
              </w:rPr>
              <w:t>)</w:t>
            </w:r>
          </w:p>
        </w:tc>
        <w:tc>
          <w:tcPr>
            <w:tcW w:w="685" w:type="pct"/>
            <w:vMerge w:val="restart"/>
            <w:tcBorders>
              <w:top w:val="outset" w:sz="6" w:space="0" w:color="414142"/>
              <w:left w:val="outset" w:sz="6" w:space="0" w:color="414142"/>
              <w:right w:val="outset" w:sz="6" w:space="0" w:color="414142"/>
            </w:tcBorders>
            <w:shd w:val="clear" w:color="auto" w:fill="F2F2F2" w:themeFill="background1" w:themeFillShade="F2"/>
          </w:tcPr>
          <w:p w14:paraId="01685268" w14:textId="77777777" w:rsidR="00F8459C" w:rsidRDefault="00C71529">
            <w:pPr>
              <w:pStyle w:val="NormalWeb"/>
              <w:spacing w:before="0" w:beforeAutospacing="0" w:after="0" w:afterAutospacing="0"/>
              <w:jc w:val="center"/>
              <w:rPr>
                <w:b/>
                <w:bCs/>
                <w:color w:val="000000" w:themeColor="text1"/>
                <w:sz w:val="22"/>
                <w:szCs w:val="22"/>
              </w:rPr>
            </w:pPr>
            <w:r>
              <w:rPr>
                <w:b/>
                <w:bCs/>
                <w:color w:val="000000" w:themeColor="text1"/>
                <w:sz w:val="22"/>
                <w:szCs w:val="22"/>
              </w:rPr>
              <w:t>Iekasētā valsts nodeva bez PVN (EUR)</w:t>
            </w:r>
          </w:p>
        </w:tc>
      </w:tr>
      <w:tr w:rsidR="00F8459C" w14:paraId="58849890" w14:textId="77777777" w:rsidTr="000D0C24">
        <w:tc>
          <w:tcPr>
            <w:tcW w:w="696" w:type="pct"/>
            <w:vMerge/>
            <w:tcBorders>
              <w:left w:val="outset" w:sz="6" w:space="0" w:color="414142"/>
              <w:bottom w:val="outset" w:sz="6" w:space="0" w:color="414142"/>
              <w:right w:val="outset" w:sz="6" w:space="0" w:color="414142"/>
            </w:tcBorders>
            <w:shd w:val="clear" w:color="auto" w:fill="D9D9D9" w:themeFill="background1" w:themeFillShade="D9"/>
            <w:hideMark/>
          </w:tcPr>
          <w:p w14:paraId="732A2DB8" w14:textId="77777777" w:rsidR="00F8459C" w:rsidRDefault="00F8459C">
            <w:pPr>
              <w:spacing w:after="0" w:line="240" w:lineRule="auto"/>
              <w:jc w:val="center"/>
              <w:rPr>
                <w:rFonts w:ascii="Times New Roman" w:hAnsi="Times New Roman" w:cs="Times New Roman"/>
                <w:b/>
                <w:bCs/>
                <w:color w:val="000000" w:themeColor="text1"/>
              </w:rPr>
            </w:pPr>
          </w:p>
        </w:tc>
        <w:tc>
          <w:tcPr>
            <w:tcW w:w="614" w:type="pct"/>
            <w:vMerge/>
            <w:tcBorders>
              <w:left w:val="outset" w:sz="6" w:space="0" w:color="414142"/>
              <w:bottom w:val="outset" w:sz="6" w:space="0" w:color="414142"/>
              <w:right w:val="outset" w:sz="6" w:space="0" w:color="414142"/>
            </w:tcBorders>
            <w:shd w:val="clear" w:color="auto" w:fill="D9D9D9" w:themeFill="background1" w:themeFillShade="D9"/>
            <w:hideMark/>
          </w:tcPr>
          <w:p w14:paraId="3428D7A1" w14:textId="77777777" w:rsidR="00F8459C" w:rsidRDefault="00F8459C">
            <w:pPr>
              <w:spacing w:after="0" w:line="240" w:lineRule="auto"/>
              <w:jc w:val="center"/>
              <w:rPr>
                <w:rFonts w:ascii="Times New Roman" w:hAnsi="Times New Roman" w:cs="Times New Roman"/>
                <w:b/>
                <w:bCs/>
                <w:color w:val="000000" w:themeColor="text1"/>
              </w:rPr>
            </w:pPr>
          </w:p>
        </w:tc>
        <w:tc>
          <w:tcPr>
            <w:tcW w:w="942" w:type="pct"/>
            <w:vMerge/>
            <w:tcBorders>
              <w:left w:val="outset" w:sz="6" w:space="0" w:color="414142"/>
              <w:bottom w:val="outset" w:sz="6" w:space="0" w:color="414142"/>
              <w:right w:val="outset" w:sz="6" w:space="0" w:color="414142"/>
            </w:tcBorders>
            <w:shd w:val="clear" w:color="auto" w:fill="D9D9D9" w:themeFill="background1" w:themeFillShade="D9"/>
            <w:hideMark/>
          </w:tcPr>
          <w:p w14:paraId="1DE50D63" w14:textId="77777777" w:rsidR="00F8459C" w:rsidRDefault="00F8459C">
            <w:pPr>
              <w:spacing w:after="0" w:line="240" w:lineRule="auto"/>
              <w:jc w:val="center"/>
              <w:rPr>
                <w:rFonts w:ascii="Times New Roman" w:hAnsi="Times New Roman" w:cs="Times New Roman"/>
                <w:b/>
                <w:bCs/>
                <w:color w:val="000000" w:themeColor="text1"/>
              </w:rPr>
            </w:pPr>
          </w:p>
        </w:tc>
        <w:tc>
          <w:tcPr>
            <w:tcW w:w="5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73F56E5"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 kategorija </w:t>
            </w:r>
          </w:p>
          <w:p w14:paraId="53F5776A"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 benzīns, aviācijas degviela</w:t>
            </w:r>
          </w:p>
        </w:tc>
        <w:tc>
          <w:tcPr>
            <w:tcW w:w="5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AF310D3"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 kategorija </w:t>
            </w:r>
          </w:p>
          <w:p w14:paraId="29D93709"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sašķidrinātā naftas gāze</w:t>
            </w:r>
          </w:p>
        </w:tc>
        <w:tc>
          <w:tcPr>
            <w:tcW w:w="54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D211995"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II kategorija </w:t>
            </w:r>
          </w:p>
          <w:p w14:paraId="49DF1D47"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dīzeļdegviela</w:t>
            </w:r>
          </w:p>
        </w:tc>
        <w:tc>
          <w:tcPr>
            <w:tcW w:w="429"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F7316D2"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 xml:space="preserve">III kategorija </w:t>
            </w:r>
          </w:p>
          <w:p w14:paraId="4D3F2A97" w14:textId="77777777" w:rsidR="00F8459C" w:rsidRDefault="00C71529">
            <w:pPr>
              <w:pStyle w:val="NormalWeb"/>
              <w:spacing w:before="0" w:beforeAutospacing="0" w:after="0" w:afterAutospacing="0"/>
              <w:jc w:val="center"/>
              <w:rPr>
                <w:b/>
                <w:bCs/>
                <w:color w:val="000000" w:themeColor="text1"/>
                <w:sz w:val="16"/>
                <w:szCs w:val="16"/>
              </w:rPr>
            </w:pPr>
            <w:r>
              <w:rPr>
                <w:b/>
                <w:bCs/>
                <w:color w:val="000000" w:themeColor="text1"/>
                <w:sz w:val="16"/>
                <w:szCs w:val="16"/>
              </w:rPr>
              <w:t>degvieleļļa</w:t>
            </w:r>
          </w:p>
        </w:tc>
        <w:tc>
          <w:tcPr>
            <w:tcW w:w="685" w:type="pct"/>
            <w:vMerge/>
            <w:tcBorders>
              <w:left w:val="outset" w:sz="6" w:space="0" w:color="414142"/>
              <w:bottom w:val="outset" w:sz="6" w:space="0" w:color="414142"/>
              <w:right w:val="outset" w:sz="6" w:space="0" w:color="414142"/>
            </w:tcBorders>
            <w:shd w:val="clear" w:color="auto" w:fill="D9D9D9" w:themeFill="background1" w:themeFillShade="D9"/>
          </w:tcPr>
          <w:p w14:paraId="0B51B475" w14:textId="77777777" w:rsidR="00F8459C" w:rsidRDefault="00F8459C">
            <w:pPr>
              <w:pStyle w:val="NormalWeb"/>
              <w:spacing w:before="0" w:beforeAutospacing="0" w:after="0" w:afterAutospacing="0"/>
              <w:jc w:val="center"/>
              <w:rPr>
                <w:b/>
                <w:bCs/>
                <w:color w:val="000000" w:themeColor="text1"/>
                <w:sz w:val="22"/>
                <w:szCs w:val="22"/>
              </w:rPr>
            </w:pPr>
          </w:p>
        </w:tc>
      </w:tr>
      <w:tr w:rsidR="00F8459C" w14:paraId="7D0FE779" w14:textId="77777777" w:rsidTr="000D0C24">
        <w:tc>
          <w:tcPr>
            <w:tcW w:w="69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71DD9EA8"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2011-2012</w:t>
            </w:r>
          </w:p>
        </w:tc>
        <w:tc>
          <w:tcPr>
            <w:tcW w:w="61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E1C84C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247767</w:t>
            </w:r>
          </w:p>
        </w:tc>
        <w:tc>
          <w:tcPr>
            <w:tcW w:w="94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71E6F9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19 879 624</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35AB5DD4"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0,00</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0A3B586C"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21BBE8E0"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20,16</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40E19159"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34,52</w:t>
            </w:r>
          </w:p>
        </w:tc>
        <w:tc>
          <w:tcPr>
            <w:tcW w:w="685" w:type="pct"/>
            <w:vMerge w:val="restart"/>
            <w:tcBorders>
              <w:top w:val="outset" w:sz="6" w:space="0" w:color="414142"/>
              <w:left w:val="outset" w:sz="6" w:space="0" w:color="414142"/>
              <w:right w:val="outset" w:sz="6" w:space="0" w:color="414142"/>
            </w:tcBorders>
            <w:shd w:val="clear" w:color="auto" w:fill="FFFFFF"/>
            <w:vAlign w:val="center"/>
          </w:tcPr>
          <w:p w14:paraId="2891D11C"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16 428 458</w:t>
            </w:r>
          </w:p>
        </w:tc>
      </w:tr>
      <w:tr w:rsidR="00F8459C" w14:paraId="52ADC854" w14:textId="77777777" w:rsidTr="000D0C24">
        <w:tc>
          <w:tcPr>
            <w:tcW w:w="69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301806" w14:textId="77777777" w:rsidR="00F8459C" w:rsidRDefault="00F8459C">
            <w:pPr>
              <w:spacing w:after="0" w:line="240" w:lineRule="auto"/>
              <w:jc w:val="both"/>
              <w:rPr>
                <w:rFonts w:ascii="Times New Roman" w:hAnsi="Times New Roman" w:cs="Times New Roman"/>
                <w:color w:val="000000" w:themeColor="text1"/>
              </w:rPr>
            </w:pPr>
          </w:p>
        </w:tc>
        <w:tc>
          <w:tcPr>
            <w:tcW w:w="61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67CD0" w14:textId="77777777" w:rsidR="00F8459C" w:rsidRDefault="00F8459C">
            <w:pPr>
              <w:spacing w:after="0" w:line="240" w:lineRule="auto"/>
              <w:jc w:val="both"/>
              <w:rPr>
                <w:rFonts w:ascii="Times New Roman" w:hAnsi="Times New Roman" w:cs="Times New Roman"/>
                <w:color w:val="000000" w:themeColor="text1"/>
              </w:rPr>
            </w:pPr>
          </w:p>
        </w:tc>
        <w:tc>
          <w:tcPr>
            <w:tcW w:w="94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F2137" w14:textId="77777777" w:rsidR="00F8459C" w:rsidRDefault="00F8459C">
            <w:pPr>
              <w:spacing w:after="0" w:line="240" w:lineRule="auto"/>
              <w:jc w:val="both"/>
              <w:rPr>
                <w:rFonts w:ascii="Times New Roman" w:hAnsi="Times New Roman" w:cs="Times New Roman"/>
                <w:color w:val="000000" w:themeColor="text1"/>
              </w:rPr>
            </w:pP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0269F2CE"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24,23</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359488AD"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1E4C2566"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17,29</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6A438EA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26,99</w:t>
            </w:r>
          </w:p>
        </w:tc>
        <w:tc>
          <w:tcPr>
            <w:tcW w:w="685" w:type="pct"/>
            <w:vMerge/>
            <w:tcBorders>
              <w:left w:val="outset" w:sz="6" w:space="0" w:color="414142"/>
              <w:bottom w:val="outset" w:sz="6" w:space="0" w:color="414142"/>
              <w:right w:val="outset" w:sz="6" w:space="0" w:color="414142"/>
            </w:tcBorders>
            <w:shd w:val="clear" w:color="auto" w:fill="FFFFFF"/>
            <w:vAlign w:val="center"/>
          </w:tcPr>
          <w:p w14:paraId="3CC452EB" w14:textId="77777777" w:rsidR="00F8459C" w:rsidRDefault="00F8459C">
            <w:pPr>
              <w:pStyle w:val="NormalWeb"/>
              <w:spacing w:before="0" w:beforeAutospacing="0" w:after="0" w:afterAutospacing="0"/>
              <w:jc w:val="both"/>
              <w:rPr>
                <w:color w:val="000000" w:themeColor="text1"/>
                <w:sz w:val="22"/>
                <w:szCs w:val="22"/>
              </w:rPr>
            </w:pPr>
          </w:p>
        </w:tc>
      </w:tr>
      <w:tr w:rsidR="00F8459C" w14:paraId="2C40BA2D" w14:textId="77777777" w:rsidTr="000D0C24">
        <w:tc>
          <w:tcPr>
            <w:tcW w:w="696" w:type="pct"/>
            <w:tcBorders>
              <w:top w:val="outset" w:sz="6" w:space="0" w:color="414142"/>
              <w:left w:val="outset" w:sz="6" w:space="0" w:color="414142"/>
              <w:bottom w:val="outset" w:sz="6" w:space="0" w:color="414142"/>
              <w:right w:val="outset" w:sz="6" w:space="0" w:color="414142"/>
            </w:tcBorders>
            <w:shd w:val="clear" w:color="auto" w:fill="FFFFFF"/>
            <w:hideMark/>
          </w:tcPr>
          <w:p w14:paraId="6FEB18E0"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2012-2013</w:t>
            </w:r>
          </w:p>
        </w:tc>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29264BD4"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230820</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14:paraId="3D37C0A2"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21 657 702</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1EE5DEAB"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26,10</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739C1B76"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46D679CC"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22,75</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2D0B71BC"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B16FEFB"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22 586 597</w:t>
            </w:r>
          </w:p>
        </w:tc>
      </w:tr>
      <w:tr w:rsidR="00F8459C" w14:paraId="2117D68B" w14:textId="77777777" w:rsidTr="000D0C24">
        <w:tc>
          <w:tcPr>
            <w:tcW w:w="696" w:type="pct"/>
            <w:tcBorders>
              <w:top w:val="outset" w:sz="6" w:space="0" w:color="414142"/>
              <w:left w:val="outset" w:sz="6" w:space="0" w:color="414142"/>
              <w:bottom w:val="outset" w:sz="6" w:space="0" w:color="414142"/>
              <w:right w:val="outset" w:sz="6" w:space="0" w:color="414142"/>
            </w:tcBorders>
            <w:shd w:val="clear" w:color="auto" w:fill="FFFFFF"/>
            <w:hideMark/>
          </w:tcPr>
          <w:p w14:paraId="4A3325C4"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2013-2014</w:t>
            </w:r>
          </w:p>
        </w:tc>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273CACBE"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315990</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14:paraId="5DBBB503"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28 751 921</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051C1294"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29,35</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21016D1E"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23,66</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4EC3D7F6"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21,54</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4A40DDD2"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58A98E2" w14:textId="77777777" w:rsidR="00F8459C" w:rsidRDefault="00C71529">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25 390 382</w:t>
            </w:r>
          </w:p>
        </w:tc>
      </w:tr>
      <w:tr w:rsidR="00F8459C" w14:paraId="5ADDA3F8" w14:textId="77777777" w:rsidTr="000D0C24">
        <w:tc>
          <w:tcPr>
            <w:tcW w:w="696" w:type="pct"/>
            <w:tcBorders>
              <w:top w:val="outset" w:sz="6" w:space="0" w:color="414142"/>
              <w:left w:val="outset" w:sz="6" w:space="0" w:color="414142"/>
              <w:bottom w:val="outset" w:sz="6" w:space="0" w:color="414142"/>
              <w:right w:val="outset" w:sz="6" w:space="0" w:color="414142"/>
            </w:tcBorders>
            <w:shd w:val="clear" w:color="auto" w:fill="FFFFFF"/>
            <w:hideMark/>
          </w:tcPr>
          <w:p w14:paraId="2A8E4E11"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2014-2015</w:t>
            </w:r>
          </w:p>
        </w:tc>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3055A52A"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327644</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14:paraId="60ADFE91"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18 595 585</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0E0BF75E"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7C1D79D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11D7D26C"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1FB03E6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15,67</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7567545"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18 132 400</w:t>
            </w:r>
          </w:p>
        </w:tc>
      </w:tr>
      <w:tr w:rsidR="00F8459C" w14:paraId="72B2BFB6" w14:textId="77777777" w:rsidTr="000D0C24">
        <w:tc>
          <w:tcPr>
            <w:tcW w:w="696" w:type="pct"/>
            <w:tcBorders>
              <w:top w:val="outset" w:sz="6" w:space="0" w:color="414142"/>
              <w:left w:val="outset" w:sz="6" w:space="0" w:color="414142"/>
              <w:bottom w:val="outset" w:sz="6" w:space="0" w:color="414142"/>
              <w:right w:val="outset" w:sz="6" w:space="0" w:color="414142"/>
            </w:tcBorders>
            <w:shd w:val="clear" w:color="auto" w:fill="FFFFFF"/>
            <w:hideMark/>
          </w:tcPr>
          <w:p w14:paraId="03E83B03"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2015-2016</w:t>
            </w:r>
          </w:p>
        </w:tc>
        <w:tc>
          <w:tcPr>
            <w:tcW w:w="614" w:type="pct"/>
            <w:tcBorders>
              <w:top w:val="outset" w:sz="6" w:space="0" w:color="414142"/>
              <w:left w:val="outset" w:sz="6" w:space="0" w:color="414142"/>
              <w:bottom w:val="outset" w:sz="6" w:space="0" w:color="414142"/>
              <w:right w:val="outset" w:sz="6" w:space="0" w:color="414142"/>
            </w:tcBorders>
            <w:shd w:val="clear" w:color="auto" w:fill="FFFFFF"/>
            <w:hideMark/>
          </w:tcPr>
          <w:p w14:paraId="7F2C945D"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328374</w:t>
            </w:r>
          </w:p>
        </w:tc>
        <w:tc>
          <w:tcPr>
            <w:tcW w:w="942" w:type="pct"/>
            <w:tcBorders>
              <w:top w:val="outset" w:sz="6" w:space="0" w:color="414142"/>
              <w:left w:val="outset" w:sz="6" w:space="0" w:color="414142"/>
              <w:bottom w:val="outset" w:sz="6" w:space="0" w:color="414142"/>
              <w:right w:val="outset" w:sz="6" w:space="0" w:color="414142"/>
            </w:tcBorders>
            <w:shd w:val="clear" w:color="auto" w:fill="FFFFFF"/>
            <w:hideMark/>
          </w:tcPr>
          <w:p w14:paraId="6C44AF6A"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12 580 882</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220A6A9F"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04A92C02"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545" w:type="pct"/>
            <w:tcBorders>
              <w:top w:val="outset" w:sz="6" w:space="0" w:color="414142"/>
              <w:left w:val="outset" w:sz="6" w:space="0" w:color="414142"/>
              <w:bottom w:val="outset" w:sz="6" w:space="0" w:color="414142"/>
              <w:right w:val="outset" w:sz="6" w:space="0" w:color="414142"/>
            </w:tcBorders>
            <w:shd w:val="clear" w:color="auto" w:fill="FFFFFF"/>
            <w:hideMark/>
          </w:tcPr>
          <w:p w14:paraId="6909FED3"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429" w:type="pct"/>
            <w:tcBorders>
              <w:top w:val="outset" w:sz="6" w:space="0" w:color="414142"/>
              <w:left w:val="outset" w:sz="6" w:space="0" w:color="414142"/>
              <w:bottom w:val="outset" w:sz="6" w:space="0" w:color="414142"/>
              <w:right w:val="outset" w:sz="6" w:space="0" w:color="414142"/>
            </w:tcBorders>
            <w:shd w:val="clear" w:color="auto" w:fill="FFFFFF"/>
            <w:hideMark/>
          </w:tcPr>
          <w:p w14:paraId="3F81C409"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11,36</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4A6FDF" w14:textId="77777777" w:rsidR="00F8459C" w:rsidRDefault="00C71529">
            <w:pPr>
              <w:pStyle w:val="NormalWeb"/>
              <w:spacing w:before="0" w:beforeAutospacing="0" w:after="0" w:afterAutospacing="0"/>
              <w:jc w:val="both"/>
              <w:rPr>
                <w:color w:val="000000" w:themeColor="text1"/>
                <w:sz w:val="22"/>
                <w:szCs w:val="22"/>
              </w:rPr>
            </w:pPr>
            <w:r>
              <w:rPr>
                <w:color w:val="000000" w:themeColor="text1"/>
                <w:sz w:val="22"/>
                <w:szCs w:val="22"/>
              </w:rPr>
              <w:t>13 948 541</w:t>
            </w:r>
          </w:p>
        </w:tc>
      </w:tr>
      <w:bookmarkEnd w:id="15"/>
      <w:tr w:rsidR="00164E6A" w14:paraId="4E879A7F" w14:textId="77777777" w:rsidTr="000D0C24">
        <w:tc>
          <w:tcPr>
            <w:tcW w:w="696" w:type="pct"/>
            <w:tcBorders>
              <w:top w:val="outset" w:sz="6" w:space="0" w:color="414142"/>
              <w:left w:val="outset" w:sz="6" w:space="0" w:color="414142"/>
              <w:bottom w:val="outset" w:sz="6" w:space="0" w:color="414142"/>
              <w:right w:val="outset" w:sz="6" w:space="0" w:color="414142"/>
            </w:tcBorders>
            <w:shd w:val="clear" w:color="auto" w:fill="FFFFFF"/>
          </w:tcPr>
          <w:p w14:paraId="008B4874" w14:textId="3D214F8E"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2016-2017</w:t>
            </w:r>
            <w:r w:rsidRPr="00164E6A">
              <w:rPr>
                <w:rStyle w:val="FootnoteReference"/>
                <w:color w:val="000000"/>
                <w:sz w:val="22"/>
                <w:szCs w:val="22"/>
              </w:rPr>
              <w:footnoteReference w:id="10"/>
            </w:r>
          </w:p>
        </w:tc>
        <w:tc>
          <w:tcPr>
            <w:tcW w:w="614" w:type="pct"/>
            <w:tcBorders>
              <w:top w:val="outset" w:sz="6" w:space="0" w:color="414142"/>
              <w:left w:val="outset" w:sz="6" w:space="0" w:color="414142"/>
              <w:bottom w:val="outset" w:sz="6" w:space="0" w:color="414142"/>
              <w:right w:val="outset" w:sz="6" w:space="0" w:color="414142"/>
            </w:tcBorders>
            <w:shd w:val="clear" w:color="auto" w:fill="FFFFFF"/>
          </w:tcPr>
          <w:p w14:paraId="7A673838" w14:textId="0EA10E3F"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345638</w:t>
            </w:r>
          </w:p>
        </w:tc>
        <w:tc>
          <w:tcPr>
            <w:tcW w:w="942" w:type="pct"/>
            <w:tcBorders>
              <w:top w:val="outset" w:sz="6" w:space="0" w:color="414142"/>
              <w:left w:val="outset" w:sz="6" w:space="0" w:color="414142"/>
              <w:bottom w:val="outset" w:sz="6" w:space="0" w:color="414142"/>
              <w:right w:val="outset" w:sz="6" w:space="0" w:color="414142"/>
            </w:tcBorders>
            <w:shd w:val="clear" w:color="auto" w:fill="FFFFFF"/>
          </w:tcPr>
          <w:p w14:paraId="64E4B162" w14:textId="53AC4BF8"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11 159 876</w:t>
            </w:r>
          </w:p>
        </w:tc>
        <w:tc>
          <w:tcPr>
            <w:tcW w:w="545" w:type="pct"/>
            <w:tcBorders>
              <w:top w:val="outset" w:sz="6" w:space="0" w:color="414142"/>
              <w:left w:val="outset" w:sz="6" w:space="0" w:color="414142"/>
              <w:bottom w:val="outset" w:sz="6" w:space="0" w:color="414142"/>
              <w:right w:val="outset" w:sz="6" w:space="0" w:color="414142"/>
            </w:tcBorders>
            <w:shd w:val="clear" w:color="auto" w:fill="FFFFFF"/>
          </w:tcPr>
          <w:p w14:paraId="3475D757" w14:textId="13EB5512"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9,60</w:t>
            </w:r>
          </w:p>
        </w:tc>
        <w:tc>
          <w:tcPr>
            <w:tcW w:w="545" w:type="pct"/>
            <w:tcBorders>
              <w:top w:val="outset" w:sz="6" w:space="0" w:color="414142"/>
              <w:left w:val="outset" w:sz="6" w:space="0" w:color="414142"/>
              <w:bottom w:val="outset" w:sz="6" w:space="0" w:color="414142"/>
              <w:right w:val="outset" w:sz="6" w:space="0" w:color="414142"/>
            </w:tcBorders>
            <w:shd w:val="clear" w:color="auto" w:fill="FFFFFF"/>
          </w:tcPr>
          <w:p w14:paraId="27D2FD2C" w14:textId="462B3D33"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9,60</w:t>
            </w:r>
          </w:p>
        </w:tc>
        <w:tc>
          <w:tcPr>
            <w:tcW w:w="545" w:type="pct"/>
            <w:tcBorders>
              <w:top w:val="outset" w:sz="6" w:space="0" w:color="414142"/>
              <w:left w:val="outset" w:sz="6" w:space="0" w:color="414142"/>
              <w:bottom w:val="outset" w:sz="6" w:space="0" w:color="414142"/>
              <w:right w:val="outset" w:sz="6" w:space="0" w:color="414142"/>
            </w:tcBorders>
            <w:shd w:val="clear" w:color="auto" w:fill="FFFFFF"/>
          </w:tcPr>
          <w:p w14:paraId="64474F48" w14:textId="03D7A712"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9,60</w:t>
            </w:r>
          </w:p>
        </w:tc>
        <w:tc>
          <w:tcPr>
            <w:tcW w:w="429" w:type="pct"/>
            <w:tcBorders>
              <w:top w:val="outset" w:sz="6" w:space="0" w:color="414142"/>
              <w:left w:val="outset" w:sz="6" w:space="0" w:color="414142"/>
              <w:bottom w:val="outset" w:sz="6" w:space="0" w:color="414142"/>
              <w:right w:val="outset" w:sz="6" w:space="0" w:color="414142"/>
            </w:tcBorders>
            <w:shd w:val="clear" w:color="auto" w:fill="FFFFFF"/>
          </w:tcPr>
          <w:p w14:paraId="1EB9763E" w14:textId="03311357"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 xml:space="preserve"> 9,60</w:t>
            </w:r>
          </w:p>
        </w:tc>
        <w:tc>
          <w:tcPr>
            <w:tcW w:w="68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9F061" w14:textId="0CBFB41F" w:rsid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12 314 943</w:t>
            </w:r>
          </w:p>
        </w:tc>
      </w:tr>
      <w:tr w:rsidR="00164E6A" w14:paraId="22F25EF3" w14:textId="77777777" w:rsidTr="000D0C24">
        <w:tc>
          <w:tcPr>
            <w:tcW w:w="696" w:type="pct"/>
            <w:tcBorders>
              <w:top w:val="outset" w:sz="6" w:space="0" w:color="414142"/>
              <w:left w:val="outset" w:sz="6" w:space="0" w:color="414142"/>
              <w:bottom w:val="single" w:sz="6" w:space="0" w:color="414142"/>
              <w:right w:val="outset" w:sz="6" w:space="0" w:color="414142"/>
            </w:tcBorders>
            <w:shd w:val="clear" w:color="auto" w:fill="FFFFFF"/>
          </w:tcPr>
          <w:p w14:paraId="0BC3877E" w14:textId="3958CCE9" w:rsidR="00164E6A" w:rsidRPr="00164E6A" w:rsidRDefault="00164E6A" w:rsidP="00164E6A">
            <w:pPr>
              <w:pStyle w:val="NormalWeb"/>
              <w:spacing w:before="0" w:beforeAutospacing="0" w:after="0" w:afterAutospacing="0"/>
              <w:jc w:val="both"/>
              <w:rPr>
                <w:color w:val="000000" w:themeColor="text1"/>
                <w:sz w:val="22"/>
                <w:szCs w:val="22"/>
              </w:rPr>
            </w:pPr>
            <w:r w:rsidRPr="00164E6A">
              <w:rPr>
                <w:color w:val="000000"/>
                <w:sz w:val="22"/>
                <w:szCs w:val="22"/>
              </w:rPr>
              <w:t>2017-2018</w:t>
            </w:r>
            <w:r w:rsidRPr="00164E6A">
              <w:rPr>
                <w:rStyle w:val="FootnoteReference"/>
                <w:color w:val="000000"/>
              </w:rPr>
              <w:footnoteReference w:id="11"/>
            </w:r>
          </w:p>
        </w:tc>
        <w:tc>
          <w:tcPr>
            <w:tcW w:w="614" w:type="pct"/>
            <w:tcBorders>
              <w:top w:val="outset" w:sz="6" w:space="0" w:color="414142"/>
              <w:left w:val="outset" w:sz="6" w:space="0" w:color="414142"/>
              <w:bottom w:val="single" w:sz="6" w:space="0" w:color="414142"/>
              <w:right w:val="outset" w:sz="6" w:space="0" w:color="414142"/>
            </w:tcBorders>
            <w:shd w:val="clear" w:color="auto" w:fill="FFFFFF"/>
          </w:tcPr>
          <w:p w14:paraId="6731A14C" w14:textId="53CA12F9"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336762</w:t>
            </w:r>
          </w:p>
        </w:tc>
        <w:tc>
          <w:tcPr>
            <w:tcW w:w="942" w:type="pct"/>
            <w:tcBorders>
              <w:top w:val="outset" w:sz="6" w:space="0" w:color="414142"/>
              <w:left w:val="outset" w:sz="6" w:space="0" w:color="414142"/>
              <w:bottom w:val="single" w:sz="6" w:space="0" w:color="414142"/>
              <w:right w:val="outset" w:sz="6" w:space="0" w:color="414142"/>
            </w:tcBorders>
            <w:shd w:val="clear" w:color="auto" w:fill="FFFFFF"/>
          </w:tcPr>
          <w:p w14:paraId="7605C71C" w14:textId="2492FA33"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7</w:t>
            </w:r>
            <w:r w:rsidR="000D0C24">
              <w:rPr>
                <w:color w:val="000000"/>
                <w:sz w:val="22"/>
                <w:szCs w:val="22"/>
              </w:rPr>
              <w:t xml:space="preserve"> </w:t>
            </w:r>
            <w:r w:rsidRPr="00164E6A">
              <w:rPr>
                <w:color w:val="000000"/>
                <w:sz w:val="22"/>
                <w:szCs w:val="22"/>
              </w:rPr>
              <w:t>901</w:t>
            </w:r>
            <w:r w:rsidR="000D0C24">
              <w:rPr>
                <w:color w:val="000000"/>
                <w:sz w:val="22"/>
                <w:szCs w:val="22"/>
              </w:rPr>
              <w:t xml:space="preserve"> </w:t>
            </w:r>
            <w:r w:rsidRPr="00164E6A">
              <w:rPr>
                <w:color w:val="000000"/>
                <w:sz w:val="22"/>
                <w:szCs w:val="22"/>
              </w:rPr>
              <w:t>215</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56B46998" w14:textId="587F16C0"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12,35</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6243BFC3" w14:textId="1E98A95B"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12,35</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5C2089FC" w14:textId="61A5C739"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12,35</w:t>
            </w:r>
          </w:p>
        </w:tc>
        <w:tc>
          <w:tcPr>
            <w:tcW w:w="429" w:type="pct"/>
            <w:tcBorders>
              <w:top w:val="outset" w:sz="6" w:space="0" w:color="414142"/>
              <w:left w:val="outset" w:sz="6" w:space="0" w:color="414142"/>
              <w:bottom w:val="single" w:sz="6" w:space="0" w:color="414142"/>
              <w:right w:val="outset" w:sz="6" w:space="0" w:color="414142"/>
            </w:tcBorders>
            <w:shd w:val="clear" w:color="auto" w:fill="FFFFFF"/>
          </w:tcPr>
          <w:p w14:paraId="675A62D5" w14:textId="2FD8B445" w:rsidR="00164E6A" w:rsidRPr="00164E6A" w:rsidRDefault="00164E6A" w:rsidP="00164E6A">
            <w:pPr>
              <w:pStyle w:val="NormalWeb"/>
              <w:spacing w:before="0" w:beforeAutospacing="0" w:after="0" w:afterAutospacing="0"/>
              <w:jc w:val="both"/>
              <w:rPr>
                <w:rFonts w:eastAsiaTheme="minorHAnsi"/>
                <w:color w:val="000000"/>
                <w:sz w:val="20"/>
                <w:szCs w:val="20"/>
                <w:lang w:eastAsia="en-US"/>
              </w:rPr>
            </w:pPr>
            <w:r w:rsidRPr="00164E6A">
              <w:rPr>
                <w:color w:val="000000"/>
                <w:sz w:val="22"/>
                <w:szCs w:val="22"/>
              </w:rPr>
              <w:t>12,35</w:t>
            </w:r>
          </w:p>
        </w:tc>
        <w:tc>
          <w:tcPr>
            <w:tcW w:w="685"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118E80DD" w14:textId="27887763" w:rsidR="00164E6A" w:rsidRDefault="00164E6A" w:rsidP="00164E6A">
            <w:pPr>
              <w:pStyle w:val="NormalWeb"/>
              <w:spacing w:before="0" w:beforeAutospacing="0" w:after="0" w:afterAutospacing="0"/>
              <w:jc w:val="both"/>
              <w:rPr>
                <w:rFonts w:eastAsiaTheme="minorHAnsi"/>
                <w:color w:val="000000"/>
                <w:sz w:val="22"/>
                <w:szCs w:val="22"/>
                <w:lang w:eastAsia="en-US"/>
              </w:rPr>
            </w:pPr>
            <w:r w:rsidRPr="00164E6A">
              <w:rPr>
                <w:color w:val="000000"/>
                <w:sz w:val="22"/>
                <w:szCs w:val="22"/>
              </w:rPr>
              <w:t>13 597 252</w:t>
            </w:r>
          </w:p>
        </w:tc>
      </w:tr>
      <w:tr w:rsidR="00164E6A" w14:paraId="1A19DDC0" w14:textId="77777777" w:rsidTr="000D0C24">
        <w:tc>
          <w:tcPr>
            <w:tcW w:w="696"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386F1975" w14:textId="77777777" w:rsidR="00164E6A" w:rsidRDefault="00164E6A" w:rsidP="00164E6A">
            <w:pPr>
              <w:spacing w:after="0" w:line="240" w:lineRule="auto"/>
              <w:jc w:val="both"/>
              <w:rPr>
                <w:rFonts w:ascii="Times New Roman" w:hAnsi="Times New Roman" w:cs="Times New Roman"/>
                <w:color w:val="000000" w:themeColor="text1"/>
                <w:highlight w:val="yellow"/>
              </w:rPr>
            </w:pPr>
            <w:bookmarkStart w:id="16" w:name="_Hlk37759194"/>
            <w:r>
              <w:rPr>
                <w:rFonts w:ascii="Times New Roman" w:hAnsi="Times New Roman" w:cs="Times New Roman"/>
                <w:color w:val="000000" w:themeColor="text1"/>
              </w:rPr>
              <w:t>2018-2020</w:t>
            </w:r>
            <w:r>
              <w:rPr>
                <w:rStyle w:val="FootnoteReference"/>
                <w:rFonts w:ascii="Times New Roman" w:hAnsi="Times New Roman" w:cs="Times New Roman"/>
                <w:color w:val="000000" w:themeColor="text1"/>
              </w:rPr>
              <w:footnoteReference w:id="12"/>
            </w:r>
          </w:p>
        </w:tc>
        <w:tc>
          <w:tcPr>
            <w:tcW w:w="614"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19307506" w14:textId="77777777" w:rsidR="00164E6A" w:rsidRDefault="00164E6A" w:rsidP="00164E6A">
            <w:pPr>
              <w:pStyle w:val="NormalWeb"/>
              <w:spacing w:before="0" w:beforeAutospacing="0" w:after="0" w:afterAutospacing="0"/>
              <w:jc w:val="both"/>
              <w:rPr>
                <w:color w:val="000000" w:themeColor="text1"/>
                <w:sz w:val="22"/>
                <w:szCs w:val="22"/>
              </w:rPr>
            </w:pPr>
            <w:r>
              <w:rPr>
                <w:color w:val="000000" w:themeColor="text1"/>
                <w:sz w:val="22"/>
                <w:szCs w:val="22"/>
              </w:rPr>
              <w:t>376544</w:t>
            </w:r>
          </w:p>
        </w:tc>
        <w:tc>
          <w:tcPr>
            <w:tcW w:w="942"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730620A6" w14:textId="77777777" w:rsidR="00164E6A" w:rsidRDefault="00164E6A" w:rsidP="00164E6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39 321 873</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4D1F665B" w14:textId="77777777" w:rsidR="00164E6A" w:rsidRDefault="00164E6A" w:rsidP="00164E6A">
            <w:pPr>
              <w:pStyle w:val="NormalWeb"/>
              <w:spacing w:before="0" w:beforeAutospacing="0" w:after="0" w:afterAutospacing="0"/>
              <w:jc w:val="both"/>
              <w:rPr>
                <w:color w:val="000000" w:themeColor="text1"/>
                <w:sz w:val="22"/>
                <w:szCs w:val="22"/>
              </w:rPr>
            </w:pPr>
            <w:r>
              <w:rPr>
                <w:color w:val="000000" w:themeColor="text1"/>
                <w:sz w:val="22"/>
                <w:szCs w:val="22"/>
              </w:rPr>
              <w:t>14,35</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48A69A2F" w14:textId="77777777" w:rsidR="00164E6A" w:rsidRDefault="00164E6A" w:rsidP="00164E6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3A75D0D8" w14:textId="77777777" w:rsidR="00164E6A" w:rsidRDefault="00164E6A" w:rsidP="00164E6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429" w:type="pct"/>
            <w:tcBorders>
              <w:top w:val="outset" w:sz="6" w:space="0" w:color="414142"/>
              <w:left w:val="outset" w:sz="6" w:space="0" w:color="414142"/>
              <w:bottom w:val="single" w:sz="6" w:space="0" w:color="414142"/>
              <w:right w:val="outset" w:sz="6" w:space="0" w:color="414142"/>
            </w:tcBorders>
            <w:shd w:val="clear" w:color="auto" w:fill="FFFFFF"/>
          </w:tcPr>
          <w:p w14:paraId="54D9CB27" w14:textId="77777777" w:rsidR="00164E6A" w:rsidRDefault="00164E6A" w:rsidP="00164E6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14,35</w:t>
            </w:r>
          </w:p>
        </w:tc>
        <w:tc>
          <w:tcPr>
            <w:tcW w:w="685" w:type="pct"/>
            <w:tcBorders>
              <w:top w:val="outset" w:sz="6" w:space="0" w:color="414142"/>
              <w:left w:val="outset" w:sz="6" w:space="0" w:color="414142"/>
              <w:bottom w:val="single" w:sz="6" w:space="0" w:color="414142"/>
              <w:right w:val="outset" w:sz="6" w:space="0" w:color="414142"/>
            </w:tcBorders>
            <w:shd w:val="clear" w:color="auto" w:fill="FFFFFF"/>
          </w:tcPr>
          <w:p w14:paraId="42538B75" w14:textId="77777777" w:rsidR="00164E6A" w:rsidRDefault="00164E6A" w:rsidP="00164E6A">
            <w:pPr>
              <w:spacing w:after="0" w:line="240" w:lineRule="auto"/>
              <w:jc w:val="both"/>
              <w:rPr>
                <w:rFonts w:ascii="Times New Roman" w:hAnsi="Times New Roman" w:cs="Times New Roman"/>
              </w:rPr>
            </w:pPr>
            <w:r>
              <w:rPr>
                <w:rFonts w:ascii="Times New Roman" w:hAnsi="Times New Roman" w:cs="Times New Roman"/>
                <w:color w:val="000000"/>
              </w:rPr>
              <w:t>34 652 127</w:t>
            </w:r>
            <w:r>
              <w:rPr>
                <w:rStyle w:val="FootnoteReference"/>
                <w:rFonts w:ascii="Times New Roman" w:hAnsi="Times New Roman" w:cs="Times New Roman"/>
                <w:color w:val="000000"/>
              </w:rPr>
              <w:footnoteReference w:id="13"/>
            </w:r>
          </w:p>
        </w:tc>
      </w:tr>
      <w:bookmarkEnd w:id="16"/>
      <w:tr w:rsidR="00164E6A" w14:paraId="32546B7F" w14:textId="77777777" w:rsidTr="000D0C24">
        <w:tc>
          <w:tcPr>
            <w:tcW w:w="696"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08D411DF" w14:textId="2F0BF40F" w:rsidR="00164E6A" w:rsidRPr="001F6B43" w:rsidRDefault="00164E6A" w:rsidP="00164E6A">
            <w:pPr>
              <w:spacing w:after="0" w:line="240" w:lineRule="auto"/>
              <w:jc w:val="both"/>
              <w:rPr>
                <w:rFonts w:ascii="Times New Roman" w:hAnsi="Times New Roman" w:cs="Times New Roman"/>
                <w:color w:val="000000" w:themeColor="text1"/>
              </w:rPr>
            </w:pPr>
            <w:r w:rsidRPr="001F6B43">
              <w:rPr>
                <w:rFonts w:ascii="Times New Roman" w:hAnsi="Times New Roman" w:cs="Times New Roman"/>
                <w:color w:val="000000" w:themeColor="text1"/>
              </w:rPr>
              <w:t>2021</w:t>
            </w:r>
          </w:p>
        </w:tc>
        <w:tc>
          <w:tcPr>
            <w:tcW w:w="614"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4ABE3FE0" w14:textId="789EACCD" w:rsidR="00164E6A" w:rsidRPr="001F6B43" w:rsidRDefault="00164E6A" w:rsidP="00164E6A">
            <w:pPr>
              <w:pStyle w:val="NormalWeb"/>
              <w:spacing w:before="0" w:beforeAutospacing="0" w:after="0" w:afterAutospacing="0"/>
              <w:jc w:val="both"/>
              <w:rPr>
                <w:color w:val="000000" w:themeColor="text1"/>
                <w:sz w:val="22"/>
                <w:szCs w:val="22"/>
              </w:rPr>
            </w:pPr>
            <w:r w:rsidRPr="001F6B43">
              <w:rPr>
                <w:color w:val="000000"/>
                <w:sz w:val="22"/>
                <w:szCs w:val="22"/>
              </w:rPr>
              <w:t>352 700</w:t>
            </w:r>
          </w:p>
        </w:tc>
        <w:tc>
          <w:tcPr>
            <w:tcW w:w="942" w:type="pct"/>
            <w:tcBorders>
              <w:top w:val="outset" w:sz="6" w:space="0" w:color="414142"/>
              <w:left w:val="outset" w:sz="6" w:space="0" w:color="414142"/>
              <w:bottom w:val="single" w:sz="6" w:space="0" w:color="414142"/>
              <w:right w:val="outset" w:sz="6" w:space="0" w:color="414142"/>
            </w:tcBorders>
            <w:shd w:val="clear" w:color="auto" w:fill="FFFFFF"/>
            <w:vAlign w:val="center"/>
          </w:tcPr>
          <w:p w14:paraId="7FA54020" w14:textId="7A582E01" w:rsidR="00164E6A" w:rsidRPr="001F6B43" w:rsidRDefault="00164E6A" w:rsidP="00164E6A">
            <w:pPr>
              <w:spacing w:after="0" w:line="240" w:lineRule="auto"/>
              <w:jc w:val="both"/>
              <w:rPr>
                <w:rFonts w:ascii="Times New Roman" w:hAnsi="Times New Roman" w:cs="Times New Roman"/>
                <w:color w:val="000000" w:themeColor="text1"/>
              </w:rPr>
            </w:pPr>
            <w:r w:rsidRPr="001F6B43">
              <w:rPr>
                <w:rFonts w:ascii="Times New Roman" w:hAnsi="Times New Roman" w:cs="Times New Roman"/>
                <w:color w:val="000000"/>
              </w:rPr>
              <w:t>14 376 372</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0199FDF8" w14:textId="23E9CE2E" w:rsidR="00164E6A" w:rsidRPr="001F6B43" w:rsidRDefault="00164E6A" w:rsidP="00164E6A">
            <w:pPr>
              <w:pStyle w:val="NormalWeb"/>
              <w:spacing w:before="0" w:beforeAutospacing="0" w:after="0" w:afterAutospacing="0"/>
              <w:jc w:val="both"/>
              <w:rPr>
                <w:color w:val="000000" w:themeColor="text1"/>
                <w:sz w:val="22"/>
                <w:szCs w:val="22"/>
              </w:rPr>
            </w:pPr>
            <w:r w:rsidRPr="001F6B43">
              <w:rPr>
                <w:color w:val="000000"/>
                <w:sz w:val="22"/>
                <w:szCs w:val="22"/>
              </w:rPr>
              <w:t>12,28</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0BB0CDC4" w14:textId="5B979140" w:rsidR="00164E6A" w:rsidRPr="001F6B43" w:rsidRDefault="00164E6A" w:rsidP="00164E6A">
            <w:pPr>
              <w:spacing w:after="0" w:line="240" w:lineRule="auto"/>
              <w:jc w:val="both"/>
              <w:rPr>
                <w:rFonts w:ascii="Times New Roman" w:hAnsi="Times New Roman" w:cs="Times New Roman"/>
                <w:color w:val="000000" w:themeColor="text1"/>
              </w:rPr>
            </w:pPr>
            <w:r w:rsidRPr="001F6B43">
              <w:rPr>
                <w:rFonts w:ascii="Times New Roman" w:hAnsi="Times New Roman" w:cs="Times New Roman"/>
                <w:color w:val="000000"/>
              </w:rPr>
              <w:t>12,28</w:t>
            </w:r>
          </w:p>
        </w:tc>
        <w:tc>
          <w:tcPr>
            <w:tcW w:w="545" w:type="pct"/>
            <w:tcBorders>
              <w:top w:val="outset" w:sz="6" w:space="0" w:color="414142"/>
              <w:left w:val="outset" w:sz="6" w:space="0" w:color="414142"/>
              <w:bottom w:val="single" w:sz="6" w:space="0" w:color="414142"/>
              <w:right w:val="outset" w:sz="6" w:space="0" w:color="414142"/>
            </w:tcBorders>
            <w:shd w:val="clear" w:color="auto" w:fill="FFFFFF"/>
          </w:tcPr>
          <w:p w14:paraId="18D2944D" w14:textId="60AC3C95" w:rsidR="00164E6A" w:rsidRPr="001F6B43" w:rsidRDefault="00164E6A" w:rsidP="00164E6A">
            <w:pPr>
              <w:spacing w:after="0" w:line="240" w:lineRule="auto"/>
              <w:jc w:val="both"/>
              <w:rPr>
                <w:rFonts w:ascii="Times New Roman" w:hAnsi="Times New Roman" w:cs="Times New Roman"/>
                <w:color w:val="000000" w:themeColor="text1"/>
              </w:rPr>
            </w:pPr>
            <w:r w:rsidRPr="001F6B43">
              <w:rPr>
                <w:rFonts w:ascii="Times New Roman" w:hAnsi="Times New Roman" w:cs="Times New Roman"/>
                <w:color w:val="000000"/>
              </w:rPr>
              <w:t>12,28</w:t>
            </w:r>
          </w:p>
        </w:tc>
        <w:tc>
          <w:tcPr>
            <w:tcW w:w="429" w:type="pct"/>
            <w:tcBorders>
              <w:top w:val="outset" w:sz="6" w:space="0" w:color="414142"/>
              <w:left w:val="outset" w:sz="6" w:space="0" w:color="414142"/>
              <w:bottom w:val="single" w:sz="6" w:space="0" w:color="414142"/>
              <w:right w:val="outset" w:sz="6" w:space="0" w:color="414142"/>
            </w:tcBorders>
            <w:shd w:val="clear" w:color="auto" w:fill="FFFFFF"/>
          </w:tcPr>
          <w:p w14:paraId="61900083" w14:textId="4A9D1564" w:rsidR="00164E6A" w:rsidRPr="001F6B43" w:rsidRDefault="00164E6A" w:rsidP="00164E6A">
            <w:pPr>
              <w:spacing w:after="0" w:line="240" w:lineRule="auto"/>
              <w:jc w:val="both"/>
              <w:rPr>
                <w:rFonts w:ascii="Times New Roman" w:hAnsi="Times New Roman" w:cs="Times New Roman"/>
                <w:color w:val="000000" w:themeColor="text1"/>
              </w:rPr>
            </w:pPr>
            <w:r w:rsidRPr="001F6B43">
              <w:rPr>
                <w:rFonts w:ascii="Times New Roman" w:hAnsi="Times New Roman" w:cs="Times New Roman"/>
                <w:color w:val="000000"/>
              </w:rPr>
              <w:t>12,28</w:t>
            </w:r>
          </w:p>
        </w:tc>
        <w:tc>
          <w:tcPr>
            <w:tcW w:w="685" w:type="pct"/>
            <w:tcBorders>
              <w:top w:val="outset" w:sz="6" w:space="0" w:color="414142"/>
              <w:left w:val="outset" w:sz="6" w:space="0" w:color="414142"/>
              <w:bottom w:val="single" w:sz="6" w:space="0" w:color="414142"/>
              <w:right w:val="outset" w:sz="6" w:space="0" w:color="414142"/>
            </w:tcBorders>
            <w:shd w:val="clear" w:color="auto" w:fill="FFFFFF"/>
          </w:tcPr>
          <w:p w14:paraId="6C707C10" w14:textId="29ED6904" w:rsidR="00164E6A" w:rsidRDefault="00164E6A" w:rsidP="00164E6A">
            <w:pPr>
              <w:spacing w:after="0" w:line="240" w:lineRule="auto"/>
              <w:jc w:val="both"/>
              <w:rPr>
                <w:rFonts w:ascii="Times New Roman" w:hAnsi="Times New Roman" w:cs="Times New Roman"/>
                <w:color w:val="000000"/>
              </w:rPr>
            </w:pPr>
            <w:r w:rsidRPr="001F6B43">
              <w:rPr>
                <w:rFonts w:ascii="Times New Roman" w:hAnsi="Times New Roman" w:cs="Times New Roman"/>
                <w:color w:val="000000"/>
              </w:rPr>
              <w:t>n/a</w:t>
            </w:r>
            <w:r w:rsidRPr="001F6B43">
              <w:rPr>
                <w:rStyle w:val="FootnoteReference"/>
                <w:rFonts w:ascii="Times New Roman" w:hAnsi="Times New Roman" w:cs="Times New Roman"/>
                <w:color w:val="000000"/>
              </w:rPr>
              <w:footnoteReference w:id="14"/>
            </w:r>
          </w:p>
        </w:tc>
      </w:tr>
      <w:tr w:rsidR="00164E6A" w14:paraId="4DF458A9" w14:textId="77777777" w:rsidTr="000D0C24">
        <w:tc>
          <w:tcPr>
            <w:tcW w:w="4315" w:type="pct"/>
            <w:gridSpan w:val="7"/>
            <w:tcBorders>
              <w:top w:val="nil"/>
              <w:left w:val="nil"/>
              <w:bottom w:val="nil"/>
              <w:right w:val="nil"/>
            </w:tcBorders>
            <w:shd w:val="clear" w:color="auto" w:fill="FFFFFF"/>
            <w:hideMark/>
          </w:tcPr>
          <w:p w14:paraId="6D5CC4D9" w14:textId="77777777" w:rsidR="00164E6A" w:rsidRDefault="00164E6A" w:rsidP="00164E6A">
            <w:pPr>
              <w:spacing w:after="0" w:line="240" w:lineRule="auto"/>
              <w:jc w:val="both"/>
              <w:rPr>
                <w:rFonts w:ascii="Times New Roman" w:hAnsi="Times New Roman" w:cs="Times New Roman"/>
                <w:color w:val="000000" w:themeColor="text1"/>
              </w:rPr>
            </w:pPr>
          </w:p>
        </w:tc>
        <w:tc>
          <w:tcPr>
            <w:tcW w:w="685" w:type="pct"/>
            <w:tcBorders>
              <w:top w:val="nil"/>
              <w:left w:val="nil"/>
              <w:bottom w:val="nil"/>
              <w:right w:val="nil"/>
            </w:tcBorders>
            <w:shd w:val="clear" w:color="auto" w:fill="FFFFFF"/>
          </w:tcPr>
          <w:p w14:paraId="1AF89838" w14:textId="77777777" w:rsidR="00164E6A" w:rsidRDefault="00164E6A" w:rsidP="00164E6A">
            <w:pPr>
              <w:spacing w:after="0" w:line="240" w:lineRule="auto"/>
              <w:jc w:val="both"/>
              <w:rPr>
                <w:rFonts w:ascii="Times New Roman" w:hAnsi="Times New Roman" w:cs="Times New Roman"/>
                <w:color w:val="000000" w:themeColor="text1"/>
              </w:rPr>
            </w:pPr>
          </w:p>
        </w:tc>
      </w:tr>
    </w:tbl>
    <w:p w14:paraId="31FA2DB4" w14:textId="77777777" w:rsidR="00F8459C" w:rsidRDefault="00C71529">
      <w:pPr>
        <w:pStyle w:val="Style2"/>
      </w:pPr>
      <w:r>
        <w:t xml:space="preserve">Pēc Konsultanta aplēsēm, </w:t>
      </w:r>
      <w:r>
        <w:rPr>
          <w:u w:val="single"/>
        </w:rPr>
        <w:t>administratīvās izmaksas</w:t>
      </w:r>
      <w:r>
        <w:t>, kas ir saistītas ar Biroju kā CKUS funkciju izpildi, veido nenozīmīgu daļu no kopējiem izdevumiem, proti, tās ir mazākas par 1% no kopējiem izdevumiem.</w:t>
      </w:r>
    </w:p>
    <w:p w14:paraId="65B811DA" w14:textId="3717EEAD" w:rsidR="00F8459C" w:rsidRDefault="00C71529">
      <w:pPr>
        <w:pStyle w:val="Style2"/>
        <w:rPr>
          <w:u w:val="single"/>
        </w:rPr>
      </w:pPr>
      <w:r>
        <w:t>Tātad esošajā Latvijas modelī krājumi nav valstij piederoši - valstij pieder biļetes</w:t>
      </w:r>
      <w:r w:rsidR="00A71878">
        <w:t xml:space="preserve"> (tiesības)</w:t>
      </w:r>
      <w:r>
        <w:t xml:space="preserve">, kas tai dod iespēju atpirkt naftas produktus – un valsts budžeta izmaksas tiek kompensētas ar nodevām, ko iekasē no komersantiem. </w:t>
      </w:r>
      <w:r w:rsidR="004F76B8">
        <w:t>E</w:t>
      </w:r>
      <w:r w:rsidRPr="004F76B8">
        <w:t>nerģētiskās krīzes laikā Centrs prasītu komersantiem</w:t>
      </w:r>
      <w:r>
        <w:t>, drošības rezerv</w:t>
      </w:r>
      <w:r w:rsidR="00A16E9B">
        <w:t>ju</w:t>
      </w:r>
      <w:r>
        <w:t xml:space="preserve"> pakalpojum</w:t>
      </w:r>
      <w:r w:rsidR="00A16E9B">
        <w:t>a sniedzējiem</w:t>
      </w:r>
      <w:r>
        <w:t xml:space="preserve">, </w:t>
      </w:r>
      <w:r>
        <w:rPr>
          <w:u w:val="single"/>
        </w:rPr>
        <w:t>pārdot naftas produktus par naftas produktu cenu dienā, kas tieši seko dienai, kurā Ministru kabinets izsludināja valsts mēroga enerģētisko krīzi.</w:t>
      </w:r>
    </w:p>
    <w:p w14:paraId="6191D2A0" w14:textId="219B226B" w:rsidR="00F8459C" w:rsidRDefault="00C71529">
      <w:pPr>
        <w:pStyle w:val="Style2"/>
      </w:pPr>
      <w:r>
        <w:t>No 2018.</w:t>
      </w:r>
      <w:r w:rsidR="00A16E9B">
        <w:t xml:space="preserve"> </w:t>
      </w:r>
      <w:r>
        <w:t>gada 12.</w:t>
      </w:r>
      <w:r w:rsidR="00A16E9B">
        <w:t xml:space="preserve"> </w:t>
      </w:r>
      <w:r>
        <w:t>decembra līdz 2020.</w:t>
      </w:r>
      <w:r w:rsidR="00A16E9B">
        <w:t xml:space="preserve"> </w:t>
      </w:r>
      <w:r>
        <w:t>gada 11.</w:t>
      </w:r>
      <w:r w:rsidR="00A16E9B">
        <w:t xml:space="preserve"> </w:t>
      </w:r>
      <w:r>
        <w:t xml:space="preserve">decembrim drošības rezerves pakalpojumus sniedz šādi komersanti: </w:t>
      </w:r>
      <w:r w:rsidR="00E84993">
        <w:t>SIA</w:t>
      </w:r>
      <w:r>
        <w:t xml:space="preserve"> "</w:t>
      </w:r>
      <w:proofErr w:type="spellStart"/>
      <w:r>
        <w:t>Pirmas</w:t>
      </w:r>
      <w:proofErr w:type="spellEnd"/>
      <w:r>
        <w:t>", UAB "</w:t>
      </w:r>
      <w:proofErr w:type="spellStart"/>
      <w:r>
        <w:t>Okseta</w:t>
      </w:r>
      <w:proofErr w:type="spellEnd"/>
      <w:r>
        <w:t>", UAB "</w:t>
      </w:r>
      <w:proofErr w:type="spellStart"/>
      <w:r>
        <w:t>Baltic</w:t>
      </w:r>
      <w:proofErr w:type="spellEnd"/>
      <w:r>
        <w:t xml:space="preserve"> </w:t>
      </w:r>
      <w:proofErr w:type="spellStart"/>
      <w:r>
        <w:t>Petroleum</w:t>
      </w:r>
      <w:proofErr w:type="spellEnd"/>
      <w:r>
        <w:t xml:space="preserve">", </w:t>
      </w:r>
      <w:r w:rsidR="00E84993">
        <w:t>SIA</w:t>
      </w:r>
      <w:r>
        <w:t xml:space="preserve"> "</w:t>
      </w:r>
      <w:proofErr w:type="spellStart"/>
      <w:r>
        <w:t>Circle</w:t>
      </w:r>
      <w:proofErr w:type="spellEnd"/>
      <w:r>
        <w:t xml:space="preserve"> K Latvia”, </w:t>
      </w:r>
      <w:r w:rsidR="00E84993">
        <w:t xml:space="preserve">AS </w:t>
      </w:r>
      <w:r>
        <w:t xml:space="preserve">"Ventbunkers", </w:t>
      </w:r>
      <w:r w:rsidR="00E84993">
        <w:t>SIA</w:t>
      </w:r>
      <w:r>
        <w:t xml:space="preserve"> "RDZ </w:t>
      </w:r>
      <w:proofErr w:type="spellStart"/>
      <w:r>
        <w:t>Energy</w:t>
      </w:r>
      <w:proofErr w:type="spellEnd"/>
      <w:r>
        <w:t>", "</w:t>
      </w:r>
      <w:proofErr w:type="spellStart"/>
      <w:r>
        <w:t>Gunvor</w:t>
      </w:r>
      <w:proofErr w:type="spellEnd"/>
      <w:r>
        <w:t xml:space="preserve"> SA", "</w:t>
      </w:r>
      <w:proofErr w:type="spellStart"/>
      <w:r>
        <w:t>Vitol</w:t>
      </w:r>
      <w:proofErr w:type="spellEnd"/>
      <w:r>
        <w:t xml:space="preserve"> SA" un "</w:t>
      </w:r>
      <w:proofErr w:type="spellStart"/>
      <w:r>
        <w:t>Mercuria</w:t>
      </w:r>
      <w:proofErr w:type="spellEnd"/>
      <w:r>
        <w:t xml:space="preserve"> </w:t>
      </w:r>
      <w:proofErr w:type="spellStart"/>
      <w:r>
        <w:t>Energy</w:t>
      </w:r>
      <w:proofErr w:type="spellEnd"/>
      <w:r>
        <w:t xml:space="preserve"> </w:t>
      </w:r>
      <w:proofErr w:type="spellStart"/>
      <w:r>
        <w:t>Trading</w:t>
      </w:r>
      <w:proofErr w:type="spellEnd"/>
      <w:r>
        <w:t>” SA</w:t>
      </w:r>
      <w:r w:rsidR="00C023ED">
        <w:t>, kā arī AS “Latvenergo” krājumos esošais dīzeļdegvielas apjoms (uz 2018.gada septembri  – 10 125 tonnas dīzeļdegviela)</w:t>
      </w:r>
      <w:r>
        <w:t xml:space="preserve">. </w:t>
      </w:r>
      <w:r>
        <w:rPr>
          <w:u w:val="single"/>
        </w:rPr>
        <w:t>Drošības rezerves – benzīns un dīzeļdegviela - tik</w:t>
      </w:r>
      <w:r w:rsidR="00A26B17">
        <w:rPr>
          <w:u w:val="single"/>
        </w:rPr>
        <w:t>a</w:t>
      </w:r>
      <w:r>
        <w:rPr>
          <w:u w:val="single"/>
        </w:rPr>
        <w:t xml:space="preserve"> uzglabātas Latvijā (60% apmērā no kopējā apjoma) un citās ES dalībvalstīs (40% apmērā).</w:t>
      </w:r>
      <w:r>
        <w:t xml:space="preserve"> Tabula 2 atspoguļo Latvijas drošības rezerves apjomu 2019. – 2020.gadā</w:t>
      </w:r>
      <w:r w:rsidR="00A26B17">
        <w:t>, kā arī 2021.gadā</w:t>
      </w:r>
      <w:r>
        <w:t xml:space="preserve">. Savukārt </w:t>
      </w:r>
      <w:r w:rsidR="00E009D7">
        <w:t xml:space="preserve">attiecībā uz </w:t>
      </w:r>
      <w:r w:rsidR="00434B64">
        <w:t>drošības</w:t>
      </w:r>
      <w:r w:rsidR="00E260A6">
        <w:t xml:space="preserve"> </w:t>
      </w:r>
      <w:r>
        <w:t>rezervju apjomiem, kurus citas valstis glabā Latvijā</w:t>
      </w:r>
      <w:r w:rsidR="00E009D7">
        <w:t>, jānorāda, ka uzglabātais apjoms ir ļoti mainīgs un ārvalstu drošības rezerves Latvijā tiek uzglabātas arī uz ļoti īsiem periodiem. Uz 2021.gada 22.aprīli Latvijā tiek uzglabātas Zviedrijas drošības rezerves 45 000 tonnu apmērā (tiks uzglabātas līdz 2021.gada 30.jūnijam)</w:t>
      </w:r>
    </w:p>
    <w:p w14:paraId="324A3CB0" w14:textId="77777777" w:rsidR="00F8459C" w:rsidRDefault="00F8459C">
      <w:pPr>
        <w:pStyle w:val="Style2"/>
      </w:pPr>
    </w:p>
    <w:p w14:paraId="6506E960" w14:textId="143A1A71"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lastRenderedPageBreak/>
        <w:t xml:space="preserve">Tabula 2. Latvijas naftas produktu drošības rezerves apjoms 2019. – </w:t>
      </w:r>
      <w:r w:rsidR="000E0114">
        <w:rPr>
          <w:i/>
          <w:iCs/>
          <w:color w:val="808080" w:themeColor="background1" w:themeShade="80"/>
        </w:rPr>
        <w:t>2021</w:t>
      </w:r>
      <w:r>
        <w:rPr>
          <w:i/>
          <w:iCs/>
          <w:color w:val="808080" w:themeColor="background1" w:themeShade="80"/>
        </w:rPr>
        <w:t>.gadā</w:t>
      </w:r>
    </w:p>
    <w:tbl>
      <w:tblPr>
        <w:tblStyle w:val="TableGrid"/>
        <w:tblW w:w="0" w:type="auto"/>
        <w:tblLook w:val="04A0" w:firstRow="1" w:lastRow="0" w:firstColumn="1" w:lastColumn="0" w:noHBand="0" w:noVBand="1"/>
      </w:tblPr>
      <w:tblGrid>
        <w:gridCol w:w="2405"/>
        <w:gridCol w:w="2022"/>
        <w:gridCol w:w="1930"/>
        <w:gridCol w:w="1547"/>
        <w:gridCol w:w="1021"/>
      </w:tblGrid>
      <w:tr w:rsidR="00F8459C" w14:paraId="73FB85C2" w14:textId="77777777" w:rsidTr="00E84993">
        <w:tc>
          <w:tcPr>
            <w:tcW w:w="2405" w:type="dxa"/>
            <w:shd w:val="clear" w:color="auto" w:fill="F2F2F2" w:themeFill="background1" w:themeFillShade="F2"/>
          </w:tcPr>
          <w:p w14:paraId="38373BBF" w14:textId="77777777" w:rsidR="00460DD5" w:rsidRDefault="00460DD5">
            <w:pPr>
              <w:pStyle w:val="Style2"/>
              <w:ind w:firstLine="176"/>
              <w:jc w:val="left"/>
              <w:rPr>
                <w:b/>
                <w:bCs/>
                <w:sz w:val="22"/>
                <w:szCs w:val="22"/>
              </w:rPr>
            </w:pPr>
          </w:p>
          <w:p w14:paraId="0D626944" w14:textId="77777777" w:rsidR="00460DD5" w:rsidRDefault="00460DD5">
            <w:pPr>
              <w:pStyle w:val="Style2"/>
              <w:ind w:firstLine="176"/>
              <w:jc w:val="left"/>
              <w:rPr>
                <w:b/>
                <w:bCs/>
                <w:sz w:val="22"/>
                <w:szCs w:val="22"/>
              </w:rPr>
            </w:pPr>
          </w:p>
          <w:p w14:paraId="553405FA" w14:textId="39FBD68B" w:rsidR="00F8459C" w:rsidRDefault="00E84993">
            <w:pPr>
              <w:pStyle w:val="Style2"/>
              <w:ind w:firstLine="176"/>
              <w:jc w:val="left"/>
              <w:rPr>
                <w:b/>
                <w:bCs/>
                <w:sz w:val="22"/>
                <w:szCs w:val="22"/>
              </w:rPr>
            </w:pPr>
            <w:r>
              <w:rPr>
                <w:b/>
                <w:bCs/>
                <w:sz w:val="22"/>
                <w:szCs w:val="22"/>
              </w:rPr>
              <w:t>2019.-2020. gads</w:t>
            </w:r>
          </w:p>
        </w:tc>
        <w:tc>
          <w:tcPr>
            <w:tcW w:w="2022" w:type="dxa"/>
            <w:shd w:val="clear" w:color="auto" w:fill="F2F2F2" w:themeFill="background1" w:themeFillShade="F2"/>
          </w:tcPr>
          <w:p w14:paraId="47D63C8F" w14:textId="77777777" w:rsidR="00F8459C" w:rsidRDefault="00C71529">
            <w:pPr>
              <w:pStyle w:val="Style2"/>
              <w:ind w:firstLine="0"/>
              <w:jc w:val="center"/>
              <w:rPr>
                <w:b/>
                <w:bCs/>
                <w:sz w:val="22"/>
                <w:szCs w:val="22"/>
              </w:rPr>
            </w:pPr>
            <w:r>
              <w:rPr>
                <w:b/>
                <w:bCs/>
                <w:sz w:val="22"/>
                <w:szCs w:val="22"/>
              </w:rPr>
              <w:t xml:space="preserve">Latvijā </w:t>
            </w:r>
            <w:r>
              <w:rPr>
                <w:sz w:val="22"/>
                <w:szCs w:val="22"/>
              </w:rPr>
              <w:t>(</w:t>
            </w:r>
            <w:proofErr w:type="spellStart"/>
            <w:r>
              <w:rPr>
                <w:sz w:val="22"/>
                <w:szCs w:val="22"/>
              </w:rPr>
              <w:t>tūkst.tonnas</w:t>
            </w:r>
            <w:proofErr w:type="spellEnd"/>
            <w:r>
              <w:rPr>
                <w:sz w:val="22"/>
                <w:szCs w:val="22"/>
              </w:rPr>
              <w:t>)</w:t>
            </w:r>
          </w:p>
        </w:tc>
        <w:tc>
          <w:tcPr>
            <w:tcW w:w="1930" w:type="dxa"/>
            <w:shd w:val="clear" w:color="auto" w:fill="F2F2F2" w:themeFill="background1" w:themeFillShade="F2"/>
          </w:tcPr>
          <w:p w14:paraId="00DE13A4" w14:textId="77777777" w:rsidR="00F8459C" w:rsidRDefault="00C71529">
            <w:pPr>
              <w:pStyle w:val="Style2"/>
              <w:ind w:firstLine="0"/>
              <w:jc w:val="center"/>
              <w:rPr>
                <w:b/>
                <w:bCs/>
                <w:sz w:val="22"/>
                <w:szCs w:val="22"/>
              </w:rPr>
            </w:pPr>
            <w:r>
              <w:rPr>
                <w:b/>
                <w:bCs/>
                <w:sz w:val="22"/>
                <w:szCs w:val="22"/>
              </w:rPr>
              <w:t>ES</w:t>
            </w:r>
          </w:p>
          <w:p w14:paraId="62A43E50" w14:textId="77777777" w:rsidR="00F8459C" w:rsidRDefault="00C71529">
            <w:pPr>
              <w:pStyle w:val="Style2"/>
              <w:ind w:firstLine="0"/>
              <w:jc w:val="center"/>
              <w:rPr>
                <w:sz w:val="22"/>
                <w:szCs w:val="22"/>
              </w:rPr>
            </w:pPr>
            <w:r>
              <w:rPr>
                <w:sz w:val="22"/>
                <w:szCs w:val="22"/>
              </w:rPr>
              <w:t>(Lietuva, Nīderlande, Zviedrija)</w:t>
            </w:r>
          </w:p>
          <w:p w14:paraId="51F764B2" w14:textId="77777777" w:rsidR="00F8459C" w:rsidRDefault="00C71529">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1547" w:type="dxa"/>
            <w:tcBorders>
              <w:right w:val="single" w:sz="4" w:space="0" w:color="auto"/>
            </w:tcBorders>
            <w:shd w:val="clear" w:color="auto" w:fill="F2F2F2" w:themeFill="background1" w:themeFillShade="F2"/>
          </w:tcPr>
          <w:p w14:paraId="1ADED99B" w14:textId="77777777" w:rsidR="00F8459C" w:rsidRDefault="00C71529">
            <w:pPr>
              <w:pStyle w:val="Style2"/>
              <w:ind w:firstLine="0"/>
              <w:jc w:val="center"/>
              <w:rPr>
                <w:b/>
                <w:bCs/>
                <w:sz w:val="22"/>
                <w:szCs w:val="22"/>
              </w:rPr>
            </w:pPr>
            <w:r>
              <w:rPr>
                <w:b/>
                <w:bCs/>
                <w:sz w:val="22"/>
                <w:szCs w:val="22"/>
              </w:rPr>
              <w:t>Kopā</w:t>
            </w:r>
          </w:p>
          <w:p w14:paraId="724EDA16" w14:textId="77777777" w:rsidR="00F8459C" w:rsidRDefault="00C71529">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1021" w:type="dxa"/>
            <w:tcBorders>
              <w:top w:val="nil"/>
              <w:left w:val="single" w:sz="4" w:space="0" w:color="auto"/>
              <w:bottom w:val="single" w:sz="4" w:space="0" w:color="auto"/>
              <w:right w:val="nil"/>
            </w:tcBorders>
            <w:shd w:val="clear" w:color="auto" w:fill="auto"/>
          </w:tcPr>
          <w:p w14:paraId="56116278" w14:textId="77777777" w:rsidR="00F8459C" w:rsidRDefault="00F8459C">
            <w:pPr>
              <w:pStyle w:val="Style2"/>
              <w:ind w:firstLine="0"/>
              <w:jc w:val="center"/>
              <w:rPr>
                <w:b/>
                <w:bCs/>
                <w:sz w:val="22"/>
                <w:szCs w:val="22"/>
              </w:rPr>
            </w:pPr>
          </w:p>
        </w:tc>
      </w:tr>
      <w:tr w:rsidR="00F8459C" w14:paraId="41F9477D" w14:textId="77777777" w:rsidTr="00E84993">
        <w:tc>
          <w:tcPr>
            <w:tcW w:w="2405" w:type="dxa"/>
          </w:tcPr>
          <w:p w14:paraId="13476076" w14:textId="77777777" w:rsidR="00F8459C" w:rsidRDefault="00C71529">
            <w:pPr>
              <w:pStyle w:val="Style2"/>
              <w:ind w:firstLine="0"/>
              <w:jc w:val="left"/>
              <w:rPr>
                <w:sz w:val="22"/>
                <w:szCs w:val="22"/>
              </w:rPr>
            </w:pPr>
            <w:r>
              <w:rPr>
                <w:sz w:val="22"/>
                <w:szCs w:val="22"/>
              </w:rPr>
              <w:t xml:space="preserve">I kategorija (benzīns un aviācijas degviela) - </w:t>
            </w:r>
            <w:r>
              <w:rPr>
                <w:i/>
                <w:iCs/>
                <w:sz w:val="22"/>
                <w:szCs w:val="22"/>
              </w:rPr>
              <w:t>benzīns</w:t>
            </w:r>
          </w:p>
        </w:tc>
        <w:tc>
          <w:tcPr>
            <w:tcW w:w="2022" w:type="dxa"/>
          </w:tcPr>
          <w:p w14:paraId="344C4172" w14:textId="77777777" w:rsidR="00F8459C" w:rsidRDefault="00C71529">
            <w:pPr>
              <w:pStyle w:val="Style2"/>
              <w:rPr>
                <w:sz w:val="22"/>
                <w:szCs w:val="22"/>
              </w:rPr>
            </w:pPr>
            <w:r>
              <w:rPr>
                <w:sz w:val="22"/>
                <w:szCs w:val="22"/>
              </w:rPr>
              <w:t>1,00</w:t>
            </w:r>
          </w:p>
        </w:tc>
        <w:tc>
          <w:tcPr>
            <w:tcW w:w="1930" w:type="dxa"/>
          </w:tcPr>
          <w:p w14:paraId="6C777D31" w14:textId="77777777" w:rsidR="00F8459C" w:rsidRDefault="00C71529">
            <w:pPr>
              <w:pStyle w:val="Style2"/>
              <w:rPr>
                <w:sz w:val="22"/>
                <w:szCs w:val="22"/>
              </w:rPr>
            </w:pPr>
            <w:r>
              <w:rPr>
                <w:sz w:val="22"/>
                <w:szCs w:val="22"/>
              </w:rPr>
              <w:t>90,00</w:t>
            </w:r>
          </w:p>
        </w:tc>
        <w:tc>
          <w:tcPr>
            <w:tcW w:w="1547" w:type="dxa"/>
            <w:shd w:val="clear" w:color="auto" w:fill="DBE5F1" w:themeFill="accent1" w:themeFillTint="33"/>
          </w:tcPr>
          <w:p w14:paraId="3F0AA548" w14:textId="77777777" w:rsidR="00F8459C" w:rsidRDefault="00C71529">
            <w:pPr>
              <w:pStyle w:val="Style2"/>
              <w:rPr>
                <w:b/>
                <w:bCs/>
                <w:sz w:val="22"/>
                <w:szCs w:val="22"/>
              </w:rPr>
            </w:pPr>
            <w:r>
              <w:rPr>
                <w:b/>
                <w:bCs/>
                <w:sz w:val="22"/>
                <w:szCs w:val="22"/>
              </w:rPr>
              <w:t>91,00</w:t>
            </w:r>
          </w:p>
        </w:tc>
        <w:tc>
          <w:tcPr>
            <w:tcW w:w="1021" w:type="dxa"/>
            <w:tcBorders>
              <w:top w:val="single" w:sz="4" w:space="0" w:color="auto"/>
              <w:bottom w:val="single" w:sz="4" w:space="0" w:color="auto"/>
            </w:tcBorders>
            <w:shd w:val="clear" w:color="auto" w:fill="auto"/>
          </w:tcPr>
          <w:p w14:paraId="167384F7" w14:textId="77777777" w:rsidR="00F8459C" w:rsidRDefault="00C71529">
            <w:pPr>
              <w:pStyle w:val="Style2"/>
              <w:ind w:firstLine="0"/>
              <w:jc w:val="center"/>
              <w:rPr>
                <w:sz w:val="22"/>
                <w:szCs w:val="22"/>
              </w:rPr>
            </w:pPr>
            <w:r>
              <w:rPr>
                <w:sz w:val="22"/>
                <w:szCs w:val="22"/>
              </w:rPr>
              <w:tab/>
            </w:r>
          </w:p>
          <w:p w14:paraId="79444884" w14:textId="2723059D" w:rsidR="000D0C24" w:rsidRDefault="000D0C24">
            <w:pPr>
              <w:pStyle w:val="Style2"/>
              <w:ind w:firstLine="0"/>
              <w:jc w:val="center"/>
              <w:rPr>
                <w:sz w:val="22"/>
                <w:szCs w:val="22"/>
              </w:rPr>
            </w:pPr>
            <w:r>
              <w:rPr>
                <w:sz w:val="22"/>
                <w:szCs w:val="22"/>
              </w:rPr>
              <w:t>23,5%</w:t>
            </w:r>
          </w:p>
          <w:p w14:paraId="68C0A7FB" w14:textId="0BC6626B" w:rsidR="00F8459C" w:rsidRDefault="00F8459C">
            <w:pPr>
              <w:pStyle w:val="Style2"/>
              <w:ind w:firstLine="0"/>
              <w:jc w:val="center"/>
              <w:rPr>
                <w:sz w:val="22"/>
                <w:szCs w:val="22"/>
              </w:rPr>
            </w:pPr>
          </w:p>
        </w:tc>
      </w:tr>
      <w:tr w:rsidR="00F8459C" w14:paraId="38834F44" w14:textId="77777777" w:rsidTr="00E84993">
        <w:trPr>
          <w:trHeight w:val="734"/>
        </w:trPr>
        <w:tc>
          <w:tcPr>
            <w:tcW w:w="2405" w:type="dxa"/>
            <w:tcBorders>
              <w:bottom w:val="single" w:sz="4" w:space="0" w:color="auto"/>
            </w:tcBorders>
          </w:tcPr>
          <w:p w14:paraId="13385131" w14:textId="77777777" w:rsidR="00F8459C" w:rsidRDefault="00C71529">
            <w:pPr>
              <w:pStyle w:val="Style2"/>
              <w:ind w:firstLine="0"/>
              <w:jc w:val="left"/>
              <w:rPr>
                <w:sz w:val="22"/>
                <w:szCs w:val="22"/>
              </w:rPr>
            </w:pPr>
            <w:r>
              <w:rPr>
                <w:sz w:val="22"/>
                <w:szCs w:val="22"/>
              </w:rPr>
              <w:t xml:space="preserve">II kategorija (petroleja, dīzeļdegviela un petrolejas veida reaktīvā degviela) - </w:t>
            </w:r>
            <w:r>
              <w:rPr>
                <w:i/>
                <w:iCs/>
                <w:sz w:val="22"/>
                <w:szCs w:val="22"/>
              </w:rPr>
              <w:t>dīzeļdegviela</w:t>
            </w:r>
          </w:p>
        </w:tc>
        <w:tc>
          <w:tcPr>
            <w:tcW w:w="2022" w:type="dxa"/>
            <w:tcBorders>
              <w:bottom w:val="single" w:sz="4" w:space="0" w:color="auto"/>
            </w:tcBorders>
          </w:tcPr>
          <w:p w14:paraId="728F82EA" w14:textId="77777777" w:rsidR="00F8459C" w:rsidRDefault="00C71529">
            <w:pPr>
              <w:pStyle w:val="Style2"/>
              <w:rPr>
                <w:sz w:val="22"/>
                <w:szCs w:val="22"/>
              </w:rPr>
            </w:pPr>
            <w:r>
              <w:rPr>
                <w:sz w:val="22"/>
                <w:szCs w:val="22"/>
              </w:rPr>
              <w:t>229,32</w:t>
            </w:r>
          </w:p>
        </w:tc>
        <w:tc>
          <w:tcPr>
            <w:tcW w:w="1930" w:type="dxa"/>
            <w:tcBorders>
              <w:bottom w:val="single" w:sz="4" w:space="0" w:color="auto"/>
            </w:tcBorders>
          </w:tcPr>
          <w:p w14:paraId="069E3B1B" w14:textId="3AB8765D" w:rsidR="00F8459C" w:rsidRDefault="00C71529">
            <w:pPr>
              <w:pStyle w:val="Style2"/>
              <w:rPr>
                <w:sz w:val="22"/>
                <w:szCs w:val="22"/>
              </w:rPr>
            </w:pPr>
            <w:r>
              <w:rPr>
                <w:sz w:val="22"/>
                <w:szCs w:val="22"/>
              </w:rPr>
              <w:t>66</w:t>
            </w:r>
            <w:r w:rsidR="00A26B17">
              <w:rPr>
                <w:sz w:val="22"/>
                <w:szCs w:val="22"/>
              </w:rPr>
              <w:t>,</w:t>
            </w:r>
            <w:r>
              <w:rPr>
                <w:sz w:val="22"/>
                <w:szCs w:val="22"/>
              </w:rPr>
              <w:t>34</w:t>
            </w:r>
          </w:p>
        </w:tc>
        <w:tc>
          <w:tcPr>
            <w:tcW w:w="1547" w:type="dxa"/>
            <w:tcBorders>
              <w:bottom w:val="single" w:sz="4" w:space="0" w:color="auto"/>
            </w:tcBorders>
            <w:shd w:val="clear" w:color="auto" w:fill="DBE5F1" w:themeFill="accent1" w:themeFillTint="33"/>
          </w:tcPr>
          <w:p w14:paraId="7F4E2417" w14:textId="77777777" w:rsidR="00F8459C" w:rsidRDefault="00C71529">
            <w:pPr>
              <w:pStyle w:val="Style2"/>
              <w:rPr>
                <w:b/>
                <w:bCs/>
                <w:sz w:val="22"/>
                <w:szCs w:val="22"/>
              </w:rPr>
            </w:pPr>
            <w:r>
              <w:rPr>
                <w:b/>
                <w:bCs/>
                <w:sz w:val="22"/>
                <w:szCs w:val="22"/>
              </w:rPr>
              <w:t>295,67</w:t>
            </w:r>
          </w:p>
        </w:tc>
        <w:tc>
          <w:tcPr>
            <w:tcW w:w="1021" w:type="dxa"/>
            <w:tcBorders>
              <w:bottom w:val="single" w:sz="4" w:space="0" w:color="auto"/>
            </w:tcBorders>
            <w:shd w:val="clear" w:color="auto" w:fill="auto"/>
          </w:tcPr>
          <w:p w14:paraId="73CB89C7" w14:textId="77777777" w:rsidR="00F8459C" w:rsidRDefault="00C71529">
            <w:pPr>
              <w:pStyle w:val="Style2"/>
              <w:ind w:firstLine="0"/>
              <w:jc w:val="center"/>
              <w:rPr>
                <w:sz w:val="22"/>
                <w:szCs w:val="22"/>
              </w:rPr>
            </w:pPr>
            <w:r>
              <w:rPr>
                <w:sz w:val="22"/>
                <w:szCs w:val="22"/>
              </w:rPr>
              <w:tab/>
            </w:r>
          </w:p>
          <w:p w14:paraId="62718835" w14:textId="1657661A" w:rsidR="00F8459C" w:rsidRDefault="000D0C24">
            <w:pPr>
              <w:pStyle w:val="Style2"/>
              <w:ind w:firstLine="0"/>
              <w:jc w:val="center"/>
              <w:rPr>
                <w:sz w:val="22"/>
                <w:szCs w:val="22"/>
              </w:rPr>
            </w:pPr>
            <w:r>
              <w:rPr>
                <w:sz w:val="22"/>
                <w:szCs w:val="22"/>
              </w:rPr>
              <w:t>76,5%</w:t>
            </w:r>
          </w:p>
        </w:tc>
      </w:tr>
      <w:tr w:rsidR="00F8459C" w14:paraId="1C838135" w14:textId="77777777" w:rsidTr="00E84993">
        <w:tc>
          <w:tcPr>
            <w:tcW w:w="2405" w:type="dxa"/>
            <w:tcBorders>
              <w:bottom w:val="single" w:sz="4" w:space="0" w:color="auto"/>
            </w:tcBorders>
            <w:shd w:val="clear" w:color="auto" w:fill="DBE5F1" w:themeFill="accent1" w:themeFillTint="33"/>
          </w:tcPr>
          <w:p w14:paraId="2084C0C4" w14:textId="77777777" w:rsidR="00F8459C" w:rsidRDefault="00C71529">
            <w:pPr>
              <w:pStyle w:val="Style2"/>
              <w:rPr>
                <w:b/>
                <w:bCs/>
                <w:sz w:val="22"/>
                <w:szCs w:val="22"/>
              </w:rPr>
            </w:pPr>
            <w:r>
              <w:rPr>
                <w:b/>
                <w:bCs/>
                <w:sz w:val="22"/>
                <w:szCs w:val="22"/>
              </w:rPr>
              <w:t>Kopā</w:t>
            </w:r>
          </w:p>
          <w:p w14:paraId="1FE3E99C" w14:textId="77777777" w:rsidR="00F8459C" w:rsidRDefault="00F8459C">
            <w:pPr>
              <w:pStyle w:val="Style2"/>
              <w:rPr>
                <w:b/>
                <w:bCs/>
                <w:sz w:val="22"/>
                <w:szCs w:val="22"/>
              </w:rPr>
            </w:pPr>
          </w:p>
        </w:tc>
        <w:tc>
          <w:tcPr>
            <w:tcW w:w="2022" w:type="dxa"/>
            <w:tcBorders>
              <w:bottom w:val="single" w:sz="4" w:space="0" w:color="auto"/>
            </w:tcBorders>
            <w:shd w:val="clear" w:color="auto" w:fill="DBE5F1" w:themeFill="accent1" w:themeFillTint="33"/>
            <w:vAlign w:val="center"/>
          </w:tcPr>
          <w:p w14:paraId="0585C750" w14:textId="77777777" w:rsidR="00F8459C" w:rsidRDefault="00C71529">
            <w:pPr>
              <w:pStyle w:val="Style2"/>
              <w:rPr>
                <w:b/>
                <w:bCs/>
                <w:sz w:val="22"/>
                <w:szCs w:val="22"/>
              </w:rPr>
            </w:pPr>
            <w:r>
              <w:rPr>
                <w:b/>
                <w:bCs/>
                <w:color w:val="000000"/>
                <w:sz w:val="22"/>
                <w:szCs w:val="22"/>
              </w:rPr>
              <w:t>230,32</w:t>
            </w:r>
          </w:p>
        </w:tc>
        <w:tc>
          <w:tcPr>
            <w:tcW w:w="1930" w:type="dxa"/>
            <w:tcBorders>
              <w:bottom w:val="single" w:sz="4" w:space="0" w:color="auto"/>
            </w:tcBorders>
            <w:shd w:val="clear" w:color="auto" w:fill="DBE5F1" w:themeFill="accent1" w:themeFillTint="33"/>
            <w:vAlign w:val="center"/>
          </w:tcPr>
          <w:p w14:paraId="783C0008" w14:textId="77777777" w:rsidR="00F8459C" w:rsidRDefault="00C71529">
            <w:pPr>
              <w:pStyle w:val="Style2"/>
              <w:rPr>
                <w:b/>
                <w:bCs/>
                <w:sz w:val="22"/>
                <w:szCs w:val="22"/>
              </w:rPr>
            </w:pPr>
            <w:r>
              <w:rPr>
                <w:b/>
                <w:bCs/>
                <w:color w:val="000000"/>
                <w:sz w:val="22"/>
                <w:szCs w:val="22"/>
              </w:rPr>
              <w:t>156,34</w:t>
            </w:r>
          </w:p>
        </w:tc>
        <w:tc>
          <w:tcPr>
            <w:tcW w:w="1547" w:type="dxa"/>
            <w:tcBorders>
              <w:bottom w:val="single" w:sz="4" w:space="0" w:color="auto"/>
              <w:right w:val="single" w:sz="4" w:space="0" w:color="auto"/>
            </w:tcBorders>
            <w:shd w:val="clear" w:color="auto" w:fill="95B3D7" w:themeFill="accent1" w:themeFillTint="99"/>
            <w:vAlign w:val="center"/>
          </w:tcPr>
          <w:p w14:paraId="30DA270C" w14:textId="77777777" w:rsidR="00F8459C" w:rsidRDefault="00C71529">
            <w:pPr>
              <w:pStyle w:val="Style2"/>
              <w:rPr>
                <w:b/>
                <w:bCs/>
                <w:sz w:val="22"/>
                <w:szCs w:val="22"/>
              </w:rPr>
            </w:pPr>
            <w:r>
              <w:rPr>
                <w:b/>
                <w:bCs/>
                <w:color w:val="000000"/>
                <w:sz w:val="22"/>
                <w:szCs w:val="22"/>
              </w:rPr>
              <w:t>386,67</w:t>
            </w:r>
          </w:p>
        </w:tc>
        <w:tc>
          <w:tcPr>
            <w:tcW w:w="1021" w:type="dxa"/>
            <w:tcBorders>
              <w:top w:val="single" w:sz="4" w:space="0" w:color="auto"/>
              <w:left w:val="single" w:sz="4" w:space="0" w:color="auto"/>
              <w:bottom w:val="nil"/>
              <w:right w:val="nil"/>
            </w:tcBorders>
            <w:shd w:val="clear" w:color="auto" w:fill="auto"/>
          </w:tcPr>
          <w:p w14:paraId="3C18BFD1" w14:textId="77777777" w:rsidR="00F8459C" w:rsidRDefault="00F8459C">
            <w:pPr>
              <w:pStyle w:val="Style2"/>
              <w:rPr>
                <w:b/>
                <w:bCs/>
                <w:color w:val="000000"/>
                <w:sz w:val="22"/>
                <w:szCs w:val="22"/>
              </w:rPr>
            </w:pPr>
          </w:p>
        </w:tc>
      </w:tr>
      <w:tr w:rsidR="00F8459C" w14:paraId="7DB41C66" w14:textId="77777777" w:rsidTr="00E84993">
        <w:trPr>
          <w:trHeight w:val="140"/>
        </w:trPr>
        <w:tc>
          <w:tcPr>
            <w:tcW w:w="2405" w:type="dxa"/>
            <w:tcBorders>
              <w:top w:val="single" w:sz="4" w:space="0" w:color="auto"/>
              <w:left w:val="nil"/>
              <w:bottom w:val="nil"/>
              <w:right w:val="single" w:sz="4" w:space="0" w:color="auto"/>
            </w:tcBorders>
          </w:tcPr>
          <w:p w14:paraId="7C007E48" w14:textId="77777777" w:rsidR="00F8459C" w:rsidRDefault="00F8459C">
            <w:pPr>
              <w:pStyle w:val="Style2"/>
              <w:ind w:firstLine="0"/>
              <w:rPr>
                <w:sz w:val="22"/>
                <w:szCs w:val="22"/>
              </w:rPr>
            </w:pPr>
          </w:p>
          <w:p w14:paraId="39F97A8E" w14:textId="77777777" w:rsidR="00F8459C" w:rsidRDefault="00F8459C">
            <w:pPr>
              <w:pStyle w:val="Style2"/>
              <w:ind w:firstLine="0"/>
              <w:rPr>
                <w:sz w:val="22"/>
                <w:szCs w:val="22"/>
              </w:rPr>
            </w:pPr>
          </w:p>
        </w:tc>
        <w:tc>
          <w:tcPr>
            <w:tcW w:w="2022" w:type="dxa"/>
            <w:tcBorders>
              <w:top w:val="single" w:sz="4" w:space="0" w:color="auto"/>
              <w:left w:val="single" w:sz="4" w:space="0" w:color="auto"/>
              <w:bottom w:val="single" w:sz="4" w:space="0" w:color="auto"/>
              <w:right w:val="single" w:sz="4" w:space="0" w:color="auto"/>
            </w:tcBorders>
            <w:vAlign w:val="center"/>
          </w:tcPr>
          <w:p w14:paraId="32DF70BB" w14:textId="77777777" w:rsidR="00F8459C" w:rsidRDefault="00C71529">
            <w:pPr>
              <w:pStyle w:val="Style2"/>
              <w:ind w:firstLine="0"/>
              <w:jc w:val="center"/>
              <w:rPr>
                <w:sz w:val="22"/>
                <w:szCs w:val="22"/>
              </w:rPr>
            </w:pPr>
            <w:r>
              <w:rPr>
                <w:sz w:val="22"/>
                <w:szCs w:val="22"/>
              </w:rPr>
              <w:t>60%</w:t>
            </w:r>
          </w:p>
        </w:tc>
        <w:tc>
          <w:tcPr>
            <w:tcW w:w="1930" w:type="dxa"/>
            <w:tcBorders>
              <w:top w:val="single" w:sz="4" w:space="0" w:color="auto"/>
              <w:left w:val="single" w:sz="4" w:space="0" w:color="auto"/>
              <w:bottom w:val="single" w:sz="4" w:space="0" w:color="auto"/>
              <w:right w:val="single" w:sz="4" w:space="0" w:color="auto"/>
            </w:tcBorders>
            <w:vAlign w:val="center"/>
          </w:tcPr>
          <w:p w14:paraId="40F472ED" w14:textId="77777777" w:rsidR="00F8459C" w:rsidRDefault="00C71529">
            <w:pPr>
              <w:pStyle w:val="Style2"/>
              <w:ind w:firstLine="0"/>
              <w:jc w:val="center"/>
              <w:rPr>
                <w:sz w:val="22"/>
                <w:szCs w:val="22"/>
              </w:rPr>
            </w:pPr>
            <w:r>
              <w:rPr>
                <w:sz w:val="22"/>
                <w:szCs w:val="22"/>
              </w:rPr>
              <w:t>40%</w:t>
            </w:r>
          </w:p>
        </w:tc>
        <w:tc>
          <w:tcPr>
            <w:tcW w:w="1547" w:type="dxa"/>
            <w:tcBorders>
              <w:top w:val="single" w:sz="4" w:space="0" w:color="auto"/>
              <w:left w:val="single" w:sz="4" w:space="0" w:color="auto"/>
              <w:bottom w:val="nil"/>
              <w:right w:val="nil"/>
            </w:tcBorders>
            <w:vAlign w:val="center"/>
          </w:tcPr>
          <w:p w14:paraId="7CE9C263" w14:textId="77777777" w:rsidR="00F8459C" w:rsidRDefault="00F8459C">
            <w:pPr>
              <w:pStyle w:val="Style2"/>
              <w:ind w:firstLine="0"/>
              <w:rPr>
                <w:color w:val="000000"/>
                <w:sz w:val="22"/>
                <w:szCs w:val="22"/>
              </w:rPr>
            </w:pPr>
          </w:p>
        </w:tc>
        <w:tc>
          <w:tcPr>
            <w:tcW w:w="1021" w:type="dxa"/>
            <w:tcBorders>
              <w:top w:val="nil"/>
              <w:left w:val="nil"/>
              <w:bottom w:val="nil"/>
              <w:right w:val="nil"/>
            </w:tcBorders>
          </w:tcPr>
          <w:p w14:paraId="2ED35D6E" w14:textId="77777777" w:rsidR="00F8459C" w:rsidRDefault="00F8459C">
            <w:pPr>
              <w:pStyle w:val="Style2"/>
              <w:ind w:firstLine="0"/>
              <w:rPr>
                <w:color w:val="000000"/>
                <w:sz w:val="22"/>
                <w:szCs w:val="22"/>
              </w:rPr>
            </w:pPr>
          </w:p>
        </w:tc>
      </w:tr>
    </w:tbl>
    <w:p w14:paraId="1A267BC4" w14:textId="77777777" w:rsidR="00E84993" w:rsidRDefault="00E84993">
      <w:pPr>
        <w:pStyle w:val="Style2"/>
      </w:pPr>
    </w:p>
    <w:tbl>
      <w:tblPr>
        <w:tblStyle w:val="TableGrid"/>
        <w:tblW w:w="0" w:type="auto"/>
        <w:tblLook w:val="04A0" w:firstRow="1" w:lastRow="0" w:firstColumn="1" w:lastColumn="0" w:noHBand="0" w:noVBand="1"/>
      </w:tblPr>
      <w:tblGrid>
        <w:gridCol w:w="2405"/>
        <w:gridCol w:w="1985"/>
        <w:gridCol w:w="1984"/>
        <w:gridCol w:w="1559"/>
        <w:gridCol w:w="987"/>
      </w:tblGrid>
      <w:tr w:rsidR="00460DD5" w14:paraId="26EF664C" w14:textId="4A42E782" w:rsidTr="00460DD5">
        <w:tc>
          <w:tcPr>
            <w:tcW w:w="2405" w:type="dxa"/>
            <w:shd w:val="clear" w:color="auto" w:fill="F2F2F2" w:themeFill="background1" w:themeFillShade="F2"/>
          </w:tcPr>
          <w:p w14:paraId="63CBCD81" w14:textId="77777777" w:rsidR="00460DD5" w:rsidRDefault="00460DD5" w:rsidP="003542DA">
            <w:pPr>
              <w:pStyle w:val="Style2"/>
              <w:ind w:firstLine="0"/>
              <w:jc w:val="left"/>
              <w:rPr>
                <w:b/>
                <w:bCs/>
                <w:sz w:val="22"/>
                <w:szCs w:val="22"/>
              </w:rPr>
            </w:pPr>
          </w:p>
          <w:p w14:paraId="1C97C5FA" w14:textId="77777777" w:rsidR="00460DD5" w:rsidRDefault="00460DD5" w:rsidP="003542DA">
            <w:pPr>
              <w:pStyle w:val="Style2"/>
              <w:ind w:firstLine="0"/>
              <w:jc w:val="center"/>
              <w:rPr>
                <w:b/>
                <w:bCs/>
                <w:sz w:val="22"/>
                <w:szCs w:val="22"/>
              </w:rPr>
            </w:pPr>
            <w:r>
              <w:rPr>
                <w:b/>
                <w:bCs/>
                <w:sz w:val="22"/>
                <w:szCs w:val="22"/>
              </w:rPr>
              <w:t>2021.gads</w:t>
            </w:r>
          </w:p>
          <w:p w14:paraId="0592C1D2" w14:textId="77777777" w:rsidR="00460DD5" w:rsidRDefault="00460DD5" w:rsidP="003542DA">
            <w:pPr>
              <w:pStyle w:val="Style2"/>
              <w:jc w:val="left"/>
              <w:rPr>
                <w:b/>
                <w:bCs/>
                <w:sz w:val="22"/>
                <w:szCs w:val="22"/>
              </w:rPr>
            </w:pPr>
          </w:p>
        </w:tc>
        <w:tc>
          <w:tcPr>
            <w:tcW w:w="1985" w:type="dxa"/>
            <w:shd w:val="clear" w:color="auto" w:fill="F2F2F2" w:themeFill="background1" w:themeFillShade="F2"/>
          </w:tcPr>
          <w:p w14:paraId="6A223907" w14:textId="77777777" w:rsidR="00460DD5" w:rsidRDefault="00460DD5" w:rsidP="003542DA">
            <w:pPr>
              <w:pStyle w:val="Style2"/>
              <w:ind w:firstLine="0"/>
              <w:jc w:val="center"/>
              <w:rPr>
                <w:b/>
                <w:bCs/>
                <w:sz w:val="22"/>
                <w:szCs w:val="22"/>
              </w:rPr>
            </w:pPr>
          </w:p>
          <w:p w14:paraId="3DF2B409" w14:textId="77777777" w:rsidR="00460DD5" w:rsidRDefault="00460DD5" w:rsidP="003542DA">
            <w:pPr>
              <w:pStyle w:val="Style2"/>
              <w:ind w:firstLine="0"/>
              <w:jc w:val="center"/>
              <w:rPr>
                <w:b/>
                <w:bCs/>
                <w:sz w:val="22"/>
                <w:szCs w:val="22"/>
              </w:rPr>
            </w:pPr>
            <w:r>
              <w:rPr>
                <w:b/>
                <w:bCs/>
                <w:sz w:val="22"/>
                <w:szCs w:val="22"/>
              </w:rPr>
              <w:t xml:space="preserve">Latvijā </w:t>
            </w:r>
            <w:r>
              <w:rPr>
                <w:sz w:val="22"/>
                <w:szCs w:val="22"/>
              </w:rPr>
              <w:t>(</w:t>
            </w:r>
            <w:proofErr w:type="spellStart"/>
            <w:r>
              <w:rPr>
                <w:sz w:val="22"/>
                <w:szCs w:val="22"/>
              </w:rPr>
              <w:t>tūkst.tonnas</w:t>
            </w:r>
            <w:proofErr w:type="spellEnd"/>
            <w:r>
              <w:rPr>
                <w:sz w:val="22"/>
                <w:szCs w:val="22"/>
              </w:rPr>
              <w:t>)</w:t>
            </w:r>
          </w:p>
        </w:tc>
        <w:tc>
          <w:tcPr>
            <w:tcW w:w="1984" w:type="dxa"/>
            <w:shd w:val="clear" w:color="auto" w:fill="F2F2F2" w:themeFill="background1" w:themeFillShade="F2"/>
          </w:tcPr>
          <w:p w14:paraId="22F185BA" w14:textId="77777777" w:rsidR="00460DD5" w:rsidRDefault="00460DD5" w:rsidP="003542DA">
            <w:pPr>
              <w:pStyle w:val="Style2"/>
              <w:ind w:firstLine="0"/>
              <w:jc w:val="center"/>
              <w:rPr>
                <w:b/>
                <w:bCs/>
                <w:sz w:val="22"/>
                <w:szCs w:val="22"/>
              </w:rPr>
            </w:pPr>
            <w:r>
              <w:rPr>
                <w:b/>
                <w:bCs/>
                <w:sz w:val="22"/>
                <w:szCs w:val="22"/>
              </w:rPr>
              <w:t>ES</w:t>
            </w:r>
          </w:p>
          <w:p w14:paraId="26A3FCD9" w14:textId="77777777" w:rsidR="00460DD5" w:rsidRDefault="00460DD5" w:rsidP="003542DA">
            <w:pPr>
              <w:pStyle w:val="Style2"/>
              <w:ind w:firstLine="0"/>
              <w:jc w:val="center"/>
              <w:rPr>
                <w:sz w:val="22"/>
                <w:szCs w:val="22"/>
              </w:rPr>
            </w:pPr>
            <w:r>
              <w:rPr>
                <w:sz w:val="22"/>
                <w:szCs w:val="22"/>
              </w:rPr>
              <w:t>(Lietuva, Nīderlande</w:t>
            </w:r>
          </w:p>
          <w:p w14:paraId="7C27E739" w14:textId="77777777" w:rsidR="00460DD5" w:rsidRDefault="00460DD5" w:rsidP="003542DA">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1559" w:type="dxa"/>
            <w:tcBorders>
              <w:right w:val="single" w:sz="4" w:space="0" w:color="auto"/>
            </w:tcBorders>
            <w:shd w:val="clear" w:color="auto" w:fill="F2F2F2" w:themeFill="background1" w:themeFillShade="F2"/>
          </w:tcPr>
          <w:p w14:paraId="21DE601B" w14:textId="77777777" w:rsidR="00460DD5" w:rsidRDefault="00460DD5" w:rsidP="003542DA">
            <w:pPr>
              <w:pStyle w:val="Style2"/>
              <w:ind w:firstLine="0"/>
              <w:jc w:val="center"/>
              <w:rPr>
                <w:b/>
                <w:bCs/>
                <w:sz w:val="22"/>
                <w:szCs w:val="22"/>
              </w:rPr>
            </w:pPr>
          </w:p>
          <w:p w14:paraId="6B19C2F3" w14:textId="77777777" w:rsidR="00460DD5" w:rsidRDefault="00460DD5" w:rsidP="003542DA">
            <w:pPr>
              <w:pStyle w:val="Style2"/>
              <w:ind w:firstLine="0"/>
              <w:jc w:val="center"/>
              <w:rPr>
                <w:b/>
                <w:bCs/>
                <w:sz w:val="22"/>
                <w:szCs w:val="22"/>
              </w:rPr>
            </w:pPr>
            <w:r>
              <w:rPr>
                <w:b/>
                <w:bCs/>
                <w:sz w:val="22"/>
                <w:szCs w:val="22"/>
              </w:rPr>
              <w:t>Kopā</w:t>
            </w:r>
          </w:p>
          <w:p w14:paraId="5658C7A2" w14:textId="77777777" w:rsidR="00460DD5" w:rsidRDefault="00460DD5" w:rsidP="003542DA">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c>
          <w:tcPr>
            <w:tcW w:w="987" w:type="dxa"/>
            <w:tcBorders>
              <w:top w:val="nil"/>
              <w:left w:val="single" w:sz="4" w:space="0" w:color="auto"/>
              <w:bottom w:val="single" w:sz="4" w:space="0" w:color="auto"/>
              <w:right w:val="nil"/>
            </w:tcBorders>
            <w:shd w:val="clear" w:color="auto" w:fill="auto"/>
          </w:tcPr>
          <w:p w14:paraId="03B855E0" w14:textId="77777777" w:rsidR="00460DD5" w:rsidRDefault="00460DD5" w:rsidP="003542DA">
            <w:pPr>
              <w:pStyle w:val="Style2"/>
              <w:ind w:firstLine="0"/>
              <w:jc w:val="center"/>
              <w:rPr>
                <w:b/>
                <w:bCs/>
                <w:sz w:val="22"/>
                <w:szCs w:val="22"/>
              </w:rPr>
            </w:pPr>
          </w:p>
        </w:tc>
      </w:tr>
      <w:tr w:rsidR="00460DD5" w14:paraId="02A3D29C" w14:textId="51C31837" w:rsidTr="00460DD5">
        <w:tc>
          <w:tcPr>
            <w:tcW w:w="2405" w:type="dxa"/>
          </w:tcPr>
          <w:p w14:paraId="49344049" w14:textId="6DC7CDFE" w:rsidR="00460DD5" w:rsidRDefault="00460DD5" w:rsidP="003542DA">
            <w:pPr>
              <w:pStyle w:val="Style2"/>
              <w:ind w:firstLine="0"/>
              <w:jc w:val="left"/>
              <w:rPr>
                <w:sz w:val="22"/>
                <w:szCs w:val="22"/>
              </w:rPr>
            </w:pPr>
            <w:r>
              <w:rPr>
                <w:sz w:val="22"/>
                <w:szCs w:val="22"/>
              </w:rPr>
              <w:t xml:space="preserve">I kategorija (benzīns un aviācijas degviela) - </w:t>
            </w:r>
            <w:r>
              <w:rPr>
                <w:i/>
                <w:iCs/>
                <w:sz w:val="22"/>
                <w:szCs w:val="22"/>
              </w:rPr>
              <w:t>benzīns</w:t>
            </w:r>
          </w:p>
        </w:tc>
        <w:tc>
          <w:tcPr>
            <w:tcW w:w="1985" w:type="dxa"/>
          </w:tcPr>
          <w:p w14:paraId="7492FFB7" w14:textId="77777777" w:rsidR="00460DD5" w:rsidRDefault="00460DD5" w:rsidP="003542DA">
            <w:pPr>
              <w:pStyle w:val="Style2"/>
              <w:rPr>
                <w:sz w:val="22"/>
                <w:szCs w:val="22"/>
              </w:rPr>
            </w:pPr>
            <w:r>
              <w:rPr>
                <w:sz w:val="22"/>
                <w:szCs w:val="22"/>
              </w:rPr>
              <w:t>1,0</w:t>
            </w:r>
          </w:p>
        </w:tc>
        <w:tc>
          <w:tcPr>
            <w:tcW w:w="1984" w:type="dxa"/>
          </w:tcPr>
          <w:p w14:paraId="46690F75" w14:textId="77777777" w:rsidR="00460DD5" w:rsidRDefault="00460DD5" w:rsidP="003542DA">
            <w:pPr>
              <w:pStyle w:val="Style2"/>
              <w:rPr>
                <w:sz w:val="22"/>
                <w:szCs w:val="22"/>
              </w:rPr>
            </w:pPr>
            <w:r>
              <w:rPr>
                <w:sz w:val="22"/>
                <w:szCs w:val="22"/>
              </w:rPr>
              <w:t>120,0</w:t>
            </w:r>
          </w:p>
        </w:tc>
        <w:tc>
          <w:tcPr>
            <w:tcW w:w="1559" w:type="dxa"/>
            <w:tcBorders>
              <w:right w:val="single" w:sz="4" w:space="0" w:color="auto"/>
            </w:tcBorders>
            <w:shd w:val="clear" w:color="auto" w:fill="DBE5F1" w:themeFill="accent1" w:themeFillTint="33"/>
          </w:tcPr>
          <w:p w14:paraId="4782DEA2" w14:textId="77777777" w:rsidR="00460DD5" w:rsidRDefault="00460DD5" w:rsidP="003542DA">
            <w:pPr>
              <w:pStyle w:val="Style2"/>
              <w:ind w:firstLine="0"/>
              <w:jc w:val="center"/>
              <w:rPr>
                <w:b/>
                <w:bCs/>
                <w:sz w:val="22"/>
                <w:szCs w:val="22"/>
              </w:rPr>
            </w:pPr>
            <w:r>
              <w:rPr>
                <w:b/>
                <w:bCs/>
                <w:sz w:val="22"/>
                <w:szCs w:val="22"/>
              </w:rPr>
              <w:t>121,0</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4B8CA19B" w14:textId="6D20A394" w:rsidR="00C023ED" w:rsidRDefault="00460DD5" w:rsidP="003542DA">
            <w:pPr>
              <w:pStyle w:val="Style2"/>
              <w:ind w:firstLine="0"/>
              <w:jc w:val="center"/>
              <w:rPr>
                <w:sz w:val="22"/>
                <w:szCs w:val="22"/>
              </w:rPr>
            </w:pPr>
            <w:r w:rsidRPr="00460DD5">
              <w:rPr>
                <w:sz w:val="22"/>
                <w:szCs w:val="22"/>
              </w:rPr>
              <w:t>3</w:t>
            </w:r>
            <w:r w:rsidR="00C023ED">
              <w:rPr>
                <w:sz w:val="22"/>
                <w:szCs w:val="22"/>
              </w:rPr>
              <w:t>3,4%</w:t>
            </w:r>
          </w:p>
          <w:p w14:paraId="4484C568" w14:textId="69B6AA7D" w:rsidR="00460DD5" w:rsidRPr="00460DD5" w:rsidRDefault="00460DD5" w:rsidP="003542DA">
            <w:pPr>
              <w:pStyle w:val="Style2"/>
              <w:ind w:firstLine="0"/>
              <w:jc w:val="center"/>
              <w:rPr>
                <w:sz w:val="22"/>
                <w:szCs w:val="22"/>
              </w:rPr>
            </w:pPr>
          </w:p>
        </w:tc>
      </w:tr>
      <w:tr w:rsidR="00460DD5" w14:paraId="4827846E" w14:textId="3495EEF0" w:rsidTr="00460DD5">
        <w:trPr>
          <w:trHeight w:val="289"/>
        </w:trPr>
        <w:tc>
          <w:tcPr>
            <w:tcW w:w="2405" w:type="dxa"/>
            <w:tcBorders>
              <w:bottom w:val="single" w:sz="4" w:space="0" w:color="auto"/>
            </w:tcBorders>
          </w:tcPr>
          <w:p w14:paraId="61D35168" w14:textId="017ACB0C" w:rsidR="00460DD5" w:rsidRDefault="00460DD5" w:rsidP="003542DA">
            <w:pPr>
              <w:pStyle w:val="Style2"/>
              <w:ind w:firstLine="0"/>
              <w:jc w:val="left"/>
              <w:rPr>
                <w:sz w:val="22"/>
                <w:szCs w:val="22"/>
              </w:rPr>
            </w:pPr>
            <w:r>
              <w:rPr>
                <w:sz w:val="22"/>
                <w:szCs w:val="22"/>
              </w:rPr>
              <w:t xml:space="preserve">II kategorija (petroleja, dīzeļdegviela un petrolejas veida reaktīvā degviela) - </w:t>
            </w:r>
            <w:r>
              <w:rPr>
                <w:i/>
                <w:iCs/>
                <w:sz w:val="22"/>
                <w:szCs w:val="22"/>
              </w:rPr>
              <w:t>dīzeļdegviela</w:t>
            </w:r>
          </w:p>
        </w:tc>
        <w:tc>
          <w:tcPr>
            <w:tcW w:w="1985" w:type="dxa"/>
            <w:tcBorders>
              <w:bottom w:val="single" w:sz="4" w:space="0" w:color="auto"/>
            </w:tcBorders>
          </w:tcPr>
          <w:p w14:paraId="02E6FF78" w14:textId="1FB770BA" w:rsidR="00460DD5" w:rsidRDefault="00C023ED" w:rsidP="003542DA">
            <w:pPr>
              <w:pStyle w:val="Style2"/>
              <w:rPr>
                <w:sz w:val="22"/>
                <w:szCs w:val="22"/>
              </w:rPr>
            </w:pPr>
            <w:r>
              <w:rPr>
                <w:sz w:val="22"/>
                <w:szCs w:val="22"/>
              </w:rPr>
              <w:t>229,9</w:t>
            </w:r>
          </w:p>
        </w:tc>
        <w:tc>
          <w:tcPr>
            <w:tcW w:w="1984" w:type="dxa"/>
            <w:tcBorders>
              <w:bottom w:val="single" w:sz="4" w:space="0" w:color="auto"/>
            </w:tcBorders>
          </w:tcPr>
          <w:p w14:paraId="72E34C4C" w14:textId="77777777" w:rsidR="00460DD5" w:rsidRDefault="00460DD5" w:rsidP="003542DA">
            <w:pPr>
              <w:pStyle w:val="Style2"/>
              <w:rPr>
                <w:sz w:val="22"/>
                <w:szCs w:val="22"/>
              </w:rPr>
            </w:pPr>
            <w:r>
              <w:rPr>
                <w:sz w:val="22"/>
                <w:szCs w:val="22"/>
              </w:rPr>
              <w:t>11,9</w:t>
            </w:r>
          </w:p>
        </w:tc>
        <w:tc>
          <w:tcPr>
            <w:tcW w:w="1559" w:type="dxa"/>
            <w:tcBorders>
              <w:bottom w:val="single" w:sz="4" w:space="0" w:color="auto"/>
              <w:right w:val="single" w:sz="4" w:space="0" w:color="auto"/>
            </w:tcBorders>
            <w:shd w:val="clear" w:color="auto" w:fill="DBE5F1" w:themeFill="accent1" w:themeFillTint="33"/>
          </w:tcPr>
          <w:p w14:paraId="14F2F82D" w14:textId="5B6C57F3" w:rsidR="00460DD5" w:rsidRDefault="00C023ED" w:rsidP="003542DA">
            <w:pPr>
              <w:pStyle w:val="Style2"/>
              <w:ind w:firstLine="0"/>
              <w:jc w:val="center"/>
              <w:rPr>
                <w:b/>
                <w:bCs/>
                <w:sz w:val="22"/>
                <w:szCs w:val="22"/>
              </w:rPr>
            </w:pPr>
            <w:r>
              <w:rPr>
                <w:b/>
                <w:bCs/>
                <w:sz w:val="22"/>
                <w:szCs w:val="22"/>
              </w:rPr>
              <w:t>241,8</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750BA9AE" w14:textId="1EBB5369" w:rsidR="00C023ED" w:rsidRDefault="00C023ED" w:rsidP="003542DA">
            <w:pPr>
              <w:pStyle w:val="Style2"/>
              <w:ind w:firstLine="0"/>
              <w:jc w:val="center"/>
              <w:rPr>
                <w:sz w:val="22"/>
                <w:szCs w:val="22"/>
              </w:rPr>
            </w:pPr>
          </w:p>
          <w:p w14:paraId="76FC43F4" w14:textId="12C0445F" w:rsidR="00460DD5" w:rsidRPr="00460DD5" w:rsidRDefault="00C023ED" w:rsidP="003542DA">
            <w:pPr>
              <w:pStyle w:val="Style2"/>
              <w:ind w:firstLine="0"/>
              <w:jc w:val="center"/>
              <w:rPr>
                <w:sz w:val="22"/>
                <w:szCs w:val="22"/>
              </w:rPr>
            </w:pPr>
            <w:r>
              <w:rPr>
                <w:sz w:val="22"/>
                <w:szCs w:val="22"/>
              </w:rPr>
              <w:t>66,6%</w:t>
            </w:r>
          </w:p>
        </w:tc>
      </w:tr>
      <w:tr w:rsidR="00460DD5" w14:paraId="7873E2E0" w14:textId="46C7CE84" w:rsidTr="00460DD5">
        <w:trPr>
          <w:trHeight w:val="421"/>
        </w:trPr>
        <w:tc>
          <w:tcPr>
            <w:tcW w:w="2405" w:type="dxa"/>
            <w:tcBorders>
              <w:bottom w:val="single" w:sz="4" w:space="0" w:color="auto"/>
            </w:tcBorders>
            <w:shd w:val="clear" w:color="auto" w:fill="DBE5F1" w:themeFill="accent1" w:themeFillTint="33"/>
          </w:tcPr>
          <w:p w14:paraId="2F103EA3" w14:textId="77777777" w:rsidR="00460DD5" w:rsidRDefault="00460DD5" w:rsidP="003542DA">
            <w:pPr>
              <w:pStyle w:val="Style2"/>
              <w:rPr>
                <w:b/>
                <w:bCs/>
                <w:sz w:val="22"/>
                <w:szCs w:val="22"/>
              </w:rPr>
            </w:pPr>
            <w:r>
              <w:rPr>
                <w:b/>
                <w:bCs/>
                <w:sz w:val="22"/>
                <w:szCs w:val="22"/>
              </w:rPr>
              <w:t>Kopā</w:t>
            </w:r>
          </w:p>
          <w:p w14:paraId="1D3FC26B" w14:textId="77777777" w:rsidR="00460DD5" w:rsidRDefault="00460DD5" w:rsidP="003542DA">
            <w:pPr>
              <w:pStyle w:val="Style2"/>
              <w:rPr>
                <w:b/>
                <w:bCs/>
                <w:sz w:val="22"/>
                <w:szCs w:val="22"/>
              </w:rPr>
            </w:pPr>
          </w:p>
        </w:tc>
        <w:tc>
          <w:tcPr>
            <w:tcW w:w="1985" w:type="dxa"/>
            <w:tcBorders>
              <w:bottom w:val="single" w:sz="4" w:space="0" w:color="auto"/>
            </w:tcBorders>
            <w:shd w:val="clear" w:color="auto" w:fill="DBE5F1" w:themeFill="accent1" w:themeFillTint="33"/>
            <w:vAlign w:val="center"/>
          </w:tcPr>
          <w:p w14:paraId="32123620" w14:textId="137B9786" w:rsidR="00460DD5" w:rsidRDefault="00C023ED" w:rsidP="003542DA">
            <w:pPr>
              <w:pStyle w:val="Style2"/>
              <w:rPr>
                <w:b/>
                <w:bCs/>
                <w:sz w:val="22"/>
                <w:szCs w:val="22"/>
              </w:rPr>
            </w:pPr>
            <w:r>
              <w:rPr>
                <w:b/>
                <w:bCs/>
                <w:color w:val="000000"/>
                <w:sz w:val="22"/>
                <w:szCs w:val="22"/>
              </w:rPr>
              <w:t>230,9</w:t>
            </w:r>
          </w:p>
        </w:tc>
        <w:tc>
          <w:tcPr>
            <w:tcW w:w="1984" w:type="dxa"/>
            <w:tcBorders>
              <w:bottom w:val="single" w:sz="4" w:space="0" w:color="auto"/>
            </w:tcBorders>
            <w:shd w:val="clear" w:color="auto" w:fill="DBE5F1" w:themeFill="accent1" w:themeFillTint="33"/>
            <w:vAlign w:val="center"/>
          </w:tcPr>
          <w:p w14:paraId="7FB32663" w14:textId="77777777" w:rsidR="00460DD5" w:rsidRDefault="00460DD5" w:rsidP="003542DA">
            <w:pPr>
              <w:pStyle w:val="Style2"/>
              <w:rPr>
                <w:b/>
                <w:bCs/>
                <w:sz w:val="22"/>
                <w:szCs w:val="22"/>
              </w:rPr>
            </w:pPr>
            <w:r>
              <w:rPr>
                <w:b/>
                <w:bCs/>
                <w:color w:val="000000"/>
                <w:sz w:val="22"/>
                <w:szCs w:val="22"/>
              </w:rPr>
              <w:t>131,9</w:t>
            </w:r>
          </w:p>
        </w:tc>
        <w:tc>
          <w:tcPr>
            <w:tcW w:w="1559" w:type="dxa"/>
            <w:tcBorders>
              <w:bottom w:val="single" w:sz="4" w:space="0" w:color="auto"/>
              <w:right w:val="single" w:sz="4" w:space="0" w:color="auto"/>
            </w:tcBorders>
            <w:shd w:val="clear" w:color="auto" w:fill="95B3D7" w:themeFill="accent1" w:themeFillTint="99"/>
            <w:vAlign w:val="center"/>
          </w:tcPr>
          <w:p w14:paraId="16D4B015" w14:textId="0770A1E3" w:rsidR="00460DD5" w:rsidRDefault="00C023ED" w:rsidP="003542DA">
            <w:pPr>
              <w:pStyle w:val="Style2"/>
              <w:ind w:firstLine="0"/>
              <w:jc w:val="center"/>
              <w:rPr>
                <w:b/>
                <w:bCs/>
                <w:sz w:val="22"/>
                <w:szCs w:val="22"/>
              </w:rPr>
            </w:pPr>
            <w:r>
              <w:rPr>
                <w:b/>
                <w:bCs/>
                <w:color w:val="000000"/>
                <w:sz w:val="22"/>
                <w:szCs w:val="22"/>
              </w:rPr>
              <w:t>362,8</w:t>
            </w:r>
          </w:p>
        </w:tc>
        <w:tc>
          <w:tcPr>
            <w:tcW w:w="987" w:type="dxa"/>
            <w:tcBorders>
              <w:top w:val="single" w:sz="4" w:space="0" w:color="auto"/>
              <w:left w:val="single" w:sz="4" w:space="0" w:color="auto"/>
              <w:bottom w:val="nil"/>
              <w:right w:val="nil"/>
            </w:tcBorders>
            <w:shd w:val="clear" w:color="auto" w:fill="auto"/>
          </w:tcPr>
          <w:p w14:paraId="7A4A86ED" w14:textId="77777777" w:rsidR="00460DD5" w:rsidRDefault="00460DD5" w:rsidP="003542DA">
            <w:pPr>
              <w:pStyle w:val="Style2"/>
              <w:ind w:firstLine="0"/>
              <w:jc w:val="center"/>
              <w:rPr>
                <w:b/>
                <w:bCs/>
                <w:color w:val="000000"/>
                <w:sz w:val="22"/>
                <w:szCs w:val="22"/>
              </w:rPr>
            </w:pPr>
          </w:p>
        </w:tc>
      </w:tr>
      <w:tr w:rsidR="00460DD5" w14:paraId="72B27FC0" w14:textId="18271E4C" w:rsidTr="00460DD5">
        <w:trPr>
          <w:trHeight w:val="140"/>
        </w:trPr>
        <w:tc>
          <w:tcPr>
            <w:tcW w:w="2405" w:type="dxa"/>
            <w:tcBorders>
              <w:top w:val="single" w:sz="4" w:space="0" w:color="auto"/>
              <w:left w:val="nil"/>
              <w:bottom w:val="nil"/>
              <w:right w:val="single" w:sz="4" w:space="0" w:color="auto"/>
            </w:tcBorders>
          </w:tcPr>
          <w:p w14:paraId="10D3B5FF" w14:textId="77777777" w:rsidR="00460DD5" w:rsidRDefault="00460DD5" w:rsidP="003542DA">
            <w:pPr>
              <w:pStyle w:val="Style2"/>
              <w:ind w:firstLine="0"/>
              <w:rPr>
                <w:sz w:val="22"/>
                <w:szCs w:val="22"/>
              </w:rPr>
            </w:pPr>
          </w:p>
          <w:p w14:paraId="24F9AC9D" w14:textId="77777777" w:rsidR="00460DD5" w:rsidRDefault="00460DD5" w:rsidP="003542DA">
            <w:pPr>
              <w:pStyle w:val="Style2"/>
              <w:ind w:firstLine="0"/>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195FC6A0" w14:textId="377B9DAB" w:rsidR="00460DD5" w:rsidRDefault="00460DD5" w:rsidP="003542DA">
            <w:pPr>
              <w:pStyle w:val="Style2"/>
              <w:ind w:firstLine="0"/>
              <w:jc w:val="center"/>
              <w:rPr>
                <w:sz w:val="22"/>
                <w:szCs w:val="22"/>
              </w:rPr>
            </w:pPr>
            <w:r>
              <w:rPr>
                <w:sz w:val="22"/>
                <w:szCs w:val="22"/>
              </w:rPr>
              <w:t>63</w:t>
            </w:r>
            <w:r w:rsidR="00C023ED">
              <w:rPr>
                <w:sz w:val="22"/>
                <w:szCs w:val="22"/>
              </w:rPr>
              <w:t>,6</w:t>
            </w:r>
            <w:r>
              <w:rPr>
                <w:sz w:val="22"/>
                <w:szCs w:val="22"/>
              </w:rPr>
              <w:t>%</w:t>
            </w:r>
          </w:p>
        </w:tc>
        <w:tc>
          <w:tcPr>
            <w:tcW w:w="1984" w:type="dxa"/>
            <w:tcBorders>
              <w:top w:val="single" w:sz="4" w:space="0" w:color="auto"/>
              <w:left w:val="single" w:sz="4" w:space="0" w:color="auto"/>
              <w:bottom w:val="single" w:sz="4" w:space="0" w:color="auto"/>
              <w:right w:val="single" w:sz="4" w:space="0" w:color="auto"/>
            </w:tcBorders>
            <w:vAlign w:val="center"/>
          </w:tcPr>
          <w:p w14:paraId="0A539576" w14:textId="06FF2968" w:rsidR="00460DD5" w:rsidRDefault="00C023ED" w:rsidP="003542DA">
            <w:pPr>
              <w:pStyle w:val="Style2"/>
              <w:ind w:firstLine="0"/>
              <w:jc w:val="center"/>
              <w:rPr>
                <w:sz w:val="22"/>
                <w:szCs w:val="22"/>
              </w:rPr>
            </w:pPr>
            <w:r>
              <w:rPr>
                <w:sz w:val="22"/>
                <w:szCs w:val="22"/>
              </w:rPr>
              <w:t>36,4</w:t>
            </w:r>
            <w:r w:rsidR="00460DD5">
              <w:rPr>
                <w:sz w:val="22"/>
                <w:szCs w:val="22"/>
              </w:rPr>
              <w:t>%</w:t>
            </w:r>
          </w:p>
        </w:tc>
        <w:tc>
          <w:tcPr>
            <w:tcW w:w="1559" w:type="dxa"/>
            <w:tcBorders>
              <w:top w:val="single" w:sz="4" w:space="0" w:color="auto"/>
              <w:left w:val="single" w:sz="4" w:space="0" w:color="auto"/>
              <w:bottom w:val="nil"/>
              <w:right w:val="nil"/>
            </w:tcBorders>
            <w:vAlign w:val="center"/>
          </w:tcPr>
          <w:p w14:paraId="43997F39" w14:textId="77777777" w:rsidR="00460DD5" w:rsidRDefault="00460DD5" w:rsidP="003542DA">
            <w:pPr>
              <w:pStyle w:val="Style2"/>
              <w:ind w:firstLine="0"/>
              <w:rPr>
                <w:color w:val="000000"/>
                <w:sz w:val="22"/>
                <w:szCs w:val="22"/>
              </w:rPr>
            </w:pPr>
          </w:p>
        </w:tc>
        <w:tc>
          <w:tcPr>
            <w:tcW w:w="987" w:type="dxa"/>
            <w:tcBorders>
              <w:top w:val="nil"/>
              <w:left w:val="nil"/>
              <w:bottom w:val="nil"/>
              <w:right w:val="nil"/>
            </w:tcBorders>
          </w:tcPr>
          <w:p w14:paraId="2FC2082D" w14:textId="77777777" w:rsidR="00460DD5" w:rsidRDefault="00460DD5" w:rsidP="003542DA">
            <w:pPr>
              <w:pStyle w:val="Style2"/>
              <w:ind w:firstLine="0"/>
              <w:rPr>
                <w:color w:val="000000"/>
                <w:sz w:val="22"/>
                <w:szCs w:val="22"/>
              </w:rPr>
            </w:pPr>
          </w:p>
        </w:tc>
      </w:tr>
    </w:tbl>
    <w:p w14:paraId="6E3AE0B7" w14:textId="77777777" w:rsidR="00E84993" w:rsidRDefault="00E84993">
      <w:pPr>
        <w:pStyle w:val="Style2"/>
      </w:pPr>
    </w:p>
    <w:p w14:paraId="3623D87B" w14:textId="36D9EFA1" w:rsidR="00F8459C" w:rsidRDefault="00C71529">
      <w:pPr>
        <w:pStyle w:val="Style2"/>
      </w:pPr>
      <w:r>
        <w:t xml:space="preserve">Pēc Konsultanta aplēsēm pašlaik Latvijā pieejamā naftas produktu </w:t>
      </w:r>
      <w:r>
        <w:rPr>
          <w:u w:val="single"/>
        </w:rPr>
        <w:t>uzglabāšanas infrastruktūra</w:t>
      </w:r>
      <w:r>
        <w:t xml:space="preserve"> spētu nodrošināt visa drošības rezervju apjoma uzglabāšanu. Ievērojot tās kopējo uzkrāšanas jaudu un kopējo </w:t>
      </w:r>
      <w:r w:rsidR="001537F4">
        <w:t xml:space="preserve">komersantu </w:t>
      </w:r>
      <w:r>
        <w:t xml:space="preserve">skaitu tirgū, kā arī apzinoties, ka šī infrastruktūra tikai noteiktā proporcijā tiek izmantota drošības rezerves daļas uzglabāšanai, kas izvietota Latvijā, nav rodams objektīvs pamats nepieciešamībai izbūvēt valstij piederošu naftas produktu uzglabāšanas infrastruktūru tās drošības rezerves daļas uzglabāšanai, kas izvietojama Latvijā. </w:t>
      </w:r>
      <w:r w:rsidR="008B208F">
        <w:t xml:space="preserve">Jāatzīst, ka lai infrastruktūra tiktu izmantota drošības rezervju uzglabāšanai, būtiski, lai komersantiem būtu </w:t>
      </w:r>
      <w:r>
        <w:t xml:space="preserve">interese piedalīties publiskos iepirkumos, lai uzņemtos nodrošināt </w:t>
      </w:r>
      <w:r w:rsidR="008B208F">
        <w:t>drošības rezervju uzglabāšanu, tostarp</w:t>
      </w:r>
      <w:r>
        <w:t xml:space="preserve"> arī tajā gadījumā, ja Latvija nākotnē pārietu uz aģentūras mode</w:t>
      </w:r>
      <w:r w:rsidR="008B208F">
        <w:t>li.</w:t>
      </w:r>
    </w:p>
    <w:p w14:paraId="1834B6DD" w14:textId="77777777" w:rsidR="00F8459C" w:rsidRDefault="00F8459C">
      <w:pPr>
        <w:pStyle w:val="Style2"/>
      </w:pPr>
    </w:p>
    <w:p w14:paraId="7D53C07C" w14:textId="0C307BE0" w:rsidR="00F8459C" w:rsidRDefault="00C71529">
      <w:pPr>
        <w:pStyle w:val="Style2"/>
      </w:pPr>
      <w:r>
        <w:t>2020.</w:t>
      </w:r>
      <w:r w:rsidR="008B208F">
        <w:t xml:space="preserve"> </w:t>
      </w:r>
      <w:r>
        <w:t xml:space="preserve">gada decembrī ir noslēgusies Biroja īstenota iepirkuma procedūra sarunu procedūras “Drošības rezervju pakalpojuma sniegšana valsts (Latvijas Republikas) naftas produktu rezervju izveidei”, identifikācijas Nr. BVKB 2020/06 ietvaros, saskaņā ar Aizsardzības un drošības jomas iepirkumu likumu. Kopējais apjoms par kuru ir noslēgta Vispārīgā vienošanās un līgumi ir 352 700 tonnas (benzīns – 121 000 tonnas jeb 34,3% un dīzeļdegviela – 231 700 tonnas jeb 65,7%). 2020.-2021.gadā drošības rezerves pakalpojumus sniegs šādi komersanti: </w:t>
      </w:r>
      <w:r w:rsidR="00460DD5">
        <w:t>SIA</w:t>
      </w:r>
      <w:r>
        <w:t xml:space="preserve"> "</w:t>
      </w:r>
      <w:proofErr w:type="spellStart"/>
      <w:r>
        <w:t>Pirmas</w:t>
      </w:r>
      <w:proofErr w:type="spellEnd"/>
      <w:r>
        <w:t>", UAB "</w:t>
      </w:r>
      <w:proofErr w:type="spellStart"/>
      <w:r>
        <w:t>Okseta</w:t>
      </w:r>
      <w:proofErr w:type="spellEnd"/>
      <w:r>
        <w:t>", UAB "</w:t>
      </w:r>
      <w:proofErr w:type="spellStart"/>
      <w:r>
        <w:t>Baltic</w:t>
      </w:r>
      <w:proofErr w:type="spellEnd"/>
      <w:r>
        <w:t xml:space="preserve"> </w:t>
      </w:r>
      <w:proofErr w:type="spellStart"/>
      <w:r>
        <w:t>Petroleum</w:t>
      </w:r>
      <w:proofErr w:type="spellEnd"/>
      <w:r>
        <w:t xml:space="preserve">", </w:t>
      </w:r>
      <w:r w:rsidR="00460DD5">
        <w:t>SIA</w:t>
      </w:r>
      <w:r>
        <w:t xml:space="preserve"> "</w:t>
      </w:r>
      <w:proofErr w:type="spellStart"/>
      <w:r>
        <w:t>Circle</w:t>
      </w:r>
      <w:proofErr w:type="spellEnd"/>
      <w:r>
        <w:t xml:space="preserve"> K Latvia”, </w:t>
      </w:r>
      <w:r w:rsidR="00460DD5">
        <w:t xml:space="preserve">AS </w:t>
      </w:r>
      <w:r>
        <w:t xml:space="preserve">"Ventbunkers", </w:t>
      </w:r>
      <w:r w:rsidR="00460DD5">
        <w:t>SIA</w:t>
      </w:r>
      <w:r>
        <w:t xml:space="preserve"> "RDZ Energy", "</w:t>
      </w:r>
      <w:r w:rsidR="00164E6A" w:rsidRPr="00510DC2">
        <w:t>GUNVOR PETROLEUM ROTTERDAM B.V</w:t>
      </w:r>
      <w:r w:rsidR="00164E6A" w:rsidDel="00164E6A">
        <w:t xml:space="preserve"> </w:t>
      </w:r>
      <w:r>
        <w:t>", "</w:t>
      </w:r>
      <w:proofErr w:type="spellStart"/>
      <w:r>
        <w:t>Vitol</w:t>
      </w:r>
      <w:proofErr w:type="spellEnd"/>
      <w:r>
        <w:t xml:space="preserve"> SA"</w:t>
      </w:r>
      <w:r w:rsidR="00C023ED">
        <w:t>, kā arī AS “Latvenergo” krājumos esošais dīzeļdegvielas apjoms (uz 2020.gada jūliju – 10 119 tonnas dīzeļdegvielas)</w:t>
      </w:r>
      <w:r>
        <w:t xml:space="preserve">. </w:t>
      </w:r>
      <w:r>
        <w:rPr>
          <w:u w:val="single"/>
        </w:rPr>
        <w:t>No visa apjoma 6</w:t>
      </w:r>
      <w:r w:rsidR="00C023ED">
        <w:rPr>
          <w:u w:val="single"/>
        </w:rPr>
        <w:t>3</w:t>
      </w:r>
      <w:r>
        <w:rPr>
          <w:u w:val="single"/>
        </w:rPr>
        <w:t>,6% tiks uzglabāti Latvijā (0,4% - benzīns un 99,</w:t>
      </w:r>
      <w:r w:rsidR="00C023ED">
        <w:rPr>
          <w:u w:val="single"/>
        </w:rPr>
        <w:t>6</w:t>
      </w:r>
      <w:r>
        <w:rPr>
          <w:u w:val="single"/>
        </w:rPr>
        <w:t xml:space="preserve">% - dīzeļdegviela) un </w:t>
      </w:r>
      <w:r w:rsidR="00C023ED">
        <w:rPr>
          <w:u w:val="single"/>
        </w:rPr>
        <w:t>36,4</w:t>
      </w:r>
      <w:r>
        <w:rPr>
          <w:u w:val="single"/>
        </w:rPr>
        <w:t xml:space="preserve">% - ārzemēs. Līgumi tika noslēgti ar visiem komersantiem, kas piedāvāja uzglabāt </w:t>
      </w:r>
      <w:r w:rsidR="00434B64">
        <w:rPr>
          <w:u w:val="single"/>
        </w:rPr>
        <w:t xml:space="preserve">drošības </w:t>
      </w:r>
      <w:r>
        <w:rPr>
          <w:u w:val="single"/>
        </w:rPr>
        <w:t>rezerves Latvijas teritorijā.</w:t>
      </w:r>
      <w:r>
        <w:t xml:space="preserve"> </w:t>
      </w:r>
      <w:r>
        <w:lastRenderedPageBreak/>
        <w:t>Tabula 3. atspoguļo Latvijas drošības rezervju uzglabāšanas teritoriālo sadalījumu 2020. – 2021.gadā.</w:t>
      </w:r>
    </w:p>
    <w:p w14:paraId="110C407F" w14:textId="2F6BE8AE" w:rsidR="00F8459C" w:rsidRDefault="00C71529">
      <w:pPr>
        <w:pStyle w:val="NormalWeb"/>
        <w:shd w:val="clear" w:color="auto" w:fill="FFFFFF"/>
        <w:spacing w:before="0" w:beforeAutospacing="0" w:after="0" w:afterAutospacing="0"/>
        <w:jc w:val="right"/>
        <w:rPr>
          <w:i/>
          <w:iCs/>
          <w:color w:val="808080" w:themeColor="background1" w:themeShade="80"/>
        </w:rPr>
      </w:pPr>
      <w:r>
        <w:rPr>
          <w:i/>
          <w:iCs/>
          <w:color w:val="808080" w:themeColor="background1" w:themeShade="80"/>
        </w:rPr>
        <w:t>Tabula 3. Latvijas drošības rezerv</w:t>
      </w:r>
      <w:r w:rsidR="00434B64">
        <w:rPr>
          <w:i/>
          <w:iCs/>
          <w:color w:val="808080" w:themeColor="background1" w:themeShade="80"/>
        </w:rPr>
        <w:t>ju</w:t>
      </w:r>
      <w:r>
        <w:rPr>
          <w:i/>
          <w:iCs/>
          <w:color w:val="808080" w:themeColor="background1" w:themeShade="80"/>
        </w:rPr>
        <w:t xml:space="preserve"> apjoms 2020. – 2021.gadā</w:t>
      </w:r>
    </w:p>
    <w:tbl>
      <w:tblPr>
        <w:tblStyle w:val="TableGrid"/>
        <w:tblW w:w="0" w:type="auto"/>
        <w:tblInd w:w="523" w:type="dxa"/>
        <w:tblLook w:val="04A0" w:firstRow="1" w:lastRow="0" w:firstColumn="1" w:lastColumn="0" w:noHBand="0" w:noVBand="1"/>
      </w:tblPr>
      <w:tblGrid>
        <w:gridCol w:w="2733"/>
        <w:gridCol w:w="1413"/>
        <w:gridCol w:w="2028"/>
        <w:gridCol w:w="1553"/>
      </w:tblGrid>
      <w:tr w:rsidR="00F8459C" w14:paraId="4AC64C56" w14:textId="77777777" w:rsidTr="008B208F">
        <w:tc>
          <w:tcPr>
            <w:tcW w:w="2733" w:type="dxa"/>
            <w:shd w:val="clear" w:color="auto" w:fill="F2F2F2" w:themeFill="background1" w:themeFillShade="F2"/>
          </w:tcPr>
          <w:p w14:paraId="1E130DE6" w14:textId="77777777" w:rsidR="00F8459C" w:rsidRDefault="00F8459C">
            <w:pPr>
              <w:pStyle w:val="Style2"/>
              <w:jc w:val="left"/>
              <w:rPr>
                <w:b/>
                <w:bCs/>
                <w:sz w:val="22"/>
                <w:szCs w:val="22"/>
              </w:rPr>
            </w:pPr>
          </w:p>
        </w:tc>
        <w:tc>
          <w:tcPr>
            <w:tcW w:w="1413" w:type="dxa"/>
            <w:shd w:val="clear" w:color="auto" w:fill="F2F2F2" w:themeFill="background1" w:themeFillShade="F2"/>
          </w:tcPr>
          <w:p w14:paraId="5C08E826" w14:textId="77777777" w:rsidR="00F8459C" w:rsidRDefault="00C71529">
            <w:pPr>
              <w:pStyle w:val="Style2"/>
              <w:ind w:firstLine="0"/>
              <w:jc w:val="center"/>
              <w:rPr>
                <w:b/>
                <w:bCs/>
                <w:sz w:val="22"/>
                <w:szCs w:val="22"/>
              </w:rPr>
            </w:pPr>
            <w:r>
              <w:rPr>
                <w:b/>
                <w:bCs/>
                <w:sz w:val="22"/>
                <w:szCs w:val="22"/>
              </w:rPr>
              <w:t xml:space="preserve">Latvijā </w:t>
            </w:r>
          </w:p>
          <w:p w14:paraId="5CBEF177" w14:textId="77777777" w:rsidR="00F8459C" w:rsidRDefault="00C71529">
            <w:pPr>
              <w:pStyle w:val="Style2"/>
              <w:ind w:firstLine="0"/>
              <w:jc w:val="center"/>
              <w:rPr>
                <w:b/>
                <w:bCs/>
                <w:sz w:val="22"/>
                <w:szCs w:val="22"/>
              </w:rPr>
            </w:pPr>
            <w:r>
              <w:rPr>
                <w:sz w:val="22"/>
                <w:szCs w:val="22"/>
              </w:rPr>
              <w:t>%</w:t>
            </w:r>
          </w:p>
        </w:tc>
        <w:tc>
          <w:tcPr>
            <w:tcW w:w="2028" w:type="dxa"/>
            <w:shd w:val="clear" w:color="auto" w:fill="F2F2F2" w:themeFill="background1" w:themeFillShade="F2"/>
          </w:tcPr>
          <w:p w14:paraId="24423F25" w14:textId="77777777" w:rsidR="00F8459C" w:rsidRDefault="00C71529">
            <w:pPr>
              <w:pStyle w:val="Style2"/>
              <w:ind w:firstLine="0"/>
              <w:jc w:val="center"/>
              <w:rPr>
                <w:b/>
                <w:bCs/>
                <w:sz w:val="22"/>
                <w:szCs w:val="22"/>
              </w:rPr>
            </w:pPr>
            <w:r>
              <w:rPr>
                <w:b/>
                <w:bCs/>
                <w:sz w:val="22"/>
                <w:szCs w:val="22"/>
              </w:rPr>
              <w:t>ES</w:t>
            </w:r>
          </w:p>
          <w:p w14:paraId="1C7D2AE9" w14:textId="77777777" w:rsidR="00F8459C" w:rsidRDefault="00C71529">
            <w:pPr>
              <w:pStyle w:val="Style2"/>
              <w:ind w:firstLine="0"/>
              <w:jc w:val="center"/>
              <w:rPr>
                <w:sz w:val="22"/>
                <w:szCs w:val="22"/>
              </w:rPr>
            </w:pPr>
            <w:r>
              <w:rPr>
                <w:sz w:val="22"/>
                <w:szCs w:val="22"/>
              </w:rPr>
              <w:t>(Lietuva, Nīderlande)</w:t>
            </w:r>
          </w:p>
          <w:p w14:paraId="08E3F687" w14:textId="77777777" w:rsidR="00F8459C" w:rsidRDefault="00C71529">
            <w:pPr>
              <w:pStyle w:val="Style2"/>
              <w:ind w:firstLine="0"/>
              <w:jc w:val="center"/>
              <w:rPr>
                <w:sz w:val="22"/>
                <w:szCs w:val="22"/>
              </w:rPr>
            </w:pPr>
            <w:r>
              <w:rPr>
                <w:sz w:val="22"/>
                <w:szCs w:val="22"/>
              </w:rPr>
              <w:t>(</w:t>
            </w:r>
            <w:proofErr w:type="spellStart"/>
            <w:r>
              <w:rPr>
                <w:sz w:val="22"/>
                <w:szCs w:val="22"/>
              </w:rPr>
              <w:t>tūkst.tonnas</w:t>
            </w:r>
            <w:proofErr w:type="spellEnd"/>
            <w:r>
              <w:rPr>
                <w:sz w:val="22"/>
                <w:szCs w:val="22"/>
              </w:rPr>
              <w:t>)</w:t>
            </w:r>
          </w:p>
          <w:p w14:paraId="2C755044" w14:textId="77777777" w:rsidR="00F8459C" w:rsidRDefault="00C71529">
            <w:pPr>
              <w:pStyle w:val="Style2"/>
              <w:ind w:firstLine="0"/>
              <w:jc w:val="center"/>
              <w:rPr>
                <w:sz w:val="22"/>
                <w:szCs w:val="22"/>
              </w:rPr>
            </w:pPr>
            <w:r>
              <w:rPr>
                <w:sz w:val="22"/>
                <w:szCs w:val="22"/>
              </w:rPr>
              <w:t>%</w:t>
            </w:r>
          </w:p>
        </w:tc>
        <w:tc>
          <w:tcPr>
            <w:tcW w:w="1553" w:type="dxa"/>
            <w:tcBorders>
              <w:right w:val="single" w:sz="4" w:space="0" w:color="auto"/>
            </w:tcBorders>
            <w:shd w:val="clear" w:color="auto" w:fill="F2F2F2" w:themeFill="background1" w:themeFillShade="F2"/>
          </w:tcPr>
          <w:p w14:paraId="2B951586" w14:textId="77777777" w:rsidR="00F8459C" w:rsidRDefault="00C71529">
            <w:pPr>
              <w:pStyle w:val="Style2"/>
              <w:ind w:firstLine="0"/>
              <w:jc w:val="center"/>
              <w:rPr>
                <w:b/>
                <w:bCs/>
                <w:sz w:val="22"/>
                <w:szCs w:val="22"/>
              </w:rPr>
            </w:pPr>
            <w:r>
              <w:rPr>
                <w:b/>
                <w:bCs/>
                <w:sz w:val="22"/>
                <w:szCs w:val="22"/>
              </w:rPr>
              <w:t>Kopā</w:t>
            </w:r>
          </w:p>
          <w:p w14:paraId="116780D6" w14:textId="77777777" w:rsidR="00F8459C" w:rsidRDefault="00C71529">
            <w:pPr>
              <w:pStyle w:val="Style2"/>
              <w:ind w:firstLine="0"/>
              <w:jc w:val="center"/>
              <w:rPr>
                <w:b/>
                <w:bCs/>
                <w:sz w:val="22"/>
                <w:szCs w:val="22"/>
              </w:rPr>
            </w:pPr>
            <w:r>
              <w:rPr>
                <w:sz w:val="22"/>
                <w:szCs w:val="22"/>
              </w:rPr>
              <w:t>(</w:t>
            </w:r>
            <w:proofErr w:type="spellStart"/>
            <w:r>
              <w:rPr>
                <w:sz w:val="22"/>
                <w:szCs w:val="22"/>
              </w:rPr>
              <w:t>tūkst.tonnas</w:t>
            </w:r>
            <w:proofErr w:type="spellEnd"/>
            <w:r>
              <w:rPr>
                <w:sz w:val="22"/>
                <w:szCs w:val="22"/>
              </w:rPr>
              <w:t>)</w:t>
            </w:r>
          </w:p>
        </w:tc>
      </w:tr>
      <w:tr w:rsidR="00F8459C" w14:paraId="53C1FDF6" w14:textId="77777777" w:rsidTr="008B208F">
        <w:tc>
          <w:tcPr>
            <w:tcW w:w="2733" w:type="dxa"/>
          </w:tcPr>
          <w:p w14:paraId="2FC1BF59" w14:textId="77777777" w:rsidR="008B208F" w:rsidRDefault="00C71529">
            <w:pPr>
              <w:pStyle w:val="Style2"/>
              <w:ind w:firstLine="0"/>
              <w:jc w:val="left"/>
              <w:rPr>
                <w:i/>
                <w:iCs/>
                <w:sz w:val="22"/>
                <w:szCs w:val="22"/>
              </w:rPr>
            </w:pPr>
            <w:r>
              <w:rPr>
                <w:sz w:val="22"/>
                <w:szCs w:val="22"/>
              </w:rPr>
              <w:t>I kategorija (</w:t>
            </w:r>
            <w:r>
              <w:rPr>
                <w:i/>
                <w:iCs/>
                <w:sz w:val="22"/>
                <w:szCs w:val="22"/>
              </w:rPr>
              <w:t xml:space="preserve">benzīns) </w:t>
            </w:r>
            <w:r>
              <w:rPr>
                <w:sz w:val="22"/>
                <w:szCs w:val="22"/>
              </w:rPr>
              <w:t>un</w:t>
            </w:r>
            <w:r>
              <w:rPr>
                <w:i/>
                <w:iCs/>
                <w:sz w:val="22"/>
                <w:szCs w:val="22"/>
              </w:rPr>
              <w:t xml:space="preserve"> </w:t>
            </w:r>
          </w:p>
          <w:p w14:paraId="346B5ABB" w14:textId="59CA3250" w:rsidR="00F8459C" w:rsidRDefault="00C71529">
            <w:pPr>
              <w:pStyle w:val="Style2"/>
              <w:ind w:firstLine="0"/>
              <w:jc w:val="left"/>
              <w:rPr>
                <w:sz w:val="22"/>
                <w:szCs w:val="22"/>
              </w:rPr>
            </w:pPr>
            <w:r>
              <w:rPr>
                <w:sz w:val="22"/>
                <w:szCs w:val="22"/>
              </w:rPr>
              <w:t>II kategorija</w:t>
            </w:r>
            <w:r w:rsidR="008B208F">
              <w:rPr>
                <w:sz w:val="22"/>
                <w:szCs w:val="22"/>
              </w:rPr>
              <w:t xml:space="preserve"> </w:t>
            </w:r>
            <w:r>
              <w:rPr>
                <w:sz w:val="22"/>
                <w:szCs w:val="22"/>
              </w:rPr>
              <w:t>(</w:t>
            </w:r>
            <w:r>
              <w:rPr>
                <w:i/>
                <w:iCs/>
                <w:sz w:val="22"/>
                <w:szCs w:val="22"/>
              </w:rPr>
              <w:t>dīzeļdegviela</w:t>
            </w:r>
            <w:r>
              <w:rPr>
                <w:sz w:val="22"/>
                <w:szCs w:val="22"/>
              </w:rPr>
              <w:t>)</w:t>
            </w:r>
          </w:p>
        </w:tc>
        <w:tc>
          <w:tcPr>
            <w:tcW w:w="1413" w:type="dxa"/>
          </w:tcPr>
          <w:p w14:paraId="15848975" w14:textId="3CF91A1E" w:rsidR="00F8459C" w:rsidRDefault="00C71529">
            <w:pPr>
              <w:pStyle w:val="Style2"/>
              <w:ind w:firstLine="0"/>
              <w:jc w:val="center"/>
              <w:rPr>
                <w:sz w:val="22"/>
                <w:szCs w:val="22"/>
              </w:rPr>
            </w:pPr>
            <w:r>
              <w:t>6</w:t>
            </w:r>
            <w:r w:rsidR="00C023ED">
              <w:t>3</w:t>
            </w:r>
            <w:r>
              <w:t>,6%</w:t>
            </w:r>
          </w:p>
        </w:tc>
        <w:tc>
          <w:tcPr>
            <w:tcW w:w="2028" w:type="dxa"/>
          </w:tcPr>
          <w:p w14:paraId="189A18F6" w14:textId="3B6BB409" w:rsidR="00F8459C" w:rsidRDefault="00C71529" w:rsidP="008B208F">
            <w:pPr>
              <w:pStyle w:val="Style2"/>
              <w:ind w:firstLine="0"/>
              <w:jc w:val="center"/>
              <w:rPr>
                <w:sz w:val="22"/>
                <w:szCs w:val="22"/>
              </w:rPr>
            </w:pPr>
            <w:r>
              <w:rPr>
                <w:sz w:val="22"/>
                <w:szCs w:val="22"/>
              </w:rPr>
              <w:t>3</w:t>
            </w:r>
            <w:r w:rsidR="00C023ED">
              <w:rPr>
                <w:sz w:val="22"/>
                <w:szCs w:val="22"/>
              </w:rPr>
              <w:t>6</w:t>
            </w:r>
            <w:r>
              <w:rPr>
                <w:sz w:val="22"/>
                <w:szCs w:val="22"/>
              </w:rPr>
              <w:t>,4%</w:t>
            </w:r>
          </w:p>
        </w:tc>
        <w:tc>
          <w:tcPr>
            <w:tcW w:w="1553" w:type="dxa"/>
            <w:shd w:val="clear" w:color="auto" w:fill="DBE5F1" w:themeFill="accent1" w:themeFillTint="33"/>
          </w:tcPr>
          <w:p w14:paraId="6ABC4578" w14:textId="17A7F532" w:rsidR="00F8459C" w:rsidRDefault="00C023ED">
            <w:pPr>
              <w:pStyle w:val="Style2"/>
              <w:ind w:firstLine="0"/>
              <w:jc w:val="center"/>
              <w:rPr>
                <w:b/>
                <w:bCs/>
                <w:sz w:val="22"/>
                <w:szCs w:val="22"/>
              </w:rPr>
            </w:pPr>
            <w:r>
              <w:t>362 819</w:t>
            </w:r>
          </w:p>
        </w:tc>
      </w:tr>
    </w:tbl>
    <w:p w14:paraId="1A614EB2" w14:textId="77777777" w:rsidR="00F8459C" w:rsidRDefault="00F8459C">
      <w:pPr>
        <w:pStyle w:val="Style2"/>
        <w:ind w:firstLine="0"/>
      </w:pPr>
    </w:p>
    <w:p w14:paraId="2214D370" w14:textId="77777777" w:rsidR="00F8459C" w:rsidRDefault="00C71529">
      <w:pPr>
        <w:pStyle w:val="Style3"/>
        <w:spacing w:before="0" w:line="240" w:lineRule="auto"/>
      </w:pPr>
      <w:bookmarkStart w:id="17" w:name="_Toc67921663"/>
      <w:r>
        <w:t>2.3. Identificētās problēmas</w:t>
      </w:r>
      <w:bookmarkEnd w:id="17"/>
    </w:p>
    <w:p w14:paraId="14004230" w14:textId="77777777" w:rsidR="00F8459C" w:rsidRDefault="00F8459C">
      <w:pPr>
        <w:pStyle w:val="Style2"/>
      </w:pPr>
    </w:p>
    <w:p w14:paraId="68F7DE63" w14:textId="315FBF7B" w:rsidR="00F8459C" w:rsidRDefault="00C71529">
      <w:pPr>
        <w:pStyle w:val="Style2"/>
      </w:pPr>
      <w:r>
        <w:t xml:space="preserve">Lai gan 2018.gadā tika atbalstīts risinājums organizēt </w:t>
      </w:r>
      <w:r w:rsidR="00434B64">
        <w:t xml:space="preserve">drošības </w:t>
      </w:r>
      <w:r>
        <w:t xml:space="preserve">rezervju </w:t>
      </w:r>
      <w:r w:rsidR="000A1F81">
        <w:t>iepirkumu</w:t>
      </w:r>
      <w:r>
        <w:t xml:space="preserve"> atbilstoši </w:t>
      </w:r>
      <w:hyperlink r:id="rId14" w:tgtFrame="_blank" w:history="1">
        <w:r>
          <w:t>Aizsardzības un drošības jomas iepirkumu likum</w:t>
        </w:r>
      </w:hyperlink>
      <w:r w:rsidR="002971AE">
        <w:t>ā noteiktajām iepirkuma</w:t>
      </w:r>
      <w:r>
        <w:t> procedūrām, ilgtermiņā vēl joprojām pastāv vairāki problēmjautājumi saistībā ar esošo drošības rezervju uzturēšanas kārtību.</w:t>
      </w:r>
    </w:p>
    <w:p w14:paraId="081B6997" w14:textId="42CB3DCE" w:rsidR="00F8459C" w:rsidRDefault="00C71529">
      <w:pPr>
        <w:pStyle w:val="Style2"/>
      </w:pPr>
      <w:r>
        <w:t xml:space="preserve">Pirmkārt, vērtējot ilgtermiņā, pašreizējais Latvijas </w:t>
      </w:r>
      <w:r>
        <w:rPr>
          <w:b/>
          <w:bCs/>
        </w:rPr>
        <w:t>modelis ir salīdzinoši dārgs</w:t>
      </w:r>
      <w:r>
        <w:t xml:space="preserve">. Drošības rezerve tiek uzturēta ‘biļešu’ veidā un valstij pašai naftas produkti nepieder. Līdz ar to valsts maksā par </w:t>
      </w:r>
      <w:r w:rsidR="008B208F">
        <w:t xml:space="preserve">to, ka komersantu uzglabā naftas produktus, un nodrošina valstij </w:t>
      </w:r>
      <w:r>
        <w:t xml:space="preserve">iespēju nopirkt </w:t>
      </w:r>
      <w:r w:rsidR="008B208F">
        <w:t xml:space="preserve">šos </w:t>
      </w:r>
      <w:r>
        <w:t xml:space="preserve">krājumus gadījumā, ja tiktu izsludināta valsts vai vietējā mēroga enerģētiskā krīze. Drošības rezervju uzturēšana, izmantojot iepirkumu, no valsts budžeta viedokļa īstermiņā ir rentabla, bet </w:t>
      </w:r>
      <w:r>
        <w:rPr>
          <w:b/>
          <w:bCs/>
        </w:rPr>
        <w:t>no visas sistēmas viedokļa tā nav efektīva</w:t>
      </w:r>
      <w:r>
        <w:t xml:space="preserve">. Komersanti, kuri uztur rezerves, atspoguļo visus finanšu riskus un kapitāla izmaksas galīgajā uzglabāšanas cenā, tādējādi radot augstākas pakalpojuma cenas. Tas nozīmē, ka risks tiek apmaksāts vienmēr, pat ja konkrētais risks līguma darbības laikā neiestājas, piemēram, degvielas cenu krišanās līguma izpildes laikā. Papildus esošajām izmaksām valsts vai vietējā līmeņa enerģētiskās krīzes gadījumā krājumi no komersantiem būs jāatpērk par aktuālajām cenām saskaņā ar spēkā esošajiem līgumiem. </w:t>
      </w:r>
    </w:p>
    <w:p w14:paraId="1EAE6F5E" w14:textId="4141AF92" w:rsidR="00F8459C" w:rsidRDefault="00C71529">
      <w:pPr>
        <w:pStyle w:val="Style2"/>
      </w:pPr>
      <w:r w:rsidRPr="000A1F81">
        <w:t xml:space="preserve">Otrkārt, sistēma, kas balstās uz noslēgtiem līgumiem ar komersantiem par naftas produktu atliktajām piegādēm, </w:t>
      </w:r>
      <w:r w:rsidRPr="000A1F81">
        <w:rPr>
          <w:b/>
          <w:bCs/>
        </w:rPr>
        <w:t>nav uzskatāma par drošāko risinājumu no piegāžu drošības skatu punkta,</w:t>
      </w:r>
      <w:r w:rsidRPr="000A1F81">
        <w:t xml:space="preserve"> jo var gadīties situācijas, ka komersantu iespējas pildīt noslēgtos līgumus par drošības rezervju piegādēm varētu būt ierobežotas</w:t>
      </w:r>
      <w:r w:rsidR="0010776B" w:rsidRPr="000A1F81">
        <w:t xml:space="preserve"> (piemēram, situācijās, kad komersanti uzglabā </w:t>
      </w:r>
      <w:r w:rsidR="00434B64">
        <w:t>drošības</w:t>
      </w:r>
      <w:r w:rsidR="00434B64" w:rsidRPr="000A1F81">
        <w:t xml:space="preserve"> </w:t>
      </w:r>
      <w:r w:rsidR="0010776B" w:rsidRPr="000A1F81">
        <w:t>rezerves ārvalstīs, bet kādu ārēju apstākļu rezultātā piegādes no ārvalstīm nav iespējamas)</w:t>
      </w:r>
      <w:r w:rsidRPr="000A1F81">
        <w:t xml:space="preserve">. Enerģētikas resursiem un īpaši naftas produktiem ir būtiska nozīme ne tikai nacionālās ekonomikas funkcionēšanā, bet arī </w:t>
      </w:r>
      <w:r w:rsidRPr="000A1F81">
        <w:rPr>
          <w:b/>
          <w:bCs/>
        </w:rPr>
        <w:t xml:space="preserve">valsts drošības un aizsardzības sistēmas spēju uzturēšanā. </w:t>
      </w:r>
      <w:r w:rsidRPr="000A1F81">
        <w:t>Tāpat savlaicīga, kā arī pieprasījumam atbilstoša naftas produktu pieejamība ir sasaistē ar NATO prasībām. Situācijā, kad drošības rezerves nepieder valstij, pastāv lielāki piegādes drošības riski, ka drošības rezerves Latvijā netiek piegādātas paredzētajā termiņā un apjomā vai netiek piegādātas vispār. Rezervju iegādāšanās ļautu krīzes gadījumā operatīvi apgādāt dienestus, kas atbildīgi par civilo aizsardzību un valsts drošību, tādā veidā uzlabojot valsts noturību pret iekšēju un ārēju apdraudējumu. Krājumu iegāde un glabāšana Latvijas teritorijā samazinātu NBS krīzes gadījuma mobilizācijas pieprasījumus un uzlabotu vienību kaujas gatavību, tādā veidā arī mazāk apgrūtinot tautsaimniecību un uzlabojot tās dzīvotspēju krīzes apstākļos.</w:t>
      </w:r>
      <w:r>
        <w:t xml:space="preserve"> </w:t>
      </w:r>
    </w:p>
    <w:p w14:paraId="24F334C1" w14:textId="4401302B" w:rsidR="00F8459C" w:rsidRDefault="00C71529">
      <w:pPr>
        <w:pStyle w:val="Style2"/>
      </w:pPr>
      <w:r>
        <w:t xml:space="preserve">Tāpat </w:t>
      </w:r>
      <w:r w:rsidR="00434B64">
        <w:t xml:space="preserve">drošības </w:t>
      </w:r>
      <w:r>
        <w:t xml:space="preserve">rezervju iegādei ir nozīmīgs psiholoģisks un arī atturošs efekts, ļaujot uzturēt augstāku morāli gan starp operatīvajiem dienestiem, gan sabiedrībā kopumā krīzes apstākļos. </w:t>
      </w:r>
      <w:r w:rsidR="00434B64">
        <w:t>Drošības</w:t>
      </w:r>
      <w:r>
        <w:t xml:space="preserve"> rezerves ļauj uzturēt gan sabiedrisko kārtību, gan nodrošināt komunālos pakalpojumus, gan veselības aprūpes sistēmu, kā arī efektīvāk aizsargāt valsts iedzīvotājus. Tāpat ir iespējams atbalstīt stratēģiskās nozares (</w:t>
      </w:r>
      <w:r w:rsidR="001537F4">
        <w:t>komersantus</w:t>
      </w:r>
      <w:r>
        <w:t>), kas nepieciešamas apdraudējuma pārvarēšanai.</w:t>
      </w:r>
    </w:p>
    <w:p w14:paraId="213B8E28" w14:textId="419830AC" w:rsidR="00F8459C" w:rsidRDefault="00434B64">
      <w:pPr>
        <w:pStyle w:val="Style2"/>
      </w:pPr>
      <w:r>
        <w:t xml:space="preserve">Drošības </w:t>
      </w:r>
      <w:r w:rsidR="00C71529">
        <w:t xml:space="preserve">rezervju iegāde ir arī nacionālo industriju atbalstošs pasākums, ļaujot plašāk izmantot Latvijā bāzētus </w:t>
      </w:r>
      <w:r w:rsidR="001537F4">
        <w:t xml:space="preserve">komersantus </w:t>
      </w:r>
      <w:r w:rsidR="00C71529">
        <w:t>un infrastruktūru. Izmantojot vietējo infrastruktūru ir iespējams vienmērīgi izvietot krājumus pa visu valsti, veicinot krājumu drošību un uzlabojot apgādes ķēdi krīzes gadījumā.</w:t>
      </w:r>
    </w:p>
    <w:p w14:paraId="04C9574C" w14:textId="77777777" w:rsidR="00F8459C" w:rsidRDefault="00C71529">
      <w:pPr>
        <w:pStyle w:val="Style2"/>
      </w:pPr>
      <w:r>
        <w:lastRenderedPageBreak/>
        <w:t>COVID-19 krīze ir apstiprinājusi valsts stratēģisko rezervju nozīmību valsts drošības un stabilitātes uzturēšanā. Naftas produkti ir viena no vairākām vitāli svarīgām materiāltehnisko līdzekļu grupām no kā ir atkarīga virkne operatīvo dienestu, tostarp Nacionālo bruņoto spēku efektivitāte.</w:t>
      </w:r>
    </w:p>
    <w:p w14:paraId="2DF34B50" w14:textId="06901340" w:rsidR="00E430C0" w:rsidRDefault="00C71529">
      <w:pPr>
        <w:pStyle w:val="Style2"/>
      </w:pPr>
      <w:r>
        <w:t xml:space="preserve">Treškārt, pēc Konsultanta vērtējuma </w:t>
      </w:r>
      <w:r w:rsidRPr="004F76B8">
        <w:t>pašreizēj</w:t>
      </w:r>
      <w:r w:rsidR="00E06367">
        <w:t>ā</w:t>
      </w:r>
      <w:r w:rsidRPr="004F76B8">
        <w:t xml:space="preserve"> sistēma paredz </w:t>
      </w:r>
      <w:r w:rsidRPr="004F76B8">
        <w:rPr>
          <w:rFonts w:eastAsia="Times New Roman"/>
        </w:rPr>
        <w:t>administratīvi smagnēj</w:t>
      </w:r>
      <w:r w:rsidR="00E06367">
        <w:rPr>
          <w:rFonts w:eastAsia="Times New Roman"/>
        </w:rPr>
        <w:t>u</w:t>
      </w:r>
      <w:r w:rsidRPr="004F76B8">
        <w:rPr>
          <w:rFonts w:eastAsia="Times New Roman"/>
        </w:rPr>
        <w:t xml:space="preserve"> procedūru</w:t>
      </w:r>
      <w:r>
        <w:rPr>
          <w:b/>
          <w:bCs/>
        </w:rPr>
        <w:t>, un Ekonomikas ministrijas pieredze liecina par zemu vietējo komersantu interesi piedalīties iepirkumā</w:t>
      </w:r>
      <w:r>
        <w:t>. Esošā iepirkuma procedūra ir laikietilpīga</w:t>
      </w:r>
      <w:r w:rsidR="00D00E5B">
        <w:t xml:space="preserve"> (tostarp attiecībā uz piedāvājumu izvērtēšanu)</w:t>
      </w:r>
      <w:r>
        <w:t>.</w:t>
      </w:r>
      <w:r>
        <w:rPr>
          <w:b/>
          <w:bCs/>
        </w:rPr>
        <w:t xml:space="preserve"> </w:t>
      </w:r>
      <w:r>
        <w:t>Pakalpojuma sniegšana drošības rezervju veidošanai komersantiem nav pietiekoši pievilcīga</w:t>
      </w:r>
      <w:r w:rsidR="00906783">
        <w:t xml:space="preserve"> vairāku iemeslu dēļ: </w:t>
      </w:r>
    </w:p>
    <w:p w14:paraId="0D52619C" w14:textId="6FB91710" w:rsidR="00C95EA1" w:rsidRDefault="00E430C0" w:rsidP="005336B3">
      <w:pPr>
        <w:pStyle w:val="Style2"/>
        <w:numPr>
          <w:ilvl w:val="0"/>
          <w:numId w:val="22"/>
        </w:numPr>
        <w:ind w:left="709"/>
      </w:pPr>
      <w:r>
        <w:t xml:space="preserve">Sagatavojot finanšu piedāvājumu komersants pakalpojuma cenā ierēķina produkta tirgus cenas svārstību risku. Tas tiek aprēķināts pamatojoties uz tirgus datiem, kādi tie ir </w:t>
      </w:r>
      <w:r w:rsidRPr="005336B3">
        <w:t>piedāvājuma sniegšanas dienā</w:t>
      </w:r>
      <w:r>
        <w:t xml:space="preserve">, bet ja iepirkuma rezultāts tiek paziņots pēc ilgāka laika, tirgus cenas ir izmainījušās un pastāv liela varbūtība, ka cenu svārstību riska izmaksas pieaugs. </w:t>
      </w:r>
      <w:r w:rsidR="005336B3">
        <w:t>Esošā</w:t>
      </w:r>
      <w:r w:rsidR="00906783">
        <w:t>s</w:t>
      </w:r>
      <w:r w:rsidR="005336B3">
        <w:t xml:space="preserve"> iepirkum</w:t>
      </w:r>
      <w:r w:rsidR="00906783">
        <w:t>a</w:t>
      </w:r>
      <w:r w:rsidR="005336B3">
        <w:t xml:space="preserve"> procedūra</w:t>
      </w:r>
      <w:r w:rsidR="00906783">
        <w:t>s piedāvājumu izvērtēšanas ilgums, ņemot vērā saistības, ko komersants ir uzņēmies izsakot piedāvājumu,</w:t>
      </w:r>
      <w:r w:rsidR="005336B3">
        <w:t xml:space="preserve"> apgrūtina komersanta spēju </w:t>
      </w:r>
      <w:r w:rsidR="00C71529">
        <w:t>ilgtermiņ</w:t>
      </w:r>
      <w:r w:rsidR="005336B3">
        <w:t>ā</w:t>
      </w:r>
      <w:r w:rsidR="00C71529">
        <w:t xml:space="preserve"> </w:t>
      </w:r>
      <w:r w:rsidR="005336B3">
        <w:t xml:space="preserve">plānot savu </w:t>
      </w:r>
      <w:r w:rsidR="00C71529">
        <w:t>uzglabāšanas kapacitāt</w:t>
      </w:r>
      <w:r w:rsidR="005336B3">
        <w:t>i</w:t>
      </w:r>
      <w:r w:rsidR="00C71529">
        <w:t xml:space="preserve"> un </w:t>
      </w:r>
      <w:r w:rsidR="005336B3">
        <w:t xml:space="preserve">pārvaldīt savus </w:t>
      </w:r>
      <w:r w:rsidR="00C71529">
        <w:t>finanšu līdzekļu</w:t>
      </w:r>
      <w:r w:rsidR="005336B3">
        <w:t>s</w:t>
      </w:r>
      <w:r w:rsidR="00C71529">
        <w:t>, kurus ieguldīt pakalpojuma sniegšanā</w:t>
      </w:r>
      <w:r w:rsidR="00C95EA1">
        <w:t>.</w:t>
      </w:r>
    </w:p>
    <w:p w14:paraId="34262319" w14:textId="25A3C576" w:rsidR="003454C0" w:rsidRDefault="003454C0" w:rsidP="003454C0">
      <w:pPr>
        <w:pStyle w:val="Style2"/>
        <w:numPr>
          <w:ilvl w:val="0"/>
          <w:numId w:val="22"/>
        </w:numPr>
        <w:ind w:left="709"/>
      </w:pPr>
      <w:r>
        <w:t>Komersantam jānodrošina naftas produktu esamība piedāvājuma izteikšanas brīdī, lai gan komersants nevar būt pārliecināts, vai tiks atzīts par iepirkuma uzvarētāju. Komersants rezervē naftas produktus un iesaldē finanšu līdzekļus un tvertņu kapacitāti, kas sadārdzina uzglabāšanas pakalpojuma cenu. Lai arī teorētiski komersants var apliecināt savas spēja iegādāties naftas produktus arī pēc iepirkuma rezultātu paziņošanas, praksē šis laiks līdz līguma slēgšanai ir nepietiekams, lai komersants varētu ieplānots naftas produktu piegādi.</w:t>
      </w:r>
    </w:p>
    <w:p w14:paraId="4B48A4EB" w14:textId="05CC57EF" w:rsidR="005336B3" w:rsidRDefault="003454C0" w:rsidP="00A26B17">
      <w:pPr>
        <w:pStyle w:val="Style2"/>
        <w:numPr>
          <w:ilvl w:val="0"/>
          <w:numId w:val="22"/>
        </w:numPr>
        <w:ind w:left="709"/>
      </w:pPr>
      <w:r>
        <w:t xml:space="preserve">Ņemot vērā nenoteiktību par </w:t>
      </w:r>
      <w:r w:rsidR="002971AE">
        <w:t>iepirkuma</w:t>
      </w:r>
      <w:r>
        <w:t xml:space="preserve"> rezultātiem, kredītiestādes ir skeptiskas un kritiski vērtē iespēju finansēt šādu komersanta darbību. K</w:t>
      </w:r>
      <w:r w:rsidR="00C71529">
        <w:t xml:space="preserve">ā arī </w:t>
      </w:r>
      <w:r>
        <w:t xml:space="preserve">kopumā </w:t>
      </w:r>
      <w:r w:rsidR="00C71529">
        <w:t>ilgā un sarežģītā procedūra, komersantos nerada pietiekamu interesi.</w:t>
      </w:r>
    </w:p>
    <w:p w14:paraId="3B26AC04" w14:textId="57F6144A" w:rsidR="00F8459C" w:rsidRDefault="005336B3" w:rsidP="005336B3">
      <w:pPr>
        <w:pStyle w:val="Style2"/>
        <w:ind w:firstLine="0"/>
      </w:pPr>
      <w:r>
        <w:tab/>
      </w:r>
      <w:r w:rsidR="00C71529">
        <w:t xml:space="preserve">Šī iemesla dēļ valstij nākas rēķināties ar to, ka </w:t>
      </w:r>
      <w:r w:rsidR="00F86A98">
        <w:t xml:space="preserve">iepirkuma </w:t>
      </w:r>
      <w:r w:rsidR="00C71529">
        <w:t xml:space="preserve">pretendentu lokā palielinās ārvalstu komersantu īpatsvars, kas veicina iespējamu </w:t>
      </w:r>
      <w:r w:rsidR="00F86A98">
        <w:t>iepirkuma</w:t>
      </w:r>
      <w:r w:rsidR="00C71529">
        <w:t xml:space="preserve"> </w:t>
      </w:r>
      <w:r w:rsidR="00F86A98">
        <w:t xml:space="preserve">dalībnieku </w:t>
      </w:r>
      <w:r w:rsidR="00C71529">
        <w:t xml:space="preserve">pieteikumu izvērtēšanai nepieciešamā laika palielināšanos, un kļūst sarežģītāka procedūra, kuras ietvaros ir jāpārbauda pretendentu atbilstība </w:t>
      </w:r>
      <w:r w:rsidR="00F86A98">
        <w:t xml:space="preserve">iepirkuma </w:t>
      </w:r>
      <w:r w:rsidR="00C71529">
        <w:t xml:space="preserve">prasībām. Tāpat komersanti, ņemot vērā iepriekšējo birokrātiski sarežģīto pieredzi, nevēlas tērēt līdzekļus dalībai iepirkumā. </w:t>
      </w:r>
    </w:p>
    <w:p w14:paraId="55A1F223" w14:textId="77777777" w:rsidR="00F8459C" w:rsidRDefault="00F8459C">
      <w:pPr>
        <w:pStyle w:val="Style2"/>
      </w:pPr>
    </w:p>
    <w:p w14:paraId="40D31D01" w14:textId="77777777" w:rsidR="00F8459C" w:rsidRDefault="00C71529">
      <w:pPr>
        <w:pStyle w:val="Style3"/>
        <w:spacing w:before="0" w:line="240" w:lineRule="auto"/>
      </w:pPr>
      <w:bookmarkStart w:id="18" w:name="_Toc67921664"/>
      <w:r>
        <w:t>2.4. Citu ES dalībvalstu pieredze drošības rezervju izveidē</w:t>
      </w:r>
      <w:bookmarkEnd w:id="18"/>
    </w:p>
    <w:p w14:paraId="7E0C859A" w14:textId="77777777" w:rsidR="00F8459C" w:rsidRDefault="00F8459C">
      <w:pPr>
        <w:pStyle w:val="Style2"/>
      </w:pPr>
    </w:p>
    <w:p w14:paraId="416E67C5" w14:textId="77777777" w:rsidR="00F8459C" w:rsidRDefault="00C71529" w:rsidP="00A26B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Pastāv trīs atšķirīgi drošības rezervju pārvaldīšanas un uzturēšanas modeļi:</w:t>
      </w:r>
    </w:p>
    <w:p w14:paraId="438FD01A" w14:textId="77777777" w:rsidR="00F8459C" w:rsidRDefault="00C71529" w:rsidP="00A26B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Valsts modelis</w:t>
      </w:r>
      <w:r>
        <w:rPr>
          <w:rFonts w:ascii="Times New Roman" w:hAnsi="Times New Roman" w:cs="Times New Roman"/>
          <w:sz w:val="24"/>
          <w:szCs w:val="24"/>
        </w:rPr>
        <w:t xml:space="preserve"> – Valsts modelis paredz, ka drošības rezerves pieder valstij, un tos pārvalda un finansē no valsts budžeta.</w:t>
      </w:r>
    </w:p>
    <w:p w14:paraId="7F2F3F9F" w14:textId="2999CD33" w:rsidR="00F8459C" w:rsidRDefault="00C71529" w:rsidP="00A26B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Aģentūras modelis</w:t>
      </w:r>
      <w:r>
        <w:rPr>
          <w:rFonts w:ascii="Times New Roman" w:hAnsi="Times New Roman" w:cs="Times New Roman"/>
          <w:sz w:val="24"/>
          <w:szCs w:val="24"/>
        </w:rPr>
        <w:t xml:space="preserve"> – Aģentūras modelis paredz ka ir noslēgta vienošanās, saskaņā ar kuru neatkarīga aģentūra bezpeļņas orientētas organizatoriskas vienības veidā, pārvalda drošības rezervju krājumus un ir šo krājumu īpašniece.</w:t>
      </w:r>
    </w:p>
    <w:p w14:paraId="52A8B038" w14:textId="77777777" w:rsidR="00F8459C" w:rsidRDefault="00C71529" w:rsidP="00A26B1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Industrijas modelis</w:t>
      </w:r>
      <w:r>
        <w:rPr>
          <w:rFonts w:ascii="Times New Roman" w:hAnsi="Times New Roman" w:cs="Times New Roman"/>
          <w:sz w:val="24"/>
          <w:szCs w:val="24"/>
        </w:rPr>
        <w:t xml:space="preserve"> – Industrijas modelis paredz vienošanās, ar kuru atbildība par drošības rezervju krājumu izveidošanu un aizsardzību, kā arī finansiālais slogs tiek pilnībā nodots naftas nozarei.</w:t>
      </w:r>
    </w:p>
    <w:p w14:paraId="2C7D3F1E" w14:textId="77777777" w:rsidR="00F8459C" w:rsidRDefault="00C71529">
      <w:pPr>
        <w:pStyle w:val="Style2"/>
      </w:pPr>
      <w:r>
        <w:t xml:space="preserve">Konsultantu veiktajā pētījumā tika iekļautas vispārīgas ziņas par triju valstu pieredzi, katrā no tām pielietoto drošības rezervju pārvaldīšanas un uzturēšanas modeli un tā normatīvo bāzi: Čehija – valsts modelis; Igaunija – aģentūras modelis; Dānija – industrijas modelis. </w:t>
      </w:r>
    </w:p>
    <w:p w14:paraId="5BEB3584" w14:textId="2302DDDA" w:rsidR="00F8459C" w:rsidRDefault="00C71529">
      <w:pPr>
        <w:pStyle w:val="Style2"/>
      </w:pPr>
      <w:r>
        <w:rPr>
          <w:b/>
          <w:bCs/>
        </w:rPr>
        <w:t>Čehijā</w:t>
      </w:r>
      <w:r>
        <w:t xml:space="preserve"> drošības rezervju pārvaldīšanai un uzturēšanai tiek izmantots valsts modelis. Valsts Materiālo rezervju administrācija (VMRA) ir valstij piederošs uzņēmums, kas ir atbildīgā iestāde par šādu rezervju uzturēšanu. Tā ir centrālā valsts pārvaldes institūcija ekonomisku līdzekļu noteikšanai ārkārtas situācijās, tostarp jēlnaftas un naftas produktu, valsts materiālo rezervju izveidošanai un administrēšanai. Drošības rezerves iegāde un valsts materiālo rezervju aizsardzība pilnībā tiek finansēta no valsts budžeta. Nav noteikts pienākums industrijai maksāt valsts nodevu, kas tiktu izdalīta uz gala produktiem. Nozīmīga </w:t>
      </w:r>
      <w:r>
        <w:lastRenderedPageBreak/>
        <w:t>loma šīs rezervju uzglabāšanā ir valstij piederošajiem uzņēmumiem</w:t>
      </w:r>
      <w:r w:rsidR="00E13E8F">
        <w:t xml:space="preserve"> –</w:t>
      </w:r>
      <w:r>
        <w:t xml:space="preserve"> MERO ČR, </w:t>
      </w:r>
      <w:proofErr w:type="spellStart"/>
      <w:r>
        <w:t>a.s</w:t>
      </w:r>
      <w:proofErr w:type="spellEnd"/>
      <w:r>
        <w:t xml:space="preserve">. un </w:t>
      </w:r>
      <w:proofErr w:type="spellStart"/>
      <w:r>
        <w:t>Čepro</w:t>
      </w:r>
      <w:proofErr w:type="spellEnd"/>
      <w:r>
        <w:t xml:space="preserve">, </w:t>
      </w:r>
      <w:proofErr w:type="spellStart"/>
      <w:r>
        <w:t>a.s</w:t>
      </w:r>
      <w:proofErr w:type="spellEnd"/>
      <w:r>
        <w:t xml:space="preserve">. MERO uzglabā jēlnaftu, bet </w:t>
      </w:r>
      <w:proofErr w:type="spellStart"/>
      <w:r>
        <w:t>Čepro</w:t>
      </w:r>
      <w:proofErr w:type="spellEnd"/>
      <w:r>
        <w:t xml:space="preserve"> - gala produktus. Jēlnaftas un naftas produktu drošības rezerv</w:t>
      </w:r>
      <w:r w:rsidR="00E13E8F">
        <w:t>ju</w:t>
      </w:r>
      <w:r>
        <w:t xml:space="preserve"> vērtība ir aptuveni 1,5 miljardi EUR. Ikgadējās izmaksas to aizsardzībai un atjaunināšanai sasniedz aptuveni 60 miljonus EUR. </w:t>
      </w:r>
      <w:r w:rsidR="00434B64">
        <w:t>D</w:t>
      </w:r>
      <w:r>
        <w:t>rošības rezerv</w:t>
      </w:r>
      <w:r w:rsidR="00434B64">
        <w:t>ju</w:t>
      </w:r>
      <w:r>
        <w:t xml:space="preserve"> modeļa izvēli lielā mērā noteica vietējo naftas pārstrādes rūpnīcu jauda un spēja ražot dažādus naftas produktus. Nozīmīgs faktors ir arī pastāvošā piegāžu diversifikācija. </w:t>
      </w:r>
    </w:p>
    <w:p w14:paraId="6970FE10" w14:textId="77777777" w:rsidR="00F8459C" w:rsidRDefault="00C71529">
      <w:pPr>
        <w:pStyle w:val="Style2"/>
      </w:pPr>
      <w:r>
        <w:t xml:space="preserve">Latvijā pēc būtības pašlaik tiek pielietots valsts modelis, tomēr tam nav iespējas gūt labumu no nozīmīgākās priekšrocības, kas izriet no īpašuma tiesībām uz krājumiem, jo drošības rezerves nav iegādātas valsts īpašumā. Tas darbojas tikai ar iespēju prasīt krājumus valsts vai vietējās enerģētiskās krīzes situācijā par tirgus cenu. </w:t>
      </w:r>
    </w:p>
    <w:p w14:paraId="03774F93" w14:textId="77777777" w:rsidR="006E0743" w:rsidRDefault="00C71529" w:rsidP="006E0743">
      <w:pPr>
        <w:pStyle w:val="Style2"/>
      </w:pPr>
      <w:r>
        <w:rPr>
          <w:b/>
          <w:bCs/>
        </w:rPr>
        <w:t>Igaunija</w:t>
      </w:r>
      <w:r>
        <w:t xml:space="preserve"> drošības rezervju uzturēšanai izmanto aģentūras modeli. Igaunijas Naftas krājumu aģentūra (turpmāk - INKA) ir Igaunijas stratēģiskas nozīmes uzņēmums, kura uzdevums ir izveidot, uzturēt un atjaunināt drošības rezerves un t</w:t>
      </w:r>
      <w:r w:rsidR="00E13E8F">
        <w:t>ā</w:t>
      </w:r>
      <w:r>
        <w:t>s papildināt. INKA pati netur drošības rezerves. Šķidro degvielu drošības rezerv</w:t>
      </w:r>
      <w:r w:rsidR="00E13E8F">
        <w:t>ju</w:t>
      </w:r>
      <w:r>
        <w:t xml:space="preserve"> uzglabāšanu, iegādi un pārdošanu organizē ar publiskiem iepirkumiem. Igaunijas gadījum</w:t>
      </w:r>
      <w:r w:rsidR="00E13E8F">
        <w:t>ā</w:t>
      </w:r>
      <w:r>
        <w:t xml:space="preserve"> drošības rezerv</w:t>
      </w:r>
      <w:r w:rsidR="00E13E8F">
        <w:t>ju</w:t>
      </w:r>
      <w:r>
        <w:t xml:space="preserve"> izveidi finansēja no valsts budžeta, palielinot INKA pamatkapitālu un izmantojot līdzekļus, kas tiek iegūti no drošības rezervju pārdošanas. Drošības rezervju uzturēšanas izmaksas sedz no valsts nodevas. Attēls 1. atspoguļo INKA finansējuma struktūru. Igaunijas modelis tiek atzīts par izmaksu efektīvāku, palīdz nodrošināt drošības rezervju pārvaldības īstenošan</w:t>
      </w:r>
      <w:r w:rsidR="00E13E8F">
        <w:t>u</w:t>
      </w:r>
      <w:r>
        <w:t>, izmantojot publiskos iepirkumus šķidro degvielu drošības rezerv</w:t>
      </w:r>
      <w:r w:rsidR="00E13E8F">
        <w:t>ju</w:t>
      </w:r>
      <w:r>
        <w:t xml:space="preserve"> uzglabāšanai, iepirkšanai un pārdošanai. Pēc konsultantu vērtējuma caurspīdīgums, zems birokrātijas līmenis un izmaksu efektivitāte ir būtiskākās šī modeļa priekšrocības.</w:t>
      </w:r>
    </w:p>
    <w:p w14:paraId="2ECFA858" w14:textId="6005E447" w:rsidR="00F8459C" w:rsidRDefault="006E0743" w:rsidP="006E0743">
      <w:pPr>
        <w:pStyle w:val="Style2"/>
      </w:pPr>
      <w:r>
        <w:t>Vienlaikus, 2021. gada 11. martā Igaunijas valdība apstiprināja grozījumus Ārkārtas likumā, kas radīs pamatu Igaunijas krājumu centra (ECSD) izveidei.  ECSD tiks izveidota, paplašinot esošo INKA. Igaunijas krājumu centru plānots izveidot no 2021.gada jūlija. Papildus naftas produktu krājumiem ECSD nodarbosies arī ar citu valstij nepieciešamo operatīvo krājumu, piemēram, pārtikas, zāļu un individuālo aizsardzības līdzekļu, veidošanu, uzglabāšanu, kvalitātes kontroli, atjaunošanu un loģistiku.</w:t>
      </w:r>
    </w:p>
    <w:p w14:paraId="6F7A0D76" w14:textId="77777777"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Attēls 1. Igaunijas drošības rezervju iegādes un uzturēšanas finansēšana</w:t>
      </w:r>
    </w:p>
    <w:p w14:paraId="38634B5F" w14:textId="77777777" w:rsidR="00F8459C" w:rsidRDefault="00C71529" w:rsidP="00A26B17">
      <w:pPr>
        <w:pStyle w:val="Style2"/>
        <w:ind w:firstLine="0"/>
        <w:jc w:val="center"/>
      </w:pPr>
      <w:r>
        <w:rPr>
          <w:noProof/>
          <w:lang w:eastAsia="lv-LV"/>
        </w:rPr>
        <w:drawing>
          <wp:inline distT="0" distB="0" distL="0" distR="0" wp14:anchorId="4AF0798B" wp14:editId="097ABEF8">
            <wp:extent cx="3392487"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14219" cy="2875805"/>
                    </a:xfrm>
                    <a:prstGeom prst="rect">
                      <a:avLst/>
                    </a:prstGeom>
                  </pic:spPr>
                </pic:pic>
              </a:graphicData>
            </a:graphic>
          </wp:inline>
        </w:drawing>
      </w:r>
    </w:p>
    <w:p w14:paraId="544F5DBE" w14:textId="77777777" w:rsidR="00F8459C" w:rsidRDefault="00F8459C">
      <w:pPr>
        <w:pStyle w:val="Style2"/>
      </w:pPr>
    </w:p>
    <w:p w14:paraId="03CC20E3" w14:textId="5E350ACB" w:rsidR="00F8459C" w:rsidRDefault="00C71529">
      <w:pPr>
        <w:pStyle w:val="Style2"/>
      </w:pPr>
      <w:r>
        <w:rPr>
          <w:b/>
          <w:bCs/>
        </w:rPr>
        <w:t>Dānijā</w:t>
      </w:r>
      <w:r>
        <w:t xml:space="preserve"> ir labi attīstīts naftas produktu tirgus, kā arī tai ir spēcīga saistītā infrastruktūra līdz ar to Dānija ir izvēlējusies industrijas modeli. Pienākums uzturēt valsts drošības rezerves ir nodots privātajiem </w:t>
      </w:r>
      <w:r w:rsidR="001537F4">
        <w:t>komersantiem</w:t>
      </w:r>
      <w:r>
        <w:t xml:space="preserve">. Dānijas Centrālā naftas krājumu organizācija (turpmāk - CNKO) ir galvenā juridiskā persona krājumu uzturēšanai, ko pārvalda privātie </w:t>
      </w:r>
      <w:r w:rsidR="001537F4">
        <w:t>komersanti</w:t>
      </w:r>
      <w:r>
        <w:t xml:space="preserve">. </w:t>
      </w:r>
      <w:r w:rsidR="001537F4">
        <w:t>Komersanti</w:t>
      </w:r>
      <w:r>
        <w:t xml:space="preserve">, kas iegūst naftu Dānijā, ražo naftas produktus vai importē naftas produktus uz Dāniju, ir pakļauti obligātam pienākumam veidot drošības rezerves. CNKO bez maksas nodrošina 57 dienu no Dānijas vidējā patēriņa drošības rezerves, kamēr 24 dienu drošības rezervi ir pienākums apmaksāt komersantiem pašiem. Šai vajadzībai CNKO par tirgus cenām </w:t>
      </w:r>
      <w:r>
        <w:lastRenderedPageBreak/>
        <w:t>piedāvā izmantot savus uzglabāšanas terminālus. Dānijas situācijā uzglabāšana ir lētāka, jo ir pieejama labi izveidota infrastruktūra un darbojas labi attīstīts tirgus.</w:t>
      </w:r>
    </w:p>
    <w:p w14:paraId="4916564B" w14:textId="735E8ED6" w:rsidR="00C71529" w:rsidRDefault="00C71529">
      <w:pPr>
        <w:pStyle w:val="Style2"/>
      </w:pPr>
      <w:r>
        <w:t>Kā jau tika minēts, salīdzinājumā ar cit</w:t>
      </w:r>
      <w:r w:rsidR="002E1BB5">
        <w:t>u</w:t>
      </w:r>
      <w:r>
        <w:t xml:space="preserve"> ES dalībvalstu </w:t>
      </w:r>
      <w:r w:rsidR="00434B64">
        <w:t xml:space="preserve">drošības </w:t>
      </w:r>
      <w:r>
        <w:t xml:space="preserve">rezervju izveides modeļiem, Latvijas modeļa </w:t>
      </w:r>
      <w:r>
        <w:rPr>
          <w:b/>
          <w:bCs/>
        </w:rPr>
        <w:t>uzturēšanas izmaksas ir būtiski augstākas.</w:t>
      </w:r>
      <w:r>
        <w:t xml:space="preserve"> Attēls 2 atspoguļo drošības rezervju uzturēšanas izmaksas katrā valstī, kurus aprēķinot vērā nav ņemtas iegādes izmaksas. Administratīvās izmaksas veido nenozīmīgu daļu no kopējām izmaksām. Neskatoties uz to, ka Latvijā drošības rezerv</w:t>
      </w:r>
      <w:r w:rsidR="002E1BB5">
        <w:t>ju</w:t>
      </w:r>
      <w:r>
        <w:t xml:space="preserve"> uzturēšanai tiek pielietots tāds pats modelis kā Dānijā, proti, biļešu iegāde, Latvijas modeļa izmaksas ir būtiski augstākas</w:t>
      </w:r>
      <w:r w:rsidR="000D0C24">
        <w:t xml:space="preserve"> (krājumu uzturēšanas izmaksas EUR/tonnu/gadā balstās uz iepirkuma rezultātiem</w:t>
      </w:r>
      <w:r w:rsidR="00907AB1">
        <w:t>, iepirkumu dalībnieku piedāvājumi attiecīgajā gadā atkarīgi no 2.2. sadaļā minētajām uzglabāšanas cenu veidojošajām pozīcijām</w:t>
      </w:r>
      <w:r w:rsidR="000D0C24">
        <w:t>)</w:t>
      </w:r>
      <w:r>
        <w:t>. Tas tādēļ, ka Latvijā nav tik plaši attīstītas naftas industrijas, salīdzinot ar Dāniju.</w:t>
      </w:r>
      <w:r w:rsidR="000D0C24">
        <w:t xml:space="preserve">. </w:t>
      </w:r>
      <w:r>
        <w:t xml:space="preserve">Pašreizējās vienības cenas izmaksas uzrāda arī augstākas komersantu izmaksas Latvijā, salīdzinot ar Čehiju un Igauniju, kurām, savukārt, pieder tiešas īpašuma tiesības uz krājumiem un ir pienākums ar tiem attiecīgi rīkoties. Iepērkot drošības rezerves valsts īpašumā, aģentūra nemaksātu par virkni riskiem, ko komersanti iekļauj drošības rezervju pakalpojuma sniegšanas izmaksās.  Šāda izmaksu atšķirība norāda uz to, ka Latvijai būtu ieteicami mainīt drošības rezerves uzturēšanas modeli.  </w:t>
      </w:r>
    </w:p>
    <w:p w14:paraId="78F94D11" w14:textId="57ECF230" w:rsidR="00F8459C" w:rsidRDefault="00C71529">
      <w:pPr>
        <w:pStyle w:val="Style2"/>
      </w:pPr>
      <w:r>
        <w:t>Ja balstām savus aprēķinus par ietaupījumu uz 2018.gada datiem, Igaunijas sistēma ir spējīga uzturēt 1 tonnu naftas produktu par 38,87 EUR/gadā lētāk, salīdzinot ar Latvijas sistēmu</w:t>
      </w:r>
      <w:r w:rsidR="000D0C24">
        <w:t xml:space="preserve"> (saskaņā ar Konsultanta iegūtajiem datiem, Latvija 1 tonnu naftas produktu 2018.gadā uzglabāja par 57,01 EUR, bet Igaunija par 18,23 EUR)</w:t>
      </w:r>
      <w:r>
        <w:t xml:space="preserve">. </w:t>
      </w:r>
      <w:r w:rsidR="000D0C24">
        <w:t>Ja Latvijas sistēma būtu tikpat efektīva kā Igaunijas sistēma, izmaksas vienu gadu uzturot 3</w:t>
      </w:r>
      <w:r w:rsidR="00813698">
        <w:t>86</w:t>
      </w:r>
      <w:r w:rsidR="000D0C24">
        <w:t>,</w:t>
      </w:r>
      <w:r w:rsidR="00813698">
        <w:t>7</w:t>
      </w:r>
      <w:r w:rsidR="000D0C24">
        <w:t xml:space="preserve"> tūkstošus tonnu lielu drošības rezervju krājumu (Latvijas rādītājs 2018.gadā) samazinātos par </w:t>
      </w:r>
      <w:r w:rsidR="00813698">
        <w:t>gandrīz</w:t>
      </w:r>
      <w:r w:rsidR="000D0C24">
        <w:t xml:space="preserve"> </w:t>
      </w:r>
      <w:r w:rsidR="000D0C24">
        <w:rPr>
          <w:b/>
          <w:bCs/>
          <w:u w:val="single"/>
        </w:rPr>
        <w:t>1</w:t>
      </w:r>
      <w:r w:rsidR="00813698">
        <w:rPr>
          <w:b/>
          <w:bCs/>
          <w:u w:val="single"/>
        </w:rPr>
        <w:t>5</w:t>
      </w:r>
      <w:r w:rsidR="000D0C24">
        <w:rPr>
          <w:b/>
          <w:bCs/>
          <w:u w:val="single"/>
        </w:rPr>
        <w:t> miljoni EUR</w:t>
      </w:r>
      <w:r w:rsidR="000D0C24">
        <w:t xml:space="preserve"> (tostarp ietverot administratīvās izmaksas). </w:t>
      </w:r>
      <w:r>
        <w:t xml:space="preserve"> Pieņemot lēmumu par aģentūras modeļa ieviešanu, atkarībā no šī modeļa ieviešanas tehniskā plāna, tiktu veikti precīzi aprēķini par modeļa ieviešanas administratīvajām izmaksām.</w:t>
      </w:r>
    </w:p>
    <w:p w14:paraId="0F0E6C81" w14:textId="77777777" w:rsidR="00F8459C" w:rsidRDefault="00F8459C">
      <w:pPr>
        <w:pStyle w:val="Style2"/>
      </w:pPr>
    </w:p>
    <w:p w14:paraId="376556EC" w14:textId="2928D863"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Attēls 2. Krājumu uzturēšanas izmaksas (EUR/tonna/gadā)</w:t>
      </w:r>
    </w:p>
    <w:p w14:paraId="45C46F34" w14:textId="77777777" w:rsidR="00F8459C" w:rsidRDefault="00C71529">
      <w:pPr>
        <w:pStyle w:val="Style2"/>
        <w:jc w:val="center"/>
      </w:pPr>
      <w:r>
        <w:rPr>
          <w:noProof/>
          <w:lang w:eastAsia="lv-LV"/>
        </w:rPr>
        <w:drawing>
          <wp:inline distT="0" distB="0" distL="0" distR="0" wp14:anchorId="20674839" wp14:editId="354A7339">
            <wp:extent cx="4888446" cy="260858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99718" cy="2614595"/>
                    </a:xfrm>
                    <a:prstGeom prst="rect">
                      <a:avLst/>
                    </a:prstGeom>
                  </pic:spPr>
                </pic:pic>
              </a:graphicData>
            </a:graphic>
          </wp:inline>
        </w:drawing>
      </w:r>
    </w:p>
    <w:p w14:paraId="62B0BE3C" w14:textId="77777777" w:rsidR="00F8459C" w:rsidRDefault="00F8459C">
      <w:pPr>
        <w:pStyle w:val="Style1"/>
        <w:spacing w:before="0" w:line="240" w:lineRule="auto"/>
        <w:jc w:val="center"/>
      </w:pPr>
    </w:p>
    <w:p w14:paraId="317EEE59" w14:textId="1F021047" w:rsidR="00F8459C" w:rsidRDefault="00C71529">
      <w:pPr>
        <w:pStyle w:val="Style1"/>
        <w:spacing w:before="0" w:line="240" w:lineRule="auto"/>
        <w:jc w:val="center"/>
      </w:pPr>
      <w:bookmarkStart w:id="19" w:name="_Toc67921665"/>
      <w:r>
        <w:t>3. Risinājumi valstij nepieciešamo drošības rezervju nodrošināšanai</w:t>
      </w:r>
      <w:bookmarkEnd w:id="19"/>
      <w:r>
        <w:t xml:space="preserve"> </w:t>
      </w:r>
    </w:p>
    <w:p w14:paraId="6D8A8B0B" w14:textId="77777777" w:rsidR="00F8459C" w:rsidRDefault="00F8459C">
      <w:pPr>
        <w:spacing w:after="0" w:line="240" w:lineRule="auto"/>
        <w:ind w:firstLine="567"/>
        <w:jc w:val="both"/>
        <w:rPr>
          <w:rFonts w:ascii="Times New Roman" w:hAnsi="Times New Roman" w:cs="Times New Roman"/>
          <w:sz w:val="24"/>
          <w:szCs w:val="24"/>
        </w:rPr>
      </w:pPr>
    </w:p>
    <w:p w14:paraId="77052678" w14:textId="35E92BAA" w:rsidR="00F8459C" w:rsidRDefault="00C71529">
      <w:pPr>
        <w:pStyle w:val="NormalWeb"/>
        <w:spacing w:before="0" w:beforeAutospacing="0" w:after="0" w:afterAutospacing="0"/>
        <w:ind w:firstLine="720"/>
        <w:rPr>
          <w:rFonts w:eastAsiaTheme="minorHAnsi"/>
          <w:lang w:eastAsia="en-US"/>
        </w:rPr>
      </w:pPr>
      <w:r>
        <w:rPr>
          <w:rFonts w:eastAsiaTheme="minorHAnsi"/>
          <w:lang w:eastAsia="en-US"/>
        </w:rPr>
        <w:t>Lai novērstu Konceptuālā ziņojumā 2.nodaļā definētās problēmas ir nepieciešams pilnveidot pašlaik spēkā esošo sistēmu. Līdz ar to Koncep</w:t>
      </w:r>
      <w:r w:rsidR="002E1BB5">
        <w:rPr>
          <w:rFonts w:eastAsiaTheme="minorHAnsi"/>
          <w:lang w:eastAsia="en-US"/>
        </w:rPr>
        <w:t>t</w:t>
      </w:r>
      <w:r>
        <w:rPr>
          <w:rFonts w:eastAsiaTheme="minorHAnsi"/>
          <w:lang w:eastAsia="en-US"/>
        </w:rPr>
        <w:t>uālajā ziņojumā tiek piedāvāti šādi risinājumi:</w:t>
      </w:r>
    </w:p>
    <w:p w14:paraId="1BA1C501" w14:textId="77777777" w:rsidR="00F8459C" w:rsidRDefault="00C71529" w:rsidP="009710D7">
      <w:pPr>
        <w:pStyle w:val="ListParagraph"/>
        <w:numPr>
          <w:ilvl w:val="0"/>
          <w:numId w:val="6"/>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280F7123"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Saglabāt esošo valsts drošības rezervju nodrošināšanas sistēmu.</w:t>
      </w:r>
    </w:p>
    <w:p w14:paraId="737400E9" w14:textId="77777777" w:rsidR="00F8459C" w:rsidRDefault="00C71529">
      <w:pPr>
        <w:pStyle w:val="Style2"/>
        <w:ind w:firstLine="851"/>
      </w:pPr>
      <w:r>
        <w:t xml:space="preserve"> Šim risinājumam tiek piedāvāti divi iespējamie īstenošanas scenāriji:</w:t>
      </w:r>
    </w:p>
    <w:p w14:paraId="4453E980" w14:textId="77777777" w:rsidR="00F8459C" w:rsidRDefault="00C71529" w:rsidP="009710D7">
      <w:pPr>
        <w:pStyle w:val="Style2"/>
        <w:numPr>
          <w:ilvl w:val="0"/>
          <w:numId w:val="12"/>
        </w:numPr>
        <w:ind w:left="284" w:hanging="284"/>
      </w:pPr>
      <w:r>
        <w:t>Saglabāt esošo drošības rezervju nodrošināšanas sistēmu bez izmaiņām.</w:t>
      </w:r>
    </w:p>
    <w:p w14:paraId="62319AE8" w14:textId="77777777" w:rsidR="00F8459C" w:rsidRDefault="00C71529">
      <w:pPr>
        <w:pStyle w:val="Style2"/>
        <w:tabs>
          <w:tab w:val="left" w:pos="142"/>
          <w:tab w:val="left" w:pos="284"/>
        </w:tabs>
        <w:ind w:firstLine="0"/>
      </w:pPr>
      <w:r>
        <w:lastRenderedPageBreak/>
        <w:t>B.</w:t>
      </w:r>
      <w:r>
        <w:tab/>
      </w:r>
      <w:bookmarkStart w:id="20" w:name="_Hlk63335323"/>
      <w:r>
        <w:t>Saglabāt esošo drošības rezervju nodrošināšanas sistēmu pakāpeniski 3 gadu laikā palielinot drošības rezervju apjomu, kas glabājās Latvijas teritorijā.  Šī risinājuma ieviešana paredz grozījumu veikšanu tiesību aktos ar nolūku 3 gadu laikā kāpināt to drošības rezervju apjomu, kas tiek uzglabāti Latvijas teritorijā: 1.gadā līdz 75%, 2.gadā līdz 85% un 3.gadā līdz 100%.</w:t>
      </w:r>
    </w:p>
    <w:bookmarkEnd w:id="20"/>
    <w:p w14:paraId="24109418" w14:textId="77777777" w:rsidR="00F8459C" w:rsidRDefault="00F8459C">
      <w:pPr>
        <w:pStyle w:val="Style2"/>
        <w:ind w:firstLine="360"/>
      </w:pPr>
    </w:p>
    <w:p w14:paraId="2B0E2015" w14:textId="77777777" w:rsidR="00F8459C" w:rsidRDefault="00C71529" w:rsidP="009710D7">
      <w:pPr>
        <w:pStyle w:val="ListParagraph"/>
        <w:numPr>
          <w:ilvl w:val="0"/>
          <w:numId w:val="6"/>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57F1846B"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Iegadāties drošības rezerves valsts īpašumā un veikt pāreju uz aģentūras modeli.</w:t>
      </w:r>
    </w:p>
    <w:p w14:paraId="6771DEF3" w14:textId="1CEAB15A" w:rsidR="00F8459C" w:rsidRDefault="00C71529">
      <w:pPr>
        <w:pStyle w:val="Style2"/>
        <w:ind w:firstLine="360"/>
      </w:pPr>
      <w:r>
        <w:t xml:space="preserve">Šāda risinājuma ieviešana īstenotu 2018.gada ziņojumā ietverto ilgtermiņa risinājumu - valstij iegādāties nepieciešamo </w:t>
      </w:r>
      <w:r w:rsidR="00434B64">
        <w:t>drošības rezervju</w:t>
      </w:r>
      <w:r>
        <w:t xml:space="preserve"> apjomu un izveidot aģentūru, kas nodarbosies ar naftas produktu pārvaldību. </w:t>
      </w:r>
    </w:p>
    <w:p w14:paraId="16830791" w14:textId="77777777" w:rsidR="00F8459C" w:rsidRDefault="00C71529">
      <w:pPr>
        <w:pStyle w:val="Style2"/>
        <w:rPr>
          <w:b/>
          <w:bCs/>
        </w:rPr>
      </w:pPr>
      <w:r>
        <w:rPr>
          <w:b/>
          <w:bCs/>
        </w:rPr>
        <w:t>Pāreja uz aģentūras modeli prasīs šādu soļu veikšanu:</w:t>
      </w:r>
    </w:p>
    <w:p w14:paraId="3BC5FFBF" w14:textId="77777777" w:rsidR="00F8459C" w:rsidRDefault="00C71529" w:rsidP="009710D7">
      <w:pPr>
        <w:pStyle w:val="Style2"/>
        <w:numPr>
          <w:ilvl w:val="0"/>
          <w:numId w:val="8"/>
        </w:numPr>
        <w:rPr>
          <w:b/>
          <w:bCs/>
          <w:u w:val="single"/>
        </w:rPr>
      </w:pPr>
      <w:r>
        <w:rPr>
          <w:b/>
          <w:bCs/>
          <w:u w:val="single"/>
        </w:rPr>
        <w:t>juridisku aģentūras izveidi;</w:t>
      </w:r>
    </w:p>
    <w:p w14:paraId="35F11376" w14:textId="4D3CF704" w:rsidR="00F8459C" w:rsidRDefault="00C71529" w:rsidP="009710D7">
      <w:pPr>
        <w:pStyle w:val="Style2"/>
        <w:numPr>
          <w:ilvl w:val="0"/>
          <w:numId w:val="8"/>
        </w:numPr>
        <w:rPr>
          <w:b/>
          <w:bCs/>
          <w:u w:val="single"/>
        </w:rPr>
      </w:pPr>
      <w:r>
        <w:rPr>
          <w:b/>
          <w:bCs/>
          <w:u w:val="single"/>
        </w:rPr>
        <w:t>drošības rezervju iegād</w:t>
      </w:r>
      <w:r w:rsidR="002E1BB5">
        <w:rPr>
          <w:b/>
          <w:bCs/>
          <w:u w:val="single"/>
        </w:rPr>
        <w:t>i</w:t>
      </w:r>
      <w:r>
        <w:rPr>
          <w:b/>
          <w:bCs/>
          <w:u w:val="single"/>
        </w:rPr>
        <w:t xml:space="preserve"> par valsts budžeta līdzekļiem. </w:t>
      </w:r>
    </w:p>
    <w:p w14:paraId="7C845DDF" w14:textId="72A2949F" w:rsidR="00F8459C" w:rsidRDefault="00C71529">
      <w:pPr>
        <w:pStyle w:val="Style2"/>
      </w:pPr>
      <w:r>
        <w:t xml:space="preserve">Pāreja uz šādu aģentūras modelis paredzētu, ka </w:t>
      </w:r>
      <w:r>
        <w:rPr>
          <w:u w:val="single"/>
        </w:rPr>
        <w:t>drošības rezerves piederētu valstij un tos pārvaldītu neatkarīga aģentūra. Aģentūra iegādātos, uzturētu vai pārdotu drošības rezervju krājumus</w:t>
      </w:r>
      <w:r>
        <w:rPr>
          <w:b/>
          <w:bCs/>
          <w:u w:val="single"/>
        </w:rPr>
        <w:t>.</w:t>
      </w:r>
      <w:r>
        <w:t xml:space="preserve">  Aģentūra turpinātu izmantot publiskos iepirkumus, lai iegādātos </w:t>
      </w:r>
      <w:r w:rsidR="00434B64">
        <w:t>drošības rezerves</w:t>
      </w:r>
      <w:r>
        <w:t xml:space="preserve"> valsts īpašumā, organizētu to uzglabāšanu, papildinātu krājumus un nodrošinātu novecojušos krājumu rotāciju. </w:t>
      </w:r>
      <w:r w:rsidR="002865DD">
        <w:t>Pieņemot lēmumu ieviest aģentūras modeli, tiktu veikts izvērtējums, vai aģentūras funkcijas varētu pildīt arī jau pastāvoša institūcija vai būtu nepieciešams veidot jaunu struktūru.</w:t>
      </w:r>
    </w:p>
    <w:p w14:paraId="3BDD7103" w14:textId="44FCDA6E" w:rsidR="00F8459C" w:rsidRDefault="00C71529">
      <w:pPr>
        <w:pStyle w:val="Style2"/>
      </w:pPr>
      <w:r>
        <w:t xml:space="preserve">Aģentūrai, lai izmantotu jau esošo, bet tai nepiederošo uzglabāšanas infrastruktūru, būtu jāizmanto publiskais iepirkums par tai piederošo </w:t>
      </w:r>
      <w:r w:rsidR="00434B64">
        <w:t>drošības rezervju</w:t>
      </w:r>
      <w:r>
        <w:t xml:space="preserve"> uzglabāšanu. Šīs kārtības izmantošana nodrošinās konkurenci un neradīs kropļojumu attiecīgajā tirgū. Drošības rezervju uzturēšanas valsts nodeva būtu jāsaglabā. Tieši no šīs nodevas tiktu nosegtas drošības rezervju uzglabāšanas izmaksas un daļēji arī krājumu iegāde.</w:t>
      </w:r>
    </w:p>
    <w:p w14:paraId="394541F4" w14:textId="77777777" w:rsidR="00F8459C" w:rsidRDefault="00C71529">
      <w:pPr>
        <w:pStyle w:val="ListParagraph"/>
        <w:tabs>
          <w:tab w:val="left" w:pos="284"/>
        </w:tabs>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Šim risinājumam tiek piedāvāti divi iespējamie īstenošanas scenāriji:</w:t>
      </w:r>
    </w:p>
    <w:p w14:paraId="30FFFA85" w14:textId="77777777" w:rsidR="00F8459C" w:rsidRDefault="00C71529" w:rsidP="009710D7">
      <w:pPr>
        <w:pStyle w:val="ListParagraph"/>
        <w:numPr>
          <w:ilvl w:val="0"/>
          <w:numId w:val="7"/>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Visa drošības rezervju nodrošināšanai naftas produktu apjoma iegāde uzreiz.</w:t>
      </w:r>
    </w:p>
    <w:p w14:paraId="673A81BA" w14:textId="527E00A1" w:rsidR="00F8459C" w:rsidRDefault="00C71529" w:rsidP="009710D7">
      <w:pPr>
        <w:pStyle w:val="ListParagraph"/>
        <w:numPr>
          <w:ilvl w:val="0"/>
          <w:numId w:val="7"/>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Pakāpeniskā pāreja </w:t>
      </w:r>
      <w:r w:rsidR="00267BC2">
        <w:rPr>
          <w:rFonts w:ascii="Times New Roman" w:hAnsi="Times New Roman" w:cs="Times New Roman"/>
          <w:sz w:val="24"/>
          <w:szCs w:val="24"/>
        </w:rPr>
        <w:t>5</w:t>
      </w:r>
      <w:r>
        <w:rPr>
          <w:rFonts w:ascii="Times New Roman" w:hAnsi="Times New Roman" w:cs="Times New Roman"/>
          <w:sz w:val="24"/>
          <w:szCs w:val="24"/>
        </w:rPr>
        <w:t xml:space="preserve"> gadu laikā.</w:t>
      </w:r>
    </w:p>
    <w:p w14:paraId="4A8FAC5D" w14:textId="4AC58DD8" w:rsidR="00F8459C" w:rsidRDefault="00C71529">
      <w:pPr>
        <w:pStyle w:val="Style2"/>
      </w:pPr>
      <w:r>
        <w:t xml:space="preserve">Ņemot vērā valsts budžeta apsvērumu piedāvātā risinājuma ieviešanai būtu nepieciešami </w:t>
      </w:r>
      <w:r w:rsidR="00A26B17">
        <w:t>5</w:t>
      </w:r>
      <w:r>
        <w:t xml:space="preserve"> gadi, pakāpeniski iegādājoties naftas produktus un paralēli turpinot pielietot ‘biļetes’ drošības rezerv</w:t>
      </w:r>
      <w:r w:rsidR="002865DD">
        <w:t>ju</w:t>
      </w:r>
      <w:r>
        <w:t xml:space="preserve"> nodrošināšanai. </w:t>
      </w:r>
    </w:p>
    <w:p w14:paraId="04D445EE" w14:textId="77777777" w:rsidR="00F8459C" w:rsidRDefault="00F8459C">
      <w:pPr>
        <w:pStyle w:val="Style2"/>
      </w:pPr>
    </w:p>
    <w:p w14:paraId="5E8B5C47" w14:textId="77777777" w:rsidR="00F8459C" w:rsidRDefault="00C71529" w:rsidP="009710D7">
      <w:pPr>
        <w:pStyle w:val="ListParagraph"/>
        <w:numPr>
          <w:ilvl w:val="0"/>
          <w:numId w:val="6"/>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235FFF10" w14:textId="77777777" w:rsidR="00F8459C" w:rsidRDefault="00C71529">
      <w:pPr>
        <w:pStyle w:val="ListParagraph"/>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Piemērot industrijas modeli, uzliekot komersantiem pienākumu nodrošināt drošības rezerves.</w:t>
      </w:r>
    </w:p>
    <w:p w14:paraId="34C8D88A" w14:textId="00DDB154" w:rsidR="00F8459C" w:rsidRDefault="00C71529">
      <w:pPr>
        <w:pStyle w:val="Style2"/>
      </w:pPr>
      <w:r>
        <w:t xml:space="preserve">Šis risinājums paredz, ka pienākums uzturēt valsts drošības rezerves ir nodots privātajiem </w:t>
      </w:r>
      <w:r w:rsidR="001537F4">
        <w:t>komersantiem</w:t>
      </w:r>
      <w:r>
        <w:t xml:space="preserve">. Proti, ir nepieciešams izveidojot juridisko struktūru, kas izpildītu CKUS funkcijas un kuru pārvaldītu privātie </w:t>
      </w:r>
      <w:r w:rsidR="001537F4">
        <w:t>komersanti</w:t>
      </w:r>
      <w:r>
        <w:t>, kā arī nostiprināt likumdošanā pienākumu</w:t>
      </w:r>
      <w:r w:rsidR="000A1F81">
        <w:t xml:space="preserve"> komersantiem</w:t>
      </w:r>
      <w:r>
        <w:t xml:space="preserve"> veidot drošības rezerves.</w:t>
      </w:r>
    </w:p>
    <w:p w14:paraId="53E88D2D" w14:textId="77777777" w:rsidR="00A2253A" w:rsidRDefault="00A2253A">
      <w:pPr>
        <w:pStyle w:val="Style2"/>
      </w:pPr>
    </w:p>
    <w:p w14:paraId="1827E3CD" w14:textId="77777777" w:rsidR="00F8459C" w:rsidRDefault="00F8459C">
      <w:pPr>
        <w:pStyle w:val="Style2"/>
        <w:ind w:firstLine="0"/>
      </w:pPr>
    </w:p>
    <w:p w14:paraId="4D5AF5C1" w14:textId="77777777" w:rsidR="00F8459C" w:rsidRDefault="00C71529">
      <w:pPr>
        <w:pStyle w:val="Style1"/>
        <w:spacing w:before="0" w:line="240" w:lineRule="auto"/>
        <w:jc w:val="center"/>
      </w:pPr>
      <w:bookmarkStart w:id="21" w:name="_Toc67921666"/>
      <w:r>
        <w:t>4. Risinājumu ietekmes izvērtējums</w:t>
      </w:r>
      <w:bookmarkEnd w:id="21"/>
    </w:p>
    <w:p w14:paraId="3592D57D" w14:textId="77777777" w:rsidR="00F8459C" w:rsidRDefault="00F8459C">
      <w:pPr>
        <w:pStyle w:val="Style2"/>
        <w:rPr>
          <w:b/>
          <w:bCs/>
        </w:rPr>
      </w:pPr>
    </w:p>
    <w:p w14:paraId="5D14F739" w14:textId="77777777" w:rsidR="00F8459C" w:rsidRDefault="00C71529" w:rsidP="009710D7">
      <w:pPr>
        <w:pStyle w:val="ListParagraph"/>
        <w:numPr>
          <w:ilvl w:val="0"/>
          <w:numId w:val="9"/>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085D253F"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Saglabāt esošo valsts drošības rezervju nodrošināšanas sistēmu.</w:t>
      </w:r>
    </w:p>
    <w:p w14:paraId="786A85B3" w14:textId="77777777" w:rsidR="00F8459C" w:rsidRDefault="00C71529">
      <w:pPr>
        <w:pStyle w:val="Style2"/>
        <w:ind w:firstLine="851"/>
      </w:pPr>
      <w:r>
        <w:t>Risinājums paredz saglabāt esošo drošības rezervju nodrošināšanas sistēmu. Šim risinājumam tiek piedāvāti divi iespējamie īstenošanas scenāriji:</w:t>
      </w:r>
    </w:p>
    <w:p w14:paraId="29981D7D" w14:textId="77777777" w:rsidR="00F8459C" w:rsidRDefault="00C71529" w:rsidP="009710D7">
      <w:pPr>
        <w:pStyle w:val="Style2"/>
        <w:numPr>
          <w:ilvl w:val="0"/>
          <w:numId w:val="12"/>
        </w:numPr>
        <w:ind w:left="284" w:hanging="284"/>
        <w:rPr>
          <w:i/>
          <w:iCs/>
        </w:rPr>
      </w:pPr>
      <w:r>
        <w:rPr>
          <w:i/>
          <w:iCs/>
        </w:rPr>
        <w:t>Saglabāt esošo drošības rezervju nodrošināšanas sistēmu bez izmaiņām.</w:t>
      </w:r>
    </w:p>
    <w:p w14:paraId="4BB008D2" w14:textId="77777777" w:rsidR="00F8459C" w:rsidRDefault="00C71529">
      <w:pPr>
        <w:pStyle w:val="Style2"/>
        <w:ind w:left="851" w:firstLine="0"/>
      </w:pPr>
      <w:r>
        <w:t xml:space="preserve">Šis risinājums saglabā esošo sistēmu un neatrisina identificētās problēmas. </w:t>
      </w:r>
    </w:p>
    <w:p w14:paraId="3B4F33E9" w14:textId="77777777" w:rsidR="00F8459C" w:rsidRDefault="00C71529">
      <w:pPr>
        <w:pStyle w:val="Style2"/>
        <w:tabs>
          <w:tab w:val="left" w:pos="142"/>
          <w:tab w:val="left" w:pos="284"/>
        </w:tabs>
        <w:ind w:firstLine="0"/>
      </w:pPr>
      <w:r>
        <w:rPr>
          <w:i/>
          <w:iCs/>
        </w:rPr>
        <w:t>B.</w:t>
      </w:r>
      <w:r>
        <w:rPr>
          <w:i/>
          <w:iCs/>
        </w:rPr>
        <w:tab/>
        <w:t>Saglabāt esošo drošības rezervju nodrošināšanas sistēmu pakāpeniski 3 gadu laikā palielinot drošības rezervju apjomu, kas glabājās Latvijas teritorijā.</w:t>
      </w:r>
      <w:r>
        <w:t xml:space="preserve">  </w:t>
      </w:r>
    </w:p>
    <w:p w14:paraId="68874064" w14:textId="77777777" w:rsidR="00F8459C" w:rsidRDefault="00C71529">
      <w:pPr>
        <w:pStyle w:val="Style2"/>
        <w:tabs>
          <w:tab w:val="left" w:pos="142"/>
          <w:tab w:val="left" w:pos="284"/>
        </w:tabs>
        <w:ind w:firstLine="851"/>
      </w:pPr>
      <w:r>
        <w:t xml:space="preserve">Šī risinājuma ieviešana paredz grozījumu veikšanu tiesību aktos ar nolūku 3 gadu laikā kāpināt to drošības rezervju apjomu, kas tiek uzglabāti Latvijas teritorijā: 1.gadā līdz </w:t>
      </w:r>
      <w:r>
        <w:lastRenderedPageBreak/>
        <w:t xml:space="preserve">75%, 2.gadā līdz 85% un 3.gadā līdz 100%. Pašlaik Noteikumi Nr.286 noteic, ka ne mazāk kā 25 % no kopējā uzglabājamo drošības rezervju apjoma tiek uzglabāti Latvijas teritorijā un ka ne vairāk kā 75 % no kopējā uzglabājamo drošības rezervju apjoma var uzglabāt citās Eiropas Savienības dalībvalstīs. Taču faktiski esošā iepirkuma ietvaros Latvijā uzglabājamo drošības rezervju apjoms sastāda 60% no kopējā apjoma (skat. Tabula 2). </w:t>
      </w:r>
    </w:p>
    <w:p w14:paraId="27BE38DC" w14:textId="31F889C0" w:rsidR="00F8459C" w:rsidRDefault="00C71529">
      <w:pPr>
        <w:pStyle w:val="Style2"/>
        <w:tabs>
          <w:tab w:val="left" w:pos="142"/>
          <w:tab w:val="left" w:pos="284"/>
        </w:tabs>
        <w:ind w:firstLine="851"/>
      </w:pPr>
      <w:r>
        <w:t xml:space="preserve">Risinājuma ieviešana nerisina būtiskāko identificēto problēmu un neuzlabo esošās “biļešu” sistēmas izmaksu efektivitāti, jo neparedz </w:t>
      </w:r>
      <w:r w:rsidR="00963F22">
        <w:t>drošības rezervju</w:t>
      </w:r>
      <w:r>
        <w:t xml:space="preserve"> iegādi valsts īpašumā un pat pastāv izmaksu pieauguma risks. Taču </w:t>
      </w:r>
      <w:bookmarkStart w:id="22" w:name="_Hlk63325063"/>
      <w:r>
        <w:t>šim risinājumam ir zināmas priekšrocības no piegāžu ātruma un drošuma konteksta</w:t>
      </w:r>
      <w:bookmarkEnd w:id="22"/>
      <w:r>
        <w:t>.</w:t>
      </w:r>
    </w:p>
    <w:p w14:paraId="4798256A" w14:textId="137BB0B1" w:rsidR="00F8459C" w:rsidRDefault="00C71529">
      <w:pPr>
        <w:pStyle w:val="Style2"/>
      </w:pPr>
      <w:r>
        <w:t xml:space="preserve">Līdzšinējā pieredze liecina par to, ka ieviešot šo risinājumu </w:t>
      </w:r>
      <w:bookmarkStart w:id="23" w:name="_Hlk63325116"/>
      <w:r>
        <w:t>pastāv risks nesasniegt ES regulējumā noteikto uzglabāšanas apjomu nevis jaudu dēļ, bet komersantu zemas intereses dēļ</w:t>
      </w:r>
      <w:bookmarkEnd w:id="23"/>
      <w:r>
        <w:t xml:space="preserve">. 2020.-2021.gada iepirkuma ietvaros līgumi tika noslēgti ar visiem komersantiem, kas piedāvāja uzglabāt </w:t>
      </w:r>
      <w:r w:rsidR="00963F22">
        <w:t xml:space="preserve">drošības </w:t>
      </w:r>
      <w:r>
        <w:t xml:space="preserve">rezerves Latvijas teritorijā, un Latvijā uzglabājamo rezervju apjoms sasniedza tikai 62,6% no visa apjoma. Pakalpojuma sniegšana drošības rezervju veidošanai komersantiem nav tik pat pievilcīga, kā uzglabāšanas jaudu izīrēšana, jo vietējiem komersantiem nav pietiekamas ilgtermiņa uzglabāšanas kapacitātes un nav brīvo finanšu līdzekļu, kurus ieguldīt pakalpojuma sniegšanā. Šī iemesla dēļ </w:t>
      </w:r>
      <w:r w:rsidR="00F86A98">
        <w:t xml:space="preserve">iepirkuma </w:t>
      </w:r>
      <w:r>
        <w:t>pretendentu lokā palielinājās ārvalstu komersantu īpatsvars.</w:t>
      </w:r>
    </w:p>
    <w:p w14:paraId="6D3538A5" w14:textId="77777777" w:rsidR="00F8459C" w:rsidRDefault="00F8459C">
      <w:pPr>
        <w:pStyle w:val="Style2"/>
      </w:pPr>
    </w:p>
    <w:p w14:paraId="2DCB107F" w14:textId="77777777"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3. Risinājuma, kas paredz palielināt drošības rezervju apjomu, kas glabājās Latvijas teritorijā, priekšrocības un trūkumi</w:t>
      </w:r>
    </w:p>
    <w:tbl>
      <w:tblPr>
        <w:tblStyle w:val="TableGrid"/>
        <w:tblW w:w="0" w:type="auto"/>
        <w:tblLook w:val="04A0" w:firstRow="1" w:lastRow="0" w:firstColumn="1" w:lastColumn="0" w:noHBand="0" w:noVBand="1"/>
      </w:tblPr>
      <w:tblGrid>
        <w:gridCol w:w="4389"/>
        <w:gridCol w:w="4390"/>
      </w:tblGrid>
      <w:tr w:rsidR="00F8459C" w14:paraId="378803C1" w14:textId="77777777">
        <w:tc>
          <w:tcPr>
            <w:tcW w:w="4389" w:type="dxa"/>
          </w:tcPr>
          <w:p w14:paraId="6244AA08" w14:textId="77777777" w:rsidR="00F8459C" w:rsidRDefault="00C71529">
            <w:pPr>
              <w:pStyle w:val="Style2"/>
              <w:jc w:val="left"/>
              <w:rPr>
                <w:b/>
                <w:bCs/>
                <w:sz w:val="22"/>
                <w:szCs w:val="22"/>
              </w:rPr>
            </w:pPr>
            <w:r>
              <w:rPr>
                <w:b/>
                <w:bCs/>
                <w:sz w:val="22"/>
                <w:szCs w:val="22"/>
              </w:rPr>
              <w:t>Priekšrocības</w:t>
            </w:r>
          </w:p>
        </w:tc>
        <w:tc>
          <w:tcPr>
            <w:tcW w:w="4390" w:type="dxa"/>
          </w:tcPr>
          <w:p w14:paraId="7F3BE332" w14:textId="77777777" w:rsidR="00F8459C" w:rsidRDefault="00C71529">
            <w:pPr>
              <w:pStyle w:val="Style2"/>
              <w:jc w:val="left"/>
              <w:rPr>
                <w:b/>
                <w:bCs/>
                <w:sz w:val="22"/>
                <w:szCs w:val="22"/>
              </w:rPr>
            </w:pPr>
            <w:r>
              <w:rPr>
                <w:b/>
                <w:bCs/>
                <w:sz w:val="22"/>
                <w:szCs w:val="22"/>
              </w:rPr>
              <w:t>Trūkumi</w:t>
            </w:r>
          </w:p>
        </w:tc>
      </w:tr>
      <w:tr w:rsidR="00F8459C" w14:paraId="20476A03" w14:textId="77777777">
        <w:tc>
          <w:tcPr>
            <w:tcW w:w="4389" w:type="dxa"/>
          </w:tcPr>
          <w:p w14:paraId="7804D010" w14:textId="0B362A14" w:rsidR="00F8459C" w:rsidRDefault="00C71529" w:rsidP="009710D7">
            <w:pPr>
              <w:pStyle w:val="Style2"/>
              <w:numPr>
                <w:ilvl w:val="0"/>
                <w:numId w:val="10"/>
              </w:numPr>
            </w:pPr>
            <w:r>
              <w:t xml:space="preserve">Nav nepieciešami ievērojami sākotnējie ieguldījumi no valsts budžeta, lai iegādātos </w:t>
            </w:r>
            <w:r w:rsidR="00963F22">
              <w:t>drošības rezerves</w:t>
            </w:r>
            <w:r>
              <w:t>.</w:t>
            </w:r>
          </w:p>
          <w:p w14:paraId="6BAEE48E" w14:textId="77777777" w:rsidR="00F8459C" w:rsidRDefault="00C71529" w:rsidP="009710D7">
            <w:pPr>
              <w:pStyle w:val="Style2"/>
              <w:numPr>
                <w:ilvl w:val="0"/>
                <w:numId w:val="10"/>
              </w:numPr>
            </w:pPr>
            <w:r>
              <w:t>Ir priekšrocības no piegāžu ātruma un drošuma konteksta.</w:t>
            </w:r>
          </w:p>
          <w:p w14:paraId="2F830769" w14:textId="77777777" w:rsidR="00F8459C" w:rsidRDefault="00C71529">
            <w:pPr>
              <w:pStyle w:val="Style2"/>
              <w:ind w:firstLine="0"/>
            </w:pPr>
            <w:r>
              <w:t xml:space="preserve"> </w:t>
            </w:r>
          </w:p>
          <w:p w14:paraId="50C0094E" w14:textId="77777777" w:rsidR="00F8459C" w:rsidRDefault="00F8459C">
            <w:pPr>
              <w:pStyle w:val="Style2"/>
              <w:ind w:firstLine="0"/>
            </w:pPr>
          </w:p>
        </w:tc>
        <w:tc>
          <w:tcPr>
            <w:tcW w:w="4390" w:type="dxa"/>
          </w:tcPr>
          <w:p w14:paraId="7231DE15" w14:textId="77777777" w:rsidR="00F8459C" w:rsidRDefault="00C71529" w:rsidP="009710D7">
            <w:pPr>
              <w:pStyle w:val="Style2"/>
              <w:numPr>
                <w:ilvl w:val="0"/>
                <w:numId w:val="10"/>
              </w:numPr>
            </w:pPr>
            <w:r>
              <w:t xml:space="preserve">Neuzlabo esošās “biļešu” sistēmas izmaksu efektivitāti. </w:t>
            </w:r>
            <w:bookmarkStart w:id="24" w:name="_Hlk63325208"/>
            <w:r>
              <w:t>Pastāv risks, ka pakalpojuma kopējās valsts izmaksas pieaugs, samazinoties piedāvājuma skaitam.</w:t>
            </w:r>
            <w:bookmarkEnd w:id="24"/>
          </w:p>
          <w:p w14:paraId="7E21C948" w14:textId="77777777" w:rsidR="00F8459C" w:rsidRDefault="00C71529" w:rsidP="009710D7">
            <w:pPr>
              <w:pStyle w:val="Style2"/>
              <w:numPr>
                <w:ilvl w:val="0"/>
                <w:numId w:val="10"/>
              </w:numPr>
            </w:pPr>
            <w:r>
              <w:t>Pastāv risks, ka drošības rezervju uzglabāšanas prasība netiks izpildīta prasība, ja netiks saņemts pietiekošs piedāvājumu apmērs.</w:t>
            </w:r>
          </w:p>
          <w:p w14:paraId="7133C085" w14:textId="77777777" w:rsidR="00F8459C" w:rsidRDefault="00C71529" w:rsidP="009710D7">
            <w:pPr>
              <w:pStyle w:val="Style2"/>
              <w:numPr>
                <w:ilvl w:val="0"/>
                <w:numId w:val="10"/>
              </w:numPr>
            </w:pPr>
            <w:r>
              <w:t xml:space="preserve">Nepietiekamas priekšrocības no drošuma kontekstā, jo pašas rezerves valstij nepieder. </w:t>
            </w:r>
          </w:p>
          <w:p w14:paraId="696DA7C6" w14:textId="77777777" w:rsidR="00F8459C" w:rsidRDefault="00F8459C">
            <w:pPr>
              <w:pStyle w:val="Style2"/>
              <w:ind w:left="720" w:firstLine="0"/>
            </w:pPr>
          </w:p>
          <w:p w14:paraId="2ECA41B4" w14:textId="77777777" w:rsidR="00F8459C" w:rsidRDefault="00F8459C">
            <w:pPr>
              <w:pStyle w:val="Style2"/>
            </w:pPr>
          </w:p>
        </w:tc>
      </w:tr>
    </w:tbl>
    <w:p w14:paraId="0DF7E547" w14:textId="77777777" w:rsidR="00F8459C" w:rsidRDefault="00F8459C">
      <w:pPr>
        <w:pStyle w:val="Style2"/>
        <w:ind w:firstLine="851"/>
      </w:pPr>
    </w:p>
    <w:p w14:paraId="7A238412" w14:textId="77777777" w:rsidR="00F8459C" w:rsidRDefault="00C71529" w:rsidP="009710D7">
      <w:pPr>
        <w:pStyle w:val="ListParagraph"/>
        <w:numPr>
          <w:ilvl w:val="0"/>
          <w:numId w:val="9"/>
        </w:numPr>
        <w:tabs>
          <w:tab w:val="left" w:pos="284"/>
        </w:tabs>
        <w:spacing w:after="0" w:line="240" w:lineRule="auto"/>
        <w:ind w:hanging="72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3F8E97FB"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Iegadāties drošības rezerves valsts īpašumā un veikt pāreju uz aģentūras modeli</w:t>
      </w:r>
    </w:p>
    <w:p w14:paraId="5C695252" w14:textId="77777777" w:rsidR="00F8459C" w:rsidRDefault="00C71529">
      <w:pPr>
        <w:pStyle w:val="Style2"/>
      </w:pPr>
      <w:r>
        <w:t>Pāreja uz aģentūras modeli nodrošinās, ka:</w:t>
      </w:r>
    </w:p>
    <w:p w14:paraId="4F880155" w14:textId="77777777" w:rsidR="00F8459C" w:rsidRDefault="00C71529" w:rsidP="009710D7">
      <w:pPr>
        <w:pStyle w:val="Style2"/>
        <w:numPr>
          <w:ilvl w:val="0"/>
          <w:numId w:val="1"/>
        </w:numPr>
      </w:pPr>
      <w:r>
        <w:t>ilgtermiņā tiek ieviests izmaksu ziņa izdevīgākais risinājums;</w:t>
      </w:r>
    </w:p>
    <w:p w14:paraId="2FA80926" w14:textId="77777777" w:rsidR="00F8459C" w:rsidRDefault="00C71529" w:rsidP="009710D7">
      <w:pPr>
        <w:pStyle w:val="Style2"/>
        <w:numPr>
          <w:ilvl w:val="0"/>
          <w:numId w:val="1"/>
        </w:numPr>
      </w:pPr>
      <w:r>
        <w:t>drošības rezerves piederētu valstij, kas stiprinātu piegādes drošību un savlaicīgu naftas produktu pieejamību krīzes gadījumā, civilās un militārās aizsardzības ilgtspēju, kā arī kopējo valsts noturību pret apdraudējumu;</w:t>
      </w:r>
    </w:p>
    <w:p w14:paraId="5C73C687" w14:textId="37F90873" w:rsidR="00F8459C" w:rsidRDefault="00963F22" w:rsidP="009710D7">
      <w:pPr>
        <w:pStyle w:val="Style2"/>
        <w:numPr>
          <w:ilvl w:val="0"/>
          <w:numId w:val="1"/>
        </w:numPr>
      </w:pPr>
      <w:r>
        <w:t>drošības</w:t>
      </w:r>
      <w:r w:rsidR="00C71529">
        <w:t xml:space="preserve"> rezervju efektīvu apsaimniekošanu, tostarp degvielas apriti un uzglabāšanu;</w:t>
      </w:r>
    </w:p>
    <w:p w14:paraId="60940D12" w14:textId="67C5ECAE" w:rsidR="00F8459C" w:rsidRDefault="00C71529" w:rsidP="009710D7">
      <w:pPr>
        <w:pStyle w:val="Style2"/>
        <w:numPr>
          <w:ilvl w:val="0"/>
          <w:numId w:val="1"/>
        </w:numPr>
      </w:pPr>
      <w:r>
        <w:t xml:space="preserve">izveidotā aģentūra varēs rīkot publisku iepirkumu par </w:t>
      </w:r>
      <w:r w:rsidR="00963F22">
        <w:t>drošības rezervju</w:t>
      </w:r>
      <w:r>
        <w:t xml:space="preserve"> iegādi, kas no komersantu puses ir pievilcīgāks, nekā uzglabāšanas pakalpojuma iepirkums. </w:t>
      </w:r>
    </w:p>
    <w:p w14:paraId="2AC65830" w14:textId="2F15C54D" w:rsidR="00F8459C" w:rsidRDefault="00C71529">
      <w:pPr>
        <w:pStyle w:val="Style2"/>
      </w:pPr>
      <w:r>
        <w:t xml:space="preserve">Būtiskākā aģentūras modeļa priekšrocība ir saistīta ar to, ka iegādājoties </w:t>
      </w:r>
      <w:r w:rsidR="00963F22">
        <w:t>drošības rezerves</w:t>
      </w:r>
      <w:r>
        <w:t xml:space="preserve"> īpašumā, valsts var reaģēt uz izmaiņām tautsaimniecībā un mainīt naftas produktu sastāvu atbilstoši aktuālajām tautsaimniecības vajadzībām un valsts stratēģiskajām prioritātēm.</w:t>
      </w:r>
      <w:r>
        <w:rPr>
          <w:b/>
          <w:bCs/>
        </w:rPr>
        <w:t xml:space="preserve"> </w:t>
      </w:r>
      <w:r>
        <w:t>4. tabulā ir apkopoti aģentūras modeļa trūkumi un priekšrocības.</w:t>
      </w:r>
    </w:p>
    <w:p w14:paraId="1631EB74" w14:textId="77777777" w:rsidR="00F8459C" w:rsidRDefault="00F8459C">
      <w:pPr>
        <w:pStyle w:val="Style2"/>
      </w:pPr>
    </w:p>
    <w:p w14:paraId="14227598" w14:textId="77777777"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4. Aģentūras modeļa priekšrocības un trūkumi</w:t>
      </w:r>
    </w:p>
    <w:tbl>
      <w:tblPr>
        <w:tblStyle w:val="TableGrid"/>
        <w:tblW w:w="0" w:type="auto"/>
        <w:tblLook w:val="04A0" w:firstRow="1" w:lastRow="0" w:firstColumn="1" w:lastColumn="0" w:noHBand="0" w:noVBand="1"/>
      </w:tblPr>
      <w:tblGrid>
        <w:gridCol w:w="4389"/>
        <w:gridCol w:w="4390"/>
      </w:tblGrid>
      <w:tr w:rsidR="00F8459C" w14:paraId="570F0552" w14:textId="77777777">
        <w:tc>
          <w:tcPr>
            <w:tcW w:w="4389" w:type="dxa"/>
          </w:tcPr>
          <w:p w14:paraId="09060165" w14:textId="77777777" w:rsidR="00F8459C" w:rsidRDefault="00C71529">
            <w:pPr>
              <w:pStyle w:val="Style2"/>
              <w:jc w:val="left"/>
              <w:rPr>
                <w:b/>
                <w:bCs/>
                <w:sz w:val="22"/>
                <w:szCs w:val="22"/>
              </w:rPr>
            </w:pPr>
            <w:r>
              <w:rPr>
                <w:b/>
                <w:bCs/>
                <w:sz w:val="22"/>
                <w:szCs w:val="22"/>
              </w:rPr>
              <w:lastRenderedPageBreak/>
              <w:t>Priekšrocības</w:t>
            </w:r>
          </w:p>
        </w:tc>
        <w:tc>
          <w:tcPr>
            <w:tcW w:w="4390" w:type="dxa"/>
          </w:tcPr>
          <w:p w14:paraId="46702382" w14:textId="77777777" w:rsidR="00F8459C" w:rsidRDefault="00C71529">
            <w:pPr>
              <w:pStyle w:val="Style2"/>
              <w:jc w:val="left"/>
              <w:rPr>
                <w:b/>
                <w:bCs/>
                <w:sz w:val="22"/>
                <w:szCs w:val="22"/>
              </w:rPr>
            </w:pPr>
            <w:r>
              <w:rPr>
                <w:b/>
                <w:bCs/>
                <w:sz w:val="22"/>
                <w:szCs w:val="22"/>
              </w:rPr>
              <w:t>Trūkumi</w:t>
            </w:r>
          </w:p>
        </w:tc>
      </w:tr>
      <w:tr w:rsidR="00F8459C" w14:paraId="5299C24D" w14:textId="77777777">
        <w:tc>
          <w:tcPr>
            <w:tcW w:w="4389" w:type="dxa"/>
          </w:tcPr>
          <w:p w14:paraId="764C057C" w14:textId="77777777" w:rsidR="00F8459C" w:rsidRDefault="00C71529" w:rsidP="009710D7">
            <w:pPr>
              <w:pStyle w:val="Style2"/>
              <w:numPr>
                <w:ilvl w:val="0"/>
                <w:numId w:val="10"/>
              </w:numPr>
            </w:pPr>
            <w:r>
              <w:t>Izmaksu ziņā efektīvs risinājums.</w:t>
            </w:r>
          </w:p>
          <w:p w14:paraId="5D7B590F" w14:textId="77777777" w:rsidR="00F8459C" w:rsidRDefault="00C71529" w:rsidP="009710D7">
            <w:pPr>
              <w:pStyle w:val="Style2"/>
              <w:numPr>
                <w:ilvl w:val="0"/>
                <w:numId w:val="10"/>
              </w:numPr>
            </w:pPr>
            <w:r>
              <w:t>Valsts loma drošības rezervju krājumu pārvaldības sistēmā.</w:t>
            </w:r>
          </w:p>
          <w:p w14:paraId="60148DC2" w14:textId="77777777" w:rsidR="00F8459C" w:rsidRDefault="00C71529" w:rsidP="009710D7">
            <w:pPr>
              <w:pStyle w:val="Style2"/>
              <w:numPr>
                <w:ilvl w:val="0"/>
                <w:numId w:val="10"/>
              </w:numPr>
            </w:pPr>
            <w:r>
              <w:t xml:space="preserve">Valsts nosaka aģentūras darbības noteikumus, tādējādi nosakot šo krājumu izmantošanas apmēru. </w:t>
            </w:r>
          </w:p>
          <w:p w14:paraId="0F8F283E" w14:textId="77777777" w:rsidR="00F8459C" w:rsidRDefault="00C71529" w:rsidP="009710D7">
            <w:pPr>
              <w:pStyle w:val="Style2"/>
              <w:numPr>
                <w:ilvl w:val="0"/>
                <w:numId w:val="10"/>
              </w:numPr>
            </w:pPr>
            <w:r>
              <w:t>Spēja finansēt sākotnējo kapitālu ar zemu procentu likmi.</w:t>
            </w:r>
          </w:p>
          <w:p w14:paraId="0207810F" w14:textId="77777777" w:rsidR="00F8459C" w:rsidRDefault="00C71529" w:rsidP="009710D7">
            <w:pPr>
              <w:pStyle w:val="Style2"/>
              <w:numPr>
                <w:ilvl w:val="0"/>
                <w:numId w:val="10"/>
              </w:numPr>
            </w:pPr>
            <w:r>
              <w:t>Tieša un pārredzama finansēšana.</w:t>
            </w:r>
          </w:p>
          <w:p w14:paraId="74EEC834" w14:textId="77777777" w:rsidR="00F8459C" w:rsidRDefault="00C71529">
            <w:pPr>
              <w:pStyle w:val="Style2"/>
              <w:ind w:firstLine="0"/>
            </w:pPr>
            <w:r>
              <w:t xml:space="preserve"> </w:t>
            </w:r>
          </w:p>
          <w:p w14:paraId="07837619" w14:textId="77777777" w:rsidR="00F8459C" w:rsidRDefault="00F8459C">
            <w:pPr>
              <w:pStyle w:val="Style2"/>
              <w:ind w:firstLine="0"/>
            </w:pPr>
          </w:p>
        </w:tc>
        <w:tc>
          <w:tcPr>
            <w:tcW w:w="4390" w:type="dxa"/>
          </w:tcPr>
          <w:p w14:paraId="59564338" w14:textId="73603012" w:rsidR="00F8459C" w:rsidRDefault="00C71529" w:rsidP="009710D7">
            <w:pPr>
              <w:pStyle w:val="Style2"/>
              <w:numPr>
                <w:ilvl w:val="0"/>
                <w:numId w:val="10"/>
              </w:numPr>
            </w:pPr>
            <w:r>
              <w:t>Ir nepieciešami sākotnējie ieguldījumi no valsts budžeta</w:t>
            </w:r>
            <w:r w:rsidR="00085B6E">
              <w:t xml:space="preserve"> vai bankas aizņēmuma veidā</w:t>
            </w:r>
            <w:r>
              <w:t xml:space="preserve">, lai iegādātos </w:t>
            </w:r>
            <w:r w:rsidR="00963F22">
              <w:t>drošības rezerves</w:t>
            </w:r>
            <w:r>
              <w:t xml:space="preserve"> un mazinātu vienreizējo ietekmi uz nozari. Šo kapitālu ir iespējams atmaksāt valsts nodevas veidā ilgākā laika periodā, mazinot ietekmi uz valsts</w:t>
            </w:r>
            <w:r w:rsidR="00085B6E">
              <w:t xml:space="preserve"> budžeta vai aizņēmuma</w:t>
            </w:r>
            <w:r>
              <w:t xml:space="preserve"> nodrošināto sākuma kapitālu. </w:t>
            </w:r>
          </w:p>
          <w:p w14:paraId="5D5DA6A4" w14:textId="77777777" w:rsidR="00F8459C" w:rsidRDefault="00F8459C">
            <w:pPr>
              <w:pStyle w:val="Style2"/>
              <w:ind w:firstLine="0"/>
            </w:pPr>
          </w:p>
          <w:p w14:paraId="6CCEBF9C" w14:textId="77777777" w:rsidR="00F8459C" w:rsidRDefault="00F8459C">
            <w:pPr>
              <w:pStyle w:val="Style2"/>
            </w:pPr>
          </w:p>
        </w:tc>
      </w:tr>
    </w:tbl>
    <w:p w14:paraId="6FBFDCE9" w14:textId="77777777" w:rsidR="00F8459C" w:rsidRDefault="00F8459C">
      <w:pPr>
        <w:pStyle w:val="Style2"/>
      </w:pPr>
    </w:p>
    <w:p w14:paraId="2E8AC7CA" w14:textId="77777777" w:rsidR="00F8459C" w:rsidRDefault="00C71529">
      <w:pPr>
        <w:pStyle w:val="Style2"/>
        <w:rPr>
          <w:b/>
          <w:bCs/>
          <w:u w:val="single"/>
        </w:rPr>
      </w:pPr>
      <w:r>
        <w:rPr>
          <w:u w:val="single"/>
        </w:rPr>
        <w:t xml:space="preserve">Aģentūras modelis ir piemērotākais risinājums Latvijai, jo tas </w:t>
      </w:r>
      <w:r>
        <w:rPr>
          <w:b/>
          <w:bCs/>
          <w:u w:val="single"/>
        </w:rPr>
        <w:t xml:space="preserve">apvieno izmaksu efektivitāti ar valsts stratēģisko lomu.  </w:t>
      </w:r>
    </w:p>
    <w:p w14:paraId="1D1F4EA7" w14:textId="6923DF6D" w:rsidR="00F8459C" w:rsidRDefault="00C71529">
      <w:pPr>
        <w:pStyle w:val="Style2"/>
      </w:pPr>
      <w:r>
        <w:t xml:space="preserve">Šāda risinājuma īstenošanai būtu nepieciešams piešķirt papildus valsts budžeta līdzekļus </w:t>
      </w:r>
      <w:r w:rsidR="00085B6E">
        <w:t xml:space="preserve">vai saņemt aizņēmumu bankā </w:t>
      </w:r>
      <w:r w:rsidR="00963F22">
        <w:t xml:space="preserve">drošības rezervju </w:t>
      </w:r>
      <w:r>
        <w:t xml:space="preserve">iegādei. </w:t>
      </w:r>
    </w:p>
    <w:p w14:paraId="55190DF8" w14:textId="77777777" w:rsidR="00F8459C" w:rsidRDefault="00C71529">
      <w:pPr>
        <w:pStyle w:val="Style2"/>
      </w:pPr>
      <w:r>
        <w:t>Lai ieviestu Konceptuālajā ziņojumā piedāvāto risinājumu nepieciešams veikt grozījumus šādos tiesību aktos, sākumā nosakot pārejas periodu un pēc tam nodrošinot aģentūras pilnīgu darbību:</w:t>
      </w:r>
    </w:p>
    <w:p w14:paraId="3D39D0DD" w14:textId="77777777" w:rsidR="00F8459C" w:rsidRDefault="00C71529" w:rsidP="009710D7">
      <w:pPr>
        <w:pStyle w:val="Style2"/>
        <w:numPr>
          <w:ilvl w:val="0"/>
          <w:numId w:val="3"/>
        </w:numPr>
      </w:pPr>
      <w:r>
        <w:t>Enerģētikas likumā;</w:t>
      </w:r>
    </w:p>
    <w:p w14:paraId="6E0E8C18" w14:textId="77777777" w:rsidR="00F8459C" w:rsidRDefault="00C71529" w:rsidP="009710D7">
      <w:pPr>
        <w:pStyle w:val="Style2"/>
        <w:numPr>
          <w:ilvl w:val="0"/>
          <w:numId w:val="3"/>
        </w:numPr>
      </w:pPr>
      <w:r>
        <w:t>Noteikumos Nr. 286;</w:t>
      </w:r>
    </w:p>
    <w:p w14:paraId="122CAA6B" w14:textId="77777777" w:rsidR="000A1F81" w:rsidRDefault="00C71529" w:rsidP="009710D7">
      <w:pPr>
        <w:pStyle w:val="Style2"/>
        <w:numPr>
          <w:ilvl w:val="0"/>
          <w:numId w:val="3"/>
        </w:numPr>
      </w:pPr>
      <w:r>
        <w:t>Noteikumos Nr.450</w:t>
      </w:r>
      <w:r w:rsidR="0074004D">
        <w:t>;</w:t>
      </w:r>
    </w:p>
    <w:p w14:paraId="3F215E71" w14:textId="7AC4CD72" w:rsidR="00F8459C" w:rsidRDefault="000A1F81" w:rsidP="00F66766">
      <w:pPr>
        <w:pStyle w:val="Style2"/>
        <w:numPr>
          <w:ilvl w:val="0"/>
          <w:numId w:val="3"/>
        </w:numPr>
      </w:pPr>
      <w:r>
        <w:t>Noteikumos Nr. 312</w:t>
      </w:r>
      <w:r>
        <w:rPr>
          <w:rStyle w:val="FootnoteReference"/>
        </w:rPr>
        <w:footnoteReference w:id="15"/>
      </w:r>
      <w:r w:rsidR="00053D65">
        <w:t>.</w:t>
      </w:r>
    </w:p>
    <w:p w14:paraId="15757551" w14:textId="563974F7" w:rsidR="00F66766" w:rsidRDefault="00C71529">
      <w:pPr>
        <w:pStyle w:val="Style2"/>
      </w:pPr>
      <w:r>
        <w:t xml:space="preserve">Attiecīgi būtu jāizstrādā arī aģentūras nolikums un jāveic grozījumi </w:t>
      </w:r>
      <w:r w:rsidR="007D6622">
        <w:t xml:space="preserve">Biroja </w:t>
      </w:r>
      <w:r w:rsidR="00DC0D1F">
        <w:t>iekšējā kārtībā, kur</w:t>
      </w:r>
      <w:r w:rsidR="00102369">
        <w:t xml:space="preserve">a nosaka </w:t>
      </w:r>
      <w:r w:rsidR="007D6622">
        <w:t xml:space="preserve">Biroja </w:t>
      </w:r>
      <w:r w:rsidR="00963F22">
        <w:t>drošības rezervju</w:t>
      </w:r>
      <w:r w:rsidR="00102369">
        <w:t xml:space="preserve"> administrēšanas kārtību</w:t>
      </w:r>
      <w:r>
        <w:t>.</w:t>
      </w:r>
      <w:r w:rsidR="00F66766">
        <w:t xml:space="preserve"> </w:t>
      </w:r>
    </w:p>
    <w:p w14:paraId="7E30FA47" w14:textId="56226E3B" w:rsidR="00F8459C" w:rsidRDefault="00F66766">
      <w:pPr>
        <w:pStyle w:val="Style2"/>
      </w:pPr>
      <w:r>
        <w:t xml:space="preserve">Vienlaikus, </w:t>
      </w:r>
      <w:r w:rsidRPr="00846D75">
        <w:rPr>
          <w:rFonts w:eastAsia="Calibri"/>
        </w:rPr>
        <w:t>likumā “Par akcīzes nodokli” ir noteikts, ka tikai apstiprināts noliktavas turētājs var veikt darbības ar akcīzes precēm akcīzes preču noliktavā, piemērojot tām atlikto akcīzes nodokļa maksāšanu, kā arī, lai veiktu darbības ar akcīzes precēm ir nepieciešama speciālā atļauja (licence), izņemot, ja atrunātos gadījumos darbības notiek cita speciālajā atļaujā (licencē) apstiprināta noliktavas turētāja darbībai norādītajā vietā.</w:t>
      </w:r>
      <w:r>
        <w:rPr>
          <w:rFonts w:eastAsia="Calibri"/>
        </w:rPr>
        <w:t xml:space="preserve"> Tādējādi, </w:t>
      </w:r>
      <w:r w:rsidRPr="00846D75">
        <w:rPr>
          <w:rFonts w:eastAsia="Calibri"/>
        </w:rPr>
        <w:t xml:space="preserve">nosakot, ka  valsts iegādāsies un realizēs naftas produktus, </w:t>
      </w:r>
      <w:r>
        <w:rPr>
          <w:rFonts w:eastAsia="Calibri"/>
        </w:rPr>
        <w:t xml:space="preserve">būs jāizvērtē, vai </w:t>
      </w:r>
      <w:r w:rsidRPr="00846D75">
        <w:rPr>
          <w:rFonts w:eastAsia="Calibri"/>
        </w:rPr>
        <w:t>nepieciešams veikt  arī izmaiņas likumā “Par akcīzes nodokli” un tam pakārtotajos normatīvajos aktos</w:t>
      </w:r>
      <w:r>
        <w:rPr>
          <w:rFonts w:eastAsia="Calibri"/>
        </w:rPr>
        <w:t>.</w:t>
      </w:r>
    </w:p>
    <w:p w14:paraId="37FE5ED8" w14:textId="77777777" w:rsidR="00F8459C" w:rsidRDefault="00F8459C">
      <w:pPr>
        <w:pStyle w:val="Style2"/>
      </w:pPr>
    </w:p>
    <w:p w14:paraId="3489516C" w14:textId="77777777" w:rsidR="00F8459C" w:rsidRDefault="00C71529" w:rsidP="009710D7">
      <w:pPr>
        <w:pStyle w:val="ListParagraph"/>
        <w:numPr>
          <w:ilvl w:val="0"/>
          <w:numId w:val="9"/>
        </w:numPr>
        <w:tabs>
          <w:tab w:val="left" w:pos="284"/>
        </w:tabs>
        <w:spacing w:after="0" w:line="240" w:lineRule="auto"/>
        <w:ind w:left="0" w:firstLine="0"/>
        <w:rPr>
          <w:rFonts w:ascii="Times New Roman" w:hAnsi="Times New Roman" w:cs="Times New Roman"/>
          <w:b/>
          <w:bCs/>
          <w:sz w:val="24"/>
          <w:szCs w:val="24"/>
        </w:rPr>
      </w:pPr>
      <w:r>
        <w:rPr>
          <w:rFonts w:ascii="Times New Roman" w:hAnsi="Times New Roman" w:cs="Times New Roman"/>
          <w:b/>
          <w:bCs/>
          <w:sz w:val="24"/>
          <w:szCs w:val="24"/>
        </w:rPr>
        <w:t xml:space="preserve">risinājums: </w:t>
      </w:r>
    </w:p>
    <w:p w14:paraId="1305649E" w14:textId="754918DF" w:rsidR="00F8459C" w:rsidRDefault="00C71529">
      <w:pPr>
        <w:pStyle w:val="ListParagraph"/>
        <w:tabs>
          <w:tab w:val="left" w:pos="284"/>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Piemērot industrijas modeli, uzliekot komersantiem pienākumu nodrošināt drošības rezerves.</w:t>
      </w:r>
    </w:p>
    <w:p w14:paraId="50F1C6B5" w14:textId="5EAF7970" w:rsidR="00F8459C" w:rsidRDefault="00C71529">
      <w:pPr>
        <w:pStyle w:val="Style2"/>
      </w:pPr>
      <w:r>
        <w:t xml:space="preserve">Šī risinājuma ieviešana paredz, ka valstī ir attīstīta naftas nozare un infrastruktūra. Šis risinājums pilnībā vai daļēji var tikt uzskatīts par efektīvu un īstenojamu situācijās, kad uzglabāšana ir lētāka, jo ir pieejama labi izveidota infrastruktūra un darbojas labi attīstīts tirgus. </w:t>
      </w:r>
      <w:r w:rsidR="00AD1715">
        <w:t xml:space="preserve">Šajā modelī valsts ar likumu nosaka pienākumu komersantiem </w:t>
      </w:r>
      <w:r w:rsidR="00302C6E">
        <w:t xml:space="preserve">(naftas produktu ieguvējiem,  ražotājiem un importētājiem) </w:t>
      </w:r>
      <w:r w:rsidR="00AD1715">
        <w:t xml:space="preserve">uzglabāt noteiktu apjomu drošības rezervju. Industrijas modelī drošības rezerves izveido un uztur komersantu veidota juridiska struktūra, un drošības rezerves ir to īpašums. Komersantiem ir pašiem jāvar nosegt administratīvās izmaksas un sākuma kapitāla izmaksas, lai nodrošinātu nepieciešamo drošības rezervju apjomu. Izmaksas, kas rodas no drošības rezervju uzturēšanas, tiek iekļautas naftas produktu cenās. </w:t>
      </w:r>
      <w:r w:rsidR="00AD1715" w:rsidRPr="00AD1715">
        <w:t>Ņemot vērā, ka Latvijā nav labi attīstīta naftas ieguves, ražošanas, pārstrādes un darījumu tirgus</w:t>
      </w:r>
      <w:r w:rsidR="00AD1715">
        <w:t xml:space="preserve"> </w:t>
      </w:r>
      <w:r w:rsidR="00302C6E">
        <w:t>(turklāt naftas produktu</w:t>
      </w:r>
      <w:r w:rsidR="008B1EF3">
        <w:t xml:space="preserve"> importētājiem</w:t>
      </w:r>
      <w:r w:rsidR="00302C6E">
        <w:t xml:space="preserve"> praktiski nepieder infrastruktūra un naftas produkti tiek uzglabāti naftas bāzēs, kurām savukārt nepieder naftas produkti</w:t>
      </w:r>
      <w:r w:rsidR="008B1EF3">
        <w:t>, tāpēc naftas bāzes nav iespējams iesaistīt drošības rezervju pakalpojuma sniegšanā</w:t>
      </w:r>
      <w:r w:rsidR="00302C6E">
        <w:t xml:space="preserve">) </w:t>
      </w:r>
      <w:r w:rsidR="00AD1715">
        <w:t>un</w:t>
      </w:r>
      <w:r>
        <w:t xml:space="preserve"> nav pamata </w:t>
      </w:r>
      <w:r>
        <w:lastRenderedPageBreak/>
        <w:t xml:space="preserve">sagaidīt būtisku Latvijas naftas industrijas paplašināšanos tuvākajā laikā, pāreja uz šādu modeli ir maz iespējama un turpmāk netiek izskatīta. </w:t>
      </w:r>
    </w:p>
    <w:p w14:paraId="6660E844" w14:textId="77777777" w:rsidR="00F8459C" w:rsidRDefault="00F8459C">
      <w:pPr>
        <w:pStyle w:val="Style2"/>
        <w:rPr>
          <w:vertAlign w:val="subscript"/>
        </w:rPr>
      </w:pPr>
    </w:p>
    <w:p w14:paraId="2EBB62BA" w14:textId="77777777"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5. Industrijas modeļa priekšrocības un trūkumi</w:t>
      </w:r>
    </w:p>
    <w:tbl>
      <w:tblPr>
        <w:tblStyle w:val="TableGrid"/>
        <w:tblW w:w="0" w:type="auto"/>
        <w:tblLook w:val="04A0" w:firstRow="1" w:lastRow="0" w:firstColumn="1" w:lastColumn="0" w:noHBand="0" w:noVBand="1"/>
      </w:tblPr>
      <w:tblGrid>
        <w:gridCol w:w="3991"/>
        <w:gridCol w:w="4929"/>
      </w:tblGrid>
      <w:tr w:rsidR="00F8459C" w14:paraId="6D471C1C" w14:textId="77777777">
        <w:tc>
          <w:tcPr>
            <w:tcW w:w="4219" w:type="dxa"/>
          </w:tcPr>
          <w:p w14:paraId="65C7543B" w14:textId="77777777" w:rsidR="00F8459C" w:rsidRDefault="00C71529">
            <w:pPr>
              <w:pStyle w:val="Style2"/>
              <w:jc w:val="left"/>
              <w:rPr>
                <w:b/>
                <w:bCs/>
                <w:sz w:val="22"/>
                <w:szCs w:val="22"/>
              </w:rPr>
            </w:pPr>
            <w:r>
              <w:rPr>
                <w:b/>
                <w:bCs/>
                <w:sz w:val="22"/>
                <w:szCs w:val="22"/>
              </w:rPr>
              <w:t>Priekšrocības</w:t>
            </w:r>
          </w:p>
        </w:tc>
        <w:tc>
          <w:tcPr>
            <w:tcW w:w="5245" w:type="dxa"/>
          </w:tcPr>
          <w:p w14:paraId="2AF75365" w14:textId="77777777" w:rsidR="00F8459C" w:rsidRDefault="00C71529">
            <w:pPr>
              <w:pStyle w:val="Style2"/>
              <w:jc w:val="left"/>
              <w:rPr>
                <w:b/>
                <w:bCs/>
                <w:sz w:val="22"/>
                <w:szCs w:val="22"/>
              </w:rPr>
            </w:pPr>
            <w:r>
              <w:rPr>
                <w:b/>
                <w:bCs/>
                <w:sz w:val="22"/>
                <w:szCs w:val="22"/>
              </w:rPr>
              <w:t>Trūkumi</w:t>
            </w:r>
          </w:p>
        </w:tc>
      </w:tr>
      <w:tr w:rsidR="00F8459C" w14:paraId="3E32C115" w14:textId="77777777">
        <w:tc>
          <w:tcPr>
            <w:tcW w:w="4219" w:type="dxa"/>
          </w:tcPr>
          <w:p w14:paraId="5C0E56E1" w14:textId="4FC83694" w:rsidR="00F8459C" w:rsidRDefault="00C71529" w:rsidP="009710D7">
            <w:pPr>
              <w:pStyle w:val="Style2"/>
              <w:numPr>
                <w:ilvl w:val="0"/>
                <w:numId w:val="10"/>
              </w:numPr>
            </w:pPr>
            <w:r>
              <w:t xml:space="preserve">Finansiālais un operatīvais slogs pilnībā tiek pārnests no valsts uz privātiem </w:t>
            </w:r>
            <w:r w:rsidR="001537F4">
              <w:t>komersantiem</w:t>
            </w:r>
            <w:r>
              <w:t xml:space="preserve">. </w:t>
            </w:r>
          </w:p>
          <w:p w14:paraId="2D27E78E" w14:textId="77777777" w:rsidR="00F8459C" w:rsidRDefault="00C71529" w:rsidP="009710D7">
            <w:pPr>
              <w:pStyle w:val="Style2"/>
              <w:numPr>
                <w:ilvl w:val="0"/>
                <w:numId w:val="10"/>
              </w:numPr>
            </w:pPr>
            <w:r>
              <w:t>Plašas naftas industrijas gadījumā ir iespējams gūt ekonomisko labumu.</w:t>
            </w:r>
          </w:p>
          <w:p w14:paraId="6EEB090D" w14:textId="77777777" w:rsidR="00F8459C" w:rsidRDefault="00F8459C">
            <w:pPr>
              <w:pStyle w:val="Style2"/>
              <w:ind w:firstLine="0"/>
            </w:pPr>
          </w:p>
        </w:tc>
        <w:tc>
          <w:tcPr>
            <w:tcW w:w="5245" w:type="dxa"/>
          </w:tcPr>
          <w:p w14:paraId="49C72917" w14:textId="77E56C92" w:rsidR="00F8459C" w:rsidRDefault="00C71529" w:rsidP="009710D7">
            <w:pPr>
              <w:pStyle w:val="Style2"/>
              <w:numPr>
                <w:ilvl w:val="0"/>
                <w:numId w:val="10"/>
              </w:numPr>
            </w:pPr>
            <w:r>
              <w:t>Nav piemērojama Latvijas situācijai</w:t>
            </w:r>
            <w:r w:rsidR="00302C6E">
              <w:t xml:space="preserve"> nelielā tirgus dēļ</w:t>
            </w:r>
            <w:r>
              <w:t>.</w:t>
            </w:r>
          </w:p>
          <w:p w14:paraId="378311B4" w14:textId="2D2D04B3" w:rsidR="00302C6E" w:rsidRDefault="00302C6E" w:rsidP="009710D7">
            <w:pPr>
              <w:pStyle w:val="Style2"/>
              <w:numPr>
                <w:ilvl w:val="0"/>
                <w:numId w:val="10"/>
              </w:numPr>
            </w:pPr>
            <w:r>
              <w:t xml:space="preserve">Naftas produktu </w:t>
            </w:r>
            <w:r w:rsidR="008B1EF3">
              <w:t>importētājiem</w:t>
            </w:r>
            <w:r>
              <w:t xml:space="preserve"> nepieder infrastruktūra</w:t>
            </w:r>
            <w:r w:rsidR="008B1EF3">
              <w:t xml:space="preserve"> un komersantiem būtu jānomā infrastruktūra</w:t>
            </w:r>
            <w:r>
              <w:t>.</w:t>
            </w:r>
          </w:p>
          <w:p w14:paraId="78802A73" w14:textId="3437BB08" w:rsidR="00F8459C" w:rsidRDefault="00C71529" w:rsidP="009710D7">
            <w:pPr>
              <w:pStyle w:val="Style2"/>
              <w:numPr>
                <w:ilvl w:val="0"/>
                <w:numId w:val="10"/>
              </w:numPr>
            </w:pPr>
            <w:r>
              <w:t>Ja industrija ir neliela, drošības rezervju finansēšana nebūs izmaksu efektīva. Nevar gūt labumu no zemākām valsts kapitāla izmaksām un nerodas apjoma efektivitātes ieguvumi.</w:t>
            </w:r>
          </w:p>
          <w:p w14:paraId="590EF227" w14:textId="49776C16" w:rsidR="00302C6E" w:rsidRDefault="00302C6E" w:rsidP="00302C6E">
            <w:pPr>
              <w:pStyle w:val="Style2"/>
              <w:numPr>
                <w:ilvl w:val="0"/>
                <w:numId w:val="10"/>
              </w:numPr>
            </w:pPr>
            <w:r>
              <w:t>Uzliekot pienākumu vairumtirgotājiem uzglabāt drošības rezerves, tiktu samazināta to konkurētspēja.</w:t>
            </w:r>
          </w:p>
          <w:p w14:paraId="67E96879" w14:textId="4EE2A262" w:rsidR="00F8459C" w:rsidRDefault="00C71529" w:rsidP="009710D7">
            <w:pPr>
              <w:pStyle w:val="Style2"/>
              <w:numPr>
                <w:ilvl w:val="0"/>
                <w:numId w:val="10"/>
              </w:numPr>
            </w:pPr>
            <w:r>
              <w:t>Paredzams izmaksu pieaugums, kas varētu ietekmēt naftas produktu cenas.</w:t>
            </w:r>
          </w:p>
          <w:p w14:paraId="0059DCFA" w14:textId="677C628A" w:rsidR="00F8459C" w:rsidRDefault="00C71529" w:rsidP="009710D7">
            <w:pPr>
              <w:pStyle w:val="Style2"/>
              <w:numPr>
                <w:ilvl w:val="0"/>
                <w:numId w:val="10"/>
              </w:numPr>
            </w:pPr>
            <w:r>
              <w:t xml:space="preserve">Valstij nav savu rezervju, jo tās uztur privāti </w:t>
            </w:r>
            <w:r w:rsidR="001537F4">
              <w:t>komersanti</w:t>
            </w:r>
            <w:r>
              <w:t>.</w:t>
            </w:r>
          </w:p>
          <w:p w14:paraId="127F0F55" w14:textId="23DAB260" w:rsidR="00F8459C" w:rsidRDefault="00963F22" w:rsidP="009710D7">
            <w:pPr>
              <w:pStyle w:val="Style2"/>
              <w:numPr>
                <w:ilvl w:val="0"/>
                <w:numId w:val="10"/>
              </w:numPr>
            </w:pPr>
            <w:r>
              <w:t xml:space="preserve">Drošības </w:t>
            </w:r>
            <w:r w:rsidR="00C71529">
              <w:t xml:space="preserve">rezervju apsaimniekošana un kontrole tiek nodota privātiem </w:t>
            </w:r>
            <w:r w:rsidR="001537F4">
              <w:t xml:space="preserve">komersantiem </w:t>
            </w:r>
            <w:r w:rsidR="00C71529">
              <w:t>un ir ārpus valsts tiešās kontroles.</w:t>
            </w:r>
          </w:p>
          <w:p w14:paraId="2F7BDF50" w14:textId="77777777" w:rsidR="00F8459C" w:rsidRDefault="00F8459C">
            <w:pPr>
              <w:pStyle w:val="Style2"/>
            </w:pPr>
          </w:p>
        </w:tc>
      </w:tr>
    </w:tbl>
    <w:p w14:paraId="3C261773" w14:textId="77777777" w:rsidR="00F8459C" w:rsidRDefault="00F8459C">
      <w:pPr>
        <w:pStyle w:val="Style2"/>
        <w:rPr>
          <w:b/>
          <w:bCs/>
        </w:rPr>
      </w:pPr>
    </w:p>
    <w:p w14:paraId="0ED1C579" w14:textId="77777777" w:rsidR="00A2253A" w:rsidRDefault="00A2253A">
      <w:pPr>
        <w:pStyle w:val="Style2"/>
        <w:rPr>
          <w:b/>
          <w:bCs/>
        </w:rPr>
      </w:pPr>
    </w:p>
    <w:p w14:paraId="6BDFC86A" w14:textId="77777777" w:rsidR="00F8459C" w:rsidRDefault="00C71529">
      <w:pPr>
        <w:pStyle w:val="Style1"/>
        <w:spacing w:before="0" w:line="240" w:lineRule="auto"/>
        <w:ind w:left="360"/>
        <w:jc w:val="center"/>
      </w:pPr>
      <w:bookmarkStart w:id="25" w:name="_Toc67921667"/>
      <w:r>
        <w:t>5. Risinājumu ietekme uz valsts budžetu</w:t>
      </w:r>
      <w:bookmarkEnd w:id="25"/>
    </w:p>
    <w:p w14:paraId="03188C5D"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 risinājums: </w:t>
      </w:r>
    </w:p>
    <w:p w14:paraId="5FCD7704" w14:textId="210E3B4B" w:rsidR="00F8459C" w:rsidRDefault="00C71529">
      <w:pPr>
        <w:pStyle w:val="Style2"/>
      </w:pPr>
      <w:r>
        <w:t>Pirmā risinājuma ietekme uz valsts budžetu ir neitrāla, jo tas paredz esošās situācijas saglabāšanu</w:t>
      </w:r>
      <w:r w:rsidR="00A0370B">
        <w:t xml:space="preserve"> – risinājums </w:t>
      </w:r>
      <w:r w:rsidR="00A0370B">
        <w:rPr>
          <w:rFonts w:eastAsia="Calibri"/>
        </w:rPr>
        <w:t>tiktu īstenots esošās finansēšanas shēmas ietvaros</w:t>
      </w:r>
      <w:r>
        <w:t xml:space="preserve">. </w:t>
      </w:r>
    </w:p>
    <w:p w14:paraId="1441CB66" w14:textId="77777777" w:rsidR="007D6622" w:rsidRDefault="00C71529" w:rsidP="007D6622">
      <w:pPr>
        <w:pStyle w:val="Style2"/>
      </w:pPr>
      <w:r>
        <w:t>Taču</w:t>
      </w:r>
      <w:r w:rsidR="006E0743">
        <w:t>,</w:t>
      </w:r>
      <w:r>
        <w:t xml:space="preserve"> ja pie šī risinājuma ieviešanas tiks izvēlēts scenārijs, kas paredz grozījumu veikšanu tiesību aktos ar nolūku 3 gadu laikā kāpināt to drošības rezervju apjomu, kas tiek uzglabāti Latvijas teritorijā: 1.gadā līdz 75%, 2.gadā līdz 85% un 3.gadā līdz 100%, var prognozēt izmaksu pieaugumu sākot ar 1.pārejas gadu. </w:t>
      </w:r>
    </w:p>
    <w:p w14:paraId="2D25DB33" w14:textId="08C06CF4" w:rsidR="007D6622" w:rsidRPr="00832CE1" w:rsidRDefault="007D6622" w:rsidP="007D6622">
      <w:pPr>
        <w:pStyle w:val="Style2"/>
      </w:pPr>
      <w:r>
        <w:t>V</w:t>
      </w:r>
      <w:r w:rsidRPr="00832CE1">
        <w:t>eicot provizorisk</w:t>
      </w:r>
      <w:r>
        <w:t>u</w:t>
      </w:r>
      <w:r w:rsidRPr="00832CE1">
        <w:t>s</w:t>
      </w:r>
      <w:r>
        <w:t xml:space="preserve"> </w:t>
      </w:r>
      <w:r w:rsidRPr="00832CE1">
        <w:t>aprēķinus</w:t>
      </w:r>
      <w:r>
        <w:t>, par pamatu ņemot vērā 2020.gadā īstenotā iepirkuma ietvaros piedāvāto komersantu cenu piedāvājumu un to spēju palielināt piedāvātos drošības rezervju apjomus,</w:t>
      </w:r>
      <w:r w:rsidRPr="00832CE1">
        <w:t xml:space="preserve"> par 1.risinājuma B scenārija ietekmi uz valsts nodevas </w:t>
      </w:r>
      <w:r>
        <w:t>apmēru</w:t>
      </w:r>
      <w:r w:rsidRPr="00832CE1">
        <w:t xml:space="preserve">, Birojs secinājis, ka </w:t>
      </w:r>
      <w:r>
        <w:rPr>
          <w:u w:val="single"/>
        </w:rPr>
        <w:t>v</w:t>
      </w:r>
      <w:r w:rsidRPr="00832CE1">
        <w:rPr>
          <w:u w:val="single"/>
        </w:rPr>
        <w:t>alsts nodeva</w:t>
      </w:r>
      <w:r>
        <w:rPr>
          <w:u w:val="single"/>
        </w:rPr>
        <w:t>s apmērs palielināsies</w:t>
      </w:r>
      <w:r w:rsidRPr="00832CE1">
        <w:rPr>
          <w:u w:val="single"/>
        </w:rPr>
        <w:t xml:space="preserve"> par</w:t>
      </w:r>
      <w:r w:rsidRPr="00832CE1">
        <w:t>:</w:t>
      </w:r>
    </w:p>
    <w:p w14:paraId="20570966" w14:textId="77777777" w:rsidR="007D6622" w:rsidRPr="00832CE1" w:rsidRDefault="007D6622" w:rsidP="007D6622">
      <w:pPr>
        <w:numPr>
          <w:ilvl w:val="0"/>
          <w:numId w:val="24"/>
        </w:numPr>
        <w:spacing w:after="0" w:line="240" w:lineRule="auto"/>
        <w:ind w:left="1276" w:hanging="426"/>
        <w:jc w:val="both"/>
        <w:rPr>
          <w:rFonts w:ascii="Times New Roman" w:hAnsi="Times New Roman" w:cs="Times New Roman"/>
          <w:sz w:val="24"/>
          <w:szCs w:val="24"/>
        </w:rPr>
      </w:pPr>
      <w:r w:rsidRPr="00832CE1">
        <w:rPr>
          <w:rFonts w:ascii="Times New Roman" w:hAnsi="Times New Roman" w:cs="Times New Roman"/>
          <w:sz w:val="24"/>
          <w:szCs w:val="24"/>
        </w:rPr>
        <w:t>2,1%, ja Latvijas Republikā glabājamais apmērs būs 75%;</w:t>
      </w:r>
    </w:p>
    <w:p w14:paraId="461047AD" w14:textId="77777777" w:rsidR="007D6622" w:rsidRPr="00832CE1" w:rsidRDefault="007D6622" w:rsidP="007D6622">
      <w:pPr>
        <w:numPr>
          <w:ilvl w:val="0"/>
          <w:numId w:val="24"/>
        </w:numPr>
        <w:spacing w:after="0" w:line="240" w:lineRule="auto"/>
        <w:ind w:left="1276" w:hanging="426"/>
        <w:jc w:val="both"/>
        <w:rPr>
          <w:rFonts w:ascii="Times New Roman" w:hAnsi="Times New Roman" w:cs="Times New Roman"/>
          <w:sz w:val="24"/>
          <w:szCs w:val="24"/>
        </w:rPr>
      </w:pPr>
      <w:r w:rsidRPr="00832CE1">
        <w:rPr>
          <w:rFonts w:ascii="Times New Roman" w:hAnsi="Times New Roman" w:cs="Times New Roman"/>
          <w:sz w:val="24"/>
          <w:szCs w:val="24"/>
        </w:rPr>
        <w:t>11,77%, ja Latvijas Republikā glabājamais apmērs būs 85%;</w:t>
      </w:r>
    </w:p>
    <w:p w14:paraId="799A8578" w14:textId="77777777" w:rsidR="007D6622" w:rsidRPr="00832CE1" w:rsidRDefault="007D6622" w:rsidP="007D6622">
      <w:pPr>
        <w:numPr>
          <w:ilvl w:val="0"/>
          <w:numId w:val="24"/>
        </w:numPr>
        <w:spacing w:after="0" w:line="240" w:lineRule="auto"/>
        <w:ind w:left="1276" w:hanging="426"/>
        <w:jc w:val="both"/>
        <w:rPr>
          <w:rFonts w:ascii="Times New Roman" w:hAnsi="Times New Roman" w:cs="Times New Roman"/>
          <w:sz w:val="24"/>
          <w:szCs w:val="24"/>
        </w:rPr>
      </w:pPr>
      <w:r w:rsidRPr="00832CE1">
        <w:rPr>
          <w:rFonts w:ascii="Times New Roman" w:hAnsi="Times New Roman" w:cs="Times New Roman"/>
          <w:sz w:val="24"/>
          <w:szCs w:val="24"/>
        </w:rPr>
        <w:t>26,28%,ja Latvijas Republikā glabājamais apmērs būs 100%.</w:t>
      </w:r>
    </w:p>
    <w:p w14:paraId="24DD8683" w14:textId="32A1CB4D" w:rsidR="00F8459C" w:rsidRDefault="00C71529">
      <w:pPr>
        <w:pStyle w:val="Style2"/>
      </w:pPr>
      <w:r>
        <w:t xml:space="preserve">Šāds valsts līdzekļu izmaksu palielinājums primāri radīsies divu iemeslu dēļ. Pirmkārt, iepriekšējā pieredze norāda, ka </w:t>
      </w:r>
      <w:bookmarkStart w:id="26" w:name="_Hlk63331702"/>
      <w:r>
        <w:t>dažos gadījumos ārvalstu komersantu piedāvātās cenas ir zemākas par Latvijas komersantu piedāvājumiem</w:t>
      </w:r>
      <w:bookmarkEnd w:id="26"/>
      <w:r>
        <w:t xml:space="preserve">. Piemērām, atsevišķu Latvijas komersantu piedāvāta cena bija par 40% augstāka par ārvalstu komersantu piedāvāto vidējo cenu 2017.gada iepirkumā. Otrkārt, </w:t>
      </w:r>
      <w:bookmarkStart w:id="27" w:name="_Hlk63331730"/>
      <w:r>
        <w:t xml:space="preserve">samazinoties piedāvājumam un sašaurinoties pretendentu lokam, komersantu piedāvātās cenas var vēl vairāk pieaugt. </w:t>
      </w:r>
      <w:bookmarkEnd w:id="27"/>
    </w:p>
    <w:p w14:paraId="4563EBC5" w14:textId="68EC8419" w:rsidR="004119F2" w:rsidRDefault="004119F2">
      <w:pPr>
        <w:pStyle w:val="Style2"/>
      </w:pPr>
      <w:r>
        <w:t>Ņemot vērā provizorisko valsts nodevas apmēra pieaugumu, iespējams, ka pieaugtu arī degvielas cenas gala patērētājiem, tomēr šo ietekmi nevar aprēķināt, jo nav paredzama privāto komersantu rīcība brīvas konkurences apstākļos.</w:t>
      </w:r>
    </w:p>
    <w:p w14:paraId="617E11E6" w14:textId="77777777" w:rsidR="00F8459C" w:rsidRDefault="00F8459C">
      <w:pPr>
        <w:pStyle w:val="Style2"/>
      </w:pPr>
    </w:p>
    <w:p w14:paraId="3C819B3E"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2. risinājums: </w:t>
      </w:r>
    </w:p>
    <w:p w14:paraId="532D6892" w14:textId="62490C30" w:rsidR="00F8459C" w:rsidRDefault="00C71529">
      <w:pPr>
        <w:pStyle w:val="Style2"/>
      </w:pPr>
      <w:r>
        <w:t xml:space="preserve">Aģentūras modeļa izveide nav iespējama bez valsts </w:t>
      </w:r>
      <w:r w:rsidR="008B1EF3">
        <w:t xml:space="preserve">vai bankas finanšu instrumentu </w:t>
      </w:r>
      <w:r>
        <w:t>sākotnējas iesaistes, proti, nosacītā laika periodā pakāpeniski piešķirot valsts budžeta līdzekļus</w:t>
      </w:r>
      <w:r w:rsidR="008B1EF3">
        <w:t xml:space="preserve"> vai bankas aizņēmumu</w:t>
      </w:r>
      <w:r>
        <w:t xml:space="preserve"> </w:t>
      </w:r>
      <w:r w:rsidR="00963F22">
        <w:t>drošības rezervju</w:t>
      </w:r>
      <w:r>
        <w:t xml:space="preserve"> iegādei, tādējādi nodrošinot, ka </w:t>
      </w:r>
      <w:r w:rsidR="00963F22">
        <w:t>drošības rezerves</w:t>
      </w:r>
      <w:r>
        <w:t xml:space="preserve"> ir valsts īpašums. Lielākā izmaksu pozīcija pārejā uz citu modeli būs tieši investīcijas drošības rezervju krājumu iegādē. Ir būtiski ievērot, ka no sistēmas viedokļa tā ir investīcija, nevis izmaksas, jo sākotnējo kapitālu ir iespējams atbrīvot, pārdodot krājumus vai iemaksājot privāto komersantu maksātās nodevas. Citas izmaksas, kā, piemēram, krājumu aizvietošanas izmaksas, administratīvās izmaksas vai krājumu apdrošināšanas izmaksas, ir līdzīgas gan valsts, gan aģentūras modelī, ja valstij piemitīs faktiskās īpašuma tiesības uz drošības rezervju krājumiem. Turklāt to nozīme kopējā salīdzinājumā ir būtiski mazāka. </w:t>
      </w:r>
    </w:p>
    <w:p w14:paraId="10119B15" w14:textId="1AFE0429" w:rsidR="00F8459C" w:rsidRDefault="00C71529">
      <w:pPr>
        <w:pStyle w:val="Style2"/>
      </w:pPr>
      <w:r>
        <w:t xml:space="preserve">Pēc Konsultantu aplēsēm nepieciešamais finansējums drošības rezervju iegādei sastāda </w:t>
      </w:r>
      <w:r w:rsidRPr="003542DA">
        <w:t>172 miljoni EUR</w:t>
      </w:r>
      <w:r w:rsidR="003542DA">
        <w:t>, ja nepieciešamo drošības rezervju apjomu iegādājas 3 gados</w:t>
      </w:r>
      <w:r>
        <w:t xml:space="preserve">. Jāņem vērā, ka tas ir atkarīgs no svārstīgajam naftas </w:t>
      </w:r>
      <w:r w:rsidR="00E260A6">
        <w:t xml:space="preserve">produktu </w:t>
      </w:r>
      <w:r>
        <w:t xml:space="preserve">cenām un šīs aplēses tika veiktas 2020.gada janvārī. Papildus jāuzsver, ka drošības rezervju kopējais apjoms ir mainīgs lielums, līdz ar to arī izmaksas būs atkarīgas no daudzuma, kuram jābūt rezervē. Izmaksas iekļauj naftas iegādes cenu, kas lēsta pamatojoties uz nākotnes līgumiem, kas tiek tirgoti biržā, kā arī potenciālās transporta izmaksas. </w:t>
      </w:r>
    </w:p>
    <w:p w14:paraId="0E7739A4" w14:textId="1DF2567D" w:rsidR="00F8459C" w:rsidRDefault="00C71529">
      <w:pPr>
        <w:pStyle w:val="Style2"/>
      </w:pPr>
      <w:r>
        <w:t xml:space="preserve">Kopējās naftas produktu izmaksas, tajā skaitā piegādes cena, sastādītu aptuveni 163,5 miljonus EUR. Vienlaikus ir jārēķinās ar sākotnējo drošības rezervi 7,8 miljonu EUR apmērā - naudas summa, kas tiek iemaksāta pie brokera, lai atvērtu pirkšanas vai pārdošanas pozīciju nākotnes līgumā. Sākotnējā drošības rezerve tiek aprēķināta kā daļa no finanšu instrumenta cenas un to nosaka birža. Tabula </w:t>
      </w:r>
      <w:r w:rsidR="00FA58DF">
        <w:t>6</w:t>
      </w:r>
      <w:r>
        <w:t xml:space="preserve"> atspoguļo minēto izdevumu aprēķinu.</w:t>
      </w:r>
    </w:p>
    <w:p w14:paraId="0DF3121C" w14:textId="1AE122E1" w:rsidR="00F8459C" w:rsidRDefault="00C71529" w:rsidP="00B5028F">
      <w:pPr>
        <w:pStyle w:val="Style2"/>
      </w:pPr>
      <w:r>
        <w:t xml:space="preserve">Sākotnējā investīcija </w:t>
      </w:r>
      <w:r w:rsidR="00963F22">
        <w:t>drošības rezervju</w:t>
      </w:r>
      <w:r>
        <w:t xml:space="preserve"> iegādē var tikt izdalīta uz </w:t>
      </w:r>
      <w:r w:rsidR="00DB48BA">
        <w:t>vairākiem</w:t>
      </w:r>
      <w:r>
        <w:t xml:space="preserve"> gadiem, paralēli turpinot pielietot biļetes drošības rezerves nodrošināšanai. Jo drīzāka būs pāreja uz aģentūras modeli, jo ilgtermiņā augstāks būs izmaksu ietaupījums. Pamatojoties uz piedāvāto trīs gadu periodu </w:t>
      </w:r>
      <w:r w:rsidR="00963F22">
        <w:t>drošības rezervju</w:t>
      </w:r>
      <w:r>
        <w:t xml:space="preserve"> iegādei, kopējās izmaksas pirmajā gadā sastādītu 55,082,417 EUR, otrajā gadā –54,530,839 EUR, trešajā gadā –53,919,262 EUR. </w:t>
      </w:r>
    </w:p>
    <w:p w14:paraId="410A8707" w14:textId="77777777" w:rsidR="00F8459C" w:rsidRDefault="00F8459C">
      <w:pPr>
        <w:pStyle w:val="NormalWeb"/>
        <w:shd w:val="clear" w:color="auto" w:fill="FFFFFF"/>
        <w:spacing w:before="0" w:beforeAutospacing="0" w:after="0" w:afterAutospacing="0"/>
        <w:ind w:firstLine="300"/>
        <w:jc w:val="right"/>
        <w:rPr>
          <w:i/>
          <w:iCs/>
          <w:color w:val="808080" w:themeColor="background1" w:themeShade="80"/>
        </w:rPr>
      </w:pPr>
    </w:p>
    <w:p w14:paraId="4BEADCA0" w14:textId="77777777" w:rsidR="00F8459C" w:rsidRDefault="00C71529">
      <w:pPr>
        <w:pStyle w:val="NormalWeb"/>
        <w:shd w:val="clear" w:color="auto" w:fill="FFFFFF"/>
        <w:spacing w:before="0" w:beforeAutospacing="0" w:after="0" w:afterAutospacing="0"/>
        <w:ind w:firstLine="300"/>
        <w:jc w:val="right"/>
        <w:rPr>
          <w:i/>
          <w:iCs/>
          <w:color w:val="808080" w:themeColor="background1" w:themeShade="80"/>
        </w:rPr>
      </w:pPr>
      <w:r>
        <w:rPr>
          <w:i/>
          <w:iCs/>
          <w:color w:val="808080" w:themeColor="background1" w:themeShade="80"/>
        </w:rPr>
        <w:t>Tabula 6. Dīzeļdegvielas un benzīna iepirkuma izmaksas nākamajos trīs gados</w:t>
      </w:r>
    </w:p>
    <w:tbl>
      <w:tblPr>
        <w:tblpPr w:leftFromText="180" w:rightFromText="180" w:vertAnchor="text" w:horzAnchor="margin" w:tblpX="-284" w:tblpY="166"/>
        <w:tblW w:w="9639" w:type="dxa"/>
        <w:tblLook w:val="04A0" w:firstRow="1" w:lastRow="0" w:firstColumn="1" w:lastColumn="0" w:noHBand="0" w:noVBand="1"/>
      </w:tblPr>
      <w:tblGrid>
        <w:gridCol w:w="1134"/>
        <w:gridCol w:w="1278"/>
        <w:gridCol w:w="1204"/>
        <w:gridCol w:w="1278"/>
        <w:gridCol w:w="1202"/>
        <w:gridCol w:w="1278"/>
        <w:gridCol w:w="1131"/>
        <w:gridCol w:w="1134"/>
      </w:tblGrid>
      <w:tr w:rsidR="00907AB1" w:rsidRPr="00907AB1" w14:paraId="53A46467" w14:textId="77777777" w:rsidTr="00907AB1">
        <w:trPr>
          <w:trHeight w:val="852"/>
        </w:trPr>
        <w:tc>
          <w:tcPr>
            <w:tcW w:w="1134" w:type="dxa"/>
            <w:tcBorders>
              <w:top w:val="single" w:sz="4" w:space="0" w:color="auto"/>
              <w:left w:val="nil"/>
              <w:bottom w:val="single" w:sz="4" w:space="0" w:color="auto"/>
              <w:right w:val="nil"/>
            </w:tcBorders>
            <w:shd w:val="clear" w:color="auto" w:fill="auto"/>
            <w:vAlign w:val="bottom"/>
            <w:hideMark/>
          </w:tcPr>
          <w:p w14:paraId="0C6D6B67"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Piegādes datums pēc līguma</w:t>
            </w:r>
          </w:p>
        </w:tc>
        <w:tc>
          <w:tcPr>
            <w:tcW w:w="1278" w:type="dxa"/>
            <w:tcBorders>
              <w:top w:val="single" w:sz="4" w:space="0" w:color="auto"/>
              <w:left w:val="nil"/>
              <w:bottom w:val="single" w:sz="4" w:space="0" w:color="auto"/>
              <w:right w:val="nil"/>
            </w:tcBorders>
            <w:shd w:val="clear" w:color="auto" w:fill="auto"/>
            <w:vAlign w:val="bottom"/>
            <w:hideMark/>
          </w:tcPr>
          <w:p w14:paraId="5CBE0065"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Dīzeļdegvielas tirgus cena (EUR/tonnā)</w:t>
            </w:r>
          </w:p>
        </w:tc>
        <w:tc>
          <w:tcPr>
            <w:tcW w:w="1204" w:type="dxa"/>
            <w:tcBorders>
              <w:top w:val="single" w:sz="4" w:space="0" w:color="auto"/>
              <w:left w:val="nil"/>
              <w:bottom w:val="single" w:sz="4" w:space="0" w:color="auto"/>
              <w:right w:val="nil"/>
            </w:tcBorders>
            <w:shd w:val="clear" w:color="auto" w:fill="auto"/>
            <w:vAlign w:val="bottom"/>
            <w:hideMark/>
          </w:tcPr>
          <w:p w14:paraId="00220274"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Benzīna tirgus cena (EUR/tonnā)</w:t>
            </w:r>
          </w:p>
        </w:tc>
        <w:tc>
          <w:tcPr>
            <w:tcW w:w="1278" w:type="dxa"/>
            <w:tcBorders>
              <w:top w:val="single" w:sz="4" w:space="0" w:color="auto"/>
              <w:left w:val="nil"/>
              <w:bottom w:val="single" w:sz="4" w:space="0" w:color="auto"/>
              <w:right w:val="nil"/>
            </w:tcBorders>
            <w:shd w:val="clear" w:color="auto" w:fill="auto"/>
            <w:vAlign w:val="bottom"/>
            <w:hideMark/>
          </w:tcPr>
          <w:p w14:paraId="33C4D4DD"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Dīzeļdegvielas piegādes cena (EUR/tonnā)</w:t>
            </w:r>
          </w:p>
        </w:tc>
        <w:tc>
          <w:tcPr>
            <w:tcW w:w="1202" w:type="dxa"/>
            <w:tcBorders>
              <w:top w:val="single" w:sz="4" w:space="0" w:color="auto"/>
              <w:left w:val="nil"/>
              <w:bottom w:val="single" w:sz="4" w:space="0" w:color="auto"/>
              <w:right w:val="nil"/>
            </w:tcBorders>
            <w:shd w:val="clear" w:color="auto" w:fill="auto"/>
            <w:vAlign w:val="bottom"/>
            <w:hideMark/>
          </w:tcPr>
          <w:p w14:paraId="2126E905"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Benzīna piegādes cena (EUR/tonnā)</w:t>
            </w:r>
          </w:p>
        </w:tc>
        <w:tc>
          <w:tcPr>
            <w:tcW w:w="1278" w:type="dxa"/>
            <w:tcBorders>
              <w:top w:val="single" w:sz="4" w:space="0" w:color="auto"/>
              <w:left w:val="nil"/>
              <w:bottom w:val="single" w:sz="4" w:space="0" w:color="auto"/>
              <w:right w:val="nil"/>
            </w:tcBorders>
            <w:shd w:val="clear" w:color="auto" w:fill="auto"/>
            <w:vAlign w:val="bottom"/>
            <w:hideMark/>
          </w:tcPr>
          <w:p w14:paraId="6CC638A9"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Dīzeļdegvielas izmaksas (EUR)</w:t>
            </w:r>
          </w:p>
        </w:tc>
        <w:tc>
          <w:tcPr>
            <w:tcW w:w="1131" w:type="dxa"/>
            <w:tcBorders>
              <w:top w:val="single" w:sz="4" w:space="0" w:color="auto"/>
              <w:left w:val="nil"/>
              <w:bottom w:val="single" w:sz="4" w:space="0" w:color="auto"/>
              <w:right w:val="nil"/>
            </w:tcBorders>
            <w:shd w:val="clear" w:color="auto" w:fill="auto"/>
            <w:vAlign w:val="bottom"/>
            <w:hideMark/>
          </w:tcPr>
          <w:p w14:paraId="0B788F0D"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Benzīna izmaksas (EUR)</w:t>
            </w:r>
          </w:p>
        </w:tc>
        <w:tc>
          <w:tcPr>
            <w:tcW w:w="1134" w:type="dxa"/>
            <w:tcBorders>
              <w:top w:val="single" w:sz="4" w:space="0" w:color="auto"/>
              <w:left w:val="nil"/>
              <w:bottom w:val="single" w:sz="4" w:space="0" w:color="auto"/>
              <w:right w:val="nil"/>
            </w:tcBorders>
            <w:shd w:val="clear" w:color="auto" w:fill="auto"/>
            <w:vAlign w:val="bottom"/>
            <w:hideMark/>
          </w:tcPr>
          <w:p w14:paraId="2B14AFAE"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Kopējās degvielas izmaksas (EUR)</w:t>
            </w:r>
          </w:p>
        </w:tc>
      </w:tr>
      <w:tr w:rsidR="00907AB1" w:rsidRPr="00907AB1" w14:paraId="70F8B777" w14:textId="77777777" w:rsidTr="00907AB1">
        <w:trPr>
          <w:trHeight w:val="288"/>
        </w:trPr>
        <w:tc>
          <w:tcPr>
            <w:tcW w:w="1134" w:type="dxa"/>
            <w:tcBorders>
              <w:top w:val="nil"/>
              <w:left w:val="nil"/>
              <w:bottom w:val="single" w:sz="4" w:space="0" w:color="auto"/>
              <w:right w:val="nil"/>
            </w:tcBorders>
            <w:shd w:val="clear" w:color="auto" w:fill="auto"/>
            <w:noWrap/>
            <w:vAlign w:val="bottom"/>
            <w:hideMark/>
          </w:tcPr>
          <w:p w14:paraId="64AC941D"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12/2020</w:t>
            </w:r>
          </w:p>
        </w:tc>
        <w:tc>
          <w:tcPr>
            <w:tcW w:w="1278" w:type="dxa"/>
            <w:tcBorders>
              <w:top w:val="nil"/>
              <w:left w:val="nil"/>
              <w:bottom w:val="single" w:sz="4" w:space="0" w:color="auto"/>
              <w:right w:val="nil"/>
            </w:tcBorders>
            <w:shd w:val="clear" w:color="auto" w:fill="auto"/>
            <w:noWrap/>
            <w:vAlign w:val="bottom"/>
            <w:hideMark/>
          </w:tcPr>
          <w:p w14:paraId="4BBB0E6D"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446,126</w:t>
            </w:r>
          </w:p>
        </w:tc>
        <w:tc>
          <w:tcPr>
            <w:tcW w:w="1204" w:type="dxa"/>
            <w:tcBorders>
              <w:top w:val="nil"/>
              <w:left w:val="nil"/>
              <w:bottom w:val="single" w:sz="4" w:space="0" w:color="auto"/>
              <w:right w:val="nil"/>
            </w:tcBorders>
            <w:shd w:val="clear" w:color="auto" w:fill="auto"/>
            <w:noWrap/>
            <w:vAlign w:val="bottom"/>
            <w:hideMark/>
          </w:tcPr>
          <w:p w14:paraId="62254908"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438,99</w:t>
            </w:r>
          </w:p>
        </w:tc>
        <w:tc>
          <w:tcPr>
            <w:tcW w:w="1278" w:type="dxa"/>
            <w:tcBorders>
              <w:top w:val="nil"/>
              <w:left w:val="nil"/>
              <w:bottom w:val="single" w:sz="4" w:space="0" w:color="auto"/>
              <w:right w:val="nil"/>
            </w:tcBorders>
            <w:shd w:val="clear" w:color="auto" w:fill="auto"/>
            <w:noWrap/>
            <w:vAlign w:val="bottom"/>
            <w:hideMark/>
          </w:tcPr>
          <w:p w14:paraId="4B6FA527"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481,126</w:t>
            </w:r>
          </w:p>
        </w:tc>
        <w:tc>
          <w:tcPr>
            <w:tcW w:w="1202" w:type="dxa"/>
            <w:tcBorders>
              <w:top w:val="nil"/>
              <w:left w:val="nil"/>
              <w:bottom w:val="single" w:sz="4" w:space="0" w:color="auto"/>
              <w:right w:val="nil"/>
            </w:tcBorders>
            <w:shd w:val="clear" w:color="auto" w:fill="auto"/>
            <w:noWrap/>
            <w:vAlign w:val="bottom"/>
            <w:hideMark/>
          </w:tcPr>
          <w:p w14:paraId="151F9C91"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468,990</w:t>
            </w:r>
          </w:p>
        </w:tc>
        <w:tc>
          <w:tcPr>
            <w:tcW w:w="1278" w:type="dxa"/>
            <w:tcBorders>
              <w:top w:val="nil"/>
              <w:left w:val="nil"/>
              <w:bottom w:val="single" w:sz="4" w:space="0" w:color="auto"/>
              <w:right w:val="nil"/>
            </w:tcBorders>
            <w:shd w:val="clear" w:color="auto" w:fill="auto"/>
            <w:noWrap/>
            <w:vAlign w:val="bottom"/>
            <w:hideMark/>
          </w:tcPr>
          <w:p w14:paraId="78C62084"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41 574 098</w:t>
            </w:r>
          </w:p>
        </w:tc>
        <w:tc>
          <w:tcPr>
            <w:tcW w:w="1131" w:type="dxa"/>
            <w:tcBorders>
              <w:top w:val="nil"/>
              <w:left w:val="nil"/>
              <w:bottom w:val="single" w:sz="4" w:space="0" w:color="auto"/>
              <w:right w:val="nil"/>
            </w:tcBorders>
            <w:shd w:val="clear" w:color="auto" w:fill="auto"/>
            <w:noWrap/>
            <w:vAlign w:val="bottom"/>
            <w:hideMark/>
          </w:tcPr>
          <w:p w14:paraId="63DA70D8"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13 508 319</w:t>
            </w:r>
          </w:p>
        </w:tc>
        <w:tc>
          <w:tcPr>
            <w:tcW w:w="1134" w:type="dxa"/>
            <w:tcBorders>
              <w:top w:val="nil"/>
              <w:left w:val="nil"/>
              <w:bottom w:val="single" w:sz="4" w:space="0" w:color="auto"/>
              <w:right w:val="nil"/>
            </w:tcBorders>
            <w:shd w:val="clear" w:color="auto" w:fill="auto"/>
            <w:noWrap/>
            <w:vAlign w:val="bottom"/>
            <w:hideMark/>
          </w:tcPr>
          <w:p w14:paraId="4E280947"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55 082 417</w:t>
            </w:r>
          </w:p>
        </w:tc>
      </w:tr>
      <w:tr w:rsidR="00907AB1" w:rsidRPr="00907AB1" w14:paraId="42EDC2E3" w14:textId="77777777" w:rsidTr="00907AB1">
        <w:trPr>
          <w:trHeight w:val="288"/>
        </w:trPr>
        <w:tc>
          <w:tcPr>
            <w:tcW w:w="1134" w:type="dxa"/>
            <w:tcBorders>
              <w:top w:val="nil"/>
              <w:left w:val="nil"/>
              <w:bottom w:val="single" w:sz="4" w:space="0" w:color="auto"/>
              <w:right w:val="nil"/>
            </w:tcBorders>
            <w:shd w:val="clear" w:color="auto" w:fill="auto"/>
            <w:noWrap/>
            <w:vAlign w:val="bottom"/>
            <w:hideMark/>
          </w:tcPr>
          <w:p w14:paraId="10A345CC"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12/2021</w:t>
            </w:r>
          </w:p>
        </w:tc>
        <w:tc>
          <w:tcPr>
            <w:tcW w:w="1278" w:type="dxa"/>
            <w:tcBorders>
              <w:top w:val="nil"/>
              <w:left w:val="nil"/>
              <w:bottom w:val="single" w:sz="4" w:space="0" w:color="auto"/>
              <w:right w:val="nil"/>
            </w:tcBorders>
            <w:shd w:val="clear" w:color="auto" w:fill="auto"/>
            <w:noWrap/>
            <w:vAlign w:val="bottom"/>
            <w:hideMark/>
          </w:tcPr>
          <w:p w14:paraId="62B9566F"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445,714</w:t>
            </w:r>
          </w:p>
        </w:tc>
        <w:tc>
          <w:tcPr>
            <w:tcW w:w="1204" w:type="dxa"/>
            <w:tcBorders>
              <w:top w:val="nil"/>
              <w:left w:val="nil"/>
              <w:bottom w:val="single" w:sz="4" w:space="0" w:color="auto"/>
              <w:right w:val="nil"/>
            </w:tcBorders>
            <w:shd w:val="clear" w:color="auto" w:fill="auto"/>
            <w:noWrap/>
            <w:vAlign w:val="bottom"/>
            <w:hideMark/>
          </w:tcPr>
          <w:p w14:paraId="7B35CA6B"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421,076</w:t>
            </w:r>
          </w:p>
        </w:tc>
        <w:tc>
          <w:tcPr>
            <w:tcW w:w="1278" w:type="dxa"/>
            <w:tcBorders>
              <w:top w:val="nil"/>
              <w:left w:val="nil"/>
              <w:bottom w:val="single" w:sz="4" w:space="0" w:color="auto"/>
              <w:right w:val="nil"/>
            </w:tcBorders>
            <w:shd w:val="clear" w:color="auto" w:fill="auto"/>
            <w:noWrap/>
            <w:vAlign w:val="bottom"/>
            <w:hideMark/>
          </w:tcPr>
          <w:p w14:paraId="59A372DD"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480,714</w:t>
            </w:r>
          </w:p>
        </w:tc>
        <w:tc>
          <w:tcPr>
            <w:tcW w:w="1202" w:type="dxa"/>
            <w:tcBorders>
              <w:top w:val="nil"/>
              <w:left w:val="nil"/>
              <w:bottom w:val="single" w:sz="4" w:space="0" w:color="auto"/>
              <w:right w:val="nil"/>
            </w:tcBorders>
            <w:shd w:val="clear" w:color="auto" w:fill="auto"/>
            <w:noWrap/>
            <w:vAlign w:val="bottom"/>
            <w:hideMark/>
          </w:tcPr>
          <w:p w14:paraId="6E7A7C32"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451,076</w:t>
            </w:r>
          </w:p>
        </w:tc>
        <w:tc>
          <w:tcPr>
            <w:tcW w:w="1278" w:type="dxa"/>
            <w:tcBorders>
              <w:top w:val="nil"/>
              <w:left w:val="nil"/>
              <w:bottom w:val="single" w:sz="4" w:space="0" w:color="auto"/>
              <w:right w:val="nil"/>
            </w:tcBorders>
            <w:shd w:val="clear" w:color="auto" w:fill="auto"/>
            <w:noWrap/>
            <w:vAlign w:val="bottom"/>
            <w:hideMark/>
          </w:tcPr>
          <w:p w14:paraId="6BFB8A4A"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41 538 497</w:t>
            </w:r>
          </w:p>
        </w:tc>
        <w:tc>
          <w:tcPr>
            <w:tcW w:w="1131" w:type="dxa"/>
            <w:tcBorders>
              <w:top w:val="nil"/>
              <w:left w:val="nil"/>
              <w:bottom w:val="single" w:sz="4" w:space="0" w:color="auto"/>
              <w:right w:val="nil"/>
            </w:tcBorders>
            <w:shd w:val="clear" w:color="auto" w:fill="auto"/>
            <w:noWrap/>
            <w:vAlign w:val="bottom"/>
            <w:hideMark/>
          </w:tcPr>
          <w:p w14:paraId="2BF52A1A"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12 992 342</w:t>
            </w:r>
          </w:p>
        </w:tc>
        <w:tc>
          <w:tcPr>
            <w:tcW w:w="1134" w:type="dxa"/>
            <w:tcBorders>
              <w:top w:val="nil"/>
              <w:left w:val="nil"/>
              <w:bottom w:val="single" w:sz="4" w:space="0" w:color="auto"/>
              <w:right w:val="nil"/>
            </w:tcBorders>
            <w:shd w:val="clear" w:color="auto" w:fill="auto"/>
            <w:noWrap/>
            <w:vAlign w:val="bottom"/>
            <w:hideMark/>
          </w:tcPr>
          <w:p w14:paraId="775CEC9A"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54 530 839</w:t>
            </w:r>
          </w:p>
        </w:tc>
      </w:tr>
      <w:tr w:rsidR="00907AB1" w:rsidRPr="00907AB1" w14:paraId="79B6F2AD" w14:textId="77777777" w:rsidTr="00907AB1">
        <w:trPr>
          <w:trHeight w:val="288"/>
        </w:trPr>
        <w:tc>
          <w:tcPr>
            <w:tcW w:w="1134" w:type="dxa"/>
            <w:tcBorders>
              <w:top w:val="nil"/>
              <w:left w:val="nil"/>
              <w:bottom w:val="single" w:sz="4" w:space="0" w:color="auto"/>
              <w:right w:val="nil"/>
            </w:tcBorders>
            <w:shd w:val="clear" w:color="auto" w:fill="auto"/>
            <w:noWrap/>
            <w:vAlign w:val="bottom"/>
            <w:hideMark/>
          </w:tcPr>
          <w:p w14:paraId="365A4A85"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12/2022</w:t>
            </w:r>
          </w:p>
        </w:tc>
        <w:tc>
          <w:tcPr>
            <w:tcW w:w="1278" w:type="dxa"/>
            <w:tcBorders>
              <w:top w:val="nil"/>
              <w:left w:val="nil"/>
              <w:bottom w:val="single" w:sz="4" w:space="0" w:color="auto"/>
              <w:right w:val="nil"/>
            </w:tcBorders>
            <w:shd w:val="clear" w:color="auto" w:fill="auto"/>
            <w:noWrap/>
            <w:vAlign w:val="bottom"/>
            <w:hideMark/>
          </w:tcPr>
          <w:p w14:paraId="40E991CE"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442,829</w:t>
            </w:r>
          </w:p>
        </w:tc>
        <w:tc>
          <w:tcPr>
            <w:tcW w:w="1204" w:type="dxa"/>
            <w:tcBorders>
              <w:top w:val="nil"/>
              <w:left w:val="nil"/>
              <w:bottom w:val="single" w:sz="4" w:space="0" w:color="auto"/>
              <w:right w:val="nil"/>
            </w:tcBorders>
            <w:shd w:val="clear" w:color="auto" w:fill="auto"/>
            <w:noWrap/>
            <w:vAlign w:val="bottom"/>
            <w:hideMark/>
          </w:tcPr>
          <w:p w14:paraId="5B8B5C3C"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408,498</w:t>
            </w:r>
          </w:p>
        </w:tc>
        <w:tc>
          <w:tcPr>
            <w:tcW w:w="1278" w:type="dxa"/>
            <w:tcBorders>
              <w:top w:val="nil"/>
              <w:left w:val="nil"/>
              <w:bottom w:val="single" w:sz="4" w:space="0" w:color="auto"/>
              <w:right w:val="nil"/>
            </w:tcBorders>
            <w:shd w:val="clear" w:color="auto" w:fill="auto"/>
            <w:noWrap/>
            <w:vAlign w:val="bottom"/>
            <w:hideMark/>
          </w:tcPr>
          <w:p w14:paraId="0C5E3FD1"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477,829</w:t>
            </w:r>
          </w:p>
        </w:tc>
        <w:tc>
          <w:tcPr>
            <w:tcW w:w="1202" w:type="dxa"/>
            <w:tcBorders>
              <w:top w:val="nil"/>
              <w:left w:val="nil"/>
              <w:bottom w:val="single" w:sz="4" w:space="0" w:color="auto"/>
              <w:right w:val="nil"/>
            </w:tcBorders>
            <w:shd w:val="clear" w:color="auto" w:fill="auto"/>
            <w:noWrap/>
            <w:vAlign w:val="bottom"/>
            <w:hideMark/>
          </w:tcPr>
          <w:p w14:paraId="16C2FC7C"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438,498</w:t>
            </w:r>
          </w:p>
        </w:tc>
        <w:tc>
          <w:tcPr>
            <w:tcW w:w="1278" w:type="dxa"/>
            <w:tcBorders>
              <w:top w:val="nil"/>
              <w:left w:val="nil"/>
              <w:bottom w:val="single" w:sz="4" w:space="0" w:color="auto"/>
              <w:right w:val="nil"/>
            </w:tcBorders>
            <w:shd w:val="clear" w:color="auto" w:fill="auto"/>
            <w:noWrap/>
            <w:vAlign w:val="bottom"/>
            <w:hideMark/>
          </w:tcPr>
          <w:p w14:paraId="515CE66E"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41 289 204</w:t>
            </w:r>
          </w:p>
        </w:tc>
        <w:tc>
          <w:tcPr>
            <w:tcW w:w="1131" w:type="dxa"/>
            <w:tcBorders>
              <w:top w:val="nil"/>
              <w:left w:val="nil"/>
              <w:bottom w:val="single" w:sz="4" w:space="0" w:color="auto"/>
              <w:right w:val="nil"/>
            </w:tcBorders>
            <w:shd w:val="clear" w:color="auto" w:fill="auto"/>
            <w:noWrap/>
            <w:vAlign w:val="bottom"/>
            <w:hideMark/>
          </w:tcPr>
          <w:p w14:paraId="7400EB71"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12 630 058</w:t>
            </w:r>
          </w:p>
        </w:tc>
        <w:tc>
          <w:tcPr>
            <w:tcW w:w="1134" w:type="dxa"/>
            <w:tcBorders>
              <w:top w:val="nil"/>
              <w:left w:val="nil"/>
              <w:bottom w:val="single" w:sz="4" w:space="0" w:color="auto"/>
              <w:right w:val="nil"/>
            </w:tcBorders>
            <w:shd w:val="clear" w:color="auto" w:fill="auto"/>
            <w:noWrap/>
            <w:vAlign w:val="bottom"/>
            <w:hideMark/>
          </w:tcPr>
          <w:p w14:paraId="625533F4"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53 919 262</w:t>
            </w:r>
          </w:p>
        </w:tc>
      </w:tr>
      <w:tr w:rsidR="00907AB1" w:rsidRPr="00907AB1" w14:paraId="799A6220" w14:textId="77777777" w:rsidTr="00907AB1">
        <w:trPr>
          <w:trHeight w:val="288"/>
        </w:trPr>
        <w:tc>
          <w:tcPr>
            <w:tcW w:w="1134" w:type="dxa"/>
            <w:tcBorders>
              <w:top w:val="nil"/>
              <w:left w:val="nil"/>
              <w:bottom w:val="nil"/>
              <w:right w:val="nil"/>
            </w:tcBorders>
            <w:shd w:val="clear" w:color="auto" w:fill="auto"/>
            <w:noWrap/>
            <w:vAlign w:val="bottom"/>
            <w:hideMark/>
          </w:tcPr>
          <w:p w14:paraId="7A88CB48"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p>
        </w:tc>
        <w:tc>
          <w:tcPr>
            <w:tcW w:w="1278" w:type="dxa"/>
            <w:tcBorders>
              <w:top w:val="nil"/>
              <w:left w:val="nil"/>
              <w:bottom w:val="nil"/>
              <w:right w:val="nil"/>
            </w:tcBorders>
            <w:shd w:val="clear" w:color="auto" w:fill="auto"/>
            <w:noWrap/>
            <w:vAlign w:val="bottom"/>
            <w:hideMark/>
          </w:tcPr>
          <w:p w14:paraId="6CEB93D9"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204" w:type="dxa"/>
            <w:tcBorders>
              <w:top w:val="nil"/>
              <w:left w:val="nil"/>
              <w:bottom w:val="nil"/>
              <w:right w:val="nil"/>
            </w:tcBorders>
            <w:shd w:val="clear" w:color="auto" w:fill="auto"/>
            <w:noWrap/>
            <w:vAlign w:val="bottom"/>
            <w:hideMark/>
          </w:tcPr>
          <w:p w14:paraId="2493CE11"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278" w:type="dxa"/>
            <w:tcBorders>
              <w:top w:val="nil"/>
              <w:left w:val="nil"/>
              <w:bottom w:val="nil"/>
              <w:right w:val="nil"/>
            </w:tcBorders>
            <w:shd w:val="clear" w:color="auto" w:fill="auto"/>
            <w:noWrap/>
            <w:vAlign w:val="bottom"/>
            <w:hideMark/>
          </w:tcPr>
          <w:p w14:paraId="55551ABF"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202" w:type="dxa"/>
            <w:tcBorders>
              <w:top w:val="nil"/>
              <w:left w:val="nil"/>
              <w:bottom w:val="nil"/>
              <w:right w:val="nil"/>
            </w:tcBorders>
            <w:shd w:val="clear" w:color="auto" w:fill="auto"/>
            <w:noWrap/>
            <w:vAlign w:val="bottom"/>
            <w:hideMark/>
          </w:tcPr>
          <w:p w14:paraId="3CEFF08C"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4" w:space="0" w:color="auto"/>
              <w:left w:val="nil"/>
              <w:bottom w:val="single" w:sz="4" w:space="0" w:color="auto"/>
              <w:right w:val="nil"/>
            </w:tcBorders>
            <w:shd w:val="clear" w:color="auto" w:fill="auto"/>
            <w:noWrap/>
            <w:vAlign w:val="bottom"/>
            <w:hideMark/>
          </w:tcPr>
          <w:p w14:paraId="5BEBF88F" w14:textId="77777777" w:rsidR="00907AB1" w:rsidRPr="00907AB1" w:rsidRDefault="00907AB1" w:rsidP="00907AB1">
            <w:pPr>
              <w:spacing w:after="0" w:line="240" w:lineRule="auto"/>
              <w:jc w:val="center"/>
              <w:rPr>
                <w:rFonts w:ascii="Calibri" w:eastAsia="Times New Roman" w:hAnsi="Calibri" w:cs="Calibri"/>
                <w:b/>
                <w:bCs/>
                <w:color w:val="000000"/>
                <w:sz w:val="18"/>
                <w:szCs w:val="18"/>
                <w:lang w:eastAsia="lv-LV"/>
              </w:rPr>
            </w:pPr>
            <w:r w:rsidRPr="00907AB1">
              <w:rPr>
                <w:rFonts w:ascii="Calibri" w:eastAsia="Times New Roman" w:hAnsi="Calibri" w:cs="Calibri"/>
                <w:b/>
                <w:bCs/>
                <w:color w:val="000000"/>
                <w:sz w:val="18"/>
                <w:szCs w:val="18"/>
                <w:lang w:eastAsia="lv-LV"/>
              </w:rPr>
              <w:t>Kopējās izmaksas</w:t>
            </w:r>
          </w:p>
        </w:tc>
        <w:tc>
          <w:tcPr>
            <w:tcW w:w="1134" w:type="dxa"/>
            <w:tcBorders>
              <w:top w:val="nil"/>
              <w:left w:val="nil"/>
              <w:bottom w:val="single" w:sz="4" w:space="0" w:color="auto"/>
              <w:right w:val="nil"/>
            </w:tcBorders>
            <w:shd w:val="clear" w:color="auto" w:fill="auto"/>
            <w:noWrap/>
            <w:vAlign w:val="bottom"/>
            <w:hideMark/>
          </w:tcPr>
          <w:p w14:paraId="06AB6DA7" w14:textId="77777777" w:rsidR="00907AB1" w:rsidRPr="00907AB1" w:rsidRDefault="00907AB1" w:rsidP="00907AB1">
            <w:pPr>
              <w:spacing w:after="0" w:line="240" w:lineRule="auto"/>
              <w:jc w:val="center"/>
              <w:rPr>
                <w:rFonts w:ascii="Calibri" w:eastAsia="Times New Roman" w:hAnsi="Calibri" w:cs="Calibri"/>
                <w:b/>
                <w:bCs/>
                <w:color w:val="000000"/>
                <w:sz w:val="18"/>
                <w:szCs w:val="18"/>
                <w:lang w:eastAsia="lv-LV"/>
              </w:rPr>
            </w:pPr>
            <w:r w:rsidRPr="00907AB1">
              <w:rPr>
                <w:rFonts w:ascii="Calibri" w:eastAsia="Times New Roman" w:hAnsi="Calibri" w:cs="Calibri"/>
                <w:b/>
                <w:bCs/>
                <w:color w:val="000000"/>
                <w:sz w:val="18"/>
                <w:szCs w:val="18"/>
                <w:lang w:eastAsia="lv-LV"/>
              </w:rPr>
              <w:t>163 532 517</w:t>
            </w:r>
          </w:p>
        </w:tc>
      </w:tr>
      <w:tr w:rsidR="00907AB1" w:rsidRPr="00907AB1" w14:paraId="7504FEAB" w14:textId="77777777" w:rsidTr="00907AB1">
        <w:trPr>
          <w:trHeight w:val="984"/>
        </w:trPr>
        <w:tc>
          <w:tcPr>
            <w:tcW w:w="1134" w:type="dxa"/>
            <w:tcBorders>
              <w:top w:val="single" w:sz="4" w:space="0" w:color="auto"/>
              <w:left w:val="nil"/>
              <w:bottom w:val="single" w:sz="4" w:space="0" w:color="auto"/>
              <w:right w:val="nil"/>
            </w:tcBorders>
            <w:shd w:val="clear" w:color="auto" w:fill="auto"/>
            <w:vAlign w:val="bottom"/>
            <w:hideMark/>
          </w:tcPr>
          <w:p w14:paraId="32B36A40"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Kopējās degvielas izmaksas (EUR)</w:t>
            </w:r>
          </w:p>
        </w:tc>
        <w:tc>
          <w:tcPr>
            <w:tcW w:w="1278" w:type="dxa"/>
            <w:tcBorders>
              <w:top w:val="single" w:sz="4" w:space="0" w:color="auto"/>
              <w:left w:val="nil"/>
              <w:bottom w:val="single" w:sz="4" w:space="0" w:color="auto"/>
              <w:right w:val="nil"/>
            </w:tcBorders>
            <w:shd w:val="clear" w:color="auto" w:fill="auto"/>
            <w:vAlign w:val="bottom"/>
            <w:hideMark/>
          </w:tcPr>
          <w:p w14:paraId="27FFE035"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Sākotnējā drošības rezerve (EUR)</w:t>
            </w:r>
          </w:p>
        </w:tc>
        <w:tc>
          <w:tcPr>
            <w:tcW w:w="1204" w:type="dxa"/>
            <w:tcBorders>
              <w:top w:val="single" w:sz="4" w:space="0" w:color="auto"/>
              <w:left w:val="nil"/>
              <w:bottom w:val="single" w:sz="4" w:space="0" w:color="auto"/>
              <w:right w:val="nil"/>
            </w:tcBorders>
            <w:shd w:val="clear" w:color="auto" w:fill="auto"/>
            <w:vAlign w:val="bottom"/>
            <w:hideMark/>
          </w:tcPr>
          <w:p w14:paraId="1E492B9F" w14:textId="77777777" w:rsidR="00907AB1" w:rsidRPr="00907AB1" w:rsidRDefault="00907AB1" w:rsidP="00907AB1">
            <w:pPr>
              <w:spacing w:after="0" w:line="240" w:lineRule="auto"/>
              <w:jc w:val="center"/>
              <w:rPr>
                <w:rFonts w:ascii="Calibri" w:eastAsia="Times New Roman" w:hAnsi="Calibri" w:cs="Calibri"/>
                <w:b/>
                <w:bCs/>
                <w:color w:val="548DD4" w:themeColor="text2" w:themeTint="99"/>
                <w:sz w:val="18"/>
                <w:szCs w:val="18"/>
                <w:lang w:eastAsia="lv-LV"/>
              </w:rPr>
            </w:pPr>
            <w:r w:rsidRPr="00907AB1">
              <w:rPr>
                <w:rFonts w:ascii="Calibri" w:eastAsia="Times New Roman" w:hAnsi="Calibri" w:cs="Calibri"/>
                <w:b/>
                <w:bCs/>
                <w:color w:val="548DD4" w:themeColor="text2" w:themeTint="99"/>
                <w:sz w:val="18"/>
                <w:szCs w:val="18"/>
                <w:lang w:eastAsia="lv-LV"/>
              </w:rPr>
              <w:t>Kopējās finansējamās izmaksas (EUR)</w:t>
            </w:r>
          </w:p>
        </w:tc>
        <w:tc>
          <w:tcPr>
            <w:tcW w:w="1278" w:type="dxa"/>
            <w:tcBorders>
              <w:top w:val="nil"/>
              <w:left w:val="nil"/>
              <w:bottom w:val="nil"/>
              <w:right w:val="nil"/>
            </w:tcBorders>
            <w:shd w:val="clear" w:color="auto" w:fill="auto"/>
            <w:vAlign w:val="bottom"/>
            <w:hideMark/>
          </w:tcPr>
          <w:p w14:paraId="781B287B"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p>
        </w:tc>
        <w:tc>
          <w:tcPr>
            <w:tcW w:w="1202" w:type="dxa"/>
            <w:tcBorders>
              <w:top w:val="nil"/>
              <w:left w:val="nil"/>
              <w:bottom w:val="nil"/>
              <w:right w:val="nil"/>
            </w:tcBorders>
            <w:shd w:val="clear" w:color="auto" w:fill="auto"/>
            <w:vAlign w:val="bottom"/>
            <w:hideMark/>
          </w:tcPr>
          <w:p w14:paraId="44ECFFF4"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278" w:type="dxa"/>
            <w:tcBorders>
              <w:top w:val="nil"/>
              <w:left w:val="nil"/>
              <w:bottom w:val="nil"/>
              <w:right w:val="nil"/>
            </w:tcBorders>
            <w:shd w:val="clear" w:color="auto" w:fill="auto"/>
            <w:vAlign w:val="bottom"/>
            <w:hideMark/>
          </w:tcPr>
          <w:p w14:paraId="5324047D"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131" w:type="dxa"/>
            <w:tcBorders>
              <w:top w:val="nil"/>
              <w:left w:val="nil"/>
              <w:bottom w:val="nil"/>
              <w:right w:val="nil"/>
            </w:tcBorders>
            <w:shd w:val="clear" w:color="auto" w:fill="auto"/>
            <w:vAlign w:val="bottom"/>
            <w:hideMark/>
          </w:tcPr>
          <w:p w14:paraId="27CD08E0"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vAlign w:val="bottom"/>
            <w:hideMark/>
          </w:tcPr>
          <w:p w14:paraId="7FDA4E91"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r>
      <w:tr w:rsidR="00907AB1" w:rsidRPr="00907AB1" w14:paraId="107A7FAF" w14:textId="77777777" w:rsidTr="00907AB1">
        <w:trPr>
          <w:trHeight w:val="288"/>
        </w:trPr>
        <w:tc>
          <w:tcPr>
            <w:tcW w:w="1134" w:type="dxa"/>
            <w:tcBorders>
              <w:top w:val="nil"/>
              <w:left w:val="nil"/>
              <w:bottom w:val="single" w:sz="4" w:space="0" w:color="auto"/>
              <w:right w:val="nil"/>
            </w:tcBorders>
            <w:shd w:val="clear" w:color="auto" w:fill="auto"/>
            <w:noWrap/>
            <w:vAlign w:val="bottom"/>
            <w:hideMark/>
          </w:tcPr>
          <w:p w14:paraId="5BAAD8D6"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163 532 517</w:t>
            </w:r>
          </w:p>
        </w:tc>
        <w:tc>
          <w:tcPr>
            <w:tcW w:w="1278" w:type="dxa"/>
            <w:tcBorders>
              <w:top w:val="nil"/>
              <w:left w:val="nil"/>
              <w:bottom w:val="single" w:sz="4" w:space="0" w:color="auto"/>
              <w:right w:val="nil"/>
            </w:tcBorders>
            <w:shd w:val="clear" w:color="auto" w:fill="auto"/>
            <w:noWrap/>
            <w:vAlign w:val="bottom"/>
            <w:hideMark/>
          </w:tcPr>
          <w:p w14:paraId="444D672E" w14:textId="77777777" w:rsidR="00907AB1" w:rsidRPr="00907AB1" w:rsidRDefault="00907AB1" w:rsidP="00907AB1">
            <w:pPr>
              <w:spacing w:after="0" w:line="240" w:lineRule="auto"/>
              <w:jc w:val="center"/>
              <w:rPr>
                <w:rFonts w:ascii="Calibri" w:eastAsia="Times New Roman" w:hAnsi="Calibri" w:cs="Calibri"/>
                <w:color w:val="000000"/>
                <w:sz w:val="18"/>
                <w:szCs w:val="18"/>
                <w:lang w:eastAsia="lv-LV"/>
              </w:rPr>
            </w:pPr>
            <w:r w:rsidRPr="00907AB1">
              <w:rPr>
                <w:rFonts w:ascii="Calibri" w:eastAsia="Times New Roman" w:hAnsi="Calibri" w:cs="Calibri"/>
                <w:color w:val="000000"/>
                <w:sz w:val="18"/>
                <w:szCs w:val="18"/>
                <w:lang w:eastAsia="lv-LV"/>
              </w:rPr>
              <w:t>7 880 612</w:t>
            </w:r>
          </w:p>
        </w:tc>
        <w:tc>
          <w:tcPr>
            <w:tcW w:w="1204" w:type="dxa"/>
            <w:tcBorders>
              <w:top w:val="nil"/>
              <w:left w:val="nil"/>
              <w:bottom w:val="single" w:sz="4" w:space="0" w:color="auto"/>
              <w:right w:val="nil"/>
            </w:tcBorders>
            <w:shd w:val="clear" w:color="auto" w:fill="auto"/>
            <w:noWrap/>
            <w:vAlign w:val="bottom"/>
            <w:hideMark/>
          </w:tcPr>
          <w:p w14:paraId="687C1697" w14:textId="77777777" w:rsidR="00907AB1" w:rsidRPr="00907AB1" w:rsidRDefault="00907AB1" w:rsidP="00907AB1">
            <w:pPr>
              <w:spacing w:after="0" w:line="240" w:lineRule="auto"/>
              <w:jc w:val="center"/>
              <w:rPr>
                <w:rFonts w:ascii="Calibri" w:eastAsia="Times New Roman" w:hAnsi="Calibri" w:cs="Calibri"/>
                <w:b/>
                <w:bCs/>
                <w:color w:val="000000"/>
                <w:sz w:val="18"/>
                <w:szCs w:val="18"/>
                <w:lang w:eastAsia="lv-LV"/>
              </w:rPr>
            </w:pPr>
            <w:r w:rsidRPr="00907AB1">
              <w:rPr>
                <w:rFonts w:ascii="Calibri" w:eastAsia="Times New Roman" w:hAnsi="Calibri" w:cs="Calibri"/>
                <w:b/>
                <w:bCs/>
                <w:color w:val="000000"/>
                <w:sz w:val="18"/>
                <w:szCs w:val="18"/>
                <w:lang w:eastAsia="lv-LV"/>
              </w:rPr>
              <w:t>171 413 129</w:t>
            </w:r>
          </w:p>
        </w:tc>
        <w:tc>
          <w:tcPr>
            <w:tcW w:w="1278" w:type="dxa"/>
            <w:tcBorders>
              <w:top w:val="nil"/>
              <w:left w:val="nil"/>
              <w:bottom w:val="nil"/>
              <w:right w:val="nil"/>
            </w:tcBorders>
            <w:shd w:val="clear" w:color="auto" w:fill="auto"/>
            <w:noWrap/>
            <w:vAlign w:val="bottom"/>
            <w:hideMark/>
          </w:tcPr>
          <w:p w14:paraId="7B7B989C" w14:textId="77777777" w:rsidR="00907AB1" w:rsidRPr="00907AB1" w:rsidRDefault="00907AB1" w:rsidP="00907AB1">
            <w:pPr>
              <w:spacing w:after="0" w:line="240" w:lineRule="auto"/>
              <w:jc w:val="center"/>
              <w:rPr>
                <w:rFonts w:ascii="Calibri" w:eastAsia="Times New Roman" w:hAnsi="Calibri" w:cs="Calibri"/>
                <w:b/>
                <w:bCs/>
                <w:color w:val="000000"/>
                <w:sz w:val="18"/>
                <w:szCs w:val="18"/>
                <w:lang w:eastAsia="lv-LV"/>
              </w:rPr>
            </w:pPr>
          </w:p>
        </w:tc>
        <w:tc>
          <w:tcPr>
            <w:tcW w:w="1202" w:type="dxa"/>
            <w:tcBorders>
              <w:top w:val="nil"/>
              <w:left w:val="nil"/>
              <w:bottom w:val="nil"/>
              <w:right w:val="nil"/>
            </w:tcBorders>
            <w:shd w:val="clear" w:color="auto" w:fill="auto"/>
            <w:noWrap/>
            <w:vAlign w:val="bottom"/>
            <w:hideMark/>
          </w:tcPr>
          <w:p w14:paraId="4F9A9F3E"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278" w:type="dxa"/>
            <w:tcBorders>
              <w:top w:val="nil"/>
              <w:left w:val="nil"/>
              <w:bottom w:val="nil"/>
              <w:right w:val="nil"/>
            </w:tcBorders>
            <w:shd w:val="clear" w:color="auto" w:fill="auto"/>
            <w:noWrap/>
            <w:vAlign w:val="bottom"/>
            <w:hideMark/>
          </w:tcPr>
          <w:p w14:paraId="79DBF00D"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131" w:type="dxa"/>
            <w:tcBorders>
              <w:top w:val="nil"/>
              <w:left w:val="nil"/>
              <w:bottom w:val="nil"/>
              <w:right w:val="nil"/>
            </w:tcBorders>
            <w:shd w:val="clear" w:color="auto" w:fill="auto"/>
            <w:noWrap/>
            <w:vAlign w:val="bottom"/>
            <w:hideMark/>
          </w:tcPr>
          <w:p w14:paraId="05951D76"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4497D95C" w14:textId="77777777" w:rsidR="00907AB1" w:rsidRPr="00907AB1" w:rsidRDefault="00907AB1" w:rsidP="00907AB1">
            <w:pPr>
              <w:spacing w:after="0" w:line="240" w:lineRule="auto"/>
              <w:jc w:val="center"/>
              <w:rPr>
                <w:rFonts w:ascii="Times New Roman" w:eastAsia="Times New Roman" w:hAnsi="Times New Roman" w:cs="Times New Roman"/>
                <w:sz w:val="20"/>
                <w:szCs w:val="20"/>
                <w:lang w:eastAsia="lv-LV"/>
              </w:rPr>
            </w:pPr>
          </w:p>
        </w:tc>
      </w:tr>
    </w:tbl>
    <w:p w14:paraId="4118AEA4" w14:textId="4A03DB3E" w:rsidR="00907AB1" w:rsidRDefault="00907AB1">
      <w:pPr>
        <w:pStyle w:val="Style2"/>
        <w:ind w:firstLine="0"/>
      </w:pPr>
    </w:p>
    <w:p w14:paraId="156ED91C" w14:textId="141BFDBB" w:rsidR="00F8459C" w:rsidRDefault="00C71529">
      <w:pPr>
        <w:pStyle w:val="Style2"/>
        <w:spacing w:before="120"/>
      </w:pPr>
      <w:r>
        <w:rPr>
          <w:lang w:eastAsia="lv-LV"/>
        </w:rPr>
        <w:t xml:space="preserve">Minētais finansējums ir paredzēts tikai </w:t>
      </w:r>
      <w:r w:rsidR="00963F22">
        <w:rPr>
          <w:lang w:eastAsia="lv-LV"/>
        </w:rPr>
        <w:t>drošības rezervju</w:t>
      </w:r>
      <w:r>
        <w:rPr>
          <w:lang w:eastAsia="lv-LV"/>
        </w:rPr>
        <w:t xml:space="preserve"> iegādei. Papildus tam līdzīgi kā šobrīd būtu nepieciešams  finansējums sistēmas uzturēšanai, piemērām, infrastruktūras nomas izmaksu segšanai</w:t>
      </w:r>
      <w:r w:rsidR="0000562B">
        <w:rPr>
          <w:lang w:eastAsia="lv-LV"/>
        </w:rPr>
        <w:t xml:space="preserve"> (pamatojoties uz vēsturiskajiem iepirkumu rezultātiem, konsultants veica aplēses, ka infrastruktūras izmaksas gadā izmaksātu aptuveni 16 miljonus EUR)</w:t>
      </w:r>
      <w:r>
        <w:rPr>
          <w:lang w:eastAsia="lv-LV"/>
        </w:rPr>
        <w:t>, apdrošināšanas pakalpojumu nodrošināšanai</w:t>
      </w:r>
      <w:r w:rsidR="001E6B1F">
        <w:rPr>
          <w:lang w:eastAsia="lv-LV"/>
        </w:rPr>
        <w:t xml:space="preserve"> (piemēram, INKA gadījumā vidējie apdrošināšanas izdevumi gadā periodā no 2015.-2018.gadam bija ap 28 000 EUR)</w:t>
      </w:r>
      <w:r>
        <w:rPr>
          <w:lang w:eastAsia="lv-LV"/>
        </w:rPr>
        <w:t>, administratīvo izmaksu</w:t>
      </w:r>
      <w:r w:rsidR="001E6B1F">
        <w:rPr>
          <w:lang w:eastAsia="lv-LV"/>
        </w:rPr>
        <w:t xml:space="preserve"> (piemēram, INKA gadījumā vidēji 5,75% apmērā no kopējiem papildus izdevumiem)</w:t>
      </w:r>
      <w:r>
        <w:rPr>
          <w:lang w:eastAsia="lv-LV"/>
        </w:rPr>
        <w:t xml:space="preserve"> un izmaksu par kvalitātes pārbaudi segšanai</w:t>
      </w:r>
      <w:r w:rsidR="001E6B1F">
        <w:rPr>
          <w:lang w:eastAsia="lv-LV"/>
        </w:rPr>
        <w:t xml:space="preserve"> (piemēram, INKA gadījumā vidējās analīžu un kontroles izmaksas bija 4,4 miljoni EUR/gadā laika periodā no 2015.-2018.gadam)</w:t>
      </w:r>
      <w:r>
        <w:rPr>
          <w:lang w:eastAsia="lv-LV"/>
        </w:rPr>
        <w:t xml:space="preserve">. </w:t>
      </w:r>
      <w:r>
        <w:t xml:space="preserve">Latvijas pašreizējā krājumu pārvaldības modeļa zemā efektivitāte rada </w:t>
      </w:r>
      <w:r>
        <w:lastRenderedPageBreak/>
        <w:t>vietu potenciālai modeļa maiņai, izmantojot finansēšanas izmaksu pārpalikumu, kas var tikt ietaupīts un, pateicoties kuram, valsts budžeta</w:t>
      </w:r>
      <w:r w:rsidR="008B1EF3">
        <w:t xml:space="preserve"> vai bankas aizņēmuma</w:t>
      </w:r>
      <w:r>
        <w:t xml:space="preserve"> izmaksas attiecībā uz </w:t>
      </w:r>
      <w:r w:rsidR="00963F22">
        <w:t>drošības rezervju</w:t>
      </w:r>
      <w:r>
        <w:t xml:space="preserve"> iegādi var tikt daļēji samazinātas. Pēc Konsultantu aplēsēm, Igaunijas sistēma ir spējīga uzturēt 1 tonnu naftas produktu par 38,87 EUR/gadā lētāk, salīdzinot ar Latvijas sistēmu. Ja Latvijas sistēma būtu tikpat efektīva kā Igaunijas sistēma, </w:t>
      </w:r>
      <w:r w:rsidR="00422CF9">
        <w:t xml:space="preserve">izmaksas </w:t>
      </w:r>
      <w:r>
        <w:t xml:space="preserve">vienu gadu uzturot </w:t>
      </w:r>
      <w:r w:rsidR="00813698">
        <w:t>386,7</w:t>
      </w:r>
      <w:r>
        <w:t xml:space="preserve"> tūkstošus tonnu lielu </w:t>
      </w:r>
      <w:r w:rsidR="00963F22">
        <w:t>drošības rezervju</w:t>
      </w:r>
      <w:r>
        <w:t xml:space="preserve"> krājumu (Latvijas rādītājs 2018.gadā)</w:t>
      </w:r>
      <w:r w:rsidR="00422CF9">
        <w:t xml:space="preserve"> samazinātos par </w:t>
      </w:r>
      <w:r w:rsidR="00813698">
        <w:t>gandrīz</w:t>
      </w:r>
      <w:r w:rsidR="00422CF9">
        <w:t xml:space="preserve"> </w:t>
      </w:r>
      <w:r w:rsidR="00422CF9">
        <w:rPr>
          <w:b/>
          <w:bCs/>
          <w:u w:val="single"/>
        </w:rPr>
        <w:t>1</w:t>
      </w:r>
      <w:r w:rsidR="00813698">
        <w:rPr>
          <w:b/>
          <w:bCs/>
          <w:u w:val="single"/>
        </w:rPr>
        <w:t>5</w:t>
      </w:r>
      <w:r w:rsidR="00422CF9">
        <w:rPr>
          <w:b/>
          <w:bCs/>
          <w:u w:val="single"/>
        </w:rPr>
        <w:t> miljoni</w:t>
      </w:r>
      <w:r w:rsidR="00A26B17">
        <w:rPr>
          <w:b/>
          <w:bCs/>
          <w:u w:val="single"/>
        </w:rPr>
        <w:t>em</w:t>
      </w:r>
      <w:r w:rsidR="00422CF9">
        <w:rPr>
          <w:b/>
          <w:bCs/>
          <w:u w:val="single"/>
        </w:rPr>
        <w:t xml:space="preserve"> EUR</w:t>
      </w:r>
      <w:r w:rsidR="00422CF9">
        <w:t xml:space="preserve"> (tostarp ietverot administratīvās izmaksas)</w:t>
      </w:r>
      <w:r>
        <w:t xml:space="preserve">. </w:t>
      </w:r>
    </w:p>
    <w:p w14:paraId="16A52741" w14:textId="281D49E8" w:rsidR="003542DA" w:rsidRDefault="00DB48BA">
      <w:pPr>
        <w:pStyle w:val="Style2"/>
        <w:spacing w:before="120"/>
      </w:pPr>
      <w:r>
        <w:t>Vienlaikus, p</w:t>
      </w:r>
      <w:r w:rsidR="003542DA">
        <w:t>ēc konsultācijām ar nozari, Ekonomikas ministrija izvērtēja, ka optimālāks 2.risinājuma ieviešanas periods būtu 5 gadi. Pamatojoties uz Konsultanta pieņēmumiem, Ekonomikas ministrija papildus veica aprēķinu par kopējām izmaksām, ja 2. risinājumu ievie</w:t>
      </w:r>
      <w:r>
        <w:t>stu</w:t>
      </w:r>
      <w:r w:rsidR="003542DA">
        <w:t xml:space="preserve"> piecu gadu periodā. </w:t>
      </w:r>
      <w:r w:rsidR="00637CE1">
        <w:t xml:space="preserve">Tabula 7 atspoguļo 2. risinājuma ikgadējās izmaksas, ja drošības rezerves tiktu iepirktas 5 gadu periodā. Kopējās izmaksas 5 gadu periodā ir kopumā līdzvērtīgas 3 gadu periodam </w:t>
      </w:r>
      <w:r w:rsidR="00637CE1" w:rsidRPr="00637CE1">
        <w:rPr>
          <w:b/>
          <w:bCs/>
        </w:rPr>
        <w:t xml:space="preserve">– </w:t>
      </w:r>
      <w:r w:rsidR="00637CE1" w:rsidRPr="00637CE1">
        <w:rPr>
          <w:b/>
          <w:bCs/>
          <w:u w:val="single"/>
        </w:rPr>
        <w:t>171 miljons EUR</w:t>
      </w:r>
      <w:r w:rsidR="00637CE1">
        <w:t xml:space="preserve"> (kopējo izmaksu samazinājums par 1 miljonu EUR attiecībā pret Konsultantu sniegto 3 gadu aprēķinu, saistāms ar aprēķinos izmantoto naftas produktu cenu, kas 4. un 5.gadā piemērota vienādā apmērā kā 3.gadā), tomēr ikgadējās izmaksas būtu par aptuveni 40% mazākas, tādējādi atstājot mazāku finansiālo slogu uz </w:t>
      </w:r>
      <w:r>
        <w:t>ikgadējo budžetu</w:t>
      </w:r>
      <w:r w:rsidR="008B1EF3">
        <w:t xml:space="preserve"> vai nepieciešamo bankas aizņēmumu, atkarībā no izvēlētā finansēšanas modeļa</w:t>
      </w:r>
      <w:r>
        <w:t>.</w:t>
      </w:r>
    </w:p>
    <w:p w14:paraId="00228DE5" w14:textId="77777777" w:rsidR="00637CE1" w:rsidRDefault="00637CE1">
      <w:pPr>
        <w:pStyle w:val="Style2"/>
        <w:spacing w:before="120"/>
      </w:pPr>
    </w:p>
    <w:p w14:paraId="4D315B41" w14:textId="42F5C188" w:rsidR="003542DA" w:rsidRDefault="003542DA" w:rsidP="003542DA">
      <w:pPr>
        <w:pStyle w:val="NormalWeb"/>
        <w:shd w:val="clear" w:color="auto" w:fill="FFFFFF"/>
        <w:spacing w:before="0" w:beforeAutospacing="0" w:after="0" w:afterAutospacing="0"/>
        <w:ind w:firstLine="300"/>
        <w:jc w:val="right"/>
        <w:rPr>
          <w:i/>
          <w:iCs/>
          <w:color w:val="808080" w:themeColor="background1" w:themeShade="80"/>
        </w:rPr>
      </w:pPr>
      <w:r w:rsidRPr="003542DA">
        <w:rPr>
          <w:i/>
          <w:iCs/>
          <w:color w:val="808080" w:themeColor="background1" w:themeShade="80"/>
        </w:rPr>
        <w:t>Tabula. 7</w:t>
      </w:r>
      <w:r>
        <w:t xml:space="preserve"> </w:t>
      </w:r>
      <w:r>
        <w:rPr>
          <w:i/>
          <w:iCs/>
          <w:color w:val="808080" w:themeColor="background1" w:themeShade="80"/>
        </w:rPr>
        <w:t>Dīzeļdegvielas un benzīna iepirkuma izmaksas nākamajos piecos gados</w:t>
      </w:r>
    </w:p>
    <w:tbl>
      <w:tblPr>
        <w:tblW w:w="9356" w:type="dxa"/>
        <w:tblInd w:w="-284" w:type="dxa"/>
        <w:tblLook w:val="04A0" w:firstRow="1" w:lastRow="0" w:firstColumn="1" w:lastColumn="0" w:noHBand="0" w:noVBand="1"/>
      </w:tblPr>
      <w:tblGrid>
        <w:gridCol w:w="1135"/>
        <w:gridCol w:w="1278"/>
        <w:gridCol w:w="1204"/>
        <w:gridCol w:w="1278"/>
        <w:gridCol w:w="1154"/>
        <w:gridCol w:w="1278"/>
        <w:gridCol w:w="886"/>
        <w:gridCol w:w="1268"/>
      </w:tblGrid>
      <w:tr w:rsidR="003542DA" w:rsidRPr="003542DA" w14:paraId="17396EE0" w14:textId="77777777" w:rsidTr="003542DA">
        <w:trPr>
          <w:trHeight w:val="852"/>
        </w:trPr>
        <w:tc>
          <w:tcPr>
            <w:tcW w:w="1135" w:type="dxa"/>
            <w:tcBorders>
              <w:top w:val="single" w:sz="4" w:space="0" w:color="auto"/>
              <w:left w:val="nil"/>
              <w:bottom w:val="single" w:sz="4" w:space="0" w:color="auto"/>
              <w:right w:val="nil"/>
            </w:tcBorders>
            <w:shd w:val="clear" w:color="auto" w:fill="auto"/>
            <w:vAlign w:val="bottom"/>
            <w:hideMark/>
          </w:tcPr>
          <w:p w14:paraId="3940025E"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Piegādes datums pēc līguma</w:t>
            </w:r>
          </w:p>
        </w:tc>
        <w:tc>
          <w:tcPr>
            <w:tcW w:w="1276" w:type="dxa"/>
            <w:tcBorders>
              <w:top w:val="single" w:sz="4" w:space="0" w:color="auto"/>
              <w:left w:val="nil"/>
              <w:bottom w:val="single" w:sz="4" w:space="0" w:color="auto"/>
              <w:right w:val="nil"/>
            </w:tcBorders>
            <w:shd w:val="clear" w:color="auto" w:fill="auto"/>
            <w:vAlign w:val="bottom"/>
            <w:hideMark/>
          </w:tcPr>
          <w:p w14:paraId="67A7A3D7"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Dīzeļdegvielas tirgus cena (EUR/tonnā)</w:t>
            </w:r>
          </w:p>
        </w:tc>
        <w:tc>
          <w:tcPr>
            <w:tcW w:w="1178" w:type="dxa"/>
            <w:tcBorders>
              <w:top w:val="single" w:sz="4" w:space="0" w:color="auto"/>
              <w:left w:val="nil"/>
              <w:bottom w:val="single" w:sz="4" w:space="0" w:color="auto"/>
              <w:right w:val="nil"/>
            </w:tcBorders>
            <w:shd w:val="clear" w:color="auto" w:fill="auto"/>
            <w:vAlign w:val="bottom"/>
            <w:hideMark/>
          </w:tcPr>
          <w:p w14:paraId="25456B30"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Benzīna tirgus cena (EUR/tonnā)</w:t>
            </w:r>
          </w:p>
        </w:tc>
        <w:tc>
          <w:tcPr>
            <w:tcW w:w="1249" w:type="dxa"/>
            <w:tcBorders>
              <w:top w:val="single" w:sz="4" w:space="0" w:color="auto"/>
              <w:left w:val="nil"/>
              <w:bottom w:val="single" w:sz="4" w:space="0" w:color="auto"/>
              <w:right w:val="nil"/>
            </w:tcBorders>
            <w:shd w:val="clear" w:color="auto" w:fill="auto"/>
            <w:vAlign w:val="bottom"/>
            <w:hideMark/>
          </w:tcPr>
          <w:p w14:paraId="732DE27B"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Dīzeļdegvielas piegādes cena (EUR/tonnā)</w:t>
            </w:r>
          </w:p>
        </w:tc>
        <w:tc>
          <w:tcPr>
            <w:tcW w:w="1133" w:type="dxa"/>
            <w:tcBorders>
              <w:top w:val="single" w:sz="4" w:space="0" w:color="auto"/>
              <w:left w:val="nil"/>
              <w:bottom w:val="single" w:sz="4" w:space="0" w:color="auto"/>
              <w:right w:val="nil"/>
            </w:tcBorders>
            <w:shd w:val="clear" w:color="auto" w:fill="auto"/>
            <w:vAlign w:val="bottom"/>
            <w:hideMark/>
          </w:tcPr>
          <w:p w14:paraId="425684EA"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Benzīna piegādes cena (EUR/tonnā)</w:t>
            </w:r>
          </w:p>
        </w:tc>
        <w:tc>
          <w:tcPr>
            <w:tcW w:w="1249" w:type="dxa"/>
            <w:tcBorders>
              <w:top w:val="single" w:sz="4" w:space="0" w:color="auto"/>
              <w:left w:val="nil"/>
              <w:bottom w:val="single" w:sz="4" w:space="0" w:color="auto"/>
              <w:right w:val="nil"/>
            </w:tcBorders>
            <w:shd w:val="clear" w:color="auto" w:fill="auto"/>
            <w:vAlign w:val="bottom"/>
            <w:hideMark/>
          </w:tcPr>
          <w:p w14:paraId="0C35E525"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Dīzeļdegvielas izmaksas (EUR)</w:t>
            </w:r>
          </w:p>
        </w:tc>
        <w:tc>
          <w:tcPr>
            <w:tcW w:w="868" w:type="dxa"/>
            <w:tcBorders>
              <w:top w:val="single" w:sz="4" w:space="0" w:color="auto"/>
              <w:left w:val="nil"/>
              <w:bottom w:val="single" w:sz="4" w:space="0" w:color="auto"/>
              <w:right w:val="nil"/>
            </w:tcBorders>
            <w:shd w:val="clear" w:color="auto" w:fill="auto"/>
            <w:vAlign w:val="bottom"/>
            <w:hideMark/>
          </w:tcPr>
          <w:p w14:paraId="0AA471A5"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Benzīna izmaksas (EUR)</w:t>
            </w:r>
          </w:p>
        </w:tc>
        <w:tc>
          <w:tcPr>
            <w:tcW w:w="1268" w:type="dxa"/>
            <w:tcBorders>
              <w:top w:val="single" w:sz="4" w:space="0" w:color="auto"/>
              <w:left w:val="nil"/>
              <w:bottom w:val="single" w:sz="4" w:space="0" w:color="auto"/>
              <w:right w:val="nil"/>
            </w:tcBorders>
            <w:shd w:val="clear" w:color="auto" w:fill="auto"/>
            <w:vAlign w:val="bottom"/>
            <w:hideMark/>
          </w:tcPr>
          <w:p w14:paraId="61A87911"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Kopējās degvielas izmaksas (EUR)</w:t>
            </w:r>
          </w:p>
        </w:tc>
      </w:tr>
      <w:tr w:rsidR="003542DA" w:rsidRPr="003542DA" w14:paraId="41DFAF7C"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115F37DB"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12/2020</w:t>
            </w:r>
          </w:p>
        </w:tc>
        <w:tc>
          <w:tcPr>
            <w:tcW w:w="1276" w:type="dxa"/>
            <w:tcBorders>
              <w:top w:val="nil"/>
              <w:left w:val="nil"/>
              <w:bottom w:val="single" w:sz="4" w:space="0" w:color="auto"/>
              <w:right w:val="nil"/>
            </w:tcBorders>
            <w:shd w:val="clear" w:color="auto" w:fill="auto"/>
            <w:noWrap/>
            <w:vAlign w:val="bottom"/>
            <w:hideMark/>
          </w:tcPr>
          <w:p w14:paraId="0CEE940B"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446,126</w:t>
            </w:r>
          </w:p>
        </w:tc>
        <w:tc>
          <w:tcPr>
            <w:tcW w:w="1178" w:type="dxa"/>
            <w:tcBorders>
              <w:top w:val="nil"/>
              <w:left w:val="nil"/>
              <w:bottom w:val="single" w:sz="4" w:space="0" w:color="auto"/>
              <w:right w:val="nil"/>
            </w:tcBorders>
            <w:shd w:val="clear" w:color="auto" w:fill="auto"/>
            <w:noWrap/>
            <w:vAlign w:val="bottom"/>
            <w:hideMark/>
          </w:tcPr>
          <w:p w14:paraId="37B2286A"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438,99</w:t>
            </w:r>
          </w:p>
        </w:tc>
        <w:tc>
          <w:tcPr>
            <w:tcW w:w="1249" w:type="dxa"/>
            <w:tcBorders>
              <w:top w:val="nil"/>
              <w:left w:val="nil"/>
              <w:bottom w:val="single" w:sz="4" w:space="0" w:color="auto"/>
              <w:right w:val="nil"/>
            </w:tcBorders>
            <w:shd w:val="clear" w:color="auto" w:fill="auto"/>
            <w:noWrap/>
            <w:vAlign w:val="bottom"/>
            <w:hideMark/>
          </w:tcPr>
          <w:p w14:paraId="48C529BF"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481,126</w:t>
            </w:r>
          </w:p>
        </w:tc>
        <w:tc>
          <w:tcPr>
            <w:tcW w:w="1133" w:type="dxa"/>
            <w:tcBorders>
              <w:top w:val="nil"/>
              <w:left w:val="nil"/>
              <w:bottom w:val="single" w:sz="4" w:space="0" w:color="auto"/>
              <w:right w:val="nil"/>
            </w:tcBorders>
            <w:shd w:val="clear" w:color="auto" w:fill="auto"/>
            <w:noWrap/>
            <w:vAlign w:val="bottom"/>
            <w:hideMark/>
          </w:tcPr>
          <w:p w14:paraId="4EDF69EA"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468,990</w:t>
            </w:r>
          </w:p>
        </w:tc>
        <w:tc>
          <w:tcPr>
            <w:tcW w:w="1249" w:type="dxa"/>
            <w:tcBorders>
              <w:top w:val="nil"/>
              <w:left w:val="nil"/>
              <w:bottom w:val="single" w:sz="4" w:space="0" w:color="auto"/>
              <w:right w:val="nil"/>
            </w:tcBorders>
            <w:shd w:val="clear" w:color="auto" w:fill="auto"/>
            <w:noWrap/>
            <w:vAlign w:val="bottom"/>
            <w:hideMark/>
          </w:tcPr>
          <w:p w14:paraId="6BEF1491"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24 944 362</w:t>
            </w:r>
          </w:p>
        </w:tc>
        <w:tc>
          <w:tcPr>
            <w:tcW w:w="868" w:type="dxa"/>
            <w:tcBorders>
              <w:top w:val="nil"/>
              <w:left w:val="nil"/>
              <w:bottom w:val="single" w:sz="4" w:space="0" w:color="auto"/>
              <w:right w:val="nil"/>
            </w:tcBorders>
            <w:shd w:val="clear" w:color="auto" w:fill="auto"/>
            <w:noWrap/>
            <w:vAlign w:val="bottom"/>
            <w:hideMark/>
          </w:tcPr>
          <w:p w14:paraId="4DF4E15B"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8 105 085</w:t>
            </w:r>
          </w:p>
        </w:tc>
        <w:tc>
          <w:tcPr>
            <w:tcW w:w="1268" w:type="dxa"/>
            <w:tcBorders>
              <w:top w:val="nil"/>
              <w:left w:val="nil"/>
              <w:bottom w:val="single" w:sz="4" w:space="0" w:color="auto"/>
              <w:right w:val="nil"/>
            </w:tcBorders>
            <w:shd w:val="clear" w:color="auto" w:fill="auto"/>
            <w:noWrap/>
            <w:vAlign w:val="bottom"/>
            <w:hideMark/>
          </w:tcPr>
          <w:p w14:paraId="46764270"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33 049 448</w:t>
            </w:r>
          </w:p>
        </w:tc>
      </w:tr>
      <w:tr w:rsidR="003542DA" w:rsidRPr="003542DA" w14:paraId="3B83FEE0"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3D5BF7FF"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12/2021</w:t>
            </w:r>
          </w:p>
        </w:tc>
        <w:tc>
          <w:tcPr>
            <w:tcW w:w="1276" w:type="dxa"/>
            <w:tcBorders>
              <w:top w:val="nil"/>
              <w:left w:val="nil"/>
              <w:bottom w:val="single" w:sz="4" w:space="0" w:color="auto"/>
              <w:right w:val="nil"/>
            </w:tcBorders>
            <w:shd w:val="clear" w:color="auto" w:fill="auto"/>
            <w:noWrap/>
            <w:vAlign w:val="bottom"/>
            <w:hideMark/>
          </w:tcPr>
          <w:p w14:paraId="0C45C436"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445,714</w:t>
            </w:r>
          </w:p>
        </w:tc>
        <w:tc>
          <w:tcPr>
            <w:tcW w:w="1178" w:type="dxa"/>
            <w:tcBorders>
              <w:top w:val="nil"/>
              <w:left w:val="nil"/>
              <w:bottom w:val="single" w:sz="4" w:space="0" w:color="auto"/>
              <w:right w:val="nil"/>
            </w:tcBorders>
            <w:shd w:val="clear" w:color="auto" w:fill="auto"/>
            <w:noWrap/>
            <w:vAlign w:val="bottom"/>
            <w:hideMark/>
          </w:tcPr>
          <w:p w14:paraId="6B850589"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421,076</w:t>
            </w:r>
          </w:p>
        </w:tc>
        <w:tc>
          <w:tcPr>
            <w:tcW w:w="1249" w:type="dxa"/>
            <w:tcBorders>
              <w:top w:val="nil"/>
              <w:left w:val="nil"/>
              <w:bottom w:val="single" w:sz="4" w:space="0" w:color="auto"/>
              <w:right w:val="nil"/>
            </w:tcBorders>
            <w:shd w:val="clear" w:color="auto" w:fill="auto"/>
            <w:noWrap/>
            <w:vAlign w:val="bottom"/>
            <w:hideMark/>
          </w:tcPr>
          <w:p w14:paraId="6932424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480,714</w:t>
            </w:r>
          </w:p>
        </w:tc>
        <w:tc>
          <w:tcPr>
            <w:tcW w:w="1133" w:type="dxa"/>
            <w:tcBorders>
              <w:top w:val="nil"/>
              <w:left w:val="nil"/>
              <w:bottom w:val="single" w:sz="4" w:space="0" w:color="auto"/>
              <w:right w:val="nil"/>
            </w:tcBorders>
            <w:shd w:val="clear" w:color="auto" w:fill="auto"/>
            <w:noWrap/>
            <w:vAlign w:val="bottom"/>
            <w:hideMark/>
          </w:tcPr>
          <w:p w14:paraId="48252150"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451,076</w:t>
            </w:r>
          </w:p>
        </w:tc>
        <w:tc>
          <w:tcPr>
            <w:tcW w:w="1249" w:type="dxa"/>
            <w:tcBorders>
              <w:top w:val="nil"/>
              <w:left w:val="nil"/>
              <w:bottom w:val="single" w:sz="4" w:space="0" w:color="auto"/>
              <w:right w:val="nil"/>
            </w:tcBorders>
            <w:shd w:val="clear" w:color="auto" w:fill="auto"/>
            <w:noWrap/>
            <w:vAlign w:val="bottom"/>
            <w:hideMark/>
          </w:tcPr>
          <w:p w14:paraId="537BE882"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24 923 002</w:t>
            </w:r>
          </w:p>
        </w:tc>
        <w:tc>
          <w:tcPr>
            <w:tcW w:w="868" w:type="dxa"/>
            <w:tcBorders>
              <w:top w:val="nil"/>
              <w:left w:val="nil"/>
              <w:bottom w:val="single" w:sz="4" w:space="0" w:color="auto"/>
              <w:right w:val="nil"/>
            </w:tcBorders>
            <w:shd w:val="clear" w:color="auto" w:fill="auto"/>
            <w:noWrap/>
            <w:vAlign w:val="bottom"/>
            <w:hideMark/>
          </w:tcPr>
          <w:p w14:paraId="53939306"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7 795 495</w:t>
            </w:r>
          </w:p>
        </w:tc>
        <w:tc>
          <w:tcPr>
            <w:tcW w:w="1268" w:type="dxa"/>
            <w:tcBorders>
              <w:top w:val="nil"/>
              <w:left w:val="nil"/>
              <w:bottom w:val="single" w:sz="4" w:space="0" w:color="auto"/>
              <w:right w:val="nil"/>
            </w:tcBorders>
            <w:shd w:val="clear" w:color="auto" w:fill="auto"/>
            <w:noWrap/>
            <w:vAlign w:val="bottom"/>
            <w:hideMark/>
          </w:tcPr>
          <w:p w14:paraId="5F7C382D"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32 718 497</w:t>
            </w:r>
          </w:p>
        </w:tc>
      </w:tr>
      <w:tr w:rsidR="003542DA" w:rsidRPr="003542DA" w14:paraId="351E0971"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51D599C3"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12/2022</w:t>
            </w:r>
          </w:p>
        </w:tc>
        <w:tc>
          <w:tcPr>
            <w:tcW w:w="1276" w:type="dxa"/>
            <w:tcBorders>
              <w:top w:val="nil"/>
              <w:left w:val="nil"/>
              <w:bottom w:val="single" w:sz="4" w:space="0" w:color="auto"/>
              <w:right w:val="nil"/>
            </w:tcBorders>
            <w:shd w:val="clear" w:color="auto" w:fill="auto"/>
            <w:noWrap/>
            <w:vAlign w:val="bottom"/>
            <w:hideMark/>
          </w:tcPr>
          <w:p w14:paraId="0A78A523"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442,829</w:t>
            </w:r>
          </w:p>
        </w:tc>
        <w:tc>
          <w:tcPr>
            <w:tcW w:w="1178" w:type="dxa"/>
            <w:tcBorders>
              <w:top w:val="nil"/>
              <w:left w:val="nil"/>
              <w:bottom w:val="single" w:sz="4" w:space="0" w:color="auto"/>
              <w:right w:val="nil"/>
            </w:tcBorders>
            <w:shd w:val="clear" w:color="auto" w:fill="auto"/>
            <w:noWrap/>
            <w:vAlign w:val="bottom"/>
            <w:hideMark/>
          </w:tcPr>
          <w:p w14:paraId="5163D447"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408,498</w:t>
            </w:r>
          </w:p>
        </w:tc>
        <w:tc>
          <w:tcPr>
            <w:tcW w:w="1249" w:type="dxa"/>
            <w:tcBorders>
              <w:top w:val="nil"/>
              <w:left w:val="nil"/>
              <w:bottom w:val="single" w:sz="4" w:space="0" w:color="auto"/>
              <w:right w:val="nil"/>
            </w:tcBorders>
            <w:shd w:val="clear" w:color="auto" w:fill="auto"/>
            <w:noWrap/>
            <w:vAlign w:val="bottom"/>
            <w:hideMark/>
          </w:tcPr>
          <w:p w14:paraId="7DD39A3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477,829</w:t>
            </w:r>
          </w:p>
        </w:tc>
        <w:tc>
          <w:tcPr>
            <w:tcW w:w="1133" w:type="dxa"/>
            <w:tcBorders>
              <w:top w:val="nil"/>
              <w:left w:val="nil"/>
              <w:bottom w:val="single" w:sz="4" w:space="0" w:color="auto"/>
              <w:right w:val="nil"/>
            </w:tcBorders>
            <w:shd w:val="clear" w:color="auto" w:fill="auto"/>
            <w:noWrap/>
            <w:vAlign w:val="bottom"/>
            <w:hideMark/>
          </w:tcPr>
          <w:p w14:paraId="39CFCB1B"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438,498</w:t>
            </w:r>
          </w:p>
        </w:tc>
        <w:tc>
          <w:tcPr>
            <w:tcW w:w="1249" w:type="dxa"/>
            <w:tcBorders>
              <w:top w:val="nil"/>
              <w:left w:val="nil"/>
              <w:bottom w:val="single" w:sz="4" w:space="0" w:color="auto"/>
              <w:right w:val="nil"/>
            </w:tcBorders>
            <w:shd w:val="clear" w:color="auto" w:fill="auto"/>
            <w:noWrap/>
            <w:vAlign w:val="bottom"/>
            <w:hideMark/>
          </w:tcPr>
          <w:p w14:paraId="73AF9B5B"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24 773 427</w:t>
            </w:r>
          </w:p>
        </w:tc>
        <w:tc>
          <w:tcPr>
            <w:tcW w:w="868" w:type="dxa"/>
            <w:tcBorders>
              <w:top w:val="nil"/>
              <w:left w:val="nil"/>
              <w:bottom w:val="single" w:sz="4" w:space="0" w:color="auto"/>
              <w:right w:val="nil"/>
            </w:tcBorders>
            <w:shd w:val="clear" w:color="auto" w:fill="auto"/>
            <w:noWrap/>
            <w:vAlign w:val="bottom"/>
            <w:hideMark/>
          </w:tcPr>
          <w:p w14:paraId="32E7D60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7 578 122</w:t>
            </w:r>
          </w:p>
        </w:tc>
        <w:tc>
          <w:tcPr>
            <w:tcW w:w="1268" w:type="dxa"/>
            <w:tcBorders>
              <w:top w:val="nil"/>
              <w:left w:val="nil"/>
              <w:bottom w:val="single" w:sz="4" w:space="0" w:color="auto"/>
              <w:right w:val="nil"/>
            </w:tcBorders>
            <w:shd w:val="clear" w:color="auto" w:fill="auto"/>
            <w:noWrap/>
            <w:vAlign w:val="bottom"/>
            <w:hideMark/>
          </w:tcPr>
          <w:p w14:paraId="030A16EC"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32 351 549</w:t>
            </w:r>
          </w:p>
        </w:tc>
      </w:tr>
      <w:tr w:rsidR="003542DA" w:rsidRPr="003542DA" w14:paraId="5EC3198C"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5C5D0640"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12/2023</w:t>
            </w:r>
          </w:p>
        </w:tc>
        <w:tc>
          <w:tcPr>
            <w:tcW w:w="1276" w:type="dxa"/>
            <w:tcBorders>
              <w:top w:val="nil"/>
              <w:left w:val="nil"/>
              <w:bottom w:val="single" w:sz="4" w:space="0" w:color="auto"/>
              <w:right w:val="nil"/>
            </w:tcBorders>
            <w:shd w:val="clear" w:color="auto" w:fill="auto"/>
            <w:noWrap/>
            <w:vAlign w:val="bottom"/>
            <w:hideMark/>
          </w:tcPr>
          <w:p w14:paraId="77C599B1"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442,830</w:t>
            </w:r>
          </w:p>
        </w:tc>
        <w:tc>
          <w:tcPr>
            <w:tcW w:w="1178" w:type="dxa"/>
            <w:tcBorders>
              <w:top w:val="nil"/>
              <w:left w:val="nil"/>
              <w:bottom w:val="single" w:sz="4" w:space="0" w:color="auto"/>
              <w:right w:val="nil"/>
            </w:tcBorders>
            <w:shd w:val="clear" w:color="auto" w:fill="auto"/>
            <w:noWrap/>
            <w:vAlign w:val="bottom"/>
            <w:hideMark/>
          </w:tcPr>
          <w:p w14:paraId="72A61056"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408,499</w:t>
            </w:r>
          </w:p>
        </w:tc>
        <w:tc>
          <w:tcPr>
            <w:tcW w:w="1249" w:type="dxa"/>
            <w:tcBorders>
              <w:top w:val="nil"/>
              <w:left w:val="nil"/>
              <w:bottom w:val="single" w:sz="4" w:space="0" w:color="auto"/>
              <w:right w:val="nil"/>
            </w:tcBorders>
            <w:shd w:val="clear" w:color="auto" w:fill="auto"/>
            <w:noWrap/>
            <w:vAlign w:val="bottom"/>
            <w:hideMark/>
          </w:tcPr>
          <w:p w14:paraId="67CDA8F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477,830</w:t>
            </w:r>
          </w:p>
        </w:tc>
        <w:tc>
          <w:tcPr>
            <w:tcW w:w="1133" w:type="dxa"/>
            <w:tcBorders>
              <w:top w:val="nil"/>
              <w:left w:val="nil"/>
              <w:bottom w:val="single" w:sz="4" w:space="0" w:color="auto"/>
              <w:right w:val="nil"/>
            </w:tcBorders>
            <w:shd w:val="clear" w:color="auto" w:fill="auto"/>
            <w:noWrap/>
            <w:vAlign w:val="bottom"/>
            <w:hideMark/>
          </w:tcPr>
          <w:p w14:paraId="57D7804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438,499</w:t>
            </w:r>
          </w:p>
        </w:tc>
        <w:tc>
          <w:tcPr>
            <w:tcW w:w="1249" w:type="dxa"/>
            <w:tcBorders>
              <w:top w:val="nil"/>
              <w:left w:val="nil"/>
              <w:bottom w:val="single" w:sz="4" w:space="0" w:color="auto"/>
              <w:right w:val="nil"/>
            </w:tcBorders>
            <w:shd w:val="clear" w:color="auto" w:fill="auto"/>
            <w:noWrap/>
            <w:vAlign w:val="bottom"/>
            <w:hideMark/>
          </w:tcPr>
          <w:p w14:paraId="01609290"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24 773 479</w:t>
            </w:r>
          </w:p>
        </w:tc>
        <w:tc>
          <w:tcPr>
            <w:tcW w:w="868" w:type="dxa"/>
            <w:tcBorders>
              <w:top w:val="nil"/>
              <w:left w:val="nil"/>
              <w:bottom w:val="single" w:sz="4" w:space="0" w:color="auto"/>
              <w:right w:val="nil"/>
            </w:tcBorders>
            <w:shd w:val="clear" w:color="auto" w:fill="auto"/>
            <w:noWrap/>
            <w:vAlign w:val="bottom"/>
            <w:hideMark/>
          </w:tcPr>
          <w:p w14:paraId="70E35A5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7 578 140</w:t>
            </w:r>
          </w:p>
        </w:tc>
        <w:tc>
          <w:tcPr>
            <w:tcW w:w="1268" w:type="dxa"/>
            <w:tcBorders>
              <w:top w:val="nil"/>
              <w:left w:val="nil"/>
              <w:bottom w:val="single" w:sz="4" w:space="0" w:color="auto"/>
              <w:right w:val="nil"/>
            </w:tcBorders>
            <w:shd w:val="clear" w:color="auto" w:fill="auto"/>
            <w:noWrap/>
            <w:vAlign w:val="bottom"/>
            <w:hideMark/>
          </w:tcPr>
          <w:p w14:paraId="5D0D3550"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32 351 618</w:t>
            </w:r>
          </w:p>
        </w:tc>
      </w:tr>
      <w:tr w:rsidR="003542DA" w:rsidRPr="003542DA" w14:paraId="3CB77B15"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7DB807BE"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12/2024</w:t>
            </w:r>
          </w:p>
        </w:tc>
        <w:tc>
          <w:tcPr>
            <w:tcW w:w="1276" w:type="dxa"/>
            <w:tcBorders>
              <w:top w:val="nil"/>
              <w:left w:val="nil"/>
              <w:bottom w:val="single" w:sz="4" w:space="0" w:color="auto"/>
              <w:right w:val="nil"/>
            </w:tcBorders>
            <w:shd w:val="clear" w:color="auto" w:fill="auto"/>
            <w:noWrap/>
            <w:vAlign w:val="bottom"/>
            <w:hideMark/>
          </w:tcPr>
          <w:p w14:paraId="180DF5D8"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442,831</w:t>
            </w:r>
          </w:p>
        </w:tc>
        <w:tc>
          <w:tcPr>
            <w:tcW w:w="1178" w:type="dxa"/>
            <w:tcBorders>
              <w:top w:val="nil"/>
              <w:left w:val="nil"/>
              <w:bottom w:val="single" w:sz="4" w:space="0" w:color="auto"/>
              <w:right w:val="nil"/>
            </w:tcBorders>
            <w:shd w:val="clear" w:color="auto" w:fill="auto"/>
            <w:noWrap/>
            <w:vAlign w:val="bottom"/>
            <w:hideMark/>
          </w:tcPr>
          <w:p w14:paraId="6A9D0FA5"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408,500</w:t>
            </w:r>
          </w:p>
        </w:tc>
        <w:tc>
          <w:tcPr>
            <w:tcW w:w="1249" w:type="dxa"/>
            <w:tcBorders>
              <w:top w:val="nil"/>
              <w:left w:val="nil"/>
              <w:bottom w:val="single" w:sz="4" w:space="0" w:color="auto"/>
              <w:right w:val="nil"/>
            </w:tcBorders>
            <w:shd w:val="clear" w:color="auto" w:fill="auto"/>
            <w:noWrap/>
            <w:vAlign w:val="bottom"/>
            <w:hideMark/>
          </w:tcPr>
          <w:p w14:paraId="266E2547"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477,831</w:t>
            </w:r>
          </w:p>
        </w:tc>
        <w:tc>
          <w:tcPr>
            <w:tcW w:w="1133" w:type="dxa"/>
            <w:tcBorders>
              <w:top w:val="nil"/>
              <w:left w:val="nil"/>
              <w:bottom w:val="single" w:sz="4" w:space="0" w:color="auto"/>
              <w:right w:val="nil"/>
            </w:tcBorders>
            <w:shd w:val="clear" w:color="auto" w:fill="auto"/>
            <w:noWrap/>
            <w:vAlign w:val="bottom"/>
            <w:hideMark/>
          </w:tcPr>
          <w:p w14:paraId="6A98E3B1"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438,500</w:t>
            </w:r>
          </w:p>
        </w:tc>
        <w:tc>
          <w:tcPr>
            <w:tcW w:w="1249" w:type="dxa"/>
            <w:tcBorders>
              <w:top w:val="nil"/>
              <w:left w:val="nil"/>
              <w:bottom w:val="single" w:sz="4" w:space="0" w:color="auto"/>
              <w:right w:val="nil"/>
            </w:tcBorders>
            <w:shd w:val="clear" w:color="auto" w:fill="auto"/>
            <w:noWrap/>
            <w:vAlign w:val="bottom"/>
            <w:hideMark/>
          </w:tcPr>
          <w:p w14:paraId="0663E169"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24 773 530</w:t>
            </w:r>
          </w:p>
        </w:tc>
        <w:tc>
          <w:tcPr>
            <w:tcW w:w="868" w:type="dxa"/>
            <w:tcBorders>
              <w:top w:val="nil"/>
              <w:left w:val="nil"/>
              <w:bottom w:val="single" w:sz="4" w:space="0" w:color="auto"/>
              <w:right w:val="nil"/>
            </w:tcBorders>
            <w:shd w:val="clear" w:color="auto" w:fill="auto"/>
            <w:noWrap/>
            <w:vAlign w:val="bottom"/>
            <w:hideMark/>
          </w:tcPr>
          <w:p w14:paraId="40CB2008"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7 578 157</w:t>
            </w:r>
          </w:p>
        </w:tc>
        <w:tc>
          <w:tcPr>
            <w:tcW w:w="1268" w:type="dxa"/>
            <w:tcBorders>
              <w:top w:val="nil"/>
              <w:left w:val="nil"/>
              <w:bottom w:val="single" w:sz="4" w:space="0" w:color="auto"/>
              <w:right w:val="nil"/>
            </w:tcBorders>
            <w:shd w:val="clear" w:color="auto" w:fill="auto"/>
            <w:noWrap/>
            <w:vAlign w:val="bottom"/>
            <w:hideMark/>
          </w:tcPr>
          <w:p w14:paraId="4B98B729"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32 351 687</w:t>
            </w:r>
          </w:p>
        </w:tc>
      </w:tr>
      <w:tr w:rsidR="003542DA" w:rsidRPr="003542DA" w14:paraId="39091C05" w14:textId="77777777" w:rsidTr="003542DA">
        <w:trPr>
          <w:trHeight w:val="288"/>
        </w:trPr>
        <w:tc>
          <w:tcPr>
            <w:tcW w:w="1135" w:type="dxa"/>
            <w:tcBorders>
              <w:top w:val="nil"/>
              <w:left w:val="nil"/>
              <w:bottom w:val="nil"/>
              <w:right w:val="nil"/>
            </w:tcBorders>
            <w:shd w:val="clear" w:color="auto" w:fill="auto"/>
            <w:noWrap/>
            <w:vAlign w:val="bottom"/>
            <w:hideMark/>
          </w:tcPr>
          <w:p w14:paraId="65F9B0A4"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p>
        </w:tc>
        <w:tc>
          <w:tcPr>
            <w:tcW w:w="1276" w:type="dxa"/>
            <w:tcBorders>
              <w:top w:val="nil"/>
              <w:left w:val="nil"/>
              <w:bottom w:val="nil"/>
              <w:right w:val="nil"/>
            </w:tcBorders>
            <w:shd w:val="clear" w:color="auto" w:fill="auto"/>
            <w:noWrap/>
            <w:vAlign w:val="bottom"/>
            <w:hideMark/>
          </w:tcPr>
          <w:p w14:paraId="36FA5F84"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3E2F1FEC"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49" w:type="dxa"/>
            <w:tcBorders>
              <w:top w:val="nil"/>
              <w:left w:val="nil"/>
              <w:bottom w:val="nil"/>
              <w:right w:val="nil"/>
            </w:tcBorders>
            <w:shd w:val="clear" w:color="auto" w:fill="auto"/>
            <w:noWrap/>
            <w:vAlign w:val="bottom"/>
            <w:hideMark/>
          </w:tcPr>
          <w:p w14:paraId="30E879D3"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133" w:type="dxa"/>
            <w:tcBorders>
              <w:top w:val="nil"/>
              <w:left w:val="nil"/>
              <w:bottom w:val="nil"/>
              <w:right w:val="nil"/>
            </w:tcBorders>
            <w:shd w:val="clear" w:color="auto" w:fill="auto"/>
            <w:noWrap/>
            <w:vAlign w:val="bottom"/>
            <w:hideMark/>
          </w:tcPr>
          <w:p w14:paraId="61966C5E"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2117" w:type="dxa"/>
            <w:gridSpan w:val="2"/>
            <w:tcBorders>
              <w:top w:val="single" w:sz="4" w:space="0" w:color="auto"/>
              <w:left w:val="nil"/>
              <w:bottom w:val="single" w:sz="4" w:space="0" w:color="auto"/>
              <w:right w:val="nil"/>
            </w:tcBorders>
            <w:shd w:val="clear" w:color="auto" w:fill="auto"/>
            <w:noWrap/>
            <w:vAlign w:val="bottom"/>
            <w:hideMark/>
          </w:tcPr>
          <w:p w14:paraId="62C82E62" w14:textId="77777777" w:rsidR="003542DA" w:rsidRPr="003542DA" w:rsidRDefault="003542DA" w:rsidP="003542DA">
            <w:pPr>
              <w:spacing w:after="0" w:line="240" w:lineRule="auto"/>
              <w:jc w:val="center"/>
              <w:rPr>
                <w:rFonts w:ascii="Calibri" w:eastAsia="Times New Roman" w:hAnsi="Calibri" w:cs="Calibri"/>
                <w:b/>
                <w:bCs/>
                <w:color w:val="000000"/>
                <w:sz w:val="18"/>
                <w:szCs w:val="18"/>
                <w:lang w:eastAsia="lv-LV"/>
              </w:rPr>
            </w:pPr>
            <w:r w:rsidRPr="003542DA">
              <w:rPr>
                <w:rFonts w:ascii="Calibri" w:eastAsia="Times New Roman" w:hAnsi="Calibri" w:cs="Calibri"/>
                <w:b/>
                <w:bCs/>
                <w:color w:val="000000"/>
                <w:sz w:val="18"/>
                <w:szCs w:val="18"/>
                <w:lang w:eastAsia="lv-LV"/>
              </w:rPr>
              <w:t>Kopējās izmaksas</w:t>
            </w:r>
          </w:p>
        </w:tc>
        <w:tc>
          <w:tcPr>
            <w:tcW w:w="1268" w:type="dxa"/>
            <w:tcBorders>
              <w:top w:val="nil"/>
              <w:left w:val="nil"/>
              <w:bottom w:val="single" w:sz="4" w:space="0" w:color="auto"/>
              <w:right w:val="nil"/>
            </w:tcBorders>
            <w:shd w:val="clear" w:color="auto" w:fill="auto"/>
            <w:noWrap/>
            <w:vAlign w:val="bottom"/>
            <w:hideMark/>
          </w:tcPr>
          <w:p w14:paraId="34A85672" w14:textId="77777777" w:rsidR="003542DA" w:rsidRPr="003542DA" w:rsidRDefault="003542DA" w:rsidP="003542DA">
            <w:pPr>
              <w:spacing w:after="0" w:line="240" w:lineRule="auto"/>
              <w:jc w:val="center"/>
              <w:rPr>
                <w:rFonts w:ascii="Calibri" w:eastAsia="Times New Roman" w:hAnsi="Calibri" w:cs="Calibri"/>
                <w:b/>
                <w:bCs/>
                <w:color w:val="000000"/>
                <w:sz w:val="18"/>
                <w:szCs w:val="18"/>
                <w:lang w:eastAsia="lv-LV"/>
              </w:rPr>
            </w:pPr>
            <w:r w:rsidRPr="003542DA">
              <w:rPr>
                <w:rFonts w:ascii="Calibri" w:eastAsia="Times New Roman" w:hAnsi="Calibri" w:cs="Calibri"/>
                <w:b/>
                <w:bCs/>
                <w:color w:val="000000"/>
                <w:sz w:val="18"/>
                <w:szCs w:val="18"/>
                <w:lang w:eastAsia="lv-LV"/>
              </w:rPr>
              <w:t>162 822 800</w:t>
            </w:r>
          </w:p>
        </w:tc>
      </w:tr>
      <w:tr w:rsidR="003542DA" w:rsidRPr="003542DA" w14:paraId="17281F0B" w14:textId="77777777" w:rsidTr="003542DA">
        <w:trPr>
          <w:trHeight w:val="288"/>
        </w:trPr>
        <w:tc>
          <w:tcPr>
            <w:tcW w:w="1135" w:type="dxa"/>
            <w:tcBorders>
              <w:top w:val="nil"/>
              <w:left w:val="nil"/>
              <w:bottom w:val="nil"/>
              <w:right w:val="nil"/>
            </w:tcBorders>
            <w:shd w:val="clear" w:color="auto" w:fill="auto"/>
            <w:noWrap/>
            <w:vAlign w:val="bottom"/>
            <w:hideMark/>
          </w:tcPr>
          <w:p w14:paraId="2D84C608" w14:textId="77777777" w:rsidR="003542DA" w:rsidRPr="003542DA" w:rsidRDefault="003542DA" w:rsidP="003542DA">
            <w:pPr>
              <w:spacing w:after="0" w:line="240" w:lineRule="auto"/>
              <w:jc w:val="center"/>
              <w:rPr>
                <w:rFonts w:ascii="Calibri" w:eastAsia="Times New Roman" w:hAnsi="Calibri" w:cs="Calibri"/>
                <w:b/>
                <w:bCs/>
                <w:color w:val="000000"/>
                <w:sz w:val="18"/>
                <w:szCs w:val="18"/>
                <w:lang w:eastAsia="lv-LV"/>
              </w:rPr>
            </w:pPr>
          </w:p>
        </w:tc>
        <w:tc>
          <w:tcPr>
            <w:tcW w:w="1276" w:type="dxa"/>
            <w:tcBorders>
              <w:top w:val="nil"/>
              <w:left w:val="nil"/>
              <w:bottom w:val="nil"/>
              <w:right w:val="nil"/>
            </w:tcBorders>
            <w:shd w:val="clear" w:color="auto" w:fill="auto"/>
            <w:noWrap/>
            <w:vAlign w:val="bottom"/>
            <w:hideMark/>
          </w:tcPr>
          <w:p w14:paraId="59ADEF0E"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178" w:type="dxa"/>
            <w:tcBorders>
              <w:top w:val="nil"/>
              <w:left w:val="nil"/>
              <w:bottom w:val="nil"/>
              <w:right w:val="nil"/>
            </w:tcBorders>
            <w:shd w:val="clear" w:color="auto" w:fill="auto"/>
            <w:noWrap/>
            <w:vAlign w:val="bottom"/>
            <w:hideMark/>
          </w:tcPr>
          <w:p w14:paraId="00B8D73D"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49" w:type="dxa"/>
            <w:tcBorders>
              <w:top w:val="nil"/>
              <w:left w:val="nil"/>
              <w:bottom w:val="nil"/>
              <w:right w:val="nil"/>
            </w:tcBorders>
            <w:shd w:val="clear" w:color="auto" w:fill="auto"/>
            <w:noWrap/>
            <w:vAlign w:val="bottom"/>
            <w:hideMark/>
          </w:tcPr>
          <w:p w14:paraId="4E25E8E5"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133" w:type="dxa"/>
            <w:tcBorders>
              <w:top w:val="nil"/>
              <w:left w:val="nil"/>
              <w:bottom w:val="nil"/>
              <w:right w:val="nil"/>
            </w:tcBorders>
            <w:shd w:val="clear" w:color="auto" w:fill="auto"/>
            <w:noWrap/>
            <w:vAlign w:val="bottom"/>
            <w:hideMark/>
          </w:tcPr>
          <w:p w14:paraId="1F6479B4"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49" w:type="dxa"/>
            <w:tcBorders>
              <w:top w:val="nil"/>
              <w:left w:val="nil"/>
              <w:bottom w:val="nil"/>
              <w:right w:val="nil"/>
            </w:tcBorders>
            <w:shd w:val="clear" w:color="auto" w:fill="auto"/>
            <w:noWrap/>
            <w:vAlign w:val="bottom"/>
            <w:hideMark/>
          </w:tcPr>
          <w:p w14:paraId="6C9DAB88"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868" w:type="dxa"/>
            <w:tcBorders>
              <w:top w:val="nil"/>
              <w:left w:val="nil"/>
              <w:bottom w:val="nil"/>
              <w:right w:val="nil"/>
            </w:tcBorders>
            <w:shd w:val="clear" w:color="auto" w:fill="auto"/>
            <w:noWrap/>
            <w:vAlign w:val="bottom"/>
            <w:hideMark/>
          </w:tcPr>
          <w:p w14:paraId="77CA62A2"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68" w:type="dxa"/>
            <w:tcBorders>
              <w:top w:val="nil"/>
              <w:left w:val="nil"/>
              <w:bottom w:val="nil"/>
              <w:right w:val="nil"/>
            </w:tcBorders>
            <w:shd w:val="clear" w:color="auto" w:fill="auto"/>
            <w:noWrap/>
            <w:vAlign w:val="bottom"/>
            <w:hideMark/>
          </w:tcPr>
          <w:p w14:paraId="2A36E627"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r>
      <w:tr w:rsidR="003542DA" w:rsidRPr="003542DA" w14:paraId="38105789" w14:textId="77777777" w:rsidTr="003542DA">
        <w:trPr>
          <w:trHeight w:val="984"/>
        </w:trPr>
        <w:tc>
          <w:tcPr>
            <w:tcW w:w="1135" w:type="dxa"/>
            <w:tcBorders>
              <w:top w:val="single" w:sz="4" w:space="0" w:color="auto"/>
              <w:left w:val="nil"/>
              <w:bottom w:val="single" w:sz="4" w:space="0" w:color="auto"/>
              <w:right w:val="nil"/>
            </w:tcBorders>
            <w:shd w:val="clear" w:color="auto" w:fill="auto"/>
            <w:vAlign w:val="bottom"/>
            <w:hideMark/>
          </w:tcPr>
          <w:p w14:paraId="793B974C"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Kopējās degvielas izmaksas (EUR)</w:t>
            </w:r>
          </w:p>
        </w:tc>
        <w:tc>
          <w:tcPr>
            <w:tcW w:w="1276" w:type="dxa"/>
            <w:tcBorders>
              <w:top w:val="single" w:sz="4" w:space="0" w:color="auto"/>
              <w:left w:val="nil"/>
              <w:bottom w:val="single" w:sz="4" w:space="0" w:color="auto"/>
              <w:right w:val="nil"/>
            </w:tcBorders>
            <w:shd w:val="clear" w:color="auto" w:fill="auto"/>
            <w:vAlign w:val="bottom"/>
            <w:hideMark/>
          </w:tcPr>
          <w:p w14:paraId="7E28488D"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Sākotnējā drošības rezerve (EUR)</w:t>
            </w:r>
          </w:p>
        </w:tc>
        <w:tc>
          <w:tcPr>
            <w:tcW w:w="1178" w:type="dxa"/>
            <w:tcBorders>
              <w:top w:val="single" w:sz="4" w:space="0" w:color="auto"/>
              <w:left w:val="nil"/>
              <w:bottom w:val="single" w:sz="4" w:space="0" w:color="auto"/>
              <w:right w:val="nil"/>
            </w:tcBorders>
            <w:shd w:val="clear" w:color="auto" w:fill="auto"/>
            <w:vAlign w:val="bottom"/>
            <w:hideMark/>
          </w:tcPr>
          <w:p w14:paraId="6A74327F" w14:textId="77777777" w:rsidR="003542DA" w:rsidRPr="00637CE1" w:rsidRDefault="003542DA" w:rsidP="003542DA">
            <w:pPr>
              <w:spacing w:after="0" w:line="240" w:lineRule="auto"/>
              <w:jc w:val="center"/>
              <w:rPr>
                <w:rFonts w:ascii="Calibri" w:eastAsia="Times New Roman" w:hAnsi="Calibri" w:cs="Calibri"/>
                <w:b/>
                <w:bCs/>
                <w:color w:val="548DD4" w:themeColor="text2" w:themeTint="99"/>
                <w:sz w:val="18"/>
                <w:szCs w:val="18"/>
                <w:lang w:eastAsia="lv-LV"/>
              </w:rPr>
            </w:pPr>
            <w:r w:rsidRPr="00637CE1">
              <w:rPr>
                <w:rFonts w:ascii="Calibri" w:eastAsia="Times New Roman" w:hAnsi="Calibri" w:cs="Calibri"/>
                <w:b/>
                <w:bCs/>
                <w:color w:val="548DD4" w:themeColor="text2" w:themeTint="99"/>
                <w:sz w:val="18"/>
                <w:szCs w:val="18"/>
                <w:lang w:eastAsia="lv-LV"/>
              </w:rPr>
              <w:t>Kopējās finansējamās izmaksas (EUR)</w:t>
            </w:r>
          </w:p>
        </w:tc>
        <w:tc>
          <w:tcPr>
            <w:tcW w:w="1249" w:type="dxa"/>
            <w:tcBorders>
              <w:top w:val="nil"/>
              <w:left w:val="nil"/>
              <w:bottom w:val="nil"/>
              <w:right w:val="nil"/>
            </w:tcBorders>
            <w:shd w:val="clear" w:color="auto" w:fill="auto"/>
            <w:vAlign w:val="bottom"/>
            <w:hideMark/>
          </w:tcPr>
          <w:p w14:paraId="06C213EC"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p>
        </w:tc>
        <w:tc>
          <w:tcPr>
            <w:tcW w:w="1133" w:type="dxa"/>
            <w:tcBorders>
              <w:top w:val="nil"/>
              <w:left w:val="nil"/>
              <w:bottom w:val="nil"/>
              <w:right w:val="nil"/>
            </w:tcBorders>
            <w:shd w:val="clear" w:color="auto" w:fill="auto"/>
            <w:vAlign w:val="bottom"/>
            <w:hideMark/>
          </w:tcPr>
          <w:p w14:paraId="5E82F9C8"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49" w:type="dxa"/>
            <w:tcBorders>
              <w:top w:val="nil"/>
              <w:left w:val="nil"/>
              <w:bottom w:val="nil"/>
              <w:right w:val="nil"/>
            </w:tcBorders>
            <w:shd w:val="clear" w:color="auto" w:fill="auto"/>
            <w:vAlign w:val="bottom"/>
            <w:hideMark/>
          </w:tcPr>
          <w:p w14:paraId="61B55E92"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868" w:type="dxa"/>
            <w:tcBorders>
              <w:top w:val="nil"/>
              <w:left w:val="nil"/>
              <w:bottom w:val="nil"/>
              <w:right w:val="nil"/>
            </w:tcBorders>
            <w:shd w:val="clear" w:color="auto" w:fill="auto"/>
            <w:vAlign w:val="bottom"/>
            <w:hideMark/>
          </w:tcPr>
          <w:p w14:paraId="05F9FCFB"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68" w:type="dxa"/>
            <w:tcBorders>
              <w:top w:val="nil"/>
              <w:left w:val="nil"/>
              <w:bottom w:val="nil"/>
              <w:right w:val="nil"/>
            </w:tcBorders>
            <w:shd w:val="clear" w:color="auto" w:fill="auto"/>
            <w:vAlign w:val="bottom"/>
            <w:hideMark/>
          </w:tcPr>
          <w:p w14:paraId="626AD8E9"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r>
      <w:tr w:rsidR="003542DA" w:rsidRPr="003542DA" w14:paraId="553CD4D8" w14:textId="77777777" w:rsidTr="003542DA">
        <w:trPr>
          <w:trHeight w:val="288"/>
        </w:trPr>
        <w:tc>
          <w:tcPr>
            <w:tcW w:w="1135" w:type="dxa"/>
            <w:tcBorders>
              <w:top w:val="nil"/>
              <w:left w:val="nil"/>
              <w:bottom w:val="single" w:sz="4" w:space="0" w:color="auto"/>
              <w:right w:val="nil"/>
            </w:tcBorders>
            <w:shd w:val="clear" w:color="auto" w:fill="auto"/>
            <w:noWrap/>
            <w:vAlign w:val="bottom"/>
            <w:hideMark/>
          </w:tcPr>
          <w:p w14:paraId="65FAE408"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162 822 800</w:t>
            </w:r>
          </w:p>
        </w:tc>
        <w:tc>
          <w:tcPr>
            <w:tcW w:w="1276" w:type="dxa"/>
            <w:tcBorders>
              <w:top w:val="nil"/>
              <w:left w:val="nil"/>
              <w:bottom w:val="single" w:sz="4" w:space="0" w:color="auto"/>
              <w:right w:val="nil"/>
            </w:tcBorders>
            <w:shd w:val="clear" w:color="auto" w:fill="auto"/>
            <w:noWrap/>
            <w:vAlign w:val="bottom"/>
            <w:hideMark/>
          </w:tcPr>
          <w:p w14:paraId="650AE8C3" w14:textId="77777777" w:rsidR="003542DA" w:rsidRPr="003542DA" w:rsidRDefault="003542DA" w:rsidP="003542DA">
            <w:pPr>
              <w:spacing w:after="0" w:line="240" w:lineRule="auto"/>
              <w:jc w:val="center"/>
              <w:rPr>
                <w:rFonts w:ascii="Calibri" w:eastAsia="Times New Roman" w:hAnsi="Calibri" w:cs="Calibri"/>
                <w:color w:val="000000"/>
                <w:sz w:val="18"/>
                <w:szCs w:val="18"/>
                <w:lang w:eastAsia="lv-LV"/>
              </w:rPr>
            </w:pPr>
            <w:r w:rsidRPr="003542DA">
              <w:rPr>
                <w:rFonts w:ascii="Calibri" w:eastAsia="Times New Roman" w:hAnsi="Calibri" w:cs="Calibri"/>
                <w:color w:val="000000"/>
                <w:sz w:val="18"/>
                <w:szCs w:val="18"/>
                <w:lang w:eastAsia="lv-LV"/>
              </w:rPr>
              <w:t>7 880 612</w:t>
            </w:r>
          </w:p>
        </w:tc>
        <w:tc>
          <w:tcPr>
            <w:tcW w:w="1178" w:type="dxa"/>
            <w:tcBorders>
              <w:top w:val="nil"/>
              <w:left w:val="nil"/>
              <w:bottom w:val="single" w:sz="4" w:space="0" w:color="auto"/>
              <w:right w:val="nil"/>
            </w:tcBorders>
            <w:shd w:val="clear" w:color="auto" w:fill="auto"/>
            <w:noWrap/>
            <w:vAlign w:val="bottom"/>
            <w:hideMark/>
          </w:tcPr>
          <w:p w14:paraId="6E906338" w14:textId="77777777" w:rsidR="003542DA" w:rsidRPr="003542DA" w:rsidRDefault="003542DA" w:rsidP="003542DA">
            <w:pPr>
              <w:spacing w:after="0" w:line="240" w:lineRule="auto"/>
              <w:jc w:val="center"/>
              <w:rPr>
                <w:rFonts w:ascii="Calibri" w:eastAsia="Times New Roman" w:hAnsi="Calibri" w:cs="Calibri"/>
                <w:b/>
                <w:bCs/>
                <w:color w:val="000000"/>
                <w:sz w:val="18"/>
                <w:szCs w:val="18"/>
                <w:lang w:eastAsia="lv-LV"/>
              </w:rPr>
            </w:pPr>
            <w:r w:rsidRPr="003542DA">
              <w:rPr>
                <w:rFonts w:ascii="Calibri" w:eastAsia="Times New Roman" w:hAnsi="Calibri" w:cs="Calibri"/>
                <w:b/>
                <w:bCs/>
                <w:color w:val="000000"/>
                <w:sz w:val="18"/>
                <w:szCs w:val="18"/>
                <w:lang w:eastAsia="lv-LV"/>
              </w:rPr>
              <w:t>170 703 412</w:t>
            </w:r>
          </w:p>
        </w:tc>
        <w:tc>
          <w:tcPr>
            <w:tcW w:w="1249" w:type="dxa"/>
            <w:tcBorders>
              <w:top w:val="nil"/>
              <w:left w:val="nil"/>
              <w:bottom w:val="nil"/>
              <w:right w:val="nil"/>
            </w:tcBorders>
            <w:shd w:val="clear" w:color="auto" w:fill="auto"/>
            <w:noWrap/>
            <w:vAlign w:val="bottom"/>
            <w:hideMark/>
          </w:tcPr>
          <w:p w14:paraId="343B4824" w14:textId="77777777" w:rsidR="003542DA" w:rsidRPr="003542DA" w:rsidRDefault="003542DA" w:rsidP="003542DA">
            <w:pPr>
              <w:spacing w:after="0" w:line="240" w:lineRule="auto"/>
              <w:jc w:val="center"/>
              <w:rPr>
                <w:rFonts w:ascii="Calibri" w:eastAsia="Times New Roman" w:hAnsi="Calibri" w:cs="Calibri"/>
                <w:b/>
                <w:bCs/>
                <w:color w:val="000000"/>
                <w:sz w:val="18"/>
                <w:szCs w:val="18"/>
                <w:lang w:eastAsia="lv-LV"/>
              </w:rPr>
            </w:pPr>
          </w:p>
        </w:tc>
        <w:tc>
          <w:tcPr>
            <w:tcW w:w="1133" w:type="dxa"/>
            <w:tcBorders>
              <w:top w:val="nil"/>
              <w:left w:val="nil"/>
              <w:bottom w:val="nil"/>
              <w:right w:val="nil"/>
            </w:tcBorders>
            <w:shd w:val="clear" w:color="auto" w:fill="auto"/>
            <w:noWrap/>
            <w:vAlign w:val="bottom"/>
            <w:hideMark/>
          </w:tcPr>
          <w:p w14:paraId="614B5D06"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49" w:type="dxa"/>
            <w:tcBorders>
              <w:top w:val="nil"/>
              <w:left w:val="nil"/>
              <w:bottom w:val="nil"/>
              <w:right w:val="nil"/>
            </w:tcBorders>
            <w:shd w:val="clear" w:color="auto" w:fill="auto"/>
            <w:noWrap/>
            <w:vAlign w:val="bottom"/>
            <w:hideMark/>
          </w:tcPr>
          <w:p w14:paraId="233CA81E"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868" w:type="dxa"/>
            <w:tcBorders>
              <w:top w:val="nil"/>
              <w:left w:val="nil"/>
              <w:bottom w:val="nil"/>
              <w:right w:val="nil"/>
            </w:tcBorders>
            <w:shd w:val="clear" w:color="auto" w:fill="auto"/>
            <w:noWrap/>
            <w:vAlign w:val="bottom"/>
            <w:hideMark/>
          </w:tcPr>
          <w:p w14:paraId="690A40D1"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c>
          <w:tcPr>
            <w:tcW w:w="1268" w:type="dxa"/>
            <w:tcBorders>
              <w:top w:val="nil"/>
              <w:left w:val="nil"/>
              <w:bottom w:val="nil"/>
              <w:right w:val="nil"/>
            </w:tcBorders>
            <w:shd w:val="clear" w:color="auto" w:fill="auto"/>
            <w:noWrap/>
            <w:vAlign w:val="bottom"/>
            <w:hideMark/>
          </w:tcPr>
          <w:p w14:paraId="49657B6D" w14:textId="77777777" w:rsidR="003542DA" w:rsidRPr="003542DA" w:rsidRDefault="003542DA" w:rsidP="003542DA">
            <w:pPr>
              <w:spacing w:after="0" w:line="240" w:lineRule="auto"/>
              <w:jc w:val="center"/>
              <w:rPr>
                <w:rFonts w:ascii="Times New Roman" w:eastAsia="Times New Roman" w:hAnsi="Times New Roman" w:cs="Times New Roman"/>
                <w:sz w:val="20"/>
                <w:szCs w:val="20"/>
                <w:lang w:eastAsia="lv-LV"/>
              </w:rPr>
            </w:pPr>
          </w:p>
        </w:tc>
      </w:tr>
    </w:tbl>
    <w:p w14:paraId="08B0F0CE" w14:textId="6F9EF51C" w:rsidR="003542DA" w:rsidRDefault="00DB48BA">
      <w:pPr>
        <w:pStyle w:val="Style2"/>
        <w:spacing w:before="120"/>
      </w:pPr>
      <w:r>
        <w:t>Tomēr jāuzsver, ka Tabulā 7 norādītie aprēķini ir balstīti uz pieņēmumiem, kurus Konsultants izmantoja veicot 3 gadu aprēķinu 2020.gada janvārī. Patiesās ikgadējās un kopīgās izmaksas ir atkarīgas no svārstīgām naftas produktu cenām un būtu precīzi jāaprēķina plānotajam piecu gadu periodam, ja 2.risinājuma ieviešana konceptuāli tiktu atbalstīts Ministru kabinetā.</w:t>
      </w:r>
    </w:p>
    <w:p w14:paraId="588BBA59" w14:textId="214019FD" w:rsidR="00F8459C" w:rsidRDefault="00C71529">
      <w:pPr>
        <w:pStyle w:val="Style2"/>
      </w:pPr>
      <w:r>
        <w:tab/>
        <w:t xml:space="preserve">Papildus ir jānorāda, ka pēc konsultantu aplēsēm </w:t>
      </w:r>
      <w:r>
        <w:rPr>
          <w:b/>
          <w:bCs/>
          <w:u w:val="single"/>
        </w:rPr>
        <w:t>nav nepieciešams valstij izbūvēt jaunu infrastruktūru</w:t>
      </w:r>
      <w:r>
        <w:t xml:space="preserve"> drošības rezervju uzglabāšanai. Nav pietiekama ekonomiskā pamatojuma būvēt jaunu, valstij piederošu infrastruktūru, lai aģentūra tajā glabātu valstij piederoš</w:t>
      </w:r>
      <w:r w:rsidR="00963F22">
        <w:t>ās drošības rezerves</w:t>
      </w:r>
      <w:r>
        <w:t>. Līdz ar to risinājums paredz, ka uzglabāšanas infrastruktūra tiks izīrēta no komersantiem un iepirkuma pamata. Šīs izmaksas ir iekļautas augstāk minētajās uzturēšanas izmaksās, kas ieviešot jauno sistēmu pēc konsultantu aplēsēm būtu par 38,87 EUR/gadā par 1 tonnu lētāk nekā pašlaik.</w:t>
      </w:r>
    </w:p>
    <w:p w14:paraId="726229C7" w14:textId="07077F6B" w:rsidR="002971AE" w:rsidRDefault="002971AE" w:rsidP="002971AE">
      <w:pPr>
        <w:pStyle w:val="Style2"/>
      </w:pPr>
      <w:r>
        <w:t xml:space="preserve">Ņemot vērā aplēses par kopējo drošības rezervju uzturēšanas izmaksu samazinājumu, ilgtermiņā samazinātos arī valsts nodeva un attiecīgi iespējams, ka kristos arī degvielas cenas </w:t>
      </w:r>
      <w:r>
        <w:lastRenderedPageBreak/>
        <w:t>gala patērētājiem, tomēr šo ietekmi nevar aprēķināt, jo nav paredzama privāto komersantu rīcība brīvas konkurences apstākļos.</w:t>
      </w:r>
    </w:p>
    <w:p w14:paraId="4B16FFA6" w14:textId="77777777" w:rsidR="00F8459C" w:rsidRDefault="00F8459C">
      <w:pPr>
        <w:pStyle w:val="ListParagraph"/>
        <w:tabs>
          <w:tab w:val="left" w:pos="284"/>
        </w:tabs>
        <w:spacing w:after="0" w:line="240" w:lineRule="auto"/>
        <w:ind w:left="0"/>
        <w:rPr>
          <w:rFonts w:ascii="Times New Roman" w:hAnsi="Times New Roman" w:cs="Times New Roman"/>
          <w:b/>
          <w:bCs/>
          <w:sz w:val="24"/>
          <w:szCs w:val="24"/>
        </w:rPr>
      </w:pPr>
    </w:p>
    <w:p w14:paraId="4C5A5008" w14:textId="77777777" w:rsidR="00F8459C" w:rsidRDefault="00C71529">
      <w:pPr>
        <w:pStyle w:val="ListParagraph"/>
        <w:tabs>
          <w:tab w:val="left" w:pos="284"/>
        </w:tabs>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3. risinājums: </w:t>
      </w:r>
    </w:p>
    <w:p w14:paraId="3B13CE48" w14:textId="4AD97BFA" w:rsidR="006806CA" w:rsidRDefault="00C71529" w:rsidP="006C7D8F">
      <w:pPr>
        <w:pStyle w:val="Style2"/>
      </w:pPr>
      <w:r>
        <w:t>Trešā risinājuma ietekme uz budžetu nav nosakāma un netiek apskatīta, jo šis risinājums Latvijā nav īstenojams, jo Latvijā nav pietiekoši attīstītas naftas nozares, kas varētu uzņemties atbildību par rezervju uzturēšanu.</w:t>
      </w:r>
      <w:r w:rsidR="00422CF9">
        <w:t xml:space="preserve"> Vienlaikus, secināms, ka k</w:t>
      </w:r>
      <w:r w:rsidR="00422CF9" w:rsidRPr="00422CF9">
        <w:t xml:space="preserve">opējās krājumu uzturēšanas izmaksas pieaugs, jo atsevišķi </w:t>
      </w:r>
      <w:r w:rsidR="00422CF9">
        <w:t>komersant</w:t>
      </w:r>
      <w:r w:rsidR="00422CF9" w:rsidRPr="00422CF9">
        <w:t>i nevar darboties tik efektīvi, kā to varētu viena aģentūra. Tas saistīts ar augstākām kapitāla izmaksām, salīdzinot ar valsts kapitāla izmaksām, un arī ar mazo uzglabāšanas līgumu apjomu, jo uzglabāšanas izmaksas parasti ir tieši atkarīgas no uzglabāšanas apjoma. Visticamāk, augstākas izmaksas novedīs pie augstākām degvielas cenām, kam būs tieša ietekme uz patērētājiem un ekonomiku kopumā.</w:t>
      </w:r>
    </w:p>
    <w:p w14:paraId="6A9D0FF9" w14:textId="0D805422" w:rsidR="006806CA" w:rsidRPr="006C7D8F" w:rsidRDefault="006C7D8F" w:rsidP="006C7D8F">
      <w:pPr>
        <w:pStyle w:val="Style1"/>
        <w:jc w:val="center"/>
      </w:pPr>
      <w:bookmarkStart w:id="28" w:name="_Toc67921668"/>
      <w:r w:rsidRPr="006C7D8F">
        <w:t>6. Konsultācijas ar nozari</w:t>
      </w:r>
      <w:bookmarkEnd w:id="28"/>
    </w:p>
    <w:p w14:paraId="7418E741" w14:textId="77777777" w:rsidR="006C7D8F" w:rsidRDefault="006C7D8F">
      <w:pPr>
        <w:pStyle w:val="Style2"/>
      </w:pPr>
    </w:p>
    <w:p w14:paraId="3410A8F0" w14:textId="3331B216" w:rsidR="00D0268F" w:rsidRDefault="006C7D8F" w:rsidP="00D0268F">
      <w:pPr>
        <w:pStyle w:val="Style2"/>
      </w:pPr>
      <w:r>
        <w:t xml:space="preserve">Lai padziļināti izprastu pašreizējā valsts drošības rezervju nodrošināšanas modeļa trūkumus un noskaidrotu naftas nozares pārstāvju vērtējumu par efektīvāko risinājumu, Ekonomikas ministrija 2021.gada 15.martā rīkoja virtuālo </w:t>
      </w:r>
      <w:proofErr w:type="spellStart"/>
      <w:r>
        <w:t>hakatonu</w:t>
      </w:r>
      <w:proofErr w:type="spellEnd"/>
      <w:r>
        <w:t xml:space="preserve"> </w:t>
      </w:r>
      <w:r w:rsidRPr="006C7D8F">
        <w:t>drošības rezervju sistēmas pilnveidošanai</w:t>
      </w:r>
      <w:r w:rsidR="00D0268F">
        <w:t xml:space="preserve"> (turpmāk – </w:t>
      </w:r>
      <w:proofErr w:type="spellStart"/>
      <w:r w:rsidR="00D0268F">
        <w:t>hakatons</w:t>
      </w:r>
      <w:proofErr w:type="spellEnd"/>
      <w:r w:rsidR="00D0268F">
        <w:t>)</w:t>
      </w:r>
      <w:r w:rsidR="00C33EB3">
        <w:t xml:space="preserve">. Tajā tika aicināti piedalīties gan naftas vairumtirgotāji, gan mazumtirgotāji, gan </w:t>
      </w:r>
      <w:r w:rsidR="00D0268F">
        <w:t xml:space="preserve">vietējo naftas termināļu un naftas bāžu pārstāvji, kā arī Latvijas Degvielas tirgotāju asociācijas un Degvielas tirgotāju un ražotāju savienības pārstāvji. </w:t>
      </w:r>
      <w:proofErr w:type="spellStart"/>
      <w:r w:rsidR="00D0268F">
        <w:t>Hakatona</w:t>
      </w:r>
      <w:proofErr w:type="spellEnd"/>
      <w:r w:rsidR="00D0268F">
        <w:t xml:space="preserve"> dalībnieki tika sadalīti 3 grupās, visām grupām bija vienādi uzdevumi. </w:t>
      </w:r>
      <w:proofErr w:type="spellStart"/>
      <w:r w:rsidR="00D0268F">
        <w:t>Hakatons</w:t>
      </w:r>
      <w:proofErr w:type="spellEnd"/>
      <w:r w:rsidR="00D0268F">
        <w:t xml:space="preserve"> tika sadalīts 2 tematiskajās daļās – pirmajā daļā dalībnieki meklēja atbildes uz konkrēta krīzes scenārija rīcības jautājumiem</w:t>
      </w:r>
      <w:r w:rsidR="00261B44">
        <w:t xml:space="preserve"> (drošības rezervju atpirkšanas procedūra, transportēšana, sadale)</w:t>
      </w:r>
      <w:r w:rsidR="00D0268F">
        <w:t xml:space="preserve">, bet otrajā daļā dalībniekiem bija jāsniedz redzējums par ilgtermiņa risinājumu. </w:t>
      </w:r>
    </w:p>
    <w:p w14:paraId="298B2579" w14:textId="1489D228" w:rsidR="00261B44" w:rsidRDefault="00D0268F" w:rsidP="00261B44">
      <w:pPr>
        <w:pStyle w:val="Style2"/>
      </w:pPr>
      <w:r>
        <w:t xml:space="preserve">Visas trīs darba grupas prezentējot savus diskusiju rezultātus </w:t>
      </w:r>
      <w:r w:rsidR="00A75D1D">
        <w:t xml:space="preserve">attiecībā uz ilgtermiņa risinājumu </w:t>
      </w:r>
      <w:r>
        <w:t xml:space="preserve">norādīja uz </w:t>
      </w:r>
      <w:r w:rsidR="00A75D1D">
        <w:t>vienotu</w:t>
      </w:r>
      <w:r>
        <w:t xml:space="preserve"> secinājumu – </w:t>
      </w:r>
      <w:r w:rsidR="00963F22">
        <w:rPr>
          <w:b/>
          <w:bCs/>
        </w:rPr>
        <w:t>drošības</w:t>
      </w:r>
      <w:r w:rsidRPr="00D0268F">
        <w:rPr>
          <w:b/>
          <w:bCs/>
        </w:rPr>
        <w:t xml:space="preserve"> rezervēm ir jābūt valsts īpašumā.</w:t>
      </w:r>
      <w:r w:rsidRPr="00D0268F">
        <w:t xml:space="preserve"> </w:t>
      </w:r>
      <w:r w:rsidR="00A75D1D">
        <w:t>Visas d</w:t>
      </w:r>
      <w:r w:rsidRPr="00D0268F">
        <w:t xml:space="preserve">arba grupas atzina, ka </w:t>
      </w:r>
      <w:r w:rsidRPr="00D0268F">
        <w:rPr>
          <w:b/>
          <w:bCs/>
        </w:rPr>
        <w:t>Latvijai piemērotākais būtu aģentūras modelis</w:t>
      </w:r>
      <w:r w:rsidRPr="00D0268F">
        <w:t xml:space="preserve"> (</w:t>
      </w:r>
      <w:r>
        <w:t xml:space="preserve">līdzīgi </w:t>
      </w:r>
      <w:r w:rsidRPr="00D0268F">
        <w:t xml:space="preserve">kā Igaunijā). </w:t>
      </w:r>
      <w:r>
        <w:t>Darba grupas norādīja</w:t>
      </w:r>
      <w:r w:rsidR="00261B44">
        <w:t xml:space="preserve"> uz vairākām aģentūras modeļa</w:t>
      </w:r>
      <w:r w:rsidRPr="00D0268F">
        <w:t xml:space="preserve"> priekšrocīb</w:t>
      </w:r>
      <w:r w:rsidR="00261B44">
        <w:t>ām:</w:t>
      </w:r>
    </w:p>
    <w:p w14:paraId="5AE2E8EF" w14:textId="77777777" w:rsidR="00261B44" w:rsidRDefault="00261B44" w:rsidP="009710D7">
      <w:pPr>
        <w:pStyle w:val="Style2"/>
        <w:numPr>
          <w:ilvl w:val="0"/>
          <w:numId w:val="13"/>
        </w:numPr>
      </w:pPr>
      <w:r>
        <w:t>Aģentūras modelis</w:t>
      </w:r>
      <w:r w:rsidR="00D0268F">
        <w:t xml:space="preserve"> </w:t>
      </w:r>
      <w:r w:rsidR="00D0268F" w:rsidRPr="00D0268F">
        <w:t>do</w:t>
      </w:r>
      <w:r w:rsidR="00D0268F">
        <w:t>tu</w:t>
      </w:r>
      <w:r w:rsidR="00D0268F" w:rsidRPr="00D0268F">
        <w:t xml:space="preserve"> iespēju vairāk kontrolēt </w:t>
      </w:r>
      <w:r w:rsidR="00D0268F">
        <w:t xml:space="preserve">naftas </w:t>
      </w:r>
      <w:r w:rsidR="00D0268F" w:rsidRPr="00D0268F">
        <w:t>produkt</w:t>
      </w:r>
      <w:r w:rsidR="00D0268F">
        <w:t>u</w:t>
      </w:r>
      <w:r w:rsidR="00D0268F" w:rsidRPr="00D0268F">
        <w:t xml:space="preserve"> izvietojumu pa Latvijas teritoriju</w:t>
      </w:r>
      <w:r>
        <w:t>;</w:t>
      </w:r>
    </w:p>
    <w:p w14:paraId="64AD5D99" w14:textId="143D1889" w:rsidR="00261B44" w:rsidRDefault="00261B44" w:rsidP="009710D7">
      <w:pPr>
        <w:pStyle w:val="Style2"/>
        <w:numPr>
          <w:ilvl w:val="0"/>
          <w:numId w:val="13"/>
        </w:numPr>
      </w:pPr>
      <w:r>
        <w:t>N</w:t>
      </w:r>
      <w:r w:rsidR="00D0268F" w:rsidRPr="00D0268F">
        <w:t xml:space="preserve">o finansējuma pieejamības viedokļa aģentūras modelis </w:t>
      </w:r>
      <w:r>
        <w:t>būtu</w:t>
      </w:r>
      <w:r w:rsidR="00D0268F" w:rsidRPr="00D0268F">
        <w:t xml:space="preserve"> labāks, jo valsts var aizņemties </w:t>
      </w:r>
      <w:r>
        <w:t xml:space="preserve">finansējumu </w:t>
      </w:r>
      <w:r w:rsidR="00D0268F" w:rsidRPr="00D0268F">
        <w:t>ar labākiem nosacījumiem nekā privātais komersants</w:t>
      </w:r>
      <w:r>
        <w:t>;</w:t>
      </w:r>
    </w:p>
    <w:p w14:paraId="0ACAF850" w14:textId="06500C0C" w:rsidR="00261B44" w:rsidRDefault="00D0268F" w:rsidP="009710D7">
      <w:pPr>
        <w:pStyle w:val="Style2"/>
        <w:numPr>
          <w:ilvl w:val="0"/>
          <w:numId w:val="13"/>
        </w:numPr>
      </w:pPr>
      <w:r w:rsidRPr="00D0268F">
        <w:t xml:space="preserve">Aģentūra būtu veiksmīgs risinājums arī no pārvaldīšanas viedokļa, </w:t>
      </w:r>
      <w:r w:rsidR="00261B44">
        <w:t xml:space="preserve">aģentūrai vienlaikus </w:t>
      </w:r>
      <w:r w:rsidRPr="00D0268F">
        <w:t xml:space="preserve">veicot gan </w:t>
      </w:r>
      <w:r w:rsidR="00963F22">
        <w:t>drošības</w:t>
      </w:r>
      <w:r w:rsidR="00963F22" w:rsidRPr="00D0268F">
        <w:t xml:space="preserve"> </w:t>
      </w:r>
      <w:r w:rsidRPr="00D0268F">
        <w:t>rezervju iepirkumu, gan nodrošinot rezervju apriti un transportēšanu.</w:t>
      </w:r>
      <w:r>
        <w:t xml:space="preserve"> </w:t>
      </w:r>
    </w:p>
    <w:p w14:paraId="15422947" w14:textId="4BA87E41" w:rsidR="00A75D1D" w:rsidRDefault="00261B44" w:rsidP="00A57929">
      <w:pPr>
        <w:pStyle w:val="Style2"/>
      </w:pPr>
      <w:proofErr w:type="spellStart"/>
      <w:r>
        <w:t>Hakatona</w:t>
      </w:r>
      <w:proofErr w:type="spellEnd"/>
      <w:r>
        <w:t xml:space="preserve"> dalībnieki norādīja, ka e</w:t>
      </w:r>
      <w:r w:rsidRPr="00D0268F">
        <w:t xml:space="preserve">sošais biļešu modelis </w:t>
      </w:r>
      <w:r>
        <w:t>ilgtermiņā no valsts perspektīvas ir uzskatāms par izšķērdīgu</w:t>
      </w:r>
      <w:r w:rsidRPr="00D0268F">
        <w:t xml:space="preserve">, </w:t>
      </w:r>
      <w:r>
        <w:t xml:space="preserve">bet </w:t>
      </w:r>
      <w:r w:rsidRPr="00D0268F">
        <w:t xml:space="preserve">aģentūras modelis </w:t>
      </w:r>
      <w:r>
        <w:t>ir</w:t>
      </w:r>
      <w:r w:rsidRPr="00D0268F">
        <w:t xml:space="preserve"> finansēšanas izmaksu ziņā efektīvāks. </w:t>
      </w:r>
      <w:r w:rsidR="00D0268F">
        <w:t xml:space="preserve">Darba grupas rekomendēja </w:t>
      </w:r>
      <w:r w:rsidR="00D0268F" w:rsidRPr="00A75D1D">
        <w:rPr>
          <w:b/>
          <w:bCs/>
        </w:rPr>
        <w:t>uz aģentūras modeli pāriet pakāpeniski 5 gadu periodā</w:t>
      </w:r>
      <w:r w:rsidR="00D0268F">
        <w:t>.</w:t>
      </w:r>
      <w:r>
        <w:t xml:space="preserve"> </w:t>
      </w:r>
      <w:r w:rsidR="00C77EF1">
        <w:t xml:space="preserve">Papildus tika uzsvērts, ka </w:t>
      </w:r>
      <w:r w:rsidR="00963F22">
        <w:t>drošības</w:t>
      </w:r>
      <w:r w:rsidR="00C77EF1">
        <w:t xml:space="preserve"> rezervju uzglabāšanas infrastruktūra Latvijā ir pietiekama un </w:t>
      </w:r>
      <w:r w:rsidR="00963F22">
        <w:rPr>
          <w:b/>
          <w:bCs/>
        </w:rPr>
        <w:t>drošības</w:t>
      </w:r>
      <w:r w:rsidR="00963F22" w:rsidRPr="00C77EF1">
        <w:rPr>
          <w:b/>
          <w:bCs/>
        </w:rPr>
        <w:t xml:space="preserve"> </w:t>
      </w:r>
      <w:r w:rsidR="00C77EF1" w:rsidRPr="00C77EF1">
        <w:rPr>
          <w:b/>
          <w:bCs/>
        </w:rPr>
        <w:t>rezervju uzglabāšanai var izmantot gan privāto, gan publisko infrastruktūru, tostarp arī valsts kapitālsabiedrībām piederošo infrastruktūru</w:t>
      </w:r>
      <w:r w:rsidR="00C77EF1">
        <w:t xml:space="preserve">, kurai var apsvērt risinājumu noteikt tiesiskajā regulējumā minimālo </w:t>
      </w:r>
      <w:r w:rsidR="00963F22">
        <w:t xml:space="preserve">drošības </w:t>
      </w:r>
      <w:r w:rsidR="00C77EF1">
        <w:t xml:space="preserve">rezervju pašnodrošinājumu. </w:t>
      </w:r>
      <w:r>
        <w:t xml:space="preserve">Detalizēts </w:t>
      </w:r>
      <w:proofErr w:type="spellStart"/>
      <w:r>
        <w:t>hakatona</w:t>
      </w:r>
      <w:proofErr w:type="spellEnd"/>
      <w:r>
        <w:t xml:space="preserve"> protokols pieejams konceptuālā ziņojuma pielikumā.</w:t>
      </w:r>
    </w:p>
    <w:p w14:paraId="1C5D29DC" w14:textId="59C506DA" w:rsidR="00A75D1D" w:rsidRDefault="00A75D1D" w:rsidP="00261B44">
      <w:pPr>
        <w:pStyle w:val="Style2"/>
      </w:pPr>
      <w:r>
        <w:t xml:space="preserve">Vienlaikus, visas trīs darba grupas vērsa uzmanību arī uz aktuālu papildus problemātiku, kas attiecas tieši uz </w:t>
      </w:r>
      <w:r w:rsidR="00963F22">
        <w:t xml:space="preserve">drošības </w:t>
      </w:r>
      <w:r>
        <w:t xml:space="preserve">rezervju izmantošanu krīzes situācijā, proti, </w:t>
      </w:r>
      <w:r w:rsidRPr="00A75D1D">
        <w:t xml:space="preserve">šobrīd </w:t>
      </w:r>
      <w:r w:rsidRPr="00A75D1D">
        <w:rPr>
          <w:b/>
          <w:bCs/>
        </w:rPr>
        <w:t>ne normatīvajos aktos, ne cita veida vadlīniju dokumentos nav atrunātas skaidras procedūras, kas veicamas iestājoties krīzei</w:t>
      </w:r>
      <w:r>
        <w:t xml:space="preserve">. Lai operatīvi un efektīvi izmantotu </w:t>
      </w:r>
      <w:r w:rsidR="00963F22">
        <w:t xml:space="preserve">drošības </w:t>
      </w:r>
      <w:r>
        <w:t xml:space="preserve">rezerves krīzes situācijā, jābūt skaidri definētam </w:t>
      </w:r>
      <w:r w:rsidR="00A57929">
        <w:t xml:space="preserve">– kur </w:t>
      </w:r>
      <w:r w:rsidR="00963F22">
        <w:t xml:space="preserve">drošības </w:t>
      </w:r>
      <w:r w:rsidR="00A57929">
        <w:t xml:space="preserve">rezerves primāri jāved, kādos apjomos degviela nepieciešama (piemēram, kritiskajai infrastruktūrai), kur tā tiks pārlieta pēc atvešanas, kurš būs transporta pakalpojumu sniedzējs? Kā norādīja </w:t>
      </w:r>
      <w:proofErr w:type="spellStart"/>
      <w:r w:rsidR="00A57929">
        <w:t>hakatona</w:t>
      </w:r>
      <w:proofErr w:type="spellEnd"/>
      <w:r w:rsidR="00A57929">
        <w:t xml:space="preserve"> dalībnieki, tad </w:t>
      </w:r>
      <w:r w:rsidR="00A57929">
        <w:lastRenderedPageBreak/>
        <w:t>šie ir aspekti, par kuriem ir jābūt atrunātām procedūrām un pieejamiem datiem pirms enerģētiskās krīzes iestāšanās.</w:t>
      </w:r>
    </w:p>
    <w:p w14:paraId="068727DD" w14:textId="22FA0502" w:rsidR="006C7D8F" w:rsidRDefault="006C7D8F">
      <w:pPr>
        <w:pStyle w:val="Style2"/>
      </w:pPr>
    </w:p>
    <w:p w14:paraId="6C9EDB04" w14:textId="77777777" w:rsidR="00A57929" w:rsidRDefault="00A57929">
      <w:pPr>
        <w:pStyle w:val="Style2"/>
      </w:pPr>
    </w:p>
    <w:p w14:paraId="74BBD2A6" w14:textId="76A4ADA3" w:rsidR="000430EF" w:rsidRPr="00C77EF1" w:rsidRDefault="00EF1F80">
      <w:pPr>
        <w:pStyle w:val="Style2"/>
      </w:pPr>
      <w:r>
        <w:t>Apkopojot</w:t>
      </w:r>
      <w:r w:rsidR="006806CA">
        <w:t xml:space="preserve"> konceptuālā ziņojumā izklāstītos argumentus</w:t>
      </w:r>
      <w:r w:rsidR="00A57929">
        <w:t xml:space="preserve"> un ņemot vērā</w:t>
      </w:r>
      <w:r w:rsidR="000430EF">
        <w:t xml:space="preserve"> gan</w:t>
      </w:r>
      <w:r w:rsidR="00A57929">
        <w:t xml:space="preserve"> notikušās konsultācijas ar nozares pārstāvjiem </w:t>
      </w:r>
      <w:proofErr w:type="spellStart"/>
      <w:r w:rsidR="00A57929">
        <w:t>hakatona</w:t>
      </w:r>
      <w:proofErr w:type="spellEnd"/>
      <w:r w:rsidR="00A57929">
        <w:t xml:space="preserve"> ietvaros</w:t>
      </w:r>
      <w:r w:rsidR="000430EF">
        <w:t xml:space="preserve">, gan ministru starpā notikušās diskusijas, par efektīvāko risinājumu būtu uzskatāms 1.B un 2.risinājuma apvienojums, proti, sākotnēji jānodrošina 1.risinājuma B scenārijs, </w:t>
      </w:r>
      <w:r w:rsidR="000430EF" w:rsidRPr="00EF1F80">
        <w:rPr>
          <w:b/>
          <w:bCs/>
        </w:rPr>
        <w:t xml:space="preserve">pakāpeniski 3 gadu laikā palielinot drošības rezervju apjomu, kas glabājās Latvijas teritorijā </w:t>
      </w:r>
      <w:r w:rsidR="000430EF">
        <w:rPr>
          <w:b/>
          <w:bCs/>
        </w:rPr>
        <w:t xml:space="preserve">- </w:t>
      </w:r>
      <w:r w:rsidR="000430EF" w:rsidRPr="00EF1F80">
        <w:rPr>
          <w:b/>
          <w:bCs/>
        </w:rPr>
        <w:t>1.gadā līdz 75%, 2.gadā līdz 85% un 3.gadā līdz 100%</w:t>
      </w:r>
      <w:r w:rsidR="000430EF">
        <w:rPr>
          <w:b/>
          <w:bCs/>
        </w:rPr>
        <w:t xml:space="preserve">, </w:t>
      </w:r>
      <w:r w:rsidR="00907AB1">
        <w:rPr>
          <w:b/>
          <w:bCs/>
        </w:rPr>
        <w:t xml:space="preserve">vienlaikus </w:t>
      </w:r>
      <w:r w:rsidR="00DB48BA">
        <w:rPr>
          <w:b/>
          <w:bCs/>
        </w:rPr>
        <w:t>5</w:t>
      </w:r>
      <w:r w:rsidR="00907AB1">
        <w:rPr>
          <w:b/>
          <w:bCs/>
        </w:rPr>
        <w:t xml:space="preserve"> gadu laikā</w:t>
      </w:r>
      <w:r w:rsidR="000430EF">
        <w:rPr>
          <w:b/>
          <w:bCs/>
        </w:rPr>
        <w:t xml:space="preserve"> ir ieviešams 2.risinājums jeb aģentūras modelis.</w:t>
      </w:r>
      <w:r w:rsidR="00C77EF1">
        <w:rPr>
          <w:b/>
          <w:bCs/>
        </w:rPr>
        <w:t xml:space="preserve"> </w:t>
      </w:r>
    </w:p>
    <w:p w14:paraId="1175A8FE" w14:textId="26A63B41" w:rsidR="002C6F5F" w:rsidRDefault="000430EF">
      <w:pPr>
        <w:pStyle w:val="Style2"/>
      </w:pPr>
      <w:r>
        <w:t>Uzsākot sākotnējā 1.B</w:t>
      </w:r>
      <w:r w:rsidR="006806CA">
        <w:t xml:space="preserve"> risinājum</w:t>
      </w:r>
      <w:r>
        <w:t>a ieviešanu</w:t>
      </w:r>
      <w:r w:rsidR="006806CA">
        <w:t>, nepieciešams veikt grozījumus Noteikumos Nr.286</w:t>
      </w:r>
      <w:r w:rsidR="00B51E1D">
        <w:t xml:space="preserve">, atbilstoši precizējot procentuālo </w:t>
      </w:r>
      <w:r w:rsidR="00963F22">
        <w:t xml:space="preserve">drošības </w:t>
      </w:r>
      <w:r w:rsidR="00B51E1D">
        <w:t>rezervju apjomu, kas glabājams Latvija</w:t>
      </w:r>
      <w:r w:rsidR="006806CA">
        <w:t xml:space="preserve">. </w:t>
      </w:r>
      <w:r w:rsidR="00907AB1">
        <w:t xml:space="preserve">Ievērojot to, ka drošības rezervju iepirkuma procedūra par 2022.gada drošības rezervēm šobrīd ir uzsākšanas stadijā saskaņā ar pašreizējo normatīvo regulējumu, 1.risinājuma B scenārija īstenošana būtu jāuzsāk līdz ar 2022.gadā rīkojamo iepirkuma procedūru, paredzot, ka 2023.gadā Latvijas teritorijā jāuzglabā 75% drošības rezerves, 2024.gadā 85% drošības rezerves un 2025.gadā 100% drošības rezerves. </w:t>
      </w:r>
    </w:p>
    <w:p w14:paraId="4EE1D9DE" w14:textId="751B416D" w:rsidR="006806CA" w:rsidRDefault="006806CA">
      <w:pPr>
        <w:pStyle w:val="Style2"/>
      </w:pPr>
      <w:r>
        <w:t>Lai efektivizētu šī risinājuma ieviešanu,</w:t>
      </w:r>
      <w:r w:rsidR="002328DC">
        <w:t xml:space="preserve"> </w:t>
      </w:r>
      <w:r>
        <w:t xml:space="preserve">papildus būtu nepieciešams sadarbībā ar nozares pārstāvjiem izvērtēt </w:t>
      </w:r>
      <w:r w:rsidRPr="006806CA">
        <w:t>drošības rezervju uzglabāšanas pakalpojumu sniegšan</w:t>
      </w:r>
      <w:r w:rsidR="00EF1F80">
        <w:t xml:space="preserve">as </w:t>
      </w:r>
      <w:r w:rsidR="00F86A98">
        <w:t>iepirkuma</w:t>
      </w:r>
      <w:r w:rsidR="00F86A98" w:rsidRPr="006806CA">
        <w:t xml:space="preserve"> </w:t>
      </w:r>
      <w:r w:rsidRPr="006806CA">
        <w:t>nolikum</w:t>
      </w:r>
      <w:r>
        <w:t>u</w:t>
      </w:r>
      <w:r w:rsidR="002C6F5F">
        <w:t xml:space="preserve"> 2022.gada iepirkuma procedūrai</w:t>
      </w:r>
      <w:r>
        <w:t xml:space="preserve"> un nepieciešamības gadījumā to pilnveidot</w:t>
      </w:r>
      <w:r w:rsidR="00C77EF1">
        <w:t xml:space="preserve">, tostarp pilnveidojot nolikumu tā, lai veicinātu reģionālu </w:t>
      </w:r>
      <w:r w:rsidR="00963F22">
        <w:t xml:space="preserve">drošības </w:t>
      </w:r>
      <w:r w:rsidR="00C77EF1">
        <w:t xml:space="preserve">rezervju izvietojumu Latvijas teritorijā (piemēram, </w:t>
      </w:r>
      <w:r w:rsidR="001149E8">
        <w:t xml:space="preserve">izvērtējot iespēju </w:t>
      </w:r>
      <w:r w:rsidR="00420406">
        <w:t xml:space="preserve">realizēt iepirkumu reģionālajās lotēs). </w:t>
      </w:r>
      <w:r w:rsidR="002328DC">
        <w:t xml:space="preserve">Vienlaikus, Birojam īstenojot 2021.gada </w:t>
      </w:r>
      <w:r w:rsidR="002C6F5F">
        <w:t xml:space="preserve">iepirkuma procedūru (par 2022.gada drošības rezervju uzglabāšanu), arī ir jāņem vērā </w:t>
      </w:r>
      <w:proofErr w:type="spellStart"/>
      <w:r w:rsidR="002C6F5F">
        <w:t>hakatona</w:t>
      </w:r>
      <w:proofErr w:type="spellEnd"/>
      <w:r w:rsidR="002C6F5F">
        <w:t xml:space="preserve"> secinājumi. </w:t>
      </w:r>
      <w:r w:rsidR="001325B2">
        <w:t xml:space="preserve">Kā arī, būtiski izstrādāt skaidru mehānismu </w:t>
      </w:r>
      <w:r w:rsidR="00963F22">
        <w:t xml:space="preserve">drošības </w:t>
      </w:r>
      <w:r w:rsidR="001325B2">
        <w:t>rezervju aktivizēšanai enerģētiskās krīzes situācijā.</w:t>
      </w:r>
    </w:p>
    <w:p w14:paraId="55049D0F" w14:textId="1E3E513E" w:rsidR="00F8459C" w:rsidRDefault="001F2B68">
      <w:pPr>
        <w:pStyle w:val="Style2"/>
      </w:pPr>
      <w:r>
        <w:t>Attiecībā uz 2.risinājuma ieviešanu, Ekonomikas ministrijai pirms risinājuma ieviešanas uzsākšanas ir nepieciešams izstrādāt konceptuālo ziņojumu par konkrētiem soļiem aģentūras izveidei, kurā tiks piedāvāti dažādi aģentūras izveides scenāriji un aprakstīts iegādātās degvielas aprites (rotācijas) process</w:t>
      </w:r>
      <w:r w:rsidRPr="00A0370B">
        <w:t xml:space="preserve">, </w:t>
      </w:r>
      <w:r w:rsidR="0047555E" w:rsidRPr="0047555E">
        <w:t>veikts izvērtējums par naftas produktu piegādes ķēdē esošo komersantu un to naftas produktu iesaisti drošības rezervju veidošanā, pēc iespējas izmantojot (attiecinot uz rezervēm) komerciālajā apritē esošos naftas produktu resursus un tādējādi samazinot valsts tiešos izdevumus, kā arī sniegts detalizēts izvērtējums par nepieciešamo finansējumu un tā finansēšanas avotiem</w:t>
      </w:r>
      <w:r>
        <w:t xml:space="preserve"> (valsts budžets vai finanšu instrumenti).</w:t>
      </w:r>
      <w:r w:rsidR="00B35E34">
        <w:t xml:space="preserve"> </w:t>
      </w:r>
    </w:p>
    <w:p w14:paraId="20521E77" w14:textId="77777777" w:rsidR="00A2253A" w:rsidRDefault="00A2253A">
      <w:pPr>
        <w:pStyle w:val="Style2"/>
        <w:rPr>
          <w:b/>
          <w:bCs/>
          <w:u w:val="single"/>
        </w:rPr>
      </w:pPr>
    </w:p>
    <w:p w14:paraId="2D0A21D7" w14:textId="6047EFAF" w:rsidR="00F8459C" w:rsidRDefault="00907AB1">
      <w:pPr>
        <w:pStyle w:val="Style1"/>
        <w:spacing w:before="0" w:line="240" w:lineRule="auto"/>
        <w:jc w:val="center"/>
      </w:pPr>
      <w:bookmarkStart w:id="29" w:name="_Toc67921669"/>
      <w:r>
        <w:t>7</w:t>
      </w:r>
      <w:r w:rsidR="00C71529">
        <w:t>. Turpmākie soļi</w:t>
      </w:r>
      <w:bookmarkEnd w:id="29"/>
    </w:p>
    <w:p w14:paraId="78C10354" w14:textId="77777777" w:rsidR="00F8459C" w:rsidRDefault="00F8459C">
      <w:pPr>
        <w:spacing w:after="0" w:line="240" w:lineRule="auto"/>
        <w:jc w:val="both"/>
        <w:rPr>
          <w:rFonts w:ascii="Times New Roman" w:hAnsi="Times New Roman" w:cs="Times New Roman"/>
          <w:sz w:val="24"/>
          <w:szCs w:val="24"/>
        </w:rPr>
      </w:pPr>
    </w:p>
    <w:p w14:paraId="1FA99FA2" w14:textId="0662A8A7" w:rsidR="00F8459C" w:rsidRDefault="006806CA" w:rsidP="009710D7">
      <w:pPr>
        <w:pStyle w:val="ListParagraph"/>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A</w:t>
      </w:r>
      <w:r w:rsidR="00B31142">
        <w:rPr>
          <w:rFonts w:ascii="Times New Roman" w:hAnsi="Times New Roman" w:cs="Times New Roman"/>
          <w:sz w:val="24"/>
          <w:szCs w:val="24"/>
        </w:rPr>
        <w:t xml:space="preserve">tbalstīt </w:t>
      </w:r>
      <w:r w:rsidR="00831E67">
        <w:rPr>
          <w:rFonts w:ascii="Times New Roman" w:hAnsi="Times New Roman" w:cs="Times New Roman"/>
          <w:sz w:val="24"/>
          <w:szCs w:val="24"/>
        </w:rPr>
        <w:t>k</w:t>
      </w:r>
      <w:r w:rsidR="00432A0A">
        <w:rPr>
          <w:rFonts w:ascii="Times New Roman" w:hAnsi="Times New Roman" w:cs="Times New Roman"/>
          <w:sz w:val="24"/>
          <w:szCs w:val="24"/>
        </w:rPr>
        <w:t xml:space="preserve">onceptuālajā ziņojumā </w:t>
      </w:r>
      <w:r w:rsidR="00831E67">
        <w:rPr>
          <w:rFonts w:ascii="Times New Roman" w:hAnsi="Times New Roman" w:cs="Times New Roman"/>
          <w:sz w:val="24"/>
          <w:szCs w:val="24"/>
        </w:rPr>
        <w:t>piedāvātā</w:t>
      </w:r>
      <w:r w:rsidR="00432A0A">
        <w:rPr>
          <w:rFonts w:ascii="Times New Roman" w:hAnsi="Times New Roman" w:cs="Times New Roman"/>
          <w:sz w:val="24"/>
          <w:szCs w:val="24"/>
        </w:rPr>
        <w:t xml:space="preserve"> </w:t>
      </w:r>
      <w:r w:rsidR="00B31142">
        <w:rPr>
          <w:rFonts w:ascii="Times New Roman" w:hAnsi="Times New Roman" w:cs="Times New Roman"/>
          <w:sz w:val="24"/>
          <w:szCs w:val="24"/>
        </w:rPr>
        <w:t xml:space="preserve">1.risinājuma B scenārija ieviešanu, </w:t>
      </w:r>
      <w:r w:rsidR="00B31142" w:rsidRPr="00B31142">
        <w:rPr>
          <w:rFonts w:ascii="Times New Roman" w:hAnsi="Times New Roman" w:cs="Times New Roman"/>
          <w:sz w:val="24"/>
          <w:szCs w:val="24"/>
        </w:rPr>
        <w:t>pakāpeniski 3 gadu laikā palielinot drošības rezervju apjomu, kas glabājās Latvijas teritorijā</w:t>
      </w:r>
      <w:r w:rsidR="00B31142">
        <w:rPr>
          <w:rFonts w:ascii="Times New Roman" w:hAnsi="Times New Roman" w:cs="Times New Roman"/>
          <w:sz w:val="24"/>
          <w:szCs w:val="24"/>
        </w:rPr>
        <w:t xml:space="preserve"> </w:t>
      </w:r>
      <w:r w:rsidR="00A0370B">
        <w:rPr>
          <w:rFonts w:ascii="Times New Roman" w:hAnsi="Times New Roman" w:cs="Times New Roman"/>
          <w:sz w:val="24"/>
          <w:szCs w:val="24"/>
        </w:rPr>
        <w:t>2023</w:t>
      </w:r>
      <w:r w:rsidR="00B31142" w:rsidRPr="00B31142">
        <w:rPr>
          <w:rFonts w:ascii="Times New Roman" w:hAnsi="Times New Roman" w:cs="Times New Roman"/>
          <w:sz w:val="24"/>
          <w:szCs w:val="24"/>
        </w:rPr>
        <w:t>.gadā līdz 75%, 2</w:t>
      </w:r>
      <w:r w:rsidR="00A0370B">
        <w:rPr>
          <w:rFonts w:ascii="Times New Roman" w:hAnsi="Times New Roman" w:cs="Times New Roman"/>
          <w:sz w:val="24"/>
          <w:szCs w:val="24"/>
        </w:rPr>
        <w:t>024</w:t>
      </w:r>
      <w:r w:rsidR="00B31142" w:rsidRPr="00B31142">
        <w:rPr>
          <w:rFonts w:ascii="Times New Roman" w:hAnsi="Times New Roman" w:cs="Times New Roman"/>
          <w:sz w:val="24"/>
          <w:szCs w:val="24"/>
        </w:rPr>
        <w:t xml:space="preserve">.gadā līdz 85% un </w:t>
      </w:r>
      <w:r w:rsidR="00A0370B">
        <w:rPr>
          <w:rFonts w:ascii="Times New Roman" w:hAnsi="Times New Roman" w:cs="Times New Roman"/>
          <w:sz w:val="24"/>
          <w:szCs w:val="24"/>
        </w:rPr>
        <w:t>2025</w:t>
      </w:r>
      <w:r w:rsidR="00B31142" w:rsidRPr="00B31142">
        <w:rPr>
          <w:rFonts w:ascii="Times New Roman" w:hAnsi="Times New Roman" w:cs="Times New Roman"/>
          <w:sz w:val="24"/>
          <w:szCs w:val="24"/>
        </w:rPr>
        <w:t>.gadā līdz 100%</w:t>
      </w:r>
      <w:r w:rsidR="002B0AC0">
        <w:rPr>
          <w:rFonts w:ascii="Times New Roman" w:hAnsi="Times New Roman" w:cs="Times New Roman"/>
          <w:sz w:val="24"/>
          <w:szCs w:val="24"/>
        </w:rPr>
        <w:t>, kā arī</w:t>
      </w:r>
      <w:r w:rsidR="00D85FB4">
        <w:rPr>
          <w:rFonts w:ascii="Times New Roman" w:hAnsi="Times New Roman" w:cs="Times New Roman"/>
          <w:sz w:val="24"/>
          <w:szCs w:val="24"/>
        </w:rPr>
        <w:t xml:space="preserve"> konceptuāli</w:t>
      </w:r>
      <w:r w:rsidR="003951A5">
        <w:rPr>
          <w:rFonts w:ascii="Times New Roman" w:hAnsi="Times New Roman" w:cs="Times New Roman"/>
          <w:sz w:val="24"/>
          <w:szCs w:val="24"/>
        </w:rPr>
        <w:t xml:space="preserve"> </w:t>
      </w:r>
      <w:bookmarkStart w:id="30" w:name="_Hlk68006553"/>
      <w:r w:rsidR="002B0AC0">
        <w:rPr>
          <w:rFonts w:ascii="Times New Roman" w:hAnsi="Times New Roman" w:cs="Times New Roman"/>
          <w:sz w:val="24"/>
          <w:szCs w:val="24"/>
        </w:rPr>
        <w:t>a</w:t>
      </w:r>
      <w:r w:rsidR="003951A5">
        <w:rPr>
          <w:rFonts w:ascii="Times New Roman" w:hAnsi="Times New Roman" w:cs="Times New Roman"/>
          <w:sz w:val="24"/>
          <w:szCs w:val="24"/>
        </w:rPr>
        <w:t xml:space="preserve">tbalstīt </w:t>
      </w:r>
      <w:r w:rsidR="00DB48BA">
        <w:rPr>
          <w:rFonts w:ascii="Times New Roman" w:hAnsi="Times New Roman" w:cs="Times New Roman"/>
          <w:sz w:val="24"/>
          <w:szCs w:val="24"/>
        </w:rPr>
        <w:t>5</w:t>
      </w:r>
      <w:r w:rsidR="002B0AC0">
        <w:rPr>
          <w:rFonts w:ascii="Times New Roman" w:hAnsi="Times New Roman" w:cs="Times New Roman"/>
          <w:sz w:val="24"/>
          <w:szCs w:val="24"/>
        </w:rPr>
        <w:t xml:space="preserve"> gadu laikā</w:t>
      </w:r>
      <w:r w:rsidR="003951A5">
        <w:rPr>
          <w:rFonts w:ascii="Times New Roman" w:hAnsi="Times New Roman" w:cs="Times New Roman"/>
          <w:sz w:val="24"/>
          <w:szCs w:val="24"/>
        </w:rPr>
        <w:t xml:space="preserve"> pār</w:t>
      </w:r>
      <w:r w:rsidR="00432A0A">
        <w:rPr>
          <w:rFonts w:ascii="Times New Roman" w:hAnsi="Times New Roman" w:cs="Times New Roman"/>
          <w:sz w:val="24"/>
          <w:szCs w:val="24"/>
        </w:rPr>
        <w:t>eju</w:t>
      </w:r>
      <w:r w:rsidR="003951A5">
        <w:rPr>
          <w:rFonts w:ascii="Times New Roman" w:hAnsi="Times New Roman" w:cs="Times New Roman"/>
          <w:sz w:val="24"/>
          <w:szCs w:val="24"/>
        </w:rPr>
        <w:t xml:space="preserve"> uz </w:t>
      </w:r>
      <w:r w:rsidR="00831E67">
        <w:rPr>
          <w:rFonts w:ascii="Times New Roman" w:hAnsi="Times New Roman" w:cs="Times New Roman"/>
          <w:sz w:val="24"/>
          <w:szCs w:val="24"/>
        </w:rPr>
        <w:t>k</w:t>
      </w:r>
      <w:r w:rsidR="00432A0A">
        <w:rPr>
          <w:rFonts w:ascii="Times New Roman" w:hAnsi="Times New Roman" w:cs="Times New Roman"/>
          <w:sz w:val="24"/>
          <w:szCs w:val="24"/>
        </w:rPr>
        <w:t xml:space="preserve">onceptuālajā ziņojumā </w:t>
      </w:r>
      <w:r w:rsidR="00831E67">
        <w:rPr>
          <w:rFonts w:ascii="Times New Roman" w:hAnsi="Times New Roman" w:cs="Times New Roman"/>
          <w:sz w:val="24"/>
          <w:szCs w:val="24"/>
        </w:rPr>
        <w:t>piedāvāto</w:t>
      </w:r>
      <w:r w:rsidR="00432A0A">
        <w:rPr>
          <w:rFonts w:ascii="Times New Roman" w:hAnsi="Times New Roman" w:cs="Times New Roman"/>
          <w:sz w:val="24"/>
          <w:szCs w:val="24"/>
        </w:rPr>
        <w:t xml:space="preserve"> </w:t>
      </w:r>
      <w:r w:rsidR="003951A5">
        <w:rPr>
          <w:rFonts w:ascii="Times New Roman" w:hAnsi="Times New Roman" w:cs="Times New Roman"/>
          <w:sz w:val="24"/>
          <w:szCs w:val="24"/>
        </w:rPr>
        <w:t>2.risinājumu, proti iegādāties drošības rezerves valsts īpašumā un veikt pāreju uz aģentūras modeli.</w:t>
      </w:r>
      <w:bookmarkEnd w:id="30"/>
    </w:p>
    <w:p w14:paraId="495DD5E7" w14:textId="77777777" w:rsidR="00F8459C" w:rsidRDefault="00F8459C">
      <w:pPr>
        <w:pStyle w:val="ListParagraph"/>
        <w:tabs>
          <w:tab w:val="left" w:pos="284"/>
        </w:tabs>
        <w:spacing w:after="0" w:line="240" w:lineRule="auto"/>
        <w:ind w:left="0"/>
        <w:jc w:val="both"/>
        <w:rPr>
          <w:rFonts w:ascii="Times New Roman" w:hAnsi="Times New Roman" w:cs="Times New Roman"/>
          <w:sz w:val="24"/>
          <w:szCs w:val="24"/>
        </w:rPr>
      </w:pPr>
    </w:p>
    <w:p w14:paraId="2FE3E6C5" w14:textId="19E8C456" w:rsidR="00F8459C" w:rsidRDefault="00C71529" w:rsidP="009710D7">
      <w:pPr>
        <w:pStyle w:val="ListParagraph"/>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Noteikt Ekonomikas ministriju par atbildīgo institūciju</w:t>
      </w:r>
      <w:r w:rsidR="002B0AC0">
        <w:rPr>
          <w:rFonts w:ascii="Times New Roman" w:hAnsi="Times New Roman" w:cs="Times New Roman"/>
          <w:sz w:val="24"/>
          <w:szCs w:val="24"/>
        </w:rPr>
        <w:t xml:space="preserve"> abu</w:t>
      </w:r>
      <w:r>
        <w:rPr>
          <w:rFonts w:ascii="Times New Roman" w:hAnsi="Times New Roman" w:cs="Times New Roman"/>
          <w:sz w:val="24"/>
          <w:szCs w:val="24"/>
        </w:rPr>
        <w:t xml:space="preserve"> </w:t>
      </w:r>
      <w:r w:rsidR="009751DC">
        <w:rPr>
          <w:rFonts w:ascii="Times New Roman" w:hAnsi="Times New Roman" w:cs="Times New Roman"/>
          <w:sz w:val="24"/>
          <w:szCs w:val="24"/>
        </w:rPr>
        <w:t>1. punktā minēt</w:t>
      </w:r>
      <w:r w:rsidR="002B0AC0">
        <w:rPr>
          <w:rFonts w:ascii="Times New Roman" w:hAnsi="Times New Roman" w:cs="Times New Roman"/>
          <w:sz w:val="24"/>
          <w:szCs w:val="24"/>
        </w:rPr>
        <w:t>o</w:t>
      </w:r>
      <w:r w:rsidR="009751DC">
        <w:rPr>
          <w:rFonts w:ascii="Times New Roman" w:hAnsi="Times New Roman" w:cs="Times New Roman"/>
          <w:sz w:val="24"/>
          <w:szCs w:val="24"/>
        </w:rPr>
        <w:t xml:space="preserve"> </w:t>
      </w:r>
      <w:r>
        <w:rPr>
          <w:rFonts w:ascii="Times New Roman" w:hAnsi="Times New Roman" w:cs="Times New Roman"/>
          <w:sz w:val="24"/>
          <w:szCs w:val="24"/>
        </w:rPr>
        <w:t>risinājum</w:t>
      </w:r>
      <w:r w:rsidR="002B0AC0">
        <w:rPr>
          <w:rFonts w:ascii="Times New Roman" w:hAnsi="Times New Roman" w:cs="Times New Roman"/>
          <w:sz w:val="24"/>
          <w:szCs w:val="24"/>
        </w:rPr>
        <w:t>u</w:t>
      </w:r>
      <w:r>
        <w:rPr>
          <w:rFonts w:ascii="Times New Roman" w:hAnsi="Times New Roman" w:cs="Times New Roman"/>
          <w:sz w:val="24"/>
          <w:szCs w:val="24"/>
        </w:rPr>
        <w:t xml:space="preserve"> īstenošanā.</w:t>
      </w:r>
    </w:p>
    <w:p w14:paraId="5518E3F7" w14:textId="77777777" w:rsidR="00F8459C" w:rsidRDefault="00F8459C">
      <w:pPr>
        <w:pStyle w:val="ListParagraph"/>
        <w:tabs>
          <w:tab w:val="left" w:pos="284"/>
        </w:tabs>
        <w:spacing w:after="0" w:line="240" w:lineRule="auto"/>
        <w:ind w:left="0"/>
        <w:jc w:val="both"/>
        <w:rPr>
          <w:rFonts w:ascii="Times New Roman" w:hAnsi="Times New Roman" w:cs="Times New Roman"/>
          <w:sz w:val="24"/>
          <w:szCs w:val="24"/>
        </w:rPr>
      </w:pPr>
    </w:p>
    <w:p w14:paraId="36EE50C0" w14:textId="06986C4F" w:rsidR="00F8459C" w:rsidRDefault="00C71529" w:rsidP="009710D7">
      <w:pPr>
        <w:pStyle w:val="ListParagraph"/>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Ekonomikas ministrijai izstrādāt un ekonomikas ministram iesniegt izskatīšanai Ministru kabinetā </w:t>
      </w:r>
      <w:r w:rsidR="00B31142">
        <w:rPr>
          <w:rFonts w:ascii="Times New Roman" w:hAnsi="Times New Roman" w:cs="Times New Roman"/>
          <w:sz w:val="24"/>
          <w:szCs w:val="24"/>
        </w:rPr>
        <w:t xml:space="preserve"> grozījumus Ministru kabineta </w:t>
      </w:r>
      <w:r w:rsidR="00B31142" w:rsidRPr="00B31142">
        <w:rPr>
          <w:rFonts w:ascii="Times New Roman" w:hAnsi="Times New Roman" w:cs="Times New Roman"/>
          <w:sz w:val="24"/>
          <w:szCs w:val="24"/>
        </w:rPr>
        <w:t>2011.gada 12.aprīļa noteikumi Nr. 286 “Kārtība, kādā komersanti nodrošina un sniedz drošības rezervju pakalpojumu valsts naftas produktu drošības rezervju izveidei noteiktā apjomā”</w:t>
      </w:r>
      <w:r w:rsidR="002B0AC0">
        <w:rPr>
          <w:rFonts w:ascii="Times New Roman" w:hAnsi="Times New Roman" w:cs="Times New Roman"/>
          <w:sz w:val="24"/>
          <w:szCs w:val="24"/>
        </w:rPr>
        <w:t>, nosakot Latvijas teritorijā uzglabājamo drošības rezervju minimālo apjomu saskaņā ar 1. punktā minēto risinājumu</w:t>
      </w:r>
      <w:r>
        <w:rPr>
          <w:rFonts w:ascii="Times New Roman" w:hAnsi="Times New Roman" w:cs="Times New Roman"/>
          <w:sz w:val="24"/>
          <w:szCs w:val="24"/>
        </w:rPr>
        <w:t>.</w:t>
      </w:r>
    </w:p>
    <w:p w14:paraId="6F9C9D4E" w14:textId="77777777" w:rsidR="00B31142" w:rsidRDefault="00B31142" w:rsidP="00B31142">
      <w:pPr>
        <w:pStyle w:val="ListParagraph"/>
        <w:tabs>
          <w:tab w:val="left" w:pos="284"/>
        </w:tabs>
        <w:spacing w:after="0" w:line="240" w:lineRule="auto"/>
        <w:ind w:left="0"/>
        <w:jc w:val="both"/>
        <w:rPr>
          <w:rFonts w:ascii="Times New Roman" w:hAnsi="Times New Roman" w:cs="Times New Roman"/>
          <w:sz w:val="24"/>
          <w:szCs w:val="24"/>
        </w:rPr>
      </w:pPr>
    </w:p>
    <w:p w14:paraId="664BA515" w14:textId="55626E94" w:rsidR="00B31142" w:rsidRDefault="00B31142" w:rsidP="00B31142">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bookmarkStart w:id="31" w:name="_Hlk68006693"/>
      <w:r w:rsidR="002328DC" w:rsidRPr="002328DC">
        <w:rPr>
          <w:rFonts w:ascii="Times New Roman" w:hAnsi="Times New Roman" w:cs="Times New Roman"/>
          <w:sz w:val="24"/>
          <w:szCs w:val="24"/>
        </w:rPr>
        <w:t xml:space="preserve">Būvniecības valsts kontroles birojam īstenot iepirkumu par 2022.gada drošības rezervju uzglabāšanu, </w:t>
      </w:r>
      <w:r w:rsidR="002328DC">
        <w:rPr>
          <w:rFonts w:ascii="Times New Roman" w:hAnsi="Times New Roman" w:cs="Times New Roman"/>
          <w:sz w:val="24"/>
          <w:szCs w:val="24"/>
        </w:rPr>
        <w:t>precizējot iepirkuma nolikumu ņem</w:t>
      </w:r>
      <w:r w:rsidR="00F51D2A">
        <w:rPr>
          <w:rFonts w:ascii="Times New Roman" w:hAnsi="Times New Roman" w:cs="Times New Roman"/>
          <w:sz w:val="24"/>
          <w:szCs w:val="24"/>
        </w:rPr>
        <w:t>t</w:t>
      </w:r>
      <w:r w:rsidR="002328DC">
        <w:rPr>
          <w:rFonts w:ascii="Times New Roman" w:hAnsi="Times New Roman" w:cs="Times New Roman"/>
          <w:sz w:val="24"/>
          <w:szCs w:val="24"/>
        </w:rPr>
        <w:t xml:space="preserve"> vērā</w:t>
      </w:r>
      <w:r w:rsidR="002328DC" w:rsidRPr="002328DC">
        <w:rPr>
          <w:rFonts w:ascii="Times New Roman" w:hAnsi="Times New Roman" w:cs="Times New Roman"/>
          <w:sz w:val="24"/>
          <w:szCs w:val="24"/>
        </w:rPr>
        <w:t xml:space="preserve"> Ekonomikas ministrijas rīkotā </w:t>
      </w:r>
      <w:proofErr w:type="spellStart"/>
      <w:r w:rsidR="002328DC" w:rsidRPr="002328DC">
        <w:rPr>
          <w:rFonts w:ascii="Times New Roman" w:hAnsi="Times New Roman" w:cs="Times New Roman"/>
          <w:sz w:val="24"/>
          <w:szCs w:val="24"/>
        </w:rPr>
        <w:t>hakatona</w:t>
      </w:r>
      <w:proofErr w:type="spellEnd"/>
      <w:r w:rsidR="002328DC" w:rsidRPr="002328DC">
        <w:rPr>
          <w:rFonts w:ascii="Times New Roman" w:hAnsi="Times New Roman" w:cs="Times New Roman"/>
          <w:sz w:val="24"/>
          <w:szCs w:val="24"/>
        </w:rPr>
        <w:t xml:space="preserve"> secinājum</w:t>
      </w:r>
      <w:r w:rsidR="002328DC">
        <w:rPr>
          <w:rFonts w:ascii="Times New Roman" w:hAnsi="Times New Roman" w:cs="Times New Roman"/>
          <w:sz w:val="24"/>
          <w:szCs w:val="24"/>
        </w:rPr>
        <w:t>us</w:t>
      </w:r>
      <w:r w:rsidR="002328DC" w:rsidRPr="002328DC">
        <w:rPr>
          <w:rFonts w:ascii="Times New Roman" w:hAnsi="Times New Roman" w:cs="Times New Roman"/>
          <w:sz w:val="24"/>
          <w:szCs w:val="24"/>
        </w:rPr>
        <w:t>. Vienlaikus</w:t>
      </w:r>
      <w:r w:rsidR="002328DC">
        <w:rPr>
          <w:rFonts w:ascii="Times New Roman" w:hAnsi="Times New Roman" w:cs="Times New Roman"/>
          <w:sz w:val="24"/>
          <w:szCs w:val="24"/>
        </w:rPr>
        <w:t xml:space="preserve"> </w:t>
      </w:r>
      <w:r>
        <w:rPr>
          <w:rFonts w:ascii="Times New Roman" w:hAnsi="Times New Roman" w:cs="Times New Roman"/>
          <w:sz w:val="24"/>
          <w:szCs w:val="24"/>
        </w:rPr>
        <w:t xml:space="preserve">Ekonomikas ministrijai īstenot sarunas ar nozares pārstāvjiem par </w:t>
      </w:r>
      <w:r w:rsidR="00F86A98">
        <w:rPr>
          <w:rFonts w:ascii="Times New Roman" w:hAnsi="Times New Roman" w:cs="Times New Roman"/>
          <w:sz w:val="24"/>
          <w:szCs w:val="24"/>
        </w:rPr>
        <w:t>iepirkuma</w:t>
      </w:r>
      <w:r w:rsidR="00F86A98" w:rsidRPr="00B31142">
        <w:rPr>
          <w:rFonts w:ascii="Times New Roman" w:hAnsi="Times New Roman" w:cs="Times New Roman"/>
          <w:sz w:val="24"/>
          <w:szCs w:val="24"/>
        </w:rPr>
        <w:t xml:space="preserve"> </w:t>
      </w:r>
      <w:r w:rsidRPr="00B31142">
        <w:rPr>
          <w:rFonts w:ascii="Times New Roman" w:hAnsi="Times New Roman" w:cs="Times New Roman"/>
          <w:sz w:val="24"/>
          <w:szCs w:val="24"/>
        </w:rPr>
        <w:t xml:space="preserve">par </w:t>
      </w:r>
      <w:r w:rsidR="002328DC">
        <w:rPr>
          <w:rFonts w:ascii="Times New Roman" w:hAnsi="Times New Roman" w:cs="Times New Roman"/>
          <w:sz w:val="24"/>
          <w:szCs w:val="24"/>
        </w:rPr>
        <w:t xml:space="preserve">2023.gada </w:t>
      </w:r>
      <w:r w:rsidRPr="00B31142">
        <w:rPr>
          <w:rFonts w:ascii="Times New Roman" w:hAnsi="Times New Roman" w:cs="Times New Roman"/>
          <w:sz w:val="24"/>
          <w:szCs w:val="24"/>
        </w:rPr>
        <w:t>drošības rezervju uzglabāšanas pakalpojumu sniegšanu nolikum</w:t>
      </w:r>
      <w:r>
        <w:rPr>
          <w:rFonts w:ascii="Times New Roman" w:hAnsi="Times New Roman" w:cs="Times New Roman"/>
          <w:sz w:val="24"/>
          <w:szCs w:val="24"/>
        </w:rPr>
        <w:t>ā veicamajiem uzlabojumiem</w:t>
      </w:r>
      <w:r w:rsidR="00DD6EFF">
        <w:rPr>
          <w:rFonts w:ascii="Times New Roman" w:hAnsi="Times New Roman" w:cs="Times New Roman"/>
          <w:sz w:val="24"/>
          <w:szCs w:val="24"/>
        </w:rPr>
        <w:t xml:space="preserve"> komersantu dalības veicināšanai iepirkumā</w:t>
      </w:r>
      <w:r>
        <w:rPr>
          <w:rFonts w:ascii="Times New Roman" w:hAnsi="Times New Roman" w:cs="Times New Roman"/>
          <w:sz w:val="24"/>
          <w:szCs w:val="24"/>
        </w:rPr>
        <w:t xml:space="preserve"> un iesniegt izskatīšanai Ministru kabinetā </w:t>
      </w:r>
      <w:r w:rsidR="00F80BD7">
        <w:rPr>
          <w:rFonts w:ascii="Times New Roman" w:hAnsi="Times New Roman" w:cs="Times New Roman"/>
          <w:sz w:val="24"/>
          <w:szCs w:val="24"/>
        </w:rPr>
        <w:t xml:space="preserve">informatīvo </w:t>
      </w:r>
      <w:r>
        <w:rPr>
          <w:rFonts w:ascii="Times New Roman" w:hAnsi="Times New Roman" w:cs="Times New Roman"/>
          <w:sz w:val="24"/>
          <w:szCs w:val="24"/>
        </w:rPr>
        <w:t>ziņojumu ar secinājumiem un priekšlikumiem minētā nolikuma pilnveidošanai.</w:t>
      </w:r>
      <w:bookmarkEnd w:id="31"/>
    </w:p>
    <w:p w14:paraId="4FA7DA46" w14:textId="0EAA9EF1" w:rsidR="00047E1C" w:rsidRDefault="00047E1C" w:rsidP="00B31142">
      <w:pPr>
        <w:pStyle w:val="ListParagraph"/>
        <w:tabs>
          <w:tab w:val="left" w:pos="284"/>
        </w:tabs>
        <w:spacing w:after="0" w:line="240" w:lineRule="auto"/>
        <w:ind w:left="0"/>
        <w:jc w:val="both"/>
        <w:rPr>
          <w:rFonts w:ascii="Times New Roman" w:hAnsi="Times New Roman" w:cs="Times New Roman"/>
          <w:sz w:val="24"/>
          <w:szCs w:val="24"/>
        </w:rPr>
      </w:pPr>
    </w:p>
    <w:p w14:paraId="12828ABE" w14:textId="446849ED" w:rsidR="008923B3" w:rsidRDefault="00047E1C" w:rsidP="009751D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bookmarkStart w:id="32" w:name="_Hlk68006703"/>
      <w:r>
        <w:rPr>
          <w:rFonts w:ascii="Times New Roman" w:hAnsi="Times New Roman" w:cs="Times New Roman"/>
          <w:sz w:val="24"/>
          <w:szCs w:val="24"/>
        </w:rPr>
        <w:t xml:space="preserve">Ekonomikas ministrijai izstrādāt </w:t>
      </w:r>
      <w:r w:rsidR="00AE62E7" w:rsidRPr="00AE62E7">
        <w:rPr>
          <w:rFonts w:ascii="Times New Roman" w:hAnsi="Times New Roman" w:cs="Times New Roman"/>
          <w:sz w:val="24"/>
          <w:szCs w:val="24"/>
        </w:rPr>
        <w:t xml:space="preserve"> </w:t>
      </w:r>
      <w:r w:rsidR="00AE62E7">
        <w:rPr>
          <w:rFonts w:ascii="Times New Roman" w:hAnsi="Times New Roman" w:cs="Times New Roman"/>
          <w:sz w:val="24"/>
          <w:szCs w:val="24"/>
        </w:rPr>
        <w:t xml:space="preserve">un ekonomikas ministram iesniegt izskatīšanai Ministru kabinetā grozījumus </w:t>
      </w:r>
      <w:r w:rsidR="00AE62E7" w:rsidRPr="00AE62E7">
        <w:rPr>
          <w:rFonts w:ascii="Times New Roman" w:hAnsi="Times New Roman" w:cs="Times New Roman"/>
          <w:sz w:val="24"/>
          <w:szCs w:val="24"/>
        </w:rPr>
        <w:t xml:space="preserve">Ministru kabineta 2011.gada 19.aprīļa noteikumi Nr.312 </w:t>
      </w:r>
      <w:r w:rsidR="00AE62E7">
        <w:rPr>
          <w:rFonts w:ascii="Times New Roman" w:hAnsi="Times New Roman" w:cs="Times New Roman"/>
          <w:sz w:val="24"/>
          <w:szCs w:val="24"/>
        </w:rPr>
        <w:t>“</w:t>
      </w:r>
      <w:r w:rsidR="00AE62E7" w:rsidRPr="00AE62E7">
        <w:rPr>
          <w:rFonts w:ascii="Times New Roman" w:hAnsi="Times New Roman" w:cs="Times New Roman"/>
          <w:sz w:val="24"/>
          <w:szCs w:val="24"/>
        </w:rPr>
        <w:t>Enerģijas lietotāju apgādes un kurināmā pārdošanas kārtība izsludinātas enerģētiskās krīzes laikā un valsts apdraudējuma gadījumā</w:t>
      </w:r>
      <w:r w:rsidR="00AE62E7">
        <w:rPr>
          <w:rFonts w:ascii="Times New Roman" w:hAnsi="Times New Roman" w:cs="Times New Roman"/>
          <w:sz w:val="24"/>
          <w:szCs w:val="24"/>
        </w:rPr>
        <w:t>”</w:t>
      </w:r>
      <w:r w:rsidR="00CA4B7D">
        <w:rPr>
          <w:rFonts w:ascii="Times New Roman" w:hAnsi="Times New Roman" w:cs="Times New Roman"/>
          <w:sz w:val="24"/>
          <w:szCs w:val="24"/>
        </w:rPr>
        <w:t>,</w:t>
      </w:r>
      <w:r w:rsidR="00CA2A8D">
        <w:rPr>
          <w:rFonts w:ascii="Times New Roman" w:hAnsi="Times New Roman" w:cs="Times New Roman"/>
          <w:sz w:val="24"/>
          <w:szCs w:val="24"/>
        </w:rPr>
        <w:t xml:space="preserve">  </w:t>
      </w:r>
      <w:r w:rsidR="00AE62E7">
        <w:rPr>
          <w:rFonts w:ascii="Times New Roman" w:hAnsi="Times New Roman" w:cs="Times New Roman"/>
          <w:sz w:val="24"/>
          <w:szCs w:val="24"/>
        </w:rPr>
        <w:t>nosakot skaidru</w:t>
      </w:r>
      <w:r w:rsidR="00CA2A8D">
        <w:rPr>
          <w:rFonts w:ascii="Times New Roman" w:hAnsi="Times New Roman" w:cs="Times New Roman"/>
          <w:sz w:val="24"/>
          <w:szCs w:val="24"/>
        </w:rPr>
        <w:t xml:space="preserve"> </w:t>
      </w:r>
      <w:r w:rsidR="003951A5">
        <w:rPr>
          <w:rFonts w:ascii="Times New Roman" w:hAnsi="Times New Roman" w:cs="Times New Roman"/>
          <w:sz w:val="24"/>
          <w:szCs w:val="24"/>
        </w:rPr>
        <w:t>rīcīb</w:t>
      </w:r>
      <w:r w:rsidR="00AE62E7">
        <w:rPr>
          <w:rFonts w:ascii="Times New Roman" w:hAnsi="Times New Roman" w:cs="Times New Roman"/>
          <w:sz w:val="24"/>
          <w:szCs w:val="24"/>
        </w:rPr>
        <w:t>u</w:t>
      </w:r>
      <w:r w:rsidR="003951A5">
        <w:rPr>
          <w:rFonts w:ascii="Times New Roman" w:hAnsi="Times New Roman" w:cs="Times New Roman"/>
          <w:sz w:val="24"/>
          <w:szCs w:val="24"/>
        </w:rPr>
        <w:t xml:space="preserve"> krīzes situācijā, tajā skaitā </w:t>
      </w:r>
      <w:r w:rsidR="00963F22">
        <w:rPr>
          <w:rFonts w:ascii="Times New Roman" w:hAnsi="Times New Roman" w:cs="Times New Roman"/>
          <w:sz w:val="24"/>
          <w:szCs w:val="24"/>
        </w:rPr>
        <w:t xml:space="preserve">drošības </w:t>
      </w:r>
      <w:r w:rsidR="00CA2A8D">
        <w:rPr>
          <w:rFonts w:ascii="Times New Roman" w:hAnsi="Times New Roman" w:cs="Times New Roman"/>
          <w:sz w:val="24"/>
          <w:szCs w:val="24"/>
        </w:rPr>
        <w:t>rezervju atpirkšanas, izsniegšanas</w:t>
      </w:r>
      <w:r w:rsidR="006754B7">
        <w:rPr>
          <w:rFonts w:ascii="Times New Roman" w:hAnsi="Times New Roman" w:cs="Times New Roman"/>
          <w:sz w:val="24"/>
          <w:szCs w:val="24"/>
        </w:rPr>
        <w:t xml:space="preserve"> un</w:t>
      </w:r>
      <w:r w:rsidR="00CA2A8D">
        <w:rPr>
          <w:rFonts w:ascii="Times New Roman" w:hAnsi="Times New Roman" w:cs="Times New Roman"/>
          <w:sz w:val="24"/>
          <w:szCs w:val="24"/>
        </w:rPr>
        <w:t xml:space="preserve"> transportēšanas kārtīb</w:t>
      </w:r>
      <w:r w:rsidR="00AE62E7">
        <w:rPr>
          <w:rFonts w:ascii="Times New Roman" w:hAnsi="Times New Roman" w:cs="Times New Roman"/>
          <w:sz w:val="24"/>
          <w:szCs w:val="24"/>
        </w:rPr>
        <w:t>u</w:t>
      </w:r>
      <w:r w:rsidR="00CA2A8D">
        <w:rPr>
          <w:rFonts w:ascii="Times New Roman" w:hAnsi="Times New Roman" w:cs="Times New Roman"/>
          <w:sz w:val="24"/>
          <w:szCs w:val="24"/>
        </w:rPr>
        <w:t>, definē</w:t>
      </w:r>
      <w:r w:rsidR="00CA4B7D">
        <w:rPr>
          <w:rFonts w:ascii="Times New Roman" w:hAnsi="Times New Roman" w:cs="Times New Roman"/>
          <w:sz w:val="24"/>
          <w:szCs w:val="24"/>
        </w:rPr>
        <w:t>jot</w:t>
      </w:r>
      <w:r w:rsidR="00CA2A8D">
        <w:rPr>
          <w:rFonts w:ascii="Times New Roman" w:hAnsi="Times New Roman" w:cs="Times New Roman"/>
          <w:sz w:val="24"/>
          <w:szCs w:val="24"/>
        </w:rPr>
        <w:t xml:space="preserve"> naftas nozares enerģētiskās krīzes situācij</w:t>
      </w:r>
      <w:r w:rsidR="006754B7">
        <w:rPr>
          <w:rFonts w:ascii="Times New Roman" w:hAnsi="Times New Roman" w:cs="Times New Roman"/>
          <w:sz w:val="24"/>
          <w:szCs w:val="24"/>
        </w:rPr>
        <w:t>as atbildīgās puses, kā arī no</w:t>
      </w:r>
      <w:r w:rsidR="00AE62E7">
        <w:rPr>
          <w:rFonts w:ascii="Times New Roman" w:hAnsi="Times New Roman" w:cs="Times New Roman"/>
          <w:sz w:val="24"/>
          <w:szCs w:val="24"/>
        </w:rPr>
        <w:t>sakot</w:t>
      </w:r>
      <w:r w:rsidR="006754B7">
        <w:rPr>
          <w:rFonts w:ascii="Times New Roman" w:hAnsi="Times New Roman" w:cs="Times New Roman"/>
          <w:sz w:val="24"/>
          <w:szCs w:val="24"/>
        </w:rPr>
        <w:t xml:space="preserve"> dat</w:t>
      </w:r>
      <w:r w:rsidR="00AE62E7">
        <w:rPr>
          <w:rFonts w:ascii="Times New Roman" w:hAnsi="Times New Roman" w:cs="Times New Roman"/>
          <w:sz w:val="24"/>
          <w:szCs w:val="24"/>
        </w:rPr>
        <w:t>us</w:t>
      </w:r>
      <w:r w:rsidR="006754B7">
        <w:rPr>
          <w:rFonts w:ascii="Times New Roman" w:hAnsi="Times New Roman" w:cs="Times New Roman"/>
          <w:sz w:val="24"/>
          <w:szCs w:val="24"/>
        </w:rPr>
        <w:t>, kuriem pastāvīgi ir jābūt atbildīgo institūciju rīcībā un definē</w:t>
      </w:r>
      <w:r w:rsidR="00AE62E7">
        <w:rPr>
          <w:rFonts w:ascii="Times New Roman" w:hAnsi="Times New Roman" w:cs="Times New Roman"/>
          <w:sz w:val="24"/>
          <w:szCs w:val="24"/>
        </w:rPr>
        <w:t>jot</w:t>
      </w:r>
      <w:r w:rsidR="006754B7">
        <w:rPr>
          <w:rFonts w:ascii="Times New Roman" w:hAnsi="Times New Roman" w:cs="Times New Roman"/>
          <w:sz w:val="24"/>
          <w:szCs w:val="24"/>
        </w:rPr>
        <w:t xml:space="preserve"> atbildīgo institūciju pienākum</w:t>
      </w:r>
      <w:r w:rsidR="00AE62E7">
        <w:rPr>
          <w:rFonts w:ascii="Times New Roman" w:hAnsi="Times New Roman" w:cs="Times New Roman"/>
          <w:sz w:val="24"/>
          <w:szCs w:val="24"/>
        </w:rPr>
        <w:t>us</w:t>
      </w:r>
      <w:r w:rsidR="006754B7">
        <w:rPr>
          <w:rFonts w:ascii="Times New Roman" w:hAnsi="Times New Roman" w:cs="Times New Roman"/>
          <w:sz w:val="24"/>
          <w:szCs w:val="24"/>
        </w:rPr>
        <w:t xml:space="preserve">, lai šos datus nodrošinātu un uzturētu. </w:t>
      </w:r>
      <w:r w:rsidR="00CA2A8D">
        <w:rPr>
          <w:rFonts w:ascii="Times New Roman" w:hAnsi="Times New Roman" w:cs="Times New Roman"/>
          <w:sz w:val="24"/>
          <w:szCs w:val="24"/>
        </w:rPr>
        <w:t xml:space="preserve"> </w:t>
      </w:r>
      <w:bookmarkEnd w:id="32"/>
    </w:p>
    <w:p w14:paraId="74CB2F20" w14:textId="77777777" w:rsidR="009751DC" w:rsidRDefault="009751DC" w:rsidP="009751DC">
      <w:pPr>
        <w:pStyle w:val="ListParagraph"/>
        <w:tabs>
          <w:tab w:val="left" w:pos="284"/>
        </w:tabs>
        <w:spacing w:after="0" w:line="240" w:lineRule="auto"/>
        <w:ind w:left="0"/>
        <w:jc w:val="both"/>
        <w:rPr>
          <w:rFonts w:ascii="Times New Roman" w:hAnsi="Times New Roman" w:cs="Times New Roman"/>
          <w:sz w:val="24"/>
          <w:szCs w:val="24"/>
        </w:rPr>
      </w:pPr>
    </w:p>
    <w:p w14:paraId="74FC8E91" w14:textId="787ED0B2" w:rsidR="000430EF" w:rsidRDefault="00432A0A" w:rsidP="009751D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6</w:t>
      </w:r>
      <w:r w:rsidR="009751DC">
        <w:rPr>
          <w:rFonts w:ascii="Times New Roman" w:hAnsi="Times New Roman" w:cs="Times New Roman"/>
          <w:sz w:val="24"/>
          <w:szCs w:val="24"/>
        </w:rPr>
        <w:t>) Ekonomikas ministrijai izstrādāt un ekonomikas ministram iesniegt izskatīšanai Ministru kabinetā konceptuālo ziņojumu par konkrētiem soļiem aģentūras izveidei, kurā tiks piedāvāti dažādi aģentūras izveides scenāriji un aprakstīts iegādātās degvielas aprites (rotācijas) process</w:t>
      </w:r>
      <w:r w:rsidR="00A0370B" w:rsidRPr="00A0370B">
        <w:rPr>
          <w:rFonts w:ascii="Times New Roman" w:hAnsi="Times New Roman" w:cs="Times New Roman"/>
          <w:sz w:val="24"/>
          <w:szCs w:val="24"/>
        </w:rPr>
        <w:t xml:space="preserve">, </w:t>
      </w:r>
      <w:r w:rsidR="005A4937" w:rsidRPr="005A4937">
        <w:rPr>
          <w:rFonts w:ascii="Times New Roman" w:hAnsi="Times New Roman" w:cs="Times New Roman"/>
          <w:sz w:val="24"/>
          <w:szCs w:val="24"/>
        </w:rPr>
        <w:t xml:space="preserve">veikts izvērtējums par naftas produktu piegādes ķēdē esošo komersantu un to naftas produktu iesaisti drošības rezervju veidošanā, pēc iespējas izmantojot (attiecinot uz rezervēm) komerciālajā apritē esošos naftas produktu resursus un tādējādi samazinot valsts tiešos izdevumus, </w:t>
      </w:r>
      <w:r w:rsidR="00A0370B" w:rsidRPr="00A0370B">
        <w:rPr>
          <w:rFonts w:ascii="Times New Roman" w:hAnsi="Times New Roman" w:cs="Times New Roman"/>
          <w:sz w:val="24"/>
          <w:szCs w:val="24"/>
        </w:rPr>
        <w:t>kā arī sniegts detalizēts izvērtējums par nepieciešamo finansējumu un tā finansēšanas avotiem</w:t>
      </w:r>
      <w:r w:rsidR="005A4937">
        <w:rPr>
          <w:rFonts w:ascii="Times New Roman" w:hAnsi="Times New Roman" w:cs="Times New Roman"/>
          <w:sz w:val="24"/>
          <w:szCs w:val="24"/>
        </w:rPr>
        <w:t>,</w:t>
      </w:r>
      <w:r w:rsidR="005A4937" w:rsidRPr="005A4937">
        <w:t xml:space="preserve"> </w:t>
      </w:r>
      <w:r w:rsidR="005A4937" w:rsidRPr="005A4937">
        <w:rPr>
          <w:rFonts w:ascii="Times New Roman" w:hAnsi="Times New Roman" w:cs="Times New Roman"/>
          <w:sz w:val="24"/>
          <w:szCs w:val="24"/>
        </w:rPr>
        <w:t>tai skaitā izvērtējot iespēju izmantot finanšu instrumentu un aizņemto kapitālu</w:t>
      </w:r>
      <w:r w:rsidR="009751DC">
        <w:rPr>
          <w:rFonts w:ascii="Times New Roman" w:hAnsi="Times New Roman" w:cs="Times New Roman"/>
          <w:sz w:val="24"/>
          <w:szCs w:val="24"/>
        </w:rPr>
        <w:t>.</w:t>
      </w:r>
    </w:p>
    <w:p w14:paraId="6D18DCE2" w14:textId="6DDEBA91" w:rsidR="00F66766" w:rsidRDefault="00F66766" w:rsidP="009751DC">
      <w:pPr>
        <w:pStyle w:val="ListParagraph"/>
        <w:tabs>
          <w:tab w:val="left" w:pos="284"/>
        </w:tabs>
        <w:spacing w:after="0" w:line="240" w:lineRule="auto"/>
        <w:ind w:left="0"/>
        <w:jc w:val="both"/>
        <w:rPr>
          <w:rFonts w:ascii="Times New Roman" w:hAnsi="Times New Roman" w:cs="Times New Roman"/>
          <w:sz w:val="24"/>
          <w:szCs w:val="24"/>
        </w:rPr>
      </w:pPr>
    </w:p>
    <w:p w14:paraId="14A83F3E" w14:textId="6A6EBA44" w:rsidR="00F66766" w:rsidRPr="009751DC" w:rsidRDefault="00F66766" w:rsidP="009751DC">
      <w:pPr>
        <w:pStyle w:val="ListParagraph"/>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F66766">
        <w:rPr>
          <w:rFonts w:ascii="Times New Roman" w:hAnsi="Times New Roman" w:cs="Times New Roman"/>
          <w:sz w:val="24"/>
          <w:szCs w:val="24"/>
        </w:rPr>
        <w:t>Jautājums par nepieciešamo finansējumu 1.punktā minētā 2.risinājuma īstenošanai skatāms likumprojekta par valsts budžetu kārtējam gadam un likumprojekta par vidēja termiņa budžeta ietvaru sagatavošanas un izskatīšanas procesā kopā ar visu ministriju un citu centrālo valsts iestāžu iesniegtajiem prioritāro pasākumu pieteikumiem atbilstoši valsts budžeta finansiālajām iespējām.</w:t>
      </w:r>
    </w:p>
    <w:p w14:paraId="774BDAAE" w14:textId="77777777" w:rsidR="00E9751F" w:rsidRPr="003D7403" w:rsidRDefault="00E9751F" w:rsidP="003D7403">
      <w:pPr>
        <w:pStyle w:val="naisf"/>
        <w:tabs>
          <w:tab w:val="left" w:pos="6237"/>
          <w:tab w:val="right" w:pos="8820"/>
        </w:tabs>
        <w:spacing w:before="0" w:beforeAutospacing="0" w:after="0" w:afterAutospacing="0"/>
        <w:ind w:firstLine="709"/>
        <w:rPr>
          <w:sz w:val="28"/>
          <w:szCs w:val="28"/>
        </w:rPr>
      </w:pPr>
    </w:p>
    <w:p w14:paraId="3411469D" w14:textId="77777777" w:rsidR="00E9751F" w:rsidRPr="003D7403" w:rsidRDefault="00E9751F" w:rsidP="003D7403">
      <w:pPr>
        <w:pStyle w:val="naisf"/>
        <w:tabs>
          <w:tab w:val="left" w:pos="6237"/>
          <w:tab w:val="right" w:pos="8820"/>
        </w:tabs>
        <w:spacing w:before="0" w:beforeAutospacing="0" w:after="0" w:afterAutospacing="0"/>
        <w:ind w:firstLine="709"/>
        <w:rPr>
          <w:sz w:val="28"/>
          <w:szCs w:val="28"/>
        </w:rPr>
      </w:pPr>
    </w:p>
    <w:p w14:paraId="15CEC330" w14:textId="77777777" w:rsidR="00E9751F" w:rsidRPr="003D7403" w:rsidRDefault="00E9751F" w:rsidP="003D7403">
      <w:pPr>
        <w:pStyle w:val="naisf"/>
        <w:tabs>
          <w:tab w:val="left" w:pos="6237"/>
          <w:tab w:val="right" w:pos="8820"/>
        </w:tabs>
        <w:spacing w:before="0" w:beforeAutospacing="0" w:after="0" w:afterAutospacing="0"/>
        <w:ind w:firstLine="709"/>
        <w:rPr>
          <w:sz w:val="28"/>
          <w:szCs w:val="28"/>
        </w:rPr>
      </w:pPr>
    </w:p>
    <w:p w14:paraId="3822CD39" w14:textId="77777777" w:rsidR="00E9751F" w:rsidRPr="003D7403" w:rsidRDefault="00E9751F"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E9751F" w:rsidRPr="003D7403" w:rsidSect="00474BDF">
      <w:headerReference w:type="default" r:id="rId17"/>
      <w:footerReference w:type="default" r:id="rId18"/>
      <w:headerReference w:type="first" r:id="rId19"/>
      <w:footerReference w:type="first" r:id="rId20"/>
      <w:pgSz w:w="11906" w:h="16838"/>
      <w:pgMar w:top="709" w:right="1416" w:bottom="709" w:left="1560" w:header="426"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B456E" w14:textId="77777777" w:rsidR="0032694B" w:rsidRDefault="0032694B">
      <w:pPr>
        <w:spacing w:after="0" w:line="240" w:lineRule="auto"/>
      </w:pPr>
      <w:r>
        <w:separator/>
      </w:r>
    </w:p>
  </w:endnote>
  <w:endnote w:type="continuationSeparator" w:id="0">
    <w:p w14:paraId="5A7BE903" w14:textId="77777777" w:rsidR="0032694B" w:rsidRDefault="0032694B">
      <w:pPr>
        <w:spacing w:after="0" w:line="240" w:lineRule="auto"/>
      </w:pPr>
      <w:r>
        <w:continuationSeparator/>
      </w:r>
    </w:p>
  </w:endnote>
  <w:endnote w:type="continuationNotice" w:id="1">
    <w:p w14:paraId="48060D54" w14:textId="77777777" w:rsidR="0032694B" w:rsidRDefault="00326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C26E" w14:textId="49AAF2D8" w:rsidR="0032694B" w:rsidRPr="00474BDF" w:rsidRDefault="00474BDF" w:rsidP="00474BDF">
    <w:pPr>
      <w:pStyle w:val="Footer"/>
      <w:rPr>
        <w:rFonts w:ascii="Times New Roman" w:hAnsi="Times New Roman" w:cs="Times New Roman"/>
        <w:sz w:val="16"/>
        <w:szCs w:val="16"/>
      </w:rPr>
    </w:pPr>
    <w:r w:rsidRPr="00474BDF">
      <w:rPr>
        <w:rFonts w:ascii="Times New Roman" w:hAnsi="Times New Roman" w:cs="Times New Roman"/>
        <w:sz w:val="16"/>
        <w:szCs w:val="16"/>
      </w:rPr>
      <w:t>(TA-1709)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0D5D" w14:textId="77777777" w:rsidR="00474BDF" w:rsidRPr="00474BDF" w:rsidRDefault="00474BDF" w:rsidP="00474BDF">
    <w:pPr>
      <w:pStyle w:val="Footer"/>
      <w:rPr>
        <w:rFonts w:ascii="Times New Roman" w:hAnsi="Times New Roman" w:cs="Times New Roman"/>
        <w:sz w:val="16"/>
        <w:szCs w:val="16"/>
      </w:rPr>
    </w:pPr>
    <w:r w:rsidRPr="00474BDF">
      <w:rPr>
        <w:rFonts w:ascii="Times New Roman" w:hAnsi="Times New Roman" w:cs="Times New Roman"/>
        <w:sz w:val="16"/>
        <w:szCs w:val="16"/>
      </w:rPr>
      <w:t>(TA-1709)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A6BFE" w14:textId="77777777" w:rsidR="0032694B" w:rsidRDefault="0032694B">
      <w:pPr>
        <w:spacing w:after="0" w:line="240" w:lineRule="auto"/>
      </w:pPr>
      <w:r>
        <w:separator/>
      </w:r>
    </w:p>
  </w:footnote>
  <w:footnote w:type="continuationSeparator" w:id="0">
    <w:p w14:paraId="665059AE" w14:textId="77777777" w:rsidR="0032694B" w:rsidRDefault="0032694B">
      <w:pPr>
        <w:spacing w:after="0" w:line="240" w:lineRule="auto"/>
      </w:pPr>
      <w:r>
        <w:continuationSeparator/>
      </w:r>
    </w:p>
  </w:footnote>
  <w:footnote w:type="continuationNotice" w:id="1">
    <w:p w14:paraId="512270BE" w14:textId="77777777" w:rsidR="0032694B" w:rsidRDefault="0032694B">
      <w:pPr>
        <w:spacing w:after="0" w:line="240" w:lineRule="auto"/>
      </w:pPr>
    </w:p>
  </w:footnote>
  <w:footnote w:id="2">
    <w:p w14:paraId="557DC584" w14:textId="5E8BE1A8" w:rsidR="0032694B" w:rsidRDefault="0032694B">
      <w:pPr>
        <w:pStyle w:val="FootnoteText"/>
        <w:rPr>
          <w:rFonts w:ascii="Times New Roman" w:hAnsi="Times New Roman" w:cs="Times New Roman"/>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Pētījums par naftas produktu drošības rezervju cenas veidošanos un priekšlikumu izstrāde labākajam risinājumam valsts naftas produktu drošības rezervju izveidei (pieejams: </w:t>
      </w:r>
      <w:hyperlink r:id="rId1" w:history="1">
        <w:r>
          <w:rPr>
            <w:rStyle w:val="Hyperlink"/>
            <w:rFonts w:ascii="Times New Roman" w:hAnsi="Times New Roman" w:cs="Times New Roman"/>
            <w:sz w:val="18"/>
            <w:szCs w:val="18"/>
          </w:rPr>
          <w:t>http://petijumi.mk.gov.lv/sites/default/files/title_file/200327_Latvia_oil%20reserve%20management_Deloitte_LAT.pdf</w:t>
        </w:r>
      </w:hyperlink>
      <w:r>
        <w:rPr>
          <w:rFonts w:ascii="Times New Roman" w:hAnsi="Times New Roman" w:cs="Times New Roman"/>
          <w:sz w:val="18"/>
          <w:szCs w:val="18"/>
        </w:rPr>
        <w:t>)</w:t>
      </w:r>
    </w:p>
  </w:footnote>
  <w:footnote w:id="3">
    <w:p w14:paraId="0C6DD87C" w14:textId="773AD71A" w:rsidR="0032694B" w:rsidRPr="00825E85" w:rsidRDefault="0032694B" w:rsidP="00825E85">
      <w:pPr>
        <w:pStyle w:val="FootnoteText"/>
        <w:jc w:val="both"/>
        <w:rPr>
          <w:rFonts w:ascii="Times New Roman" w:hAnsi="Times New Roman" w:cs="Times New Roman"/>
          <w:sz w:val="18"/>
          <w:szCs w:val="18"/>
        </w:rPr>
      </w:pPr>
      <w:r>
        <w:rPr>
          <w:rStyle w:val="FootnoteReference"/>
        </w:rPr>
        <w:footnoteRef/>
      </w:r>
      <w:r>
        <w:t xml:space="preserve"> </w:t>
      </w:r>
      <w:r w:rsidRPr="00825E85">
        <w:rPr>
          <w:rFonts w:ascii="Times New Roman" w:hAnsi="Times New Roman" w:cs="Times New Roman"/>
          <w:sz w:val="18"/>
          <w:szCs w:val="18"/>
        </w:rPr>
        <w:t>2009.gada 14.septembra EP Direktīva </w:t>
      </w:r>
      <w:hyperlink r:id="rId2" w:tgtFrame="_blank" w:history="1">
        <w:r w:rsidRPr="00825E85">
          <w:rPr>
            <w:rStyle w:val="Hyperlink"/>
            <w:rFonts w:ascii="Times New Roman" w:hAnsi="Times New Roman" w:cs="Times New Roman"/>
            <w:sz w:val="18"/>
            <w:szCs w:val="18"/>
          </w:rPr>
          <w:t>2009/119/EK</w:t>
        </w:r>
      </w:hyperlink>
      <w:r w:rsidRPr="00825E85">
        <w:rPr>
          <w:rFonts w:ascii="Times New Roman" w:hAnsi="Times New Roman" w:cs="Times New Roman"/>
          <w:sz w:val="18"/>
          <w:szCs w:val="18"/>
        </w:rPr>
        <w:t> ar ko dalībvalstīm uzliek pienākumu uzturēt jēlnaftas un/vai naftas produktu obligātās rezerves</w:t>
      </w:r>
    </w:p>
  </w:footnote>
  <w:footnote w:id="4">
    <w:p w14:paraId="3F7DE85D" w14:textId="375CC85E" w:rsidR="0032694B" w:rsidRDefault="0032694B" w:rsidP="00825E85">
      <w:pPr>
        <w:pStyle w:val="FootnoteText"/>
        <w:jc w:val="both"/>
      </w:pPr>
      <w:r w:rsidRPr="00825E85">
        <w:rPr>
          <w:rStyle w:val="FootnoteReference"/>
          <w:rFonts w:ascii="Times New Roman" w:hAnsi="Times New Roman" w:cs="Times New Roman"/>
          <w:sz w:val="18"/>
          <w:szCs w:val="18"/>
        </w:rPr>
        <w:footnoteRef/>
      </w:r>
      <w:r w:rsidRPr="00825E85">
        <w:rPr>
          <w:rFonts w:ascii="Times New Roman" w:hAnsi="Times New Roman" w:cs="Times New Roman"/>
          <w:sz w:val="18"/>
          <w:szCs w:val="18"/>
        </w:rPr>
        <w:t>Ministru kabineta 2011.gada 12.aprīļa noteikumi Nr. 286 “Kārtība, kādā komersanti nodrošina un sniedz drošības rezervju pakalpojumu valsts naftas produktu drošības rezervju izveidei noteiktā apjomā”</w:t>
      </w:r>
    </w:p>
  </w:footnote>
  <w:footnote w:id="5">
    <w:p w14:paraId="5F39B046" w14:textId="6040B701" w:rsidR="0032694B" w:rsidRDefault="0032694B" w:rsidP="00825E85">
      <w:pPr>
        <w:pStyle w:val="FootnoteText"/>
        <w:jc w:val="both"/>
      </w:pPr>
      <w:r>
        <w:rPr>
          <w:rStyle w:val="FootnoteReference"/>
        </w:rPr>
        <w:footnoteRef/>
      </w:r>
      <w:bookmarkStart w:id="12" w:name="_Hlk69222943"/>
      <w:r>
        <w:rPr>
          <w:rFonts w:ascii="Times New Roman" w:hAnsi="Times New Roman" w:cs="Times New Roman"/>
          <w:sz w:val="18"/>
          <w:szCs w:val="18"/>
        </w:rPr>
        <w:t xml:space="preserve"> </w:t>
      </w:r>
      <w:bookmarkEnd w:id="12"/>
      <w:r w:rsidRPr="00825E85">
        <w:rPr>
          <w:rFonts w:ascii="Times New Roman" w:hAnsi="Times New Roman" w:cs="Times New Roman"/>
          <w:sz w:val="18"/>
          <w:szCs w:val="18"/>
        </w:rPr>
        <w:t>Ministru kabineta 2011.gada 14.jūnija noteikumi Nr.450 "Noteikumi par valsts naftas produktu rezervju apmēru, apmēru, kādā maksājama valsts nodeva par drošības rezervju uzturēšanu, kā arī tās aprēķināšanas, maksāšanas un administrēšanas kārtību"</w:t>
      </w:r>
      <w:r>
        <w:t xml:space="preserve">  </w:t>
      </w:r>
    </w:p>
  </w:footnote>
  <w:footnote w:id="6">
    <w:p w14:paraId="483D666E" w14:textId="72A48189" w:rsidR="0032694B" w:rsidRPr="00FD4F90" w:rsidRDefault="0032694B" w:rsidP="000478F5">
      <w:pPr>
        <w:pStyle w:val="FootnoteText"/>
        <w:jc w:val="both"/>
        <w:rPr>
          <w:rFonts w:ascii="Times New Roman" w:hAnsi="Times New Roman" w:cs="Times New Roman"/>
        </w:rPr>
      </w:pPr>
      <w:r w:rsidRPr="00FD4F90">
        <w:rPr>
          <w:rStyle w:val="FootnoteReference"/>
          <w:rFonts w:ascii="Times New Roman" w:hAnsi="Times New Roman" w:cs="Times New Roman"/>
        </w:rPr>
        <w:footnoteRef/>
      </w:r>
      <w:r w:rsidRPr="00FD4F90">
        <w:rPr>
          <w:rFonts w:ascii="Times New Roman" w:hAnsi="Times New Roman" w:cs="Times New Roman"/>
        </w:rPr>
        <w:t xml:space="preserve"> Ministru kabineta 2011.gada 19.aprīļa noteikumi Nr.312 "Enerģijas lietotāju apgādes un kurināmā pārdošanas kārtība izsludinātas enerģētiskās krīzes laikā un valsts apdraudējuma gadījumā"</w:t>
      </w:r>
    </w:p>
  </w:footnote>
  <w:footnote w:id="7">
    <w:p w14:paraId="4A203620" w14:textId="501CD798" w:rsidR="0032694B" w:rsidRPr="00FD4F90" w:rsidRDefault="0032694B" w:rsidP="000478F5">
      <w:pPr>
        <w:pStyle w:val="FootnoteText"/>
        <w:jc w:val="both"/>
        <w:rPr>
          <w:rFonts w:ascii="Times New Roman" w:hAnsi="Times New Roman" w:cs="Times New Roman"/>
        </w:rPr>
      </w:pPr>
      <w:r w:rsidRPr="00FD4F90">
        <w:rPr>
          <w:rStyle w:val="FootnoteReference"/>
          <w:rFonts w:ascii="Times New Roman" w:hAnsi="Times New Roman" w:cs="Times New Roman"/>
        </w:rPr>
        <w:footnoteRef/>
      </w:r>
      <w:r w:rsidRPr="00FD4F90">
        <w:rPr>
          <w:rFonts w:ascii="Times New Roman" w:hAnsi="Times New Roman" w:cs="Times New Roman"/>
        </w:rPr>
        <w:t xml:space="preserve"> Ministru kabineta 20</w:t>
      </w:r>
      <w:r>
        <w:rPr>
          <w:rFonts w:ascii="Times New Roman" w:hAnsi="Times New Roman" w:cs="Times New Roman"/>
        </w:rPr>
        <w:t>02</w:t>
      </w:r>
      <w:r w:rsidRPr="00FD4F90">
        <w:rPr>
          <w:rFonts w:ascii="Times New Roman" w:hAnsi="Times New Roman" w:cs="Times New Roman"/>
        </w:rPr>
        <w:t xml:space="preserve">.gada </w:t>
      </w:r>
      <w:r>
        <w:rPr>
          <w:rFonts w:ascii="Times New Roman" w:hAnsi="Times New Roman" w:cs="Times New Roman"/>
        </w:rPr>
        <w:t>29.janvāra</w:t>
      </w:r>
      <w:r w:rsidRPr="00FD4F90">
        <w:rPr>
          <w:rFonts w:ascii="Times New Roman" w:hAnsi="Times New Roman" w:cs="Times New Roman"/>
        </w:rPr>
        <w:t xml:space="preserve"> noteikumi Nr.</w:t>
      </w:r>
      <w:r>
        <w:rPr>
          <w:rFonts w:ascii="Times New Roman" w:hAnsi="Times New Roman" w:cs="Times New Roman"/>
        </w:rPr>
        <w:t>40</w:t>
      </w:r>
      <w:r w:rsidRPr="00FD4F90">
        <w:rPr>
          <w:rFonts w:ascii="Times New Roman" w:hAnsi="Times New Roman" w:cs="Times New Roman"/>
        </w:rPr>
        <w:t xml:space="preserve"> "</w:t>
      </w:r>
      <w:r>
        <w:rPr>
          <w:rFonts w:ascii="Times New Roman" w:hAnsi="Times New Roman" w:cs="Times New Roman"/>
        </w:rPr>
        <w:t>Valsts enerģētiskās krīzes centra nolikums</w:t>
      </w:r>
      <w:r w:rsidRPr="00FD4F90">
        <w:rPr>
          <w:rFonts w:ascii="Times New Roman" w:hAnsi="Times New Roman" w:cs="Times New Roman"/>
        </w:rPr>
        <w:t>"</w:t>
      </w:r>
      <w:r>
        <w:rPr>
          <w:rFonts w:ascii="Times New Roman" w:hAnsi="Times New Roman" w:cs="Times New Roman"/>
        </w:rPr>
        <w:t xml:space="preserve"> </w:t>
      </w:r>
    </w:p>
  </w:footnote>
  <w:footnote w:id="8">
    <w:p w14:paraId="26DEF504" w14:textId="4B184CA0" w:rsidR="0032694B" w:rsidRPr="00FD4F90" w:rsidRDefault="0032694B">
      <w:pPr>
        <w:pStyle w:val="FootnoteText"/>
        <w:rPr>
          <w:rFonts w:ascii="Times New Roman" w:hAnsi="Times New Roman" w:cs="Times New Roman"/>
        </w:rPr>
      </w:pPr>
      <w:r w:rsidRPr="00FD4F90">
        <w:rPr>
          <w:rStyle w:val="FootnoteReference"/>
          <w:rFonts w:ascii="Times New Roman" w:hAnsi="Times New Roman" w:cs="Times New Roman"/>
        </w:rPr>
        <w:footnoteRef/>
      </w:r>
      <w:r w:rsidRPr="00FD4F90">
        <w:rPr>
          <w:rFonts w:ascii="Times New Roman" w:hAnsi="Times New Roman" w:cs="Times New Roman"/>
        </w:rPr>
        <w:t xml:space="preserve"> Enerģētikas likums 72.</w:t>
      </w:r>
      <w:r w:rsidRPr="00F121A5">
        <w:rPr>
          <w:rFonts w:ascii="Times New Roman" w:hAnsi="Times New Roman" w:cs="Times New Roman"/>
          <w:vertAlign w:val="superscript"/>
        </w:rPr>
        <w:t>3</w:t>
      </w:r>
      <w:r>
        <w:rPr>
          <w:rFonts w:ascii="Times New Roman" w:hAnsi="Times New Roman" w:cs="Times New Roman"/>
        </w:rPr>
        <w:t xml:space="preserve"> </w:t>
      </w:r>
      <w:r w:rsidRPr="00FD4F90">
        <w:rPr>
          <w:rFonts w:ascii="Times New Roman" w:hAnsi="Times New Roman" w:cs="Times New Roman"/>
        </w:rPr>
        <w:t>pants</w:t>
      </w:r>
    </w:p>
  </w:footnote>
  <w:footnote w:id="9">
    <w:p w14:paraId="05A93548" w14:textId="77777777" w:rsidR="0032694B" w:rsidRPr="00FD4F90" w:rsidRDefault="0032694B" w:rsidP="000F76FB">
      <w:pPr>
        <w:pStyle w:val="FootnoteText"/>
        <w:jc w:val="both"/>
        <w:rPr>
          <w:rFonts w:ascii="Times New Roman" w:hAnsi="Times New Roman" w:cs="Times New Roman"/>
        </w:rPr>
      </w:pPr>
      <w:r w:rsidRPr="00FD4F90">
        <w:rPr>
          <w:rStyle w:val="FootnoteReference"/>
          <w:rFonts w:ascii="Times New Roman" w:hAnsi="Times New Roman" w:cs="Times New Roman"/>
        </w:rPr>
        <w:footnoteRef/>
      </w:r>
      <w:r w:rsidRPr="00FD4F90">
        <w:rPr>
          <w:rFonts w:ascii="Times New Roman" w:hAnsi="Times New Roman" w:cs="Times New Roman"/>
        </w:rPr>
        <w:t xml:space="preserve"> Ministru kabineta 2011.gada 14.jūnija noteikumi Nr.450  "Noteikumi par valsts naftas produktu rezervju apmēru, apmēru, kādā maksājama valsts nodeva par drošības rezervju uzturēšanu, kā arī tās aprēķināšanas, maksāšanas un administrēšanas kārtību"  5. punkts.</w:t>
      </w:r>
    </w:p>
  </w:footnote>
  <w:footnote w:id="10">
    <w:p w14:paraId="41F5D2B4" w14:textId="77777777" w:rsidR="0032694B" w:rsidRPr="007F0FEF" w:rsidRDefault="0032694B" w:rsidP="002523E9">
      <w:pPr>
        <w:pStyle w:val="FootnoteText"/>
        <w:rPr>
          <w:rFonts w:ascii="Times New Roman" w:hAnsi="Times New Roman"/>
        </w:rPr>
      </w:pPr>
      <w:r w:rsidRPr="007F0FEF">
        <w:rPr>
          <w:rStyle w:val="FootnoteReference"/>
          <w:rFonts w:ascii="Times New Roman" w:hAnsi="Times New Roman"/>
        </w:rPr>
        <w:footnoteRef/>
      </w:r>
      <w:r w:rsidRPr="007F0FEF">
        <w:rPr>
          <w:rFonts w:ascii="Times New Roman" w:hAnsi="Times New Roman"/>
        </w:rPr>
        <w:t xml:space="preserve"> </w:t>
      </w:r>
      <w:r>
        <w:rPr>
          <w:rFonts w:ascii="Times New Roman" w:hAnsi="Times New Roman"/>
        </w:rPr>
        <w:t>L</w:t>
      </w:r>
      <w:r w:rsidRPr="007F0FEF">
        <w:rPr>
          <w:rFonts w:ascii="Times New Roman" w:hAnsi="Times New Roman"/>
        </w:rPr>
        <w:t>aika posms 11 mēneši un 14 dienas</w:t>
      </w:r>
      <w:r>
        <w:rPr>
          <w:rFonts w:ascii="Times New Roman" w:hAnsi="Times New Roman"/>
        </w:rPr>
        <w:t>.</w:t>
      </w:r>
    </w:p>
  </w:footnote>
  <w:footnote w:id="11">
    <w:p w14:paraId="09E5E68B" w14:textId="77777777" w:rsidR="0032694B" w:rsidRDefault="0032694B" w:rsidP="002523E9">
      <w:pPr>
        <w:pStyle w:val="FootnoteText"/>
      </w:pPr>
      <w:r>
        <w:rPr>
          <w:rStyle w:val="FootnoteReference"/>
        </w:rPr>
        <w:footnoteRef/>
      </w:r>
      <w:r>
        <w:t xml:space="preserve"> L</w:t>
      </w:r>
      <w:r w:rsidRPr="007B284A">
        <w:rPr>
          <w:rFonts w:ascii="Times New Roman" w:hAnsi="Times New Roman"/>
        </w:rPr>
        <w:t xml:space="preserve">aika posms </w:t>
      </w:r>
      <w:r>
        <w:rPr>
          <w:rFonts w:ascii="Times New Roman" w:hAnsi="Times New Roman"/>
        </w:rPr>
        <w:t>6 mēneši un 3 dienas</w:t>
      </w:r>
      <w:r w:rsidRPr="007F0FEF">
        <w:rPr>
          <w:rFonts w:ascii="Times New Roman" w:hAnsi="Times New Roman"/>
        </w:rPr>
        <w:t>.</w:t>
      </w:r>
      <w:r>
        <w:rPr>
          <w:rFonts w:ascii="Times New Roman" w:hAnsi="Times New Roman"/>
        </w:rPr>
        <w:t xml:space="preserve"> </w:t>
      </w:r>
    </w:p>
  </w:footnote>
  <w:footnote w:id="12">
    <w:p w14:paraId="45A8EA10" w14:textId="77777777" w:rsidR="0032694B" w:rsidRDefault="0032694B">
      <w:pPr>
        <w:pStyle w:val="FootnoteText"/>
      </w:pPr>
      <w:r>
        <w:rPr>
          <w:rStyle w:val="FootnoteReference"/>
        </w:rPr>
        <w:footnoteRef/>
      </w:r>
      <w:r>
        <w:t xml:space="preserve"> </w:t>
      </w:r>
      <w:r>
        <w:rPr>
          <w:rFonts w:ascii="Times New Roman" w:hAnsi="Times New Roman" w:cs="Times New Roman"/>
        </w:rPr>
        <w:t xml:space="preserve">Laika posms 24 mēneši. </w:t>
      </w:r>
    </w:p>
  </w:footnote>
  <w:footnote w:id="13">
    <w:p w14:paraId="7C283270" w14:textId="77777777" w:rsidR="0032694B" w:rsidRDefault="0032694B">
      <w:pPr>
        <w:pStyle w:val="FootnoteText"/>
      </w:pPr>
      <w:r>
        <w:rPr>
          <w:rStyle w:val="FootnoteReference"/>
        </w:rPr>
        <w:footnoteRef/>
      </w:r>
      <w:r>
        <w:t xml:space="preserve"> No 01.01.2020. līdz 02.06.2020.</w:t>
      </w:r>
    </w:p>
  </w:footnote>
  <w:footnote w:id="14">
    <w:p w14:paraId="004AB68C" w14:textId="0F23CE4D" w:rsidR="0032694B" w:rsidRPr="00164E6A" w:rsidRDefault="0032694B">
      <w:pPr>
        <w:pStyle w:val="FootnoteText"/>
        <w:rPr>
          <w:rFonts w:ascii="Times New Roman" w:hAnsi="Times New Roman" w:cs="Times New Roman"/>
        </w:rPr>
      </w:pPr>
      <w:r w:rsidRPr="00164E6A">
        <w:rPr>
          <w:rStyle w:val="FootnoteReference"/>
          <w:rFonts w:ascii="Times New Roman" w:hAnsi="Times New Roman" w:cs="Times New Roman"/>
        </w:rPr>
        <w:footnoteRef/>
      </w:r>
      <w:r w:rsidRPr="00164E6A">
        <w:rPr>
          <w:rFonts w:ascii="Times New Roman" w:hAnsi="Times New Roman" w:cs="Times New Roman"/>
        </w:rPr>
        <w:t xml:space="preserve"> Nav iespējams aprēķināt iekasēto valsts nodevu visam 2021. gadam </w:t>
      </w:r>
    </w:p>
  </w:footnote>
  <w:footnote w:id="15">
    <w:p w14:paraId="5EC7B3E5" w14:textId="2E1C7DF2" w:rsidR="0032694B" w:rsidRPr="006E0743" w:rsidRDefault="0032694B" w:rsidP="006E0743">
      <w:pPr>
        <w:pStyle w:val="FootnoteText"/>
        <w:jc w:val="both"/>
        <w:rPr>
          <w:rFonts w:ascii="Times New Roman" w:hAnsi="Times New Roman" w:cs="Times New Roman"/>
        </w:rPr>
      </w:pPr>
      <w:r w:rsidRPr="006E0743">
        <w:rPr>
          <w:rStyle w:val="FootnoteReference"/>
          <w:rFonts w:ascii="Times New Roman" w:hAnsi="Times New Roman" w:cs="Times New Roman"/>
        </w:rPr>
        <w:footnoteRef/>
      </w:r>
      <w:r w:rsidRPr="006E0743">
        <w:rPr>
          <w:rFonts w:ascii="Times New Roman" w:hAnsi="Times New Roman" w:cs="Times New Roman"/>
        </w:rPr>
        <w:t xml:space="preserve"> 2011.gada 19.aprīļa Ministru kabineta noteikumi Nr.312 “Enerģijas lietotāju apgādes un kurināmā pārdošanas kārtība izsludinātas enerģētiskās krīzes laikā un valsts apdraudējuma gadījumā”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15920"/>
      <w:docPartObj>
        <w:docPartGallery w:val="Page Numbers (Top of Page)"/>
        <w:docPartUnique/>
      </w:docPartObj>
    </w:sdtPr>
    <w:sdtEndPr>
      <w:rPr>
        <w:rFonts w:ascii="Times New Roman" w:hAnsi="Times New Roman" w:cs="Times New Roman"/>
        <w:noProof/>
        <w:sz w:val="24"/>
        <w:szCs w:val="24"/>
      </w:rPr>
    </w:sdtEndPr>
    <w:sdtContent>
      <w:p w14:paraId="6D3F3ED3" w14:textId="50EED234" w:rsidR="00474BDF" w:rsidRPr="00474BDF" w:rsidRDefault="00474BDF">
        <w:pPr>
          <w:pStyle w:val="Header"/>
          <w:jc w:val="center"/>
          <w:rPr>
            <w:rFonts w:ascii="Times New Roman" w:hAnsi="Times New Roman" w:cs="Times New Roman"/>
            <w:sz w:val="24"/>
            <w:szCs w:val="24"/>
          </w:rPr>
        </w:pPr>
        <w:r w:rsidRPr="00474BDF">
          <w:rPr>
            <w:rFonts w:ascii="Times New Roman" w:hAnsi="Times New Roman" w:cs="Times New Roman"/>
            <w:sz w:val="24"/>
            <w:szCs w:val="24"/>
          </w:rPr>
          <w:fldChar w:fldCharType="begin"/>
        </w:r>
        <w:r w:rsidRPr="00474BDF">
          <w:rPr>
            <w:rFonts w:ascii="Times New Roman" w:hAnsi="Times New Roman" w:cs="Times New Roman"/>
            <w:sz w:val="24"/>
            <w:szCs w:val="24"/>
          </w:rPr>
          <w:instrText xml:space="preserve"> PAGE   \* MERGEFORMAT </w:instrText>
        </w:r>
        <w:r w:rsidRPr="00474BDF">
          <w:rPr>
            <w:rFonts w:ascii="Times New Roman" w:hAnsi="Times New Roman" w:cs="Times New Roman"/>
            <w:sz w:val="24"/>
            <w:szCs w:val="24"/>
          </w:rPr>
          <w:fldChar w:fldCharType="separate"/>
        </w:r>
        <w:r w:rsidRPr="00474BDF">
          <w:rPr>
            <w:rFonts w:ascii="Times New Roman" w:hAnsi="Times New Roman" w:cs="Times New Roman"/>
            <w:noProof/>
            <w:sz w:val="24"/>
            <w:szCs w:val="24"/>
          </w:rPr>
          <w:t>2</w:t>
        </w:r>
        <w:r w:rsidRPr="00474BDF">
          <w:rPr>
            <w:rFonts w:ascii="Times New Roman" w:hAnsi="Times New Roman" w:cs="Times New Roman"/>
            <w:noProof/>
            <w:sz w:val="24"/>
            <w:szCs w:val="24"/>
          </w:rPr>
          <w:fldChar w:fldCharType="end"/>
        </w:r>
      </w:p>
    </w:sdtContent>
  </w:sdt>
  <w:p w14:paraId="67DCD3F7" w14:textId="77777777" w:rsidR="0032694B" w:rsidRDefault="0032694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91B84" w14:textId="77777777" w:rsidR="0032694B" w:rsidRDefault="0032694B">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54D"/>
    <w:multiLevelType w:val="hybridMultilevel"/>
    <w:tmpl w:val="99A4C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364DB1"/>
    <w:multiLevelType w:val="hybridMultilevel"/>
    <w:tmpl w:val="99C005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DC26EC"/>
    <w:multiLevelType w:val="hybridMultilevel"/>
    <w:tmpl w:val="BA3E5F2C"/>
    <w:lvl w:ilvl="0" w:tplc="6742EAFE">
      <w:start w:val="4"/>
      <w:numFmt w:val="bullet"/>
      <w:lvlText w:val="-"/>
      <w:lvlJc w:val="left"/>
      <w:pPr>
        <w:ind w:left="1069" w:hanging="360"/>
      </w:pPr>
      <w:rPr>
        <w:rFonts w:ascii="Times New Roman" w:eastAsiaTheme="minorHAnsi"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52437B4"/>
    <w:multiLevelType w:val="hybridMultilevel"/>
    <w:tmpl w:val="6DA48D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29BA0F52"/>
    <w:multiLevelType w:val="hybridMultilevel"/>
    <w:tmpl w:val="5F14DC9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F8585C"/>
    <w:multiLevelType w:val="hybridMultilevel"/>
    <w:tmpl w:val="FAF428C2"/>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D321B02"/>
    <w:multiLevelType w:val="hybridMultilevel"/>
    <w:tmpl w:val="9EFA80C6"/>
    <w:lvl w:ilvl="0" w:tplc="6280665E">
      <w:start w:val="1"/>
      <w:numFmt w:val="lowerLetter"/>
      <w:lvlText w:val="%1)"/>
      <w:lvlJc w:val="left"/>
      <w:pPr>
        <w:ind w:left="1069" w:hanging="360"/>
      </w:pPr>
      <w:rPr>
        <w:rFonts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15:restartNumberingAfterBreak="0">
    <w:nsid w:val="2D460039"/>
    <w:multiLevelType w:val="hybridMultilevel"/>
    <w:tmpl w:val="4F029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32B74416"/>
    <w:multiLevelType w:val="hybridMultilevel"/>
    <w:tmpl w:val="0D3AAC7E"/>
    <w:lvl w:ilvl="0" w:tplc="1882AEBC">
      <w:start w:val="1"/>
      <w:numFmt w:val="decimal"/>
      <w:lvlText w:val="%1."/>
      <w:lvlJc w:val="left"/>
      <w:pPr>
        <w:ind w:left="1496" w:hanging="360"/>
      </w:pPr>
      <w:rPr>
        <w:rFonts w:ascii="Times New Roman" w:eastAsia="Calibri" w:hAnsi="Times New Roman" w:cs="Times New Roman"/>
      </w:rPr>
    </w:lvl>
    <w:lvl w:ilvl="1" w:tplc="0744350A" w:tentative="1">
      <w:start w:val="1"/>
      <w:numFmt w:val="lowerLetter"/>
      <w:lvlText w:val="%2."/>
      <w:lvlJc w:val="left"/>
      <w:pPr>
        <w:ind w:left="2216" w:hanging="360"/>
      </w:pPr>
    </w:lvl>
    <w:lvl w:ilvl="2" w:tplc="26BEBFA6" w:tentative="1">
      <w:start w:val="1"/>
      <w:numFmt w:val="lowerRoman"/>
      <w:lvlText w:val="%3."/>
      <w:lvlJc w:val="right"/>
      <w:pPr>
        <w:ind w:left="2936" w:hanging="180"/>
      </w:pPr>
    </w:lvl>
    <w:lvl w:ilvl="3" w:tplc="B2F294A8" w:tentative="1">
      <w:start w:val="1"/>
      <w:numFmt w:val="decimal"/>
      <w:lvlText w:val="%4."/>
      <w:lvlJc w:val="left"/>
      <w:pPr>
        <w:ind w:left="3656" w:hanging="360"/>
      </w:pPr>
    </w:lvl>
    <w:lvl w:ilvl="4" w:tplc="608C446C" w:tentative="1">
      <w:start w:val="1"/>
      <w:numFmt w:val="lowerLetter"/>
      <w:lvlText w:val="%5."/>
      <w:lvlJc w:val="left"/>
      <w:pPr>
        <w:ind w:left="4376" w:hanging="360"/>
      </w:pPr>
    </w:lvl>
    <w:lvl w:ilvl="5" w:tplc="3EF83D46" w:tentative="1">
      <w:start w:val="1"/>
      <w:numFmt w:val="lowerRoman"/>
      <w:lvlText w:val="%6."/>
      <w:lvlJc w:val="right"/>
      <w:pPr>
        <w:ind w:left="5096" w:hanging="180"/>
      </w:pPr>
    </w:lvl>
    <w:lvl w:ilvl="6" w:tplc="0F20B0A0" w:tentative="1">
      <w:start w:val="1"/>
      <w:numFmt w:val="decimal"/>
      <w:lvlText w:val="%7."/>
      <w:lvlJc w:val="left"/>
      <w:pPr>
        <w:ind w:left="5816" w:hanging="360"/>
      </w:pPr>
    </w:lvl>
    <w:lvl w:ilvl="7" w:tplc="9A90EEA2" w:tentative="1">
      <w:start w:val="1"/>
      <w:numFmt w:val="lowerLetter"/>
      <w:lvlText w:val="%8."/>
      <w:lvlJc w:val="left"/>
      <w:pPr>
        <w:ind w:left="6536" w:hanging="360"/>
      </w:pPr>
    </w:lvl>
    <w:lvl w:ilvl="8" w:tplc="7902A9A2" w:tentative="1">
      <w:start w:val="1"/>
      <w:numFmt w:val="lowerRoman"/>
      <w:lvlText w:val="%9."/>
      <w:lvlJc w:val="right"/>
      <w:pPr>
        <w:ind w:left="7256" w:hanging="180"/>
      </w:pPr>
    </w:lvl>
  </w:abstractNum>
  <w:abstractNum w:abstractNumId="9" w15:restartNumberingAfterBreak="0">
    <w:nsid w:val="36D70AAE"/>
    <w:multiLevelType w:val="hybridMultilevel"/>
    <w:tmpl w:val="F4D668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BB830A3"/>
    <w:multiLevelType w:val="hybridMultilevel"/>
    <w:tmpl w:val="045A304C"/>
    <w:lvl w:ilvl="0" w:tplc="04244EC0">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542D58"/>
    <w:multiLevelType w:val="multilevel"/>
    <w:tmpl w:val="87DC6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0741CB"/>
    <w:multiLevelType w:val="hybridMultilevel"/>
    <w:tmpl w:val="BB1EDD1A"/>
    <w:lvl w:ilvl="0" w:tplc="ADF2A570">
      <w:start w:val="1"/>
      <w:numFmt w:val="lowerLetter"/>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A280253"/>
    <w:multiLevelType w:val="hybridMultilevel"/>
    <w:tmpl w:val="C39A926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5B2155C4"/>
    <w:multiLevelType w:val="hybridMultilevel"/>
    <w:tmpl w:val="01707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04A36CB"/>
    <w:multiLevelType w:val="hybridMultilevel"/>
    <w:tmpl w:val="48AC5B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D05053"/>
    <w:multiLevelType w:val="hybridMultilevel"/>
    <w:tmpl w:val="996EA316"/>
    <w:lvl w:ilvl="0" w:tplc="04260001">
      <w:start w:val="1"/>
      <w:numFmt w:val="bullet"/>
      <w:lvlText w:val=""/>
      <w:lvlJc w:val="left"/>
      <w:pPr>
        <w:ind w:left="178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67EA395E"/>
    <w:multiLevelType w:val="hybridMultilevel"/>
    <w:tmpl w:val="3690B98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99C4801"/>
    <w:multiLevelType w:val="hybridMultilevel"/>
    <w:tmpl w:val="6A60841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6D6C23AD"/>
    <w:multiLevelType w:val="hybridMultilevel"/>
    <w:tmpl w:val="590CAB6C"/>
    <w:lvl w:ilvl="0" w:tplc="589E243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E712153"/>
    <w:multiLevelType w:val="hybridMultilevel"/>
    <w:tmpl w:val="D86C382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713A7DF6"/>
    <w:multiLevelType w:val="hybridMultilevel"/>
    <w:tmpl w:val="551C895E"/>
    <w:lvl w:ilvl="0" w:tplc="E60868B6">
      <w:start w:val="1"/>
      <w:numFmt w:val="lowerLetter"/>
      <w:lvlText w:val="%1)"/>
      <w:lvlJc w:val="left"/>
      <w:pPr>
        <w:ind w:left="1860" w:hanging="360"/>
      </w:pPr>
      <w:rPr>
        <w:rFonts w:hint="default"/>
      </w:rPr>
    </w:lvl>
    <w:lvl w:ilvl="1" w:tplc="802EC168" w:tentative="1">
      <w:start w:val="1"/>
      <w:numFmt w:val="lowerLetter"/>
      <w:lvlText w:val="%2."/>
      <w:lvlJc w:val="left"/>
      <w:pPr>
        <w:ind w:left="2580" w:hanging="360"/>
      </w:pPr>
    </w:lvl>
    <w:lvl w:ilvl="2" w:tplc="4748271E" w:tentative="1">
      <w:start w:val="1"/>
      <w:numFmt w:val="lowerRoman"/>
      <w:lvlText w:val="%3."/>
      <w:lvlJc w:val="right"/>
      <w:pPr>
        <w:ind w:left="3300" w:hanging="180"/>
      </w:pPr>
    </w:lvl>
    <w:lvl w:ilvl="3" w:tplc="0DA6DF5C" w:tentative="1">
      <w:start w:val="1"/>
      <w:numFmt w:val="decimal"/>
      <w:lvlText w:val="%4."/>
      <w:lvlJc w:val="left"/>
      <w:pPr>
        <w:ind w:left="4020" w:hanging="360"/>
      </w:pPr>
    </w:lvl>
    <w:lvl w:ilvl="4" w:tplc="637021EC" w:tentative="1">
      <w:start w:val="1"/>
      <w:numFmt w:val="lowerLetter"/>
      <w:lvlText w:val="%5."/>
      <w:lvlJc w:val="left"/>
      <w:pPr>
        <w:ind w:left="4740" w:hanging="360"/>
      </w:pPr>
    </w:lvl>
    <w:lvl w:ilvl="5" w:tplc="AF666100" w:tentative="1">
      <w:start w:val="1"/>
      <w:numFmt w:val="lowerRoman"/>
      <w:lvlText w:val="%6."/>
      <w:lvlJc w:val="right"/>
      <w:pPr>
        <w:ind w:left="5460" w:hanging="180"/>
      </w:pPr>
    </w:lvl>
    <w:lvl w:ilvl="6" w:tplc="A2B446A8" w:tentative="1">
      <w:start w:val="1"/>
      <w:numFmt w:val="decimal"/>
      <w:lvlText w:val="%7."/>
      <w:lvlJc w:val="left"/>
      <w:pPr>
        <w:ind w:left="6180" w:hanging="360"/>
      </w:pPr>
    </w:lvl>
    <w:lvl w:ilvl="7" w:tplc="EDB28DBE" w:tentative="1">
      <w:start w:val="1"/>
      <w:numFmt w:val="lowerLetter"/>
      <w:lvlText w:val="%8."/>
      <w:lvlJc w:val="left"/>
      <w:pPr>
        <w:ind w:left="6900" w:hanging="360"/>
      </w:pPr>
    </w:lvl>
    <w:lvl w:ilvl="8" w:tplc="58865E90" w:tentative="1">
      <w:start w:val="1"/>
      <w:numFmt w:val="lowerRoman"/>
      <w:lvlText w:val="%9."/>
      <w:lvlJc w:val="right"/>
      <w:pPr>
        <w:ind w:left="7620" w:hanging="180"/>
      </w:pPr>
    </w:lvl>
  </w:abstractNum>
  <w:abstractNum w:abstractNumId="22" w15:restartNumberingAfterBreak="0">
    <w:nsid w:val="7BF81CF0"/>
    <w:multiLevelType w:val="hybridMultilevel"/>
    <w:tmpl w:val="BB2E64E8"/>
    <w:lvl w:ilvl="0" w:tplc="3EC0D5A6">
      <w:start w:val="1"/>
      <w:numFmt w:val="upperLetter"/>
      <w:lvlText w:val="%1."/>
      <w:lvlJc w:val="left"/>
      <w:pPr>
        <w:ind w:left="1436" w:hanging="585"/>
      </w:pPr>
      <w:rPr>
        <w:rFonts w:hint="default"/>
        <w:i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15:restartNumberingAfterBreak="0">
    <w:nsid w:val="7E537BC0"/>
    <w:multiLevelType w:val="hybridMultilevel"/>
    <w:tmpl w:val="E4868D0C"/>
    <w:lvl w:ilvl="0" w:tplc="04260015">
      <w:start w:val="1"/>
      <w:numFmt w:val="upperLetter"/>
      <w:lvlText w:val="%1."/>
      <w:lvlJc w:val="left"/>
      <w:pPr>
        <w:ind w:left="720" w:hanging="360"/>
      </w:pPr>
      <w:rPr>
        <w:rFonts w:hint="default"/>
      </w:rPr>
    </w:lvl>
    <w:lvl w:ilvl="1" w:tplc="7140FD44">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9"/>
  </w:num>
  <w:num w:numId="5">
    <w:abstractNumId w:val="23"/>
  </w:num>
  <w:num w:numId="6">
    <w:abstractNumId w:val="15"/>
  </w:num>
  <w:num w:numId="7">
    <w:abstractNumId w:val="4"/>
  </w:num>
  <w:num w:numId="8">
    <w:abstractNumId w:val="16"/>
  </w:num>
  <w:num w:numId="9">
    <w:abstractNumId w:val="9"/>
  </w:num>
  <w:num w:numId="10">
    <w:abstractNumId w:val="0"/>
  </w:num>
  <w:num w:numId="11">
    <w:abstractNumId w:val="7"/>
  </w:num>
  <w:num w:numId="12">
    <w:abstractNumId w:val="22"/>
  </w:num>
  <w:num w:numId="13">
    <w:abstractNumId w:val="13"/>
  </w:num>
  <w:num w:numId="14">
    <w:abstractNumId w:val="11"/>
  </w:num>
  <w:num w:numId="15">
    <w:abstractNumId w:val="10"/>
  </w:num>
  <w:num w:numId="16">
    <w:abstractNumId w:val="5"/>
  </w:num>
  <w:num w:numId="17">
    <w:abstractNumId w:val="17"/>
  </w:num>
  <w:num w:numId="18">
    <w:abstractNumId w:val="20"/>
  </w:num>
  <w:num w:numId="19">
    <w:abstractNumId w:val="3"/>
  </w:num>
  <w:num w:numId="20">
    <w:abstractNumId w:val="1"/>
  </w:num>
  <w:num w:numId="21">
    <w:abstractNumId w:val="14"/>
  </w:num>
  <w:num w:numId="22">
    <w:abstractNumId w:val="18"/>
  </w:num>
  <w:num w:numId="23">
    <w:abstractNumId w:val="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9C"/>
    <w:rsid w:val="00002667"/>
    <w:rsid w:val="0000562B"/>
    <w:rsid w:val="000331AA"/>
    <w:rsid w:val="000430EF"/>
    <w:rsid w:val="000453AF"/>
    <w:rsid w:val="000478F5"/>
    <w:rsid w:val="00047E1C"/>
    <w:rsid w:val="00053D65"/>
    <w:rsid w:val="00055D79"/>
    <w:rsid w:val="00085B6E"/>
    <w:rsid w:val="000A1F81"/>
    <w:rsid w:val="000D0C24"/>
    <w:rsid w:val="000E0114"/>
    <w:rsid w:val="000F76FB"/>
    <w:rsid w:val="00102369"/>
    <w:rsid w:val="0010776B"/>
    <w:rsid w:val="001149E8"/>
    <w:rsid w:val="001325B2"/>
    <w:rsid w:val="001537F4"/>
    <w:rsid w:val="00155A54"/>
    <w:rsid w:val="00164E6A"/>
    <w:rsid w:val="00190A93"/>
    <w:rsid w:val="001A27D7"/>
    <w:rsid w:val="001C1D1E"/>
    <w:rsid w:val="001D1364"/>
    <w:rsid w:val="001E0069"/>
    <w:rsid w:val="001E6B1F"/>
    <w:rsid w:val="001F2B68"/>
    <w:rsid w:val="001F6B43"/>
    <w:rsid w:val="002000DE"/>
    <w:rsid w:val="00205FDC"/>
    <w:rsid w:val="0020715C"/>
    <w:rsid w:val="00220916"/>
    <w:rsid w:val="002328DC"/>
    <w:rsid w:val="0023424B"/>
    <w:rsid w:val="002523E9"/>
    <w:rsid w:val="00257221"/>
    <w:rsid w:val="00261B44"/>
    <w:rsid w:val="00267BC2"/>
    <w:rsid w:val="002865DD"/>
    <w:rsid w:val="002971AE"/>
    <w:rsid w:val="002B0AC0"/>
    <w:rsid w:val="002C3A59"/>
    <w:rsid w:val="002C6F5F"/>
    <w:rsid w:val="002E1BB5"/>
    <w:rsid w:val="002E3EEC"/>
    <w:rsid w:val="00302C6E"/>
    <w:rsid w:val="0032694B"/>
    <w:rsid w:val="003347F5"/>
    <w:rsid w:val="003454C0"/>
    <w:rsid w:val="003542DA"/>
    <w:rsid w:val="00375601"/>
    <w:rsid w:val="003951A5"/>
    <w:rsid w:val="003B272E"/>
    <w:rsid w:val="003B3B69"/>
    <w:rsid w:val="003B462E"/>
    <w:rsid w:val="003D698B"/>
    <w:rsid w:val="003F3881"/>
    <w:rsid w:val="00404B56"/>
    <w:rsid w:val="004119F2"/>
    <w:rsid w:val="00420406"/>
    <w:rsid w:val="00422CF9"/>
    <w:rsid w:val="00432A0A"/>
    <w:rsid w:val="00434B64"/>
    <w:rsid w:val="00460DD5"/>
    <w:rsid w:val="00471B05"/>
    <w:rsid w:val="00474BDF"/>
    <w:rsid w:val="0047555E"/>
    <w:rsid w:val="00477DC2"/>
    <w:rsid w:val="004F76B8"/>
    <w:rsid w:val="005053E7"/>
    <w:rsid w:val="00517CFF"/>
    <w:rsid w:val="005336B3"/>
    <w:rsid w:val="00575FE7"/>
    <w:rsid w:val="0057664D"/>
    <w:rsid w:val="00591300"/>
    <w:rsid w:val="005A4937"/>
    <w:rsid w:val="005C1647"/>
    <w:rsid w:val="005C3D88"/>
    <w:rsid w:val="005F28C4"/>
    <w:rsid w:val="00605CB7"/>
    <w:rsid w:val="00637CE1"/>
    <w:rsid w:val="00657986"/>
    <w:rsid w:val="006754B7"/>
    <w:rsid w:val="006806CA"/>
    <w:rsid w:val="006A652F"/>
    <w:rsid w:val="006C7D8F"/>
    <w:rsid w:val="006D66F1"/>
    <w:rsid w:val="006E0743"/>
    <w:rsid w:val="00706AC7"/>
    <w:rsid w:val="007103F8"/>
    <w:rsid w:val="00715D85"/>
    <w:rsid w:val="0074004D"/>
    <w:rsid w:val="007570C2"/>
    <w:rsid w:val="007620E1"/>
    <w:rsid w:val="007676D8"/>
    <w:rsid w:val="007770F0"/>
    <w:rsid w:val="007D6622"/>
    <w:rsid w:val="007F2896"/>
    <w:rsid w:val="007F2AB4"/>
    <w:rsid w:val="00813698"/>
    <w:rsid w:val="00825E85"/>
    <w:rsid w:val="00831E67"/>
    <w:rsid w:val="008470EC"/>
    <w:rsid w:val="008923B3"/>
    <w:rsid w:val="00894D1A"/>
    <w:rsid w:val="008B1EF3"/>
    <w:rsid w:val="008B208F"/>
    <w:rsid w:val="008C188D"/>
    <w:rsid w:val="00906783"/>
    <w:rsid w:val="00907AB1"/>
    <w:rsid w:val="00963F22"/>
    <w:rsid w:val="009710D7"/>
    <w:rsid w:val="009751DC"/>
    <w:rsid w:val="009C0969"/>
    <w:rsid w:val="009E281C"/>
    <w:rsid w:val="009E39C0"/>
    <w:rsid w:val="009F4026"/>
    <w:rsid w:val="00A0370B"/>
    <w:rsid w:val="00A16E9B"/>
    <w:rsid w:val="00A2253A"/>
    <w:rsid w:val="00A26B17"/>
    <w:rsid w:val="00A47689"/>
    <w:rsid w:val="00A57929"/>
    <w:rsid w:val="00A71878"/>
    <w:rsid w:val="00A75D1D"/>
    <w:rsid w:val="00A7716D"/>
    <w:rsid w:val="00A82559"/>
    <w:rsid w:val="00AD1715"/>
    <w:rsid w:val="00AE62E7"/>
    <w:rsid w:val="00AF2044"/>
    <w:rsid w:val="00B31142"/>
    <w:rsid w:val="00B35E34"/>
    <w:rsid w:val="00B429BF"/>
    <w:rsid w:val="00B5028F"/>
    <w:rsid w:val="00B51E1D"/>
    <w:rsid w:val="00B84275"/>
    <w:rsid w:val="00B91C0A"/>
    <w:rsid w:val="00C023ED"/>
    <w:rsid w:val="00C33EB3"/>
    <w:rsid w:val="00C36611"/>
    <w:rsid w:val="00C424DD"/>
    <w:rsid w:val="00C62A50"/>
    <w:rsid w:val="00C71529"/>
    <w:rsid w:val="00C77EF1"/>
    <w:rsid w:val="00C95EA1"/>
    <w:rsid w:val="00CA2A8D"/>
    <w:rsid w:val="00CA4B7D"/>
    <w:rsid w:val="00CC15B8"/>
    <w:rsid w:val="00D00E5B"/>
    <w:rsid w:val="00D0268F"/>
    <w:rsid w:val="00D619A6"/>
    <w:rsid w:val="00D75D84"/>
    <w:rsid w:val="00D85FB4"/>
    <w:rsid w:val="00DB48BA"/>
    <w:rsid w:val="00DC0D1F"/>
    <w:rsid w:val="00DD2712"/>
    <w:rsid w:val="00DD6EFF"/>
    <w:rsid w:val="00E009D7"/>
    <w:rsid w:val="00E06367"/>
    <w:rsid w:val="00E13E8F"/>
    <w:rsid w:val="00E16506"/>
    <w:rsid w:val="00E260A6"/>
    <w:rsid w:val="00E430C0"/>
    <w:rsid w:val="00E84993"/>
    <w:rsid w:val="00E9751F"/>
    <w:rsid w:val="00ED166B"/>
    <w:rsid w:val="00EE5FE5"/>
    <w:rsid w:val="00EF1F80"/>
    <w:rsid w:val="00EF4160"/>
    <w:rsid w:val="00EF698D"/>
    <w:rsid w:val="00F121A5"/>
    <w:rsid w:val="00F4690E"/>
    <w:rsid w:val="00F51D2A"/>
    <w:rsid w:val="00F66766"/>
    <w:rsid w:val="00F67657"/>
    <w:rsid w:val="00F80BD7"/>
    <w:rsid w:val="00F8459C"/>
    <w:rsid w:val="00F86A98"/>
    <w:rsid w:val="00F95E10"/>
    <w:rsid w:val="00FA58DF"/>
    <w:rsid w:val="00FC420F"/>
    <w:rsid w:val="00FC7AE6"/>
    <w:rsid w:val="00FD4F90"/>
    <w:rsid w:val="00FE77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089992"/>
  <w15:docId w15:val="{EBEA4A25-A377-485D-8B9C-BB7E9AC0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61B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pPr>
      <w:outlineLvl w:val="9"/>
    </w:pPr>
  </w:style>
  <w:style w:type="paragraph" w:styleId="TOC1">
    <w:name w:val="toc 1"/>
    <w:basedOn w:val="Normal"/>
    <w:next w:val="Normal"/>
    <w:autoRedefine/>
    <w:uiPriority w:val="39"/>
    <w:unhideWhenUsed/>
    <w:pPr>
      <w:tabs>
        <w:tab w:val="left" w:pos="480"/>
        <w:tab w:val="right" w:leader="dot" w:pos="9061"/>
      </w:tabs>
      <w:spacing w:after="100"/>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Pr>
      <w:vertAlign w:val="superscript"/>
    </w:rPr>
  </w:style>
  <w:style w:type="paragraph" w:customStyle="1" w:styleId="tv2132">
    <w:name w:val="tv2132"/>
    <w:basedOn w:val="Normal"/>
    <w:pPr>
      <w:spacing w:after="0" w:line="360" w:lineRule="auto"/>
      <w:ind w:firstLine="300"/>
    </w:pPr>
    <w:rPr>
      <w:rFonts w:ascii="Times New Roman" w:hAnsi="Times New Roman" w:cs="Times New Roman"/>
      <w:color w:val="414142"/>
      <w:sz w:val="20"/>
      <w:szCs w:val="20"/>
      <w:lang w:eastAsia="lv-LV"/>
    </w:rPr>
  </w:style>
  <w:style w:type="paragraph" w:styleId="PlainText">
    <w:name w:val="Plain Text"/>
    <w:basedOn w:val="Normal"/>
    <w:link w:val="PlainTextChar"/>
    <w:uiPriority w:val="99"/>
    <w:semiHidden/>
    <w:unhideWhenUsed/>
    <w:pPr>
      <w:spacing w:after="0" w:line="240" w:lineRule="auto"/>
    </w:pPr>
    <w:rPr>
      <w:rFonts w:ascii="Calibri Light" w:hAnsi="Calibri Light"/>
      <w:color w:val="244061" w:themeColor="accent1" w:themeShade="80"/>
      <w:szCs w:val="21"/>
    </w:rPr>
  </w:style>
  <w:style w:type="character" w:customStyle="1" w:styleId="PlainTextChar">
    <w:name w:val="Plain Text Char"/>
    <w:basedOn w:val="DefaultParagraphFont"/>
    <w:link w:val="PlainText"/>
    <w:uiPriority w:val="99"/>
    <w:semiHidden/>
    <w:rPr>
      <w:rFonts w:ascii="Calibri Light" w:hAnsi="Calibri Light"/>
      <w:color w:val="244061" w:themeColor="accent1" w:themeShade="80"/>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3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pPr>
      <w:spacing w:after="100"/>
      <w:ind w:left="44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tvhtml">
    <w:name w:val="tv_html"/>
    <w:basedOn w:val="Normal"/>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pPr>
      <w:spacing w:after="160" w:line="240" w:lineRule="exact"/>
      <w:jc w:val="both"/>
      <w:textAlignment w:val="baseline"/>
    </w:pPr>
    <w:rPr>
      <w:vertAlign w:val="superscript"/>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Style1">
    <w:name w:val="Style1"/>
    <w:basedOn w:val="Heading1"/>
    <w:link w:val="Style1Char"/>
    <w:qFormat/>
    <w:rPr>
      <w:rFonts w:ascii="Times New Roman" w:hAnsi="Times New Roman" w:cs="Times New Roman"/>
      <w:color w:val="000000" w:themeColor="text1"/>
    </w:rPr>
  </w:style>
  <w:style w:type="paragraph" w:customStyle="1" w:styleId="Style2">
    <w:name w:val="Style2"/>
    <w:basedOn w:val="Normal"/>
    <w:link w:val="Style2Char"/>
    <w:qFormat/>
    <w:pPr>
      <w:spacing w:after="0" w:line="240" w:lineRule="auto"/>
      <w:ind w:firstLine="709"/>
      <w:jc w:val="both"/>
    </w:pPr>
    <w:rPr>
      <w:rFonts w:ascii="Times New Roman" w:hAnsi="Times New Roman" w:cs="Times New Roman"/>
      <w:sz w:val="24"/>
      <w:szCs w:val="24"/>
    </w:rPr>
  </w:style>
  <w:style w:type="character" w:customStyle="1" w:styleId="Style1Char">
    <w:name w:val="Style1 Char"/>
    <w:basedOn w:val="Heading1Char"/>
    <w:link w:val="Style1"/>
    <w:rPr>
      <w:rFonts w:ascii="Times New Roman" w:eastAsiaTheme="majorEastAsia" w:hAnsi="Times New Roman" w:cs="Times New Roman"/>
      <w:b/>
      <w:bCs/>
      <w:color w:val="000000" w:themeColor="text1"/>
      <w:sz w:val="28"/>
      <w:szCs w:val="28"/>
    </w:rPr>
  </w:style>
  <w:style w:type="paragraph" w:customStyle="1" w:styleId="Style3">
    <w:name w:val="Style3"/>
    <w:basedOn w:val="Heading2"/>
    <w:link w:val="Style3Char"/>
    <w:qFormat/>
    <w:rPr>
      <w:rFonts w:ascii="Times New Roman" w:hAnsi="Times New Roman" w:cs="Times New Roman"/>
      <w:color w:val="000000" w:themeColor="text1"/>
      <w:sz w:val="24"/>
      <w:szCs w:val="24"/>
    </w:rPr>
  </w:style>
  <w:style w:type="character" w:customStyle="1" w:styleId="Style2Char">
    <w:name w:val="Style2 Char"/>
    <w:basedOn w:val="DefaultParagraphFont"/>
    <w:link w:val="Style2"/>
    <w:rPr>
      <w:rFonts w:ascii="Times New Roman" w:hAnsi="Times New Roman" w:cs="Times New Roman"/>
      <w:sz w:val="24"/>
      <w:szCs w:val="24"/>
    </w:rPr>
  </w:style>
  <w:style w:type="character" w:customStyle="1" w:styleId="Style3Char">
    <w:name w:val="Style3 Char"/>
    <w:basedOn w:val="Heading2Char"/>
    <w:link w:val="Style3"/>
    <w:rPr>
      <w:rFonts w:ascii="Times New Roman" w:eastAsiaTheme="majorEastAsia" w:hAnsi="Times New Roman" w:cs="Times New Roman"/>
      <w:b/>
      <w:bCs/>
      <w:color w:val="000000" w:themeColor="text1"/>
      <w:sz w:val="24"/>
      <w:szCs w:val="24"/>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rPr>
  </w:style>
  <w:style w:type="table" w:customStyle="1" w:styleId="TableGrid22">
    <w:name w:val="Table Grid22"/>
    <w:basedOn w:val="TableNormal"/>
    <w:next w:val="TableGrid"/>
    <w:uiPriority w:val="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sid w:val="00261B44"/>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5C3D88"/>
    <w:rPr>
      <w:i/>
      <w:iCs/>
    </w:rPr>
  </w:style>
  <w:style w:type="character" w:customStyle="1" w:styleId="naisfChar">
    <w:name w:val="naisf Char"/>
    <w:link w:val="naisf"/>
    <w:locked/>
    <w:rsid w:val="00C62A50"/>
    <w:rPr>
      <w:rFonts w:ascii="Times New Roman" w:eastAsia="Times New Roman" w:hAnsi="Times New Roman" w:cs="Times New Roman"/>
      <w:sz w:val="24"/>
      <w:szCs w:val="24"/>
      <w:lang w:eastAsia="lv-LV"/>
    </w:rPr>
  </w:style>
  <w:style w:type="paragraph" w:customStyle="1" w:styleId="naisf">
    <w:name w:val="naisf"/>
    <w:basedOn w:val="Normal"/>
    <w:link w:val="naisfChar"/>
    <w:rsid w:val="00C62A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020">
      <w:bodyDiv w:val="1"/>
      <w:marLeft w:val="0"/>
      <w:marRight w:val="0"/>
      <w:marTop w:val="0"/>
      <w:marBottom w:val="0"/>
      <w:divBdr>
        <w:top w:val="none" w:sz="0" w:space="0" w:color="auto"/>
        <w:left w:val="none" w:sz="0" w:space="0" w:color="auto"/>
        <w:bottom w:val="none" w:sz="0" w:space="0" w:color="auto"/>
        <w:right w:val="none" w:sz="0" w:space="0" w:color="auto"/>
      </w:divBdr>
    </w:div>
    <w:div w:id="128791068">
      <w:bodyDiv w:val="1"/>
      <w:marLeft w:val="0"/>
      <w:marRight w:val="0"/>
      <w:marTop w:val="0"/>
      <w:marBottom w:val="0"/>
      <w:divBdr>
        <w:top w:val="none" w:sz="0" w:space="0" w:color="auto"/>
        <w:left w:val="none" w:sz="0" w:space="0" w:color="auto"/>
        <w:bottom w:val="none" w:sz="0" w:space="0" w:color="auto"/>
        <w:right w:val="none" w:sz="0" w:space="0" w:color="auto"/>
      </w:divBdr>
    </w:div>
    <w:div w:id="229004054">
      <w:bodyDiv w:val="1"/>
      <w:marLeft w:val="0"/>
      <w:marRight w:val="0"/>
      <w:marTop w:val="0"/>
      <w:marBottom w:val="0"/>
      <w:divBdr>
        <w:top w:val="none" w:sz="0" w:space="0" w:color="auto"/>
        <w:left w:val="none" w:sz="0" w:space="0" w:color="auto"/>
        <w:bottom w:val="none" w:sz="0" w:space="0" w:color="auto"/>
        <w:right w:val="none" w:sz="0" w:space="0" w:color="auto"/>
      </w:divBdr>
    </w:div>
    <w:div w:id="316108622">
      <w:bodyDiv w:val="1"/>
      <w:marLeft w:val="0"/>
      <w:marRight w:val="0"/>
      <w:marTop w:val="0"/>
      <w:marBottom w:val="0"/>
      <w:divBdr>
        <w:top w:val="none" w:sz="0" w:space="0" w:color="auto"/>
        <w:left w:val="none" w:sz="0" w:space="0" w:color="auto"/>
        <w:bottom w:val="none" w:sz="0" w:space="0" w:color="auto"/>
        <w:right w:val="none" w:sz="0" w:space="0" w:color="auto"/>
      </w:divBdr>
    </w:div>
    <w:div w:id="321860845">
      <w:bodyDiv w:val="1"/>
      <w:marLeft w:val="0"/>
      <w:marRight w:val="0"/>
      <w:marTop w:val="0"/>
      <w:marBottom w:val="0"/>
      <w:divBdr>
        <w:top w:val="none" w:sz="0" w:space="0" w:color="auto"/>
        <w:left w:val="none" w:sz="0" w:space="0" w:color="auto"/>
        <w:bottom w:val="none" w:sz="0" w:space="0" w:color="auto"/>
        <w:right w:val="none" w:sz="0" w:space="0" w:color="auto"/>
      </w:divBdr>
    </w:div>
    <w:div w:id="337314832">
      <w:bodyDiv w:val="1"/>
      <w:marLeft w:val="0"/>
      <w:marRight w:val="0"/>
      <w:marTop w:val="0"/>
      <w:marBottom w:val="0"/>
      <w:divBdr>
        <w:top w:val="none" w:sz="0" w:space="0" w:color="auto"/>
        <w:left w:val="none" w:sz="0" w:space="0" w:color="auto"/>
        <w:bottom w:val="none" w:sz="0" w:space="0" w:color="auto"/>
        <w:right w:val="none" w:sz="0" w:space="0" w:color="auto"/>
      </w:divBdr>
    </w:div>
    <w:div w:id="391512854">
      <w:bodyDiv w:val="1"/>
      <w:marLeft w:val="0"/>
      <w:marRight w:val="0"/>
      <w:marTop w:val="0"/>
      <w:marBottom w:val="0"/>
      <w:divBdr>
        <w:top w:val="none" w:sz="0" w:space="0" w:color="auto"/>
        <w:left w:val="none" w:sz="0" w:space="0" w:color="auto"/>
        <w:bottom w:val="none" w:sz="0" w:space="0" w:color="auto"/>
        <w:right w:val="none" w:sz="0" w:space="0" w:color="auto"/>
      </w:divBdr>
    </w:div>
    <w:div w:id="396905579">
      <w:bodyDiv w:val="1"/>
      <w:marLeft w:val="0"/>
      <w:marRight w:val="0"/>
      <w:marTop w:val="0"/>
      <w:marBottom w:val="0"/>
      <w:divBdr>
        <w:top w:val="none" w:sz="0" w:space="0" w:color="auto"/>
        <w:left w:val="none" w:sz="0" w:space="0" w:color="auto"/>
        <w:bottom w:val="none" w:sz="0" w:space="0" w:color="auto"/>
        <w:right w:val="none" w:sz="0" w:space="0" w:color="auto"/>
      </w:divBdr>
      <w:divsChild>
        <w:div w:id="2129423267">
          <w:marLeft w:val="0"/>
          <w:marRight w:val="0"/>
          <w:marTop w:val="480"/>
          <w:marBottom w:val="240"/>
          <w:divBdr>
            <w:top w:val="none" w:sz="0" w:space="0" w:color="auto"/>
            <w:left w:val="none" w:sz="0" w:space="0" w:color="auto"/>
            <w:bottom w:val="none" w:sz="0" w:space="0" w:color="auto"/>
            <w:right w:val="none" w:sz="0" w:space="0" w:color="auto"/>
          </w:divBdr>
        </w:div>
        <w:div w:id="1823345532">
          <w:marLeft w:val="0"/>
          <w:marRight w:val="0"/>
          <w:marTop w:val="0"/>
          <w:marBottom w:val="567"/>
          <w:divBdr>
            <w:top w:val="none" w:sz="0" w:space="0" w:color="auto"/>
            <w:left w:val="none" w:sz="0" w:space="0" w:color="auto"/>
            <w:bottom w:val="none" w:sz="0" w:space="0" w:color="auto"/>
            <w:right w:val="none" w:sz="0" w:space="0" w:color="auto"/>
          </w:divBdr>
        </w:div>
      </w:divsChild>
    </w:div>
    <w:div w:id="452022958">
      <w:bodyDiv w:val="1"/>
      <w:marLeft w:val="0"/>
      <w:marRight w:val="0"/>
      <w:marTop w:val="0"/>
      <w:marBottom w:val="0"/>
      <w:divBdr>
        <w:top w:val="none" w:sz="0" w:space="0" w:color="auto"/>
        <w:left w:val="none" w:sz="0" w:space="0" w:color="auto"/>
        <w:bottom w:val="none" w:sz="0" w:space="0" w:color="auto"/>
        <w:right w:val="none" w:sz="0" w:space="0" w:color="auto"/>
      </w:divBdr>
    </w:div>
    <w:div w:id="503740368">
      <w:bodyDiv w:val="1"/>
      <w:marLeft w:val="0"/>
      <w:marRight w:val="0"/>
      <w:marTop w:val="0"/>
      <w:marBottom w:val="0"/>
      <w:divBdr>
        <w:top w:val="none" w:sz="0" w:space="0" w:color="auto"/>
        <w:left w:val="none" w:sz="0" w:space="0" w:color="auto"/>
        <w:bottom w:val="none" w:sz="0" w:space="0" w:color="auto"/>
        <w:right w:val="none" w:sz="0" w:space="0" w:color="auto"/>
      </w:divBdr>
    </w:div>
    <w:div w:id="564608980">
      <w:bodyDiv w:val="1"/>
      <w:marLeft w:val="0"/>
      <w:marRight w:val="0"/>
      <w:marTop w:val="0"/>
      <w:marBottom w:val="0"/>
      <w:divBdr>
        <w:top w:val="none" w:sz="0" w:space="0" w:color="auto"/>
        <w:left w:val="none" w:sz="0" w:space="0" w:color="auto"/>
        <w:bottom w:val="none" w:sz="0" w:space="0" w:color="auto"/>
        <w:right w:val="none" w:sz="0" w:space="0" w:color="auto"/>
      </w:divBdr>
      <w:divsChild>
        <w:div w:id="1485779797">
          <w:marLeft w:val="0"/>
          <w:marRight w:val="0"/>
          <w:marTop w:val="480"/>
          <w:marBottom w:val="240"/>
          <w:divBdr>
            <w:top w:val="none" w:sz="0" w:space="0" w:color="auto"/>
            <w:left w:val="none" w:sz="0" w:space="0" w:color="auto"/>
            <w:bottom w:val="none" w:sz="0" w:space="0" w:color="auto"/>
            <w:right w:val="none" w:sz="0" w:space="0" w:color="auto"/>
          </w:divBdr>
        </w:div>
        <w:div w:id="1373313023">
          <w:marLeft w:val="0"/>
          <w:marRight w:val="0"/>
          <w:marTop w:val="0"/>
          <w:marBottom w:val="567"/>
          <w:divBdr>
            <w:top w:val="none" w:sz="0" w:space="0" w:color="auto"/>
            <w:left w:val="none" w:sz="0" w:space="0" w:color="auto"/>
            <w:bottom w:val="none" w:sz="0" w:space="0" w:color="auto"/>
            <w:right w:val="none" w:sz="0" w:space="0" w:color="auto"/>
          </w:divBdr>
        </w:div>
      </w:divsChild>
    </w:div>
    <w:div w:id="576598655">
      <w:bodyDiv w:val="1"/>
      <w:marLeft w:val="0"/>
      <w:marRight w:val="0"/>
      <w:marTop w:val="0"/>
      <w:marBottom w:val="0"/>
      <w:divBdr>
        <w:top w:val="none" w:sz="0" w:space="0" w:color="auto"/>
        <w:left w:val="none" w:sz="0" w:space="0" w:color="auto"/>
        <w:bottom w:val="none" w:sz="0" w:space="0" w:color="auto"/>
        <w:right w:val="none" w:sz="0" w:space="0" w:color="auto"/>
      </w:divBdr>
    </w:div>
    <w:div w:id="604846573">
      <w:bodyDiv w:val="1"/>
      <w:marLeft w:val="0"/>
      <w:marRight w:val="0"/>
      <w:marTop w:val="0"/>
      <w:marBottom w:val="0"/>
      <w:divBdr>
        <w:top w:val="none" w:sz="0" w:space="0" w:color="auto"/>
        <w:left w:val="none" w:sz="0" w:space="0" w:color="auto"/>
        <w:bottom w:val="none" w:sz="0" w:space="0" w:color="auto"/>
        <w:right w:val="none" w:sz="0" w:space="0" w:color="auto"/>
      </w:divBdr>
    </w:div>
    <w:div w:id="657197410">
      <w:bodyDiv w:val="1"/>
      <w:marLeft w:val="0"/>
      <w:marRight w:val="0"/>
      <w:marTop w:val="0"/>
      <w:marBottom w:val="0"/>
      <w:divBdr>
        <w:top w:val="none" w:sz="0" w:space="0" w:color="auto"/>
        <w:left w:val="none" w:sz="0" w:space="0" w:color="auto"/>
        <w:bottom w:val="none" w:sz="0" w:space="0" w:color="auto"/>
        <w:right w:val="none" w:sz="0" w:space="0" w:color="auto"/>
      </w:divBdr>
    </w:div>
    <w:div w:id="671763936">
      <w:bodyDiv w:val="1"/>
      <w:marLeft w:val="0"/>
      <w:marRight w:val="0"/>
      <w:marTop w:val="0"/>
      <w:marBottom w:val="0"/>
      <w:divBdr>
        <w:top w:val="none" w:sz="0" w:space="0" w:color="auto"/>
        <w:left w:val="none" w:sz="0" w:space="0" w:color="auto"/>
        <w:bottom w:val="none" w:sz="0" w:space="0" w:color="auto"/>
        <w:right w:val="none" w:sz="0" w:space="0" w:color="auto"/>
      </w:divBdr>
    </w:div>
    <w:div w:id="705718825">
      <w:bodyDiv w:val="1"/>
      <w:marLeft w:val="0"/>
      <w:marRight w:val="0"/>
      <w:marTop w:val="0"/>
      <w:marBottom w:val="0"/>
      <w:divBdr>
        <w:top w:val="none" w:sz="0" w:space="0" w:color="auto"/>
        <w:left w:val="none" w:sz="0" w:space="0" w:color="auto"/>
        <w:bottom w:val="none" w:sz="0" w:space="0" w:color="auto"/>
        <w:right w:val="none" w:sz="0" w:space="0" w:color="auto"/>
      </w:divBdr>
    </w:div>
    <w:div w:id="779489926">
      <w:bodyDiv w:val="1"/>
      <w:marLeft w:val="0"/>
      <w:marRight w:val="0"/>
      <w:marTop w:val="0"/>
      <w:marBottom w:val="0"/>
      <w:divBdr>
        <w:top w:val="none" w:sz="0" w:space="0" w:color="auto"/>
        <w:left w:val="none" w:sz="0" w:space="0" w:color="auto"/>
        <w:bottom w:val="none" w:sz="0" w:space="0" w:color="auto"/>
        <w:right w:val="none" w:sz="0" w:space="0" w:color="auto"/>
      </w:divBdr>
    </w:div>
    <w:div w:id="780226991">
      <w:bodyDiv w:val="1"/>
      <w:marLeft w:val="0"/>
      <w:marRight w:val="0"/>
      <w:marTop w:val="0"/>
      <w:marBottom w:val="0"/>
      <w:divBdr>
        <w:top w:val="none" w:sz="0" w:space="0" w:color="auto"/>
        <w:left w:val="none" w:sz="0" w:space="0" w:color="auto"/>
        <w:bottom w:val="none" w:sz="0" w:space="0" w:color="auto"/>
        <w:right w:val="none" w:sz="0" w:space="0" w:color="auto"/>
      </w:divBdr>
    </w:div>
    <w:div w:id="840506932">
      <w:bodyDiv w:val="1"/>
      <w:marLeft w:val="0"/>
      <w:marRight w:val="0"/>
      <w:marTop w:val="0"/>
      <w:marBottom w:val="0"/>
      <w:divBdr>
        <w:top w:val="none" w:sz="0" w:space="0" w:color="auto"/>
        <w:left w:val="none" w:sz="0" w:space="0" w:color="auto"/>
        <w:bottom w:val="none" w:sz="0" w:space="0" w:color="auto"/>
        <w:right w:val="none" w:sz="0" w:space="0" w:color="auto"/>
      </w:divBdr>
    </w:div>
    <w:div w:id="864095846">
      <w:bodyDiv w:val="1"/>
      <w:marLeft w:val="0"/>
      <w:marRight w:val="0"/>
      <w:marTop w:val="0"/>
      <w:marBottom w:val="0"/>
      <w:divBdr>
        <w:top w:val="none" w:sz="0" w:space="0" w:color="auto"/>
        <w:left w:val="none" w:sz="0" w:space="0" w:color="auto"/>
        <w:bottom w:val="none" w:sz="0" w:space="0" w:color="auto"/>
        <w:right w:val="none" w:sz="0" w:space="0" w:color="auto"/>
      </w:divBdr>
    </w:div>
    <w:div w:id="962658864">
      <w:bodyDiv w:val="1"/>
      <w:marLeft w:val="0"/>
      <w:marRight w:val="0"/>
      <w:marTop w:val="0"/>
      <w:marBottom w:val="0"/>
      <w:divBdr>
        <w:top w:val="none" w:sz="0" w:space="0" w:color="auto"/>
        <w:left w:val="none" w:sz="0" w:space="0" w:color="auto"/>
        <w:bottom w:val="none" w:sz="0" w:space="0" w:color="auto"/>
        <w:right w:val="none" w:sz="0" w:space="0" w:color="auto"/>
      </w:divBdr>
    </w:div>
    <w:div w:id="964235709">
      <w:bodyDiv w:val="1"/>
      <w:marLeft w:val="0"/>
      <w:marRight w:val="0"/>
      <w:marTop w:val="0"/>
      <w:marBottom w:val="0"/>
      <w:divBdr>
        <w:top w:val="none" w:sz="0" w:space="0" w:color="auto"/>
        <w:left w:val="none" w:sz="0" w:space="0" w:color="auto"/>
        <w:bottom w:val="none" w:sz="0" w:space="0" w:color="auto"/>
        <w:right w:val="none" w:sz="0" w:space="0" w:color="auto"/>
      </w:divBdr>
    </w:div>
    <w:div w:id="1140880217">
      <w:bodyDiv w:val="1"/>
      <w:marLeft w:val="0"/>
      <w:marRight w:val="0"/>
      <w:marTop w:val="0"/>
      <w:marBottom w:val="0"/>
      <w:divBdr>
        <w:top w:val="none" w:sz="0" w:space="0" w:color="auto"/>
        <w:left w:val="none" w:sz="0" w:space="0" w:color="auto"/>
        <w:bottom w:val="none" w:sz="0" w:space="0" w:color="auto"/>
        <w:right w:val="none" w:sz="0" w:space="0" w:color="auto"/>
      </w:divBdr>
    </w:div>
    <w:div w:id="1175418755">
      <w:bodyDiv w:val="1"/>
      <w:marLeft w:val="0"/>
      <w:marRight w:val="0"/>
      <w:marTop w:val="0"/>
      <w:marBottom w:val="0"/>
      <w:divBdr>
        <w:top w:val="none" w:sz="0" w:space="0" w:color="auto"/>
        <w:left w:val="none" w:sz="0" w:space="0" w:color="auto"/>
        <w:bottom w:val="none" w:sz="0" w:space="0" w:color="auto"/>
        <w:right w:val="none" w:sz="0" w:space="0" w:color="auto"/>
      </w:divBdr>
    </w:div>
    <w:div w:id="1179269900">
      <w:bodyDiv w:val="1"/>
      <w:marLeft w:val="0"/>
      <w:marRight w:val="0"/>
      <w:marTop w:val="0"/>
      <w:marBottom w:val="0"/>
      <w:divBdr>
        <w:top w:val="none" w:sz="0" w:space="0" w:color="auto"/>
        <w:left w:val="none" w:sz="0" w:space="0" w:color="auto"/>
        <w:bottom w:val="none" w:sz="0" w:space="0" w:color="auto"/>
        <w:right w:val="none" w:sz="0" w:space="0" w:color="auto"/>
      </w:divBdr>
    </w:div>
    <w:div w:id="1273707144">
      <w:bodyDiv w:val="1"/>
      <w:marLeft w:val="0"/>
      <w:marRight w:val="0"/>
      <w:marTop w:val="0"/>
      <w:marBottom w:val="0"/>
      <w:divBdr>
        <w:top w:val="none" w:sz="0" w:space="0" w:color="auto"/>
        <w:left w:val="none" w:sz="0" w:space="0" w:color="auto"/>
        <w:bottom w:val="none" w:sz="0" w:space="0" w:color="auto"/>
        <w:right w:val="none" w:sz="0" w:space="0" w:color="auto"/>
      </w:divBdr>
    </w:div>
    <w:div w:id="1447001343">
      <w:bodyDiv w:val="1"/>
      <w:marLeft w:val="0"/>
      <w:marRight w:val="0"/>
      <w:marTop w:val="0"/>
      <w:marBottom w:val="0"/>
      <w:divBdr>
        <w:top w:val="none" w:sz="0" w:space="0" w:color="auto"/>
        <w:left w:val="none" w:sz="0" w:space="0" w:color="auto"/>
        <w:bottom w:val="none" w:sz="0" w:space="0" w:color="auto"/>
        <w:right w:val="none" w:sz="0" w:space="0" w:color="auto"/>
      </w:divBdr>
    </w:div>
    <w:div w:id="1568106358">
      <w:bodyDiv w:val="1"/>
      <w:marLeft w:val="0"/>
      <w:marRight w:val="0"/>
      <w:marTop w:val="0"/>
      <w:marBottom w:val="0"/>
      <w:divBdr>
        <w:top w:val="none" w:sz="0" w:space="0" w:color="auto"/>
        <w:left w:val="none" w:sz="0" w:space="0" w:color="auto"/>
        <w:bottom w:val="none" w:sz="0" w:space="0" w:color="auto"/>
        <w:right w:val="none" w:sz="0" w:space="0" w:color="auto"/>
      </w:divBdr>
    </w:div>
    <w:div w:id="1576890742">
      <w:bodyDiv w:val="1"/>
      <w:marLeft w:val="0"/>
      <w:marRight w:val="0"/>
      <w:marTop w:val="0"/>
      <w:marBottom w:val="0"/>
      <w:divBdr>
        <w:top w:val="none" w:sz="0" w:space="0" w:color="auto"/>
        <w:left w:val="none" w:sz="0" w:space="0" w:color="auto"/>
        <w:bottom w:val="none" w:sz="0" w:space="0" w:color="auto"/>
        <w:right w:val="none" w:sz="0" w:space="0" w:color="auto"/>
      </w:divBdr>
    </w:div>
    <w:div w:id="1585607381">
      <w:bodyDiv w:val="1"/>
      <w:marLeft w:val="0"/>
      <w:marRight w:val="0"/>
      <w:marTop w:val="0"/>
      <w:marBottom w:val="0"/>
      <w:divBdr>
        <w:top w:val="none" w:sz="0" w:space="0" w:color="auto"/>
        <w:left w:val="none" w:sz="0" w:space="0" w:color="auto"/>
        <w:bottom w:val="none" w:sz="0" w:space="0" w:color="auto"/>
        <w:right w:val="none" w:sz="0" w:space="0" w:color="auto"/>
      </w:divBdr>
    </w:div>
    <w:div w:id="1598296250">
      <w:bodyDiv w:val="1"/>
      <w:marLeft w:val="0"/>
      <w:marRight w:val="0"/>
      <w:marTop w:val="0"/>
      <w:marBottom w:val="0"/>
      <w:divBdr>
        <w:top w:val="none" w:sz="0" w:space="0" w:color="auto"/>
        <w:left w:val="none" w:sz="0" w:space="0" w:color="auto"/>
        <w:bottom w:val="none" w:sz="0" w:space="0" w:color="auto"/>
        <w:right w:val="none" w:sz="0" w:space="0" w:color="auto"/>
      </w:divBdr>
    </w:div>
    <w:div w:id="1668946049">
      <w:bodyDiv w:val="1"/>
      <w:marLeft w:val="0"/>
      <w:marRight w:val="0"/>
      <w:marTop w:val="0"/>
      <w:marBottom w:val="0"/>
      <w:divBdr>
        <w:top w:val="none" w:sz="0" w:space="0" w:color="auto"/>
        <w:left w:val="none" w:sz="0" w:space="0" w:color="auto"/>
        <w:bottom w:val="none" w:sz="0" w:space="0" w:color="auto"/>
        <w:right w:val="none" w:sz="0" w:space="0" w:color="auto"/>
      </w:divBdr>
    </w:div>
    <w:div w:id="1692295146">
      <w:bodyDiv w:val="1"/>
      <w:marLeft w:val="0"/>
      <w:marRight w:val="0"/>
      <w:marTop w:val="0"/>
      <w:marBottom w:val="0"/>
      <w:divBdr>
        <w:top w:val="none" w:sz="0" w:space="0" w:color="auto"/>
        <w:left w:val="none" w:sz="0" w:space="0" w:color="auto"/>
        <w:bottom w:val="none" w:sz="0" w:space="0" w:color="auto"/>
        <w:right w:val="none" w:sz="0" w:space="0" w:color="auto"/>
      </w:divBdr>
    </w:div>
    <w:div w:id="1729301177">
      <w:bodyDiv w:val="1"/>
      <w:marLeft w:val="0"/>
      <w:marRight w:val="0"/>
      <w:marTop w:val="0"/>
      <w:marBottom w:val="0"/>
      <w:divBdr>
        <w:top w:val="none" w:sz="0" w:space="0" w:color="auto"/>
        <w:left w:val="none" w:sz="0" w:space="0" w:color="auto"/>
        <w:bottom w:val="none" w:sz="0" w:space="0" w:color="auto"/>
        <w:right w:val="none" w:sz="0" w:space="0" w:color="auto"/>
      </w:divBdr>
    </w:div>
    <w:div w:id="1737970670">
      <w:bodyDiv w:val="1"/>
      <w:marLeft w:val="0"/>
      <w:marRight w:val="0"/>
      <w:marTop w:val="0"/>
      <w:marBottom w:val="0"/>
      <w:divBdr>
        <w:top w:val="none" w:sz="0" w:space="0" w:color="auto"/>
        <w:left w:val="none" w:sz="0" w:space="0" w:color="auto"/>
        <w:bottom w:val="none" w:sz="0" w:space="0" w:color="auto"/>
        <w:right w:val="none" w:sz="0" w:space="0" w:color="auto"/>
      </w:divBdr>
    </w:div>
    <w:div w:id="1805998152">
      <w:bodyDiv w:val="1"/>
      <w:marLeft w:val="0"/>
      <w:marRight w:val="0"/>
      <w:marTop w:val="0"/>
      <w:marBottom w:val="0"/>
      <w:divBdr>
        <w:top w:val="none" w:sz="0" w:space="0" w:color="auto"/>
        <w:left w:val="none" w:sz="0" w:space="0" w:color="auto"/>
        <w:bottom w:val="none" w:sz="0" w:space="0" w:color="auto"/>
        <w:right w:val="none" w:sz="0" w:space="0" w:color="auto"/>
      </w:divBdr>
      <w:divsChild>
        <w:div w:id="1254316475">
          <w:marLeft w:val="0"/>
          <w:marRight w:val="0"/>
          <w:marTop w:val="0"/>
          <w:marBottom w:val="0"/>
          <w:divBdr>
            <w:top w:val="none" w:sz="0" w:space="0" w:color="auto"/>
            <w:left w:val="none" w:sz="0" w:space="0" w:color="auto"/>
            <w:bottom w:val="none" w:sz="0" w:space="0" w:color="auto"/>
            <w:right w:val="none" w:sz="0" w:space="0" w:color="auto"/>
          </w:divBdr>
        </w:div>
      </w:divsChild>
    </w:div>
    <w:div w:id="1837988298">
      <w:bodyDiv w:val="1"/>
      <w:marLeft w:val="0"/>
      <w:marRight w:val="0"/>
      <w:marTop w:val="0"/>
      <w:marBottom w:val="0"/>
      <w:divBdr>
        <w:top w:val="none" w:sz="0" w:space="0" w:color="auto"/>
        <w:left w:val="none" w:sz="0" w:space="0" w:color="auto"/>
        <w:bottom w:val="none" w:sz="0" w:space="0" w:color="auto"/>
        <w:right w:val="none" w:sz="0" w:space="0" w:color="auto"/>
      </w:divBdr>
    </w:div>
    <w:div w:id="1839270490">
      <w:bodyDiv w:val="1"/>
      <w:marLeft w:val="0"/>
      <w:marRight w:val="0"/>
      <w:marTop w:val="0"/>
      <w:marBottom w:val="0"/>
      <w:divBdr>
        <w:top w:val="none" w:sz="0" w:space="0" w:color="auto"/>
        <w:left w:val="none" w:sz="0" w:space="0" w:color="auto"/>
        <w:bottom w:val="none" w:sz="0" w:space="0" w:color="auto"/>
        <w:right w:val="none" w:sz="0" w:space="0" w:color="auto"/>
      </w:divBdr>
    </w:div>
    <w:div w:id="1924021261">
      <w:bodyDiv w:val="1"/>
      <w:marLeft w:val="0"/>
      <w:marRight w:val="0"/>
      <w:marTop w:val="0"/>
      <w:marBottom w:val="0"/>
      <w:divBdr>
        <w:top w:val="none" w:sz="0" w:space="0" w:color="auto"/>
        <w:left w:val="none" w:sz="0" w:space="0" w:color="auto"/>
        <w:bottom w:val="none" w:sz="0" w:space="0" w:color="auto"/>
        <w:right w:val="none" w:sz="0" w:space="0" w:color="auto"/>
      </w:divBdr>
    </w:div>
    <w:div w:id="1926645187">
      <w:bodyDiv w:val="1"/>
      <w:marLeft w:val="0"/>
      <w:marRight w:val="0"/>
      <w:marTop w:val="0"/>
      <w:marBottom w:val="0"/>
      <w:divBdr>
        <w:top w:val="none" w:sz="0" w:space="0" w:color="auto"/>
        <w:left w:val="none" w:sz="0" w:space="0" w:color="auto"/>
        <w:bottom w:val="none" w:sz="0" w:space="0" w:color="auto"/>
        <w:right w:val="none" w:sz="0" w:space="0" w:color="auto"/>
      </w:divBdr>
    </w:div>
    <w:div w:id="1940676143">
      <w:bodyDiv w:val="1"/>
      <w:marLeft w:val="0"/>
      <w:marRight w:val="0"/>
      <w:marTop w:val="0"/>
      <w:marBottom w:val="0"/>
      <w:divBdr>
        <w:top w:val="none" w:sz="0" w:space="0" w:color="auto"/>
        <w:left w:val="none" w:sz="0" w:space="0" w:color="auto"/>
        <w:bottom w:val="none" w:sz="0" w:space="0" w:color="auto"/>
        <w:right w:val="none" w:sz="0" w:space="0" w:color="auto"/>
      </w:divBdr>
    </w:div>
    <w:div w:id="1971933487">
      <w:bodyDiv w:val="1"/>
      <w:marLeft w:val="0"/>
      <w:marRight w:val="0"/>
      <w:marTop w:val="0"/>
      <w:marBottom w:val="0"/>
      <w:divBdr>
        <w:top w:val="none" w:sz="0" w:space="0" w:color="auto"/>
        <w:left w:val="none" w:sz="0" w:space="0" w:color="auto"/>
        <w:bottom w:val="none" w:sz="0" w:space="0" w:color="auto"/>
        <w:right w:val="none" w:sz="0" w:space="0" w:color="auto"/>
      </w:divBdr>
      <w:divsChild>
        <w:div w:id="1905988125">
          <w:marLeft w:val="0"/>
          <w:marRight w:val="0"/>
          <w:marTop w:val="0"/>
          <w:marBottom w:val="0"/>
          <w:divBdr>
            <w:top w:val="none" w:sz="0" w:space="0" w:color="auto"/>
            <w:left w:val="none" w:sz="0" w:space="0" w:color="auto"/>
            <w:bottom w:val="none" w:sz="0" w:space="0" w:color="auto"/>
            <w:right w:val="none" w:sz="0" w:space="0" w:color="auto"/>
          </w:divBdr>
        </w:div>
      </w:divsChild>
    </w:div>
    <w:div w:id="1984576275">
      <w:bodyDiv w:val="1"/>
      <w:marLeft w:val="0"/>
      <w:marRight w:val="0"/>
      <w:marTop w:val="0"/>
      <w:marBottom w:val="0"/>
      <w:divBdr>
        <w:top w:val="none" w:sz="0" w:space="0" w:color="auto"/>
        <w:left w:val="none" w:sz="0" w:space="0" w:color="auto"/>
        <w:bottom w:val="none" w:sz="0" w:space="0" w:color="auto"/>
        <w:right w:val="none" w:sz="0" w:space="0" w:color="auto"/>
      </w:divBdr>
    </w:div>
    <w:div w:id="21054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49833-energetikas-liku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ur-lex.europa.eu/eli/dir/2009/119/oj/?local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09/119/oj/?locale=LV"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38803-aizsardzibas-un-drosibas-jomas-iepirkumu-liku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dir/2009/119/oj/?locale=LV" TargetMode="External"/><Relationship Id="rId1" Type="http://schemas.openxmlformats.org/officeDocument/2006/relationships/hyperlink" Target="http://petijumi.mk.gov.lv/sites/default/files/title_file/200327_Latvia_oil%20reserve%20management_Deloitte_LAT.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7" ma:contentTypeDescription="Create a new document." ma:contentTypeScope="" ma:versionID="6c1dc6452043553f4cb47bded39dc8d6">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9b0dd91c541046676e1307b2a1e2742b"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C86A6-0D1C-4B42-B384-04FC51475FAA}">
  <ds:schemaRefs>
    <ds:schemaRef ds:uri="http://schemas.microsoft.com/sharepoint/v3/contenttype/forms"/>
  </ds:schemaRefs>
</ds:datastoreItem>
</file>

<file path=customXml/itemProps2.xml><?xml version="1.0" encoding="utf-8"?>
<ds:datastoreItem xmlns:ds="http://schemas.openxmlformats.org/officeDocument/2006/customXml" ds:itemID="{CD9BF03C-3158-4AD5-B5B5-85DBE0D7E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759A3-FD64-4F2E-B2D3-94050FCFB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12179-E3DD-4A7F-AD10-B93CA525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39467</Words>
  <Characters>22497</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Konceptuāls ziņojums „Mediju ombuda izveide, tā sastāvs, darbības vadlīnijas un lauks”</vt:lpstr>
    </vt:vector>
  </TitlesOfParts>
  <Company/>
  <LinksUpToDate>false</LinksUpToDate>
  <CharactersWithSpaces>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Konceptuāls ziņojums</dc:subject>
  <dc:creator>Līga Rozentāle</dc:creator>
  <cp:lastModifiedBy>Leontine Babkina</cp:lastModifiedBy>
  <cp:revision>14</cp:revision>
  <cp:lastPrinted>2021-06-08T07:20:00Z</cp:lastPrinted>
  <dcterms:created xsi:type="dcterms:W3CDTF">2021-05-11T11:02:00Z</dcterms:created>
  <dcterms:modified xsi:type="dcterms:W3CDTF">2021-06-09T10:48:00Z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