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461033" w14:textId="77777777" w:rsidR="004E4FD2" w:rsidRDefault="004E4FD2" w:rsidP="004E4FD2">
      <w:pPr>
        <w:shd w:val="clear" w:color="auto" w:fill="FFFFFF"/>
        <w:spacing w:before="130" w:line="260" w:lineRule="exact"/>
        <w:jc w:val="center"/>
        <w:rPr>
          <w:b/>
          <w:bCs/>
        </w:rPr>
      </w:pPr>
      <w:r>
        <w:rPr>
          <w:b/>
        </w:rPr>
        <w:t>Likum</w:t>
      </w:r>
      <w:r w:rsidR="00B35751">
        <w:rPr>
          <w:b/>
        </w:rPr>
        <w:t>projekta ,,</w:t>
      </w:r>
      <w:r w:rsidRPr="00EE2097">
        <w:rPr>
          <w:b/>
        </w:rPr>
        <w:t xml:space="preserve">Grozījumi </w:t>
      </w:r>
      <w:r w:rsidR="00CB72D8">
        <w:rPr>
          <w:b/>
        </w:rPr>
        <w:t>Personu apliecinošu dokumentu</w:t>
      </w:r>
      <w:r>
        <w:rPr>
          <w:b/>
        </w:rPr>
        <w:t xml:space="preserve"> likumā</w:t>
      </w:r>
      <w:r w:rsidRPr="00EE2097">
        <w:rPr>
          <w:b/>
        </w:rPr>
        <w:t>”</w:t>
      </w:r>
      <w:r w:rsidRPr="00EE2097">
        <w:rPr>
          <w:b/>
          <w:bCs/>
        </w:rPr>
        <w:t xml:space="preserve"> sākotnējās ietekmes novērtējuma ziņojums (anotācija)</w:t>
      </w:r>
    </w:p>
    <w:p w14:paraId="57461034" w14:textId="77777777" w:rsidR="00067A16" w:rsidRDefault="00067A16" w:rsidP="004E4FD2">
      <w:pPr>
        <w:shd w:val="clear" w:color="auto" w:fill="FFFFFF"/>
        <w:spacing w:before="130" w:line="260" w:lineRule="exact"/>
        <w:jc w:val="center"/>
        <w:rPr>
          <w:b/>
          <w:bCs/>
        </w:rPr>
      </w:pPr>
    </w:p>
    <w:p w14:paraId="57461035" w14:textId="77777777" w:rsidR="00A63F19" w:rsidRDefault="00A63F19" w:rsidP="004E4FD2">
      <w:pPr>
        <w:shd w:val="clear" w:color="auto" w:fill="FFFFFF"/>
        <w:spacing w:before="130" w:line="260" w:lineRule="exact"/>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63F19" w14:paraId="57461037" w14:textId="77777777" w:rsidTr="00A63F19">
        <w:trPr>
          <w:cantSplit/>
        </w:trPr>
        <w:tc>
          <w:tcPr>
            <w:tcW w:w="95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461036" w14:textId="77777777" w:rsidR="00A63F19" w:rsidRDefault="00A63F19">
            <w:pPr>
              <w:spacing w:line="256" w:lineRule="auto"/>
              <w:jc w:val="center"/>
              <w:rPr>
                <w:b/>
                <w:iCs/>
                <w:lang w:eastAsia="en-US"/>
              </w:rPr>
            </w:pPr>
            <w:r>
              <w:rPr>
                <w:b/>
                <w:iCs/>
                <w:lang w:eastAsia="en-US"/>
              </w:rPr>
              <w:t>Tiesību akta projekta anotācijas kopsavilkums</w:t>
            </w:r>
          </w:p>
        </w:tc>
      </w:tr>
      <w:tr w:rsidR="00A63F19" w14:paraId="5746103A" w14:textId="77777777" w:rsidTr="00A63F19">
        <w:trPr>
          <w:cantSplit/>
        </w:trPr>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57461038" w14:textId="77777777" w:rsidR="00A63F19" w:rsidRDefault="00A63F19">
            <w:pPr>
              <w:spacing w:line="256" w:lineRule="auto"/>
              <w:rPr>
                <w:iCs/>
                <w:lang w:eastAsia="en-US"/>
              </w:rPr>
            </w:pPr>
            <w:r>
              <w:rPr>
                <w:iCs/>
                <w:lang w:eastAsia="en-US"/>
              </w:rPr>
              <w:t xml:space="preserve">Mērķis, risinājums un projekta spēkā stāšanās laiks </w:t>
            </w:r>
          </w:p>
        </w:tc>
        <w:tc>
          <w:tcPr>
            <w:tcW w:w="6151" w:type="dxa"/>
            <w:tcBorders>
              <w:top w:val="single" w:sz="4" w:space="0" w:color="auto"/>
              <w:left w:val="single" w:sz="4" w:space="0" w:color="auto"/>
              <w:bottom w:val="single" w:sz="4" w:space="0" w:color="auto"/>
              <w:right w:val="single" w:sz="4" w:space="0" w:color="auto"/>
            </w:tcBorders>
            <w:shd w:val="clear" w:color="auto" w:fill="FFFFFF"/>
            <w:hideMark/>
          </w:tcPr>
          <w:p w14:paraId="57461039" w14:textId="77777777" w:rsidR="00A63F19" w:rsidRDefault="000D315E" w:rsidP="00234BDD">
            <w:pPr>
              <w:spacing w:line="256" w:lineRule="auto"/>
              <w:jc w:val="both"/>
              <w:rPr>
                <w:iCs/>
                <w:lang w:eastAsia="en-US"/>
              </w:rPr>
            </w:pPr>
            <w:r w:rsidRPr="000D315E">
              <w:rPr>
                <w:lang w:eastAsia="en-US"/>
              </w:rPr>
              <w:t>Kopsavilkums nav aizpildāms saskaņā ar Ministru kabineta 2009.gada 15.decembra instrukcijas Nr.19 “Tiesību akta projekta sākotnējās i</w:t>
            </w:r>
            <w:r>
              <w:rPr>
                <w:lang w:eastAsia="en-US"/>
              </w:rPr>
              <w:t>etekmes izvērtēšanas kārtība 5.</w:t>
            </w:r>
            <w:r>
              <w:rPr>
                <w:vertAlign w:val="superscript"/>
                <w:lang w:eastAsia="en-US"/>
              </w:rPr>
              <w:t>1</w:t>
            </w:r>
            <w:r w:rsidRPr="000D315E">
              <w:rPr>
                <w:lang w:eastAsia="en-US"/>
              </w:rPr>
              <w:t xml:space="preserve"> punktu.</w:t>
            </w:r>
          </w:p>
        </w:tc>
      </w:tr>
    </w:tbl>
    <w:p w14:paraId="5746103B" w14:textId="77777777" w:rsidR="00067A16" w:rsidRPr="00EE2097" w:rsidRDefault="00067A16" w:rsidP="00A63F19">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14:paraId="5746103D" w14:textId="77777777" w:rsidTr="00535379">
        <w:tc>
          <w:tcPr>
            <w:tcW w:w="5000" w:type="pct"/>
            <w:gridSpan w:val="3"/>
            <w:vAlign w:val="center"/>
            <w:hideMark/>
          </w:tcPr>
          <w:p w14:paraId="5746103C" w14:textId="77777777" w:rsidR="004E4FD2" w:rsidRPr="00EE2097" w:rsidRDefault="004E4FD2" w:rsidP="00DB7D1D">
            <w:pPr>
              <w:jc w:val="center"/>
              <w:rPr>
                <w:b/>
                <w:bCs/>
              </w:rPr>
            </w:pPr>
            <w:r w:rsidRPr="00EE2097">
              <w:rPr>
                <w:b/>
                <w:bCs/>
              </w:rPr>
              <w:t>I. Tiesību akta projekta izstrādes nepieciešamība</w:t>
            </w:r>
          </w:p>
        </w:tc>
      </w:tr>
      <w:tr w:rsidR="004E4FD2" w:rsidRPr="00EE2097" w14:paraId="57461042" w14:textId="77777777" w:rsidTr="00535379">
        <w:tc>
          <w:tcPr>
            <w:tcW w:w="311" w:type="pct"/>
            <w:hideMark/>
          </w:tcPr>
          <w:p w14:paraId="5746103E" w14:textId="77777777" w:rsidR="004E4FD2" w:rsidRPr="00EE2097" w:rsidRDefault="004E4FD2" w:rsidP="00DB7D1D">
            <w:pPr>
              <w:jc w:val="center"/>
            </w:pPr>
            <w:r w:rsidRPr="00EE2097">
              <w:t>1.</w:t>
            </w:r>
          </w:p>
        </w:tc>
        <w:tc>
          <w:tcPr>
            <w:tcW w:w="1479" w:type="pct"/>
            <w:hideMark/>
          </w:tcPr>
          <w:p w14:paraId="5746103F" w14:textId="77777777" w:rsidR="004E4FD2" w:rsidRPr="00EE2097" w:rsidRDefault="004E4FD2" w:rsidP="00DB7D1D">
            <w:r w:rsidRPr="00EE2097">
              <w:t>Pamatojums</w:t>
            </w:r>
          </w:p>
        </w:tc>
        <w:tc>
          <w:tcPr>
            <w:tcW w:w="3210" w:type="pct"/>
            <w:hideMark/>
          </w:tcPr>
          <w:p w14:paraId="57461040" w14:textId="77777777" w:rsidR="004E4FD2" w:rsidRDefault="00E10F46" w:rsidP="004476C8">
            <w:pPr>
              <w:jc w:val="both"/>
            </w:pPr>
            <w:proofErr w:type="spellStart"/>
            <w:r>
              <w:t>Iekšlietu</w:t>
            </w:r>
            <w:proofErr w:type="spellEnd"/>
            <w:r>
              <w:t xml:space="preserve"> ministrijas </w:t>
            </w:r>
            <w:r w:rsidR="004476C8">
              <w:t>iniciatīva.</w:t>
            </w:r>
          </w:p>
          <w:p w14:paraId="57461041" w14:textId="77777777" w:rsidR="00FB696E" w:rsidRPr="00E10F46" w:rsidRDefault="00DE6D3E" w:rsidP="00B345C0">
            <w:pPr>
              <w:jc w:val="both"/>
              <w:rPr>
                <w:color w:val="414142"/>
                <w:shd w:val="clear" w:color="auto" w:fill="FFFFFF"/>
              </w:rPr>
            </w:pPr>
            <w:r>
              <w:t>Fizisko personu reģistra likum</w:t>
            </w:r>
            <w:r w:rsidR="00E33A39">
              <w:t xml:space="preserve">s </w:t>
            </w:r>
            <w:r w:rsidR="00E33A39" w:rsidRPr="00E33A39">
              <w:t xml:space="preserve">(spēkā </w:t>
            </w:r>
            <w:r w:rsidR="00B345C0" w:rsidRPr="00A923D9">
              <w:t xml:space="preserve">no </w:t>
            </w:r>
            <w:r w:rsidR="00E33A39" w:rsidRPr="00A923D9">
              <w:rPr>
                <w:shd w:val="clear" w:color="auto" w:fill="FFFFFF"/>
              </w:rPr>
              <w:t>2021.gada 28.</w:t>
            </w:r>
            <w:r w:rsidR="00B345C0" w:rsidRPr="00A923D9">
              <w:rPr>
                <w:shd w:val="clear" w:color="auto" w:fill="FFFFFF"/>
              </w:rPr>
              <w:t>jūnija</w:t>
            </w:r>
            <w:r w:rsidR="00E33A39" w:rsidRPr="00A923D9">
              <w:rPr>
                <w:shd w:val="clear" w:color="auto" w:fill="FFFFFF"/>
              </w:rPr>
              <w:t>).</w:t>
            </w:r>
          </w:p>
        </w:tc>
      </w:tr>
      <w:tr w:rsidR="004E4FD2" w:rsidRPr="002A7EC2" w14:paraId="5746105A" w14:textId="77777777" w:rsidTr="00535379">
        <w:tc>
          <w:tcPr>
            <w:tcW w:w="311" w:type="pct"/>
            <w:hideMark/>
          </w:tcPr>
          <w:p w14:paraId="57461043" w14:textId="77777777" w:rsidR="004E4FD2" w:rsidRPr="002A7EC2" w:rsidRDefault="004E4FD2" w:rsidP="00DB7D1D">
            <w:pPr>
              <w:jc w:val="center"/>
            </w:pPr>
            <w:r w:rsidRPr="002A7EC2">
              <w:t>2.</w:t>
            </w:r>
          </w:p>
        </w:tc>
        <w:tc>
          <w:tcPr>
            <w:tcW w:w="1479" w:type="pct"/>
            <w:hideMark/>
          </w:tcPr>
          <w:p w14:paraId="57461044" w14:textId="77777777" w:rsidR="00304210" w:rsidRPr="002A7EC2" w:rsidRDefault="004E4FD2" w:rsidP="00DB7D1D">
            <w:r w:rsidRPr="002A7EC2">
              <w:t>Pašreizējā situācija un problēmas, kuru risināšanai tiesību akta projekts izstrādāts, tiesiskā regulējuma mērķis un būtība</w:t>
            </w:r>
          </w:p>
          <w:p w14:paraId="57461045" w14:textId="77777777" w:rsidR="00304210" w:rsidRPr="002A7EC2" w:rsidRDefault="00304210" w:rsidP="00304210"/>
          <w:p w14:paraId="57461046" w14:textId="77777777" w:rsidR="00304210" w:rsidRPr="002A7EC2" w:rsidRDefault="00304210" w:rsidP="00304210"/>
          <w:p w14:paraId="57461047" w14:textId="77777777" w:rsidR="00304210" w:rsidRPr="002A7EC2" w:rsidRDefault="00304210" w:rsidP="00304210"/>
          <w:p w14:paraId="57461048" w14:textId="77777777" w:rsidR="00304210" w:rsidRPr="002A7EC2" w:rsidRDefault="00304210" w:rsidP="00304210"/>
          <w:p w14:paraId="57461049" w14:textId="77777777" w:rsidR="004E4FD2" w:rsidRPr="002A7EC2" w:rsidRDefault="004E4FD2" w:rsidP="00304210"/>
        </w:tc>
        <w:tc>
          <w:tcPr>
            <w:tcW w:w="3210" w:type="pct"/>
            <w:hideMark/>
          </w:tcPr>
          <w:p w14:paraId="5746104A" w14:textId="77777777" w:rsidR="00225E83" w:rsidRPr="006469D9" w:rsidRDefault="004A4E9B" w:rsidP="00225E83">
            <w:pPr>
              <w:jc w:val="both"/>
            </w:pPr>
            <w:r w:rsidRPr="006469D9">
              <w:t xml:space="preserve">Atbilstoši Fizisko personu reģistra likumā noteiktajam Fizisko personu </w:t>
            </w:r>
            <w:r w:rsidR="00B16710" w:rsidRPr="006469D9">
              <w:t>reģistrā</w:t>
            </w:r>
            <w:r w:rsidRPr="006469D9">
              <w:t xml:space="preserve"> tiek paplašināts Iedzīvotāju reģistra subjektu loks ar ārzemniekiem, kuri</w:t>
            </w:r>
            <w:r w:rsidR="00585E76" w:rsidRPr="006469D9">
              <w:t>em</w:t>
            </w:r>
            <w:r w:rsidRPr="006469D9">
              <w:t xml:space="preserve"> </w:t>
            </w:r>
            <w:r w:rsidR="00585E76" w:rsidRPr="006469D9">
              <w:t>ir</w:t>
            </w:r>
            <w:r w:rsidRPr="006469D9">
              <w:t xml:space="preserve"> tiesisk</w:t>
            </w:r>
            <w:r w:rsidR="00585E76" w:rsidRPr="006469D9">
              <w:t>a</w:t>
            </w:r>
            <w:r w:rsidRPr="006469D9">
              <w:t xml:space="preserve"> </w:t>
            </w:r>
            <w:r w:rsidR="00585E76" w:rsidRPr="006469D9">
              <w:t>saikne</w:t>
            </w:r>
            <w:r w:rsidRPr="006469D9">
              <w:t xml:space="preserve"> ar </w:t>
            </w:r>
            <w:r w:rsidR="00585E76" w:rsidRPr="006469D9">
              <w:t>Latviju</w:t>
            </w:r>
            <w:r w:rsidR="00225E83" w:rsidRPr="006469D9">
              <w:t xml:space="preserve">, proti, </w:t>
            </w:r>
            <w:r w:rsidRPr="006469D9">
              <w:t xml:space="preserve"> </w:t>
            </w:r>
            <w:r w:rsidR="00225E83" w:rsidRPr="006469D9">
              <w:t>Fizisko personu reģistrā papildus Iedzīvotāju reģistra likuma subjektiem tiks iekļautas ziņas par ārzemniek</w:t>
            </w:r>
            <w:r w:rsidR="007E4ED5" w:rsidRPr="006469D9">
              <w:t>u:</w:t>
            </w:r>
            <w:r w:rsidR="00225E83" w:rsidRPr="006469D9">
              <w:t xml:space="preserve"> </w:t>
            </w:r>
          </w:p>
          <w:p w14:paraId="5746104B" w14:textId="77777777" w:rsidR="007E4ED5" w:rsidRPr="006469D9" w:rsidRDefault="001104F1" w:rsidP="007E4ED5">
            <w:pPr>
              <w:jc w:val="both"/>
            </w:pPr>
            <w:r w:rsidRPr="006469D9">
              <w:t xml:space="preserve">1. </w:t>
            </w:r>
            <w:r w:rsidR="007E4ED5" w:rsidRPr="006469D9">
              <w:t>kuram ir tiesiska saikne ar Latvijas Republiku, uz kuras pamata veidojas vai ir izveidojušās savstarpējas tiesības un pienākumi nekustamā īpašuma, komercdarbības, veselības, nodokļu, pabalstu un izglītības jomā,</w:t>
            </w:r>
          </w:p>
          <w:p w14:paraId="5746104C" w14:textId="77777777" w:rsidR="007E4ED5" w:rsidRPr="006469D9" w:rsidRDefault="001104F1" w:rsidP="007E4ED5">
            <w:pPr>
              <w:jc w:val="both"/>
            </w:pPr>
            <w:r w:rsidRPr="006469D9">
              <w:t xml:space="preserve">2. </w:t>
            </w:r>
            <w:r w:rsidR="007E4ED5" w:rsidRPr="006469D9">
              <w:t>kurš vēlas saņemt ārzemnieka personas apliecību, lai veicinātu ekonomikas, zinātnes, izglītības vai kultūras sakaru attīstību,</w:t>
            </w:r>
          </w:p>
          <w:p w14:paraId="5746104D" w14:textId="77777777" w:rsidR="007E4ED5" w:rsidRPr="006469D9" w:rsidRDefault="001104F1" w:rsidP="007E4ED5">
            <w:pPr>
              <w:jc w:val="both"/>
            </w:pPr>
            <w:r w:rsidRPr="006469D9">
              <w:t xml:space="preserve">3. </w:t>
            </w:r>
            <w:r w:rsidR="007E4ED5" w:rsidRPr="006469D9">
              <w:t>kurš vēlas Latvijas Republikā saņemt valsts pārvaldes pakalpojumus elektroniski, izmantojot Eiropas Savienības dalībvalsts, Eiropas Ekonomikas zonas valsts vai Šveices Konfederācijas izsniegto elektroniskās identifikācijas līdzekli,</w:t>
            </w:r>
          </w:p>
          <w:p w14:paraId="5746104E" w14:textId="77777777" w:rsidR="007E4ED5" w:rsidRPr="006469D9" w:rsidRDefault="001104F1" w:rsidP="00225E83">
            <w:pPr>
              <w:jc w:val="both"/>
            </w:pPr>
            <w:r w:rsidRPr="006469D9">
              <w:t xml:space="preserve">4. </w:t>
            </w:r>
            <w:r w:rsidR="00E63795" w:rsidRPr="006469D9">
              <w:t xml:space="preserve">kurš </w:t>
            </w:r>
            <w:r w:rsidR="007E4ED5" w:rsidRPr="006469D9">
              <w:t>ir patvērum</w:t>
            </w:r>
            <w:r w:rsidR="00E63795" w:rsidRPr="006469D9">
              <w:t>a meklētājs Latvijas Republikā.</w:t>
            </w:r>
          </w:p>
          <w:p w14:paraId="5746104F" w14:textId="77777777" w:rsidR="003715C1" w:rsidRPr="006469D9" w:rsidRDefault="00DF7A96" w:rsidP="003715C1">
            <w:pPr>
              <w:jc w:val="both"/>
            </w:pPr>
            <w:r w:rsidRPr="006469D9">
              <w:t>Ņemot vērā, ka</w:t>
            </w:r>
            <w:r w:rsidR="00A344C0" w:rsidRPr="006469D9">
              <w:t xml:space="preserve"> no 2021.gada 28.jūnija Fizisko personu reģistrā tiks uzsākts reģistrēt ārzemniekus atbilstoši Fizisko personu reģistra likuma 4.panta pirmās daļas 2.punkta </w:t>
            </w:r>
            <w:r w:rsidR="00904B3F" w:rsidRPr="006469D9">
              <w:t>“</w:t>
            </w:r>
            <w:r w:rsidR="00A344C0" w:rsidRPr="006469D9">
              <w:t>d</w:t>
            </w:r>
            <w:r w:rsidR="00904B3F" w:rsidRPr="006469D9">
              <w:t>“, “</w:t>
            </w:r>
            <w:r w:rsidR="00C54711" w:rsidRPr="006469D9">
              <w:t>e</w:t>
            </w:r>
            <w:r w:rsidR="00904B3F" w:rsidRPr="006469D9">
              <w:t>”</w:t>
            </w:r>
            <w:r w:rsidR="00C54711" w:rsidRPr="006469D9">
              <w:t xml:space="preserve"> un </w:t>
            </w:r>
            <w:r w:rsidR="00904B3F" w:rsidRPr="006469D9">
              <w:t>“</w:t>
            </w:r>
            <w:r w:rsidR="00A344C0" w:rsidRPr="006469D9">
              <w:t>f</w:t>
            </w:r>
            <w:r w:rsidR="00904B3F" w:rsidRPr="006469D9">
              <w:t>”</w:t>
            </w:r>
            <w:r w:rsidR="00D75EED" w:rsidRPr="006469D9">
              <w:t xml:space="preserve"> </w:t>
            </w:r>
            <w:r w:rsidR="00A344C0" w:rsidRPr="006469D9">
              <w:t xml:space="preserve">apakšpunktā noteiktajam, </w:t>
            </w:r>
            <w:r w:rsidR="00060FA7" w:rsidRPr="006469D9">
              <w:t xml:space="preserve">un Personu apliecinošu dokumentu likuma (turpmāk  - PADL) </w:t>
            </w:r>
            <w:r w:rsidR="00B60582" w:rsidRPr="006469D9">
              <w:t>4.panta otrajā daļā noteikts, ka personu apliecinošus dokumentus izsniedz, pamatojoties uz Iedzīvotāju reģistra (Fizisko personu reģistra) datiem</w:t>
            </w:r>
            <w:r w:rsidRPr="006469D9">
              <w:t xml:space="preserve">, </w:t>
            </w:r>
            <w:r w:rsidR="00A344C0" w:rsidRPr="006469D9">
              <w:t xml:space="preserve">bet attiecībā uz Fizisko personu reģistra likuma 4.panta pirmās daļas 2.punkta </w:t>
            </w:r>
            <w:r w:rsidR="00904B3F" w:rsidRPr="006469D9">
              <w:t>“</w:t>
            </w:r>
            <w:r w:rsidR="00A344C0" w:rsidRPr="006469D9">
              <w:t>d</w:t>
            </w:r>
            <w:r w:rsidR="00904B3F" w:rsidRPr="006469D9">
              <w:t>”</w:t>
            </w:r>
            <w:r w:rsidR="00A344C0" w:rsidRPr="006469D9">
              <w:t xml:space="preserve">, </w:t>
            </w:r>
            <w:r w:rsidR="00904B3F" w:rsidRPr="006469D9">
              <w:t>“</w:t>
            </w:r>
            <w:r w:rsidR="00A344C0" w:rsidRPr="006469D9">
              <w:t>e</w:t>
            </w:r>
            <w:r w:rsidR="00904B3F" w:rsidRPr="006469D9">
              <w:t>”</w:t>
            </w:r>
            <w:r w:rsidR="00A344C0" w:rsidRPr="006469D9">
              <w:t xml:space="preserve"> un </w:t>
            </w:r>
            <w:r w:rsidR="00904B3F" w:rsidRPr="006469D9">
              <w:t>“</w:t>
            </w:r>
            <w:r w:rsidR="00A344C0" w:rsidRPr="006469D9">
              <w:t>f</w:t>
            </w:r>
            <w:r w:rsidR="00904B3F" w:rsidRPr="006469D9">
              <w:t>”</w:t>
            </w:r>
            <w:r w:rsidR="00D75EED" w:rsidRPr="006469D9">
              <w:t xml:space="preserve"> </w:t>
            </w:r>
            <w:r w:rsidR="00A344C0" w:rsidRPr="006469D9">
              <w:t>apakšpunktā minētajiem ārzemniekiem</w:t>
            </w:r>
            <w:r w:rsidR="00B60582" w:rsidRPr="006469D9">
              <w:t xml:space="preserve"> </w:t>
            </w:r>
            <w:r w:rsidR="00A344C0" w:rsidRPr="006469D9">
              <w:t xml:space="preserve">PADL </w:t>
            </w:r>
            <w:r w:rsidR="00D75EED" w:rsidRPr="006469D9">
              <w:t xml:space="preserve">līdz šim </w:t>
            </w:r>
            <w:r w:rsidR="00A344C0" w:rsidRPr="006469D9">
              <w:t xml:space="preserve">nav </w:t>
            </w:r>
            <w:r w:rsidR="00D75EED" w:rsidRPr="006469D9">
              <w:t>noteikts, kāda</w:t>
            </w:r>
            <w:r w:rsidR="00A344C0" w:rsidRPr="006469D9">
              <w:t xml:space="preserve"> </w:t>
            </w:r>
            <w:r w:rsidR="00D75EED" w:rsidRPr="006469D9">
              <w:t xml:space="preserve">tipa </w:t>
            </w:r>
            <w:r w:rsidR="00A344C0" w:rsidRPr="006469D9">
              <w:t>personas tiesisko statusu apliecino</w:t>
            </w:r>
            <w:r w:rsidR="00D75EED" w:rsidRPr="006469D9">
              <w:t xml:space="preserve">šu dokumentu paredzēts </w:t>
            </w:r>
            <w:r w:rsidR="00B60582" w:rsidRPr="006469D9">
              <w:t xml:space="preserve">viņiem </w:t>
            </w:r>
            <w:r w:rsidR="00851156" w:rsidRPr="006469D9">
              <w:t xml:space="preserve">izsniegt un lai </w:t>
            </w:r>
            <w:r w:rsidR="0061390E" w:rsidRPr="006469D9">
              <w:t>ieviestu Ministru kabineta 2016.gada 11.augusta rīkojumā Nr.439</w:t>
            </w:r>
            <w:r w:rsidR="00D75EED" w:rsidRPr="006469D9">
              <w:t xml:space="preserve"> </w:t>
            </w:r>
            <w:r w:rsidR="0061390E" w:rsidRPr="006469D9">
              <w:t xml:space="preserve"> “</w:t>
            </w:r>
            <w:r w:rsidR="005D2DD6" w:rsidRPr="006469D9">
              <w:t xml:space="preserve">Par </w:t>
            </w:r>
            <w:r w:rsidR="0061390E" w:rsidRPr="006469D9">
              <w:t>Konceptuā</w:t>
            </w:r>
            <w:r w:rsidR="005D2DD6" w:rsidRPr="006469D9">
              <w:t>lo</w:t>
            </w:r>
            <w:r w:rsidR="0061390E" w:rsidRPr="006469D9">
              <w:t xml:space="preserve"> zi</w:t>
            </w:r>
            <w:r w:rsidR="005D2DD6" w:rsidRPr="006469D9">
              <w:t>ņojumu</w:t>
            </w:r>
            <w:r w:rsidR="0061390E" w:rsidRPr="006469D9">
              <w:t xml:space="preserve"> par fizisko personu reģistru” noteikto, kas paredz ārzemniekiem Latvijā iegūt digitālo identitāti: </w:t>
            </w:r>
            <w:proofErr w:type="spellStart"/>
            <w:r w:rsidR="0061390E" w:rsidRPr="006469D9">
              <w:t>eID</w:t>
            </w:r>
            <w:proofErr w:type="spellEnd"/>
            <w:r w:rsidR="0061390E" w:rsidRPr="006469D9">
              <w:t xml:space="preserve"> karti un elektronisko parakstu, </w:t>
            </w:r>
            <w:r w:rsidRPr="006469D9">
              <w:t xml:space="preserve">nepieciešams papildināt </w:t>
            </w:r>
            <w:r w:rsidR="00D75EED" w:rsidRPr="006469D9">
              <w:t>PADL</w:t>
            </w:r>
            <w:r w:rsidR="00B92691" w:rsidRPr="006469D9">
              <w:t xml:space="preserve"> </w:t>
            </w:r>
            <w:r w:rsidRPr="006469D9">
              <w:t xml:space="preserve">5.panta pirmo daļu ar 6.punktu, ieviešot </w:t>
            </w:r>
            <w:r w:rsidRPr="006469D9">
              <w:lastRenderedPageBreak/>
              <w:t xml:space="preserve">jaunu </w:t>
            </w:r>
            <w:r w:rsidR="00B60582" w:rsidRPr="006469D9">
              <w:t>personas apliecības</w:t>
            </w:r>
            <w:r w:rsidRPr="006469D9">
              <w:t xml:space="preserve"> tipu – ārzemnieka personas apliecība</w:t>
            </w:r>
            <w:r w:rsidR="009A1F19" w:rsidRPr="006469D9">
              <w:t xml:space="preserve"> (turpmāk – ārzemnieka </w:t>
            </w:r>
            <w:proofErr w:type="spellStart"/>
            <w:r w:rsidR="009A1F19" w:rsidRPr="006469D9">
              <w:t>eID</w:t>
            </w:r>
            <w:proofErr w:type="spellEnd"/>
            <w:r w:rsidR="009A1F19" w:rsidRPr="006469D9">
              <w:t xml:space="preserve"> karte)</w:t>
            </w:r>
            <w:r w:rsidRPr="006469D9">
              <w:t>.</w:t>
            </w:r>
            <w:r w:rsidR="00464F18" w:rsidRPr="006469D9">
              <w:t xml:space="preserve"> </w:t>
            </w:r>
          </w:p>
          <w:p w14:paraId="57461050" w14:textId="77777777" w:rsidR="00711DBC" w:rsidRDefault="00711DBC" w:rsidP="003715C1">
            <w:pPr>
              <w:jc w:val="both"/>
            </w:pPr>
            <w:r w:rsidRPr="006469D9">
              <w:t xml:space="preserve">Lai </w:t>
            </w:r>
            <w:r w:rsidR="00A802F9" w:rsidRPr="006469D9">
              <w:t xml:space="preserve">PADL </w:t>
            </w:r>
            <w:r w:rsidR="000E23FE" w:rsidRPr="006469D9">
              <w:t xml:space="preserve">nepārprotami </w:t>
            </w:r>
            <w:r w:rsidRPr="006469D9">
              <w:t xml:space="preserve">noteiktu, ka ārzemnieka </w:t>
            </w:r>
            <w:proofErr w:type="spellStart"/>
            <w:r w:rsidR="00A802F9" w:rsidRPr="006469D9">
              <w:t>eID</w:t>
            </w:r>
            <w:proofErr w:type="spellEnd"/>
            <w:r w:rsidR="00A802F9" w:rsidRPr="006469D9">
              <w:t xml:space="preserve"> karte</w:t>
            </w:r>
            <w:r w:rsidRPr="006469D9">
              <w:t xml:space="preserve"> nav trešās valsts pilsoņa </w:t>
            </w:r>
            <w:r w:rsidR="00B737FC" w:rsidRPr="006469D9">
              <w:t xml:space="preserve">personas </w:t>
            </w:r>
            <w:r w:rsidRPr="006469D9">
              <w:t>apliecība – uzturēšanās atļauja (atbilstoši PADL 5.panta otrajā daļā noteiktajam)</w:t>
            </w:r>
            <w:r w:rsidR="00A92BDE" w:rsidRPr="006469D9">
              <w:t xml:space="preserve"> vai S</w:t>
            </w:r>
            <w:r w:rsidR="00D75EED" w:rsidRPr="006469D9">
              <w:t>avienības pilsoņa personas apliecība</w:t>
            </w:r>
            <w:r w:rsidRPr="006469D9">
              <w:t xml:space="preserve">, </w:t>
            </w:r>
            <w:r w:rsidR="00B737FC" w:rsidRPr="006469D9">
              <w:t>likumprojektā paredzēts papildināt PADL 5.pantu ar 2.</w:t>
            </w:r>
            <w:r w:rsidR="00B737FC" w:rsidRPr="006469D9">
              <w:rPr>
                <w:vertAlign w:val="superscript"/>
              </w:rPr>
              <w:t>1</w:t>
            </w:r>
            <w:r w:rsidR="00B737FC" w:rsidRPr="006469D9">
              <w:t xml:space="preserve"> daļu</w:t>
            </w:r>
            <w:r w:rsidR="001E1A27" w:rsidRPr="006469D9">
              <w:t xml:space="preserve">, precizējot, </w:t>
            </w:r>
            <w:r w:rsidR="00A802F9" w:rsidRPr="006469D9">
              <w:t xml:space="preserve">tieši </w:t>
            </w:r>
            <w:r w:rsidR="001E1A27" w:rsidRPr="006469D9">
              <w:t xml:space="preserve">kurām ārzemnieku kategorijām būs tiesisks pamats pieprasīt </w:t>
            </w:r>
            <w:r w:rsidR="00B737FC" w:rsidRPr="006469D9">
              <w:t xml:space="preserve"> </w:t>
            </w:r>
            <w:r w:rsidR="00B92E25" w:rsidRPr="006469D9">
              <w:t xml:space="preserve">ārzemnieka </w:t>
            </w:r>
            <w:proofErr w:type="spellStart"/>
            <w:r w:rsidR="001E1A27" w:rsidRPr="006469D9">
              <w:t>eID</w:t>
            </w:r>
            <w:proofErr w:type="spellEnd"/>
            <w:r w:rsidR="001E1A27" w:rsidRPr="006469D9">
              <w:t xml:space="preserve"> karti.</w:t>
            </w:r>
            <w:r w:rsidR="001568B3">
              <w:t xml:space="preserve"> </w:t>
            </w:r>
          </w:p>
          <w:p w14:paraId="57461051" w14:textId="77777777" w:rsidR="001568B3" w:rsidRDefault="001568B3" w:rsidP="003715C1">
            <w:pPr>
              <w:jc w:val="both"/>
            </w:pPr>
            <w:r w:rsidRPr="001568B3">
              <w:t xml:space="preserve">Atšķirībā no citiem personu apliecību tipiem, kas noteikti </w:t>
            </w:r>
            <w:r>
              <w:t>PADL</w:t>
            </w:r>
            <w:r w:rsidRPr="001568B3">
              <w:t xml:space="preserve">, ārzemnieka </w:t>
            </w:r>
            <w:proofErr w:type="spellStart"/>
            <w:r>
              <w:t>eID</w:t>
            </w:r>
            <w:proofErr w:type="spellEnd"/>
            <w:r>
              <w:t xml:space="preserve"> karte</w:t>
            </w:r>
            <w:r w:rsidRPr="001568B3">
              <w:t xml:space="preserve"> nav noteikta kā obligāts personu apliecinošs dokuments. Ārzemniekam, kurš būs izteicis vēlēšanos būt aktīvs elektroniskajā vidē, elektroniskās identitātes rīku piešķiršanai tiks izsniegta ārzemnieka </w:t>
            </w:r>
            <w:proofErr w:type="spellStart"/>
            <w:r w:rsidRPr="001568B3">
              <w:t>eID</w:t>
            </w:r>
            <w:proofErr w:type="spellEnd"/>
            <w:r w:rsidRPr="001568B3">
              <w:t xml:space="preserve"> karte, kas tiks izgatavota un izsniegta analogā kārtībā kā tiek patlaban izsniegtas citu </w:t>
            </w:r>
            <w:r>
              <w:t xml:space="preserve">PADL noteikto </w:t>
            </w:r>
            <w:r w:rsidRPr="001568B3">
              <w:t xml:space="preserve">tipu </w:t>
            </w:r>
            <w:proofErr w:type="spellStart"/>
            <w:r w:rsidRPr="001568B3">
              <w:t>eID</w:t>
            </w:r>
            <w:proofErr w:type="spellEnd"/>
            <w:r w:rsidRPr="001568B3">
              <w:t xml:space="preserve"> kartes. Ārzemnieka </w:t>
            </w:r>
            <w:proofErr w:type="spellStart"/>
            <w:r w:rsidRPr="001568B3">
              <w:t>eID</w:t>
            </w:r>
            <w:proofErr w:type="spellEnd"/>
            <w:r w:rsidRPr="001568B3">
              <w:t xml:space="preserve"> karte vizuāli atšķirsies, tā nebūs ceļošanas dokuments un neapliecinās personas uzturēšanās tiesības Latvijā. Ārzemnieka </w:t>
            </w:r>
            <w:proofErr w:type="spellStart"/>
            <w:r w:rsidRPr="001568B3">
              <w:t>eID</w:t>
            </w:r>
            <w:proofErr w:type="spellEnd"/>
            <w:r w:rsidRPr="001568B3">
              <w:t xml:space="preserve"> kartē iestrādātie elektroniskās identitātes rīki nodrošinās ārzemniekam iespēju izmantot publiskās pārvaldes e-pakalpojumus, lietot e-adresi, elektroniski identificēties un parakstīt dokumentus, tādējādi kopumā lietot plašu valsts sniegto pakalpojumu klāstu. Pieteikumi ārzemnieka </w:t>
            </w:r>
            <w:proofErr w:type="spellStart"/>
            <w:r w:rsidRPr="001568B3">
              <w:t>eID</w:t>
            </w:r>
            <w:proofErr w:type="spellEnd"/>
            <w:r w:rsidRPr="001568B3">
              <w:t xml:space="preserve"> kartes izsniegšanai </w:t>
            </w:r>
            <w:r>
              <w:t xml:space="preserve">ārpus Latvijas </w:t>
            </w:r>
            <w:r w:rsidRPr="001568B3">
              <w:t xml:space="preserve">tiks pieņemti tikai </w:t>
            </w:r>
            <w:r>
              <w:t xml:space="preserve">Latvijas </w:t>
            </w:r>
            <w:r w:rsidRPr="001568B3">
              <w:t>pārstāvniecībās, k</w:t>
            </w:r>
            <w:r>
              <w:t>uras</w:t>
            </w:r>
            <w:r w:rsidRPr="001568B3">
              <w:t xml:space="preserve"> atrodas ārpus Šengenas zonas, un par ārzemnieka </w:t>
            </w:r>
            <w:proofErr w:type="spellStart"/>
            <w:r w:rsidRPr="001568B3">
              <w:t>eID</w:t>
            </w:r>
            <w:proofErr w:type="spellEnd"/>
            <w:r w:rsidRPr="001568B3">
              <w:t xml:space="preserve"> kartes izsniegšanu personai būs jāmaksā valsts nodeva 80 eiro, kā arī jārēķinās ar attiecīgajiem maksājumiem par </w:t>
            </w:r>
            <w:r>
              <w:t>konsulāro pakalpojumu saņemšanu, ja persona noformēs iesniegumu Latvijas pārstāvniecībā.</w:t>
            </w:r>
          </w:p>
          <w:p w14:paraId="57461052" w14:textId="77777777" w:rsidR="0098544D" w:rsidRPr="006469D9" w:rsidRDefault="0098544D" w:rsidP="003715C1">
            <w:pPr>
              <w:jc w:val="both"/>
            </w:pPr>
            <w:r w:rsidRPr="0098544D">
              <w:t xml:space="preserve">Ņemot vērā, ka ārzemnieka </w:t>
            </w:r>
            <w:proofErr w:type="spellStart"/>
            <w:r>
              <w:t>eID</w:t>
            </w:r>
            <w:proofErr w:type="spellEnd"/>
            <w:r>
              <w:t xml:space="preserve"> karte</w:t>
            </w:r>
            <w:r w:rsidRPr="0098544D">
              <w:t xml:space="preserve"> likumprojektā nav noteikta kā obligāts personu apliecinošs dokuments, bet gan tās saņemšana būs Fizisko personu reģistra tiesību subjekta brīva izvēle saņemt elektroniskās identifikācijas un elektroniskā paraksta rīkus (</w:t>
            </w:r>
            <w:r>
              <w:t xml:space="preserve">ārzemnieka </w:t>
            </w:r>
            <w:proofErr w:type="spellStart"/>
            <w:r w:rsidRPr="0098544D">
              <w:t>eID</w:t>
            </w:r>
            <w:proofErr w:type="spellEnd"/>
            <w:r w:rsidRPr="0098544D">
              <w:t xml:space="preserve"> karti ar tajā iekļautajiem un aktivizētajiem kvalificētajiem sertifikātiem), lai nodrošinātu Latvijas diasporai ārvalstīs nozīmīgu konsulāro pakalpojumu sniegšanu, starp Ārlietu ministriju un Pilsonības un migrācijas lietu pārvaldi (turpmāk – pārvalde) ir tikusi panākta </w:t>
            </w:r>
            <w:proofErr w:type="spellStart"/>
            <w:r w:rsidRPr="0098544D">
              <w:t>starpinstitucionāla</w:t>
            </w:r>
            <w:proofErr w:type="spellEnd"/>
            <w:r w:rsidRPr="0098544D">
              <w:t xml:space="preserve"> vienošanās, ka šāds konsulārais pakalpojums būs pieejams tikai tajās pārstāvniecībās, kuras neatrodas Šengenas zonā un kurās tas ir iespējams, ņemot vērā to tehnisko aprīkojumu un noslodzi konsulāro pakalpojumu sniegšanā Latvijas </w:t>
            </w:r>
            <w:proofErr w:type="spellStart"/>
            <w:r w:rsidRPr="0098544D">
              <w:t>valstspiederīgajām</w:t>
            </w:r>
            <w:proofErr w:type="spellEnd"/>
            <w:r w:rsidRPr="0098544D">
              <w:t xml:space="preserve"> personām. Šim nolūkam Ārlietu ministrija izvērtēs pārstāvniecību ārpus Šengenas zonas noslodzi un tehniskā aprīkojuma pieejamību, nosakot pārstāvniecības, kurās tiks pieņemti pieteikumi ārzemnieka </w:t>
            </w:r>
            <w:proofErr w:type="spellStart"/>
            <w:r w:rsidR="00007BA7">
              <w:t>eID</w:t>
            </w:r>
            <w:proofErr w:type="spellEnd"/>
            <w:r w:rsidR="00007BA7">
              <w:t xml:space="preserve"> kartes</w:t>
            </w:r>
            <w:r w:rsidR="00007BA7" w:rsidRPr="00007BA7">
              <w:t xml:space="preserve"> </w:t>
            </w:r>
            <w:r w:rsidR="00724B5C">
              <w:t>izsniegšanai</w:t>
            </w:r>
            <w:r w:rsidRPr="0098544D">
              <w:t xml:space="preserve"> un nodrošināta šo dokumentu izsniegšana personām.</w:t>
            </w:r>
            <w:r w:rsidR="008A6D32">
              <w:t xml:space="preserve"> </w:t>
            </w:r>
            <w:r w:rsidR="008A6D32" w:rsidRPr="008A6D32">
              <w:t xml:space="preserve">Ārzemnieka </w:t>
            </w:r>
            <w:proofErr w:type="spellStart"/>
            <w:r w:rsidR="000A50E3" w:rsidRPr="000A50E3">
              <w:t>eID</w:t>
            </w:r>
            <w:proofErr w:type="spellEnd"/>
            <w:r w:rsidR="000A50E3" w:rsidRPr="000A50E3">
              <w:t xml:space="preserve"> karti </w:t>
            </w:r>
            <w:r w:rsidR="008A6D32" w:rsidRPr="008A6D32">
              <w:t xml:space="preserve">pārstāvniecībās </w:t>
            </w:r>
            <w:r w:rsidR="008A6D32">
              <w:t xml:space="preserve">būs </w:t>
            </w:r>
            <w:r w:rsidR="008A6D32" w:rsidRPr="008A6D32">
              <w:t xml:space="preserve">iespējams saņemt gadījumos, ja </w:t>
            </w:r>
            <w:r w:rsidR="006E49F2">
              <w:t xml:space="preserve">personas dati par ārzemnieku </w:t>
            </w:r>
            <w:r w:rsidR="008A6D32" w:rsidRPr="008A6D32">
              <w:t xml:space="preserve">ievadīti Fizisko personu </w:t>
            </w:r>
            <w:r w:rsidR="008A6D32" w:rsidRPr="008A6D32">
              <w:lastRenderedPageBreak/>
              <w:t>reģistrā un ārzemniekam p</w:t>
            </w:r>
            <w:r w:rsidR="008A6D32">
              <w:t>iešķirts Latvijas personas kods.</w:t>
            </w:r>
            <w:r w:rsidR="008A6D32" w:rsidRPr="008A6D32">
              <w:t xml:space="preserve"> </w:t>
            </w:r>
            <w:r w:rsidR="008A6D32">
              <w:t>G</w:t>
            </w:r>
            <w:r w:rsidR="008A6D32" w:rsidRPr="008A6D32">
              <w:t xml:space="preserve">adījumos, ja ārzemnieka personas dati nav ievadīti Fizisko personu reģistrā, saņemot pieteikumu par ārzemnieka </w:t>
            </w:r>
            <w:proofErr w:type="spellStart"/>
            <w:r w:rsidR="006E49F2">
              <w:t>eID</w:t>
            </w:r>
            <w:proofErr w:type="spellEnd"/>
            <w:r w:rsidR="006E49F2">
              <w:t xml:space="preserve"> kartes</w:t>
            </w:r>
            <w:r w:rsidR="006E49F2" w:rsidRPr="006E49F2">
              <w:t xml:space="preserve"> </w:t>
            </w:r>
            <w:r w:rsidR="008A6D32">
              <w:t>izsniegšanu</w:t>
            </w:r>
            <w:r w:rsidR="008A6D32" w:rsidRPr="008A6D32">
              <w:t xml:space="preserve"> pārstāvnie</w:t>
            </w:r>
            <w:r w:rsidR="008A6D32">
              <w:t>cībā, konsulārā amatpersona veiks</w:t>
            </w:r>
            <w:r w:rsidR="008A6D32" w:rsidRPr="008A6D32">
              <w:t xml:space="preserve"> </w:t>
            </w:r>
            <w:r w:rsidR="006E49F2">
              <w:t xml:space="preserve">ārzemnieka </w:t>
            </w:r>
            <w:r w:rsidR="008A6D32" w:rsidRPr="008A6D32">
              <w:t xml:space="preserve">datu ievadi Fizisko personu reģistrā un ārzemniekam </w:t>
            </w:r>
            <w:r w:rsidR="008A6D32">
              <w:t>tiks</w:t>
            </w:r>
            <w:r w:rsidR="008A6D32" w:rsidRPr="008A6D32">
              <w:t xml:space="preserve"> piešķirts personas kods. Konsulārās amatpersonas pārstāvniecībās </w:t>
            </w:r>
            <w:r w:rsidR="008A6D32">
              <w:t>veiks</w:t>
            </w:r>
            <w:r w:rsidR="008A6D32" w:rsidRPr="008A6D32">
              <w:t xml:space="preserve"> ārzemnieka personas datu ievadi Fizisko peronu reģistrā tikai tad, ja pārstāvniecībā </w:t>
            </w:r>
            <w:r w:rsidR="008A6D32">
              <w:t xml:space="preserve">tiks </w:t>
            </w:r>
            <w:r w:rsidR="008A6D32" w:rsidRPr="008A6D32">
              <w:t xml:space="preserve">saņemts pieteikums par ārzemnieka </w:t>
            </w:r>
            <w:proofErr w:type="spellStart"/>
            <w:r w:rsidR="007F230B" w:rsidRPr="007F230B">
              <w:t>eID</w:t>
            </w:r>
            <w:proofErr w:type="spellEnd"/>
            <w:r w:rsidR="007F230B" w:rsidRPr="007F230B">
              <w:t xml:space="preserve"> kartes </w:t>
            </w:r>
            <w:r w:rsidR="00F34CAD">
              <w:t>izsniegšanu</w:t>
            </w:r>
            <w:r w:rsidR="008A6D32" w:rsidRPr="008A6D32">
              <w:t>.</w:t>
            </w:r>
            <w:r w:rsidR="008A6D32">
              <w:t xml:space="preserve"> </w:t>
            </w:r>
          </w:p>
          <w:p w14:paraId="57461053" w14:textId="77777777" w:rsidR="00E10F46" w:rsidRPr="006469D9" w:rsidRDefault="00E10F46" w:rsidP="003715C1">
            <w:pPr>
              <w:jc w:val="both"/>
            </w:pPr>
            <w:r w:rsidRPr="006469D9">
              <w:t xml:space="preserve">Likumprojekts precizē tiesisko regulējumu, ar kuru iepriekš noteikts, ka personu apliecinošus dokumentus izsniedz, pamatojoties uz Iedzīvotāju reģistra datiem, </w:t>
            </w:r>
            <w:r w:rsidR="00B92691" w:rsidRPr="006469D9">
              <w:t>izsakot PADL 4.panta otro un trešo daļu jaunā redakcijā</w:t>
            </w:r>
            <w:r w:rsidRPr="006469D9">
              <w:t xml:space="preserve">, jo </w:t>
            </w:r>
            <w:r w:rsidRPr="006469D9">
              <w:rPr>
                <w:rFonts w:eastAsiaTheme="minorHAnsi"/>
                <w:lang w:eastAsia="en-US"/>
              </w:rPr>
              <w:t xml:space="preserve">no 2021.gada 28.jūnija Iedzīvotāju reģistru aizstāj Fizisko personu reģistrs.  </w:t>
            </w:r>
          </w:p>
          <w:p w14:paraId="57461054" w14:textId="77777777" w:rsidR="0046774D" w:rsidRPr="006469D9" w:rsidRDefault="003715C1" w:rsidP="0012392A">
            <w:pPr>
              <w:jc w:val="both"/>
            </w:pPr>
            <w:r w:rsidRPr="006469D9">
              <w:t xml:space="preserve">Likumprojektā precizēta </w:t>
            </w:r>
            <w:r w:rsidR="0012392A" w:rsidRPr="006469D9">
              <w:t>PADL 10.panta astotā daļa, ar kuru noteikts,</w:t>
            </w:r>
            <w:r w:rsidR="0046774D" w:rsidRPr="006469D9">
              <w:t xml:space="preserve"> </w:t>
            </w:r>
            <w:r w:rsidR="0012392A" w:rsidRPr="006469D9">
              <w:t xml:space="preserve">kādos gadījumos neizsniedz </w:t>
            </w:r>
            <w:r w:rsidR="001647D5" w:rsidRPr="006469D9">
              <w:t>p</w:t>
            </w:r>
            <w:r w:rsidR="00B03B18" w:rsidRPr="006469D9">
              <w:t xml:space="preserve">ar 14 gadiem jaunāka Latvijas pilsoņa vai </w:t>
            </w:r>
            <w:proofErr w:type="spellStart"/>
            <w:r w:rsidR="00B03B18" w:rsidRPr="006469D9">
              <w:t>nepilsoņa</w:t>
            </w:r>
            <w:proofErr w:type="spellEnd"/>
            <w:r w:rsidR="0012392A" w:rsidRPr="006469D9">
              <w:t xml:space="preserve"> personu apliecinošu dokumentu</w:t>
            </w:r>
            <w:r w:rsidR="001647D5" w:rsidRPr="006469D9">
              <w:t xml:space="preserve">. </w:t>
            </w:r>
          </w:p>
          <w:p w14:paraId="57461055" w14:textId="77777777" w:rsidR="0046774D" w:rsidRPr="006469D9" w:rsidRDefault="0012392A" w:rsidP="0012392A">
            <w:pPr>
              <w:jc w:val="both"/>
            </w:pPr>
            <w:r w:rsidRPr="006469D9">
              <w:t xml:space="preserve">Ņemot vērā, ka personu apliecinošs dokuments Latvijas pilsonim un </w:t>
            </w:r>
            <w:proofErr w:type="spellStart"/>
            <w:r w:rsidRPr="006469D9">
              <w:t>nepilsonim</w:t>
            </w:r>
            <w:proofErr w:type="spellEnd"/>
            <w:r w:rsidRPr="006469D9">
              <w:t xml:space="preserve"> ir obligāts tikai no 15 gadu vecuma, bet jaunāka vecuma bērnam </w:t>
            </w:r>
            <w:r w:rsidR="00B03B18" w:rsidRPr="006469D9">
              <w:t xml:space="preserve">tas </w:t>
            </w:r>
            <w:r w:rsidRPr="006469D9">
              <w:t xml:space="preserve">tiek izsniegts pēc bērna vecāka (vai cita likumiskā pārstāvja) lūguma ceļošanai, </w:t>
            </w:r>
            <w:r w:rsidR="00B03B18" w:rsidRPr="006469D9">
              <w:t xml:space="preserve">tiks paredzēts </w:t>
            </w:r>
            <w:r w:rsidRPr="006469D9">
              <w:t xml:space="preserve">ierobežojums izsniegt bērna personu apliecinošu dokumentu Latvijas pilsonim vai </w:t>
            </w:r>
            <w:proofErr w:type="spellStart"/>
            <w:r w:rsidRPr="006469D9">
              <w:t>nepilsoni</w:t>
            </w:r>
            <w:r w:rsidR="0046774D" w:rsidRPr="006469D9">
              <w:t>m</w:t>
            </w:r>
            <w:proofErr w:type="spellEnd"/>
            <w:r w:rsidR="0046774D" w:rsidRPr="006469D9">
              <w:t xml:space="preserve"> gadījumos, ja</w:t>
            </w:r>
          </w:p>
          <w:p w14:paraId="57461056" w14:textId="77777777" w:rsidR="0046774D" w:rsidRPr="006469D9" w:rsidRDefault="0046774D" w:rsidP="0012392A">
            <w:pPr>
              <w:jc w:val="both"/>
            </w:pPr>
            <w:r w:rsidRPr="006469D9">
              <w:t xml:space="preserve">- </w:t>
            </w:r>
            <w:r w:rsidR="0012392A" w:rsidRPr="006469D9">
              <w:t>ir saņemts tās likumiskā pārstāvja iesniegums ar lūgumu neizsniegt personu apliecinošu dokumentu, — līdz laikam, kad tiesā iesn</w:t>
            </w:r>
            <w:r w:rsidRPr="006469D9">
              <w:t>iegts šā panta astotās daļas 2.</w:t>
            </w:r>
            <w:r w:rsidR="0012392A" w:rsidRPr="006469D9">
              <w:t>punktā minētais lūgums, bet ne ilgāk kā mēnesi no iesnieguma saņemšanas dien</w:t>
            </w:r>
            <w:r w:rsidRPr="006469D9">
              <w:t xml:space="preserve">as; </w:t>
            </w:r>
          </w:p>
          <w:p w14:paraId="57461057" w14:textId="77777777" w:rsidR="0046774D" w:rsidRPr="006469D9" w:rsidRDefault="0046774D" w:rsidP="0012392A">
            <w:pPr>
              <w:jc w:val="both"/>
            </w:pPr>
            <w:r w:rsidRPr="006469D9">
              <w:t>-</w:t>
            </w:r>
            <w:r w:rsidR="001F0D25">
              <w:t xml:space="preserve"> </w:t>
            </w:r>
            <w:r w:rsidR="0012392A" w:rsidRPr="006469D9">
              <w:t>ir saņemts dokuments, kas apliecina, ka tiesai iesniegts lūgums pieņemt lēmumu, ar kuru noteikts aizliegums bērnu izvest no valsts, — līdz dienai, kad stājas spēkā tiesas lēmums par aizliegumu bērnu izvest no valsts vai par atteikumu šādu aizliegum</w:t>
            </w:r>
            <w:r w:rsidRPr="006469D9">
              <w:t xml:space="preserve">u noteikt; </w:t>
            </w:r>
          </w:p>
          <w:p w14:paraId="57461058" w14:textId="77777777" w:rsidR="0012392A" w:rsidRPr="006469D9" w:rsidRDefault="0046774D" w:rsidP="0012392A">
            <w:pPr>
              <w:jc w:val="both"/>
            </w:pPr>
            <w:r w:rsidRPr="006469D9">
              <w:t xml:space="preserve">- </w:t>
            </w:r>
            <w:r w:rsidR="0012392A" w:rsidRPr="006469D9">
              <w:t>ir pieņemts tiesas lēmums par aizliegumu attiecīgajai personai izbraukt no valsts vai izbraukt no valsts līdz tiesvedības procesa pabei</w:t>
            </w:r>
            <w:r w:rsidRPr="006469D9">
              <w:t xml:space="preserve">gšanai ar galīgo nolēmumu lietā </w:t>
            </w:r>
            <w:r w:rsidR="0012392A" w:rsidRPr="006469D9">
              <w:t xml:space="preserve">nodrošina, ka </w:t>
            </w:r>
            <w:r w:rsidRPr="006469D9">
              <w:t>bērns netiks izvests no valsts.</w:t>
            </w:r>
          </w:p>
          <w:p w14:paraId="57461059" w14:textId="77777777" w:rsidR="00464F18" w:rsidRPr="006469D9" w:rsidRDefault="0046774D" w:rsidP="0046774D">
            <w:pPr>
              <w:jc w:val="both"/>
            </w:pPr>
            <w:r w:rsidRPr="006469D9">
              <w:t>Savukārt</w:t>
            </w:r>
            <w:r w:rsidR="0012392A" w:rsidRPr="006469D9">
              <w:t xml:space="preserve"> personu apliecinošs dokuments citas valsts pilsonim </w:t>
            </w:r>
            <w:r w:rsidRPr="006469D9">
              <w:t xml:space="preserve">(kas nav Latvijas pilsonis, Latvijas </w:t>
            </w:r>
            <w:proofErr w:type="spellStart"/>
            <w:r w:rsidRPr="006469D9">
              <w:t>nepilsonis</w:t>
            </w:r>
            <w:proofErr w:type="spellEnd"/>
            <w:r w:rsidRPr="006469D9">
              <w:t xml:space="preserve">), </w:t>
            </w:r>
            <w:r w:rsidR="0012392A" w:rsidRPr="006469D9">
              <w:t>proti</w:t>
            </w:r>
            <w:r w:rsidRPr="006469D9">
              <w:t>,</w:t>
            </w:r>
            <w:r w:rsidR="0012392A" w:rsidRPr="006469D9">
              <w:t xml:space="preserve"> uzturēšanās atļauja vai Savienības pilsoņa personas apliecība, tiek izsniegts </w:t>
            </w:r>
            <w:r w:rsidR="00A1322A" w:rsidRPr="006469D9">
              <w:t xml:space="preserve">ar mērķi uzturēties Latvijā, </w:t>
            </w:r>
            <w:r w:rsidR="0012392A" w:rsidRPr="006469D9">
              <w:t>nevis ceļošanai ārpus</w:t>
            </w:r>
            <w:r w:rsidR="00A1322A" w:rsidRPr="006469D9">
              <w:t xml:space="preserve"> Latvijas</w:t>
            </w:r>
            <w:r w:rsidR="0012392A" w:rsidRPr="006469D9">
              <w:t>.</w:t>
            </w:r>
            <w:r w:rsidRPr="006469D9">
              <w:t xml:space="preserve"> </w:t>
            </w:r>
          </w:p>
        </w:tc>
      </w:tr>
      <w:tr w:rsidR="004E4FD2" w:rsidRPr="002A7EC2" w14:paraId="5746105E" w14:textId="77777777" w:rsidTr="00535379">
        <w:tc>
          <w:tcPr>
            <w:tcW w:w="311" w:type="pct"/>
            <w:hideMark/>
          </w:tcPr>
          <w:p w14:paraId="5746105B" w14:textId="77777777" w:rsidR="004E4FD2" w:rsidRPr="002A7EC2" w:rsidRDefault="00882028" w:rsidP="00DB7D1D">
            <w:pPr>
              <w:jc w:val="center"/>
            </w:pPr>
            <w:r w:rsidRPr="002A7EC2">
              <w:lastRenderedPageBreak/>
              <w:t>3.</w:t>
            </w:r>
          </w:p>
        </w:tc>
        <w:tc>
          <w:tcPr>
            <w:tcW w:w="1479" w:type="pct"/>
            <w:hideMark/>
          </w:tcPr>
          <w:p w14:paraId="5746105C" w14:textId="77777777" w:rsidR="004E4FD2" w:rsidRPr="002A7EC2" w:rsidRDefault="004E4FD2" w:rsidP="00DB7D1D">
            <w:r w:rsidRPr="002A7EC2">
              <w:t>Projekta izstrādē iesaistītās institūcijas un publiskas personas kapitālsabiedrības</w:t>
            </w:r>
          </w:p>
        </w:tc>
        <w:tc>
          <w:tcPr>
            <w:tcW w:w="3210" w:type="pct"/>
            <w:hideMark/>
          </w:tcPr>
          <w:p w14:paraId="5746105D" w14:textId="77777777" w:rsidR="004E4FD2" w:rsidRPr="006469D9" w:rsidRDefault="004E4FD2" w:rsidP="00223AD1">
            <w:r w:rsidRPr="006469D9">
              <w:t>Pilsonīb</w:t>
            </w:r>
            <w:r w:rsidR="00223AD1" w:rsidRPr="006469D9">
              <w:t>as un migrācijas lietu pārvalde.</w:t>
            </w:r>
            <w:r w:rsidR="00115FE4" w:rsidRPr="006469D9">
              <w:t xml:space="preserve"> </w:t>
            </w:r>
          </w:p>
        </w:tc>
      </w:tr>
      <w:tr w:rsidR="004E4FD2" w:rsidRPr="002A7EC2" w14:paraId="57461062" w14:textId="77777777" w:rsidTr="00535379">
        <w:tc>
          <w:tcPr>
            <w:tcW w:w="311" w:type="pct"/>
            <w:hideMark/>
          </w:tcPr>
          <w:p w14:paraId="5746105F" w14:textId="77777777" w:rsidR="004E4FD2" w:rsidRPr="002A7EC2" w:rsidRDefault="004E4FD2" w:rsidP="00DB7D1D">
            <w:pPr>
              <w:jc w:val="center"/>
            </w:pPr>
            <w:r w:rsidRPr="002A7EC2">
              <w:t>4.</w:t>
            </w:r>
          </w:p>
        </w:tc>
        <w:tc>
          <w:tcPr>
            <w:tcW w:w="1479" w:type="pct"/>
            <w:hideMark/>
          </w:tcPr>
          <w:p w14:paraId="57461060" w14:textId="77777777" w:rsidR="004E4FD2" w:rsidRPr="002A7EC2" w:rsidRDefault="004E4FD2" w:rsidP="00DB7D1D">
            <w:r w:rsidRPr="002A7EC2">
              <w:t>Cita informācija</w:t>
            </w:r>
          </w:p>
        </w:tc>
        <w:tc>
          <w:tcPr>
            <w:tcW w:w="3210" w:type="pct"/>
            <w:hideMark/>
          </w:tcPr>
          <w:p w14:paraId="57461061" w14:textId="77777777" w:rsidR="004E4FD2" w:rsidRPr="002A7EC2" w:rsidRDefault="00FD68A5" w:rsidP="00DB7D1D">
            <w:r w:rsidRPr="002A7EC2">
              <w:t>Nav</w:t>
            </w:r>
          </w:p>
        </w:tc>
      </w:tr>
    </w:tbl>
    <w:p w14:paraId="57461063" w14:textId="77777777" w:rsidR="00067A16" w:rsidRPr="002A7EC2" w:rsidRDefault="00067A16"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2A7EC2" w14:paraId="57461065" w14:textId="77777777" w:rsidTr="008D1D58">
        <w:tc>
          <w:tcPr>
            <w:tcW w:w="5000" w:type="pct"/>
            <w:gridSpan w:val="3"/>
            <w:vAlign w:val="center"/>
            <w:hideMark/>
          </w:tcPr>
          <w:p w14:paraId="57461064" w14:textId="77777777" w:rsidR="004E4FD2" w:rsidRPr="002A7EC2" w:rsidRDefault="004E4FD2" w:rsidP="00DB7D1D">
            <w:pPr>
              <w:jc w:val="center"/>
              <w:rPr>
                <w:b/>
                <w:bCs/>
              </w:rPr>
            </w:pPr>
            <w:r w:rsidRPr="002A7EC2">
              <w:rPr>
                <w:b/>
                <w:bCs/>
              </w:rPr>
              <w:t>II. Tiesību akta projekta ietekme uz sabiedrību, tautsaimniecības attīstību un administratīvo slogu</w:t>
            </w:r>
          </w:p>
        </w:tc>
      </w:tr>
      <w:tr w:rsidR="004E4FD2" w:rsidRPr="002A7EC2" w14:paraId="57461069" w14:textId="77777777" w:rsidTr="008D1D58">
        <w:tc>
          <w:tcPr>
            <w:tcW w:w="311" w:type="pct"/>
            <w:hideMark/>
          </w:tcPr>
          <w:p w14:paraId="57461066" w14:textId="77777777" w:rsidR="004E4FD2" w:rsidRPr="002A7EC2" w:rsidRDefault="004E4FD2" w:rsidP="00DB7D1D">
            <w:pPr>
              <w:jc w:val="center"/>
            </w:pPr>
            <w:r w:rsidRPr="002A7EC2">
              <w:t>1.</w:t>
            </w:r>
          </w:p>
        </w:tc>
        <w:tc>
          <w:tcPr>
            <w:tcW w:w="1479" w:type="pct"/>
            <w:hideMark/>
          </w:tcPr>
          <w:p w14:paraId="57461067" w14:textId="77777777" w:rsidR="004E4FD2" w:rsidRPr="002A7EC2" w:rsidRDefault="004E4FD2" w:rsidP="00DB7D1D">
            <w:r w:rsidRPr="002A7EC2">
              <w:t xml:space="preserve">Sabiedrības </w:t>
            </w:r>
            <w:proofErr w:type="spellStart"/>
            <w:r w:rsidRPr="002A7EC2">
              <w:t>mērķgrupas</w:t>
            </w:r>
            <w:proofErr w:type="spellEnd"/>
            <w:r w:rsidRPr="002A7EC2">
              <w:t>, kuras tiesiskais regulējums ietekmē vai varētu ietekmēt</w:t>
            </w:r>
          </w:p>
        </w:tc>
        <w:tc>
          <w:tcPr>
            <w:tcW w:w="3210" w:type="pct"/>
            <w:hideMark/>
          </w:tcPr>
          <w:p w14:paraId="57461068" w14:textId="77777777" w:rsidR="00255FF1" w:rsidRPr="002A7EC2" w:rsidRDefault="00CB72D8" w:rsidP="003A3295">
            <w:pPr>
              <w:spacing w:after="120"/>
              <w:jc w:val="both"/>
            </w:pPr>
            <w:r w:rsidRPr="002A7EC2">
              <w:t>Likump</w:t>
            </w:r>
            <w:r w:rsidR="00EC60C5" w:rsidRPr="002A7EC2">
              <w:t xml:space="preserve">rojekts attiecas uz </w:t>
            </w:r>
            <w:r w:rsidR="003A3295" w:rsidRPr="002A7EC2">
              <w:t xml:space="preserve">atsevišķām </w:t>
            </w:r>
            <w:r w:rsidR="005F5E55" w:rsidRPr="002A7EC2">
              <w:t>ārzemniek</w:t>
            </w:r>
            <w:r w:rsidR="003A3295" w:rsidRPr="002A7EC2">
              <w:t>u kategorijām (sk. Anotācijas I sadaļas  2.punktu)</w:t>
            </w:r>
            <w:r w:rsidR="005F5E55" w:rsidRPr="002A7EC2">
              <w:t xml:space="preserve">, kuri no 2021.gada </w:t>
            </w:r>
            <w:r w:rsidR="007C310E" w:rsidRPr="002A7EC2">
              <w:t xml:space="preserve">28.jūnija </w:t>
            </w:r>
            <w:r w:rsidR="005F5E55" w:rsidRPr="002A7EC2">
              <w:t xml:space="preserve">saskaņā ar Fizisko personu reģistra likumā noteikto </w:t>
            </w:r>
            <w:r w:rsidR="00C54711" w:rsidRPr="002A7EC2">
              <w:t xml:space="preserve">tiks reģistrēti Fizisko personu reģistrā un </w:t>
            </w:r>
            <w:r w:rsidR="005F5E55" w:rsidRPr="002A7EC2">
              <w:t xml:space="preserve">būs tiesīgi pieprasīt </w:t>
            </w:r>
            <w:r w:rsidR="005D3B6C" w:rsidRPr="002A7EC2">
              <w:t xml:space="preserve">ārzemnieka </w:t>
            </w:r>
            <w:proofErr w:type="spellStart"/>
            <w:r w:rsidR="005F5E55" w:rsidRPr="002A7EC2">
              <w:t>eID</w:t>
            </w:r>
            <w:proofErr w:type="spellEnd"/>
            <w:r w:rsidR="005F5E55" w:rsidRPr="002A7EC2">
              <w:t xml:space="preserve"> karti. </w:t>
            </w:r>
          </w:p>
        </w:tc>
      </w:tr>
      <w:tr w:rsidR="004E4FD2" w:rsidRPr="00EE2097" w14:paraId="5746106D" w14:textId="77777777" w:rsidTr="008D1D58">
        <w:tc>
          <w:tcPr>
            <w:tcW w:w="311" w:type="pct"/>
            <w:hideMark/>
          </w:tcPr>
          <w:p w14:paraId="5746106A" w14:textId="77777777" w:rsidR="004E4FD2" w:rsidRPr="002A7EC2" w:rsidRDefault="004E4FD2" w:rsidP="00DB7D1D">
            <w:pPr>
              <w:jc w:val="center"/>
            </w:pPr>
            <w:r w:rsidRPr="002A7EC2">
              <w:t>2.</w:t>
            </w:r>
          </w:p>
        </w:tc>
        <w:tc>
          <w:tcPr>
            <w:tcW w:w="1479" w:type="pct"/>
            <w:hideMark/>
          </w:tcPr>
          <w:p w14:paraId="5746106B" w14:textId="77777777" w:rsidR="004E4FD2" w:rsidRPr="002A7EC2" w:rsidRDefault="004E4FD2" w:rsidP="00DB7D1D">
            <w:r w:rsidRPr="002A7EC2">
              <w:t>Tiesiskā regulējuma ietekme uz tautsaimniecību un administratīvo slogu</w:t>
            </w:r>
          </w:p>
        </w:tc>
        <w:tc>
          <w:tcPr>
            <w:tcW w:w="3210" w:type="pct"/>
            <w:hideMark/>
          </w:tcPr>
          <w:p w14:paraId="5746106C" w14:textId="77777777" w:rsidR="00E30597" w:rsidRPr="00EE2097" w:rsidRDefault="00C21D18" w:rsidP="00B65EF9">
            <w:pPr>
              <w:jc w:val="both"/>
            </w:pPr>
            <w:r w:rsidRPr="002A7EC2">
              <w:t xml:space="preserve">Ņemot vērā, ka </w:t>
            </w:r>
            <w:r w:rsidR="00293BAD" w:rsidRPr="002A7EC2">
              <w:t>ar l</w:t>
            </w:r>
            <w:r w:rsidRPr="002A7EC2">
              <w:t>ikumprojekta</w:t>
            </w:r>
            <w:r w:rsidR="00293BAD" w:rsidRPr="002A7EC2">
              <w:t xml:space="preserve"> regulējumu tiek </w:t>
            </w:r>
            <w:r w:rsidR="00B65EF9" w:rsidRPr="002A7EC2">
              <w:t>ieviests</w:t>
            </w:r>
            <w:r w:rsidR="00293BAD" w:rsidRPr="002A7EC2">
              <w:t xml:space="preserve"> jauns </w:t>
            </w:r>
            <w:r w:rsidR="003C2FC7" w:rsidRPr="002A7EC2">
              <w:t>personas apliecības</w:t>
            </w:r>
            <w:r w:rsidR="00293BAD" w:rsidRPr="002A7EC2">
              <w:t xml:space="preserve"> tips – ārzemnieka </w:t>
            </w:r>
            <w:proofErr w:type="spellStart"/>
            <w:r w:rsidR="003C2FC7" w:rsidRPr="002A7EC2">
              <w:t>eID</w:t>
            </w:r>
            <w:proofErr w:type="spellEnd"/>
            <w:r w:rsidR="003C2FC7" w:rsidRPr="002A7EC2">
              <w:t xml:space="preserve"> karte</w:t>
            </w:r>
            <w:r w:rsidR="00293BAD" w:rsidRPr="002A7EC2">
              <w:t>, secināms, ka amatpersonām, kuras izsniedz klientiem personu apliecinošus dokum</w:t>
            </w:r>
            <w:r w:rsidR="00393626" w:rsidRPr="002A7EC2">
              <w:t>en</w:t>
            </w:r>
            <w:r w:rsidR="00293BAD" w:rsidRPr="002A7EC2">
              <w:t>tus, administratīvais slogs pieaug.</w:t>
            </w:r>
            <w:r w:rsidR="007E646B">
              <w:t xml:space="preserve"> </w:t>
            </w:r>
          </w:p>
        </w:tc>
      </w:tr>
      <w:tr w:rsidR="004E4FD2" w:rsidRPr="00EE2097" w14:paraId="57461074" w14:textId="77777777" w:rsidTr="008D1D58">
        <w:tc>
          <w:tcPr>
            <w:tcW w:w="311" w:type="pct"/>
            <w:hideMark/>
          </w:tcPr>
          <w:p w14:paraId="5746106E" w14:textId="77777777" w:rsidR="004E4FD2" w:rsidRPr="00EE2097" w:rsidRDefault="004E4FD2" w:rsidP="00DB7D1D">
            <w:pPr>
              <w:jc w:val="center"/>
            </w:pPr>
            <w:r w:rsidRPr="00EE2097">
              <w:t>3.</w:t>
            </w:r>
          </w:p>
        </w:tc>
        <w:tc>
          <w:tcPr>
            <w:tcW w:w="1479" w:type="pct"/>
            <w:hideMark/>
          </w:tcPr>
          <w:p w14:paraId="5746106F" w14:textId="77777777" w:rsidR="004E4FD2" w:rsidRPr="00EE2097" w:rsidRDefault="004E4FD2" w:rsidP="00DB7D1D">
            <w:r w:rsidRPr="00EE2097">
              <w:t>Administratīvo izmaksu monetārs novērtējums</w:t>
            </w:r>
          </w:p>
        </w:tc>
        <w:tc>
          <w:tcPr>
            <w:tcW w:w="3210" w:type="pct"/>
            <w:hideMark/>
          </w:tcPr>
          <w:p w14:paraId="57461070" w14:textId="77777777" w:rsidR="007C2735" w:rsidRPr="002A7EC2" w:rsidRDefault="0004411D" w:rsidP="007C2735">
            <w:pPr>
              <w:jc w:val="both"/>
            </w:pPr>
            <w:r w:rsidRPr="002A7EC2">
              <w:t>ERAF projekta “Fizisko personu datu pakalpojumu modernizācija” ietvaros plānots</w:t>
            </w:r>
            <w:r w:rsidR="007C2735" w:rsidRPr="002A7EC2">
              <w:t xml:space="preserve">, ka </w:t>
            </w:r>
            <w:r w:rsidR="001A53CA" w:rsidRPr="002A7EC2">
              <w:t xml:space="preserve">katru gadu </w:t>
            </w:r>
            <w:r w:rsidR="007C2735" w:rsidRPr="002A7EC2">
              <w:t xml:space="preserve">Pilsonības un migrācijas lietu pārvalde  izsniegs  </w:t>
            </w:r>
            <w:r w:rsidR="001A53CA" w:rsidRPr="002A7EC2">
              <w:t xml:space="preserve">vidēji </w:t>
            </w:r>
            <w:r w:rsidR="00A92BDE" w:rsidRPr="002A7EC2">
              <w:t>2000</w:t>
            </w:r>
            <w:r w:rsidR="007C2735" w:rsidRPr="002A7EC2">
              <w:t xml:space="preserve"> ārzemnieka </w:t>
            </w:r>
            <w:proofErr w:type="spellStart"/>
            <w:r w:rsidR="00E95CD8" w:rsidRPr="002A7EC2">
              <w:t>eID</w:t>
            </w:r>
            <w:proofErr w:type="spellEnd"/>
            <w:r w:rsidR="00E95CD8" w:rsidRPr="002A7EC2">
              <w:t xml:space="preserve"> karšu.</w:t>
            </w:r>
            <w:r w:rsidR="007C2735" w:rsidRPr="002A7EC2">
              <w:t xml:space="preserve"> </w:t>
            </w:r>
          </w:p>
          <w:p w14:paraId="57461071" w14:textId="77777777" w:rsidR="007C2735" w:rsidRPr="001A53CA" w:rsidRDefault="007C2735" w:rsidP="007C2735">
            <w:pPr>
              <w:jc w:val="both"/>
            </w:pPr>
            <w:r w:rsidRPr="002A7EC2">
              <w:t>Administratīvo</w:t>
            </w:r>
            <w:r w:rsidRPr="001A53CA">
              <w:t xml:space="preserve"> izmaksu aprēķins: </w:t>
            </w:r>
          </w:p>
          <w:p w14:paraId="57461072" w14:textId="77777777" w:rsidR="007C2735" w:rsidRPr="001A53CA" w:rsidRDefault="007C2735" w:rsidP="007C2735">
            <w:pPr>
              <w:jc w:val="both"/>
            </w:pPr>
            <w:r w:rsidRPr="001A53CA">
              <w:t xml:space="preserve">C (elektroniska iesnieguma ārzemnieka </w:t>
            </w:r>
            <w:proofErr w:type="spellStart"/>
            <w:r w:rsidR="00760B5A">
              <w:t>eID</w:t>
            </w:r>
            <w:proofErr w:type="spellEnd"/>
            <w:r w:rsidR="00760B5A">
              <w:t xml:space="preserve"> kartes</w:t>
            </w:r>
            <w:r w:rsidRPr="001A53CA">
              <w:t xml:space="preserve"> saņemšanai noformēšana, t.sk. informācijas pār</w:t>
            </w:r>
            <w:r w:rsidR="00D0664F">
              <w:t>baude informācijas sistēmās</w:t>
            </w:r>
            <w:r w:rsidR="0074294D">
              <w:t xml:space="preserve"> vai </w:t>
            </w:r>
            <w:r w:rsidR="0074294D" w:rsidRPr="0074294D">
              <w:t xml:space="preserve">ierašanās Pilsonības un migrācijas lietu pārvaldē iesnieguma ārzemnieka </w:t>
            </w:r>
            <w:proofErr w:type="spellStart"/>
            <w:r w:rsidR="00760B5A">
              <w:t>eID</w:t>
            </w:r>
            <w:proofErr w:type="spellEnd"/>
            <w:r w:rsidR="00760B5A">
              <w:t xml:space="preserve"> kartes</w:t>
            </w:r>
            <w:r w:rsidR="0074294D" w:rsidRPr="0074294D">
              <w:t xml:space="preserve"> izsniegšanai noformēšana</w:t>
            </w:r>
            <w:r w:rsidR="0074294D">
              <w:t xml:space="preserve">i; izgatavotās </w:t>
            </w:r>
            <w:proofErr w:type="spellStart"/>
            <w:r w:rsidR="00760B5A">
              <w:t>eID</w:t>
            </w:r>
            <w:proofErr w:type="spellEnd"/>
            <w:r w:rsidR="00760B5A">
              <w:t xml:space="preserve"> kartes</w:t>
            </w:r>
            <w:r w:rsidR="0074294D">
              <w:t xml:space="preserve"> izsniegšana</w:t>
            </w:r>
            <w:r w:rsidR="00D0664F">
              <w:t xml:space="preserve">) = atalgojums 4,60 </w:t>
            </w:r>
            <w:proofErr w:type="spellStart"/>
            <w:r w:rsidR="00D0664F">
              <w:t>euro</w:t>
            </w:r>
            <w:proofErr w:type="spellEnd"/>
            <w:r w:rsidR="00D0664F">
              <w:t>/h x 0,5h</w:t>
            </w:r>
            <w:r w:rsidRPr="001A53CA">
              <w:t xml:space="preserve"> x (</w:t>
            </w:r>
            <w:r w:rsidR="00A92BDE">
              <w:t>2000</w:t>
            </w:r>
            <w:r w:rsidRPr="001A53CA">
              <w:t xml:space="preserve"> </w:t>
            </w:r>
            <w:r w:rsidR="001A53CA" w:rsidRPr="001A53CA">
              <w:t>Fizisko personu reģistrā reģistrēto ārzemnieku</w:t>
            </w:r>
            <w:r w:rsidRPr="001A53CA">
              <w:t xml:space="preserve"> x 1 iesniegums ārzemnieka </w:t>
            </w:r>
            <w:proofErr w:type="spellStart"/>
            <w:r w:rsidR="00760B5A">
              <w:t>eID</w:t>
            </w:r>
            <w:proofErr w:type="spellEnd"/>
            <w:r w:rsidR="00760B5A">
              <w:t xml:space="preserve"> kartes</w:t>
            </w:r>
            <w:r w:rsidRPr="001A53CA">
              <w:t xml:space="preserve"> </w:t>
            </w:r>
            <w:r w:rsidR="001A53CA" w:rsidRPr="001A53CA">
              <w:t>izsniegšanai</w:t>
            </w:r>
            <w:r w:rsidRPr="001A53CA">
              <w:t xml:space="preserve">) = </w:t>
            </w:r>
            <w:r w:rsidR="00AA4FE1">
              <w:t>460</w:t>
            </w:r>
            <w:r w:rsidR="00C21A61">
              <w:t xml:space="preserve">0 </w:t>
            </w:r>
            <w:proofErr w:type="spellStart"/>
            <w:r w:rsidR="00D0664F">
              <w:t>euro</w:t>
            </w:r>
            <w:proofErr w:type="spellEnd"/>
            <w:r w:rsidRPr="001A53CA">
              <w:t xml:space="preserve">. </w:t>
            </w:r>
          </w:p>
          <w:p w14:paraId="57461073" w14:textId="77777777" w:rsidR="004E4FD2" w:rsidRPr="00EE2097" w:rsidRDefault="00A27328" w:rsidP="00AA4FE1">
            <w:pPr>
              <w:jc w:val="both"/>
            </w:pPr>
            <w:r>
              <w:t>Administratīvās</w:t>
            </w:r>
            <w:r w:rsidR="007C2735" w:rsidRPr="0074294D">
              <w:t xml:space="preserve"> izmaksas </w:t>
            </w:r>
            <w:r>
              <w:t>pavisam kopā</w:t>
            </w:r>
            <w:r w:rsidR="007C2735" w:rsidRPr="0074294D">
              <w:t xml:space="preserve">: </w:t>
            </w:r>
            <w:r w:rsidR="00AA4FE1">
              <w:t>4600</w:t>
            </w:r>
            <w:r w:rsidR="007C2735" w:rsidRPr="0074294D">
              <w:t xml:space="preserve"> </w:t>
            </w:r>
            <w:proofErr w:type="spellStart"/>
            <w:r w:rsidR="007C2735" w:rsidRPr="0074294D">
              <w:t>euro</w:t>
            </w:r>
            <w:proofErr w:type="spellEnd"/>
            <w:r w:rsidR="007C2735" w:rsidRPr="0074294D">
              <w:t>.</w:t>
            </w:r>
            <w:r w:rsidR="0074294D">
              <w:t xml:space="preserve"> </w:t>
            </w:r>
          </w:p>
        </w:tc>
      </w:tr>
      <w:tr w:rsidR="004E4FD2" w:rsidRPr="00EE2097" w14:paraId="57461078" w14:textId="77777777" w:rsidTr="008D1D58">
        <w:tc>
          <w:tcPr>
            <w:tcW w:w="311" w:type="pct"/>
            <w:hideMark/>
          </w:tcPr>
          <w:p w14:paraId="57461075" w14:textId="77777777" w:rsidR="004E4FD2" w:rsidRPr="00EE2097" w:rsidRDefault="004E4FD2" w:rsidP="00DB7D1D">
            <w:pPr>
              <w:jc w:val="center"/>
            </w:pPr>
            <w:r w:rsidRPr="00EE2097">
              <w:t>4.</w:t>
            </w:r>
          </w:p>
        </w:tc>
        <w:tc>
          <w:tcPr>
            <w:tcW w:w="1479" w:type="pct"/>
            <w:hideMark/>
          </w:tcPr>
          <w:p w14:paraId="57461076" w14:textId="77777777" w:rsidR="004E4FD2" w:rsidRPr="00EE2097" w:rsidRDefault="004E4FD2" w:rsidP="00DB7D1D">
            <w:r w:rsidRPr="00EE2097">
              <w:t>Atbilstības izmaksu monetārs novērtējums</w:t>
            </w:r>
          </w:p>
        </w:tc>
        <w:tc>
          <w:tcPr>
            <w:tcW w:w="3210" w:type="pct"/>
            <w:hideMark/>
          </w:tcPr>
          <w:p w14:paraId="57461077" w14:textId="77777777" w:rsidR="004E4FD2" w:rsidRPr="00EE2097" w:rsidRDefault="00E07ACC" w:rsidP="00DB7D1D">
            <w:r>
              <w:t>Projekts šo jomu neskar</w:t>
            </w:r>
            <w:r w:rsidR="00E82807">
              <w:t>.</w:t>
            </w:r>
          </w:p>
        </w:tc>
      </w:tr>
      <w:tr w:rsidR="004E4FD2" w:rsidRPr="00EE2097" w14:paraId="5746107C" w14:textId="77777777" w:rsidTr="008D1D58">
        <w:tc>
          <w:tcPr>
            <w:tcW w:w="311" w:type="pct"/>
            <w:hideMark/>
          </w:tcPr>
          <w:p w14:paraId="57461079" w14:textId="77777777" w:rsidR="004E4FD2" w:rsidRPr="00EE2097" w:rsidRDefault="004E4FD2" w:rsidP="00DB7D1D">
            <w:pPr>
              <w:jc w:val="center"/>
            </w:pPr>
            <w:r w:rsidRPr="00EE2097">
              <w:t>5.</w:t>
            </w:r>
          </w:p>
        </w:tc>
        <w:tc>
          <w:tcPr>
            <w:tcW w:w="1479" w:type="pct"/>
            <w:hideMark/>
          </w:tcPr>
          <w:p w14:paraId="5746107A" w14:textId="77777777" w:rsidR="004E4FD2" w:rsidRPr="00EE2097" w:rsidRDefault="004E4FD2" w:rsidP="00DB7D1D">
            <w:r w:rsidRPr="00EE2097">
              <w:t>Cita informācija</w:t>
            </w:r>
          </w:p>
        </w:tc>
        <w:tc>
          <w:tcPr>
            <w:tcW w:w="3210" w:type="pct"/>
            <w:hideMark/>
          </w:tcPr>
          <w:p w14:paraId="5746107B" w14:textId="77777777" w:rsidR="004E4FD2" w:rsidRPr="00EE2097" w:rsidRDefault="007C0A1D" w:rsidP="00DB7D1D">
            <w:r>
              <w:t>Nav</w:t>
            </w:r>
            <w:r w:rsidR="00E82807">
              <w:t>.</w:t>
            </w:r>
          </w:p>
        </w:tc>
      </w:tr>
    </w:tbl>
    <w:p w14:paraId="5746107D" w14:textId="77777777" w:rsidR="005446CD" w:rsidRDefault="005446CD" w:rsidP="004E4FD2">
      <w:pPr>
        <w:pStyle w:val="Title"/>
        <w:spacing w:before="130" w:line="260" w:lineRule="exact"/>
        <w:ind w:firstLine="539"/>
        <w:jc w:val="both"/>
        <w:rPr>
          <w:sz w:val="24"/>
          <w:szCs w:val="24"/>
        </w:rPr>
      </w:pPr>
    </w:p>
    <w:p w14:paraId="5746107E" w14:textId="77777777" w:rsidR="005446CD" w:rsidRPr="005446CD" w:rsidRDefault="005446CD" w:rsidP="005446CD">
      <w:pPr>
        <w:rPr>
          <w:lang w:eastAsia="en-US"/>
        </w:rPr>
      </w:pPr>
    </w:p>
    <w:p w14:paraId="5746107F" w14:textId="77777777" w:rsidR="005446CD" w:rsidRPr="005446CD" w:rsidRDefault="005446CD" w:rsidP="005446CD">
      <w:pPr>
        <w:rPr>
          <w:lang w:eastAsia="en-US"/>
        </w:rPr>
      </w:pPr>
    </w:p>
    <w:p w14:paraId="57461080" w14:textId="77777777" w:rsidR="005446CD" w:rsidRPr="005446CD" w:rsidRDefault="005446CD" w:rsidP="005446CD">
      <w:pPr>
        <w:rPr>
          <w:lang w:eastAsia="en-US"/>
        </w:rPr>
      </w:pPr>
    </w:p>
    <w:p w14:paraId="57461081" w14:textId="77777777" w:rsidR="005446CD" w:rsidRPr="005446CD" w:rsidRDefault="005446CD" w:rsidP="005446CD">
      <w:pPr>
        <w:rPr>
          <w:lang w:eastAsia="en-US"/>
        </w:rPr>
      </w:pPr>
    </w:p>
    <w:p w14:paraId="57461082" w14:textId="77777777" w:rsidR="005446CD" w:rsidRPr="005446CD" w:rsidRDefault="005446CD" w:rsidP="005446CD">
      <w:pPr>
        <w:rPr>
          <w:lang w:eastAsia="en-US"/>
        </w:rPr>
      </w:pPr>
    </w:p>
    <w:p w14:paraId="57461083" w14:textId="77777777" w:rsidR="005446CD" w:rsidRPr="005446CD" w:rsidRDefault="005446CD" w:rsidP="005446CD">
      <w:pPr>
        <w:rPr>
          <w:lang w:eastAsia="en-US"/>
        </w:rPr>
      </w:pPr>
    </w:p>
    <w:p w14:paraId="57461084" w14:textId="77777777" w:rsidR="005446CD" w:rsidRPr="005446CD" w:rsidRDefault="005446CD" w:rsidP="005446CD">
      <w:pPr>
        <w:rPr>
          <w:lang w:eastAsia="en-US"/>
        </w:rPr>
      </w:pPr>
    </w:p>
    <w:p w14:paraId="57461085" w14:textId="77777777" w:rsidR="005446CD" w:rsidRDefault="005446CD" w:rsidP="005446CD">
      <w:pPr>
        <w:rPr>
          <w:lang w:eastAsia="en-US"/>
        </w:rPr>
      </w:pPr>
    </w:p>
    <w:p w14:paraId="57461086" w14:textId="77777777" w:rsidR="004E4FD2" w:rsidRPr="005446CD" w:rsidRDefault="005446CD" w:rsidP="005446CD">
      <w:pPr>
        <w:tabs>
          <w:tab w:val="left" w:pos="1171"/>
        </w:tabs>
        <w:rPr>
          <w:lang w:eastAsia="en-US"/>
        </w:rPr>
      </w:pPr>
      <w:r>
        <w:rPr>
          <w:lang w:eastAsia="en-US"/>
        </w:rPr>
        <w:tab/>
      </w: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162833" w:rsidRPr="00EE2097" w14:paraId="57461151" w14:textId="77777777" w:rsidTr="00234BDD">
        <w:trPr>
          <w:cantSplit/>
        </w:trPr>
        <w:tc>
          <w:tcPr>
            <w:tcW w:w="9065" w:type="dxa"/>
            <w:shd w:val="clear" w:color="auto" w:fill="auto"/>
          </w:tcPr>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49"/>
              <w:gridCol w:w="934"/>
              <w:gridCol w:w="1199"/>
              <w:gridCol w:w="934"/>
              <w:gridCol w:w="933"/>
              <w:gridCol w:w="761"/>
              <w:gridCol w:w="1105"/>
              <w:gridCol w:w="988"/>
            </w:tblGrid>
            <w:tr w:rsidR="00162833" w:rsidRPr="00791D0F" w14:paraId="57461088" w14:textId="77777777" w:rsidTr="00643D7B">
              <w:trPr>
                <w:cantSplit/>
              </w:trPr>
              <w:tc>
                <w:tcPr>
                  <w:tcW w:w="9003" w:type="dxa"/>
                  <w:gridSpan w:val="8"/>
                  <w:shd w:val="clear" w:color="auto" w:fill="auto"/>
                  <w:vAlign w:val="center"/>
                  <w:hideMark/>
                </w:tcPr>
                <w:p w14:paraId="57461087" w14:textId="77777777" w:rsidR="00162833" w:rsidRPr="00791D0F" w:rsidRDefault="00162833" w:rsidP="00162833">
                  <w:pPr>
                    <w:jc w:val="center"/>
                    <w:rPr>
                      <w:b/>
                      <w:bCs/>
                      <w:lang w:eastAsia="en-US"/>
                    </w:rPr>
                  </w:pPr>
                  <w:r w:rsidRPr="00791D0F">
                    <w:rPr>
                      <w:b/>
                      <w:bCs/>
                      <w:lang w:eastAsia="en-US"/>
                    </w:rPr>
                    <w:t>III. Tiesību akta projekta ietekme uz valsts budžetu un pašvaldību budžetiem</w:t>
                  </w:r>
                </w:p>
              </w:tc>
            </w:tr>
            <w:tr w:rsidR="00162833" w:rsidRPr="00791D0F" w14:paraId="5746108C" w14:textId="77777777" w:rsidTr="00643D7B">
              <w:trPr>
                <w:cantSplit/>
              </w:trPr>
              <w:tc>
                <w:tcPr>
                  <w:tcW w:w="2149" w:type="dxa"/>
                  <w:vMerge w:val="restart"/>
                  <w:shd w:val="clear" w:color="auto" w:fill="FFFFFF"/>
                  <w:vAlign w:val="center"/>
                </w:tcPr>
                <w:p w14:paraId="57461089" w14:textId="77777777" w:rsidR="00162833" w:rsidRPr="00791D0F" w:rsidRDefault="00162833" w:rsidP="00162833">
                  <w:pPr>
                    <w:jc w:val="center"/>
                    <w:rPr>
                      <w:bCs/>
                      <w:lang w:eastAsia="en-US"/>
                    </w:rPr>
                  </w:pPr>
                  <w:r w:rsidRPr="00791D0F">
                    <w:rPr>
                      <w:bCs/>
                      <w:lang w:eastAsia="en-US"/>
                    </w:rPr>
                    <w:t>Rādītāji</w:t>
                  </w:r>
                </w:p>
              </w:tc>
              <w:tc>
                <w:tcPr>
                  <w:tcW w:w="2133" w:type="dxa"/>
                  <w:gridSpan w:val="2"/>
                  <w:vMerge w:val="restart"/>
                  <w:shd w:val="clear" w:color="auto" w:fill="FFFFFF"/>
                  <w:vAlign w:val="center"/>
                  <w:hideMark/>
                </w:tcPr>
                <w:p w14:paraId="5746108A" w14:textId="77777777" w:rsidR="00162833" w:rsidRPr="00791D0F" w:rsidRDefault="00385D7D" w:rsidP="00162833">
                  <w:pPr>
                    <w:jc w:val="center"/>
                    <w:rPr>
                      <w:bCs/>
                      <w:lang w:eastAsia="en-US"/>
                    </w:rPr>
                  </w:pPr>
                  <w:r>
                    <w:rPr>
                      <w:bCs/>
                      <w:lang w:eastAsia="en-US"/>
                    </w:rPr>
                    <w:t>2021</w:t>
                  </w:r>
                  <w:r w:rsidR="00643D7B" w:rsidRPr="00791D0F">
                    <w:rPr>
                      <w:bCs/>
                      <w:lang w:eastAsia="en-US"/>
                    </w:rPr>
                    <w:t>.</w:t>
                  </w:r>
                  <w:r w:rsidR="00162833" w:rsidRPr="00791D0F">
                    <w:rPr>
                      <w:bCs/>
                      <w:lang w:eastAsia="en-US"/>
                    </w:rPr>
                    <w:t>gads</w:t>
                  </w:r>
                </w:p>
              </w:tc>
              <w:tc>
                <w:tcPr>
                  <w:tcW w:w="4721" w:type="dxa"/>
                  <w:gridSpan w:val="5"/>
                  <w:shd w:val="clear" w:color="auto" w:fill="FFFFFF"/>
                  <w:vAlign w:val="center"/>
                  <w:hideMark/>
                </w:tcPr>
                <w:p w14:paraId="5746108B" w14:textId="77777777" w:rsidR="00162833" w:rsidRPr="00791D0F" w:rsidRDefault="00162833" w:rsidP="00162833">
                  <w:pPr>
                    <w:jc w:val="center"/>
                    <w:rPr>
                      <w:lang w:eastAsia="en-US"/>
                    </w:rPr>
                  </w:pPr>
                  <w:r w:rsidRPr="00791D0F">
                    <w:rPr>
                      <w:lang w:eastAsia="en-US"/>
                    </w:rPr>
                    <w:t>Turpmākie trīs gadi (</w:t>
                  </w:r>
                  <w:proofErr w:type="spellStart"/>
                  <w:r w:rsidRPr="00791D0F">
                    <w:rPr>
                      <w:i/>
                      <w:iCs/>
                      <w:lang w:eastAsia="en-US"/>
                    </w:rPr>
                    <w:t>euro</w:t>
                  </w:r>
                  <w:proofErr w:type="spellEnd"/>
                  <w:r w:rsidRPr="00791D0F">
                    <w:rPr>
                      <w:lang w:eastAsia="en-US"/>
                    </w:rPr>
                    <w:t>)</w:t>
                  </w:r>
                </w:p>
              </w:tc>
            </w:tr>
            <w:tr w:rsidR="00162833" w:rsidRPr="00791D0F" w14:paraId="57461092" w14:textId="77777777" w:rsidTr="00643D7B">
              <w:trPr>
                <w:cantSplit/>
              </w:trPr>
              <w:tc>
                <w:tcPr>
                  <w:tcW w:w="2149" w:type="dxa"/>
                  <w:vMerge/>
                  <w:shd w:val="clear" w:color="auto" w:fill="auto"/>
                  <w:vAlign w:val="center"/>
                  <w:hideMark/>
                </w:tcPr>
                <w:p w14:paraId="5746108D" w14:textId="77777777" w:rsidR="00162833" w:rsidRPr="00791D0F" w:rsidRDefault="00162833" w:rsidP="00162833">
                  <w:pPr>
                    <w:jc w:val="center"/>
                    <w:rPr>
                      <w:bCs/>
                      <w:lang w:eastAsia="en-US"/>
                    </w:rPr>
                  </w:pPr>
                </w:p>
              </w:tc>
              <w:tc>
                <w:tcPr>
                  <w:tcW w:w="2133" w:type="dxa"/>
                  <w:gridSpan w:val="2"/>
                  <w:vMerge/>
                  <w:shd w:val="clear" w:color="auto" w:fill="auto"/>
                  <w:vAlign w:val="center"/>
                  <w:hideMark/>
                </w:tcPr>
                <w:p w14:paraId="5746108E" w14:textId="77777777" w:rsidR="00162833" w:rsidRPr="00791D0F" w:rsidRDefault="00162833" w:rsidP="00162833">
                  <w:pPr>
                    <w:jc w:val="center"/>
                    <w:rPr>
                      <w:bCs/>
                      <w:lang w:eastAsia="en-US"/>
                    </w:rPr>
                  </w:pPr>
                </w:p>
              </w:tc>
              <w:tc>
                <w:tcPr>
                  <w:tcW w:w="1867" w:type="dxa"/>
                  <w:gridSpan w:val="2"/>
                  <w:shd w:val="clear" w:color="auto" w:fill="FFFFFF"/>
                  <w:vAlign w:val="center"/>
                  <w:hideMark/>
                </w:tcPr>
                <w:p w14:paraId="5746108F" w14:textId="77777777" w:rsidR="00162833" w:rsidRPr="00791D0F" w:rsidRDefault="00385D7D" w:rsidP="00162833">
                  <w:pPr>
                    <w:jc w:val="center"/>
                    <w:rPr>
                      <w:bCs/>
                      <w:lang w:eastAsia="en-US"/>
                    </w:rPr>
                  </w:pPr>
                  <w:r>
                    <w:rPr>
                      <w:bCs/>
                      <w:lang w:eastAsia="en-US"/>
                    </w:rPr>
                    <w:t>2022</w:t>
                  </w:r>
                  <w:r w:rsidR="00643D7B" w:rsidRPr="00791D0F">
                    <w:rPr>
                      <w:bCs/>
                      <w:lang w:eastAsia="en-US"/>
                    </w:rPr>
                    <w:t>.</w:t>
                  </w:r>
                </w:p>
              </w:tc>
              <w:tc>
                <w:tcPr>
                  <w:tcW w:w="1866" w:type="dxa"/>
                  <w:gridSpan w:val="2"/>
                  <w:shd w:val="clear" w:color="auto" w:fill="FFFFFF"/>
                  <w:vAlign w:val="center"/>
                  <w:hideMark/>
                </w:tcPr>
                <w:p w14:paraId="57461090" w14:textId="77777777" w:rsidR="00162833" w:rsidRPr="00791D0F" w:rsidRDefault="00385D7D" w:rsidP="00162833">
                  <w:pPr>
                    <w:jc w:val="center"/>
                    <w:rPr>
                      <w:bCs/>
                      <w:lang w:eastAsia="en-US"/>
                    </w:rPr>
                  </w:pPr>
                  <w:r>
                    <w:rPr>
                      <w:bCs/>
                      <w:lang w:eastAsia="en-US"/>
                    </w:rPr>
                    <w:t>2023</w:t>
                  </w:r>
                  <w:r w:rsidR="00643D7B" w:rsidRPr="00791D0F">
                    <w:rPr>
                      <w:bCs/>
                      <w:lang w:eastAsia="en-US"/>
                    </w:rPr>
                    <w:t>.</w:t>
                  </w:r>
                </w:p>
              </w:tc>
              <w:tc>
                <w:tcPr>
                  <w:tcW w:w="988" w:type="dxa"/>
                  <w:shd w:val="clear" w:color="auto" w:fill="FFFFFF"/>
                  <w:vAlign w:val="center"/>
                  <w:hideMark/>
                </w:tcPr>
                <w:p w14:paraId="57461091" w14:textId="77777777" w:rsidR="00162833" w:rsidRPr="00791D0F" w:rsidRDefault="00385D7D" w:rsidP="00162833">
                  <w:pPr>
                    <w:jc w:val="center"/>
                    <w:rPr>
                      <w:bCs/>
                      <w:lang w:eastAsia="en-US"/>
                    </w:rPr>
                  </w:pPr>
                  <w:r>
                    <w:rPr>
                      <w:bCs/>
                      <w:lang w:eastAsia="en-US"/>
                    </w:rPr>
                    <w:t>2024</w:t>
                  </w:r>
                  <w:r w:rsidR="00643D7B" w:rsidRPr="00791D0F">
                    <w:rPr>
                      <w:bCs/>
                      <w:lang w:eastAsia="en-US"/>
                    </w:rPr>
                    <w:t>.</w:t>
                  </w:r>
                </w:p>
              </w:tc>
            </w:tr>
            <w:tr w:rsidR="00162833" w:rsidRPr="00791D0F" w14:paraId="5746109B" w14:textId="77777777" w:rsidTr="00CF5E1A">
              <w:trPr>
                <w:cantSplit/>
              </w:trPr>
              <w:tc>
                <w:tcPr>
                  <w:tcW w:w="2149" w:type="dxa"/>
                  <w:vMerge/>
                  <w:shd w:val="clear" w:color="auto" w:fill="auto"/>
                  <w:vAlign w:val="center"/>
                  <w:hideMark/>
                </w:tcPr>
                <w:p w14:paraId="57461093" w14:textId="77777777" w:rsidR="00162833" w:rsidRPr="00791D0F" w:rsidRDefault="00162833" w:rsidP="00162833">
                  <w:pPr>
                    <w:jc w:val="center"/>
                    <w:rPr>
                      <w:b/>
                      <w:bCs/>
                      <w:lang w:eastAsia="en-US"/>
                    </w:rPr>
                  </w:pPr>
                </w:p>
              </w:tc>
              <w:tc>
                <w:tcPr>
                  <w:tcW w:w="934" w:type="dxa"/>
                  <w:shd w:val="clear" w:color="auto" w:fill="FFFFFF"/>
                  <w:vAlign w:val="center"/>
                  <w:hideMark/>
                </w:tcPr>
                <w:p w14:paraId="57461094" w14:textId="77777777" w:rsidR="00162833" w:rsidRPr="00CF5E1A" w:rsidRDefault="00162833" w:rsidP="00162833">
                  <w:pPr>
                    <w:jc w:val="center"/>
                    <w:rPr>
                      <w:sz w:val="20"/>
                      <w:szCs w:val="20"/>
                      <w:lang w:eastAsia="en-US"/>
                    </w:rPr>
                  </w:pPr>
                  <w:r w:rsidRPr="00CF5E1A">
                    <w:rPr>
                      <w:sz w:val="20"/>
                      <w:szCs w:val="20"/>
                      <w:lang w:eastAsia="en-US"/>
                    </w:rPr>
                    <w:t>saskaņā ar valsts budžetu kārtējam gadam</w:t>
                  </w:r>
                </w:p>
              </w:tc>
              <w:tc>
                <w:tcPr>
                  <w:tcW w:w="1199" w:type="dxa"/>
                  <w:shd w:val="clear" w:color="auto" w:fill="FFFFFF"/>
                  <w:vAlign w:val="center"/>
                  <w:hideMark/>
                </w:tcPr>
                <w:p w14:paraId="57461095" w14:textId="77777777" w:rsidR="00162833" w:rsidRPr="00CF5E1A" w:rsidRDefault="00162833" w:rsidP="00162833">
                  <w:pPr>
                    <w:jc w:val="center"/>
                    <w:rPr>
                      <w:sz w:val="20"/>
                      <w:szCs w:val="20"/>
                      <w:lang w:eastAsia="en-US"/>
                    </w:rPr>
                  </w:pPr>
                  <w:r w:rsidRPr="00CF5E1A">
                    <w:rPr>
                      <w:sz w:val="20"/>
                      <w:szCs w:val="20"/>
                      <w:lang w:eastAsia="en-US"/>
                    </w:rPr>
                    <w:t>izmaiņas kārtējā gadā, salīdzinot ar valsts budžetu kārtējam gadam</w:t>
                  </w:r>
                </w:p>
              </w:tc>
              <w:tc>
                <w:tcPr>
                  <w:tcW w:w="934" w:type="dxa"/>
                  <w:shd w:val="clear" w:color="auto" w:fill="FFFFFF"/>
                  <w:vAlign w:val="center"/>
                  <w:hideMark/>
                </w:tcPr>
                <w:p w14:paraId="57461096" w14:textId="77777777" w:rsidR="00162833" w:rsidRPr="00CF5E1A" w:rsidRDefault="00162833" w:rsidP="00162833">
                  <w:pPr>
                    <w:jc w:val="center"/>
                    <w:rPr>
                      <w:sz w:val="20"/>
                      <w:szCs w:val="20"/>
                      <w:lang w:eastAsia="en-US"/>
                    </w:rPr>
                  </w:pPr>
                  <w:r w:rsidRPr="00CF5E1A">
                    <w:rPr>
                      <w:sz w:val="20"/>
                      <w:szCs w:val="20"/>
                      <w:lang w:eastAsia="en-US"/>
                    </w:rPr>
                    <w:t>saskaņā ar vidēja termiņa budžeta ietvaru</w:t>
                  </w:r>
                </w:p>
              </w:tc>
              <w:tc>
                <w:tcPr>
                  <w:tcW w:w="933" w:type="dxa"/>
                  <w:shd w:val="clear" w:color="auto" w:fill="FFFFFF"/>
                  <w:vAlign w:val="center"/>
                  <w:hideMark/>
                </w:tcPr>
                <w:p w14:paraId="57461097" w14:textId="77777777" w:rsidR="00162833" w:rsidRPr="00CF5E1A" w:rsidRDefault="00162833" w:rsidP="00162833">
                  <w:pPr>
                    <w:jc w:val="center"/>
                    <w:rPr>
                      <w:sz w:val="20"/>
                      <w:szCs w:val="20"/>
                      <w:lang w:eastAsia="en-US"/>
                    </w:rPr>
                  </w:pPr>
                  <w:r w:rsidRPr="00CF5E1A">
                    <w:rPr>
                      <w:sz w:val="20"/>
                      <w:szCs w:val="20"/>
                      <w:lang w:eastAsia="en-US"/>
                    </w:rPr>
                    <w:t>izmaiņas, salīdzinot ar vi</w:t>
                  </w:r>
                  <w:r w:rsidR="00CF5E1A">
                    <w:rPr>
                      <w:sz w:val="20"/>
                      <w:szCs w:val="20"/>
                      <w:lang w:eastAsia="en-US"/>
                    </w:rPr>
                    <w:t>dēja termiņa budžeta ietvaru 2021.</w:t>
                  </w:r>
                  <w:r w:rsidRPr="00CF5E1A">
                    <w:rPr>
                      <w:sz w:val="20"/>
                      <w:szCs w:val="20"/>
                      <w:lang w:eastAsia="en-US"/>
                    </w:rPr>
                    <w:t xml:space="preserve"> gadam</w:t>
                  </w:r>
                </w:p>
              </w:tc>
              <w:tc>
                <w:tcPr>
                  <w:tcW w:w="761" w:type="dxa"/>
                  <w:shd w:val="clear" w:color="auto" w:fill="FFFFFF"/>
                  <w:vAlign w:val="center"/>
                  <w:hideMark/>
                </w:tcPr>
                <w:p w14:paraId="57461098" w14:textId="77777777" w:rsidR="00162833" w:rsidRPr="00CF5E1A" w:rsidRDefault="00162833" w:rsidP="00162833">
                  <w:pPr>
                    <w:jc w:val="center"/>
                    <w:rPr>
                      <w:sz w:val="20"/>
                      <w:szCs w:val="20"/>
                      <w:lang w:eastAsia="en-US"/>
                    </w:rPr>
                  </w:pPr>
                  <w:r w:rsidRPr="00CF5E1A">
                    <w:rPr>
                      <w:sz w:val="20"/>
                      <w:szCs w:val="20"/>
                      <w:lang w:eastAsia="en-US"/>
                    </w:rPr>
                    <w:t>saskaņā ar vidēja termiņa budžeta ietvaru</w:t>
                  </w:r>
                </w:p>
              </w:tc>
              <w:tc>
                <w:tcPr>
                  <w:tcW w:w="1105" w:type="dxa"/>
                  <w:shd w:val="clear" w:color="auto" w:fill="FFFFFF"/>
                  <w:vAlign w:val="center"/>
                  <w:hideMark/>
                </w:tcPr>
                <w:p w14:paraId="57461099" w14:textId="77777777" w:rsidR="00162833" w:rsidRPr="00CF5E1A" w:rsidRDefault="00162833" w:rsidP="00CF5E1A">
                  <w:pPr>
                    <w:jc w:val="center"/>
                    <w:rPr>
                      <w:sz w:val="20"/>
                      <w:szCs w:val="20"/>
                      <w:lang w:eastAsia="en-US"/>
                    </w:rPr>
                  </w:pPr>
                  <w:r w:rsidRPr="00CF5E1A">
                    <w:rPr>
                      <w:sz w:val="20"/>
                      <w:szCs w:val="20"/>
                      <w:lang w:eastAsia="en-US"/>
                    </w:rPr>
                    <w:t xml:space="preserve">izmaiņas, salīdzinot ar vidēja termiņa budžeta ietvaru </w:t>
                  </w:r>
                  <w:r w:rsidR="00CF5E1A">
                    <w:rPr>
                      <w:sz w:val="20"/>
                      <w:szCs w:val="20"/>
                      <w:lang w:eastAsia="en-US"/>
                    </w:rPr>
                    <w:t>2022.</w:t>
                  </w:r>
                  <w:r w:rsidRPr="00CF5E1A">
                    <w:rPr>
                      <w:sz w:val="20"/>
                      <w:szCs w:val="20"/>
                      <w:lang w:eastAsia="en-US"/>
                    </w:rPr>
                    <w:t>gadam</w:t>
                  </w:r>
                </w:p>
              </w:tc>
              <w:tc>
                <w:tcPr>
                  <w:tcW w:w="988" w:type="dxa"/>
                  <w:shd w:val="clear" w:color="auto" w:fill="FFFFFF"/>
                  <w:vAlign w:val="center"/>
                  <w:hideMark/>
                </w:tcPr>
                <w:p w14:paraId="5746109A" w14:textId="77777777" w:rsidR="00162833" w:rsidRPr="00CF5E1A" w:rsidRDefault="00162833" w:rsidP="00CF5E1A">
                  <w:pPr>
                    <w:jc w:val="center"/>
                    <w:rPr>
                      <w:sz w:val="20"/>
                      <w:szCs w:val="20"/>
                      <w:lang w:eastAsia="en-US"/>
                    </w:rPr>
                  </w:pPr>
                  <w:r w:rsidRPr="00CF5E1A">
                    <w:rPr>
                      <w:sz w:val="20"/>
                      <w:szCs w:val="20"/>
                      <w:lang w:eastAsia="en-US"/>
                    </w:rPr>
                    <w:t xml:space="preserve">izmaiņas, salīdzinot ar vidēja termiņa budžeta ietvaru </w:t>
                  </w:r>
                  <w:r w:rsidRPr="00CF5E1A">
                    <w:rPr>
                      <w:sz w:val="20"/>
                      <w:szCs w:val="20"/>
                      <w:lang w:eastAsia="en-US"/>
                    </w:rPr>
                    <w:br/>
                  </w:r>
                  <w:r w:rsidR="00CF5E1A">
                    <w:rPr>
                      <w:sz w:val="20"/>
                      <w:szCs w:val="20"/>
                      <w:lang w:eastAsia="en-US"/>
                    </w:rPr>
                    <w:t>2023.</w:t>
                  </w:r>
                  <w:r w:rsidRPr="00CF5E1A">
                    <w:rPr>
                      <w:sz w:val="20"/>
                      <w:szCs w:val="20"/>
                      <w:lang w:eastAsia="en-US"/>
                    </w:rPr>
                    <w:t xml:space="preserve"> gadam</w:t>
                  </w:r>
                </w:p>
              </w:tc>
            </w:tr>
            <w:tr w:rsidR="00162833" w:rsidRPr="00791D0F" w14:paraId="574610A4" w14:textId="77777777" w:rsidTr="00CF5E1A">
              <w:trPr>
                <w:cantSplit/>
              </w:trPr>
              <w:tc>
                <w:tcPr>
                  <w:tcW w:w="2149" w:type="dxa"/>
                  <w:shd w:val="clear" w:color="auto" w:fill="FFFFFF"/>
                  <w:vAlign w:val="center"/>
                  <w:hideMark/>
                </w:tcPr>
                <w:p w14:paraId="5746109C" w14:textId="77777777" w:rsidR="00162833" w:rsidRPr="00791D0F" w:rsidRDefault="00162833" w:rsidP="00162833">
                  <w:pPr>
                    <w:jc w:val="center"/>
                    <w:rPr>
                      <w:lang w:eastAsia="en-US"/>
                    </w:rPr>
                  </w:pPr>
                  <w:r w:rsidRPr="00791D0F">
                    <w:rPr>
                      <w:lang w:eastAsia="en-US"/>
                    </w:rPr>
                    <w:t>1</w:t>
                  </w:r>
                </w:p>
              </w:tc>
              <w:tc>
                <w:tcPr>
                  <w:tcW w:w="934" w:type="dxa"/>
                  <w:shd w:val="clear" w:color="auto" w:fill="FFFFFF"/>
                  <w:vAlign w:val="center"/>
                  <w:hideMark/>
                </w:tcPr>
                <w:p w14:paraId="5746109D" w14:textId="77777777" w:rsidR="00162833" w:rsidRPr="00791D0F" w:rsidRDefault="00162833" w:rsidP="00162833">
                  <w:pPr>
                    <w:jc w:val="center"/>
                    <w:rPr>
                      <w:lang w:eastAsia="en-US"/>
                    </w:rPr>
                  </w:pPr>
                  <w:r w:rsidRPr="00791D0F">
                    <w:rPr>
                      <w:lang w:eastAsia="en-US"/>
                    </w:rPr>
                    <w:t>2</w:t>
                  </w:r>
                </w:p>
              </w:tc>
              <w:tc>
                <w:tcPr>
                  <w:tcW w:w="1199" w:type="dxa"/>
                  <w:shd w:val="clear" w:color="auto" w:fill="FFFFFF"/>
                  <w:vAlign w:val="center"/>
                  <w:hideMark/>
                </w:tcPr>
                <w:p w14:paraId="5746109E" w14:textId="77777777" w:rsidR="00162833" w:rsidRPr="00791D0F" w:rsidRDefault="00162833" w:rsidP="00162833">
                  <w:pPr>
                    <w:jc w:val="center"/>
                    <w:rPr>
                      <w:lang w:eastAsia="en-US"/>
                    </w:rPr>
                  </w:pPr>
                  <w:r w:rsidRPr="00791D0F">
                    <w:rPr>
                      <w:lang w:eastAsia="en-US"/>
                    </w:rPr>
                    <w:t>3</w:t>
                  </w:r>
                </w:p>
              </w:tc>
              <w:tc>
                <w:tcPr>
                  <w:tcW w:w="934" w:type="dxa"/>
                  <w:shd w:val="clear" w:color="auto" w:fill="FFFFFF"/>
                  <w:vAlign w:val="center"/>
                  <w:hideMark/>
                </w:tcPr>
                <w:p w14:paraId="5746109F" w14:textId="77777777" w:rsidR="00162833" w:rsidRPr="00791D0F" w:rsidRDefault="00162833" w:rsidP="00162833">
                  <w:pPr>
                    <w:jc w:val="center"/>
                    <w:rPr>
                      <w:lang w:eastAsia="en-US"/>
                    </w:rPr>
                  </w:pPr>
                  <w:r w:rsidRPr="00791D0F">
                    <w:rPr>
                      <w:lang w:eastAsia="en-US"/>
                    </w:rPr>
                    <w:t>4</w:t>
                  </w:r>
                </w:p>
              </w:tc>
              <w:tc>
                <w:tcPr>
                  <w:tcW w:w="933" w:type="dxa"/>
                  <w:shd w:val="clear" w:color="auto" w:fill="FFFFFF"/>
                  <w:vAlign w:val="center"/>
                  <w:hideMark/>
                </w:tcPr>
                <w:p w14:paraId="574610A0" w14:textId="77777777" w:rsidR="00162833" w:rsidRPr="00791D0F" w:rsidRDefault="00162833" w:rsidP="00162833">
                  <w:pPr>
                    <w:jc w:val="center"/>
                    <w:rPr>
                      <w:lang w:eastAsia="en-US"/>
                    </w:rPr>
                  </w:pPr>
                  <w:r w:rsidRPr="00791D0F">
                    <w:rPr>
                      <w:lang w:eastAsia="en-US"/>
                    </w:rPr>
                    <w:t>5</w:t>
                  </w:r>
                </w:p>
              </w:tc>
              <w:tc>
                <w:tcPr>
                  <w:tcW w:w="761" w:type="dxa"/>
                  <w:shd w:val="clear" w:color="auto" w:fill="FFFFFF"/>
                  <w:vAlign w:val="center"/>
                  <w:hideMark/>
                </w:tcPr>
                <w:p w14:paraId="574610A1" w14:textId="77777777" w:rsidR="00162833" w:rsidRPr="00791D0F" w:rsidRDefault="00162833" w:rsidP="00162833">
                  <w:pPr>
                    <w:jc w:val="center"/>
                    <w:rPr>
                      <w:lang w:eastAsia="en-US"/>
                    </w:rPr>
                  </w:pPr>
                  <w:r w:rsidRPr="00791D0F">
                    <w:rPr>
                      <w:lang w:eastAsia="en-US"/>
                    </w:rPr>
                    <w:t>6</w:t>
                  </w:r>
                </w:p>
              </w:tc>
              <w:tc>
                <w:tcPr>
                  <w:tcW w:w="1105" w:type="dxa"/>
                  <w:shd w:val="clear" w:color="auto" w:fill="FFFFFF"/>
                  <w:vAlign w:val="center"/>
                  <w:hideMark/>
                </w:tcPr>
                <w:p w14:paraId="574610A2" w14:textId="77777777" w:rsidR="00162833" w:rsidRPr="00791D0F" w:rsidRDefault="00162833" w:rsidP="00162833">
                  <w:pPr>
                    <w:jc w:val="center"/>
                    <w:rPr>
                      <w:lang w:eastAsia="en-US"/>
                    </w:rPr>
                  </w:pPr>
                  <w:r w:rsidRPr="00791D0F">
                    <w:rPr>
                      <w:lang w:eastAsia="en-US"/>
                    </w:rPr>
                    <w:t>7</w:t>
                  </w:r>
                </w:p>
              </w:tc>
              <w:tc>
                <w:tcPr>
                  <w:tcW w:w="988" w:type="dxa"/>
                  <w:shd w:val="clear" w:color="auto" w:fill="FFFFFF"/>
                  <w:vAlign w:val="center"/>
                  <w:hideMark/>
                </w:tcPr>
                <w:p w14:paraId="574610A3" w14:textId="77777777" w:rsidR="00162833" w:rsidRPr="00791D0F" w:rsidRDefault="00162833" w:rsidP="00162833">
                  <w:pPr>
                    <w:jc w:val="center"/>
                    <w:rPr>
                      <w:lang w:eastAsia="en-US"/>
                    </w:rPr>
                  </w:pPr>
                  <w:r w:rsidRPr="00791D0F">
                    <w:rPr>
                      <w:lang w:eastAsia="en-US"/>
                    </w:rPr>
                    <w:t>8</w:t>
                  </w:r>
                </w:p>
              </w:tc>
            </w:tr>
            <w:tr w:rsidR="00162833" w:rsidRPr="00791D0F" w14:paraId="574610AD" w14:textId="77777777" w:rsidTr="00CF5E1A">
              <w:trPr>
                <w:cantSplit/>
              </w:trPr>
              <w:tc>
                <w:tcPr>
                  <w:tcW w:w="2149" w:type="dxa"/>
                  <w:shd w:val="clear" w:color="auto" w:fill="FFFFFF"/>
                  <w:hideMark/>
                </w:tcPr>
                <w:p w14:paraId="574610A5" w14:textId="77777777" w:rsidR="00162833" w:rsidRPr="00791D0F" w:rsidRDefault="00162833" w:rsidP="00162833">
                  <w:pPr>
                    <w:rPr>
                      <w:lang w:eastAsia="en-US"/>
                    </w:rPr>
                  </w:pPr>
                  <w:r w:rsidRPr="00791D0F">
                    <w:rPr>
                      <w:lang w:eastAsia="en-US"/>
                    </w:rPr>
                    <w:t>1. Budžeta ieņēmumi</w:t>
                  </w:r>
                </w:p>
              </w:tc>
              <w:tc>
                <w:tcPr>
                  <w:tcW w:w="934" w:type="dxa"/>
                  <w:shd w:val="clear" w:color="auto" w:fill="FFFFFF"/>
                  <w:vAlign w:val="center"/>
                  <w:hideMark/>
                </w:tcPr>
                <w:p w14:paraId="574610A6" w14:textId="77777777" w:rsidR="00162833" w:rsidRPr="00791D0F" w:rsidRDefault="00643D7B" w:rsidP="00162833">
                  <w:pPr>
                    <w:jc w:val="center"/>
                    <w:rPr>
                      <w:lang w:eastAsia="en-US"/>
                    </w:rPr>
                  </w:pPr>
                  <w:r w:rsidRPr="00791D0F">
                    <w:rPr>
                      <w:lang w:eastAsia="en-US"/>
                    </w:rPr>
                    <w:t>0</w:t>
                  </w:r>
                </w:p>
              </w:tc>
              <w:tc>
                <w:tcPr>
                  <w:tcW w:w="1199" w:type="dxa"/>
                  <w:shd w:val="clear" w:color="auto" w:fill="FFFFFF"/>
                  <w:vAlign w:val="center"/>
                  <w:hideMark/>
                </w:tcPr>
                <w:p w14:paraId="574610A7" w14:textId="77777777" w:rsidR="00162833" w:rsidRPr="00791D0F" w:rsidRDefault="00643D7B" w:rsidP="00162833">
                  <w:pPr>
                    <w:jc w:val="center"/>
                    <w:rPr>
                      <w:lang w:eastAsia="en-US"/>
                    </w:rPr>
                  </w:pPr>
                  <w:r w:rsidRPr="00791D0F">
                    <w:rPr>
                      <w:lang w:eastAsia="en-US"/>
                    </w:rPr>
                    <w:t>0</w:t>
                  </w:r>
                </w:p>
              </w:tc>
              <w:tc>
                <w:tcPr>
                  <w:tcW w:w="934" w:type="dxa"/>
                  <w:shd w:val="clear" w:color="auto" w:fill="FFFFFF"/>
                  <w:vAlign w:val="center"/>
                  <w:hideMark/>
                </w:tcPr>
                <w:p w14:paraId="574610A8" w14:textId="77777777" w:rsidR="00162833" w:rsidRPr="00791D0F" w:rsidRDefault="00643D7B" w:rsidP="00162833">
                  <w:pPr>
                    <w:jc w:val="center"/>
                    <w:rPr>
                      <w:lang w:eastAsia="en-US"/>
                    </w:rPr>
                  </w:pPr>
                  <w:r w:rsidRPr="00791D0F">
                    <w:rPr>
                      <w:lang w:eastAsia="en-US"/>
                    </w:rPr>
                    <w:t>0</w:t>
                  </w:r>
                </w:p>
              </w:tc>
              <w:tc>
                <w:tcPr>
                  <w:tcW w:w="933" w:type="dxa"/>
                  <w:shd w:val="clear" w:color="auto" w:fill="FFFFFF"/>
                  <w:vAlign w:val="center"/>
                  <w:hideMark/>
                </w:tcPr>
                <w:p w14:paraId="574610A9" w14:textId="77777777" w:rsidR="00162833" w:rsidRPr="00791D0F" w:rsidRDefault="00643D7B" w:rsidP="00162833">
                  <w:pPr>
                    <w:jc w:val="center"/>
                    <w:rPr>
                      <w:lang w:eastAsia="en-US"/>
                    </w:rPr>
                  </w:pPr>
                  <w:r w:rsidRPr="00791D0F">
                    <w:rPr>
                      <w:lang w:eastAsia="en-US"/>
                    </w:rPr>
                    <w:t>0</w:t>
                  </w:r>
                </w:p>
              </w:tc>
              <w:tc>
                <w:tcPr>
                  <w:tcW w:w="761" w:type="dxa"/>
                  <w:shd w:val="clear" w:color="auto" w:fill="FFFFFF"/>
                  <w:vAlign w:val="center"/>
                  <w:hideMark/>
                </w:tcPr>
                <w:p w14:paraId="574610AA" w14:textId="77777777" w:rsidR="00162833" w:rsidRPr="00791D0F" w:rsidRDefault="00643D7B" w:rsidP="00162833">
                  <w:pPr>
                    <w:jc w:val="center"/>
                    <w:rPr>
                      <w:lang w:eastAsia="en-US"/>
                    </w:rPr>
                  </w:pPr>
                  <w:r w:rsidRPr="00791D0F">
                    <w:rPr>
                      <w:lang w:eastAsia="en-US"/>
                    </w:rPr>
                    <w:t>0</w:t>
                  </w:r>
                </w:p>
              </w:tc>
              <w:tc>
                <w:tcPr>
                  <w:tcW w:w="1105" w:type="dxa"/>
                  <w:shd w:val="clear" w:color="auto" w:fill="FFFFFF"/>
                  <w:vAlign w:val="center"/>
                  <w:hideMark/>
                </w:tcPr>
                <w:p w14:paraId="574610AB" w14:textId="77777777" w:rsidR="00162833" w:rsidRPr="00791D0F" w:rsidRDefault="00643D7B" w:rsidP="00162833">
                  <w:pPr>
                    <w:jc w:val="center"/>
                    <w:rPr>
                      <w:lang w:eastAsia="en-US"/>
                    </w:rPr>
                  </w:pPr>
                  <w:r w:rsidRPr="00791D0F">
                    <w:rPr>
                      <w:lang w:eastAsia="en-US"/>
                    </w:rPr>
                    <w:t>0</w:t>
                  </w:r>
                </w:p>
              </w:tc>
              <w:tc>
                <w:tcPr>
                  <w:tcW w:w="988" w:type="dxa"/>
                  <w:shd w:val="clear" w:color="auto" w:fill="FFFFFF"/>
                  <w:vAlign w:val="center"/>
                  <w:hideMark/>
                </w:tcPr>
                <w:p w14:paraId="574610AC" w14:textId="77777777" w:rsidR="00162833" w:rsidRPr="00791D0F" w:rsidRDefault="00643D7B" w:rsidP="00162833">
                  <w:pPr>
                    <w:jc w:val="center"/>
                    <w:rPr>
                      <w:lang w:eastAsia="en-US"/>
                    </w:rPr>
                  </w:pPr>
                  <w:r w:rsidRPr="00791D0F">
                    <w:rPr>
                      <w:lang w:eastAsia="en-US"/>
                    </w:rPr>
                    <w:t>0</w:t>
                  </w:r>
                </w:p>
              </w:tc>
            </w:tr>
            <w:tr w:rsidR="00162833" w:rsidRPr="00791D0F" w14:paraId="574610B6" w14:textId="77777777" w:rsidTr="00CF5E1A">
              <w:trPr>
                <w:cantSplit/>
              </w:trPr>
              <w:tc>
                <w:tcPr>
                  <w:tcW w:w="2149" w:type="dxa"/>
                  <w:shd w:val="clear" w:color="auto" w:fill="auto"/>
                  <w:hideMark/>
                </w:tcPr>
                <w:p w14:paraId="574610AE" w14:textId="77777777" w:rsidR="00162833" w:rsidRPr="00791D0F" w:rsidRDefault="00162833" w:rsidP="00162833">
                  <w:pPr>
                    <w:rPr>
                      <w:lang w:eastAsia="en-US"/>
                    </w:rPr>
                  </w:pPr>
                  <w:r w:rsidRPr="00791D0F">
                    <w:rPr>
                      <w:lang w:eastAsia="en-US"/>
                    </w:rPr>
                    <w:t>1.1. valsts pamatbudžets, tai skaitā ieņēmumi no maksas pakalpojumiem un citi pašu ieņēmumi</w:t>
                  </w:r>
                </w:p>
              </w:tc>
              <w:tc>
                <w:tcPr>
                  <w:tcW w:w="934" w:type="dxa"/>
                  <w:shd w:val="clear" w:color="auto" w:fill="auto"/>
                  <w:vAlign w:val="center"/>
                  <w:hideMark/>
                </w:tcPr>
                <w:p w14:paraId="574610AF" w14:textId="77777777"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14:paraId="574610B0" w14:textId="77777777" w:rsidR="00162833" w:rsidRPr="00791D0F" w:rsidRDefault="008124A1" w:rsidP="00162833">
                  <w:pPr>
                    <w:jc w:val="center"/>
                    <w:rPr>
                      <w:lang w:eastAsia="en-US"/>
                    </w:rPr>
                  </w:pPr>
                  <w:r>
                    <w:rPr>
                      <w:lang w:eastAsia="en-US"/>
                    </w:rPr>
                    <w:t>0</w:t>
                  </w:r>
                </w:p>
              </w:tc>
              <w:tc>
                <w:tcPr>
                  <w:tcW w:w="934" w:type="dxa"/>
                  <w:shd w:val="clear" w:color="auto" w:fill="auto"/>
                  <w:vAlign w:val="center"/>
                  <w:hideMark/>
                </w:tcPr>
                <w:p w14:paraId="574610B1" w14:textId="77777777" w:rsidR="00162833" w:rsidRPr="00791D0F" w:rsidRDefault="008124A1" w:rsidP="00162833">
                  <w:pPr>
                    <w:jc w:val="center"/>
                    <w:rPr>
                      <w:lang w:eastAsia="en-US"/>
                    </w:rPr>
                  </w:pPr>
                  <w:r>
                    <w:rPr>
                      <w:lang w:eastAsia="en-US"/>
                    </w:rPr>
                    <w:t>0</w:t>
                  </w:r>
                </w:p>
              </w:tc>
              <w:tc>
                <w:tcPr>
                  <w:tcW w:w="933" w:type="dxa"/>
                  <w:shd w:val="clear" w:color="auto" w:fill="auto"/>
                  <w:vAlign w:val="center"/>
                  <w:hideMark/>
                </w:tcPr>
                <w:p w14:paraId="574610B2" w14:textId="77777777" w:rsidR="00162833" w:rsidRPr="00791D0F" w:rsidRDefault="008124A1" w:rsidP="00162833">
                  <w:pPr>
                    <w:jc w:val="center"/>
                    <w:rPr>
                      <w:lang w:eastAsia="en-US"/>
                    </w:rPr>
                  </w:pPr>
                  <w:r>
                    <w:rPr>
                      <w:lang w:eastAsia="en-US"/>
                    </w:rPr>
                    <w:t>0</w:t>
                  </w:r>
                </w:p>
              </w:tc>
              <w:tc>
                <w:tcPr>
                  <w:tcW w:w="761" w:type="dxa"/>
                  <w:shd w:val="clear" w:color="auto" w:fill="auto"/>
                  <w:vAlign w:val="center"/>
                  <w:hideMark/>
                </w:tcPr>
                <w:p w14:paraId="574610B3" w14:textId="77777777"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14:paraId="574610B4" w14:textId="77777777" w:rsidR="00162833" w:rsidRPr="00791D0F" w:rsidRDefault="008124A1" w:rsidP="00162833">
                  <w:pPr>
                    <w:jc w:val="center"/>
                    <w:rPr>
                      <w:lang w:eastAsia="en-US"/>
                    </w:rPr>
                  </w:pPr>
                  <w:r>
                    <w:rPr>
                      <w:lang w:eastAsia="en-US"/>
                    </w:rPr>
                    <w:t>0</w:t>
                  </w:r>
                </w:p>
              </w:tc>
              <w:tc>
                <w:tcPr>
                  <w:tcW w:w="988" w:type="dxa"/>
                  <w:shd w:val="clear" w:color="auto" w:fill="auto"/>
                  <w:vAlign w:val="center"/>
                  <w:hideMark/>
                </w:tcPr>
                <w:p w14:paraId="574610B5" w14:textId="77777777" w:rsidR="00162833" w:rsidRPr="00791D0F" w:rsidRDefault="008124A1" w:rsidP="00162833">
                  <w:pPr>
                    <w:jc w:val="center"/>
                    <w:rPr>
                      <w:lang w:eastAsia="en-US"/>
                    </w:rPr>
                  </w:pPr>
                  <w:r>
                    <w:rPr>
                      <w:lang w:eastAsia="en-US"/>
                    </w:rPr>
                    <w:t>0</w:t>
                  </w:r>
                </w:p>
              </w:tc>
            </w:tr>
            <w:tr w:rsidR="00162833" w:rsidRPr="00791D0F" w14:paraId="574610BF" w14:textId="77777777" w:rsidTr="00CF5E1A">
              <w:trPr>
                <w:cantSplit/>
              </w:trPr>
              <w:tc>
                <w:tcPr>
                  <w:tcW w:w="2149" w:type="dxa"/>
                  <w:shd w:val="clear" w:color="auto" w:fill="auto"/>
                  <w:hideMark/>
                </w:tcPr>
                <w:p w14:paraId="574610B7" w14:textId="77777777" w:rsidR="00162833" w:rsidRPr="00791D0F" w:rsidRDefault="00162833" w:rsidP="00162833">
                  <w:pPr>
                    <w:rPr>
                      <w:lang w:eastAsia="en-US"/>
                    </w:rPr>
                  </w:pPr>
                  <w:r w:rsidRPr="00791D0F">
                    <w:rPr>
                      <w:lang w:eastAsia="en-US"/>
                    </w:rPr>
                    <w:t>1.2. valsts speciālais budžets</w:t>
                  </w:r>
                </w:p>
              </w:tc>
              <w:tc>
                <w:tcPr>
                  <w:tcW w:w="934" w:type="dxa"/>
                  <w:shd w:val="clear" w:color="auto" w:fill="auto"/>
                  <w:vAlign w:val="center"/>
                  <w:hideMark/>
                </w:tcPr>
                <w:p w14:paraId="574610B8" w14:textId="77777777"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14:paraId="574610B9" w14:textId="77777777" w:rsidR="00162833" w:rsidRPr="00791D0F" w:rsidRDefault="008124A1" w:rsidP="00162833">
                  <w:pPr>
                    <w:jc w:val="center"/>
                    <w:rPr>
                      <w:lang w:eastAsia="en-US"/>
                    </w:rPr>
                  </w:pPr>
                  <w:r>
                    <w:rPr>
                      <w:lang w:eastAsia="en-US"/>
                    </w:rPr>
                    <w:t>0</w:t>
                  </w:r>
                </w:p>
              </w:tc>
              <w:tc>
                <w:tcPr>
                  <w:tcW w:w="934" w:type="dxa"/>
                  <w:shd w:val="clear" w:color="auto" w:fill="auto"/>
                  <w:vAlign w:val="center"/>
                  <w:hideMark/>
                </w:tcPr>
                <w:p w14:paraId="574610BA" w14:textId="77777777" w:rsidR="00162833" w:rsidRPr="00791D0F" w:rsidRDefault="008124A1" w:rsidP="00162833">
                  <w:pPr>
                    <w:jc w:val="center"/>
                    <w:rPr>
                      <w:lang w:eastAsia="en-US"/>
                    </w:rPr>
                  </w:pPr>
                  <w:r>
                    <w:rPr>
                      <w:lang w:eastAsia="en-US"/>
                    </w:rPr>
                    <w:t>0</w:t>
                  </w:r>
                </w:p>
              </w:tc>
              <w:tc>
                <w:tcPr>
                  <w:tcW w:w="933" w:type="dxa"/>
                  <w:shd w:val="clear" w:color="auto" w:fill="auto"/>
                  <w:vAlign w:val="center"/>
                  <w:hideMark/>
                </w:tcPr>
                <w:p w14:paraId="574610BB" w14:textId="77777777" w:rsidR="00162833" w:rsidRPr="00791D0F" w:rsidRDefault="008124A1" w:rsidP="00162833">
                  <w:pPr>
                    <w:jc w:val="center"/>
                    <w:rPr>
                      <w:lang w:eastAsia="en-US"/>
                    </w:rPr>
                  </w:pPr>
                  <w:r>
                    <w:rPr>
                      <w:lang w:eastAsia="en-US"/>
                    </w:rPr>
                    <w:t>0</w:t>
                  </w:r>
                </w:p>
              </w:tc>
              <w:tc>
                <w:tcPr>
                  <w:tcW w:w="761" w:type="dxa"/>
                  <w:shd w:val="clear" w:color="auto" w:fill="auto"/>
                  <w:vAlign w:val="center"/>
                  <w:hideMark/>
                </w:tcPr>
                <w:p w14:paraId="574610BC" w14:textId="77777777"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14:paraId="574610BD" w14:textId="77777777" w:rsidR="00162833" w:rsidRPr="00791D0F" w:rsidRDefault="008124A1" w:rsidP="00162833">
                  <w:pPr>
                    <w:jc w:val="center"/>
                    <w:rPr>
                      <w:lang w:eastAsia="en-US"/>
                    </w:rPr>
                  </w:pPr>
                  <w:r>
                    <w:rPr>
                      <w:lang w:eastAsia="en-US"/>
                    </w:rPr>
                    <w:t>0</w:t>
                  </w:r>
                </w:p>
              </w:tc>
              <w:tc>
                <w:tcPr>
                  <w:tcW w:w="988" w:type="dxa"/>
                  <w:shd w:val="clear" w:color="auto" w:fill="auto"/>
                  <w:vAlign w:val="center"/>
                  <w:hideMark/>
                </w:tcPr>
                <w:p w14:paraId="574610BE" w14:textId="77777777" w:rsidR="00162833" w:rsidRPr="00791D0F" w:rsidRDefault="008124A1" w:rsidP="00162833">
                  <w:pPr>
                    <w:jc w:val="center"/>
                    <w:rPr>
                      <w:lang w:eastAsia="en-US"/>
                    </w:rPr>
                  </w:pPr>
                  <w:r>
                    <w:rPr>
                      <w:lang w:eastAsia="en-US"/>
                    </w:rPr>
                    <w:t>0</w:t>
                  </w:r>
                </w:p>
              </w:tc>
            </w:tr>
            <w:tr w:rsidR="00162833" w:rsidRPr="00791D0F" w14:paraId="574610C8" w14:textId="77777777" w:rsidTr="00CF5E1A">
              <w:trPr>
                <w:cantSplit/>
              </w:trPr>
              <w:tc>
                <w:tcPr>
                  <w:tcW w:w="2149" w:type="dxa"/>
                  <w:shd w:val="clear" w:color="auto" w:fill="auto"/>
                  <w:hideMark/>
                </w:tcPr>
                <w:p w14:paraId="574610C0" w14:textId="77777777" w:rsidR="00162833" w:rsidRPr="00791D0F" w:rsidRDefault="00162833" w:rsidP="00162833">
                  <w:pPr>
                    <w:rPr>
                      <w:lang w:eastAsia="en-US"/>
                    </w:rPr>
                  </w:pPr>
                  <w:r w:rsidRPr="00791D0F">
                    <w:rPr>
                      <w:lang w:eastAsia="en-US"/>
                    </w:rPr>
                    <w:t>1.3. pašvaldību budžets</w:t>
                  </w:r>
                </w:p>
              </w:tc>
              <w:tc>
                <w:tcPr>
                  <w:tcW w:w="934" w:type="dxa"/>
                  <w:shd w:val="clear" w:color="auto" w:fill="auto"/>
                  <w:vAlign w:val="center"/>
                  <w:hideMark/>
                </w:tcPr>
                <w:p w14:paraId="574610C1" w14:textId="77777777"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14:paraId="574610C2" w14:textId="77777777" w:rsidR="00162833" w:rsidRPr="00791D0F" w:rsidRDefault="008124A1" w:rsidP="00162833">
                  <w:pPr>
                    <w:jc w:val="center"/>
                    <w:rPr>
                      <w:lang w:eastAsia="en-US"/>
                    </w:rPr>
                  </w:pPr>
                  <w:r>
                    <w:rPr>
                      <w:lang w:eastAsia="en-US"/>
                    </w:rPr>
                    <w:t>0</w:t>
                  </w:r>
                </w:p>
              </w:tc>
              <w:tc>
                <w:tcPr>
                  <w:tcW w:w="934" w:type="dxa"/>
                  <w:shd w:val="clear" w:color="auto" w:fill="auto"/>
                  <w:vAlign w:val="center"/>
                  <w:hideMark/>
                </w:tcPr>
                <w:p w14:paraId="574610C3" w14:textId="77777777" w:rsidR="00162833" w:rsidRPr="00791D0F" w:rsidRDefault="008124A1" w:rsidP="00162833">
                  <w:pPr>
                    <w:jc w:val="center"/>
                    <w:rPr>
                      <w:lang w:eastAsia="en-US"/>
                    </w:rPr>
                  </w:pPr>
                  <w:r>
                    <w:rPr>
                      <w:lang w:eastAsia="en-US"/>
                    </w:rPr>
                    <w:t>0</w:t>
                  </w:r>
                </w:p>
              </w:tc>
              <w:tc>
                <w:tcPr>
                  <w:tcW w:w="933" w:type="dxa"/>
                  <w:shd w:val="clear" w:color="auto" w:fill="auto"/>
                  <w:vAlign w:val="center"/>
                  <w:hideMark/>
                </w:tcPr>
                <w:p w14:paraId="574610C4" w14:textId="77777777" w:rsidR="00162833" w:rsidRPr="00791D0F" w:rsidRDefault="008124A1" w:rsidP="00162833">
                  <w:pPr>
                    <w:jc w:val="center"/>
                    <w:rPr>
                      <w:lang w:eastAsia="en-US"/>
                    </w:rPr>
                  </w:pPr>
                  <w:r>
                    <w:rPr>
                      <w:lang w:eastAsia="en-US"/>
                    </w:rPr>
                    <w:t>0</w:t>
                  </w:r>
                </w:p>
              </w:tc>
              <w:tc>
                <w:tcPr>
                  <w:tcW w:w="761" w:type="dxa"/>
                  <w:shd w:val="clear" w:color="auto" w:fill="auto"/>
                  <w:vAlign w:val="center"/>
                  <w:hideMark/>
                </w:tcPr>
                <w:p w14:paraId="574610C5" w14:textId="77777777"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14:paraId="574610C6" w14:textId="77777777" w:rsidR="00162833" w:rsidRPr="00791D0F" w:rsidRDefault="008124A1" w:rsidP="00162833">
                  <w:pPr>
                    <w:jc w:val="center"/>
                    <w:rPr>
                      <w:lang w:eastAsia="en-US"/>
                    </w:rPr>
                  </w:pPr>
                  <w:r>
                    <w:rPr>
                      <w:lang w:eastAsia="en-US"/>
                    </w:rPr>
                    <w:t>0</w:t>
                  </w:r>
                </w:p>
              </w:tc>
              <w:tc>
                <w:tcPr>
                  <w:tcW w:w="988" w:type="dxa"/>
                  <w:shd w:val="clear" w:color="auto" w:fill="auto"/>
                  <w:vAlign w:val="center"/>
                  <w:hideMark/>
                </w:tcPr>
                <w:p w14:paraId="574610C7" w14:textId="77777777" w:rsidR="00162833" w:rsidRPr="00791D0F" w:rsidRDefault="008124A1" w:rsidP="00162833">
                  <w:pPr>
                    <w:jc w:val="center"/>
                    <w:rPr>
                      <w:lang w:eastAsia="en-US"/>
                    </w:rPr>
                  </w:pPr>
                  <w:r>
                    <w:rPr>
                      <w:lang w:eastAsia="en-US"/>
                    </w:rPr>
                    <w:t>0</w:t>
                  </w:r>
                </w:p>
              </w:tc>
            </w:tr>
            <w:tr w:rsidR="00162833" w:rsidRPr="00791D0F" w14:paraId="574610D1" w14:textId="77777777" w:rsidTr="00CF5E1A">
              <w:trPr>
                <w:cantSplit/>
              </w:trPr>
              <w:tc>
                <w:tcPr>
                  <w:tcW w:w="2149" w:type="dxa"/>
                  <w:shd w:val="clear" w:color="auto" w:fill="auto"/>
                  <w:hideMark/>
                </w:tcPr>
                <w:p w14:paraId="574610C9" w14:textId="77777777" w:rsidR="00162833" w:rsidRPr="00791D0F" w:rsidRDefault="00162833" w:rsidP="00162833">
                  <w:pPr>
                    <w:rPr>
                      <w:lang w:eastAsia="en-US"/>
                    </w:rPr>
                  </w:pPr>
                  <w:r w:rsidRPr="00791D0F">
                    <w:rPr>
                      <w:lang w:eastAsia="en-US"/>
                    </w:rPr>
                    <w:t>2. Budžeta izdevumi</w:t>
                  </w:r>
                </w:p>
              </w:tc>
              <w:tc>
                <w:tcPr>
                  <w:tcW w:w="934" w:type="dxa"/>
                  <w:shd w:val="clear" w:color="auto" w:fill="auto"/>
                  <w:vAlign w:val="center"/>
                  <w:hideMark/>
                </w:tcPr>
                <w:p w14:paraId="574610CA" w14:textId="77777777" w:rsidR="00162833" w:rsidRPr="00791D0F" w:rsidRDefault="00643D7B" w:rsidP="00162833">
                  <w:pPr>
                    <w:jc w:val="center"/>
                    <w:rPr>
                      <w:lang w:eastAsia="en-US"/>
                    </w:rPr>
                  </w:pPr>
                  <w:r w:rsidRPr="00791D0F">
                    <w:rPr>
                      <w:lang w:eastAsia="en-US"/>
                    </w:rPr>
                    <w:t>0</w:t>
                  </w:r>
                </w:p>
              </w:tc>
              <w:tc>
                <w:tcPr>
                  <w:tcW w:w="1199" w:type="dxa"/>
                  <w:shd w:val="clear" w:color="auto" w:fill="auto"/>
                  <w:vAlign w:val="center"/>
                  <w:hideMark/>
                </w:tcPr>
                <w:p w14:paraId="574610CB" w14:textId="77777777" w:rsidR="00162833" w:rsidRPr="00791D0F" w:rsidRDefault="00643D7B" w:rsidP="00162833">
                  <w:pPr>
                    <w:jc w:val="center"/>
                    <w:rPr>
                      <w:lang w:eastAsia="en-US"/>
                    </w:rPr>
                  </w:pPr>
                  <w:r w:rsidRPr="00791D0F">
                    <w:rPr>
                      <w:lang w:eastAsia="en-US"/>
                    </w:rPr>
                    <w:t>0</w:t>
                  </w:r>
                </w:p>
              </w:tc>
              <w:tc>
                <w:tcPr>
                  <w:tcW w:w="934" w:type="dxa"/>
                  <w:shd w:val="clear" w:color="auto" w:fill="auto"/>
                  <w:vAlign w:val="center"/>
                  <w:hideMark/>
                </w:tcPr>
                <w:p w14:paraId="574610CC" w14:textId="77777777" w:rsidR="00162833" w:rsidRPr="00791D0F" w:rsidRDefault="00643D7B" w:rsidP="00162833">
                  <w:pPr>
                    <w:jc w:val="center"/>
                    <w:rPr>
                      <w:lang w:eastAsia="en-US"/>
                    </w:rPr>
                  </w:pPr>
                  <w:r w:rsidRPr="00791D0F">
                    <w:rPr>
                      <w:lang w:eastAsia="en-US"/>
                    </w:rPr>
                    <w:t>0</w:t>
                  </w:r>
                </w:p>
              </w:tc>
              <w:tc>
                <w:tcPr>
                  <w:tcW w:w="933" w:type="dxa"/>
                  <w:shd w:val="clear" w:color="auto" w:fill="auto"/>
                  <w:vAlign w:val="center"/>
                  <w:hideMark/>
                </w:tcPr>
                <w:p w14:paraId="574610CD" w14:textId="77777777" w:rsidR="00162833" w:rsidRPr="00791D0F" w:rsidRDefault="00643D7B" w:rsidP="00162833">
                  <w:pPr>
                    <w:jc w:val="center"/>
                    <w:rPr>
                      <w:lang w:eastAsia="en-US"/>
                    </w:rPr>
                  </w:pPr>
                  <w:r w:rsidRPr="00791D0F">
                    <w:rPr>
                      <w:lang w:eastAsia="en-US"/>
                    </w:rPr>
                    <w:t>0</w:t>
                  </w:r>
                </w:p>
              </w:tc>
              <w:tc>
                <w:tcPr>
                  <w:tcW w:w="761" w:type="dxa"/>
                  <w:shd w:val="clear" w:color="auto" w:fill="auto"/>
                  <w:vAlign w:val="center"/>
                  <w:hideMark/>
                </w:tcPr>
                <w:p w14:paraId="574610CE" w14:textId="77777777" w:rsidR="00162833" w:rsidRPr="00791D0F" w:rsidRDefault="00643D7B" w:rsidP="00162833">
                  <w:pPr>
                    <w:jc w:val="center"/>
                    <w:rPr>
                      <w:lang w:eastAsia="en-US"/>
                    </w:rPr>
                  </w:pPr>
                  <w:r w:rsidRPr="00791D0F">
                    <w:rPr>
                      <w:lang w:eastAsia="en-US"/>
                    </w:rPr>
                    <w:t>0</w:t>
                  </w:r>
                </w:p>
              </w:tc>
              <w:tc>
                <w:tcPr>
                  <w:tcW w:w="1105" w:type="dxa"/>
                  <w:shd w:val="clear" w:color="auto" w:fill="auto"/>
                  <w:vAlign w:val="center"/>
                  <w:hideMark/>
                </w:tcPr>
                <w:p w14:paraId="574610CF" w14:textId="77777777" w:rsidR="00162833" w:rsidRPr="00791D0F" w:rsidRDefault="00643D7B" w:rsidP="00162833">
                  <w:pPr>
                    <w:jc w:val="center"/>
                    <w:rPr>
                      <w:lang w:eastAsia="en-US"/>
                    </w:rPr>
                  </w:pPr>
                  <w:r w:rsidRPr="00791D0F">
                    <w:rPr>
                      <w:lang w:eastAsia="en-US"/>
                    </w:rPr>
                    <w:t>0</w:t>
                  </w:r>
                </w:p>
              </w:tc>
              <w:tc>
                <w:tcPr>
                  <w:tcW w:w="988" w:type="dxa"/>
                  <w:shd w:val="clear" w:color="auto" w:fill="auto"/>
                  <w:vAlign w:val="center"/>
                  <w:hideMark/>
                </w:tcPr>
                <w:p w14:paraId="574610D0" w14:textId="77777777" w:rsidR="00162833" w:rsidRPr="00791D0F" w:rsidRDefault="00643D7B" w:rsidP="00162833">
                  <w:pPr>
                    <w:jc w:val="center"/>
                    <w:rPr>
                      <w:lang w:eastAsia="en-US"/>
                    </w:rPr>
                  </w:pPr>
                  <w:r w:rsidRPr="00791D0F">
                    <w:rPr>
                      <w:lang w:eastAsia="en-US"/>
                    </w:rPr>
                    <w:t>0</w:t>
                  </w:r>
                </w:p>
              </w:tc>
            </w:tr>
            <w:tr w:rsidR="00162833" w:rsidRPr="00791D0F" w14:paraId="574610DA" w14:textId="77777777" w:rsidTr="00CF5E1A">
              <w:trPr>
                <w:cantSplit/>
              </w:trPr>
              <w:tc>
                <w:tcPr>
                  <w:tcW w:w="2149" w:type="dxa"/>
                  <w:shd w:val="clear" w:color="auto" w:fill="auto"/>
                  <w:hideMark/>
                </w:tcPr>
                <w:p w14:paraId="574610D2" w14:textId="77777777" w:rsidR="00162833" w:rsidRPr="00791D0F" w:rsidRDefault="00162833" w:rsidP="00162833">
                  <w:pPr>
                    <w:rPr>
                      <w:lang w:eastAsia="en-US"/>
                    </w:rPr>
                  </w:pPr>
                  <w:r w:rsidRPr="00791D0F">
                    <w:rPr>
                      <w:lang w:eastAsia="en-US"/>
                    </w:rPr>
                    <w:t>2.1. valsts pamatbudžets</w:t>
                  </w:r>
                </w:p>
              </w:tc>
              <w:tc>
                <w:tcPr>
                  <w:tcW w:w="934" w:type="dxa"/>
                  <w:shd w:val="clear" w:color="auto" w:fill="auto"/>
                  <w:vAlign w:val="center"/>
                  <w:hideMark/>
                </w:tcPr>
                <w:p w14:paraId="574610D3" w14:textId="77777777"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14:paraId="574610D4" w14:textId="77777777" w:rsidR="00162833" w:rsidRPr="00791D0F" w:rsidRDefault="008124A1" w:rsidP="00162833">
                  <w:pPr>
                    <w:jc w:val="center"/>
                    <w:rPr>
                      <w:lang w:eastAsia="en-US"/>
                    </w:rPr>
                  </w:pPr>
                  <w:r>
                    <w:rPr>
                      <w:lang w:eastAsia="en-US"/>
                    </w:rPr>
                    <w:t>0</w:t>
                  </w:r>
                </w:p>
              </w:tc>
              <w:tc>
                <w:tcPr>
                  <w:tcW w:w="934" w:type="dxa"/>
                  <w:shd w:val="clear" w:color="auto" w:fill="auto"/>
                  <w:vAlign w:val="center"/>
                  <w:hideMark/>
                </w:tcPr>
                <w:p w14:paraId="574610D5" w14:textId="77777777" w:rsidR="00162833" w:rsidRPr="00791D0F" w:rsidRDefault="008124A1" w:rsidP="00162833">
                  <w:pPr>
                    <w:jc w:val="center"/>
                    <w:rPr>
                      <w:lang w:eastAsia="en-US"/>
                    </w:rPr>
                  </w:pPr>
                  <w:r>
                    <w:rPr>
                      <w:lang w:eastAsia="en-US"/>
                    </w:rPr>
                    <w:t>0</w:t>
                  </w:r>
                </w:p>
              </w:tc>
              <w:tc>
                <w:tcPr>
                  <w:tcW w:w="933" w:type="dxa"/>
                  <w:shd w:val="clear" w:color="auto" w:fill="auto"/>
                  <w:vAlign w:val="center"/>
                  <w:hideMark/>
                </w:tcPr>
                <w:p w14:paraId="574610D6" w14:textId="77777777" w:rsidR="00162833" w:rsidRPr="00791D0F" w:rsidRDefault="008124A1" w:rsidP="00162833">
                  <w:pPr>
                    <w:jc w:val="center"/>
                    <w:rPr>
                      <w:lang w:eastAsia="en-US"/>
                    </w:rPr>
                  </w:pPr>
                  <w:r>
                    <w:rPr>
                      <w:lang w:eastAsia="en-US"/>
                    </w:rPr>
                    <w:t>0</w:t>
                  </w:r>
                </w:p>
              </w:tc>
              <w:tc>
                <w:tcPr>
                  <w:tcW w:w="761" w:type="dxa"/>
                  <w:shd w:val="clear" w:color="auto" w:fill="auto"/>
                  <w:vAlign w:val="center"/>
                  <w:hideMark/>
                </w:tcPr>
                <w:p w14:paraId="574610D7" w14:textId="77777777"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14:paraId="574610D8" w14:textId="77777777" w:rsidR="00162833" w:rsidRPr="00791D0F" w:rsidRDefault="008124A1" w:rsidP="00162833">
                  <w:pPr>
                    <w:jc w:val="center"/>
                    <w:rPr>
                      <w:lang w:eastAsia="en-US"/>
                    </w:rPr>
                  </w:pPr>
                  <w:r>
                    <w:rPr>
                      <w:lang w:eastAsia="en-US"/>
                    </w:rPr>
                    <w:t>0</w:t>
                  </w:r>
                </w:p>
              </w:tc>
              <w:tc>
                <w:tcPr>
                  <w:tcW w:w="988" w:type="dxa"/>
                  <w:shd w:val="clear" w:color="auto" w:fill="auto"/>
                  <w:vAlign w:val="center"/>
                  <w:hideMark/>
                </w:tcPr>
                <w:p w14:paraId="574610D9" w14:textId="77777777" w:rsidR="00162833" w:rsidRPr="00791D0F" w:rsidRDefault="008124A1" w:rsidP="00162833">
                  <w:pPr>
                    <w:jc w:val="center"/>
                    <w:rPr>
                      <w:lang w:eastAsia="en-US"/>
                    </w:rPr>
                  </w:pPr>
                  <w:r>
                    <w:rPr>
                      <w:lang w:eastAsia="en-US"/>
                    </w:rPr>
                    <w:t>0</w:t>
                  </w:r>
                </w:p>
              </w:tc>
            </w:tr>
            <w:tr w:rsidR="00162833" w:rsidRPr="00791D0F" w14:paraId="574610E3" w14:textId="77777777" w:rsidTr="00CF5E1A">
              <w:trPr>
                <w:cantSplit/>
              </w:trPr>
              <w:tc>
                <w:tcPr>
                  <w:tcW w:w="2149" w:type="dxa"/>
                  <w:shd w:val="clear" w:color="auto" w:fill="auto"/>
                  <w:hideMark/>
                </w:tcPr>
                <w:p w14:paraId="574610DB" w14:textId="77777777" w:rsidR="00162833" w:rsidRPr="00791D0F" w:rsidRDefault="00162833" w:rsidP="00162833">
                  <w:pPr>
                    <w:rPr>
                      <w:lang w:eastAsia="en-US"/>
                    </w:rPr>
                  </w:pPr>
                  <w:r w:rsidRPr="00791D0F">
                    <w:rPr>
                      <w:lang w:eastAsia="en-US"/>
                    </w:rPr>
                    <w:t>2.2. valsts speciālais budžets</w:t>
                  </w:r>
                </w:p>
              </w:tc>
              <w:tc>
                <w:tcPr>
                  <w:tcW w:w="934" w:type="dxa"/>
                  <w:shd w:val="clear" w:color="auto" w:fill="auto"/>
                  <w:vAlign w:val="center"/>
                  <w:hideMark/>
                </w:tcPr>
                <w:p w14:paraId="574610DC" w14:textId="77777777"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14:paraId="574610DD" w14:textId="77777777" w:rsidR="00162833" w:rsidRPr="00791D0F" w:rsidRDefault="008124A1" w:rsidP="00162833">
                  <w:pPr>
                    <w:jc w:val="center"/>
                    <w:rPr>
                      <w:lang w:eastAsia="en-US"/>
                    </w:rPr>
                  </w:pPr>
                  <w:r>
                    <w:rPr>
                      <w:lang w:eastAsia="en-US"/>
                    </w:rPr>
                    <w:t>0</w:t>
                  </w:r>
                </w:p>
              </w:tc>
              <w:tc>
                <w:tcPr>
                  <w:tcW w:w="934" w:type="dxa"/>
                  <w:shd w:val="clear" w:color="auto" w:fill="auto"/>
                  <w:vAlign w:val="center"/>
                  <w:hideMark/>
                </w:tcPr>
                <w:p w14:paraId="574610DE" w14:textId="77777777" w:rsidR="00162833" w:rsidRPr="00791D0F" w:rsidRDefault="008124A1" w:rsidP="00162833">
                  <w:pPr>
                    <w:jc w:val="center"/>
                    <w:rPr>
                      <w:lang w:eastAsia="en-US"/>
                    </w:rPr>
                  </w:pPr>
                  <w:r>
                    <w:rPr>
                      <w:lang w:eastAsia="en-US"/>
                    </w:rPr>
                    <w:t>0</w:t>
                  </w:r>
                </w:p>
              </w:tc>
              <w:tc>
                <w:tcPr>
                  <w:tcW w:w="933" w:type="dxa"/>
                  <w:shd w:val="clear" w:color="auto" w:fill="auto"/>
                  <w:vAlign w:val="center"/>
                  <w:hideMark/>
                </w:tcPr>
                <w:p w14:paraId="574610DF" w14:textId="77777777" w:rsidR="00162833" w:rsidRPr="00791D0F" w:rsidRDefault="008124A1" w:rsidP="00162833">
                  <w:pPr>
                    <w:jc w:val="center"/>
                    <w:rPr>
                      <w:lang w:eastAsia="en-US"/>
                    </w:rPr>
                  </w:pPr>
                  <w:r>
                    <w:rPr>
                      <w:lang w:eastAsia="en-US"/>
                    </w:rPr>
                    <w:t>0</w:t>
                  </w:r>
                </w:p>
              </w:tc>
              <w:tc>
                <w:tcPr>
                  <w:tcW w:w="761" w:type="dxa"/>
                  <w:shd w:val="clear" w:color="auto" w:fill="auto"/>
                  <w:vAlign w:val="center"/>
                  <w:hideMark/>
                </w:tcPr>
                <w:p w14:paraId="574610E0" w14:textId="77777777"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14:paraId="574610E1" w14:textId="77777777" w:rsidR="00162833" w:rsidRPr="00791D0F" w:rsidRDefault="008124A1" w:rsidP="00162833">
                  <w:pPr>
                    <w:jc w:val="center"/>
                    <w:rPr>
                      <w:lang w:eastAsia="en-US"/>
                    </w:rPr>
                  </w:pPr>
                  <w:r>
                    <w:rPr>
                      <w:lang w:eastAsia="en-US"/>
                    </w:rPr>
                    <w:t>0</w:t>
                  </w:r>
                </w:p>
              </w:tc>
              <w:tc>
                <w:tcPr>
                  <w:tcW w:w="988" w:type="dxa"/>
                  <w:shd w:val="clear" w:color="auto" w:fill="auto"/>
                  <w:vAlign w:val="center"/>
                  <w:hideMark/>
                </w:tcPr>
                <w:p w14:paraId="574610E2" w14:textId="77777777" w:rsidR="00162833" w:rsidRPr="00791D0F" w:rsidRDefault="008124A1" w:rsidP="00162833">
                  <w:pPr>
                    <w:jc w:val="center"/>
                    <w:rPr>
                      <w:lang w:eastAsia="en-US"/>
                    </w:rPr>
                  </w:pPr>
                  <w:r>
                    <w:rPr>
                      <w:lang w:eastAsia="en-US"/>
                    </w:rPr>
                    <w:t>0</w:t>
                  </w:r>
                </w:p>
              </w:tc>
            </w:tr>
            <w:tr w:rsidR="00162833" w:rsidRPr="00791D0F" w14:paraId="574610EC" w14:textId="77777777" w:rsidTr="00CF5E1A">
              <w:trPr>
                <w:cantSplit/>
              </w:trPr>
              <w:tc>
                <w:tcPr>
                  <w:tcW w:w="2149" w:type="dxa"/>
                  <w:shd w:val="clear" w:color="auto" w:fill="auto"/>
                  <w:hideMark/>
                </w:tcPr>
                <w:p w14:paraId="574610E4" w14:textId="77777777" w:rsidR="00162833" w:rsidRPr="00791D0F" w:rsidRDefault="00162833" w:rsidP="00162833">
                  <w:pPr>
                    <w:rPr>
                      <w:lang w:eastAsia="en-US"/>
                    </w:rPr>
                  </w:pPr>
                  <w:r w:rsidRPr="00791D0F">
                    <w:rPr>
                      <w:lang w:eastAsia="en-US"/>
                    </w:rPr>
                    <w:t>2.3. pašvaldību budžets</w:t>
                  </w:r>
                </w:p>
              </w:tc>
              <w:tc>
                <w:tcPr>
                  <w:tcW w:w="934" w:type="dxa"/>
                  <w:shd w:val="clear" w:color="auto" w:fill="auto"/>
                  <w:vAlign w:val="center"/>
                  <w:hideMark/>
                </w:tcPr>
                <w:p w14:paraId="574610E5" w14:textId="77777777" w:rsidR="00162833" w:rsidRPr="00791D0F" w:rsidRDefault="008124A1" w:rsidP="00162833">
                  <w:pPr>
                    <w:jc w:val="center"/>
                    <w:rPr>
                      <w:lang w:eastAsia="en-US"/>
                    </w:rPr>
                  </w:pPr>
                  <w:r>
                    <w:rPr>
                      <w:lang w:eastAsia="en-US"/>
                    </w:rPr>
                    <w:t>0</w:t>
                  </w:r>
                </w:p>
              </w:tc>
              <w:tc>
                <w:tcPr>
                  <w:tcW w:w="1199" w:type="dxa"/>
                  <w:shd w:val="clear" w:color="auto" w:fill="auto"/>
                  <w:vAlign w:val="center"/>
                  <w:hideMark/>
                </w:tcPr>
                <w:p w14:paraId="574610E6" w14:textId="77777777" w:rsidR="00162833" w:rsidRPr="00791D0F" w:rsidRDefault="008124A1" w:rsidP="00162833">
                  <w:pPr>
                    <w:jc w:val="center"/>
                    <w:rPr>
                      <w:lang w:eastAsia="en-US"/>
                    </w:rPr>
                  </w:pPr>
                  <w:r>
                    <w:rPr>
                      <w:lang w:eastAsia="en-US"/>
                    </w:rPr>
                    <w:t>0</w:t>
                  </w:r>
                </w:p>
              </w:tc>
              <w:tc>
                <w:tcPr>
                  <w:tcW w:w="934" w:type="dxa"/>
                  <w:shd w:val="clear" w:color="auto" w:fill="auto"/>
                  <w:vAlign w:val="center"/>
                  <w:hideMark/>
                </w:tcPr>
                <w:p w14:paraId="574610E7" w14:textId="77777777" w:rsidR="00162833" w:rsidRPr="00791D0F" w:rsidRDefault="008124A1" w:rsidP="00162833">
                  <w:pPr>
                    <w:jc w:val="center"/>
                    <w:rPr>
                      <w:lang w:eastAsia="en-US"/>
                    </w:rPr>
                  </w:pPr>
                  <w:r>
                    <w:rPr>
                      <w:lang w:eastAsia="en-US"/>
                    </w:rPr>
                    <w:t>0</w:t>
                  </w:r>
                </w:p>
              </w:tc>
              <w:tc>
                <w:tcPr>
                  <w:tcW w:w="933" w:type="dxa"/>
                  <w:shd w:val="clear" w:color="auto" w:fill="auto"/>
                  <w:vAlign w:val="center"/>
                  <w:hideMark/>
                </w:tcPr>
                <w:p w14:paraId="574610E8" w14:textId="77777777" w:rsidR="00162833" w:rsidRPr="00791D0F" w:rsidRDefault="008124A1" w:rsidP="00162833">
                  <w:pPr>
                    <w:jc w:val="center"/>
                    <w:rPr>
                      <w:lang w:eastAsia="en-US"/>
                    </w:rPr>
                  </w:pPr>
                  <w:r>
                    <w:rPr>
                      <w:lang w:eastAsia="en-US"/>
                    </w:rPr>
                    <w:t>0</w:t>
                  </w:r>
                </w:p>
              </w:tc>
              <w:tc>
                <w:tcPr>
                  <w:tcW w:w="761" w:type="dxa"/>
                  <w:shd w:val="clear" w:color="auto" w:fill="auto"/>
                  <w:vAlign w:val="center"/>
                  <w:hideMark/>
                </w:tcPr>
                <w:p w14:paraId="574610E9" w14:textId="77777777" w:rsidR="00162833" w:rsidRPr="00791D0F" w:rsidRDefault="008124A1" w:rsidP="00162833">
                  <w:pPr>
                    <w:jc w:val="center"/>
                    <w:rPr>
                      <w:lang w:eastAsia="en-US"/>
                    </w:rPr>
                  </w:pPr>
                  <w:r>
                    <w:rPr>
                      <w:lang w:eastAsia="en-US"/>
                    </w:rPr>
                    <w:t>0</w:t>
                  </w:r>
                </w:p>
              </w:tc>
              <w:tc>
                <w:tcPr>
                  <w:tcW w:w="1105" w:type="dxa"/>
                  <w:shd w:val="clear" w:color="auto" w:fill="auto"/>
                  <w:vAlign w:val="center"/>
                  <w:hideMark/>
                </w:tcPr>
                <w:p w14:paraId="574610EA" w14:textId="77777777" w:rsidR="00162833" w:rsidRPr="00791D0F" w:rsidRDefault="008124A1" w:rsidP="00162833">
                  <w:pPr>
                    <w:jc w:val="center"/>
                    <w:rPr>
                      <w:lang w:eastAsia="en-US"/>
                    </w:rPr>
                  </w:pPr>
                  <w:r>
                    <w:rPr>
                      <w:lang w:eastAsia="en-US"/>
                    </w:rPr>
                    <w:t>0</w:t>
                  </w:r>
                </w:p>
              </w:tc>
              <w:tc>
                <w:tcPr>
                  <w:tcW w:w="988" w:type="dxa"/>
                  <w:shd w:val="clear" w:color="auto" w:fill="auto"/>
                  <w:vAlign w:val="center"/>
                  <w:hideMark/>
                </w:tcPr>
                <w:p w14:paraId="574610EB" w14:textId="77777777" w:rsidR="00162833" w:rsidRPr="00791D0F" w:rsidRDefault="008124A1" w:rsidP="00162833">
                  <w:pPr>
                    <w:jc w:val="center"/>
                    <w:rPr>
                      <w:lang w:eastAsia="en-US"/>
                    </w:rPr>
                  </w:pPr>
                  <w:r>
                    <w:rPr>
                      <w:lang w:eastAsia="en-US"/>
                    </w:rPr>
                    <w:t>0</w:t>
                  </w:r>
                </w:p>
              </w:tc>
            </w:tr>
            <w:tr w:rsidR="00162833" w:rsidRPr="00791D0F" w14:paraId="574610F5" w14:textId="77777777" w:rsidTr="00CF5E1A">
              <w:trPr>
                <w:cantSplit/>
              </w:trPr>
              <w:tc>
                <w:tcPr>
                  <w:tcW w:w="2149" w:type="dxa"/>
                  <w:shd w:val="clear" w:color="auto" w:fill="auto"/>
                  <w:hideMark/>
                </w:tcPr>
                <w:p w14:paraId="574610ED" w14:textId="77777777" w:rsidR="00162833" w:rsidRPr="00791D0F" w:rsidRDefault="00162833" w:rsidP="00162833">
                  <w:pPr>
                    <w:rPr>
                      <w:lang w:eastAsia="en-US"/>
                    </w:rPr>
                  </w:pPr>
                  <w:r w:rsidRPr="00791D0F">
                    <w:rPr>
                      <w:lang w:eastAsia="en-US"/>
                    </w:rPr>
                    <w:t>3. Finansiālā ietekme</w:t>
                  </w:r>
                </w:p>
              </w:tc>
              <w:tc>
                <w:tcPr>
                  <w:tcW w:w="934" w:type="dxa"/>
                  <w:shd w:val="clear" w:color="auto" w:fill="auto"/>
                  <w:vAlign w:val="center"/>
                  <w:hideMark/>
                </w:tcPr>
                <w:p w14:paraId="574610EE" w14:textId="77777777" w:rsidR="00162833" w:rsidRPr="00791D0F" w:rsidRDefault="00643D7B" w:rsidP="00162833">
                  <w:pPr>
                    <w:jc w:val="center"/>
                    <w:rPr>
                      <w:lang w:eastAsia="en-US"/>
                    </w:rPr>
                  </w:pPr>
                  <w:r w:rsidRPr="00791D0F">
                    <w:rPr>
                      <w:lang w:eastAsia="en-US"/>
                    </w:rPr>
                    <w:t>0</w:t>
                  </w:r>
                </w:p>
              </w:tc>
              <w:tc>
                <w:tcPr>
                  <w:tcW w:w="1199" w:type="dxa"/>
                  <w:shd w:val="clear" w:color="auto" w:fill="auto"/>
                  <w:vAlign w:val="center"/>
                  <w:hideMark/>
                </w:tcPr>
                <w:p w14:paraId="574610EF" w14:textId="77777777" w:rsidR="00162833" w:rsidRPr="00791D0F" w:rsidRDefault="00643D7B" w:rsidP="00162833">
                  <w:pPr>
                    <w:jc w:val="center"/>
                    <w:rPr>
                      <w:lang w:eastAsia="en-US"/>
                    </w:rPr>
                  </w:pPr>
                  <w:r w:rsidRPr="00791D0F">
                    <w:rPr>
                      <w:lang w:eastAsia="en-US"/>
                    </w:rPr>
                    <w:t>0</w:t>
                  </w:r>
                </w:p>
              </w:tc>
              <w:tc>
                <w:tcPr>
                  <w:tcW w:w="934" w:type="dxa"/>
                  <w:shd w:val="clear" w:color="auto" w:fill="auto"/>
                  <w:vAlign w:val="center"/>
                  <w:hideMark/>
                </w:tcPr>
                <w:p w14:paraId="574610F0" w14:textId="77777777" w:rsidR="00162833" w:rsidRPr="00791D0F" w:rsidRDefault="00643D7B" w:rsidP="00162833">
                  <w:pPr>
                    <w:jc w:val="center"/>
                    <w:rPr>
                      <w:lang w:eastAsia="en-US"/>
                    </w:rPr>
                  </w:pPr>
                  <w:r w:rsidRPr="00791D0F">
                    <w:rPr>
                      <w:lang w:eastAsia="en-US"/>
                    </w:rPr>
                    <w:t>0</w:t>
                  </w:r>
                </w:p>
              </w:tc>
              <w:tc>
                <w:tcPr>
                  <w:tcW w:w="933" w:type="dxa"/>
                  <w:shd w:val="clear" w:color="auto" w:fill="auto"/>
                  <w:vAlign w:val="center"/>
                  <w:hideMark/>
                </w:tcPr>
                <w:p w14:paraId="574610F1" w14:textId="77777777" w:rsidR="00162833" w:rsidRPr="00791D0F" w:rsidRDefault="00643D7B" w:rsidP="00162833">
                  <w:pPr>
                    <w:jc w:val="center"/>
                    <w:rPr>
                      <w:lang w:eastAsia="en-US"/>
                    </w:rPr>
                  </w:pPr>
                  <w:r w:rsidRPr="00791D0F">
                    <w:rPr>
                      <w:lang w:eastAsia="en-US"/>
                    </w:rPr>
                    <w:t>0</w:t>
                  </w:r>
                </w:p>
              </w:tc>
              <w:tc>
                <w:tcPr>
                  <w:tcW w:w="761" w:type="dxa"/>
                  <w:shd w:val="clear" w:color="auto" w:fill="auto"/>
                  <w:vAlign w:val="center"/>
                  <w:hideMark/>
                </w:tcPr>
                <w:p w14:paraId="574610F2" w14:textId="77777777" w:rsidR="00162833" w:rsidRPr="00791D0F" w:rsidRDefault="00643D7B" w:rsidP="00162833">
                  <w:pPr>
                    <w:jc w:val="center"/>
                    <w:rPr>
                      <w:lang w:eastAsia="en-US"/>
                    </w:rPr>
                  </w:pPr>
                  <w:r w:rsidRPr="00791D0F">
                    <w:rPr>
                      <w:lang w:eastAsia="en-US"/>
                    </w:rPr>
                    <w:t>0</w:t>
                  </w:r>
                </w:p>
              </w:tc>
              <w:tc>
                <w:tcPr>
                  <w:tcW w:w="1105" w:type="dxa"/>
                  <w:shd w:val="clear" w:color="auto" w:fill="auto"/>
                  <w:vAlign w:val="center"/>
                  <w:hideMark/>
                </w:tcPr>
                <w:p w14:paraId="574610F3" w14:textId="77777777" w:rsidR="00162833" w:rsidRPr="00791D0F" w:rsidRDefault="00643D7B" w:rsidP="00162833">
                  <w:pPr>
                    <w:jc w:val="center"/>
                    <w:rPr>
                      <w:lang w:eastAsia="en-US"/>
                    </w:rPr>
                  </w:pPr>
                  <w:r w:rsidRPr="00791D0F">
                    <w:rPr>
                      <w:lang w:eastAsia="en-US"/>
                    </w:rPr>
                    <w:t>0</w:t>
                  </w:r>
                </w:p>
              </w:tc>
              <w:tc>
                <w:tcPr>
                  <w:tcW w:w="988" w:type="dxa"/>
                  <w:shd w:val="clear" w:color="auto" w:fill="auto"/>
                  <w:vAlign w:val="center"/>
                  <w:hideMark/>
                </w:tcPr>
                <w:p w14:paraId="574610F4" w14:textId="77777777" w:rsidR="00162833" w:rsidRPr="00791D0F" w:rsidRDefault="00643D7B" w:rsidP="00162833">
                  <w:pPr>
                    <w:jc w:val="center"/>
                    <w:rPr>
                      <w:lang w:eastAsia="en-US"/>
                    </w:rPr>
                  </w:pPr>
                  <w:r w:rsidRPr="00791D0F">
                    <w:rPr>
                      <w:lang w:eastAsia="en-US"/>
                    </w:rPr>
                    <w:t>0</w:t>
                  </w:r>
                </w:p>
              </w:tc>
            </w:tr>
            <w:tr w:rsidR="00162833" w:rsidRPr="00791D0F" w14:paraId="574610FE" w14:textId="77777777" w:rsidTr="00CF5E1A">
              <w:trPr>
                <w:cantSplit/>
              </w:trPr>
              <w:tc>
                <w:tcPr>
                  <w:tcW w:w="2149" w:type="dxa"/>
                  <w:shd w:val="clear" w:color="auto" w:fill="auto"/>
                  <w:hideMark/>
                </w:tcPr>
                <w:p w14:paraId="574610F6" w14:textId="77777777" w:rsidR="00162833" w:rsidRPr="00791D0F" w:rsidRDefault="00162833" w:rsidP="00162833">
                  <w:pPr>
                    <w:rPr>
                      <w:lang w:eastAsia="en-US"/>
                    </w:rPr>
                  </w:pPr>
                  <w:r w:rsidRPr="00791D0F">
                    <w:rPr>
                      <w:lang w:eastAsia="en-US"/>
                    </w:rPr>
                    <w:t>3.1. valsts pamatbudžets</w:t>
                  </w:r>
                </w:p>
              </w:tc>
              <w:tc>
                <w:tcPr>
                  <w:tcW w:w="934" w:type="dxa"/>
                  <w:shd w:val="clear" w:color="auto" w:fill="auto"/>
                  <w:vAlign w:val="center"/>
                  <w:hideMark/>
                </w:tcPr>
                <w:p w14:paraId="574610F7" w14:textId="77777777"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14:paraId="574610F8" w14:textId="77777777" w:rsidR="00162833" w:rsidRPr="00791D0F" w:rsidRDefault="00D50F94" w:rsidP="00162833">
                  <w:pPr>
                    <w:jc w:val="center"/>
                    <w:rPr>
                      <w:lang w:eastAsia="en-US"/>
                    </w:rPr>
                  </w:pPr>
                  <w:r>
                    <w:rPr>
                      <w:lang w:eastAsia="en-US"/>
                    </w:rPr>
                    <w:t>0</w:t>
                  </w:r>
                </w:p>
              </w:tc>
              <w:tc>
                <w:tcPr>
                  <w:tcW w:w="934" w:type="dxa"/>
                  <w:shd w:val="clear" w:color="auto" w:fill="auto"/>
                  <w:vAlign w:val="center"/>
                  <w:hideMark/>
                </w:tcPr>
                <w:p w14:paraId="574610F9" w14:textId="77777777" w:rsidR="00162833" w:rsidRPr="00791D0F" w:rsidRDefault="00D50F94" w:rsidP="00162833">
                  <w:pPr>
                    <w:jc w:val="center"/>
                    <w:rPr>
                      <w:lang w:eastAsia="en-US"/>
                    </w:rPr>
                  </w:pPr>
                  <w:r>
                    <w:rPr>
                      <w:lang w:eastAsia="en-US"/>
                    </w:rPr>
                    <w:t>0</w:t>
                  </w:r>
                </w:p>
              </w:tc>
              <w:tc>
                <w:tcPr>
                  <w:tcW w:w="933" w:type="dxa"/>
                  <w:shd w:val="clear" w:color="auto" w:fill="auto"/>
                  <w:vAlign w:val="center"/>
                  <w:hideMark/>
                </w:tcPr>
                <w:p w14:paraId="574610FA" w14:textId="77777777" w:rsidR="00162833" w:rsidRPr="00791D0F" w:rsidRDefault="00D50F94" w:rsidP="00162833">
                  <w:pPr>
                    <w:jc w:val="center"/>
                    <w:rPr>
                      <w:lang w:eastAsia="en-US"/>
                    </w:rPr>
                  </w:pPr>
                  <w:r>
                    <w:rPr>
                      <w:lang w:eastAsia="en-US"/>
                    </w:rPr>
                    <w:t>0</w:t>
                  </w:r>
                </w:p>
              </w:tc>
              <w:tc>
                <w:tcPr>
                  <w:tcW w:w="761" w:type="dxa"/>
                  <w:shd w:val="clear" w:color="auto" w:fill="auto"/>
                  <w:vAlign w:val="center"/>
                  <w:hideMark/>
                </w:tcPr>
                <w:p w14:paraId="574610FB" w14:textId="77777777"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14:paraId="574610FC"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0FD" w14:textId="77777777" w:rsidR="00162833" w:rsidRPr="00791D0F" w:rsidRDefault="00D50F94" w:rsidP="00162833">
                  <w:pPr>
                    <w:jc w:val="center"/>
                    <w:rPr>
                      <w:lang w:eastAsia="en-US"/>
                    </w:rPr>
                  </w:pPr>
                  <w:r>
                    <w:rPr>
                      <w:lang w:eastAsia="en-US"/>
                    </w:rPr>
                    <w:t>0</w:t>
                  </w:r>
                </w:p>
              </w:tc>
            </w:tr>
            <w:tr w:rsidR="00162833" w:rsidRPr="00791D0F" w14:paraId="57461107" w14:textId="77777777" w:rsidTr="00CF5E1A">
              <w:trPr>
                <w:cantSplit/>
              </w:trPr>
              <w:tc>
                <w:tcPr>
                  <w:tcW w:w="2149" w:type="dxa"/>
                  <w:shd w:val="clear" w:color="auto" w:fill="auto"/>
                  <w:hideMark/>
                </w:tcPr>
                <w:p w14:paraId="574610FF" w14:textId="77777777" w:rsidR="00162833" w:rsidRPr="00791D0F" w:rsidRDefault="00162833" w:rsidP="00162833">
                  <w:pPr>
                    <w:rPr>
                      <w:lang w:eastAsia="en-US"/>
                    </w:rPr>
                  </w:pPr>
                  <w:r w:rsidRPr="00791D0F">
                    <w:rPr>
                      <w:lang w:eastAsia="en-US"/>
                    </w:rPr>
                    <w:t>3.2. speciālais budžets</w:t>
                  </w:r>
                </w:p>
              </w:tc>
              <w:tc>
                <w:tcPr>
                  <w:tcW w:w="934" w:type="dxa"/>
                  <w:shd w:val="clear" w:color="auto" w:fill="auto"/>
                  <w:vAlign w:val="center"/>
                  <w:hideMark/>
                </w:tcPr>
                <w:p w14:paraId="57461100" w14:textId="77777777"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14:paraId="57461101" w14:textId="77777777" w:rsidR="00162833" w:rsidRPr="00791D0F" w:rsidRDefault="00D50F94" w:rsidP="00162833">
                  <w:pPr>
                    <w:jc w:val="center"/>
                    <w:rPr>
                      <w:lang w:eastAsia="en-US"/>
                    </w:rPr>
                  </w:pPr>
                  <w:r>
                    <w:rPr>
                      <w:lang w:eastAsia="en-US"/>
                    </w:rPr>
                    <w:t>0</w:t>
                  </w:r>
                </w:p>
              </w:tc>
              <w:tc>
                <w:tcPr>
                  <w:tcW w:w="934" w:type="dxa"/>
                  <w:shd w:val="clear" w:color="auto" w:fill="auto"/>
                  <w:vAlign w:val="center"/>
                  <w:hideMark/>
                </w:tcPr>
                <w:p w14:paraId="57461102" w14:textId="77777777" w:rsidR="00162833" w:rsidRPr="00791D0F" w:rsidRDefault="00D50F94" w:rsidP="00162833">
                  <w:pPr>
                    <w:jc w:val="center"/>
                    <w:rPr>
                      <w:lang w:eastAsia="en-US"/>
                    </w:rPr>
                  </w:pPr>
                  <w:r>
                    <w:rPr>
                      <w:lang w:eastAsia="en-US"/>
                    </w:rPr>
                    <w:t>0</w:t>
                  </w:r>
                </w:p>
              </w:tc>
              <w:tc>
                <w:tcPr>
                  <w:tcW w:w="933" w:type="dxa"/>
                  <w:shd w:val="clear" w:color="auto" w:fill="auto"/>
                  <w:vAlign w:val="center"/>
                  <w:hideMark/>
                </w:tcPr>
                <w:p w14:paraId="57461103" w14:textId="77777777" w:rsidR="00162833" w:rsidRPr="00791D0F" w:rsidRDefault="00D50F94" w:rsidP="00162833">
                  <w:pPr>
                    <w:jc w:val="center"/>
                    <w:rPr>
                      <w:lang w:eastAsia="en-US"/>
                    </w:rPr>
                  </w:pPr>
                  <w:r>
                    <w:rPr>
                      <w:lang w:eastAsia="en-US"/>
                    </w:rPr>
                    <w:t>0</w:t>
                  </w:r>
                </w:p>
              </w:tc>
              <w:tc>
                <w:tcPr>
                  <w:tcW w:w="761" w:type="dxa"/>
                  <w:shd w:val="clear" w:color="auto" w:fill="auto"/>
                  <w:vAlign w:val="center"/>
                  <w:hideMark/>
                </w:tcPr>
                <w:p w14:paraId="57461104" w14:textId="77777777"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14:paraId="57461105"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06" w14:textId="77777777" w:rsidR="00162833" w:rsidRPr="00791D0F" w:rsidRDefault="00D50F94" w:rsidP="00162833">
                  <w:pPr>
                    <w:jc w:val="center"/>
                    <w:rPr>
                      <w:lang w:eastAsia="en-US"/>
                    </w:rPr>
                  </w:pPr>
                  <w:r>
                    <w:rPr>
                      <w:lang w:eastAsia="en-US"/>
                    </w:rPr>
                    <w:t>0</w:t>
                  </w:r>
                </w:p>
              </w:tc>
            </w:tr>
            <w:tr w:rsidR="00162833" w:rsidRPr="00791D0F" w14:paraId="57461110" w14:textId="77777777" w:rsidTr="00CF5E1A">
              <w:trPr>
                <w:cantSplit/>
              </w:trPr>
              <w:tc>
                <w:tcPr>
                  <w:tcW w:w="2149" w:type="dxa"/>
                  <w:shd w:val="clear" w:color="auto" w:fill="auto"/>
                  <w:hideMark/>
                </w:tcPr>
                <w:p w14:paraId="57461108" w14:textId="77777777" w:rsidR="00162833" w:rsidRPr="00791D0F" w:rsidRDefault="00162833" w:rsidP="00162833">
                  <w:pPr>
                    <w:rPr>
                      <w:lang w:eastAsia="en-US"/>
                    </w:rPr>
                  </w:pPr>
                  <w:r w:rsidRPr="00791D0F">
                    <w:rPr>
                      <w:lang w:eastAsia="en-US"/>
                    </w:rPr>
                    <w:t>3.3. pašvaldību budžets</w:t>
                  </w:r>
                </w:p>
              </w:tc>
              <w:tc>
                <w:tcPr>
                  <w:tcW w:w="934" w:type="dxa"/>
                  <w:shd w:val="clear" w:color="auto" w:fill="auto"/>
                  <w:vAlign w:val="center"/>
                  <w:hideMark/>
                </w:tcPr>
                <w:p w14:paraId="57461109" w14:textId="77777777"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14:paraId="5746110A" w14:textId="77777777" w:rsidR="00162833" w:rsidRPr="00791D0F" w:rsidRDefault="00D50F94" w:rsidP="00162833">
                  <w:pPr>
                    <w:jc w:val="center"/>
                    <w:rPr>
                      <w:lang w:eastAsia="en-US"/>
                    </w:rPr>
                  </w:pPr>
                  <w:r>
                    <w:rPr>
                      <w:lang w:eastAsia="en-US"/>
                    </w:rPr>
                    <w:t>0</w:t>
                  </w:r>
                </w:p>
              </w:tc>
              <w:tc>
                <w:tcPr>
                  <w:tcW w:w="934" w:type="dxa"/>
                  <w:shd w:val="clear" w:color="auto" w:fill="auto"/>
                  <w:vAlign w:val="center"/>
                  <w:hideMark/>
                </w:tcPr>
                <w:p w14:paraId="5746110B" w14:textId="77777777" w:rsidR="00162833" w:rsidRPr="00791D0F" w:rsidRDefault="00D50F94" w:rsidP="00162833">
                  <w:pPr>
                    <w:jc w:val="center"/>
                    <w:rPr>
                      <w:lang w:eastAsia="en-US"/>
                    </w:rPr>
                  </w:pPr>
                  <w:r>
                    <w:rPr>
                      <w:lang w:eastAsia="en-US"/>
                    </w:rPr>
                    <w:t>0</w:t>
                  </w:r>
                </w:p>
              </w:tc>
              <w:tc>
                <w:tcPr>
                  <w:tcW w:w="933" w:type="dxa"/>
                  <w:shd w:val="clear" w:color="auto" w:fill="auto"/>
                  <w:vAlign w:val="center"/>
                  <w:hideMark/>
                </w:tcPr>
                <w:p w14:paraId="5746110C" w14:textId="77777777" w:rsidR="00162833" w:rsidRPr="00791D0F" w:rsidRDefault="00D50F94" w:rsidP="00162833">
                  <w:pPr>
                    <w:jc w:val="center"/>
                    <w:rPr>
                      <w:lang w:eastAsia="en-US"/>
                    </w:rPr>
                  </w:pPr>
                  <w:r>
                    <w:rPr>
                      <w:lang w:eastAsia="en-US"/>
                    </w:rPr>
                    <w:t>0</w:t>
                  </w:r>
                </w:p>
              </w:tc>
              <w:tc>
                <w:tcPr>
                  <w:tcW w:w="761" w:type="dxa"/>
                  <w:shd w:val="clear" w:color="auto" w:fill="auto"/>
                  <w:vAlign w:val="center"/>
                  <w:hideMark/>
                </w:tcPr>
                <w:p w14:paraId="5746110D" w14:textId="77777777"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14:paraId="5746110E"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0F" w14:textId="77777777" w:rsidR="00162833" w:rsidRPr="00791D0F" w:rsidRDefault="00D50F94" w:rsidP="00162833">
                  <w:pPr>
                    <w:jc w:val="center"/>
                    <w:rPr>
                      <w:lang w:eastAsia="en-US"/>
                    </w:rPr>
                  </w:pPr>
                  <w:r>
                    <w:rPr>
                      <w:lang w:eastAsia="en-US"/>
                    </w:rPr>
                    <w:t>0</w:t>
                  </w:r>
                </w:p>
              </w:tc>
            </w:tr>
            <w:tr w:rsidR="00162833" w:rsidRPr="00791D0F" w14:paraId="57461119" w14:textId="77777777" w:rsidTr="00CF5E1A">
              <w:trPr>
                <w:cantSplit/>
              </w:trPr>
              <w:tc>
                <w:tcPr>
                  <w:tcW w:w="2149" w:type="dxa"/>
                  <w:shd w:val="clear" w:color="auto" w:fill="auto"/>
                  <w:hideMark/>
                </w:tcPr>
                <w:p w14:paraId="57461111" w14:textId="77777777" w:rsidR="00162833" w:rsidRPr="00791D0F" w:rsidRDefault="00162833" w:rsidP="00162833">
                  <w:pPr>
                    <w:rPr>
                      <w:lang w:eastAsia="en-US"/>
                    </w:rPr>
                  </w:pPr>
                  <w:r w:rsidRPr="00791D0F">
                    <w:rPr>
                      <w:lang w:eastAsia="en-US"/>
                    </w:rPr>
                    <w:t>4. Finanšu līdzekļi papildu izdevumu finansēšanai (kompensējošu izdevumu samazinājumu norāda ar "+" zīmi)</w:t>
                  </w:r>
                </w:p>
              </w:tc>
              <w:tc>
                <w:tcPr>
                  <w:tcW w:w="934" w:type="dxa"/>
                  <w:shd w:val="clear" w:color="auto" w:fill="auto"/>
                  <w:vAlign w:val="center"/>
                  <w:hideMark/>
                </w:tcPr>
                <w:p w14:paraId="57461112" w14:textId="77777777"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14:paraId="57461113" w14:textId="77777777" w:rsidR="00162833" w:rsidRPr="00791D0F" w:rsidRDefault="00D50F94" w:rsidP="00162833">
                  <w:pPr>
                    <w:jc w:val="center"/>
                    <w:rPr>
                      <w:lang w:eastAsia="en-US"/>
                    </w:rPr>
                  </w:pPr>
                  <w:r>
                    <w:rPr>
                      <w:lang w:eastAsia="en-US"/>
                    </w:rPr>
                    <w:t>0</w:t>
                  </w:r>
                </w:p>
              </w:tc>
              <w:tc>
                <w:tcPr>
                  <w:tcW w:w="934" w:type="dxa"/>
                  <w:shd w:val="clear" w:color="auto" w:fill="auto"/>
                  <w:vAlign w:val="center"/>
                  <w:hideMark/>
                </w:tcPr>
                <w:p w14:paraId="57461114" w14:textId="77777777" w:rsidR="00162833" w:rsidRPr="00791D0F" w:rsidRDefault="00D50F94" w:rsidP="00162833">
                  <w:pPr>
                    <w:jc w:val="center"/>
                    <w:rPr>
                      <w:lang w:eastAsia="en-US"/>
                    </w:rPr>
                  </w:pPr>
                  <w:r>
                    <w:rPr>
                      <w:lang w:eastAsia="en-US"/>
                    </w:rPr>
                    <w:t>0</w:t>
                  </w:r>
                </w:p>
              </w:tc>
              <w:tc>
                <w:tcPr>
                  <w:tcW w:w="933" w:type="dxa"/>
                  <w:shd w:val="clear" w:color="auto" w:fill="auto"/>
                  <w:vAlign w:val="center"/>
                  <w:hideMark/>
                </w:tcPr>
                <w:p w14:paraId="57461115" w14:textId="77777777" w:rsidR="00162833" w:rsidRPr="00791D0F" w:rsidRDefault="00D50F94" w:rsidP="00162833">
                  <w:pPr>
                    <w:jc w:val="center"/>
                    <w:rPr>
                      <w:lang w:eastAsia="en-US"/>
                    </w:rPr>
                  </w:pPr>
                  <w:r>
                    <w:rPr>
                      <w:lang w:eastAsia="en-US"/>
                    </w:rPr>
                    <w:t>0</w:t>
                  </w:r>
                </w:p>
              </w:tc>
              <w:tc>
                <w:tcPr>
                  <w:tcW w:w="761" w:type="dxa"/>
                  <w:shd w:val="clear" w:color="auto" w:fill="auto"/>
                  <w:vAlign w:val="center"/>
                  <w:hideMark/>
                </w:tcPr>
                <w:p w14:paraId="57461116" w14:textId="77777777"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14:paraId="57461117"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18" w14:textId="77777777" w:rsidR="00162833" w:rsidRPr="00791D0F" w:rsidRDefault="00D50F94" w:rsidP="00162833">
                  <w:pPr>
                    <w:jc w:val="center"/>
                    <w:rPr>
                      <w:lang w:eastAsia="en-US"/>
                    </w:rPr>
                  </w:pPr>
                  <w:r>
                    <w:rPr>
                      <w:lang w:eastAsia="en-US"/>
                    </w:rPr>
                    <w:t>0</w:t>
                  </w:r>
                </w:p>
              </w:tc>
            </w:tr>
            <w:tr w:rsidR="00162833" w:rsidRPr="00791D0F" w14:paraId="57461122" w14:textId="77777777" w:rsidTr="00CF5E1A">
              <w:trPr>
                <w:cantSplit/>
              </w:trPr>
              <w:tc>
                <w:tcPr>
                  <w:tcW w:w="2149" w:type="dxa"/>
                  <w:shd w:val="clear" w:color="auto" w:fill="auto"/>
                  <w:hideMark/>
                </w:tcPr>
                <w:p w14:paraId="5746111A" w14:textId="77777777" w:rsidR="00162833" w:rsidRPr="00791D0F" w:rsidRDefault="00162833" w:rsidP="00162833">
                  <w:pPr>
                    <w:rPr>
                      <w:lang w:eastAsia="en-US"/>
                    </w:rPr>
                  </w:pPr>
                  <w:r w:rsidRPr="00791D0F">
                    <w:rPr>
                      <w:lang w:eastAsia="en-US"/>
                    </w:rPr>
                    <w:t>5. Precizēta finansiālā ietekme</w:t>
                  </w:r>
                </w:p>
              </w:tc>
              <w:tc>
                <w:tcPr>
                  <w:tcW w:w="934" w:type="dxa"/>
                  <w:vMerge w:val="restart"/>
                  <w:shd w:val="clear" w:color="auto" w:fill="auto"/>
                  <w:vAlign w:val="center"/>
                  <w:hideMark/>
                </w:tcPr>
                <w:p w14:paraId="5746111B" w14:textId="77777777" w:rsidR="00162833" w:rsidRPr="00791D0F" w:rsidRDefault="00D50F94" w:rsidP="00162833">
                  <w:pPr>
                    <w:jc w:val="center"/>
                    <w:rPr>
                      <w:lang w:eastAsia="en-US"/>
                    </w:rPr>
                  </w:pPr>
                  <w:r>
                    <w:rPr>
                      <w:lang w:eastAsia="en-US"/>
                    </w:rPr>
                    <w:t>0</w:t>
                  </w:r>
                </w:p>
              </w:tc>
              <w:tc>
                <w:tcPr>
                  <w:tcW w:w="1199" w:type="dxa"/>
                  <w:shd w:val="clear" w:color="auto" w:fill="auto"/>
                  <w:vAlign w:val="center"/>
                  <w:hideMark/>
                </w:tcPr>
                <w:p w14:paraId="5746111C" w14:textId="77777777" w:rsidR="00162833" w:rsidRPr="00791D0F" w:rsidRDefault="00D50F94" w:rsidP="00162833">
                  <w:pPr>
                    <w:jc w:val="center"/>
                    <w:rPr>
                      <w:lang w:eastAsia="en-US"/>
                    </w:rPr>
                  </w:pPr>
                  <w:r>
                    <w:rPr>
                      <w:lang w:eastAsia="en-US"/>
                    </w:rPr>
                    <w:t>0</w:t>
                  </w:r>
                </w:p>
              </w:tc>
              <w:tc>
                <w:tcPr>
                  <w:tcW w:w="934" w:type="dxa"/>
                  <w:vMerge w:val="restart"/>
                  <w:shd w:val="clear" w:color="auto" w:fill="auto"/>
                  <w:vAlign w:val="center"/>
                  <w:hideMark/>
                </w:tcPr>
                <w:p w14:paraId="5746111D" w14:textId="77777777" w:rsidR="00162833" w:rsidRPr="00791D0F" w:rsidRDefault="00D50F94" w:rsidP="00162833">
                  <w:pPr>
                    <w:jc w:val="center"/>
                    <w:rPr>
                      <w:lang w:eastAsia="en-US"/>
                    </w:rPr>
                  </w:pPr>
                  <w:r>
                    <w:rPr>
                      <w:lang w:eastAsia="en-US"/>
                    </w:rPr>
                    <w:t>0</w:t>
                  </w:r>
                </w:p>
              </w:tc>
              <w:tc>
                <w:tcPr>
                  <w:tcW w:w="933" w:type="dxa"/>
                  <w:shd w:val="clear" w:color="auto" w:fill="auto"/>
                  <w:vAlign w:val="center"/>
                  <w:hideMark/>
                </w:tcPr>
                <w:p w14:paraId="5746111E" w14:textId="77777777" w:rsidR="00162833" w:rsidRPr="00791D0F" w:rsidRDefault="00D50F94" w:rsidP="00162833">
                  <w:pPr>
                    <w:jc w:val="center"/>
                    <w:rPr>
                      <w:lang w:eastAsia="en-US"/>
                    </w:rPr>
                  </w:pPr>
                  <w:r>
                    <w:rPr>
                      <w:lang w:eastAsia="en-US"/>
                    </w:rPr>
                    <w:t>0</w:t>
                  </w:r>
                </w:p>
              </w:tc>
              <w:tc>
                <w:tcPr>
                  <w:tcW w:w="761" w:type="dxa"/>
                  <w:vMerge w:val="restart"/>
                  <w:shd w:val="clear" w:color="auto" w:fill="auto"/>
                  <w:vAlign w:val="center"/>
                  <w:hideMark/>
                </w:tcPr>
                <w:p w14:paraId="5746111F" w14:textId="77777777" w:rsidR="00162833" w:rsidRPr="00791D0F" w:rsidRDefault="00D50F94" w:rsidP="00162833">
                  <w:pPr>
                    <w:jc w:val="center"/>
                    <w:rPr>
                      <w:lang w:eastAsia="en-US"/>
                    </w:rPr>
                  </w:pPr>
                  <w:r>
                    <w:rPr>
                      <w:lang w:eastAsia="en-US"/>
                    </w:rPr>
                    <w:t>0</w:t>
                  </w:r>
                </w:p>
              </w:tc>
              <w:tc>
                <w:tcPr>
                  <w:tcW w:w="1105" w:type="dxa"/>
                  <w:shd w:val="clear" w:color="auto" w:fill="auto"/>
                  <w:vAlign w:val="center"/>
                  <w:hideMark/>
                </w:tcPr>
                <w:p w14:paraId="57461120"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21" w14:textId="77777777" w:rsidR="00162833" w:rsidRPr="00791D0F" w:rsidRDefault="00D50F94" w:rsidP="00162833">
                  <w:pPr>
                    <w:jc w:val="center"/>
                    <w:rPr>
                      <w:lang w:eastAsia="en-US"/>
                    </w:rPr>
                  </w:pPr>
                  <w:r>
                    <w:rPr>
                      <w:lang w:eastAsia="en-US"/>
                    </w:rPr>
                    <w:t>0</w:t>
                  </w:r>
                </w:p>
              </w:tc>
            </w:tr>
            <w:tr w:rsidR="00162833" w:rsidRPr="00791D0F" w14:paraId="5746112B" w14:textId="77777777" w:rsidTr="00CF5E1A">
              <w:trPr>
                <w:cantSplit/>
              </w:trPr>
              <w:tc>
                <w:tcPr>
                  <w:tcW w:w="2149" w:type="dxa"/>
                  <w:shd w:val="clear" w:color="auto" w:fill="auto"/>
                  <w:hideMark/>
                </w:tcPr>
                <w:p w14:paraId="57461123" w14:textId="77777777" w:rsidR="00162833" w:rsidRPr="00791D0F" w:rsidRDefault="00162833" w:rsidP="00162833">
                  <w:pPr>
                    <w:rPr>
                      <w:lang w:eastAsia="en-US"/>
                    </w:rPr>
                  </w:pPr>
                  <w:r w:rsidRPr="00791D0F">
                    <w:rPr>
                      <w:lang w:eastAsia="en-US"/>
                    </w:rPr>
                    <w:t>5.1. valsts pamatbudžets</w:t>
                  </w:r>
                </w:p>
              </w:tc>
              <w:tc>
                <w:tcPr>
                  <w:tcW w:w="934" w:type="dxa"/>
                  <w:vMerge/>
                  <w:shd w:val="clear" w:color="auto" w:fill="auto"/>
                  <w:vAlign w:val="center"/>
                  <w:hideMark/>
                </w:tcPr>
                <w:p w14:paraId="57461124" w14:textId="77777777" w:rsidR="00162833" w:rsidRPr="00791D0F" w:rsidRDefault="00162833" w:rsidP="00162833">
                  <w:pPr>
                    <w:jc w:val="center"/>
                    <w:rPr>
                      <w:lang w:eastAsia="en-US"/>
                    </w:rPr>
                  </w:pPr>
                </w:p>
              </w:tc>
              <w:tc>
                <w:tcPr>
                  <w:tcW w:w="1199" w:type="dxa"/>
                  <w:shd w:val="clear" w:color="auto" w:fill="auto"/>
                  <w:vAlign w:val="center"/>
                  <w:hideMark/>
                </w:tcPr>
                <w:p w14:paraId="57461125" w14:textId="77777777" w:rsidR="00162833" w:rsidRPr="00791D0F" w:rsidRDefault="00D50F94" w:rsidP="00162833">
                  <w:pPr>
                    <w:jc w:val="center"/>
                    <w:rPr>
                      <w:lang w:eastAsia="en-US"/>
                    </w:rPr>
                  </w:pPr>
                  <w:r>
                    <w:rPr>
                      <w:lang w:eastAsia="en-US"/>
                    </w:rPr>
                    <w:t>0</w:t>
                  </w:r>
                </w:p>
              </w:tc>
              <w:tc>
                <w:tcPr>
                  <w:tcW w:w="934" w:type="dxa"/>
                  <w:vMerge/>
                  <w:shd w:val="clear" w:color="auto" w:fill="auto"/>
                  <w:vAlign w:val="center"/>
                  <w:hideMark/>
                </w:tcPr>
                <w:p w14:paraId="57461126" w14:textId="77777777" w:rsidR="00162833" w:rsidRPr="00791D0F" w:rsidRDefault="00162833" w:rsidP="00162833">
                  <w:pPr>
                    <w:jc w:val="center"/>
                    <w:rPr>
                      <w:lang w:eastAsia="en-US"/>
                    </w:rPr>
                  </w:pPr>
                </w:p>
              </w:tc>
              <w:tc>
                <w:tcPr>
                  <w:tcW w:w="933" w:type="dxa"/>
                  <w:shd w:val="clear" w:color="auto" w:fill="auto"/>
                  <w:vAlign w:val="center"/>
                  <w:hideMark/>
                </w:tcPr>
                <w:p w14:paraId="57461127" w14:textId="77777777" w:rsidR="00162833" w:rsidRPr="00791D0F" w:rsidRDefault="00D50F94" w:rsidP="00162833">
                  <w:pPr>
                    <w:jc w:val="center"/>
                    <w:rPr>
                      <w:lang w:eastAsia="en-US"/>
                    </w:rPr>
                  </w:pPr>
                  <w:r>
                    <w:rPr>
                      <w:lang w:eastAsia="en-US"/>
                    </w:rPr>
                    <w:t>0</w:t>
                  </w:r>
                </w:p>
              </w:tc>
              <w:tc>
                <w:tcPr>
                  <w:tcW w:w="761" w:type="dxa"/>
                  <w:vMerge/>
                  <w:shd w:val="clear" w:color="auto" w:fill="auto"/>
                  <w:vAlign w:val="center"/>
                  <w:hideMark/>
                </w:tcPr>
                <w:p w14:paraId="57461128" w14:textId="77777777" w:rsidR="00162833" w:rsidRPr="00791D0F" w:rsidRDefault="00162833" w:rsidP="00162833">
                  <w:pPr>
                    <w:jc w:val="center"/>
                    <w:rPr>
                      <w:lang w:eastAsia="en-US"/>
                    </w:rPr>
                  </w:pPr>
                </w:p>
              </w:tc>
              <w:tc>
                <w:tcPr>
                  <w:tcW w:w="1105" w:type="dxa"/>
                  <w:shd w:val="clear" w:color="auto" w:fill="auto"/>
                  <w:vAlign w:val="center"/>
                  <w:hideMark/>
                </w:tcPr>
                <w:p w14:paraId="57461129"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2A" w14:textId="77777777" w:rsidR="00162833" w:rsidRPr="00791D0F" w:rsidRDefault="00D50F94" w:rsidP="00162833">
                  <w:pPr>
                    <w:jc w:val="center"/>
                    <w:rPr>
                      <w:lang w:eastAsia="en-US"/>
                    </w:rPr>
                  </w:pPr>
                  <w:r>
                    <w:rPr>
                      <w:lang w:eastAsia="en-US"/>
                    </w:rPr>
                    <w:t>0</w:t>
                  </w:r>
                </w:p>
              </w:tc>
            </w:tr>
            <w:tr w:rsidR="00162833" w:rsidRPr="00791D0F" w14:paraId="57461134" w14:textId="77777777" w:rsidTr="00CF5E1A">
              <w:trPr>
                <w:cantSplit/>
              </w:trPr>
              <w:tc>
                <w:tcPr>
                  <w:tcW w:w="2149" w:type="dxa"/>
                  <w:shd w:val="clear" w:color="auto" w:fill="auto"/>
                  <w:hideMark/>
                </w:tcPr>
                <w:p w14:paraId="5746112C" w14:textId="77777777" w:rsidR="00162833" w:rsidRPr="00791D0F" w:rsidRDefault="00162833" w:rsidP="00162833">
                  <w:pPr>
                    <w:rPr>
                      <w:lang w:eastAsia="en-US"/>
                    </w:rPr>
                  </w:pPr>
                  <w:r w:rsidRPr="00791D0F">
                    <w:rPr>
                      <w:lang w:eastAsia="en-US"/>
                    </w:rPr>
                    <w:t>5.2. speciālais budžets</w:t>
                  </w:r>
                </w:p>
              </w:tc>
              <w:tc>
                <w:tcPr>
                  <w:tcW w:w="934" w:type="dxa"/>
                  <w:vMerge/>
                  <w:shd w:val="clear" w:color="auto" w:fill="auto"/>
                  <w:vAlign w:val="center"/>
                  <w:hideMark/>
                </w:tcPr>
                <w:p w14:paraId="5746112D" w14:textId="77777777" w:rsidR="00162833" w:rsidRPr="00791D0F" w:rsidRDefault="00162833" w:rsidP="00162833">
                  <w:pPr>
                    <w:jc w:val="center"/>
                    <w:rPr>
                      <w:lang w:eastAsia="en-US"/>
                    </w:rPr>
                  </w:pPr>
                </w:p>
              </w:tc>
              <w:tc>
                <w:tcPr>
                  <w:tcW w:w="1199" w:type="dxa"/>
                  <w:shd w:val="clear" w:color="auto" w:fill="auto"/>
                  <w:vAlign w:val="center"/>
                  <w:hideMark/>
                </w:tcPr>
                <w:p w14:paraId="5746112E" w14:textId="77777777" w:rsidR="00162833" w:rsidRPr="00791D0F" w:rsidRDefault="00D50F94" w:rsidP="00162833">
                  <w:pPr>
                    <w:jc w:val="center"/>
                    <w:rPr>
                      <w:lang w:eastAsia="en-US"/>
                    </w:rPr>
                  </w:pPr>
                  <w:r>
                    <w:rPr>
                      <w:lang w:eastAsia="en-US"/>
                    </w:rPr>
                    <w:t>0</w:t>
                  </w:r>
                </w:p>
              </w:tc>
              <w:tc>
                <w:tcPr>
                  <w:tcW w:w="934" w:type="dxa"/>
                  <w:vMerge/>
                  <w:shd w:val="clear" w:color="auto" w:fill="auto"/>
                  <w:vAlign w:val="center"/>
                  <w:hideMark/>
                </w:tcPr>
                <w:p w14:paraId="5746112F" w14:textId="77777777" w:rsidR="00162833" w:rsidRPr="00791D0F" w:rsidRDefault="00162833" w:rsidP="00162833">
                  <w:pPr>
                    <w:jc w:val="center"/>
                    <w:rPr>
                      <w:lang w:eastAsia="en-US"/>
                    </w:rPr>
                  </w:pPr>
                </w:p>
              </w:tc>
              <w:tc>
                <w:tcPr>
                  <w:tcW w:w="933" w:type="dxa"/>
                  <w:shd w:val="clear" w:color="auto" w:fill="auto"/>
                  <w:vAlign w:val="center"/>
                  <w:hideMark/>
                </w:tcPr>
                <w:p w14:paraId="57461130" w14:textId="77777777" w:rsidR="00162833" w:rsidRPr="00791D0F" w:rsidRDefault="00D50F94" w:rsidP="00162833">
                  <w:pPr>
                    <w:jc w:val="center"/>
                    <w:rPr>
                      <w:lang w:eastAsia="en-US"/>
                    </w:rPr>
                  </w:pPr>
                  <w:r>
                    <w:rPr>
                      <w:lang w:eastAsia="en-US"/>
                    </w:rPr>
                    <w:t>0</w:t>
                  </w:r>
                </w:p>
              </w:tc>
              <w:tc>
                <w:tcPr>
                  <w:tcW w:w="761" w:type="dxa"/>
                  <w:vMerge/>
                  <w:shd w:val="clear" w:color="auto" w:fill="auto"/>
                  <w:vAlign w:val="center"/>
                  <w:hideMark/>
                </w:tcPr>
                <w:p w14:paraId="57461131" w14:textId="77777777" w:rsidR="00162833" w:rsidRPr="00791D0F" w:rsidRDefault="00162833" w:rsidP="00162833">
                  <w:pPr>
                    <w:jc w:val="center"/>
                    <w:rPr>
                      <w:lang w:eastAsia="en-US"/>
                    </w:rPr>
                  </w:pPr>
                </w:p>
              </w:tc>
              <w:tc>
                <w:tcPr>
                  <w:tcW w:w="1105" w:type="dxa"/>
                  <w:shd w:val="clear" w:color="auto" w:fill="auto"/>
                  <w:vAlign w:val="center"/>
                  <w:hideMark/>
                </w:tcPr>
                <w:p w14:paraId="57461132"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33" w14:textId="77777777" w:rsidR="00162833" w:rsidRPr="00791D0F" w:rsidRDefault="00D50F94" w:rsidP="00162833">
                  <w:pPr>
                    <w:jc w:val="center"/>
                    <w:rPr>
                      <w:lang w:eastAsia="en-US"/>
                    </w:rPr>
                  </w:pPr>
                  <w:r>
                    <w:rPr>
                      <w:lang w:eastAsia="en-US"/>
                    </w:rPr>
                    <w:t>0</w:t>
                  </w:r>
                </w:p>
              </w:tc>
            </w:tr>
            <w:tr w:rsidR="00162833" w:rsidRPr="00791D0F" w14:paraId="5746113D" w14:textId="77777777" w:rsidTr="00CF5E1A">
              <w:trPr>
                <w:cantSplit/>
              </w:trPr>
              <w:tc>
                <w:tcPr>
                  <w:tcW w:w="2149" w:type="dxa"/>
                  <w:shd w:val="clear" w:color="auto" w:fill="auto"/>
                  <w:hideMark/>
                </w:tcPr>
                <w:p w14:paraId="57461135" w14:textId="77777777" w:rsidR="00162833" w:rsidRPr="00791D0F" w:rsidRDefault="00162833" w:rsidP="00162833">
                  <w:pPr>
                    <w:rPr>
                      <w:lang w:eastAsia="en-US"/>
                    </w:rPr>
                  </w:pPr>
                  <w:r w:rsidRPr="00791D0F">
                    <w:rPr>
                      <w:lang w:eastAsia="en-US"/>
                    </w:rPr>
                    <w:t>5.3. pašvaldību budžets</w:t>
                  </w:r>
                </w:p>
              </w:tc>
              <w:tc>
                <w:tcPr>
                  <w:tcW w:w="934" w:type="dxa"/>
                  <w:vMerge/>
                  <w:shd w:val="clear" w:color="auto" w:fill="auto"/>
                  <w:vAlign w:val="center"/>
                  <w:hideMark/>
                </w:tcPr>
                <w:p w14:paraId="57461136" w14:textId="77777777" w:rsidR="00162833" w:rsidRPr="00791D0F" w:rsidRDefault="00162833" w:rsidP="00162833">
                  <w:pPr>
                    <w:jc w:val="center"/>
                    <w:rPr>
                      <w:lang w:eastAsia="en-US"/>
                    </w:rPr>
                  </w:pPr>
                </w:p>
              </w:tc>
              <w:tc>
                <w:tcPr>
                  <w:tcW w:w="1199" w:type="dxa"/>
                  <w:shd w:val="clear" w:color="auto" w:fill="auto"/>
                  <w:vAlign w:val="center"/>
                  <w:hideMark/>
                </w:tcPr>
                <w:p w14:paraId="57461137" w14:textId="77777777" w:rsidR="00162833" w:rsidRPr="00791D0F" w:rsidRDefault="00D50F94" w:rsidP="00162833">
                  <w:pPr>
                    <w:jc w:val="center"/>
                    <w:rPr>
                      <w:lang w:eastAsia="en-US"/>
                    </w:rPr>
                  </w:pPr>
                  <w:r>
                    <w:rPr>
                      <w:lang w:eastAsia="en-US"/>
                    </w:rPr>
                    <w:t>0</w:t>
                  </w:r>
                </w:p>
              </w:tc>
              <w:tc>
                <w:tcPr>
                  <w:tcW w:w="934" w:type="dxa"/>
                  <w:vMerge/>
                  <w:shd w:val="clear" w:color="auto" w:fill="auto"/>
                  <w:vAlign w:val="center"/>
                  <w:hideMark/>
                </w:tcPr>
                <w:p w14:paraId="57461138" w14:textId="77777777" w:rsidR="00162833" w:rsidRPr="00791D0F" w:rsidRDefault="00162833" w:rsidP="00162833">
                  <w:pPr>
                    <w:jc w:val="center"/>
                    <w:rPr>
                      <w:lang w:eastAsia="en-US"/>
                    </w:rPr>
                  </w:pPr>
                </w:p>
              </w:tc>
              <w:tc>
                <w:tcPr>
                  <w:tcW w:w="933" w:type="dxa"/>
                  <w:shd w:val="clear" w:color="auto" w:fill="auto"/>
                  <w:vAlign w:val="center"/>
                  <w:hideMark/>
                </w:tcPr>
                <w:p w14:paraId="57461139" w14:textId="77777777" w:rsidR="00162833" w:rsidRPr="00791D0F" w:rsidRDefault="00D50F94" w:rsidP="00162833">
                  <w:pPr>
                    <w:jc w:val="center"/>
                    <w:rPr>
                      <w:lang w:eastAsia="en-US"/>
                    </w:rPr>
                  </w:pPr>
                  <w:r>
                    <w:rPr>
                      <w:lang w:eastAsia="en-US"/>
                    </w:rPr>
                    <w:t>0</w:t>
                  </w:r>
                </w:p>
              </w:tc>
              <w:tc>
                <w:tcPr>
                  <w:tcW w:w="761" w:type="dxa"/>
                  <w:vMerge/>
                  <w:shd w:val="clear" w:color="auto" w:fill="auto"/>
                  <w:vAlign w:val="center"/>
                  <w:hideMark/>
                </w:tcPr>
                <w:p w14:paraId="5746113A" w14:textId="77777777" w:rsidR="00162833" w:rsidRPr="00791D0F" w:rsidRDefault="00162833" w:rsidP="00162833">
                  <w:pPr>
                    <w:jc w:val="center"/>
                    <w:rPr>
                      <w:lang w:eastAsia="en-US"/>
                    </w:rPr>
                  </w:pPr>
                </w:p>
              </w:tc>
              <w:tc>
                <w:tcPr>
                  <w:tcW w:w="1105" w:type="dxa"/>
                  <w:shd w:val="clear" w:color="auto" w:fill="auto"/>
                  <w:vAlign w:val="center"/>
                  <w:hideMark/>
                </w:tcPr>
                <w:p w14:paraId="5746113B" w14:textId="77777777" w:rsidR="00162833" w:rsidRPr="00791D0F" w:rsidRDefault="00D50F94" w:rsidP="00162833">
                  <w:pPr>
                    <w:jc w:val="center"/>
                    <w:rPr>
                      <w:lang w:eastAsia="en-US"/>
                    </w:rPr>
                  </w:pPr>
                  <w:r>
                    <w:rPr>
                      <w:lang w:eastAsia="en-US"/>
                    </w:rPr>
                    <w:t>0</w:t>
                  </w:r>
                </w:p>
              </w:tc>
              <w:tc>
                <w:tcPr>
                  <w:tcW w:w="988" w:type="dxa"/>
                  <w:shd w:val="clear" w:color="auto" w:fill="auto"/>
                  <w:vAlign w:val="center"/>
                  <w:hideMark/>
                </w:tcPr>
                <w:p w14:paraId="5746113C" w14:textId="77777777" w:rsidR="00162833" w:rsidRPr="00791D0F" w:rsidRDefault="00D50F94" w:rsidP="00162833">
                  <w:pPr>
                    <w:jc w:val="center"/>
                    <w:rPr>
                      <w:lang w:eastAsia="en-US"/>
                    </w:rPr>
                  </w:pPr>
                  <w:r>
                    <w:rPr>
                      <w:lang w:eastAsia="en-US"/>
                    </w:rPr>
                    <w:t>0</w:t>
                  </w:r>
                </w:p>
              </w:tc>
            </w:tr>
            <w:tr w:rsidR="00162833" w:rsidRPr="00791D0F" w14:paraId="57461140" w14:textId="77777777" w:rsidTr="00643D7B">
              <w:trPr>
                <w:cantSplit/>
              </w:trPr>
              <w:tc>
                <w:tcPr>
                  <w:tcW w:w="2149" w:type="dxa"/>
                  <w:shd w:val="clear" w:color="auto" w:fill="auto"/>
                  <w:hideMark/>
                </w:tcPr>
                <w:p w14:paraId="5746113E" w14:textId="77777777" w:rsidR="00162833" w:rsidRPr="00791D0F" w:rsidRDefault="00162833" w:rsidP="00162833">
                  <w:pPr>
                    <w:rPr>
                      <w:lang w:eastAsia="en-US"/>
                    </w:rPr>
                  </w:pPr>
                  <w:r w:rsidRPr="00791D0F">
                    <w:rPr>
                      <w:lang w:eastAsia="en-US"/>
                    </w:rPr>
                    <w:t>6. Detalizēts ieņēmumu un izdevumu aprēķins (ja nepieciešams, detalizētu ieņēmumu un izdevumu aprēķinu var pievienot anotācijas pielikumā)</w:t>
                  </w:r>
                </w:p>
              </w:tc>
              <w:tc>
                <w:tcPr>
                  <w:tcW w:w="6854" w:type="dxa"/>
                  <w:gridSpan w:val="7"/>
                  <w:vMerge w:val="restart"/>
                  <w:shd w:val="clear" w:color="auto" w:fill="auto"/>
                  <w:vAlign w:val="center"/>
                  <w:hideMark/>
                </w:tcPr>
                <w:p w14:paraId="5746113F" w14:textId="77777777" w:rsidR="00162833" w:rsidRPr="00791D0F" w:rsidRDefault="00162833" w:rsidP="00162833">
                  <w:pPr>
                    <w:jc w:val="center"/>
                    <w:rPr>
                      <w:lang w:eastAsia="en-US"/>
                    </w:rPr>
                  </w:pPr>
                </w:p>
              </w:tc>
            </w:tr>
            <w:tr w:rsidR="00162833" w:rsidRPr="00791D0F" w14:paraId="57461143" w14:textId="77777777" w:rsidTr="00643D7B">
              <w:trPr>
                <w:cantSplit/>
              </w:trPr>
              <w:tc>
                <w:tcPr>
                  <w:tcW w:w="2149" w:type="dxa"/>
                  <w:shd w:val="clear" w:color="auto" w:fill="auto"/>
                  <w:hideMark/>
                </w:tcPr>
                <w:p w14:paraId="57461141" w14:textId="77777777" w:rsidR="00162833" w:rsidRPr="00791D0F" w:rsidRDefault="00162833" w:rsidP="00162833">
                  <w:pPr>
                    <w:rPr>
                      <w:lang w:eastAsia="en-US"/>
                    </w:rPr>
                  </w:pPr>
                  <w:r w:rsidRPr="00791D0F">
                    <w:rPr>
                      <w:lang w:eastAsia="en-US"/>
                    </w:rPr>
                    <w:t>6.1. detalizēts ieņēmumu aprēķins</w:t>
                  </w:r>
                </w:p>
              </w:tc>
              <w:tc>
                <w:tcPr>
                  <w:tcW w:w="6854" w:type="dxa"/>
                  <w:gridSpan w:val="7"/>
                  <w:vMerge/>
                  <w:shd w:val="clear" w:color="auto" w:fill="auto"/>
                  <w:vAlign w:val="center"/>
                  <w:hideMark/>
                </w:tcPr>
                <w:p w14:paraId="57461142" w14:textId="77777777" w:rsidR="00162833" w:rsidRPr="00791D0F" w:rsidRDefault="00162833" w:rsidP="00162833">
                  <w:pPr>
                    <w:jc w:val="center"/>
                    <w:rPr>
                      <w:lang w:eastAsia="en-US"/>
                    </w:rPr>
                  </w:pPr>
                </w:p>
              </w:tc>
            </w:tr>
            <w:tr w:rsidR="00162833" w:rsidRPr="00791D0F" w14:paraId="57461146" w14:textId="77777777" w:rsidTr="00643D7B">
              <w:trPr>
                <w:cantSplit/>
              </w:trPr>
              <w:tc>
                <w:tcPr>
                  <w:tcW w:w="2149" w:type="dxa"/>
                  <w:shd w:val="clear" w:color="auto" w:fill="auto"/>
                  <w:hideMark/>
                </w:tcPr>
                <w:p w14:paraId="57461144" w14:textId="77777777" w:rsidR="00162833" w:rsidRPr="00791D0F" w:rsidRDefault="00162833" w:rsidP="00162833">
                  <w:pPr>
                    <w:rPr>
                      <w:lang w:eastAsia="en-US"/>
                    </w:rPr>
                  </w:pPr>
                  <w:r w:rsidRPr="00791D0F">
                    <w:rPr>
                      <w:lang w:eastAsia="en-US"/>
                    </w:rPr>
                    <w:t>6.2. detalizēts izdevumu aprēķins</w:t>
                  </w:r>
                </w:p>
              </w:tc>
              <w:tc>
                <w:tcPr>
                  <w:tcW w:w="6854" w:type="dxa"/>
                  <w:gridSpan w:val="7"/>
                  <w:vMerge/>
                  <w:shd w:val="clear" w:color="auto" w:fill="auto"/>
                  <w:vAlign w:val="center"/>
                  <w:hideMark/>
                </w:tcPr>
                <w:p w14:paraId="57461145" w14:textId="77777777" w:rsidR="00162833" w:rsidRPr="00791D0F" w:rsidRDefault="00162833" w:rsidP="00162833">
                  <w:pPr>
                    <w:jc w:val="center"/>
                    <w:rPr>
                      <w:lang w:eastAsia="en-US"/>
                    </w:rPr>
                  </w:pPr>
                </w:p>
              </w:tc>
            </w:tr>
            <w:tr w:rsidR="00162833" w:rsidRPr="00791D0F" w14:paraId="57461149" w14:textId="77777777" w:rsidTr="00643D7B">
              <w:trPr>
                <w:cantSplit/>
              </w:trPr>
              <w:tc>
                <w:tcPr>
                  <w:tcW w:w="2149" w:type="dxa"/>
                  <w:shd w:val="clear" w:color="auto" w:fill="auto"/>
                  <w:hideMark/>
                </w:tcPr>
                <w:p w14:paraId="57461147" w14:textId="77777777" w:rsidR="00162833" w:rsidRPr="00791D0F" w:rsidRDefault="00162833" w:rsidP="00162833">
                  <w:pPr>
                    <w:rPr>
                      <w:lang w:eastAsia="en-US"/>
                    </w:rPr>
                  </w:pPr>
                  <w:r w:rsidRPr="00791D0F">
                    <w:rPr>
                      <w:lang w:eastAsia="en-US"/>
                    </w:rPr>
                    <w:t>7. Amata vietu skaita izmaiņas</w:t>
                  </w:r>
                </w:p>
              </w:tc>
              <w:tc>
                <w:tcPr>
                  <w:tcW w:w="6854" w:type="dxa"/>
                  <w:gridSpan w:val="7"/>
                  <w:shd w:val="clear" w:color="auto" w:fill="auto"/>
                  <w:hideMark/>
                </w:tcPr>
                <w:p w14:paraId="57461148" w14:textId="77777777" w:rsidR="00162833" w:rsidRPr="00791D0F" w:rsidRDefault="001B11DD" w:rsidP="00162833">
                  <w:pPr>
                    <w:rPr>
                      <w:lang w:eastAsia="en-US"/>
                    </w:rPr>
                  </w:pPr>
                  <w:r>
                    <w:rPr>
                      <w:lang w:eastAsia="en-US"/>
                    </w:rPr>
                    <w:t>Nav paredzētas.</w:t>
                  </w:r>
                </w:p>
              </w:tc>
            </w:tr>
            <w:tr w:rsidR="00162833" w:rsidRPr="00791D0F" w14:paraId="5746114F" w14:textId="77777777" w:rsidTr="00643D7B">
              <w:trPr>
                <w:cantSplit/>
              </w:trPr>
              <w:tc>
                <w:tcPr>
                  <w:tcW w:w="2149" w:type="dxa"/>
                  <w:shd w:val="clear" w:color="auto" w:fill="auto"/>
                  <w:hideMark/>
                </w:tcPr>
                <w:p w14:paraId="5746114A" w14:textId="77777777" w:rsidR="00162833" w:rsidRPr="00791D0F" w:rsidRDefault="00162833" w:rsidP="00162833">
                  <w:pPr>
                    <w:rPr>
                      <w:lang w:eastAsia="en-US"/>
                    </w:rPr>
                  </w:pPr>
                  <w:r w:rsidRPr="00791D0F">
                    <w:rPr>
                      <w:lang w:eastAsia="en-US"/>
                    </w:rPr>
                    <w:t>8. Cita informācija</w:t>
                  </w:r>
                </w:p>
              </w:tc>
              <w:tc>
                <w:tcPr>
                  <w:tcW w:w="6854" w:type="dxa"/>
                  <w:gridSpan w:val="7"/>
                  <w:shd w:val="clear" w:color="auto" w:fill="auto"/>
                  <w:hideMark/>
                </w:tcPr>
                <w:p w14:paraId="5746114B" w14:textId="77777777" w:rsidR="00162833" w:rsidRDefault="00791D0F" w:rsidP="00385D7D">
                  <w:pPr>
                    <w:jc w:val="both"/>
                    <w:rPr>
                      <w:lang w:eastAsia="en-US"/>
                    </w:rPr>
                  </w:pPr>
                  <w:r w:rsidRPr="00791D0F">
                    <w:rPr>
                      <w:lang w:eastAsia="en-US"/>
                    </w:rPr>
                    <w:t xml:space="preserve">Likumprojektā minētā jauna tipa personas apliecības – ārzemnieka </w:t>
                  </w:r>
                  <w:proofErr w:type="spellStart"/>
                  <w:r w:rsidR="00D67F05">
                    <w:rPr>
                      <w:lang w:eastAsia="en-US"/>
                    </w:rPr>
                    <w:t>eID</w:t>
                  </w:r>
                  <w:proofErr w:type="spellEnd"/>
                  <w:r w:rsidR="00D67F05">
                    <w:rPr>
                      <w:lang w:eastAsia="en-US"/>
                    </w:rPr>
                    <w:t xml:space="preserve"> kartes</w:t>
                  </w:r>
                  <w:r w:rsidRPr="00791D0F">
                    <w:rPr>
                      <w:lang w:eastAsia="en-US"/>
                    </w:rPr>
                    <w:t xml:space="preserve"> ieviešanas ietekme uz valsts budžetu jau ir tikusi izvērtēta </w:t>
                  </w:r>
                  <w:r w:rsidR="00385D7D" w:rsidRPr="002A7EC2">
                    <w:rPr>
                      <w:lang w:eastAsia="en-US"/>
                    </w:rPr>
                    <w:t>2016.gada 1</w:t>
                  </w:r>
                  <w:r w:rsidR="00D91EE6">
                    <w:rPr>
                      <w:lang w:eastAsia="en-US"/>
                    </w:rPr>
                    <w:t>1</w:t>
                  </w:r>
                  <w:r w:rsidR="00385D7D" w:rsidRPr="002A7EC2">
                    <w:rPr>
                      <w:lang w:eastAsia="en-US"/>
                    </w:rPr>
                    <w:t xml:space="preserve">.augustā (Ministru kabineta 2016.gada 11.augusta rīkojums Nr.439) </w:t>
                  </w:r>
                  <w:r w:rsidRPr="002A7EC2">
                    <w:rPr>
                      <w:lang w:eastAsia="en-US"/>
                    </w:rPr>
                    <w:t xml:space="preserve">un Pilsonības un migrācijas lietu pārvalde iepirkuma rezultātā </w:t>
                  </w:r>
                  <w:r w:rsidR="00C7373D" w:rsidRPr="002A7EC2">
                    <w:rPr>
                      <w:lang w:eastAsia="en-US"/>
                    </w:rPr>
                    <w:t xml:space="preserve">2018.gadā </w:t>
                  </w:r>
                  <w:r w:rsidRPr="002A7EC2">
                    <w:rPr>
                      <w:lang w:eastAsia="en-US"/>
                    </w:rPr>
                    <w:t xml:space="preserve">ir noslēgusi līgumu ar </w:t>
                  </w:r>
                  <w:proofErr w:type="spellStart"/>
                  <w:r w:rsidR="00D67F05" w:rsidRPr="002A7EC2">
                    <w:rPr>
                      <w:lang w:eastAsia="en-US"/>
                    </w:rPr>
                    <w:t>eID</w:t>
                  </w:r>
                  <w:proofErr w:type="spellEnd"/>
                  <w:r w:rsidR="00D67F05" w:rsidRPr="002A7EC2">
                    <w:rPr>
                      <w:lang w:eastAsia="en-US"/>
                    </w:rPr>
                    <w:t xml:space="preserve"> karšu</w:t>
                  </w:r>
                  <w:r w:rsidRPr="002A7EC2">
                    <w:rPr>
                      <w:lang w:eastAsia="en-US"/>
                    </w:rPr>
                    <w:t xml:space="preserve"> sagatavju ražotāju;   ārzemnieka </w:t>
                  </w:r>
                  <w:proofErr w:type="spellStart"/>
                  <w:r w:rsidR="00D67F05" w:rsidRPr="002A7EC2">
                    <w:rPr>
                      <w:lang w:eastAsia="en-US"/>
                    </w:rPr>
                    <w:t>eID</w:t>
                  </w:r>
                  <w:proofErr w:type="spellEnd"/>
                  <w:r w:rsidR="00D67F05" w:rsidRPr="002A7EC2">
                    <w:rPr>
                      <w:lang w:eastAsia="en-US"/>
                    </w:rPr>
                    <w:t xml:space="preserve"> karšu</w:t>
                  </w:r>
                  <w:r w:rsidRPr="002A7EC2">
                    <w:rPr>
                      <w:lang w:eastAsia="en-US"/>
                    </w:rPr>
                    <w:t xml:space="preserve"> sagataves jau ir tikušas sagādātas un pienesums valsts budžetam attiecībā uz ieņēmumiem no valsts nodevas par ārzemnieka </w:t>
                  </w:r>
                  <w:proofErr w:type="spellStart"/>
                  <w:r w:rsidR="00D67F05" w:rsidRPr="002A7EC2">
                    <w:rPr>
                      <w:lang w:eastAsia="en-US"/>
                    </w:rPr>
                    <w:t>eID</w:t>
                  </w:r>
                  <w:proofErr w:type="spellEnd"/>
                  <w:r w:rsidR="00D67F05" w:rsidRPr="002A7EC2">
                    <w:rPr>
                      <w:lang w:eastAsia="en-US"/>
                    </w:rPr>
                    <w:t xml:space="preserve"> karšu</w:t>
                  </w:r>
                  <w:r w:rsidRPr="002A7EC2">
                    <w:rPr>
                      <w:lang w:eastAsia="en-US"/>
                    </w:rPr>
                    <w:t xml:space="preserve"> izsniegšanu, ir </w:t>
                  </w:r>
                  <w:r w:rsidR="000968F5" w:rsidRPr="002A7EC2">
                    <w:rPr>
                      <w:lang w:eastAsia="en-US"/>
                    </w:rPr>
                    <w:t xml:space="preserve">ticis </w:t>
                  </w:r>
                  <w:r w:rsidRPr="002A7EC2">
                    <w:rPr>
                      <w:lang w:eastAsia="en-US"/>
                    </w:rPr>
                    <w:t xml:space="preserve">aprēķināts un iekļauts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w:t>
                  </w:r>
                  <w:r w:rsidR="000968F5" w:rsidRPr="002A7EC2">
                    <w:rPr>
                      <w:lang w:eastAsia="en-US"/>
                    </w:rPr>
                    <w:t>izdevumu</w:t>
                  </w:r>
                  <w:r w:rsidRPr="002A7EC2">
                    <w:rPr>
                      <w:lang w:eastAsia="en-US"/>
                    </w:rPr>
                    <w:t xml:space="preserve"> un </w:t>
                  </w:r>
                  <w:r w:rsidR="000968F5" w:rsidRPr="002A7EC2">
                    <w:rPr>
                      <w:lang w:eastAsia="en-US"/>
                    </w:rPr>
                    <w:t>ieņēmumu</w:t>
                  </w:r>
                  <w:r w:rsidRPr="002A7EC2">
                    <w:rPr>
                      <w:lang w:eastAsia="en-US"/>
                    </w:rPr>
                    <w:t xml:space="preserve"> aprēķ</w:t>
                  </w:r>
                  <w:r w:rsidR="00385D7D" w:rsidRPr="002A7EC2">
                    <w:rPr>
                      <w:lang w:eastAsia="en-US"/>
                    </w:rPr>
                    <w:t xml:space="preserve">inos 2021., 2022. un 2023.gadam, vērtējot, ka valsts nodeva par personas apliecības izsniegšanu ir 14.23 </w:t>
                  </w:r>
                  <w:proofErr w:type="spellStart"/>
                  <w:r w:rsidR="00385D7D" w:rsidRPr="002A7EC2">
                    <w:rPr>
                      <w:lang w:eastAsia="en-US"/>
                    </w:rPr>
                    <w:t>euro</w:t>
                  </w:r>
                  <w:proofErr w:type="spellEnd"/>
                  <w:r w:rsidR="00393DF4" w:rsidRPr="002A7EC2">
                    <w:rPr>
                      <w:lang w:eastAsia="en-US"/>
                    </w:rPr>
                    <w:t xml:space="preserve"> atbilstoši Ministru kabineta 2012.gada 21.februāra noteikumos Nr.133 “Noteikumi par valsts nodevu par personu apliecinošu dokumentu izsniegšanu” </w:t>
                  </w:r>
                  <w:r w:rsidR="009E28F8" w:rsidRPr="002A7EC2">
                    <w:rPr>
                      <w:lang w:eastAsia="en-US"/>
                    </w:rPr>
                    <w:t xml:space="preserve">tajā brīdī spēkā esošajā redakcijā </w:t>
                  </w:r>
                  <w:r w:rsidR="00393DF4" w:rsidRPr="002A7EC2">
                    <w:rPr>
                      <w:lang w:eastAsia="en-US"/>
                    </w:rPr>
                    <w:t xml:space="preserve">noteiktajam. </w:t>
                  </w:r>
                </w:p>
                <w:p w14:paraId="5746114C" w14:textId="77777777" w:rsidR="00B44845" w:rsidRDefault="00E734A1" w:rsidP="00385D7D">
                  <w:pPr>
                    <w:jc w:val="both"/>
                    <w:rPr>
                      <w:lang w:eastAsia="en-US"/>
                    </w:rPr>
                  </w:pPr>
                  <w:r>
                    <w:rPr>
                      <w:lang w:eastAsia="en-US"/>
                    </w:rPr>
                    <w:t>Ā</w:t>
                  </w:r>
                  <w:r w:rsidRPr="00E734A1">
                    <w:rPr>
                      <w:lang w:eastAsia="en-US"/>
                    </w:rPr>
                    <w:t xml:space="preserve">rzemnieka </w:t>
                  </w:r>
                  <w:proofErr w:type="spellStart"/>
                  <w:r w:rsidRPr="00E734A1">
                    <w:rPr>
                      <w:lang w:eastAsia="en-US"/>
                    </w:rPr>
                    <w:t>eID</w:t>
                  </w:r>
                  <w:proofErr w:type="spellEnd"/>
                  <w:r w:rsidRPr="00E734A1">
                    <w:rPr>
                      <w:lang w:eastAsia="en-US"/>
                    </w:rPr>
                    <w:t xml:space="preserve"> karte likumprojektā nav noteikta kā obligāts personu apliecinošs dokuments (tās saņem</w:t>
                  </w:r>
                  <w:r>
                    <w:rPr>
                      <w:lang w:eastAsia="en-US"/>
                    </w:rPr>
                    <w:t>šana būs personas brīva izvēle).</w:t>
                  </w:r>
                  <w:r w:rsidRPr="00E734A1">
                    <w:rPr>
                      <w:lang w:eastAsia="en-US"/>
                    </w:rPr>
                    <w:t xml:space="preserve"> </w:t>
                  </w:r>
                  <w:r w:rsidR="00B44845">
                    <w:rPr>
                      <w:lang w:eastAsia="en-US"/>
                    </w:rPr>
                    <w:t>P</w:t>
                  </w:r>
                  <w:r w:rsidR="00B44845" w:rsidRPr="00B44845">
                    <w:rPr>
                      <w:lang w:eastAsia="en-US"/>
                    </w:rPr>
                    <w:t xml:space="preserve">ieteikumu ārzemnieku </w:t>
                  </w:r>
                  <w:proofErr w:type="spellStart"/>
                  <w:r w:rsidR="00B44845" w:rsidRPr="00B44845">
                    <w:rPr>
                      <w:lang w:eastAsia="en-US"/>
                    </w:rPr>
                    <w:t>eID</w:t>
                  </w:r>
                  <w:proofErr w:type="spellEnd"/>
                  <w:r w:rsidR="00B44845" w:rsidRPr="00B44845">
                    <w:rPr>
                      <w:lang w:eastAsia="en-US"/>
                    </w:rPr>
                    <w:t xml:space="preserve"> karšu noformēšanai un izsniegšanai tiks izmantots tas pats tehniskais un darbaspēka resurss, kas tiek izmantots patlaban personu apliecinošo dokumen</w:t>
                  </w:r>
                  <w:r w:rsidR="00B44845">
                    <w:rPr>
                      <w:lang w:eastAsia="en-US"/>
                    </w:rPr>
                    <w:t>tu noformēšanai un izsniegšanai.</w:t>
                  </w:r>
                  <w:r w:rsidR="00B44845" w:rsidRPr="00B44845">
                    <w:rPr>
                      <w:lang w:eastAsia="en-US"/>
                    </w:rPr>
                    <w:t xml:space="preserve"> </w:t>
                  </w:r>
                </w:p>
                <w:p w14:paraId="5746114D" w14:textId="77777777" w:rsidR="00B44845" w:rsidRDefault="00B44845" w:rsidP="00385D7D">
                  <w:pPr>
                    <w:jc w:val="both"/>
                    <w:rPr>
                      <w:lang w:eastAsia="en-US"/>
                    </w:rPr>
                  </w:pPr>
                  <w:r>
                    <w:rPr>
                      <w:lang w:eastAsia="en-US"/>
                    </w:rPr>
                    <w:t xml:space="preserve">Ņemot vērā, ka </w:t>
                  </w:r>
                  <w:r w:rsidRPr="00B44845">
                    <w:rPr>
                      <w:lang w:eastAsia="en-US"/>
                    </w:rPr>
                    <w:t>jebkādas iespējas palielināt minētos resursus gan pārvaldei, gan Latvijas pārstāvniecībām, kuras atrodas ārpus</w:t>
                  </w:r>
                  <w:r w:rsidR="00E734A1">
                    <w:rPr>
                      <w:lang w:eastAsia="en-US"/>
                    </w:rPr>
                    <w:t xml:space="preserve"> Šengenas zonas, ir ierobežotas</w:t>
                  </w:r>
                  <w:r w:rsidRPr="00B44845">
                    <w:rPr>
                      <w:lang w:eastAsia="en-US"/>
                    </w:rPr>
                    <w:t xml:space="preserve"> un lai jauna personas apliecības tipa – ārzemnieka </w:t>
                  </w:r>
                  <w:proofErr w:type="spellStart"/>
                  <w:r w:rsidRPr="00B44845">
                    <w:rPr>
                      <w:lang w:eastAsia="en-US"/>
                    </w:rPr>
                    <w:t>eID</w:t>
                  </w:r>
                  <w:proofErr w:type="spellEnd"/>
                  <w:r w:rsidRPr="00B44845">
                    <w:rPr>
                      <w:lang w:eastAsia="en-US"/>
                    </w:rPr>
                    <w:t xml:space="preserve"> kartes ieviešana nesamazinātu būtisku pakalpojumu pieejamī</w:t>
                  </w:r>
                  <w:r w:rsidR="00E734A1">
                    <w:rPr>
                      <w:lang w:eastAsia="en-US"/>
                    </w:rPr>
                    <w:t xml:space="preserve">bu Latvijas </w:t>
                  </w:r>
                  <w:proofErr w:type="spellStart"/>
                  <w:r w:rsidR="00E734A1">
                    <w:rPr>
                      <w:lang w:eastAsia="en-US"/>
                    </w:rPr>
                    <w:t>valstspiederīgajiem</w:t>
                  </w:r>
                  <w:proofErr w:type="spellEnd"/>
                  <w:r w:rsidR="00E734A1">
                    <w:rPr>
                      <w:lang w:eastAsia="en-US"/>
                    </w:rPr>
                    <w:t xml:space="preserve">, </w:t>
                  </w:r>
                  <w:r w:rsidR="00E734A1" w:rsidRPr="00E734A1">
                    <w:rPr>
                      <w:lang w:eastAsia="en-US"/>
                    </w:rPr>
                    <w:t xml:space="preserve">plānots noteikt valsts nodevu par ārzemnieka </w:t>
                  </w:r>
                  <w:proofErr w:type="spellStart"/>
                  <w:r w:rsidR="00E734A1" w:rsidRPr="00E734A1">
                    <w:rPr>
                      <w:lang w:eastAsia="en-US"/>
                    </w:rPr>
                    <w:t>eID</w:t>
                  </w:r>
                  <w:proofErr w:type="spellEnd"/>
                  <w:r w:rsidR="00E734A1" w:rsidRPr="00E734A1">
                    <w:rPr>
                      <w:lang w:eastAsia="en-US"/>
                    </w:rPr>
                    <w:t xml:space="preserve"> kartes izsniegšanu 80 </w:t>
                  </w:r>
                  <w:proofErr w:type="spellStart"/>
                  <w:r w:rsidR="00E734A1" w:rsidRPr="00E734A1">
                    <w:rPr>
                      <w:lang w:eastAsia="en-US"/>
                    </w:rPr>
                    <w:t>euro</w:t>
                  </w:r>
                  <w:proofErr w:type="spellEnd"/>
                  <w:r w:rsidR="00E734A1" w:rsidRPr="00E734A1">
                    <w:rPr>
                      <w:lang w:eastAsia="en-US"/>
                    </w:rPr>
                    <w:t xml:space="preserve"> apmērā</w:t>
                  </w:r>
                  <w:r w:rsidR="00E734A1">
                    <w:rPr>
                      <w:lang w:eastAsia="en-US"/>
                    </w:rPr>
                    <w:t xml:space="preserve">. </w:t>
                  </w:r>
                  <w:r w:rsidR="0046338E" w:rsidRPr="0046338E">
                    <w:rPr>
                      <w:lang w:eastAsia="en-US"/>
                    </w:rPr>
                    <w:t xml:space="preserve">Tādējādi veicinot personas pārdomāt nepieciešamību iegūt ārzemnieka </w:t>
                  </w:r>
                  <w:proofErr w:type="spellStart"/>
                  <w:r w:rsidR="0046338E" w:rsidRPr="0046338E">
                    <w:rPr>
                      <w:lang w:eastAsia="en-US"/>
                    </w:rPr>
                    <w:t>eID</w:t>
                  </w:r>
                  <w:proofErr w:type="spellEnd"/>
                  <w:r w:rsidR="0046338E" w:rsidRPr="0046338E">
                    <w:rPr>
                      <w:lang w:eastAsia="en-US"/>
                    </w:rPr>
                    <w:t xml:space="preserve"> karti un ierobežojot nepamatotu pieteikumu saņemšanu, tādā veidā atslogojot valsts iestāžu administratīvos resursus.</w:t>
                  </w:r>
                </w:p>
                <w:p w14:paraId="5746114E" w14:textId="77777777" w:rsidR="00E01BD3" w:rsidRPr="00791D0F" w:rsidRDefault="00B44845" w:rsidP="00CA0AA6">
                  <w:pPr>
                    <w:jc w:val="both"/>
                    <w:rPr>
                      <w:lang w:eastAsia="en-US"/>
                    </w:rPr>
                  </w:pPr>
                  <w:r>
                    <w:rPr>
                      <w:lang w:eastAsia="en-US"/>
                    </w:rPr>
                    <w:t>Ņemot vērā</w:t>
                  </w:r>
                  <w:r w:rsidR="00E01BD3" w:rsidRPr="002A7EC2">
                    <w:rPr>
                      <w:lang w:eastAsia="en-US"/>
                    </w:rPr>
                    <w:t xml:space="preserve"> </w:t>
                  </w:r>
                  <w:r>
                    <w:rPr>
                      <w:lang w:eastAsia="en-US"/>
                    </w:rPr>
                    <w:t>minēto</w:t>
                  </w:r>
                  <w:r w:rsidR="00543A34" w:rsidRPr="002A7EC2">
                    <w:rPr>
                      <w:lang w:eastAsia="en-US"/>
                    </w:rPr>
                    <w:t xml:space="preserve">, </w:t>
                  </w:r>
                  <w:r w:rsidR="00D23BC5" w:rsidRPr="002A7EC2">
                    <w:rPr>
                      <w:lang w:eastAsia="en-US"/>
                    </w:rPr>
                    <w:t>Pilsonības un migrācijas lietu p</w:t>
                  </w:r>
                  <w:r w:rsidR="00DE16AE" w:rsidRPr="002A7EC2">
                    <w:rPr>
                      <w:lang w:eastAsia="en-US"/>
                    </w:rPr>
                    <w:t>ārvaldē</w:t>
                  </w:r>
                  <w:r w:rsidR="00D23BC5" w:rsidRPr="002A7EC2">
                    <w:rPr>
                      <w:lang w:eastAsia="en-US"/>
                    </w:rPr>
                    <w:t xml:space="preserve"> </w:t>
                  </w:r>
                  <w:r w:rsidR="00543A34" w:rsidRPr="002A7EC2">
                    <w:rPr>
                      <w:lang w:eastAsia="en-US"/>
                    </w:rPr>
                    <w:t>tiek izstrād</w:t>
                  </w:r>
                  <w:r w:rsidR="00DE16AE" w:rsidRPr="002A7EC2">
                    <w:rPr>
                      <w:lang w:eastAsia="en-US"/>
                    </w:rPr>
                    <w:t>āti</w:t>
                  </w:r>
                  <w:r w:rsidR="00543A34" w:rsidRPr="002A7EC2">
                    <w:rPr>
                      <w:lang w:eastAsia="en-US"/>
                    </w:rPr>
                    <w:t xml:space="preserve"> groz</w:t>
                  </w:r>
                  <w:r w:rsidR="00DE16AE" w:rsidRPr="002A7EC2">
                    <w:rPr>
                      <w:lang w:eastAsia="en-US"/>
                    </w:rPr>
                    <w:t xml:space="preserve">ījumi </w:t>
                  </w:r>
                  <w:r w:rsidR="00543A34" w:rsidRPr="002A7EC2">
                    <w:rPr>
                      <w:lang w:eastAsia="en-US"/>
                    </w:rPr>
                    <w:t xml:space="preserve">Ministru kabineta 2012.gada 21.februāra noteikumos Nr.133 “Noteikumi par valsts nodevu par personu apliecinošu dokumentu izsniegšanu” </w:t>
                  </w:r>
                  <w:r w:rsidR="00C04251" w:rsidRPr="002A7EC2">
                    <w:rPr>
                      <w:lang w:eastAsia="en-US"/>
                    </w:rPr>
                    <w:t>(turpmāk - Noteikumi Nr.133)</w:t>
                  </w:r>
                  <w:r w:rsidR="00CA0AA6">
                    <w:rPr>
                      <w:lang w:eastAsia="en-US"/>
                    </w:rPr>
                    <w:t>.</w:t>
                  </w:r>
                  <w:r w:rsidR="00543A34" w:rsidRPr="002A7EC2">
                    <w:rPr>
                      <w:lang w:eastAsia="en-US"/>
                    </w:rPr>
                    <w:t xml:space="preserve"> </w:t>
                  </w:r>
                  <w:r w:rsidR="00972237" w:rsidRPr="002A7EC2">
                    <w:rPr>
                      <w:lang w:eastAsia="en-US"/>
                    </w:rPr>
                    <w:t xml:space="preserve">Izvērsts paskaidrojums un aprēķins tiks </w:t>
                  </w:r>
                  <w:r w:rsidR="00347F37" w:rsidRPr="002A7EC2">
                    <w:rPr>
                      <w:lang w:eastAsia="en-US"/>
                    </w:rPr>
                    <w:t>atspoguļots</w:t>
                  </w:r>
                  <w:r w:rsidR="00972237" w:rsidRPr="002A7EC2">
                    <w:rPr>
                      <w:lang w:eastAsia="en-US"/>
                    </w:rPr>
                    <w:t xml:space="preserve"> grozījumu Noteikumos Nr.133 sākotnējās ietekmes novērtējuma ziņojuma (anotācijas) III sadaļ</w:t>
                  </w:r>
                  <w:r w:rsidR="00347F37" w:rsidRPr="002A7EC2">
                    <w:rPr>
                      <w:lang w:eastAsia="en-US"/>
                    </w:rPr>
                    <w:t>ā “Tiesību akta projekta ietekme uz valsts budžetu un pašvaldību budžetiem”.</w:t>
                  </w:r>
                  <w:r w:rsidR="00347F37">
                    <w:rPr>
                      <w:lang w:eastAsia="en-US"/>
                    </w:rPr>
                    <w:t xml:space="preserve"> </w:t>
                  </w:r>
                </w:p>
              </w:tc>
            </w:tr>
          </w:tbl>
          <w:p w14:paraId="57461150" w14:textId="77777777" w:rsidR="00162833" w:rsidRPr="00EE2097" w:rsidRDefault="00162833" w:rsidP="00162833">
            <w:pPr>
              <w:jc w:val="center"/>
              <w:rPr>
                <w:b/>
                <w:bCs/>
                <w:lang w:eastAsia="en-US"/>
              </w:rPr>
            </w:pPr>
          </w:p>
        </w:tc>
      </w:tr>
    </w:tbl>
    <w:p w14:paraId="57461152" w14:textId="77777777" w:rsidR="004E4FD2" w:rsidRDefault="004E4FD2" w:rsidP="004E4FD2"/>
    <w:p w14:paraId="57461153" w14:textId="77777777" w:rsidR="00643D7B" w:rsidRPr="00EE2097" w:rsidRDefault="00643D7B" w:rsidP="004E4FD2"/>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4E4FD2" w:rsidRPr="00EE2097" w14:paraId="57461155" w14:textId="77777777" w:rsidTr="00DB7D1D">
        <w:trPr>
          <w:cantSplit/>
        </w:trPr>
        <w:tc>
          <w:tcPr>
            <w:tcW w:w="9065" w:type="dxa"/>
            <w:vAlign w:val="center"/>
            <w:hideMark/>
          </w:tcPr>
          <w:p w14:paraId="57461154" w14:textId="77777777" w:rsidR="004E4FD2" w:rsidRPr="00EE2097" w:rsidRDefault="004E4FD2" w:rsidP="00DB7D1D">
            <w:pPr>
              <w:jc w:val="center"/>
              <w:rPr>
                <w:b/>
                <w:bCs/>
              </w:rPr>
            </w:pPr>
            <w:r w:rsidRPr="00EE2097">
              <w:rPr>
                <w:b/>
                <w:bCs/>
              </w:rPr>
              <w:t>IV. Tiesību akta projekta ietekme uz spēkā esošo tiesību normu sistēmu</w:t>
            </w:r>
          </w:p>
        </w:tc>
      </w:tr>
      <w:tr w:rsidR="004E4FD2" w:rsidRPr="00EE2097" w14:paraId="57461157" w14:textId="77777777" w:rsidTr="00DB7D1D">
        <w:trPr>
          <w:cantSplit/>
          <w:trHeight w:val="288"/>
        </w:trPr>
        <w:tc>
          <w:tcPr>
            <w:tcW w:w="9065" w:type="dxa"/>
          </w:tcPr>
          <w:p w14:paraId="57461156" w14:textId="77777777" w:rsidR="004E4FD2" w:rsidRPr="00EE2097" w:rsidRDefault="00E07ACC" w:rsidP="00DB7D1D">
            <w:pPr>
              <w:jc w:val="center"/>
            </w:pPr>
            <w:r>
              <w:t>Projekts šo jomu neskar</w:t>
            </w:r>
            <w:r w:rsidR="00E82807">
              <w:t>.</w:t>
            </w:r>
          </w:p>
        </w:tc>
      </w:tr>
    </w:tbl>
    <w:p w14:paraId="57461158" w14:textId="77777777"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4E4FD2" w:rsidRPr="00EE2097" w14:paraId="5746115A" w14:textId="77777777" w:rsidTr="00DB7D1D">
        <w:trPr>
          <w:cantSplit/>
        </w:trPr>
        <w:tc>
          <w:tcPr>
            <w:tcW w:w="5000" w:type="pct"/>
            <w:vAlign w:val="center"/>
            <w:hideMark/>
          </w:tcPr>
          <w:p w14:paraId="57461159" w14:textId="77777777" w:rsidR="004E4FD2" w:rsidRPr="00EE2097" w:rsidRDefault="004E4FD2" w:rsidP="00DB7D1D">
            <w:pPr>
              <w:jc w:val="center"/>
              <w:rPr>
                <w:b/>
                <w:bCs/>
              </w:rPr>
            </w:pPr>
            <w:r w:rsidRPr="00EE2097">
              <w:rPr>
                <w:b/>
                <w:bCs/>
              </w:rPr>
              <w:t>V. Tiesību akta projekta atbilstība Latvijas Republikas starptautiskajām saistībām</w:t>
            </w:r>
          </w:p>
        </w:tc>
      </w:tr>
      <w:tr w:rsidR="004E4FD2" w:rsidRPr="00EE2097" w14:paraId="5746115C" w14:textId="77777777" w:rsidTr="00DB7D1D">
        <w:trPr>
          <w:cantSplit/>
          <w:trHeight w:val="162"/>
        </w:trPr>
        <w:tc>
          <w:tcPr>
            <w:tcW w:w="5000" w:type="pct"/>
          </w:tcPr>
          <w:p w14:paraId="5746115B" w14:textId="77777777" w:rsidR="004E4FD2" w:rsidRPr="00EE2097" w:rsidRDefault="00E07ACC" w:rsidP="00DB7D1D">
            <w:pPr>
              <w:jc w:val="center"/>
            </w:pPr>
            <w:r>
              <w:t>Projekts šo jomu neskar</w:t>
            </w:r>
            <w:r w:rsidR="00E82807">
              <w:t>.</w:t>
            </w:r>
          </w:p>
        </w:tc>
      </w:tr>
    </w:tbl>
    <w:p w14:paraId="5746115D" w14:textId="77777777"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14:paraId="5746115F" w14:textId="77777777" w:rsidTr="008D1D58">
        <w:tc>
          <w:tcPr>
            <w:tcW w:w="5000" w:type="pct"/>
            <w:gridSpan w:val="3"/>
            <w:vAlign w:val="center"/>
            <w:hideMark/>
          </w:tcPr>
          <w:p w14:paraId="5746115E" w14:textId="77777777" w:rsidR="004E4FD2" w:rsidRPr="00EE2097" w:rsidRDefault="004E4FD2" w:rsidP="00DB7D1D">
            <w:pPr>
              <w:jc w:val="center"/>
              <w:rPr>
                <w:b/>
                <w:bCs/>
              </w:rPr>
            </w:pPr>
            <w:r w:rsidRPr="00EE2097">
              <w:rPr>
                <w:b/>
                <w:bCs/>
              </w:rPr>
              <w:t>VI. Sabiedrības līdzdalība un komunikācijas aktivitātes</w:t>
            </w:r>
          </w:p>
        </w:tc>
      </w:tr>
      <w:tr w:rsidR="004E4FD2" w:rsidRPr="00EE2097" w14:paraId="57461163" w14:textId="77777777" w:rsidTr="008D1D58">
        <w:tc>
          <w:tcPr>
            <w:tcW w:w="311" w:type="pct"/>
            <w:hideMark/>
          </w:tcPr>
          <w:p w14:paraId="57461160" w14:textId="77777777" w:rsidR="004E4FD2" w:rsidRPr="00EE2097" w:rsidRDefault="004E4FD2" w:rsidP="00DB7D1D">
            <w:pPr>
              <w:jc w:val="center"/>
            </w:pPr>
            <w:r w:rsidRPr="00EE2097">
              <w:t>1.</w:t>
            </w:r>
          </w:p>
        </w:tc>
        <w:tc>
          <w:tcPr>
            <w:tcW w:w="1479" w:type="pct"/>
            <w:hideMark/>
          </w:tcPr>
          <w:p w14:paraId="57461161" w14:textId="77777777" w:rsidR="004E4FD2" w:rsidRPr="00EE2097" w:rsidRDefault="004E4FD2" w:rsidP="00DB7D1D">
            <w:r w:rsidRPr="00EE2097">
              <w:t>Plānotās sabiedrības līdzdalības un komunikācijas aktivitātes saistībā ar projektu</w:t>
            </w:r>
          </w:p>
        </w:tc>
        <w:tc>
          <w:tcPr>
            <w:tcW w:w="3210" w:type="pct"/>
            <w:hideMark/>
          </w:tcPr>
          <w:p w14:paraId="57461162" w14:textId="77777777" w:rsidR="004E4FD2" w:rsidRPr="00EE2097" w:rsidRDefault="00E82807" w:rsidP="00F0287C">
            <w:pPr>
              <w:jc w:val="both"/>
            </w:pPr>
            <w:r>
              <w:rPr>
                <w:color w:val="000000" w:themeColor="text1"/>
              </w:rPr>
              <w:t xml:space="preserve">Atbilstoši Ministru kabineta 2009.gada 25.augusta noteikumiem Nr.970 ,,Sabiedrības līdzdalības kārtība attīstības plānošanas procesā”, lai informētu sabiedrību par likumprojektu un dotu iespēju izteikt viedokli, informācija par likumprojektu ievietota  </w:t>
            </w:r>
            <w:proofErr w:type="spellStart"/>
            <w:r>
              <w:rPr>
                <w:color w:val="000000" w:themeColor="text1"/>
              </w:rPr>
              <w:t>Iekšlietu</w:t>
            </w:r>
            <w:proofErr w:type="spellEnd"/>
            <w:r>
              <w:rPr>
                <w:color w:val="000000" w:themeColor="text1"/>
              </w:rPr>
              <w:t xml:space="preserve"> ministrijas un Valsts kancelejas tīmekļa vietnē.</w:t>
            </w:r>
          </w:p>
        </w:tc>
      </w:tr>
      <w:tr w:rsidR="004E4FD2" w:rsidRPr="00EE2097" w14:paraId="57461167" w14:textId="77777777" w:rsidTr="008D1D58">
        <w:tc>
          <w:tcPr>
            <w:tcW w:w="311" w:type="pct"/>
            <w:hideMark/>
          </w:tcPr>
          <w:p w14:paraId="57461164" w14:textId="77777777" w:rsidR="004E4FD2" w:rsidRPr="00EE2097" w:rsidRDefault="004E4FD2" w:rsidP="00DB7D1D">
            <w:pPr>
              <w:jc w:val="center"/>
            </w:pPr>
            <w:r w:rsidRPr="00EE2097">
              <w:t>2.</w:t>
            </w:r>
          </w:p>
        </w:tc>
        <w:tc>
          <w:tcPr>
            <w:tcW w:w="1479" w:type="pct"/>
            <w:hideMark/>
          </w:tcPr>
          <w:p w14:paraId="57461165" w14:textId="77777777" w:rsidR="004E4FD2" w:rsidRPr="00EE2097" w:rsidRDefault="004E4FD2" w:rsidP="00DB7D1D">
            <w:r w:rsidRPr="00EE2097">
              <w:t>Sabiedrības līdzdalība projekta izstrādē</w:t>
            </w:r>
          </w:p>
        </w:tc>
        <w:tc>
          <w:tcPr>
            <w:tcW w:w="3210" w:type="pct"/>
            <w:hideMark/>
          </w:tcPr>
          <w:p w14:paraId="57461166" w14:textId="77777777" w:rsidR="00D9285F" w:rsidRPr="00D9285F" w:rsidRDefault="009C1922" w:rsidP="00D9285F">
            <w:pPr>
              <w:jc w:val="both"/>
              <w:rPr>
                <w:rFonts w:eastAsia="Calibri"/>
              </w:rPr>
            </w:pPr>
            <w:r>
              <w:rPr>
                <w:rFonts w:eastAsia="Calibri"/>
              </w:rPr>
              <w:t xml:space="preserve">Lai nodrošinātu efektīvu, atklātu, ietverošu, savlaicīgu un atbildīgu sabiedrības līdzdalību, un sabiedrības pārstāvjiem nodrošinātu iespēju rakstiski sniegt viedokli par likumprojektu tā izstrādes stadijā, </w:t>
            </w:r>
            <w:r w:rsidR="00D9285F" w:rsidRPr="00D9285F">
              <w:rPr>
                <w:rFonts w:eastAsia="Calibri"/>
              </w:rPr>
              <w:t xml:space="preserve">2021.gada 1.februārī </w:t>
            </w:r>
            <w:r>
              <w:rPr>
                <w:rFonts w:eastAsia="Calibri"/>
              </w:rPr>
              <w:t xml:space="preserve">informācija par likumprojektu ievietota </w:t>
            </w:r>
            <w:proofErr w:type="spellStart"/>
            <w:r>
              <w:rPr>
                <w:rFonts w:eastAsia="Calibri"/>
              </w:rPr>
              <w:t>Iekšlietu</w:t>
            </w:r>
            <w:proofErr w:type="spellEnd"/>
            <w:r>
              <w:rPr>
                <w:rFonts w:eastAsia="Calibri"/>
              </w:rPr>
              <w:t xml:space="preserve"> ministrijas tīmekļa vietnē </w:t>
            </w:r>
            <w:r w:rsidR="00D9285F">
              <w:rPr>
                <w:rFonts w:eastAsia="Calibri"/>
              </w:rPr>
              <w:t>(</w:t>
            </w:r>
            <w:r w:rsidR="00DC4FAB" w:rsidRPr="00DC4FAB">
              <w:rPr>
                <w:rFonts w:eastAsia="Calibri"/>
              </w:rPr>
              <w:t>https://www.iem.gov.lv/lv/likumprojekts-grozijumi-personu-apliecinosu-dokumentu-likuma</w:t>
            </w:r>
            <w:r w:rsidR="00D9285F" w:rsidRPr="00D9285F">
              <w:rPr>
                <w:rFonts w:eastAsia="Calibri"/>
              </w:rPr>
              <w:t>)</w:t>
            </w:r>
            <w:r w:rsidR="00D9285F">
              <w:rPr>
                <w:rFonts w:eastAsia="Calibri"/>
              </w:rPr>
              <w:t xml:space="preserve">, aicinot  </w:t>
            </w:r>
            <w:r w:rsidR="00D9285F" w:rsidRPr="00D9285F">
              <w:rPr>
                <w:rFonts w:eastAsia="Calibri"/>
              </w:rPr>
              <w:t>sabiedrību viedokļus pa</w:t>
            </w:r>
            <w:r w:rsidR="00D9285F">
              <w:rPr>
                <w:rFonts w:eastAsia="Calibri"/>
              </w:rPr>
              <w:t>r likumprojektu sniegt līdz 2021</w:t>
            </w:r>
            <w:r w:rsidR="000101EA">
              <w:rPr>
                <w:rFonts w:eastAsia="Calibri"/>
              </w:rPr>
              <w:t>.</w:t>
            </w:r>
            <w:r w:rsidR="00D9285F">
              <w:rPr>
                <w:rFonts w:eastAsia="Calibri"/>
              </w:rPr>
              <w:t>gada 14.februārim</w:t>
            </w:r>
            <w:r w:rsidR="00D9285F" w:rsidRPr="00D9285F">
              <w:rPr>
                <w:rFonts w:eastAsia="Calibri"/>
              </w:rPr>
              <w:t xml:space="preserve">.  Vienlaikus </w:t>
            </w:r>
            <w:proofErr w:type="spellStart"/>
            <w:r w:rsidR="00D9285F" w:rsidRPr="00D9285F">
              <w:rPr>
                <w:rFonts w:eastAsia="Calibri"/>
              </w:rPr>
              <w:t>Iekšlietu</w:t>
            </w:r>
            <w:proofErr w:type="spellEnd"/>
            <w:r w:rsidR="00D9285F" w:rsidRPr="00D9285F">
              <w:rPr>
                <w:rFonts w:eastAsia="Calibri"/>
              </w:rPr>
              <w:t xml:space="preserve"> ministrija, izpildot Ministru kabineta 2009.ga</w:t>
            </w:r>
            <w:r w:rsidR="0080617A">
              <w:rPr>
                <w:rFonts w:eastAsia="Calibri"/>
              </w:rPr>
              <w:t>da 25.augusta noteikumu Nr.970 ,,</w:t>
            </w:r>
            <w:r w:rsidR="00D9285F" w:rsidRPr="00D9285F">
              <w:rPr>
                <w:rFonts w:eastAsia="Calibri"/>
              </w:rPr>
              <w:t>Sabiedrības līdzdalības kārtība attīstības plānošanas pr</w:t>
            </w:r>
            <w:r w:rsidR="0080617A">
              <w:rPr>
                <w:rFonts w:eastAsia="Calibri"/>
              </w:rPr>
              <w:t>ocesā” 14.punktu, projektu  2021.gada 1.februārī</w:t>
            </w:r>
            <w:r w:rsidR="00D9285F" w:rsidRPr="00D9285F">
              <w:rPr>
                <w:rFonts w:eastAsia="Calibri"/>
              </w:rPr>
              <w:t xml:space="preserve"> nosūtīja Valsts kancelejai publicēšanai tās tīmekļa vietnē.</w:t>
            </w:r>
          </w:p>
        </w:tc>
      </w:tr>
      <w:tr w:rsidR="004E4FD2" w:rsidRPr="00EE2097" w14:paraId="5746116B" w14:textId="77777777" w:rsidTr="008D1D58">
        <w:tc>
          <w:tcPr>
            <w:tcW w:w="311" w:type="pct"/>
            <w:hideMark/>
          </w:tcPr>
          <w:p w14:paraId="57461168" w14:textId="77777777" w:rsidR="004E4FD2" w:rsidRPr="00EE2097" w:rsidRDefault="004E4FD2" w:rsidP="00DB7D1D">
            <w:pPr>
              <w:jc w:val="center"/>
            </w:pPr>
            <w:r w:rsidRPr="00EE2097">
              <w:t>3.</w:t>
            </w:r>
          </w:p>
        </w:tc>
        <w:tc>
          <w:tcPr>
            <w:tcW w:w="1479" w:type="pct"/>
            <w:hideMark/>
          </w:tcPr>
          <w:p w14:paraId="57461169" w14:textId="77777777" w:rsidR="004E4FD2" w:rsidRPr="00EE2097" w:rsidRDefault="004E4FD2" w:rsidP="00DB7D1D">
            <w:r w:rsidRPr="00EE2097">
              <w:t>Sabiedrības līdzdalības rezultāti</w:t>
            </w:r>
          </w:p>
        </w:tc>
        <w:tc>
          <w:tcPr>
            <w:tcW w:w="3210" w:type="pct"/>
            <w:hideMark/>
          </w:tcPr>
          <w:p w14:paraId="5746116A" w14:textId="77777777" w:rsidR="004E4FD2" w:rsidRPr="00C52A78" w:rsidRDefault="00983FC2" w:rsidP="00983FC2">
            <w:pPr>
              <w:jc w:val="both"/>
              <w:rPr>
                <w:color w:val="000000"/>
              </w:rPr>
            </w:pPr>
            <w:r w:rsidRPr="00983FC2">
              <w:rPr>
                <w:color w:val="000000"/>
              </w:rPr>
              <w:t>Sabiedrības līdzdalības rezultātā priekšlikumi no sabiedrības locekļiem netika saņemti.</w:t>
            </w:r>
          </w:p>
        </w:tc>
      </w:tr>
      <w:tr w:rsidR="004E4FD2" w:rsidRPr="00EE2097" w14:paraId="5746116F" w14:textId="77777777" w:rsidTr="008D1D58">
        <w:tc>
          <w:tcPr>
            <w:tcW w:w="311" w:type="pct"/>
            <w:hideMark/>
          </w:tcPr>
          <w:p w14:paraId="5746116C" w14:textId="77777777" w:rsidR="004E4FD2" w:rsidRPr="00EE2097" w:rsidRDefault="004E4FD2" w:rsidP="00DB7D1D">
            <w:pPr>
              <w:jc w:val="center"/>
            </w:pPr>
            <w:r w:rsidRPr="00EE2097">
              <w:t>4.</w:t>
            </w:r>
          </w:p>
        </w:tc>
        <w:tc>
          <w:tcPr>
            <w:tcW w:w="1479" w:type="pct"/>
            <w:hideMark/>
          </w:tcPr>
          <w:p w14:paraId="5746116D" w14:textId="77777777" w:rsidR="004E4FD2" w:rsidRPr="00EE2097" w:rsidRDefault="004E4FD2" w:rsidP="00DB7D1D">
            <w:r w:rsidRPr="00EE2097">
              <w:t>Cita informācija</w:t>
            </w:r>
          </w:p>
        </w:tc>
        <w:tc>
          <w:tcPr>
            <w:tcW w:w="3210" w:type="pct"/>
            <w:hideMark/>
          </w:tcPr>
          <w:p w14:paraId="5746116E" w14:textId="77777777" w:rsidR="004E4FD2" w:rsidRPr="00EE2097" w:rsidRDefault="00F93C71" w:rsidP="00DB7D1D">
            <w:r>
              <w:t>Nav</w:t>
            </w:r>
            <w:r w:rsidR="00BB1AA7">
              <w:t>.</w:t>
            </w:r>
          </w:p>
        </w:tc>
      </w:tr>
    </w:tbl>
    <w:p w14:paraId="57461170" w14:textId="77777777" w:rsidR="004E4FD2" w:rsidRPr="00EE2097" w:rsidRDefault="004E4FD2" w:rsidP="004E4FD2">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E4FD2" w:rsidRPr="00EE2097" w14:paraId="57461172" w14:textId="77777777" w:rsidTr="00DB7D1D">
        <w:trPr>
          <w:cantSplit/>
        </w:trPr>
        <w:tc>
          <w:tcPr>
            <w:tcW w:w="5000" w:type="pct"/>
            <w:gridSpan w:val="3"/>
            <w:vAlign w:val="center"/>
            <w:hideMark/>
          </w:tcPr>
          <w:p w14:paraId="57461171" w14:textId="77777777" w:rsidR="004E4FD2" w:rsidRPr="00EE2097" w:rsidRDefault="004E4FD2" w:rsidP="00DB7D1D">
            <w:pPr>
              <w:jc w:val="center"/>
              <w:rPr>
                <w:b/>
                <w:bCs/>
              </w:rPr>
            </w:pPr>
            <w:r w:rsidRPr="00EE2097">
              <w:rPr>
                <w:b/>
                <w:bCs/>
              </w:rPr>
              <w:t>VII. Tiesību akta projekta izpildes nodrošināšana un tās ietekme uz institūcijām</w:t>
            </w:r>
          </w:p>
        </w:tc>
      </w:tr>
      <w:tr w:rsidR="004E4FD2" w:rsidRPr="00EE2097" w14:paraId="57461177" w14:textId="77777777" w:rsidTr="00DB7D1D">
        <w:trPr>
          <w:cantSplit/>
        </w:trPr>
        <w:tc>
          <w:tcPr>
            <w:tcW w:w="311" w:type="pct"/>
            <w:hideMark/>
          </w:tcPr>
          <w:p w14:paraId="57461173" w14:textId="77777777" w:rsidR="004E4FD2" w:rsidRPr="00EE2097" w:rsidRDefault="004E4FD2" w:rsidP="00DB7D1D">
            <w:pPr>
              <w:jc w:val="center"/>
            </w:pPr>
            <w:r w:rsidRPr="00EE2097">
              <w:t>1.</w:t>
            </w:r>
          </w:p>
        </w:tc>
        <w:tc>
          <w:tcPr>
            <w:tcW w:w="1479" w:type="pct"/>
            <w:hideMark/>
          </w:tcPr>
          <w:p w14:paraId="57461174" w14:textId="77777777" w:rsidR="004E4FD2" w:rsidRPr="00EE2097" w:rsidRDefault="004E4FD2" w:rsidP="00DB7D1D">
            <w:r w:rsidRPr="00EE2097">
              <w:t>Projekta izpildē iesaistītās institūcijas</w:t>
            </w:r>
          </w:p>
        </w:tc>
        <w:tc>
          <w:tcPr>
            <w:tcW w:w="3210" w:type="pct"/>
            <w:hideMark/>
          </w:tcPr>
          <w:p w14:paraId="57461175" w14:textId="77777777" w:rsidR="004E4FD2" w:rsidRDefault="004E4FD2" w:rsidP="00E30597">
            <w:r w:rsidRPr="00EE2097">
              <w:t>Pilsonīb</w:t>
            </w:r>
            <w:r w:rsidR="00EC60C5">
              <w:t>a</w:t>
            </w:r>
            <w:r w:rsidR="00E82807">
              <w:t>s un migrācijas lietu pārvalde.</w:t>
            </w:r>
          </w:p>
          <w:p w14:paraId="57461176" w14:textId="77777777" w:rsidR="00E30597" w:rsidRPr="00EE2097" w:rsidRDefault="00E30597" w:rsidP="00E30597"/>
        </w:tc>
      </w:tr>
      <w:tr w:rsidR="004E4FD2" w:rsidRPr="00EE2097" w14:paraId="5746117B" w14:textId="77777777" w:rsidTr="00DB7D1D">
        <w:trPr>
          <w:cantSplit/>
        </w:trPr>
        <w:tc>
          <w:tcPr>
            <w:tcW w:w="311" w:type="pct"/>
            <w:hideMark/>
          </w:tcPr>
          <w:p w14:paraId="57461178" w14:textId="77777777" w:rsidR="004E4FD2" w:rsidRPr="00EE2097" w:rsidRDefault="004E4FD2" w:rsidP="00DB7D1D">
            <w:pPr>
              <w:jc w:val="center"/>
            </w:pPr>
            <w:r w:rsidRPr="00EE2097">
              <w:t>2.</w:t>
            </w:r>
          </w:p>
        </w:tc>
        <w:tc>
          <w:tcPr>
            <w:tcW w:w="1479" w:type="pct"/>
            <w:hideMark/>
          </w:tcPr>
          <w:p w14:paraId="57461179" w14:textId="77777777" w:rsidR="004E4FD2" w:rsidRPr="00EE2097" w:rsidRDefault="004E4FD2" w:rsidP="00DB7D1D">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14:paraId="5746117A" w14:textId="77777777" w:rsidR="004E4FD2" w:rsidRPr="00EE2097" w:rsidRDefault="000C30A0" w:rsidP="00DB7D1D">
            <w:pPr>
              <w:jc w:val="both"/>
            </w:pPr>
            <w:r>
              <w:t>Likump</w:t>
            </w:r>
            <w:r w:rsidR="004E4FD2" w:rsidRPr="00EE2097">
              <w:t>rojekta izpildes rezultātā nav paredzēta esošu institūciju likvidācija vai reorganizācija. Iestāžu institucionālā struktūra netiek ietekmēta, papildus cilvēkresursi nav nepieciešami.</w:t>
            </w:r>
          </w:p>
        </w:tc>
      </w:tr>
      <w:tr w:rsidR="004E4FD2" w:rsidRPr="00EE2097" w14:paraId="5746117F" w14:textId="77777777" w:rsidTr="00DB7D1D">
        <w:trPr>
          <w:cantSplit/>
        </w:trPr>
        <w:tc>
          <w:tcPr>
            <w:tcW w:w="311" w:type="pct"/>
            <w:hideMark/>
          </w:tcPr>
          <w:p w14:paraId="5746117C" w14:textId="77777777" w:rsidR="004E4FD2" w:rsidRPr="00EE2097" w:rsidRDefault="004E4FD2" w:rsidP="00DB7D1D">
            <w:pPr>
              <w:jc w:val="center"/>
            </w:pPr>
            <w:r w:rsidRPr="00EE2097">
              <w:t>3.</w:t>
            </w:r>
          </w:p>
        </w:tc>
        <w:tc>
          <w:tcPr>
            <w:tcW w:w="1479" w:type="pct"/>
            <w:hideMark/>
          </w:tcPr>
          <w:p w14:paraId="5746117D" w14:textId="77777777" w:rsidR="004E4FD2" w:rsidRPr="00EE2097" w:rsidRDefault="004E4FD2" w:rsidP="00DB7D1D">
            <w:r w:rsidRPr="00EE2097">
              <w:t>Cita informācija</w:t>
            </w:r>
          </w:p>
        </w:tc>
        <w:tc>
          <w:tcPr>
            <w:tcW w:w="3210" w:type="pct"/>
            <w:hideMark/>
          </w:tcPr>
          <w:p w14:paraId="5746117E" w14:textId="77777777" w:rsidR="004E4FD2" w:rsidRPr="00EE2097" w:rsidRDefault="000C30A0" w:rsidP="00DB7D1D">
            <w:r>
              <w:t>Nav</w:t>
            </w:r>
            <w:r w:rsidR="00E82807">
              <w:t>.</w:t>
            </w:r>
          </w:p>
        </w:tc>
      </w:tr>
    </w:tbl>
    <w:p w14:paraId="57461180" w14:textId="77777777" w:rsidR="00E30597" w:rsidRPr="00193863" w:rsidRDefault="00E30597" w:rsidP="004E4FD2">
      <w:pPr>
        <w:tabs>
          <w:tab w:val="left" w:pos="6521"/>
        </w:tabs>
        <w:jc w:val="both"/>
        <w:rPr>
          <w:sz w:val="28"/>
          <w:szCs w:val="28"/>
        </w:rPr>
      </w:pPr>
    </w:p>
    <w:p w14:paraId="57461181" w14:textId="69B624B0" w:rsidR="00E30597" w:rsidRPr="00193863" w:rsidRDefault="00E30597" w:rsidP="004E4FD2">
      <w:pPr>
        <w:tabs>
          <w:tab w:val="left" w:pos="6521"/>
        </w:tabs>
        <w:jc w:val="both"/>
        <w:rPr>
          <w:sz w:val="28"/>
          <w:szCs w:val="28"/>
        </w:rPr>
      </w:pPr>
    </w:p>
    <w:p w14:paraId="0BAA6934" w14:textId="77777777" w:rsidR="0086075D" w:rsidRPr="00193863" w:rsidRDefault="0086075D" w:rsidP="004E4FD2">
      <w:pPr>
        <w:tabs>
          <w:tab w:val="left" w:pos="6521"/>
        </w:tabs>
        <w:jc w:val="both"/>
        <w:rPr>
          <w:sz w:val="28"/>
          <w:szCs w:val="28"/>
        </w:rPr>
      </w:pPr>
      <w:bookmarkStart w:id="0" w:name="_GoBack"/>
      <w:bookmarkEnd w:id="0"/>
    </w:p>
    <w:p w14:paraId="57461182" w14:textId="63B196AF" w:rsidR="004E4FD2" w:rsidRPr="00193863" w:rsidRDefault="00193863" w:rsidP="00193863">
      <w:pPr>
        <w:tabs>
          <w:tab w:val="left" w:pos="6521"/>
        </w:tabs>
        <w:ind w:firstLine="709"/>
        <w:jc w:val="both"/>
        <w:rPr>
          <w:sz w:val="28"/>
          <w:szCs w:val="28"/>
        </w:rPr>
      </w:pPr>
      <w:proofErr w:type="spellStart"/>
      <w:r w:rsidRPr="00193863">
        <w:rPr>
          <w:sz w:val="28"/>
          <w:szCs w:val="28"/>
        </w:rPr>
        <w:t>Iekšlietu</w:t>
      </w:r>
      <w:proofErr w:type="spellEnd"/>
      <w:r w:rsidRPr="00193863">
        <w:rPr>
          <w:sz w:val="28"/>
          <w:szCs w:val="28"/>
        </w:rPr>
        <w:t xml:space="preserve"> ministrs </w:t>
      </w:r>
      <w:r w:rsidRPr="00193863">
        <w:rPr>
          <w:sz w:val="28"/>
          <w:szCs w:val="28"/>
        </w:rPr>
        <w:tab/>
        <w:t>S. </w:t>
      </w:r>
      <w:proofErr w:type="spellStart"/>
      <w:r w:rsidR="00E30597" w:rsidRPr="00193863">
        <w:rPr>
          <w:sz w:val="28"/>
          <w:szCs w:val="28"/>
        </w:rPr>
        <w:t>Ģirģens</w:t>
      </w:r>
      <w:proofErr w:type="spellEnd"/>
    </w:p>
    <w:p w14:paraId="57461187" w14:textId="77777777" w:rsidR="00B5108B" w:rsidRDefault="00B5108B" w:rsidP="004E4FD2">
      <w:pPr>
        <w:rPr>
          <w:sz w:val="20"/>
          <w:szCs w:val="20"/>
        </w:rPr>
      </w:pPr>
    </w:p>
    <w:p w14:paraId="34FE008D" w14:textId="77777777" w:rsidR="00193863" w:rsidRDefault="00193863" w:rsidP="004E4FD2">
      <w:pPr>
        <w:rPr>
          <w:sz w:val="20"/>
          <w:szCs w:val="20"/>
        </w:rPr>
      </w:pPr>
    </w:p>
    <w:p w14:paraId="57461188" w14:textId="77777777" w:rsidR="00B5108B" w:rsidRDefault="00B5108B" w:rsidP="004E4FD2">
      <w:pPr>
        <w:rPr>
          <w:sz w:val="20"/>
          <w:szCs w:val="20"/>
        </w:rPr>
      </w:pPr>
    </w:p>
    <w:p w14:paraId="5746118E" w14:textId="77777777" w:rsidR="004E4FD2" w:rsidRPr="00193863" w:rsidRDefault="00B5108B" w:rsidP="004E4FD2">
      <w:pPr>
        <w:rPr>
          <w:sz w:val="20"/>
          <w:szCs w:val="20"/>
        </w:rPr>
      </w:pPr>
      <w:proofErr w:type="spellStart"/>
      <w:r w:rsidRPr="00193863">
        <w:rPr>
          <w:sz w:val="20"/>
          <w:szCs w:val="20"/>
        </w:rPr>
        <w:t>G.</w:t>
      </w:r>
      <w:r w:rsidR="00E30597" w:rsidRPr="00193863">
        <w:rPr>
          <w:sz w:val="20"/>
          <w:szCs w:val="20"/>
        </w:rPr>
        <w:t>Dzelme</w:t>
      </w:r>
      <w:proofErr w:type="spellEnd"/>
      <w:r w:rsidR="00E30597" w:rsidRPr="00193863">
        <w:rPr>
          <w:sz w:val="20"/>
          <w:szCs w:val="20"/>
        </w:rPr>
        <w:t>, 67219521</w:t>
      </w:r>
    </w:p>
    <w:p w14:paraId="5746118F" w14:textId="77777777" w:rsidR="00E811C9" w:rsidRPr="00193863" w:rsidRDefault="00193863" w:rsidP="004E4FD2">
      <w:pPr>
        <w:rPr>
          <w:rStyle w:val="Hyperlink"/>
          <w:color w:val="auto"/>
          <w:sz w:val="20"/>
          <w:u w:val="none"/>
        </w:rPr>
      </w:pPr>
      <w:hyperlink r:id="rId8" w:history="1">
        <w:r w:rsidR="00E30597" w:rsidRPr="00193863">
          <w:rPr>
            <w:rStyle w:val="Hyperlink"/>
            <w:color w:val="auto"/>
            <w:sz w:val="20"/>
            <w:u w:val="none"/>
          </w:rPr>
          <w:t>ginta.dzelme@pmlp.gov.lv</w:t>
        </w:r>
      </w:hyperlink>
    </w:p>
    <w:p w14:paraId="0F67E1BD" w14:textId="77777777" w:rsidR="00193863" w:rsidRPr="00193863" w:rsidRDefault="00193863" w:rsidP="004E4FD2">
      <w:pPr>
        <w:rPr>
          <w:rStyle w:val="Hyperlink"/>
          <w:color w:val="auto"/>
          <w:sz w:val="20"/>
          <w:u w:val="none"/>
        </w:rPr>
      </w:pPr>
    </w:p>
    <w:p w14:paraId="1F4BD233" w14:textId="77777777" w:rsidR="00193863" w:rsidRPr="00193863" w:rsidRDefault="00193863" w:rsidP="004E4FD2">
      <w:pPr>
        <w:rPr>
          <w:rStyle w:val="Hyperlink"/>
          <w:color w:val="auto"/>
          <w:sz w:val="20"/>
          <w:u w:val="none"/>
        </w:rPr>
      </w:pPr>
    </w:p>
    <w:p w14:paraId="3ACBAD65" w14:textId="77777777" w:rsidR="00193863" w:rsidRPr="00193863" w:rsidRDefault="00193863" w:rsidP="004E4FD2">
      <w:pPr>
        <w:rPr>
          <w:rStyle w:val="Hyperlink"/>
          <w:color w:val="auto"/>
          <w:sz w:val="20"/>
          <w:u w:val="none"/>
        </w:rPr>
      </w:pPr>
    </w:p>
    <w:p w14:paraId="1ADACC71" w14:textId="313F65B6" w:rsidR="00193863" w:rsidRPr="00193863" w:rsidRDefault="00193863" w:rsidP="00193863">
      <w:pPr>
        <w:pStyle w:val="Footer"/>
        <w:rPr>
          <w:sz w:val="16"/>
          <w:szCs w:val="16"/>
        </w:rPr>
      </w:pPr>
      <w:proofErr w:type="spellStart"/>
      <w:r w:rsidRPr="00193863">
        <w:rPr>
          <w:sz w:val="16"/>
          <w:szCs w:val="16"/>
        </w:rPr>
        <w:t>v_sk</w:t>
      </w:r>
      <w:proofErr w:type="spellEnd"/>
      <w:r w:rsidRPr="00193863">
        <w:rPr>
          <w:sz w:val="16"/>
          <w:szCs w:val="16"/>
        </w:rPr>
        <w:t xml:space="preserve">. = </w:t>
      </w:r>
      <w:r w:rsidRPr="00193863">
        <w:rPr>
          <w:sz w:val="16"/>
          <w:szCs w:val="16"/>
        </w:rPr>
        <w:t>2035</w:t>
      </w:r>
    </w:p>
    <w:sectPr w:rsidR="00193863" w:rsidRPr="00193863" w:rsidSect="00931DA3">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1192" w14:textId="77777777" w:rsidR="00981D80" w:rsidRDefault="00981D80">
      <w:r>
        <w:separator/>
      </w:r>
    </w:p>
  </w:endnote>
  <w:endnote w:type="continuationSeparator" w:id="0">
    <w:p w14:paraId="57461193" w14:textId="77777777" w:rsidR="00981D80" w:rsidRDefault="0098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FDD2" w14:textId="77777777" w:rsidR="00FA258F" w:rsidRDefault="00FA25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DFFE1" w14:textId="77777777" w:rsidR="00FA258F" w:rsidRPr="004E5455" w:rsidRDefault="00FA258F" w:rsidP="00FA258F">
    <w:pPr>
      <w:shd w:val="clear" w:color="auto" w:fill="FFFFFF"/>
      <w:spacing w:before="130" w:line="260" w:lineRule="exact"/>
      <w:jc w:val="both"/>
      <w:rPr>
        <w:bCs/>
        <w:sz w:val="20"/>
        <w:szCs w:val="20"/>
      </w:rPr>
    </w:pPr>
    <w:r>
      <w:rPr>
        <w:sz w:val="20"/>
        <w:szCs w:val="20"/>
      </w:rPr>
      <w:t>IEMAn</w:t>
    </w:r>
    <w:r w:rsidRPr="003E0172">
      <w:rPr>
        <w:sz w:val="20"/>
        <w:szCs w:val="20"/>
      </w:rPr>
      <w:t>ot_</w:t>
    </w:r>
    <w:r>
      <w:rPr>
        <w:sz w:val="20"/>
        <w:szCs w:val="20"/>
      </w:rPr>
      <w:t>300321_grozPADL_fizpers  (TA-921)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61198" w14:textId="43CFA08A" w:rsidR="004E5455" w:rsidRPr="004E5455" w:rsidRDefault="00C8037E" w:rsidP="004E5455">
    <w:pPr>
      <w:shd w:val="clear" w:color="auto" w:fill="FFFFFF"/>
      <w:spacing w:before="130" w:line="260" w:lineRule="exact"/>
      <w:jc w:val="both"/>
      <w:rPr>
        <w:bCs/>
        <w:sz w:val="20"/>
        <w:szCs w:val="20"/>
      </w:rPr>
    </w:pPr>
    <w:r>
      <w:rPr>
        <w:sz w:val="20"/>
        <w:szCs w:val="20"/>
      </w:rPr>
      <w:t>IEMAn</w:t>
    </w:r>
    <w:r w:rsidRPr="003E0172">
      <w:rPr>
        <w:sz w:val="20"/>
        <w:szCs w:val="20"/>
      </w:rPr>
      <w:t>ot_</w:t>
    </w:r>
    <w:r w:rsidR="00381DE0">
      <w:rPr>
        <w:sz w:val="20"/>
        <w:szCs w:val="20"/>
      </w:rPr>
      <w:t>30</w:t>
    </w:r>
    <w:r w:rsidR="001568B3">
      <w:rPr>
        <w:sz w:val="20"/>
        <w:szCs w:val="20"/>
      </w:rPr>
      <w:t>03</w:t>
    </w:r>
    <w:r w:rsidR="00A478C6">
      <w:rPr>
        <w:sz w:val="20"/>
        <w:szCs w:val="20"/>
      </w:rPr>
      <w:t>21</w:t>
    </w:r>
    <w:r w:rsidR="00304210">
      <w:rPr>
        <w:sz w:val="20"/>
        <w:szCs w:val="20"/>
      </w:rPr>
      <w:t>_grozPADL</w:t>
    </w:r>
    <w:r w:rsidR="006C3590">
      <w:rPr>
        <w:sz w:val="20"/>
        <w:szCs w:val="20"/>
      </w:rPr>
      <w:t>_fizpers</w:t>
    </w:r>
    <w:r w:rsidR="00FA258F">
      <w:rPr>
        <w:sz w:val="20"/>
        <w:szCs w:val="20"/>
      </w:rPr>
      <w:t xml:space="preserve">  (TA-921)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61190" w14:textId="77777777" w:rsidR="00981D80" w:rsidRDefault="00981D80">
      <w:r>
        <w:separator/>
      </w:r>
    </w:p>
  </w:footnote>
  <w:footnote w:type="continuationSeparator" w:id="0">
    <w:p w14:paraId="57461191" w14:textId="77777777" w:rsidR="00981D80" w:rsidRDefault="00981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FED7A" w14:textId="77777777" w:rsidR="00FA258F" w:rsidRDefault="00FA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14:paraId="57461194" w14:textId="77777777" w:rsidR="00C8037E" w:rsidRDefault="00C8037E">
        <w:pPr>
          <w:pStyle w:val="Header"/>
          <w:jc w:val="center"/>
        </w:pPr>
        <w:r>
          <w:fldChar w:fldCharType="begin"/>
        </w:r>
        <w:r>
          <w:instrText xml:space="preserve"> PAGE   \* MERGEFORMAT </w:instrText>
        </w:r>
        <w:r>
          <w:fldChar w:fldCharType="separate"/>
        </w:r>
        <w:r w:rsidR="00193863">
          <w:rPr>
            <w:noProof/>
          </w:rPr>
          <w:t>8</w:t>
        </w:r>
        <w:r>
          <w:rPr>
            <w:noProof/>
          </w:rPr>
          <w:fldChar w:fldCharType="end"/>
        </w:r>
      </w:p>
    </w:sdtContent>
  </w:sdt>
  <w:p w14:paraId="57461195" w14:textId="77777777" w:rsidR="00C8037E" w:rsidRDefault="00C803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60325" w14:textId="77777777" w:rsidR="00FA258F" w:rsidRDefault="00FA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172A3"/>
    <w:multiLevelType w:val="hybridMultilevel"/>
    <w:tmpl w:val="ACF6CD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4627985"/>
    <w:multiLevelType w:val="hybridMultilevel"/>
    <w:tmpl w:val="277E79DA"/>
    <w:lvl w:ilvl="0" w:tplc="A0ECECC6">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786"/>
    <w:rsid w:val="00007BA7"/>
    <w:rsid w:val="000101EA"/>
    <w:rsid w:val="00024BC1"/>
    <w:rsid w:val="0004411D"/>
    <w:rsid w:val="00060FA7"/>
    <w:rsid w:val="00061D58"/>
    <w:rsid w:val="000656AA"/>
    <w:rsid w:val="00067A16"/>
    <w:rsid w:val="000968F5"/>
    <w:rsid w:val="000975AD"/>
    <w:rsid w:val="000A3D75"/>
    <w:rsid w:val="000A465D"/>
    <w:rsid w:val="000A50E3"/>
    <w:rsid w:val="000C2985"/>
    <w:rsid w:val="000C30A0"/>
    <w:rsid w:val="000C3CF8"/>
    <w:rsid w:val="000D315E"/>
    <w:rsid w:val="000E23FE"/>
    <w:rsid w:val="001104F1"/>
    <w:rsid w:val="00115FE4"/>
    <w:rsid w:val="001206E0"/>
    <w:rsid w:val="0012392A"/>
    <w:rsid w:val="0012626E"/>
    <w:rsid w:val="00127D11"/>
    <w:rsid w:val="00132BFA"/>
    <w:rsid w:val="001568B3"/>
    <w:rsid w:val="00162285"/>
    <w:rsid w:val="00162833"/>
    <w:rsid w:val="001647D5"/>
    <w:rsid w:val="00184319"/>
    <w:rsid w:val="00184E82"/>
    <w:rsid w:val="00185565"/>
    <w:rsid w:val="00193863"/>
    <w:rsid w:val="001A53CA"/>
    <w:rsid w:val="001B11DD"/>
    <w:rsid w:val="001C342A"/>
    <w:rsid w:val="001C701B"/>
    <w:rsid w:val="001E1A27"/>
    <w:rsid w:val="001F0D25"/>
    <w:rsid w:val="001F5F79"/>
    <w:rsid w:val="00220B2E"/>
    <w:rsid w:val="00223AD1"/>
    <w:rsid w:val="00224BE9"/>
    <w:rsid w:val="00225E83"/>
    <w:rsid w:val="0023058B"/>
    <w:rsid w:val="00234BDD"/>
    <w:rsid w:val="00255FF1"/>
    <w:rsid w:val="0028273F"/>
    <w:rsid w:val="00286C47"/>
    <w:rsid w:val="0028705B"/>
    <w:rsid w:val="00293BAD"/>
    <w:rsid w:val="00294C7F"/>
    <w:rsid w:val="002A3156"/>
    <w:rsid w:val="002A4BEE"/>
    <w:rsid w:val="002A4FC0"/>
    <w:rsid w:val="002A7EC2"/>
    <w:rsid w:val="002D7BB3"/>
    <w:rsid w:val="002E1317"/>
    <w:rsid w:val="002E44F3"/>
    <w:rsid w:val="002E6CE4"/>
    <w:rsid w:val="00304210"/>
    <w:rsid w:val="00323708"/>
    <w:rsid w:val="0032505A"/>
    <w:rsid w:val="00325891"/>
    <w:rsid w:val="0033543E"/>
    <w:rsid w:val="003369A0"/>
    <w:rsid w:val="00347F37"/>
    <w:rsid w:val="00361AC9"/>
    <w:rsid w:val="00371150"/>
    <w:rsid w:val="003715C1"/>
    <w:rsid w:val="0037260C"/>
    <w:rsid w:val="00376BAD"/>
    <w:rsid w:val="00381DE0"/>
    <w:rsid w:val="00385D7D"/>
    <w:rsid w:val="00393626"/>
    <w:rsid w:val="00393DF4"/>
    <w:rsid w:val="003A139D"/>
    <w:rsid w:val="003A3295"/>
    <w:rsid w:val="003A6025"/>
    <w:rsid w:val="003B3682"/>
    <w:rsid w:val="003C2FC7"/>
    <w:rsid w:val="003D29C7"/>
    <w:rsid w:val="003F7F45"/>
    <w:rsid w:val="00405BA8"/>
    <w:rsid w:val="00413C47"/>
    <w:rsid w:val="00415616"/>
    <w:rsid w:val="00424175"/>
    <w:rsid w:val="00437138"/>
    <w:rsid w:val="0044769E"/>
    <w:rsid w:val="004476C8"/>
    <w:rsid w:val="0046338E"/>
    <w:rsid w:val="00464F18"/>
    <w:rsid w:val="0046749C"/>
    <w:rsid w:val="0046774D"/>
    <w:rsid w:val="00480A78"/>
    <w:rsid w:val="004974F4"/>
    <w:rsid w:val="004A3D8E"/>
    <w:rsid w:val="004A4E9B"/>
    <w:rsid w:val="004A7128"/>
    <w:rsid w:val="004E178A"/>
    <w:rsid w:val="004E4FD2"/>
    <w:rsid w:val="004E5455"/>
    <w:rsid w:val="004E785D"/>
    <w:rsid w:val="004F4974"/>
    <w:rsid w:val="0050293E"/>
    <w:rsid w:val="00503B08"/>
    <w:rsid w:val="00527317"/>
    <w:rsid w:val="00535379"/>
    <w:rsid w:val="0053748F"/>
    <w:rsid w:val="00541F48"/>
    <w:rsid w:val="00543A34"/>
    <w:rsid w:val="005446CD"/>
    <w:rsid w:val="00570BB7"/>
    <w:rsid w:val="00582873"/>
    <w:rsid w:val="00585C5E"/>
    <w:rsid w:val="00585E76"/>
    <w:rsid w:val="005911D6"/>
    <w:rsid w:val="005B6A89"/>
    <w:rsid w:val="005D2DD6"/>
    <w:rsid w:val="005D3B6C"/>
    <w:rsid w:val="005E142A"/>
    <w:rsid w:val="005E3BA1"/>
    <w:rsid w:val="005F5E55"/>
    <w:rsid w:val="00605F8E"/>
    <w:rsid w:val="0061390E"/>
    <w:rsid w:val="00624D16"/>
    <w:rsid w:val="00643D7B"/>
    <w:rsid w:val="006469D9"/>
    <w:rsid w:val="00650064"/>
    <w:rsid w:val="0065096D"/>
    <w:rsid w:val="00660DA7"/>
    <w:rsid w:val="006719B2"/>
    <w:rsid w:val="00677865"/>
    <w:rsid w:val="00691B2D"/>
    <w:rsid w:val="006A0B1A"/>
    <w:rsid w:val="006B5BE7"/>
    <w:rsid w:val="006C3590"/>
    <w:rsid w:val="006D4998"/>
    <w:rsid w:val="006E1293"/>
    <w:rsid w:val="006E3CD2"/>
    <w:rsid w:val="006E49F2"/>
    <w:rsid w:val="006F0765"/>
    <w:rsid w:val="00704470"/>
    <w:rsid w:val="0070743B"/>
    <w:rsid w:val="00711DBC"/>
    <w:rsid w:val="0072376A"/>
    <w:rsid w:val="00724B5C"/>
    <w:rsid w:val="00731A66"/>
    <w:rsid w:val="0074294D"/>
    <w:rsid w:val="007504DE"/>
    <w:rsid w:val="00760B5A"/>
    <w:rsid w:val="00761EF9"/>
    <w:rsid w:val="00770CB7"/>
    <w:rsid w:val="00791D0F"/>
    <w:rsid w:val="00792312"/>
    <w:rsid w:val="007B10DE"/>
    <w:rsid w:val="007B7CDF"/>
    <w:rsid w:val="007C0A1D"/>
    <w:rsid w:val="007C21C6"/>
    <w:rsid w:val="007C2735"/>
    <w:rsid w:val="007C310E"/>
    <w:rsid w:val="007C7D2B"/>
    <w:rsid w:val="007D6062"/>
    <w:rsid w:val="007E4897"/>
    <w:rsid w:val="007E4ED5"/>
    <w:rsid w:val="007E646B"/>
    <w:rsid w:val="007F1967"/>
    <w:rsid w:val="007F230B"/>
    <w:rsid w:val="007F7BE1"/>
    <w:rsid w:val="0080617A"/>
    <w:rsid w:val="008124A1"/>
    <w:rsid w:val="0082023C"/>
    <w:rsid w:val="008229E0"/>
    <w:rsid w:val="00827809"/>
    <w:rsid w:val="00851156"/>
    <w:rsid w:val="0086075D"/>
    <w:rsid w:val="008620F3"/>
    <w:rsid w:val="00882028"/>
    <w:rsid w:val="008A6610"/>
    <w:rsid w:val="008A6D32"/>
    <w:rsid w:val="008B3DA6"/>
    <w:rsid w:val="008C5B3F"/>
    <w:rsid w:val="008C728F"/>
    <w:rsid w:val="008D009E"/>
    <w:rsid w:val="008D1D58"/>
    <w:rsid w:val="008D2909"/>
    <w:rsid w:val="008D4103"/>
    <w:rsid w:val="008D5B81"/>
    <w:rsid w:val="008E1505"/>
    <w:rsid w:val="008E608E"/>
    <w:rsid w:val="008F11FD"/>
    <w:rsid w:val="008F7556"/>
    <w:rsid w:val="00902763"/>
    <w:rsid w:val="00904B3F"/>
    <w:rsid w:val="00913D2D"/>
    <w:rsid w:val="0092612D"/>
    <w:rsid w:val="00931DA3"/>
    <w:rsid w:val="00932946"/>
    <w:rsid w:val="00942C09"/>
    <w:rsid w:val="00951F00"/>
    <w:rsid w:val="00965825"/>
    <w:rsid w:val="00972237"/>
    <w:rsid w:val="00980567"/>
    <w:rsid w:val="00981D80"/>
    <w:rsid w:val="00983FC2"/>
    <w:rsid w:val="0098544D"/>
    <w:rsid w:val="00996786"/>
    <w:rsid w:val="009A1F19"/>
    <w:rsid w:val="009B4893"/>
    <w:rsid w:val="009B4C34"/>
    <w:rsid w:val="009C025D"/>
    <w:rsid w:val="009C1922"/>
    <w:rsid w:val="009D6B87"/>
    <w:rsid w:val="009E28F8"/>
    <w:rsid w:val="009E2F87"/>
    <w:rsid w:val="009F13F9"/>
    <w:rsid w:val="00A06439"/>
    <w:rsid w:val="00A1322A"/>
    <w:rsid w:val="00A17783"/>
    <w:rsid w:val="00A27328"/>
    <w:rsid w:val="00A344C0"/>
    <w:rsid w:val="00A457BE"/>
    <w:rsid w:val="00A478C6"/>
    <w:rsid w:val="00A55709"/>
    <w:rsid w:val="00A56E6B"/>
    <w:rsid w:val="00A635BE"/>
    <w:rsid w:val="00A63F19"/>
    <w:rsid w:val="00A77945"/>
    <w:rsid w:val="00A802F9"/>
    <w:rsid w:val="00A83E94"/>
    <w:rsid w:val="00A923D9"/>
    <w:rsid w:val="00A92BDE"/>
    <w:rsid w:val="00A93108"/>
    <w:rsid w:val="00AA15C2"/>
    <w:rsid w:val="00AA2227"/>
    <w:rsid w:val="00AA2BEE"/>
    <w:rsid w:val="00AA4FE1"/>
    <w:rsid w:val="00AE2A40"/>
    <w:rsid w:val="00AE6EA2"/>
    <w:rsid w:val="00B03B18"/>
    <w:rsid w:val="00B107BB"/>
    <w:rsid w:val="00B16320"/>
    <w:rsid w:val="00B16710"/>
    <w:rsid w:val="00B345C0"/>
    <w:rsid w:val="00B35751"/>
    <w:rsid w:val="00B40E62"/>
    <w:rsid w:val="00B44845"/>
    <w:rsid w:val="00B50E60"/>
    <w:rsid w:val="00B5108B"/>
    <w:rsid w:val="00B60582"/>
    <w:rsid w:val="00B65EF9"/>
    <w:rsid w:val="00B71A74"/>
    <w:rsid w:val="00B737FC"/>
    <w:rsid w:val="00B92691"/>
    <w:rsid w:val="00B92E25"/>
    <w:rsid w:val="00BA7706"/>
    <w:rsid w:val="00BB1AA7"/>
    <w:rsid w:val="00BC0616"/>
    <w:rsid w:val="00BC517A"/>
    <w:rsid w:val="00BD1242"/>
    <w:rsid w:val="00BF692F"/>
    <w:rsid w:val="00C04251"/>
    <w:rsid w:val="00C215AA"/>
    <w:rsid w:val="00C21A61"/>
    <w:rsid w:val="00C21BBD"/>
    <w:rsid w:val="00C21D18"/>
    <w:rsid w:val="00C31965"/>
    <w:rsid w:val="00C54711"/>
    <w:rsid w:val="00C570EF"/>
    <w:rsid w:val="00C64CE0"/>
    <w:rsid w:val="00C7373D"/>
    <w:rsid w:val="00C741A7"/>
    <w:rsid w:val="00C8037E"/>
    <w:rsid w:val="00CA0AA6"/>
    <w:rsid w:val="00CA5AD3"/>
    <w:rsid w:val="00CB72D8"/>
    <w:rsid w:val="00CE1EA7"/>
    <w:rsid w:val="00CE2D33"/>
    <w:rsid w:val="00CF5E1A"/>
    <w:rsid w:val="00D0664F"/>
    <w:rsid w:val="00D21220"/>
    <w:rsid w:val="00D23BC5"/>
    <w:rsid w:val="00D35D25"/>
    <w:rsid w:val="00D409F8"/>
    <w:rsid w:val="00D50F94"/>
    <w:rsid w:val="00D51461"/>
    <w:rsid w:val="00D67F05"/>
    <w:rsid w:val="00D75EED"/>
    <w:rsid w:val="00D91EE6"/>
    <w:rsid w:val="00D9285F"/>
    <w:rsid w:val="00D93D4C"/>
    <w:rsid w:val="00DA244D"/>
    <w:rsid w:val="00DA67FB"/>
    <w:rsid w:val="00DA76F0"/>
    <w:rsid w:val="00DB1A90"/>
    <w:rsid w:val="00DB36D8"/>
    <w:rsid w:val="00DB7D1D"/>
    <w:rsid w:val="00DC4955"/>
    <w:rsid w:val="00DC4FAB"/>
    <w:rsid w:val="00DE16AE"/>
    <w:rsid w:val="00DE290A"/>
    <w:rsid w:val="00DE6D3E"/>
    <w:rsid w:val="00DE7BA8"/>
    <w:rsid w:val="00DF7A96"/>
    <w:rsid w:val="00E01BD3"/>
    <w:rsid w:val="00E02E17"/>
    <w:rsid w:val="00E07ACC"/>
    <w:rsid w:val="00E10F46"/>
    <w:rsid w:val="00E30597"/>
    <w:rsid w:val="00E33A39"/>
    <w:rsid w:val="00E4654C"/>
    <w:rsid w:val="00E53F6D"/>
    <w:rsid w:val="00E63795"/>
    <w:rsid w:val="00E734A1"/>
    <w:rsid w:val="00E74A4D"/>
    <w:rsid w:val="00E811C9"/>
    <w:rsid w:val="00E82807"/>
    <w:rsid w:val="00E95CD8"/>
    <w:rsid w:val="00EB37E3"/>
    <w:rsid w:val="00EC0DD3"/>
    <w:rsid w:val="00EC60C5"/>
    <w:rsid w:val="00EE3FEA"/>
    <w:rsid w:val="00EF2D1C"/>
    <w:rsid w:val="00F0287C"/>
    <w:rsid w:val="00F04919"/>
    <w:rsid w:val="00F34CAD"/>
    <w:rsid w:val="00F83B08"/>
    <w:rsid w:val="00F84DAB"/>
    <w:rsid w:val="00F91469"/>
    <w:rsid w:val="00F92522"/>
    <w:rsid w:val="00F93C71"/>
    <w:rsid w:val="00FA258F"/>
    <w:rsid w:val="00FA318A"/>
    <w:rsid w:val="00FA61CC"/>
    <w:rsid w:val="00FB696E"/>
    <w:rsid w:val="00FC171F"/>
    <w:rsid w:val="00FC2184"/>
    <w:rsid w:val="00FD18D1"/>
    <w:rsid w:val="00FD68A5"/>
    <w:rsid w:val="00FF2540"/>
    <w:rsid w:val="00FF52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61033"/>
  <w15:chartTrackingRefBased/>
  <w15:docId w15:val="{E80B99A4-6E7A-476A-AE70-F4432205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786"/>
    <w:pPr>
      <w:spacing w:after="0" w:line="240" w:lineRule="auto"/>
    </w:pPr>
    <w:rPr>
      <w:rFonts w:eastAsia="Times New Roman"/>
      <w:sz w:val="24"/>
      <w:szCs w:val="24"/>
      <w:lang w:eastAsia="lv-LV"/>
    </w:rPr>
  </w:style>
  <w:style w:type="paragraph" w:styleId="Heading3">
    <w:name w:val="heading 3"/>
    <w:basedOn w:val="Normal"/>
    <w:link w:val="Heading3Char"/>
    <w:uiPriority w:val="9"/>
    <w:qFormat/>
    <w:rsid w:val="009967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6786"/>
    <w:rPr>
      <w:rFonts w:eastAsia="Times New Roman"/>
      <w:b/>
      <w:bCs/>
      <w:sz w:val="27"/>
      <w:szCs w:val="27"/>
      <w:lang w:eastAsia="lv-LV"/>
    </w:rPr>
  </w:style>
  <w:style w:type="paragraph" w:styleId="Title">
    <w:name w:val="Title"/>
    <w:basedOn w:val="Normal"/>
    <w:link w:val="TitleChar"/>
    <w:qFormat/>
    <w:rsid w:val="00996786"/>
    <w:pPr>
      <w:jc w:val="center"/>
    </w:pPr>
    <w:rPr>
      <w:sz w:val="28"/>
      <w:szCs w:val="20"/>
      <w:lang w:eastAsia="en-US"/>
    </w:rPr>
  </w:style>
  <w:style w:type="character" w:customStyle="1" w:styleId="TitleChar">
    <w:name w:val="Title Char"/>
    <w:basedOn w:val="DefaultParagraphFont"/>
    <w:link w:val="Title"/>
    <w:rsid w:val="00996786"/>
    <w:rPr>
      <w:rFonts w:eastAsia="Times New Roman"/>
      <w:szCs w:val="20"/>
    </w:rPr>
  </w:style>
  <w:style w:type="character" w:styleId="Hyperlink">
    <w:name w:val="Hyperlink"/>
    <w:basedOn w:val="DefaultParagraphFont"/>
    <w:uiPriority w:val="99"/>
    <w:unhideWhenUsed/>
    <w:rsid w:val="00996786"/>
    <w:rPr>
      <w:color w:val="0000FF"/>
      <w:u w:val="single"/>
    </w:rPr>
  </w:style>
  <w:style w:type="paragraph" w:styleId="Header">
    <w:name w:val="header"/>
    <w:basedOn w:val="Normal"/>
    <w:link w:val="HeaderChar"/>
    <w:uiPriority w:val="99"/>
    <w:unhideWhenUsed/>
    <w:rsid w:val="00996786"/>
    <w:pPr>
      <w:tabs>
        <w:tab w:val="center" w:pos="4153"/>
        <w:tab w:val="right" w:pos="8306"/>
      </w:tabs>
    </w:pPr>
  </w:style>
  <w:style w:type="character" w:customStyle="1" w:styleId="HeaderChar">
    <w:name w:val="Header Char"/>
    <w:basedOn w:val="DefaultParagraphFont"/>
    <w:link w:val="Header"/>
    <w:uiPriority w:val="99"/>
    <w:rsid w:val="00996786"/>
    <w:rPr>
      <w:rFonts w:eastAsia="Times New Roman"/>
      <w:sz w:val="24"/>
      <w:szCs w:val="24"/>
      <w:lang w:eastAsia="lv-LV"/>
    </w:rPr>
  </w:style>
  <w:style w:type="paragraph" w:styleId="Footer">
    <w:name w:val="footer"/>
    <w:basedOn w:val="Normal"/>
    <w:link w:val="FooterChar"/>
    <w:uiPriority w:val="99"/>
    <w:unhideWhenUsed/>
    <w:rsid w:val="00996786"/>
    <w:pPr>
      <w:tabs>
        <w:tab w:val="center" w:pos="4153"/>
        <w:tab w:val="right" w:pos="8306"/>
      </w:tabs>
    </w:pPr>
  </w:style>
  <w:style w:type="character" w:customStyle="1" w:styleId="FooterChar">
    <w:name w:val="Footer Char"/>
    <w:basedOn w:val="DefaultParagraphFont"/>
    <w:link w:val="Footer"/>
    <w:uiPriority w:val="99"/>
    <w:rsid w:val="00996786"/>
    <w:rPr>
      <w:rFonts w:eastAsia="Times New Roman"/>
      <w:sz w:val="24"/>
      <w:szCs w:val="24"/>
      <w:lang w:eastAsia="lv-LV"/>
    </w:rPr>
  </w:style>
  <w:style w:type="paragraph" w:customStyle="1" w:styleId="naisf">
    <w:name w:val="naisf"/>
    <w:basedOn w:val="Normal"/>
    <w:rsid w:val="00996786"/>
    <w:pPr>
      <w:spacing w:before="100" w:after="100"/>
    </w:pPr>
    <w:rPr>
      <w:szCs w:val="20"/>
    </w:rPr>
  </w:style>
  <w:style w:type="paragraph" w:customStyle="1" w:styleId="naisc">
    <w:name w:val="naisc"/>
    <w:basedOn w:val="Normal"/>
    <w:rsid w:val="00996786"/>
    <w:pPr>
      <w:spacing w:before="75" w:after="75"/>
      <w:jc w:val="center"/>
    </w:pPr>
  </w:style>
  <w:style w:type="table" w:styleId="TableGrid">
    <w:name w:val="Table Grid"/>
    <w:basedOn w:val="TableNormal"/>
    <w:uiPriority w:val="39"/>
    <w:rsid w:val="008D5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46"/>
    <w:rPr>
      <w:rFonts w:ascii="Segoe UI" w:eastAsia="Times New Roman" w:hAnsi="Segoe UI" w:cs="Segoe UI"/>
      <w:sz w:val="18"/>
      <w:szCs w:val="18"/>
      <w:lang w:eastAsia="lv-LV"/>
    </w:rPr>
  </w:style>
  <w:style w:type="paragraph" w:styleId="ListParagraph">
    <w:name w:val="List Paragraph"/>
    <w:basedOn w:val="Normal"/>
    <w:uiPriority w:val="34"/>
    <w:qFormat/>
    <w:rsid w:val="00570BB7"/>
    <w:pPr>
      <w:ind w:left="720"/>
      <w:contextualSpacing/>
    </w:pPr>
  </w:style>
  <w:style w:type="character" w:styleId="FollowedHyperlink">
    <w:name w:val="FollowedHyperlink"/>
    <w:basedOn w:val="DefaultParagraphFont"/>
    <w:uiPriority w:val="99"/>
    <w:semiHidden/>
    <w:unhideWhenUsed/>
    <w:rsid w:val="00BD1242"/>
    <w:rPr>
      <w:color w:val="954F72" w:themeColor="followedHyperlink"/>
      <w:u w:val="single"/>
    </w:rPr>
  </w:style>
  <w:style w:type="character" w:styleId="CommentReference">
    <w:name w:val="annotation reference"/>
    <w:basedOn w:val="DefaultParagraphFont"/>
    <w:uiPriority w:val="99"/>
    <w:semiHidden/>
    <w:unhideWhenUsed/>
    <w:rsid w:val="00A55709"/>
    <w:rPr>
      <w:sz w:val="16"/>
      <w:szCs w:val="16"/>
    </w:rPr>
  </w:style>
  <w:style w:type="paragraph" w:styleId="CommentText">
    <w:name w:val="annotation text"/>
    <w:basedOn w:val="Normal"/>
    <w:link w:val="CommentTextChar"/>
    <w:uiPriority w:val="99"/>
    <w:semiHidden/>
    <w:unhideWhenUsed/>
    <w:rsid w:val="00A55709"/>
    <w:rPr>
      <w:sz w:val="20"/>
      <w:szCs w:val="20"/>
    </w:rPr>
  </w:style>
  <w:style w:type="character" w:customStyle="1" w:styleId="CommentTextChar">
    <w:name w:val="Comment Text Char"/>
    <w:basedOn w:val="DefaultParagraphFont"/>
    <w:link w:val="CommentText"/>
    <w:uiPriority w:val="99"/>
    <w:semiHidden/>
    <w:rsid w:val="00A55709"/>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55709"/>
    <w:rPr>
      <w:b/>
      <w:bCs/>
    </w:rPr>
  </w:style>
  <w:style w:type="character" w:customStyle="1" w:styleId="CommentSubjectChar">
    <w:name w:val="Comment Subject Char"/>
    <w:basedOn w:val="CommentTextChar"/>
    <w:link w:val="CommentSubject"/>
    <w:uiPriority w:val="99"/>
    <w:semiHidden/>
    <w:rsid w:val="00A55709"/>
    <w:rPr>
      <w:rFonts w:eastAsia="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720156">
      <w:bodyDiv w:val="1"/>
      <w:marLeft w:val="0"/>
      <w:marRight w:val="0"/>
      <w:marTop w:val="0"/>
      <w:marBottom w:val="0"/>
      <w:divBdr>
        <w:top w:val="none" w:sz="0" w:space="0" w:color="auto"/>
        <w:left w:val="none" w:sz="0" w:space="0" w:color="auto"/>
        <w:bottom w:val="none" w:sz="0" w:space="0" w:color="auto"/>
        <w:right w:val="none" w:sz="0" w:space="0" w:color="auto"/>
      </w:divBdr>
    </w:div>
    <w:div w:id="155110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dzelme@pmlp.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193EC-2736-4C85-939A-7C96900C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Pages>
  <Words>2037</Words>
  <Characters>14036</Characters>
  <Application>Microsoft Office Word</Application>
  <DocSecurity>0</DocSecurity>
  <Lines>350</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User</cp:lastModifiedBy>
  <cp:revision>38</cp:revision>
  <cp:lastPrinted>2021-02-15T08:55:00Z</cp:lastPrinted>
  <dcterms:created xsi:type="dcterms:W3CDTF">2021-01-29T13:07:00Z</dcterms:created>
  <dcterms:modified xsi:type="dcterms:W3CDTF">2021-05-11T16:58:00Z</dcterms:modified>
</cp:coreProperties>
</file>