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165AD" w14:textId="77777777" w:rsidR="007116C7" w:rsidRPr="00846351" w:rsidRDefault="007116C7" w:rsidP="00863627">
      <w:pPr>
        <w:pStyle w:val="naisnod"/>
        <w:spacing w:before="0" w:after="0"/>
      </w:pPr>
      <w:r w:rsidRPr="00846351">
        <w:t>Izziņa par atzinumos sniegtajiem iebildumiem</w:t>
      </w:r>
    </w:p>
    <w:p w14:paraId="720686F8" w14:textId="77777777" w:rsidR="007116C7" w:rsidRPr="00846351"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846351" w14:paraId="3FB1D7E8" w14:textId="77777777">
        <w:trPr>
          <w:jc w:val="center"/>
        </w:trPr>
        <w:tc>
          <w:tcPr>
            <w:tcW w:w="10188" w:type="dxa"/>
            <w:tcBorders>
              <w:bottom w:val="single" w:sz="6" w:space="0" w:color="000000"/>
            </w:tcBorders>
          </w:tcPr>
          <w:p w14:paraId="4B3118D9" w14:textId="77777777" w:rsidR="00C860CE" w:rsidRPr="00846351" w:rsidRDefault="00C860CE" w:rsidP="00C860CE">
            <w:pPr>
              <w:jc w:val="center"/>
              <w:rPr>
                <w:b/>
                <w:sz w:val="24"/>
                <w:szCs w:val="24"/>
              </w:rPr>
            </w:pPr>
            <w:r w:rsidRPr="00846351">
              <w:rPr>
                <w:b/>
                <w:sz w:val="24"/>
                <w:szCs w:val="24"/>
              </w:rPr>
              <w:t>Informatīvais ziņojums</w:t>
            </w:r>
          </w:p>
          <w:p w14:paraId="7F74D239" w14:textId="7D7784F8" w:rsidR="007116C7" w:rsidRPr="00101B78" w:rsidRDefault="00A32A6C" w:rsidP="00101B78">
            <w:pPr>
              <w:pStyle w:val="Parastais"/>
              <w:ind w:firstLine="720"/>
              <w:jc w:val="center"/>
            </w:pPr>
            <w:r w:rsidRPr="00101B78">
              <w:rPr>
                <w:b/>
              </w:rPr>
              <w:t xml:space="preserve"> “</w:t>
            </w:r>
            <w:r w:rsidR="00101B78" w:rsidRPr="00101B78">
              <w:rPr>
                <w:b/>
                <w:color w:val="000000"/>
              </w:rPr>
              <w:t>Par nekustamo īpašumu iegādi Valsts policijai noteikto funkciju un uzdevumu izpildei, kas saistītas ar sabiedriskās drošības un kārtības nodrošināšanu</w:t>
            </w:r>
            <w:r w:rsidRPr="00101B78">
              <w:rPr>
                <w:b/>
                <w:color w:val="000000"/>
              </w:rPr>
              <w:t>”</w:t>
            </w:r>
          </w:p>
        </w:tc>
      </w:tr>
    </w:tbl>
    <w:p w14:paraId="24B4BB38" w14:textId="77777777" w:rsidR="007116C7" w:rsidRPr="00846351" w:rsidRDefault="007116C7" w:rsidP="00863627">
      <w:pPr>
        <w:pStyle w:val="naisc"/>
        <w:spacing w:before="0" w:after="0"/>
      </w:pPr>
      <w:r w:rsidRPr="00846351">
        <w:t>(</w:t>
      </w:r>
      <w:r w:rsidRPr="00846351">
        <w:rPr>
          <w:color w:val="808080"/>
        </w:rPr>
        <w:t>dokumenta veids un nosaukums</w:t>
      </w:r>
      <w:r w:rsidRPr="00846351">
        <w:t>)</w:t>
      </w:r>
    </w:p>
    <w:p w14:paraId="447F2850" w14:textId="77777777" w:rsidR="007B4C0F" w:rsidRPr="00846351" w:rsidRDefault="007B4C0F" w:rsidP="00DB7395">
      <w:pPr>
        <w:pStyle w:val="naisf"/>
        <w:spacing w:before="0" w:after="0"/>
        <w:ind w:firstLine="720"/>
      </w:pPr>
    </w:p>
    <w:p w14:paraId="5D3A5E27" w14:textId="77777777" w:rsidR="007B4C0F" w:rsidRPr="00846351" w:rsidRDefault="008601B6" w:rsidP="00863627">
      <w:pPr>
        <w:pStyle w:val="naisf"/>
        <w:spacing w:before="0" w:after="0"/>
        <w:ind w:firstLine="0"/>
        <w:jc w:val="center"/>
        <w:rPr>
          <w:b/>
        </w:rPr>
      </w:pPr>
      <w:r w:rsidRPr="00846351">
        <w:rPr>
          <w:b/>
        </w:rPr>
        <w:t>I. </w:t>
      </w:r>
      <w:r w:rsidR="007B4C0F" w:rsidRPr="00846351">
        <w:rPr>
          <w:b/>
        </w:rPr>
        <w:t xml:space="preserve">Jautājumi, par kuriem saskaņošanā </w:t>
      </w:r>
      <w:r w:rsidR="00134188" w:rsidRPr="00846351">
        <w:rPr>
          <w:b/>
        </w:rPr>
        <w:t xml:space="preserve">vienošanās </w:t>
      </w:r>
      <w:r w:rsidR="007B4C0F" w:rsidRPr="00846351">
        <w:rPr>
          <w:b/>
        </w:rPr>
        <w:t>nav panākta</w:t>
      </w:r>
    </w:p>
    <w:p w14:paraId="233AD6E3" w14:textId="77777777" w:rsidR="008601B6" w:rsidRPr="00846351" w:rsidRDefault="008601B6" w:rsidP="008601B6">
      <w:pPr>
        <w:pStyle w:val="naisf"/>
        <w:spacing w:before="0" w:after="0"/>
        <w:ind w:left="360" w:firstLine="0"/>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118"/>
        <w:gridCol w:w="2977"/>
        <w:gridCol w:w="2459"/>
        <w:gridCol w:w="1920"/>
      </w:tblGrid>
      <w:tr w:rsidR="005F4BFD" w:rsidRPr="00846351" w14:paraId="538161B9" w14:textId="77777777" w:rsidTr="0048022C">
        <w:tc>
          <w:tcPr>
            <w:tcW w:w="709" w:type="dxa"/>
            <w:tcBorders>
              <w:top w:val="single" w:sz="6" w:space="0" w:color="000000"/>
              <w:left w:val="single" w:sz="6" w:space="0" w:color="000000"/>
              <w:bottom w:val="single" w:sz="6" w:space="0" w:color="000000"/>
              <w:right w:val="single" w:sz="6" w:space="0" w:color="000000"/>
            </w:tcBorders>
            <w:vAlign w:val="center"/>
          </w:tcPr>
          <w:p w14:paraId="23527857" w14:textId="77777777" w:rsidR="005F4BFD" w:rsidRPr="00846351" w:rsidRDefault="005F4BFD" w:rsidP="0036160E">
            <w:pPr>
              <w:pStyle w:val="naisc"/>
              <w:spacing w:before="0" w:after="0"/>
            </w:pPr>
            <w:r w:rsidRPr="00846351">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2DDF6C16" w14:textId="77777777" w:rsidR="005F4BFD" w:rsidRPr="00846351" w:rsidRDefault="005F4BFD" w:rsidP="00364BB6">
            <w:pPr>
              <w:pStyle w:val="naisc"/>
              <w:spacing w:before="0" w:after="0"/>
              <w:ind w:firstLine="12"/>
            </w:pPr>
            <w:r w:rsidRPr="00846351">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F425098" w14:textId="3E94EF18" w:rsidR="005F4BFD" w:rsidRPr="00846351" w:rsidRDefault="005F4BFD" w:rsidP="000C649E">
            <w:pPr>
              <w:pStyle w:val="naisc"/>
              <w:spacing w:before="0" w:after="0"/>
              <w:ind w:right="3"/>
            </w:pPr>
            <w:r w:rsidRPr="00846351">
              <w:t>Atzinumā norādītais ministrijas (citas institūcijas) iebildums</w:t>
            </w:r>
            <w:r w:rsidR="00184479" w:rsidRPr="00846351">
              <w:t>,</w:t>
            </w:r>
            <w:r w:rsidR="000E5509" w:rsidRPr="00846351">
              <w:t xml:space="preserve"> kā arī saskaņošanā papildus izteiktais iebildums</w:t>
            </w:r>
            <w:r w:rsidRPr="00846351">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E1AD7CB" w14:textId="77777777" w:rsidR="005F4BFD" w:rsidRPr="00846351" w:rsidRDefault="005F4BFD" w:rsidP="00364BB6">
            <w:pPr>
              <w:pStyle w:val="naisc"/>
              <w:spacing w:before="0" w:after="0"/>
              <w:ind w:firstLine="21"/>
            </w:pPr>
            <w:r w:rsidRPr="00846351">
              <w:t>Atbildīgās ministrijas pamatojums</w:t>
            </w:r>
            <w:r w:rsidR="009307F2" w:rsidRPr="00846351">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6D57B42" w14:textId="77777777" w:rsidR="005F4BFD" w:rsidRPr="00846351" w:rsidRDefault="005F4BFD" w:rsidP="00364BB6">
            <w:pPr>
              <w:pStyle w:val="Parastais"/>
              <w:jc w:val="center"/>
            </w:pPr>
            <w:r w:rsidRPr="00846351">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6E67E21" w14:textId="77777777" w:rsidR="005F4BFD" w:rsidRPr="00846351" w:rsidRDefault="005F4BFD" w:rsidP="00364BB6">
            <w:pPr>
              <w:pStyle w:val="Parastais"/>
              <w:jc w:val="center"/>
            </w:pPr>
            <w:r w:rsidRPr="00846351">
              <w:t>Projekta attiecīgā punkta (panta) galīgā redakcija</w:t>
            </w:r>
          </w:p>
        </w:tc>
      </w:tr>
      <w:tr w:rsidR="005F4BFD" w:rsidRPr="00846351" w14:paraId="56DA8792" w14:textId="77777777" w:rsidTr="0048022C">
        <w:tc>
          <w:tcPr>
            <w:tcW w:w="709" w:type="dxa"/>
            <w:tcBorders>
              <w:top w:val="single" w:sz="6" w:space="0" w:color="000000"/>
              <w:left w:val="single" w:sz="6" w:space="0" w:color="000000"/>
              <w:bottom w:val="single" w:sz="6" w:space="0" w:color="000000"/>
              <w:right w:val="single" w:sz="6" w:space="0" w:color="000000"/>
            </w:tcBorders>
          </w:tcPr>
          <w:p w14:paraId="258ED6B7" w14:textId="77777777" w:rsidR="005F4BFD" w:rsidRPr="00846351" w:rsidRDefault="008A36C9" w:rsidP="0048022C">
            <w:pPr>
              <w:pStyle w:val="naisc"/>
              <w:spacing w:before="0" w:after="0"/>
            </w:pPr>
            <w:r w:rsidRPr="00846351">
              <w:t>1</w:t>
            </w:r>
          </w:p>
        </w:tc>
        <w:tc>
          <w:tcPr>
            <w:tcW w:w="2977" w:type="dxa"/>
            <w:tcBorders>
              <w:top w:val="single" w:sz="6" w:space="0" w:color="000000"/>
              <w:left w:val="single" w:sz="6" w:space="0" w:color="000000"/>
              <w:bottom w:val="single" w:sz="6" w:space="0" w:color="000000"/>
              <w:right w:val="single" w:sz="6" w:space="0" w:color="000000"/>
            </w:tcBorders>
          </w:tcPr>
          <w:p w14:paraId="73D00285" w14:textId="77777777" w:rsidR="005F4BFD" w:rsidRPr="00846351" w:rsidRDefault="008A36C9" w:rsidP="00022D01">
            <w:pPr>
              <w:pStyle w:val="naisc"/>
              <w:spacing w:before="0" w:after="0"/>
            </w:pPr>
            <w:r w:rsidRPr="00846351">
              <w:t>2</w:t>
            </w:r>
          </w:p>
        </w:tc>
        <w:tc>
          <w:tcPr>
            <w:tcW w:w="3118" w:type="dxa"/>
            <w:tcBorders>
              <w:top w:val="single" w:sz="6" w:space="0" w:color="000000"/>
              <w:left w:val="single" w:sz="6" w:space="0" w:color="000000"/>
              <w:bottom w:val="single" w:sz="6" w:space="0" w:color="000000"/>
              <w:right w:val="single" w:sz="6" w:space="0" w:color="000000"/>
            </w:tcBorders>
          </w:tcPr>
          <w:p w14:paraId="0DFD9291" w14:textId="77777777" w:rsidR="005F4BFD" w:rsidRPr="00846351" w:rsidRDefault="008A36C9" w:rsidP="00022D01">
            <w:pPr>
              <w:pStyle w:val="naisc"/>
              <w:spacing w:before="0" w:after="0"/>
            </w:pPr>
            <w:r w:rsidRPr="00846351">
              <w:t>3</w:t>
            </w:r>
          </w:p>
        </w:tc>
        <w:tc>
          <w:tcPr>
            <w:tcW w:w="2977" w:type="dxa"/>
            <w:tcBorders>
              <w:top w:val="single" w:sz="6" w:space="0" w:color="000000"/>
              <w:left w:val="single" w:sz="6" w:space="0" w:color="000000"/>
              <w:bottom w:val="single" w:sz="6" w:space="0" w:color="000000"/>
              <w:right w:val="single" w:sz="6" w:space="0" w:color="000000"/>
            </w:tcBorders>
          </w:tcPr>
          <w:p w14:paraId="53EC8E08" w14:textId="77777777" w:rsidR="005F4BFD" w:rsidRPr="00846351" w:rsidRDefault="008A36C9" w:rsidP="00022D01">
            <w:pPr>
              <w:pStyle w:val="naisc"/>
              <w:spacing w:before="0" w:after="0"/>
            </w:pPr>
            <w:r w:rsidRPr="00846351">
              <w:t>4</w:t>
            </w:r>
          </w:p>
        </w:tc>
        <w:tc>
          <w:tcPr>
            <w:tcW w:w="2459" w:type="dxa"/>
            <w:tcBorders>
              <w:top w:val="single" w:sz="4" w:space="0" w:color="auto"/>
              <w:left w:val="single" w:sz="4" w:space="0" w:color="auto"/>
              <w:bottom w:val="single" w:sz="4" w:space="0" w:color="auto"/>
              <w:right w:val="single" w:sz="4" w:space="0" w:color="auto"/>
            </w:tcBorders>
          </w:tcPr>
          <w:p w14:paraId="35119C14" w14:textId="77777777" w:rsidR="005F4BFD" w:rsidRPr="00846351" w:rsidRDefault="008A36C9" w:rsidP="0048022C">
            <w:pPr>
              <w:pStyle w:val="Parastais"/>
              <w:jc w:val="center"/>
            </w:pPr>
            <w:r w:rsidRPr="00846351">
              <w:t>5</w:t>
            </w:r>
          </w:p>
        </w:tc>
        <w:tc>
          <w:tcPr>
            <w:tcW w:w="1920" w:type="dxa"/>
            <w:tcBorders>
              <w:top w:val="single" w:sz="4" w:space="0" w:color="auto"/>
              <w:left w:val="single" w:sz="4" w:space="0" w:color="auto"/>
              <w:bottom w:val="single" w:sz="4" w:space="0" w:color="auto"/>
            </w:tcBorders>
          </w:tcPr>
          <w:p w14:paraId="7F9D7691" w14:textId="77777777" w:rsidR="005F4BFD" w:rsidRPr="00846351" w:rsidRDefault="008A36C9" w:rsidP="0048022C">
            <w:pPr>
              <w:pStyle w:val="Parastais"/>
              <w:jc w:val="center"/>
            </w:pPr>
            <w:r w:rsidRPr="00846351">
              <w:t>6</w:t>
            </w:r>
          </w:p>
        </w:tc>
      </w:tr>
      <w:tr w:rsidR="005F4BFD" w:rsidRPr="00846351" w14:paraId="2D671DA1" w14:textId="77777777" w:rsidTr="0048022C">
        <w:tc>
          <w:tcPr>
            <w:tcW w:w="709" w:type="dxa"/>
            <w:tcBorders>
              <w:left w:val="single" w:sz="6" w:space="0" w:color="000000"/>
              <w:bottom w:val="single" w:sz="4" w:space="0" w:color="auto"/>
              <w:right w:val="single" w:sz="6" w:space="0" w:color="000000"/>
            </w:tcBorders>
          </w:tcPr>
          <w:p w14:paraId="188FBF4A" w14:textId="77777777" w:rsidR="005F4BFD" w:rsidRPr="00846351" w:rsidRDefault="005F4BFD" w:rsidP="00863627">
            <w:pPr>
              <w:pStyle w:val="naisc"/>
              <w:spacing w:before="0" w:after="0"/>
              <w:ind w:firstLine="720"/>
              <w:jc w:val="both"/>
            </w:pPr>
          </w:p>
        </w:tc>
        <w:tc>
          <w:tcPr>
            <w:tcW w:w="2977" w:type="dxa"/>
            <w:tcBorders>
              <w:left w:val="single" w:sz="6" w:space="0" w:color="000000"/>
              <w:bottom w:val="single" w:sz="4" w:space="0" w:color="auto"/>
              <w:right w:val="single" w:sz="6" w:space="0" w:color="000000"/>
            </w:tcBorders>
          </w:tcPr>
          <w:p w14:paraId="5DAA25CA" w14:textId="77777777" w:rsidR="005F4BFD" w:rsidRPr="00846351" w:rsidRDefault="005F4BFD" w:rsidP="00863627">
            <w:pPr>
              <w:pStyle w:val="naisc"/>
              <w:spacing w:before="0" w:after="0"/>
              <w:ind w:firstLine="720"/>
              <w:jc w:val="both"/>
            </w:pPr>
          </w:p>
        </w:tc>
        <w:tc>
          <w:tcPr>
            <w:tcW w:w="3118" w:type="dxa"/>
            <w:tcBorders>
              <w:left w:val="single" w:sz="6" w:space="0" w:color="000000"/>
              <w:bottom w:val="single" w:sz="4" w:space="0" w:color="auto"/>
              <w:right w:val="single" w:sz="6" w:space="0" w:color="000000"/>
            </w:tcBorders>
          </w:tcPr>
          <w:p w14:paraId="6378A127" w14:textId="77777777" w:rsidR="005F4BFD" w:rsidRPr="00846351" w:rsidRDefault="005F4BFD" w:rsidP="00863627">
            <w:pPr>
              <w:pStyle w:val="naisc"/>
              <w:spacing w:before="0" w:after="0"/>
              <w:ind w:firstLine="720"/>
              <w:jc w:val="both"/>
            </w:pPr>
          </w:p>
        </w:tc>
        <w:tc>
          <w:tcPr>
            <w:tcW w:w="2977" w:type="dxa"/>
            <w:tcBorders>
              <w:left w:val="single" w:sz="6" w:space="0" w:color="000000"/>
              <w:bottom w:val="single" w:sz="4" w:space="0" w:color="auto"/>
              <w:right w:val="single" w:sz="6" w:space="0" w:color="000000"/>
            </w:tcBorders>
          </w:tcPr>
          <w:p w14:paraId="25CB4F27" w14:textId="77777777" w:rsidR="005F4BFD" w:rsidRPr="00846351" w:rsidRDefault="005F4BFD" w:rsidP="00863627">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03A859EC" w14:textId="77777777" w:rsidR="005F4BFD" w:rsidRPr="00846351" w:rsidRDefault="005F4BFD" w:rsidP="00863627">
            <w:pPr>
              <w:pStyle w:val="Parastais"/>
              <w:jc w:val="both"/>
            </w:pPr>
          </w:p>
        </w:tc>
        <w:tc>
          <w:tcPr>
            <w:tcW w:w="1920" w:type="dxa"/>
            <w:tcBorders>
              <w:top w:val="single" w:sz="4" w:space="0" w:color="auto"/>
              <w:left w:val="single" w:sz="4" w:space="0" w:color="auto"/>
              <w:bottom w:val="single" w:sz="4" w:space="0" w:color="auto"/>
            </w:tcBorders>
          </w:tcPr>
          <w:p w14:paraId="6C8E6289" w14:textId="77777777" w:rsidR="005F4BFD" w:rsidRPr="00846351" w:rsidRDefault="005F4BFD" w:rsidP="00863627">
            <w:pPr>
              <w:pStyle w:val="Parastais"/>
              <w:jc w:val="both"/>
            </w:pPr>
          </w:p>
        </w:tc>
      </w:tr>
    </w:tbl>
    <w:p w14:paraId="67E866B4" w14:textId="77777777" w:rsidR="007B4C0F" w:rsidRPr="00846351" w:rsidRDefault="007B4C0F" w:rsidP="007B4C0F">
      <w:pPr>
        <w:pStyle w:val="naisf"/>
        <w:spacing w:before="0" w:after="0"/>
        <w:ind w:firstLine="0"/>
      </w:pPr>
    </w:p>
    <w:p w14:paraId="59B8F097" w14:textId="77777777" w:rsidR="005D67F7" w:rsidRPr="00846351" w:rsidRDefault="005D67F7" w:rsidP="005D67F7">
      <w:pPr>
        <w:pStyle w:val="naisf"/>
        <w:spacing w:before="0" w:after="0"/>
        <w:ind w:firstLine="0"/>
        <w:rPr>
          <w:b/>
        </w:rPr>
      </w:pPr>
      <w:r w:rsidRPr="00846351">
        <w:rPr>
          <w:b/>
        </w:rPr>
        <w:t>Informācija par starpministriju (starpinstitūciju) sanāksmi vai elektronisko saskaņošanu</w:t>
      </w:r>
    </w:p>
    <w:p w14:paraId="26F2AB98" w14:textId="77777777" w:rsidR="005D67F7" w:rsidRPr="00846351" w:rsidRDefault="005D67F7" w:rsidP="005D67F7">
      <w:pPr>
        <w:pStyle w:val="naisf"/>
        <w:spacing w:before="0" w:after="0"/>
        <w:ind w:firstLine="0"/>
        <w:rPr>
          <w:b/>
        </w:rPr>
      </w:pPr>
    </w:p>
    <w:tbl>
      <w:tblPr>
        <w:tblW w:w="11980" w:type="dxa"/>
        <w:tblLook w:val="00A0" w:firstRow="1" w:lastRow="0" w:firstColumn="1" w:lastColumn="0" w:noHBand="0" w:noVBand="0"/>
      </w:tblPr>
      <w:tblGrid>
        <w:gridCol w:w="6345"/>
        <w:gridCol w:w="363"/>
        <w:gridCol w:w="238"/>
        <w:gridCol w:w="5034"/>
      </w:tblGrid>
      <w:tr w:rsidR="007B4C0F" w:rsidRPr="00846351" w14:paraId="5E8F6382" w14:textId="77777777" w:rsidTr="00C860CE">
        <w:tc>
          <w:tcPr>
            <w:tcW w:w="6345" w:type="dxa"/>
          </w:tcPr>
          <w:p w14:paraId="46ADBEC9" w14:textId="77777777" w:rsidR="007B4C0F" w:rsidRPr="00846351" w:rsidRDefault="005D67F7" w:rsidP="005D67F7">
            <w:pPr>
              <w:pStyle w:val="naisf"/>
              <w:spacing w:before="0" w:after="0"/>
              <w:ind w:firstLine="0"/>
            </w:pPr>
            <w:r w:rsidRPr="00846351">
              <w:t>D</w:t>
            </w:r>
            <w:r w:rsidR="007B4C0F" w:rsidRPr="00846351">
              <w:t>atums</w:t>
            </w:r>
          </w:p>
        </w:tc>
        <w:tc>
          <w:tcPr>
            <w:tcW w:w="5633" w:type="dxa"/>
            <w:gridSpan w:val="3"/>
            <w:tcBorders>
              <w:bottom w:val="single" w:sz="4" w:space="0" w:color="auto"/>
            </w:tcBorders>
          </w:tcPr>
          <w:p w14:paraId="127CF353" w14:textId="59D47034" w:rsidR="0095355A" w:rsidRPr="00846351" w:rsidRDefault="0095355A" w:rsidP="0036160E">
            <w:pPr>
              <w:pStyle w:val="ParastaisWeb"/>
              <w:spacing w:before="0" w:beforeAutospacing="0" w:after="0" w:afterAutospacing="0"/>
              <w:ind w:firstLine="720"/>
            </w:pPr>
          </w:p>
        </w:tc>
      </w:tr>
      <w:tr w:rsidR="003C27A2" w:rsidRPr="00846351" w14:paraId="6FA9557B" w14:textId="77777777" w:rsidTr="00C860CE">
        <w:tc>
          <w:tcPr>
            <w:tcW w:w="6345" w:type="dxa"/>
          </w:tcPr>
          <w:p w14:paraId="3DE96072" w14:textId="77777777" w:rsidR="003C27A2" w:rsidRPr="00846351" w:rsidRDefault="003C27A2" w:rsidP="007B4C0F">
            <w:pPr>
              <w:pStyle w:val="naisf"/>
              <w:spacing w:before="0" w:after="0"/>
              <w:ind w:firstLine="0"/>
            </w:pPr>
          </w:p>
        </w:tc>
        <w:tc>
          <w:tcPr>
            <w:tcW w:w="5633" w:type="dxa"/>
            <w:gridSpan w:val="3"/>
            <w:tcBorders>
              <w:top w:val="single" w:sz="4" w:space="0" w:color="auto"/>
            </w:tcBorders>
          </w:tcPr>
          <w:p w14:paraId="3D25D6AC" w14:textId="77777777" w:rsidR="003C27A2" w:rsidRPr="00846351" w:rsidRDefault="003C27A2" w:rsidP="0036160E">
            <w:pPr>
              <w:pStyle w:val="ParastaisWeb"/>
              <w:spacing w:before="0" w:beforeAutospacing="0" w:after="0" w:afterAutospacing="0"/>
              <w:ind w:firstLine="720"/>
            </w:pPr>
          </w:p>
        </w:tc>
      </w:tr>
      <w:tr w:rsidR="007B4C0F" w:rsidRPr="00846351" w14:paraId="7368F34B" w14:textId="77777777" w:rsidTr="00C860CE">
        <w:tc>
          <w:tcPr>
            <w:tcW w:w="6345" w:type="dxa"/>
          </w:tcPr>
          <w:p w14:paraId="4E413716" w14:textId="77777777" w:rsidR="007B4C0F" w:rsidRPr="00846351" w:rsidRDefault="00365CC0" w:rsidP="003C27A2">
            <w:pPr>
              <w:pStyle w:val="naiskr"/>
              <w:spacing w:before="0" w:after="0"/>
            </w:pPr>
            <w:r w:rsidRPr="00846351">
              <w:t>Saskaņošanas dalībnieki</w:t>
            </w:r>
          </w:p>
        </w:tc>
        <w:tc>
          <w:tcPr>
            <w:tcW w:w="5633" w:type="dxa"/>
            <w:gridSpan w:val="3"/>
          </w:tcPr>
          <w:p w14:paraId="36EB13F2" w14:textId="1E337A53" w:rsidR="007B4C0F" w:rsidRPr="00846351" w:rsidRDefault="00C860CE" w:rsidP="00C860CE">
            <w:pPr>
              <w:pStyle w:val="ParastaisWeb"/>
              <w:spacing w:before="0" w:beforeAutospacing="0" w:after="0" w:afterAutospacing="0"/>
              <w:jc w:val="both"/>
            </w:pPr>
            <w:r w:rsidRPr="00846351">
              <w:t>Finanšu ministrija</w:t>
            </w:r>
          </w:p>
        </w:tc>
      </w:tr>
      <w:tr w:rsidR="007B4C0F" w:rsidRPr="00846351" w14:paraId="1991FC00" w14:textId="77777777" w:rsidTr="00C860CE">
        <w:tc>
          <w:tcPr>
            <w:tcW w:w="6345" w:type="dxa"/>
          </w:tcPr>
          <w:p w14:paraId="1C4A6FEC" w14:textId="77777777" w:rsidR="007B4C0F" w:rsidRPr="00846351" w:rsidRDefault="007B4C0F" w:rsidP="0036160E">
            <w:pPr>
              <w:pStyle w:val="naiskr"/>
              <w:spacing w:before="0" w:after="0"/>
              <w:ind w:firstLine="720"/>
            </w:pPr>
          </w:p>
        </w:tc>
        <w:tc>
          <w:tcPr>
            <w:tcW w:w="5633" w:type="dxa"/>
            <w:gridSpan w:val="3"/>
            <w:tcBorders>
              <w:top w:val="single" w:sz="6" w:space="0" w:color="000000"/>
              <w:bottom w:val="single" w:sz="6" w:space="0" w:color="000000"/>
            </w:tcBorders>
          </w:tcPr>
          <w:p w14:paraId="6EB464F5" w14:textId="75DABD54" w:rsidR="007B4C0F" w:rsidRPr="00846351" w:rsidRDefault="00C860CE" w:rsidP="00C860CE">
            <w:pPr>
              <w:pStyle w:val="naiskr"/>
              <w:spacing w:before="0" w:after="0"/>
            </w:pPr>
            <w:r w:rsidRPr="00846351">
              <w:t>Tieslietu ministrija</w:t>
            </w:r>
          </w:p>
        </w:tc>
      </w:tr>
      <w:tr w:rsidR="000D0AED" w:rsidRPr="00846351" w14:paraId="7AA7000F" w14:textId="77777777" w:rsidTr="00C860CE">
        <w:trPr>
          <w:trHeight w:val="285"/>
        </w:trPr>
        <w:tc>
          <w:tcPr>
            <w:tcW w:w="6345" w:type="dxa"/>
          </w:tcPr>
          <w:p w14:paraId="107D3C2F" w14:textId="77777777" w:rsidR="000D0AED" w:rsidRPr="00846351" w:rsidRDefault="000D0AED" w:rsidP="000D0AED">
            <w:pPr>
              <w:pStyle w:val="naiskr"/>
              <w:spacing w:before="0" w:after="0"/>
            </w:pPr>
          </w:p>
        </w:tc>
        <w:tc>
          <w:tcPr>
            <w:tcW w:w="601" w:type="dxa"/>
            <w:gridSpan w:val="2"/>
          </w:tcPr>
          <w:p w14:paraId="2F7A82AF" w14:textId="77777777" w:rsidR="000D0AED" w:rsidRPr="00846351" w:rsidRDefault="000D0AED" w:rsidP="0036160E">
            <w:pPr>
              <w:pStyle w:val="naiskr"/>
              <w:spacing w:before="0" w:after="0"/>
              <w:ind w:firstLine="720"/>
            </w:pPr>
          </w:p>
        </w:tc>
        <w:tc>
          <w:tcPr>
            <w:tcW w:w="5034" w:type="dxa"/>
          </w:tcPr>
          <w:p w14:paraId="09F4427A" w14:textId="77777777" w:rsidR="000D0AED" w:rsidRPr="00846351" w:rsidRDefault="000D0AED" w:rsidP="0036160E">
            <w:pPr>
              <w:pStyle w:val="naiskr"/>
              <w:spacing w:before="0" w:after="0"/>
              <w:ind w:firstLine="12"/>
            </w:pPr>
          </w:p>
        </w:tc>
      </w:tr>
      <w:tr w:rsidR="007B4C0F" w:rsidRPr="00846351" w14:paraId="2964998F" w14:textId="77777777" w:rsidTr="00C860CE">
        <w:trPr>
          <w:trHeight w:val="285"/>
        </w:trPr>
        <w:tc>
          <w:tcPr>
            <w:tcW w:w="6708" w:type="dxa"/>
            <w:gridSpan w:val="2"/>
          </w:tcPr>
          <w:p w14:paraId="73BA3310" w14:textId="77777777" w:rsidR="007B4C0F" w:rsidRPr="00846351" w:rsidRDefault="00365CC0" w:rsidP="000D0AED">
            <w:pPr>
              <w:pStyle w:val="naiskr"/>
              <w:spacing w:before="0" w:after="0"/>
            </w:pPr>
            <w:r w:rsidRPr="00846351">
              <w:t xml:space="preserve">Saskaņošanas dalībnieki </w:t>
            </w:r>
            <w:r w:rsidR="007B4C0F" w:rsidRPr="00846351">
              <w:t>izskatīja</w:t>
            </w:r>
            <w:r w:rsidR="005D67F7" w:rsidRPr="00846351">
              <w:t xml:space="preserve"> šādu ministriju </w:t>
            </w:r>
            <w:r w:rsidR="003E4C3F" w:rsidRPr="00846351">
              <w:t>(c</w:t>
            </w:r>
            <w:r w:rsidR="005D67F7" w:rsidRPr="00846351">
              <w:t>itu institūciju</w:t>
            </w:r>
            <w:r w:rsidR="003E4C3F" w:rsidRPr="00846351">
              <w:t>)</w:t>
            </w:r>
            <w:r w:rsidR="005D67F7" w:rsidRPr="00846351">
              <w:t xml:space="preserve"> iebildumus</w:t>
            </w:r>
          </w:p>
        </w:tc>
        <w:tc>
          <w:tcPr>
            <w:tcW w:w="238" w:type="dxa"/>
          </w:tcPr>
          <w:p w14:paraId="4945D124" w14:textId="77777777" w:rsidR="007B4C0F" w:rsidRPr="00846351" w:rsidRDefault="007B4C0F" w:rsidP="0036160E">
            <w:pPr>
              <w:pStyle w:val="naiskr"/>
              <w:spacing w:before="0" w:after="0"/>
              <w:ind w:firstLine="720"/>
            </w:pPr>
          </w:p>
        </w:tc>
        <w:tc>
          <w:tcPr>
            <w:tcW w:w="5034" w:type="dxa"/>
          </w:tcPr>
          <w:p w14:paraId="16753450" w14:textId="206D833B" w:rsidR="007B4C0F" w:rsidRPr="00846351" w:rsidRDefault="00C860CE" w:rsidP="00C860CE">
            <w:pPr>
              <w:pStyle w:val="naiskr"/>
              <w:spacing w:before="0" w:after="0"/>
            </w:pPr>
            <w:r w:rsidRPr="00846351">
              <w:t>Tieslietu ministrijas</w:t>
            </w:r>
          </w:p>
        </w:tc>
      </w:tr>
      <w:tr w:rsidR="003C27A2" w:rsidRPr="00846351" w14:paraId="7BE6EFE1" w14:textId="77777777" w:rsidTr="00C860CE">
        <w:trPr>
          <w:trHeight w:val="359"/>
        </w:trPr>
        <w:tc>
          <w:tcPr>
            <w:tcW w:w="6708" w:type="dxa"/>
            <w:gridSpan w:val="2"/>
          </w:tcPr>
          <w:p w14:paraId="1363DB25" w14:textId="77777777" w:rsidR="003C27A2" w:rsidRPr="00846351" w:rsidRDefault="003C27A2" w:rsidP="0036160E">
            <w:pPr>
              <w:pStyle w:val="naiskr"/>
              <w:spacing w:before="0" w:after="0"/>
              <w:ind w:firstLine="720"/>
            </w:pPr>
            <w:r w:rsidRPr="00846351">
              <w:t>  </w:t>
            </w:r>
          </w:p>
        </w:tc>
        <w:tc>
          <w:tcPr>
            <w:tcW w:w="5270" w:type="dxa"/>
            <w:gridSpan w:val="2"/>
            <w:tcBorders>
              <w:top w:val="single" w:sz="6" w:space="0" w:color="000000"/>
              <w:bottom w:val="single" w:sz="6" w:space="0" w:color="000000"/>
            </w:tcBorders>
          </w:tcPr>
          <w:p w14:paraId="78DAC5E6" w14:textId="3394C4AE" w:rsidR="003C27A2" w:rsidRPr="00846351" w:rsidRDefault="00A32A6C" w:rsidP="0036160E">
            <w:pPr>
              <w:pStyle w:val="ParastaisWeb"/>
              <w:spacing w:before="0" w:beforeAutospacing="0" w:after="0" w:afterAutospacing="0"/>
              <w:ind w:firstLine="720"/>
            </w:pPr>
            <w:r w:rsidRPr="00846351">
              <w:t>Finanšu ministrijas</w:t>
            </w:r>
          </w:p>
        </w:tc>
      </w:tr>
      <w:tr w:rsidR="007B4C0F" w:rsidRPr="00846351" w14:paraId="7F213370" w14:textId="77777777" w:rsidTr="00C860CE">
        <w:trPr>
          <w:trHeight w:val="465"/>
        </w:trPr>
        <w:tc>
          <w:tcPr>
            <w:tcW w:w="11978" w:type="dxa"/>
            <w:gridSpan w:val="4"/>
          </w:tcPr>
          <w:p w14:paraId="658D7728" w14:textId="77777777" w:rsidR="007B4C0F" w:rsidRPr="00846351" w:rsidRDefault="007B4C0F" w:rsidP="00E02B33">
            <w:pPr>
              <w:pStyle w:val="naisc"/>
              <w:spacing w:before="0" w:after="0"/>
              <w:ind w:left="4820" w:firstLine="720"/>
            </w:pPr>
          </w:p>
        </w:tc>
      </w:tr>
      <w:tr w:rsidR="007B4C0F" w:rsidRPr="00846351" w14:paraId="17DDAAFC" w14:textId="77777777" w:rsidTr="00C860CE">
        <w:tc>
          <w:tcPr>
            <w:tcW w:w="6708" w:type="dxa"/>
            <w:gridSpan w:val="2"/>
          </w:tcPr>
          <w:p w14:paraId="37BF3DD5" w14:textId="77777777" w:rsidR="007B4C0F" w:rsidRPr="00846351" w:rsidRDefault="007B4C0F" w:rsidP="0036160E">
            <w:pPr>
              <w:pStyle w:val="naiskr"/>
              <w:spacing w:before="0" w:after="0"/>
            </w:pPr>
            <w:r w:rsidRPr="00846351">
              <w:lastRenderedPageBreak/>
              <w:t>Ministrijas (citas institūcijas), kuras nav ieradušās uz sanāksmi vai kuras nav atbildējušas uz uzaicinājumu piedalīties elektroniskajā saskaņošanā</w:t>
            </w:r>
          </w:p>
        </w:tc>
        <w:tc>
          <w:tcPr>
            <w:tcW w:w="5270" w:type="dxa"/>
            <w:gridSpan w:val="2"/>
          </w:tcPr>
          <w:p w14:paraId="3EB3EED1" w14:textId="232F54A3" w:rsidR="007B4C0F" w:rsidRPr="00846351" w:rsidRDefault="007B4C0F" w:rsidP="0036160E">
            <w:pPr>
              <w:pStyle w:val="naiskr"/>
              <w:spacing w:before="0" w:after="0"/>
              <w:ind w:firstLine="720"/>
            </w:pPr>
          </w:p>
        </w:tc>
      </w:tr>
      <w:tr w:rsidR="007B4C0F" w:rsidRPr="00846351" w14:paraId="0E190D5F" w14:textId="77777777" w:rsidTr="00C860CE">
        <w:tc>
          <w:tcPr>
            <w:tcW w:w="6708" w:type="dxa"/>
            <w:gridSpan w:val="2"/>
          </w:tcPr>
          <w:p w14:paraId="2DF53DF8" w14:textId="77777777" w:rsidR="007B4C0F" w:rsidRPr="00846351" w:rsidRDefault="007B4C0F" w:rsidP="0036160E">
            <w:pPr>
              <w:pStyle w:val="naiskr"/>
              <w:spacing w:before="0" w:after="0"/>
              <w:ind w:firstLine="720"/>
            </w:pPr>
            <w:r w:rsidRPr="00846351">
              <w:t>  </w:t>
            </w:r>
          </w:p>
        </w:tc>
        <w:tc>
          <w:tcPr>
            <w:tcW w:w="5270" w:type="dxa"/>
            <w:gridSpan w:val="2"/>
            <w:tcBorders>
              <w:top w:val="single" w:sz="6" w:space="0" w:color="000000"/>
              <w:bottom w:val="single" w:sz="6" w:space="0" w:color="000000"/>
            </w:tcBorders>
          </w:tcPr>
          <w:p w14:paraId="34572451" w14:textId="77777777" w:rsidR="007B4C0F" w:rsidRPr="00846351" w:rsidRDefault="007B4C0F" w:rsidP="0036160E">
            <w:pPr>
              <w:pStyle w:val="naiskr"/>
              <w:spacing w:before="0" w:after="0"/>
              <w:ind w:firstLine="720"/>
            </w:pPr>
          </w:p>
        </w:tc>
      </w:tr>
    </w:tbl>
    <w:p w14:paraId="7222B619" w14:textId="77777777" w:rsidR="008601B6" w:rsidRPr="00846351" w:rsidRDefault="008601B6" w:rsidP="00184479">
      <w:pPr>
        <w:pStyle w:val="naisf"/>
        <w:spacing w:before="0" w:after="0"/>
        <w:ind w:firstLine="0"/>
        <w:jc w:val="center"/>
        <w:rPr>
          <w:b/>
        </w:rPr>
      </w:pPr>
    </w:p>
    <w:p w14:paraId="38B0CCF3" w14:textId="77777777" w:rsidR="007B4C0F" w:rsidRPr="00846351" w:rsidRDefault="007B4C0F" w:rsidP="00184479">
      <w:pPr>
        <w:pStyle w:val="naisf"/>
        <w:spacing w:before="0" w:after="0"/>
        <w:ind w:firstLine="0"/>
        <w:jc w:val="center"/>
        <w:rPr>
          <w:b/>
        </w:rPr>
      </w:pPr>
      <w:r w:rsidRPr="00846351">
        <w:rPr>
          <w:b/>
        </w:rPr>
        <w:t>II. </w:t>
      </w:r>
      <w:r w:rsidR="00134188" w:rsidRPr="00846351">
        <w:rPr>
          <w:b/>
        </w:rPr>
        <w:t>Jautājumi, par kuriem saskaņošanā vienošan</w:t>
      </w:r>
      <w:r w:rsidR="00144622" w:rsidRPr="00846351">
        <w:rPr>
          <w:b/>
        </w:rPr>
        <w:t>ā</w:t>
      </w:r>
      <w:r w:rsidR="00134188" w:rsidRPr="00846351">
        <w:rPr>
          <w:b/>
        </w:rPr>
        <w:t>s ir panākta</w:t>
      </w:r>
    </w:p>
    <w:p w14:paraId="71B36775" w14:textId="77777777" w:rsidR="008601B6" w:rsidRPr="00846351" w:rsidRDefault="008601B6" w:rsidP="00184479">
      <w:pPr>
        <w:pStyle w:val="naisf"/>
        <w:spacing w:before="0" w:after="0"/>
        <w:ind w:firstLine="0"/>
        <w:jc w:val="center"/>
        <w:rPr>
          <w:b/>
        </w:rPr>
      </w:pPr>
    </w:p>
    <w:tbl>
      <w:tblP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28"/>
        <w:gridCol w:w="741"/>
        <w:gridCol w:w="4504"/>
        <w:gridCol w:w="1122"/>
        <w:gridCol w:w="579"/>
        <w:gridCol w:w="4252"/>
      </w:tblGrid>
      <w:tr w:rsidR="00134188" w:rsidRPr="00846351" w14:paraId="79F75A4F" w14:textId="77777777" w:rsidTr="000C649E">
        <w:tc>
          <w:tcPr>
            <w:tcW w:w="708" w:type="dxa"/>
            <w:tcBorders>
              <w:top w:val="single" w:sz="6" w:space="0" w:color="000000"/>
              <w:left w:val="single" w:sz="6" w:space="0" w:color="000000"/>
              <w:bottom w:val="single" w:sz="6" w:space="0" w:color="000000"/>
              <w:right w:val="single" w:sz="6" w:space="0" w:color="000000"/>
            </w:tcBorders>
            <w:vAlign w:val="center"/>
          </w:tcPr>
          <w:p w14:paraId="0A94E3E6" w14:textId="77777777" w:rsidR="00134188" w:rsidRPr="00846351" w:rsidRDefault="00134188" w:rsidP="009623BC">
            <w:pPr>
              <w:pStyle w:val="naisc"/>
              <w:spacing w:before="0" w:after="0"/>
            </w:pPr>
            <w:r w:rsidRPr="00846351">
              <w:t>Nr. p.k.</w:t>
            </w:r>
          </w:p>
        </w:tc>
        <w:tc>
          <w:tcPr>
            <w:tcW w:w="2828" w:type="dxa"/>
            <w:tcBorders>
              <w:top w:val="single" w:sz="6" w:space="0" w:color="000000"/>
              <w:left w:val="single" w:sz="6" w:space="0" w:color="000000"/>
              <w:bottom w:val="single" w:sz="6" w:space="0" w:color="000000"/>
              <w:right w:val="single" w:sz="6" w:space="0" w:color="000000"/>
            </w:tcBorders>
            <w:vAlign w:val="center"/>
          </w:tcPr>
          <w:p w14:paraId="0CF7B3B8" w14:textId="77777777" w:rsidR="00134188" w:rsidRPr="00846351" w:rsidRDefault="00134188" w:rsidP="009623BC">
            <w:pPr>
              <w:pStyle w:val="naisc"/>
              <w:spacing w:before="0" w:after="0"/>
              <w:ind w:firstLine="12"/>
            </w:pPr>
            <w:r w:rsidRPr="00846351">
              <w:t>Saskaņošanai nosūtītā projekta redakcija (konkrēta punkta (panta) redakcija)</w:t>
            </w:r>
          </w:p>
        </w:tc>
        <w:tc>
          <w:tcPr>
            <w:tcW w:w="5245" w:type="dxa"/>
            <w:gridSpan w:val="2"/>
            <w:tcBorders>
              <w:top w:val="single" w:sz="6" w:space="0" w:color="000000"/>
              <w:left w:val="single" w:sz="6" w:space="0" w:color="000000"/>
              <w:bottom w:val="single" w:sz="6" w:space="0" w:color="000000"/>
              <w:right w:val="single" w:sz="6" w:space="0" w:color="000000"/>
            </w:tcBorders>
            <w:vAlign w:val="center"/>
          </w:tcPr>
          <w:p w14:paraId="15B6400F" w14:textId="77777777" w:rsidR="00134188" w:rsidRPr="00846351" w:rsidRDefault="00134188" w:rsidP="009623BC">
            <w:pPr>
              <w:pStyle w:val="naisc"/>
              <w:spacing w:before="0" w:after="0"/>
              <w:ind w:right="3"/>
            </w:pPr>
            <w:r w:rsidRPr="00846351">
              <w:t>Atzinumā norādītais ministrijas (citas institūcijas) iebildums, kā arī saskaņošanā papildus izteiktais iebildums par projekta konkrēto punktu (pantu)</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0BC44B5B" w14:textId="77777777" w:rsidR="00134188" w:rsidRPr="00846351" w:rsidRDefault="00134188" w:rsidP="009623BC">
            <w:pPr>
              <w:pStyle w:val="naisc"/>
              <w:spacing w:before="0" w:after="0"/>
              <w:ind w:firstLine="21"/>
            </w:pPr>
            <w:r w:rsidRPr="00846351">
              <w:t>Atbildīgās ministrijas norāde</w:t>
            </w:r>
            <w:r w:rsidR="006C1C48" w:rsidRPr="00846351">
              <w:t xml:space="preserve"> par to, ka </w:t>
            </w:r>
            <w:r w:rsidRPr="00846351">
              <w:t>iebildums ir ņemts vērā</w:t>
            </w:r>
            <w:r w:rsidR="006455E7" w:rsidRPr="00846351">
              <w:t>,</w:t>
            </w:r>
            <w:r w:rsidRPr="00846351">
              <w:t xml:space="preserve"> vai </w:t>
            </w:r>
            <w:r w:rsidR="006C1C48" w:rsidRPr="00846351">
              <w:t xml:space="preserve">informācija par saskaņošanā </w:t>
            </w:r>
            <w:r w:rsidR="00022B0F" w:rsidRPr="00846351">
              <w:t>panākto alternatīvo risinājumu</w:t>
            </w:r>
          </w:p>
        </w:tc>
        <w:tc>
          <w:tcPr>
            <w:tcW w:w="4252" w:type="dxa"/>
            <w:tcBorders>
              <w:top w:val="single" w:sz="4" w:space="0" w:color="auto"/>
              <w:left w:val="single" w:sz="4" w:space="0" w:color="auto"/>
              <w:bottom w:val="single" w:sz="4" w:space="0" w:color="auto"/>
            </w:tcBorders>
            <w:vAlign w:val="center"/>
          </w:tcPr>
          <w:p w14:paraId="048B959D" w14:textId="77777777" w:rsidR="00134188" w:rsidRPr="00846351" w:rsidRDefault="00134188" w:rsidP="009623BC">
            <w:pPr>
              <w:pStyle w:val="Parastais"/>
              <w:jc w:val="center"/>
            </w:pPr>
            <w:r w:rsidRPr="00846351">
              <w:t>Projekta attiecīgā punkta (panta) galīgā redakcija</w:t>
            </w:r>
          </w:p>
        </w:tc>
      </w:tr>
      <w:tr w:rsidR="00134188" w:rsidRPr="00846351" w14:paraId="5A5A144E" w14:textId="77777777" w:rsidTr="000C649E">
        <w:tc>
          <w:tcPr>
            <w:tcW w:w="708" w:type="dxa"/>
            <w:tcBorders>
              <w:top w:val="single" w:sz="6" w:space="0" w:color="000000"/>
              <w:left w:val="single" w:sz="6" w:space="0" w:color="000000"/>
              <w:bottom w:val="single" w:sz="6" w:space="0" w:color="000000"/>
              <w:right w:val="single" w:sz="6" w:space="0" w:color="000000"/>
            </w:tcBorders>
          </w:tcPr>
          <w:p w14:paraId="21508455" w14:textId="77777777" w:rsidR="00134188" w:rsidRPr="00846351" w:rsidRDefault="003B71E0" w:rsidP="003B71E0">
            <w:pPr>
              <w:pStyle w:val="naisc"/>
              <w:spacing w:before="0" w:after="0"/>
            </w:pPr>
            <w:r w:rsidRPr="00846351">
              <w:t>1</w:t>
            </w:r>
          </w:p>
        </w:tc>
        <w:tc>
          <w:tcPr>
            <w:tcW w:w="2828" w:type="dxa"/>
            <w:tcBorders>
              <w:top w:val="single" w:sz="6" w:space="0" w:color="000000"/>
              <w:left w:val="single" w:sz="6" w:space="0" w:color="000000"/>
              <w:bottom w:val="single" w:sz="6" w:space="0" w:color="000000"/>
              <w:right w:val="single" w:sz="6" w:space="0" w:color="000000"/>
            </w:tcBorders>
          </w:tcPr>
          <w:p w14:paraId="28F17FA1" w14:textId="77777777" w:rsidR="00134188" w:rsidRPr="00846351" w:rsidRDefault="00F34AAB" w:rsidP="00022D01">
            <w:pPr>
              <w:pStyle w:val="naisc"/>
              <w:spacing w:before="0" w:after="0"/>
            </w:pPr>
            <w:r w:rsidRPr="00846351">
              <w:t>2</w:t>
            </w:r>
          </w:p>
        </w:tc>
        <w:tc>
          <w:tcPr>
            <w:tcW w:w="5245" w:type="dxa"/>
            <w:gridSpan w:val="2"/>
            <w:tcBorders>
              <w:top w:val="single" w:sz="6" w:space="0" w:color="000000"/>
              <w:left w:val="single" w:sz="6" w:space="0" w:color="000000"/>
              <w:bottom w:val="single" w:sz="6" w:space="0" w:color="000000"/>
              <w:right w:val="single" w:sz="6" w:space="0" w:color="000000"/>
            </w:tcBorders>
          </w:tcPr>
          <w:p w14:paraId="53BA19A8" w14:textId="77777777" w:rsidR="00134188" w:rsidRPr="00846351" w:rsidRDefault="003B71E0" w:rsidP="00022D01">
            <w:pPr>
              <w:pStyle w:val="naisc"/>
              <w:spacing w:before="0" w:after="0"/>
            </w:pPr>
            <w:r w:rsidRPr="00846351">
              <w:t>3</w:t>
            </w:r>
          </w:p>
        </w:tc>
        <w:tc>
          <w:tcPr>
            <w:tcW w:w="1701" w:type="dxa"/>
            <w:gridSpan w:val="2"/>
            <w:tcBorders>
              <w:top w:val="single" w:sz="6" w:space="0" w:color="000000"/>
              <w:left w:val="single" w:sz="6" w:space="0" w:color="000000"/>
              <w:bottom w:val="single" w:sz="6" w:space="0" w:color="000000"/>
              <w:right w:val="single" w:sz="6" w:space="0" w:color="000000"/>
            </w:tcBorders>
          </w:tcPr>
          <w:p w14:paraId="25771787" w14:textId="77777777" w:rsidR="00134188" w:rsidRPr="00846351" w:rsidRDefault="003B71E0" w:rsidP="00022D01">
            <w:pPr>
              <w:pStyle w:val="naisc"/>
              <w:spacing w:before="0" w:after="0"/>
            </w:pPr>
            <w:r w:rsidRPr="00846351">
              <w:t>4</w:t>
            </w:r>
          </w:p>
        </w:tc>
        <w:tc>
          <w:tcPr>
            <w:tcW w:w="4252" w:type="dxa"/>
            <w:tcBorders>
              <w:top w:val="single" w:sz="4" w:space="0" w:color="auto"/>
              <w:left w:val="single" w:sz="4" w:space="0" w:color="auto"/>
              <w:bottom w:val="single" w:sz="4" w:space="0" w:color="auto"/>
            </w:tcBorders>
          </w:tcPr>
          <w:p w14:paraId="64CE532F" w14:textId="77777777" w:rsidR="00134188" w:rsidRPr="00846351" w:rsidRDefault="003B71E0" w:rsidP="003B71E0">
            <w:pPr>
              <w:pStyle w:val="Parastais"/>
              <w:jc w:val="center"/>
            </w:pPr>
            <w:r w:rsidRPr="00846351">
              <w:t>5</w:t>
            </w:r>
          </w:p>
        </w:tc>
      </w:tr>
      <w:tr w:rsidR="00A32A6C" w:rsidRPr="00846351" w14:paraId="12549B30" w14:textId="77777777" w:rsidTr="0005645E">
        <w:tc>
          <w:tcPr>
            <w:tcW w:w="14734" w:type="dxa"/>
            <w:gridSpan w:val="7"/>
            <w:tcBorders>
              <w:top w:val="single" w:sz="6" w:space="0" w:color="000000"/>
              <w:left w:val="single" w:sz="6" w:space="0" w:color="000000"/>
              <w:bottom w:val="single" w:sz="6" w:space="0" w:color="000000"/>
            </w:tcBorders>
          </w:tcPr>
          <w:p w14:paraId="234467F3" w14:textId="683CE891" w:rsidR="00A32A6C" w:rsidRPr="00846351" w:rsidRDefault="00A32A6C" w:rsidP="003B71E0">
            <w:pPr>
              <w:pStyle w:val="Parastais"/>
              <w:jc w:val="center"/>
              <w:rPr>
                <w:b/>
              </w:rPr>
            </w:pPr>
            <w:r w:rsidRPr="00846351">
              <w:rPr>
                <w:b/>
              </w:rPr>
              <w:t>Tieslietu ministrija</w:t>
            </w:r>
          </w:p>
        </w:tc>
      </w:tr>
      <w:tr w:rsidR="00944709" w:rsidRPr="00846351" w14:paraId="754FAB37" w14:textId="77777777" w:rsidTr="000C649E">
        <w:tc>
          <w:tcPr>
            <w:tcW w:w="708" w:type="dxa"/>
            <w:tcBorders>
              <w:top w:val="single" w:sz="6" w:space="0" w:color="000000"/>
              <w:left w:val="single" w:sz="6" w:space="0" w:color="000000"/>
              <w:bottom w:val="single" w:sz="6" w:space="0" w:color="000000"/>
              <w:right w:val="single" w:sz="6" w:space="0" w:color="000000"/>
            </w:tcBorders>
          </w:tcPr>
          <w:p w14:paraId="4CC9D332" w14:textId="77777777" w:rsidR="00944709" w:rsidRPr="00846351" w:rsidRDefault="0042504A" w:rsidP="003B71E0">
            <w:pPr>
              <w:pStyle w:val="naisc"/>
              <w:spacing w:before="0" w:after="0"/>
            </w:pPr>
            <w:r w:rsidRPr="00846351">
              <w:t>1.</w:t>
            </w:r>
          </w:p>
        </w:tc>
        <w:tc>
          <w:tcPr>
            <w:tcW w:w="2828" w:type="dxa"/>
            <w:tcBorders>
              <w:top w:val="single" w:sz="6" w:space="0" w:color="000000"/>
              <w:left w:val="single" w:sz="6" w:space="0" w:color="000000"/>
              <w:bottom w:val="single" w:sz="6" w:space="0" w:color="000000"/>
              <w:right w:val="single" w:sz="6" w:space="0" w:color="000000"/>
            </w:tcBorders>
          </w:tcPr>
          <w:p w14:paraId="75B7FD5A" w14:textId="2871A931" w:rsidR="00944709" w:rsidRPr="00846351" w:rsidRDefault="00C860CE" w:rsidP="008D1B1E">
            <w:pPr>
              <w:pStyle w:val="naisc"/>
              <w:spacing w:before="0" w:after="0"/>
              <w:jc w:val="left"/>
              <w:rPr>
                <w:b/>
              </w:rPr>
            </w:pPr>
            <w:r w:rsidRPr="00846351">
              <w:rPr>
                <w:b/>
                <w:color w:val="000000"/>
              </w:rPr>
              <w:t>Informatīvais ziņojums</w:t>
            </w:r>
            <w:r w:rsidR="004D44B5" w:rsidRPr="00846351">
              <w:rPr>
                <w:b/>
                <w:color w:val="000000"/>
              </w:rPr>
              <w:t xml:space="preserve"> un Ministru kabineta sēdes protokollēmuma projekts</w:t>
            </w:r>
          </w:p>
        </w:tc>
        <w:tc>
          <w:tcPr>
            <w:tcW w:w="5245" w:type="dxa"/>
            <w:gridSpan w:val="2"/>
            <w:tcBorders>
              <w:top w:val="single" w:sz="6" w:space="0" w:color="000000"/>
              <w:left w:val="single" w:sz="6" w:space="0" w:color="000000"/>
              <w:bottom w:val="single" w:sz="6" w:space="0" w:color="000000"/>
              <w:right w:val="single" w:sz="6" w:space="0" w:color="000000"/>
            </w:tcBorders>
          </w:tcPr>
          <w:p w14:paraId="5329984F" w14:textId="77777777" w:rsidR="00A32A6C" w:rsidRPr="00846351" w:rsidRDefault="00A32A6C" w:rsidP="001C4DDE">
            <w:pPr>
              <w:widowControl w:val="0"/>
              <w:ind w:firstLine="745"/>
              <w:contextualSpacing/>
              <w:jc w:val="both"/>
              <w:rPr>
                <w:sz w:val="24"/>
                <w:szCs w:val="24"/>
              </w:rPr>
            </w:pPr>
            <w:bookmarkStart w:id="0" w:name="_Hlk70520815"/>
            <w:r w:rsidRPr="00846351">
              <w:rPr>
                <w:iCs/>
                <w:sz w:val="24"/>
                <w:szCs w:val="24"/>
              </w:rPr>
              <w:t>Sabiedrības vajadzībām nepieciešamā nekustamā īpašuma atsavināšanas likuma</w:t>
            </w:r>
            <w:bookmarkEnd w:id="0"/>
            <w:r w:rsidRPr="00846351">
              <w:rPr>
                <w:iCs/>
                <w:sz w:val="24"/>
                <w:szCs w:val="24"/>
              </w:rPr>
              <w:t xml:space="preserve"> (turpmāk – Atsavināšanas likums) 2. pantā noteikts: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Savukārt šī likuma 5. pantā noteikts, ka "nekustamā īpašuma piespiedu atsavināšana sabiedrības vajadzībām </w:t>
            </w:r>
            <w:r w:rsidRPr="00846351">
              <w:rPr>
                <w:iCs/>
                <w:sz w:val="24"/>
                <w:szCs w:val="24"/>
              </w:rPr>
              <w:lastRenderedPageBreak/>
              <w:t xml:space="preserve">pieļaujama izņēmuma gadījumos vienīgi pret taisnīgu atlīdzību un tikai uz atsevišķa likuma pamata, ievērojot šajā likumā paredzētos nosacījumus". </w:t>
            </w:r>
          </w:p>
          <w:p w14:paraId="7DC4FB44" w14:textId="77777777" w:rsidR="00A32A6C" w:rsidRPr="00846351" w:rsidRDefault="00A32A6C" w:rsidP="00A32A6C">
            <w:pPr>
              <w:ind w:firstLine="720"/>
              <w:contextualSpacing/>
              <w:jc w:val="both"/>
              <w:rPr>
                <w:iCs/>
                <w:sz w:val="24"/>
                <w:szCs w:val="24"/>
              </w:rPr>
            </w:pPr>
            <w:r w:rsidRPr="00846351">
              <w:rPr>
                <w:color w:val="000000" w:themeColor="text1"/>
                <w:sz w:val="24"/>
                <w:szCs w:val="24"/>
              </w:rPr>
              <w:t>Latvijas Republikas Satversmes tiesa savā spriedumā ir secinājusi, ka “no Atsavināšanas likumā ietvertā regulējuma izriet, ka institūcija nekustamo īpašumu piespiedu kārtā uz atsevišķa likuma pamata atsavina tikai tad, ja nav iespējams to atsavināt labprātīgi. To pamato nepieciešamība pēc iespējas saudzēt personas tiesības gadījumos, kad sabiedrības vajadzības nav iespējams apmierināt bez nekustamā īpašuma atsavināšanas”</w:t>
            </w:r>
            <w:r w:rsidRPr="00846351">
              <w:rPr>
                <w:color w:val="000000" w:themeColor="text1"/>
                <w:sz w:val="24"/>
                <w:szCs w:val="24"/>
                <w:vertAlign w:val="superscript"/>
              </w:rPr>
              <w:footnoteReference w:id="1"/>
            </w:r>
            <w:r w:rsidRPr="00846351">
              <w:rPr>
                <w:color w:val="000000" w:themeColor="text1"/>
                <w:sz w:val="24"/>
                <w:szCs w:val="24"/>
              </w:rPr>
              <w:t>. Šajā spriedumā arī secināts, ka “labprātīga atsavināšana negarantē īpašniekam iespēju īpašumu paturēt, tomēr labprātīgas atsavināšanas procesā īpašniekam var būt lielākas iespējas panākt abpusēji pieņemamus atsavināšanas nosacījumus”</w:t>
            </w:r>
            <w:r w:rsidRPr="00846351">
              <w:rPr>
                <w:color w:val="000000" w:themeColor="text1"/>
                <w:sz w:val="24"/>
                <w:szCs w:val="24"/>
                <w:vertAlign w:val="superscript"/>
              </w:rPr>
              <w:footnoteReference w:id="2"/>
            </w:r>
            <w:r w:rsidRPr="00846351">
              <w:rPr>
                <w:color w:val="000000" w:themeColor="text1"/>
                <w:sz w:val="24"/>
                <w:szCs w:val="24"/>
              </w:rPr>
              <w:t xml:space="preserve">. Tādējādi, lai arī Atsavināšanas likumā paredzētas divas iespējas – labprātīga un piespiedu nekustamā īpašuma atsavināšana, tomēr labprātīgums atsavināšanas procesa ietvaros ir relatīvs tādā aspektā, ka, ja persona nepiekrīt atsavināt īpašumu labprātīgi, t.i., noslēdzot līgumu, tad nekustamais īpašums saskaņā ar Atsavināšanas likuma regulējumu vienalga tiek atsavināts uz likuma pamata. Ņemot vērā to, ka nekustamo īpašumu atsavināšana sabiedrības vajadzībām ir Latvijas Republikas Satversmē garantēto pamattiesību ierobežojums, Tieslietu ministrijas ieskatā arī no Atsavināšanas likuma </w:t>
            </w:r>
            <w:r w:rsidRPr="00846351">
              <w:rPr>
                <w:color w:val="000000" w:themeColor="text1"/>
                <w:sz w:val="24"/>
                <w:szCs w:val="24"/>
              </w:rPr>
              <w:lastRenderedPageBreak/>
              <w:t>regulējuma izriet tas, ka par nekustamo īpašumu atsavināšanu institūcija izšķiras tikai tad, kad tās kompetencē esošo sabiedrības vajadzību nodrošināšana nevar tikt sasniegta ar citiem līdzekļiem. Šādos gadījumos institūcijai ir jāvar identificēt tās sabiedrības vajadzības, kuru nodrošināšanai nekustamo īpašumu nepieciešams atsavināt, tāpat arī institūcijai ir jāvar pamatot, kādēļ konkrētā nekustamā īpašuma atsavināšana ir būtiska sabiedrības vajadzību nodrošināšanā, un jāizvērtē, vai bez šī īpašuma atsavināšanas nevarēs efektīvi tikt īstenots sabiedrības vajadzību nodrošināšanai nepieciešamais projekts vai institūcijas funkcijas.</w:t>
            </w:r>
          </w:p>
          <w:p w14:paraId="08E8677A" w14:textId="77777777" w:rsidR="00A32A6C" w:rsidRPr="00846351" w:rsidRDefault="00A32A6C" w:rsidP="00A32A6C">
            <w:pPr>
              <w:ind w:firstLine="720"/>
              <w:contextualSpacing/>
              <w:jc w:val="both"/>
              <w:rPr>
                <w:iCs/>
                <w:sz w:val="24"/>
                <w:szCs w:val="24"/>
              </w:rPr>
            </w:pPr>
            <w:r w:rsidRPr="00846351">
              <w:rPr>
                <w:iCs/>
                <w:sz w:val="24"/>
                <w:szCs w:val="24"/>
              </w:rPr>
              <w:t xml:space="preserve">Ņemot vērā minēto, lūdzam skaidri identificēt sabiedrības vajadzību vai vajadzības (piemēram, sabiedriskās kārtības un drošības nodrošināšana, noziedzības novēršana un apkarošana, un tamlīdzīgi), kuru nodrošināšanai nepieciešams atsavināt privātpersonai piederošu nekustamo īpašumu konkrētajā gadījumā, un norādīt šo vajadzību kā pamatojumu atsavināšanas nepieciešamībai gan Informatīvā ziņojuma, gan protokollēmuma projekta nosaukumā, kā arī atbilstoši papildināt Informatīvā ziņojuma tekstu un protokollēmuma projekta 2. punktu. </w:t>
            </w:r>
            <w:r w:rsidRPr="00846351">
              <w:rPr>
                <w:iCs/>
                <w:sz w:val="24"/>
                <w:szCs w:val="24"/>
                <w:u w:val="single"/>
              </w:rPr>
              <w:t>Tāpat arī lūdzam vismaz īsumā izklāstīt, kā konkrētajā gadījumā nekustamā īpašuma atsavināšana ir būtiski nepieciešama identificēto sabiedrības vajadzību nodrošināšanai.</w:t>
            </w:r>
          </w:p>
          <w:p w14:paraId="52DC04FD" w14:textId="461EB9E5" w:rsidR="00944709" w:rsidRPr="00846351" w:rsidRDefault="00944709" w:rsidP="000C649E">
            <w:pPr>
              <w:pStyle w:val="NormalWeb"/>
              <w:spacing w:before="0" w:after="0"/>
              <w:ind w:firstLine="720"/>
              <w:contextualSpacing/>
              <w:jc w:val="both"/>
              <w:rPr>
                <w:iCs/>
              </w:rPr>
            </w:pPr>
          </w:p>
        </w:tc>
        <w:tc>
          <w:tcPr>
            <w:tcW w:w="1701" w:type="dxa"/>
            <w:gridSpan w:val="2"/>
            <w:tcBorders>
              <w:top w:val="single" w:sz="6" w:space="0" w:color="000000"/>
              <w:left w:val="single" w:sz="6" w:space="0" w:color="000000"/>
              <w:bottom w:val="single" w:sz="6" w:space="0" w:color="000000"/>
              <w:right w:val="single" w:sz="6" w:space="0" w:color="000000"/>
            </w:tcBorders>
          </w:tcPr>
          <w:p w14:paraId="5DB83BF2" w14:textId="515C2D92" w:rsidR="005031A1" w:rsidRPr="00846351" w:rsidRDefault="000C649E" w:rsidP="000C649E">
            <w:pPr>
              <w:pStyle w:val="naisc"/>
              <w:spacing w:before="0" w:after="0"/>
              <w:jc w:val="left"/>
              <w:rPr>
                <w:b/>
              </w:rPr>
            </w:pPr>
            <w:r w:rsidRPr="00846351">
              <w:rPr>
                <w:b/>
              </w:rPr>
              <w:lastRenderedPageBreak/>
              <w:t>Ņemts vērā</w:t>
            </w:r>
          </w:p>
        </w:tc>
        <w:tc>
          <w:tcPr>
            <w:tcW w:w="4252" w:type="dxa"/>
            <w:tcBorders>
              <w:top w:val="single" w:sz="4" w:space="0" w:color="auto"/>
              <w:left w:val="single" w:sz="4" w:space="0" w:color="auto"/>
              <w:bottom w:val="single" w:sz="4" w:space="0" w:color="auto"/>
            </w:tcBorders>
          </w:tcPr>
          <w:p w14:paraId="6BDA3533" w14:textId="5315CD21" w:rsidR="008D1B1E" w:rsidRDefault="00AD3BAE" w:rsidP="00A02B27">
            <w:pPr>
              <w:pStyle w:val="Parastais"/>
              <w:jc w:val="both"/>
              <w:rPr>
                <w:color w:val="000000"/>
              </w:rPr>
            </w:pPr>
            <w:r w:rsidRPr="00846351">
              <w:rPr>
                <w:color w:val="000000"/>
              </w:rPr>
              <w:t>Precizēts informatīvais ziņojums un Ministru kabineta sēdes protokollēmuma projekts.</w:t>
            </w:r>
          </w:p>
          <w:p w14:paraId="275FDD45" w14:textId="790A0329" w:rsidR="00101B78" w:rsidRPr="00101B78" w:rsidRDefault="00101B78" w:rsidP="00A02B27">
            <w:pPr>
              <w:pStyle w:val="Parastais"/>
              <w:jc w:val="both"/>
              <w:rPr>
                <w:color w:val="000000"/>
              </w:rPr>
            </w:pPr>
            <w:r w:rsidRPr="00101B78">
              <w:rPr>
                <w:color w:val="000000"/>
              </w:rPr>
              <w:t>Ziņojums papildināts ar šādu tekstu:</w:t>
            </w:r>
          </w:p>
          <w:p w14:paraId="06A2CDAC" w14:textId="77777777" w:rsidR="00101B78" w:rsidRDefault="00101B78" w:rsidP="00101B78">
            <w:pPr>
              <w:widowControl w:val="0"/>
              <w:jc w:val="both"/>
              <w:rPr>
                <w:color w:val="000000"/>
                <w:sz w:val="24"/>
                <w:szCs w:val="24"/>
              </w:rPr>
            </w:pPr>
            <w:r w:rsidRPr="00101B78">
              <w:rPr>
                <w:color w:val="000000"/>
                <w:sz w:val="24"/>
                <w:szCs w:val="24"/>
              </w:rPr>
              <w:t>“Minētie apstākļi būtiski apgrūtina Valsts policijas funkciju un uzdevumu savlaicīgu un efektīvu izpildi, kā rezultātā var tikt kavēta sabiedrībai vitāli nepieciešamo pakalpojumu sniegšana, veicinot vispārēju drošības stāvokļa strauju pasliktināšanos valstī, tajā skaitā noziedzības līme</w:t>
            </w:r>
            <w:r>
              <w:rPr>
                <w:color w:val="000000"/>
                <w:sz w:val="24"/>
                <w:szCs w:val="24"/>
              </w:rPr>
              <w:t xml:space="preserve">ņa pieaugumu. Neatbilstošs materiāltehniskais nodrošinājums un </w:t>
            </w:r>
            <w:r>
              <w:rPr>
                <w:color w:val="000000"/>
                <w:sz w:val="24"/>
                <w:szCs w:val="24"/>
              </w:rPr>
              <w:lastRenderedPageBreak/>
              <w:t>infrastruktūra samazina nodarbināto motivāciju un darba produktivitāti, kā arī  veicina personāla aizplūšanu.</w:t>
            </w:r>
          </w:p>
          <w:p w14:paraId="50E938C1" w14:textId="55DF31EE" w:rsidR="00101B78" w:rsidRPr="00AA5EC0" w:rsidRDefault="00D70549" w:rsidP="00101B78">
            <w:pPr>
              <w:pStyle w:val="Parastais"/>
              <w:jc w:val="both"/>
            </w:pPr>
            <w:r>
              <w:rPr>
                <w:color w:val="000000"/>
              </w:rPr>
              <w:t>Nekustamie īpašumi tiek atsavināti</w:t>
            </w:r>
            <w:r w:rsidR="00101B78" w:rsidRPr="00846351">
              <w:rPr>
                <w:color w:val="000000"/>
              </w:rPr>
              <w:t xml:space="preserve"> </w:t>
            </w:r>
            <w:r w:rsidR="00101B78" w:rsidRPr="00846351">
              <w:t>tādu sabiedrībai nepieciešamo vajadzību nodrošināšanai, kas saistīt</w:t>
            </w:r>
            <w:r w:rsidR="00101B78">
              <w:t>a</w:t>
            </w:r>
            <w:r w:rsidR="00101B78" w:rsidRPr="00846351">
              <w:t xml:space="preserve">s ar sabiedriskās kārtības un drošības </w:t>
            </w:r>
            <w:r w:rsidR="00101B78">
              <w:t>nodrošināšanu, t.sk. noziedzīgu nodarījumu un citu likumpārkāpumu novēršanu un atklāšanu</w:t>
            </w:r>
            <w:r>
              <w:t>,</w:t>
            </w:r>
            <w:r w:rsidRPr="005B2CCD">
              <w:rPr>
                <w:sz w:val="28"/>
                <w:szCs w:val="28"/>
              </w:rPr>
              <w:t xml:space="preserve"> </w:t>
            </w:r>
            <w:r w:rsidR="00AA5EC0">
              <w:rPr>
                <w:sz w:val="28"/>
                <w:szCs w:val="28"/>
              </w:rPr>
              <w:t xml:space="preserve">kā arī kopējo Valsts policijas </w:t>
            </w:r>
            <w:r w:rsidR="00AA5EC0" w:rsidRPr="00AA5EC0">
              <w:t>spēju stiprināšanu, nodrošinot Valsts policiju un perspektīvā arī citus iekšlietu dienestus, ne tikai ar atbilstošām darba telpām un nepieciešamo materiāltehnisko nodrošinājumu, bet arī ar atbilstošu mācību un treniņu bāzi nodarbināto profesionālo spēju sagatavošanai, pilnveidei un attīstībai, kā arī nepieciešamo transporta infrastruktūru, ko saskaņā ar Iekšlietu ministrijas ieceri plānots veidot uz zem ēkas esošā un tam pieguļošā zemesgabala</w:t>
            </w:r>
            <w:r w:rsidR="00AA5EC0">
              <w:t xml:space="preserve">, </w:t>
            </w:r>
            <w:r w:rsidRPr="00AA5EC0">
              <w:t>tādējādi nekustamo īpašumu atsavināšana</w:t>
            </w:r>
            <w:r w:rsidRPr="00D70549">
              <w:t xml:space="preserve"> atbilst Sabiedrības vajadzībām nepieciešamā nekustamā īpašuma atsavināšanas likuma 2.pantā minētajam mērķim</w:t>
            </w:r>
            <w:r>
              <w:t xml:space="preserve"> un kopējām sabiedrības interesēm,</w:t>
            </w:r>
            <w:r>
              <w:rPr>
                <w:sz w:val="28"/>
                <w:szCs w:val="28"/>
              </w:rPr>
              <w:t xml:space="preserve"> </w:t>
            </w:r>
            <w:r>
              <w:t>ko apstiprina arī fakts, ka</w:t>
            </w:r>
            <w:r w:rsidRPr="00D70549">
              <w:t xml:space="preserve"> Iekšlietu ministrija un Valsts policija regulāri saņem sūdzības gan no </w:t>
            </w:r>
            <w:r w:rsidRPr="00D70549">
              <w:lastRenderedPageBreak/>
              <w:t xml:space="preserve">nodarbinātajiem, gan no iedzīvotājiem par kritisko situāciju, kādā atrodas Valsts policijas </w:t>
            </w:r>
            <w:r w:rsidRPr="00AA5EC0">
              <w:t>iecirkņi</w:t>
            </w:r>
            <w:r w:rsidR="00AA5EC0" w:rsidRPr="00AA5EC0">
              <w:t xml:space="preserve">, </w:t>
            </w:r>
            <w:r w:rsidR="00AA5EC0" w:rsidRPr="00AA5EC0">
              <w:t>kā arī procentuāli augstā kadru main</w:t>
            </w:r>
            <w:r w:rsidR="00AA5EC0" w:rsidRPr="00AA5EC0">
              <w:t xml:space="preserve">ība iekšlietu dienestos </w:t>
            </w:r>
            <w:r w:rsidRPr="00AA5EC0">
              <w:t>.</w:t>
            </w:r>
            <w:r w:rsidR="00101B78" w:rsidRPr="00AA5EC0">
              <w:rPr>
                <w:color w:val="000000"/>
              </w:rPr>
              <w:t>”.</w:t>
            </w:r>
          </w:p>
          <w:p w14:paraId="10283EDF" w14:textId="77777777" w:rsidR="00101B78" w:rsidRPr="00846351" w:rsidRDefault="00101B78" w:rsidP="00A02B27">
            <w:pPr>
              <w:pStyle w:val="Parastais"/>
              <w:jc w:val="both"/>
              <w:rPr>
                <w:color w:val="000000"/>
              </w:rPr>
            </w:pPr>
          </w:p>
          <w:p w14:paraId="27BBA3F4" w14:textId="77777777" w:rsidR="00AD3BAE" w:rsidRPr="00846351" w:rsidRDefault="00AD3BAE" w:rsidP="00A02B27">
            <w:pPr>
              <w:pStyle w:val="Parastais"/>
              <w:jc w:val="both"/>
              <w:rPr>
                <w:color w:val="000000"/>
              </w:rPr>
            </w:pPr>
          </w:p>
          <w:p w14:paraId="657CE06F" w14:textId="77777777" w:rsidR="004D44B5" w:rsidRPr="00846351" w:rsidRDefault="004D44B5" w:rsidP="00A02B27">
            <w:pPr>
              <w:pStyle w:val="Parastais"/>
              <w:jc w:val="both"/>
              <w:rPr>
                <w:color w:val="000000"/>
              </w:rPr>
            </w:pPr>
          </w:p>
          <w:p w14:paraId="66B2D2D9" w14:textId="20134832" w:rsidR="00AD3BAE" w:rsidRPr="00846351" w:rsidRDefault="00AD3BAE" w:rsidP="00A02B27">
            <w:pPr>
              <w:pStyle w:val="Parastais"/>
              <w:jc w:val="both"/>
            </w:pPr>
            <w:bookmarkStart w:id="1" w:name="_GoBack"/>
            <w:bookmarkEnd w:id="1"/>
          </w:p>
        </w:tc>
      </w:tr>
      <w:tr w:rsidR="00944709" w:rsidRPr="00846351" w14:paraId="689B0EE6" w14:textId="77777777" w:rsidTr="000C649E">
        <w:tc>
          <w:tcPr>
            <w:tcW w:w="708" w:type="dxa"/>
            <w:tcBorders>
              <w:top w:val="single" w:sz="6" w:space="0" w:color="000000"/>
              <w:left w:val="single" w:sz="6" w:space="0" w:color="000000"/>
              <w:bottom w:val="single" w:sz="6" w:space="0" w:color="000000"/>
              <w:right w:val="single" w:sz="6" w:space="0" w:color="000000"/>
            </w:tcBorders>
          </w:tcPr>
          <w:p w14:paraId="0C685BC3" w14:textId="77777777" w:rsidR="00944709" w:rsidRPr="00846351" w:rsidRDefault="0042504A" w:rsidP="003B71E0">
            <w:pPr>
              <w:pStyle w:val="naisc"/>
              <w:spacing w:before="0" w:after="0"/>
            </w:pPr>
            <w:r w:rsidRPr="00846351">
              <w:lastRenderedPageBreak/>
              <w:t>2.</w:t>
            </w:r>
          </w:p>
        </w:tc>
        <w:tc>
          <w:tcPr>
            <w:tcW w:w="2828" w:type="dxa"/>
            <w:tcBorders>
              <w:top w:val="single" w:sz="6" w:space="0" w:color="000000"/>
              <w:left w:val="single" w:sz="6" w:space="0" w:color="000000"/>
              <w:bottom w:val="single" w:sz="6" w:space="0" w:color="000000"/>
              <w:right w:val="single" w:sz="6" w:space="0" w:color="000000"/>
            </w:tcBorders>
          </w:tcPr>
          <w:p w14:paraId="1A950835" w14:textId="7B606A6A" w:rsidR="00944709" w:rsidRPr="00846351" w:rsidRDefault="004D44B5" w:rsidP="004D44B5">
            <w:pPr>
              <w:pStyle w:val="Parastais"/>
              <w:jc w:val="both"/>
            </w:pPr>
            <w:r w:rsidRPr="00846351">
              <w:t xml:space="preserve">3.Atļaut Iekšlietu ministrijai uzsākt </w:t>
            </w:r>
            <w:r w:rsidRPr="00846351">
              <w:lastRenderedPageBreak/>
              <w:t>nekustamā ī</w:t>
            </w:r>
            <w:r w:rsidR="001C4DDE" w:rsidRPr="00846351">
              <w:t>pašuma atsavināšanas procedūru.</w:t>
            </w:r>
          </w:p>
        </w:tc>
        <w:tc>
          <w:tcPr>
            <w:tcW w:w="5245" w:type="dxa"/>
            <w:gridSpan w:val="2"/>
            <w:tcBorders>
              <w:top w:val="single" w:sz="6" w:space="0" w:color="000000"/>
              <w:left w:val="single" w:sz="6" w:space="0" w:color="000000"/>
              <w:bottom w:val="single" w:sz="6" w:space="0" w:color="000000"/>
              <w:right w:val="single" w:sz="6" w:space="0" w:color="000000"/>
            </w:tcBorders>
          </w:tcPr>
          <w:p w14:paraId="744956C1" w14:textId="77777777" w:rsidR="00A32A6C" w:rsidRPr="00846351" w:rsidRDefault="00A32A6C" w:rsidP="001C4DDE">
            <w:pPr>
              <w:widowControl w:val="0"/>
              <w:ind w:firstLine="745"/>
              <w:contextualSpacing/>
              <w:jc w:val="both"/>
              <w:rPr>
                <w:iCs/>
                <w:sz w:val="24"/>
                <w:szCs w:val="24"/>
              </w:rPr>
            </w:pPr>
            <w:r w:rsidRPr="00846351">
              <w:rPr>
                <w:iCs/>
                <w:sz w:val="24"/>
                <w:szCs w:val="24"/>
              </w:rPr>
              <w:lastRenderedPageBreak/>
              <w:t xml:space="preserve">Lūdzam precizēt protokollēmuma projekta 3. punktu, paredzot atļauju uzsākt nekustamā </w:t>
            </w:r>
            <w:r w:rsidRPr="00846351">
              <w:rPr>
                <w:iCs/>
                <w:sz w:val="24"/>
                <w:szCs w:val="24"/>
              </w:rPr>
              <w:lastRenderedPageBreak/>
              <w:t xml:space="preserve">īpašuma atsavināšanas procedūru </w:t>
            </w:r>
            <w:r w:rsidRPr="00846351">
              <w:rPr>
                <w:iCs/>
                <w:sz w:val="24"/>
                <w:szCs w:val="24"/>
                <w:u w:val="single"/>
              </w:rPr>
              <w:t>Atsavināšanas likumā noteiktajā kārtībā</w:t>
            </w:r>
            <w:r w:rsidRPr="00846351">
              <w:rPr>
                <w:iCs/>
                <w:sz w:val="24"/>
                <w:szCs w:val="24"/>
              </w:rPr>
              <w:t>.</w:t>
            </w:r>
          </w:p>
          <w:p w14:paraId="6016D1AA" w14:textId="11436162" w:rsidR="00944709" w:rsidRPr="00846351" w:rsidRDefault="00944709" w:rsidP="00A32A6C">
            <w:pPr>
              <w:widowControl w:val="0"/>
              <w:ind w:firstLine="745"/>
              <w:contextualSpacing/>
              <w:jc w:val="both"/>
              <w:rPr>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Pr>
          <w:p w14:paraId="66764F0E" w14:textId="77777777" w:rsidR="00944709" w:rsidRPr="00846351" w:rsidRDefault="0042504A" w:rsidP="0042504A">
            <w:pPr>
              <w:pStyle w:val="naisc"/>
              <w:spacing w:before="0" w:after="0"/>
              <w:jc w:val="left"/>
            </w:pPr>
            <w:r w:rsidRPr="00846351">
              <w:rPr>
                <w:b/>
              </w:rPr>
              <w:lastRenderedPageBreak/>
              <w:t>Ņemts vērā</w:t>
            </w:r>
          </w:p>
        </w:tc>
        <w:tc>
          <w:tcPr>
            <w:tcW w:w="4252" w:type="dxa"/>
            <w:tcBorders>
              <w:top w:val="single" w:sz="4" w:space="0" w:color="auto"/>
              <w:left w:val="single" w:sz="4" w:space="0" w:color="auto"/>
              <w:bottom w:val="single" w:sz="4" w:space="0" w:color="auto"/>
            </w:tcBorders>
          </w:tcPr>
          <w:p w14:paraId="63C3C64B" w14:textId="43233DD1" w:rsidR="00A8674F" w:rsidRPr="00846351" w:rsidRDefault="004D44B5" w:rsidP="00F51780">
            <w:pPr>
              <w:pStyle w:val="Parastais"/>
              <w:jc w:val="both"/>
            </w:pPr>
            <w:r w:rsidRPr="00846351">
              <w:t xml:space="preserve">3.Atļaut Iekšlietu ministrijai uzsākt nekustamo īpašumu atsavināšanas </w:t>
            </w:r>
            <w:r w:rsidRPr="00846351">
              <w:lastRenderedPageBreak/>
              <w:t>procedūru Sabiedrības vajadzībām nepieciešamā nekustamā īpašuma atsavināšanas likumā noteiktajā kārtībā</w:t>
            </w:r>
            <w:r w:rsidR="001C4DDE" w:rsidRPr="00846351">
              <w:t>.</w:t>
            </w:r>
          </w:p>
        </w:tc>
      </w:tr>
      <w:tr w:rsidR="00944709" w:rsidRPr="00846351" w14:paraId="3F3EDF23" w14:textId="77777777" w:rsidTr="000C649E">
        <w:tc>
          <w:tcPr>
            <w:tcW w:w="708" w:type="dxa"/>
            <w:tcBorders>
              <w:top w:val="single" w:sz="6" w:space="0" w:color="000000"/>
              <w:left w:val="single" w:sz="6" w:space="0" w:color="000000"/>
              <w:bottom w:val="single" w:sz="6" w:space="0" w:color="000000"/>
              <w:right w:val="single" w:sz="6" w:space="0" w:color="000000"/>
            </w:tcBorders>
          </w:tcPr>
          <w:p w14:paraId="1F977DBA" w14:textId="77777777" w:rsidR="00944709" w:rsidRPr="00846351" w:rsidRDefault="00440921" w:rsidP="003B71E0">
            <w:pPr>
              <w:pStyle w:val="naisc"/>
              <w:spacing w:before="0" w:after="0"/>
            </w:pPr>
            <w:r w:rsidRPr="00846351">
              <w:lastRenderedPageBreak/>
              <w:t>3.</w:t>
            </w:r>
          </w:p>
        </w:tc>
        <w:tc>
          <w:tcPr>
            <w:tcW w:w="2828" w:type="dxa"/>
            <w:tcBorders>
              <w:top w:val="single" w:sz="6" w:space="0" w:color="000000"/>
              <w:left w:val="single" w:sz="6" w:space="0" w:color="000000"/>
              <w:bottom w:val="single" w:sz="6" w:space="0" w:color="000000"/>
              <w:right w:val="single" w:sz="6" w:space="0" w:color="000000"/>
            </w:tcBorders>
          </w:tcPr>
          <w:p w14:paraId="11BEF8D4" w14:textId="44487494" w:rsidR="00944709" w:rsidRPr="00846351" w:rsidRDefault="000C649E" w:rsidP="00440921">
            <w:pPr>
              <w:pStyle w:val="naisc"/>
              <w:spacing w:before="0" w:after="0"/>
              <w:jc w:val="left"/>
            </w:pPr>
            <w:r w:rsidRPr="00846351">
              <w:rPr>
                <w:b/>
                <w:color w:val="000000"/>
              </w:rPr>
              <w:t>Informatīvais ziņojums</w:t>
            </w:r>
          </w:p>
        </w:tc>
        <w:tc>
          <w:tcPr>
            <w:tcW w:w="5245" w:type="dxa"/>
            <w:gridSpan w:val="2"/>
            <w:tcBorders>
              <w:top w:val="single" w:sz="6" w:space="0" w:color="000000"/>
              <w:left w:val="single" w:sz="6" w:space="0" w:color="000000"/>
              <w:bottom w:val="single" w:sz="6" w:space="0" w:color="000000"/>
              <w:right w:val="single" w:sz="6" w:space="0" w:color="000000"/>
            </w:tcBorders>
          </w:tcPr>
          <w:p w14:paraId="34B41FA2" w14:textId="77777777" w:rsidR="00A32A6C" w:rsidRPr="00846351" w:rsidRDefault="00A32A6C" w:rsidP="001C4DDE">
            <w:pPr>
              <w:widowControl w:val="0"/>
              <w:ind w:firstLine="745"/>
              <w:contextualSpacing/>
              <w:jc w:val="both"/>
              <w:rPr>
                <w:iCs/>
                <w:sz w:val="24"/>
                <w:szCs w:val="24"/>
              </w:rPr>
            </w:pPr>
            <w:r w:rsidRPr="00846351">
              <w:rPr>
                <w:iCs/>
                <w:sz w:val="24"/>
                <w:szCs w:val="24"/>
              </w:rPr>
              <w:t xml:space="preserve">Informatīvā ziņojuma 2. lpp. norādīts sekojošais: "Ministru kabinets 2021. gada 18. martā atbalstīja papildus finansējuma piešķiršanu līdz 12 789 299 </w:t>
            </w:r>
            <w:proofErr w:type="spellStart"/>
            <w:r w:rsidRPr="00846351">
              <w:rPr>
                <w:iCs/>
                <w:sz w:val="24"/>
                <w:szCs w:val="24"/>
              </w:rPr>
              <w:t>euro</w:t>
            </w:r>
            <w:proofErr w:type="spellEnd"/>
            <w:r w:rsidRPr="00846351">
              <w:rPr>
                <w:iCs/>
                <w:sz w:val="24"/>
                <w:szCs w:val="24"/>
              </w:rPr>
              <w:t xml:space="preserve"> apmērā ēkas iegādei un pārbūvei Valsts policijas vajadzībām (prot. Nr.28 42.§). Saskaņā ar Ministru kabineta sēdes protokollēmuma 9. punktu līgumiem par ar </w:t>
            </w:r>
            <w:proofErr w:type="spellStart"/>
            <w:r w:rsidRPr="00846351">
              <w:rPr>
                <w:iCs/>
                <w:sz w:val="24"/>
                <w:szCs w:val="24"/>
              </w:rPr>
              <w:t>Covid-19</w:t>
            </w:r>
            <w:proofErr w:type="spellEnd"/>
            <w:r w:rsidRPr="00846351">
              <w:rPr>
                <w:iCs/>
                <w:sz w:val="24"/>
                <w:szCs w:val="24"/>
              </w:rPr>
              <w:t xml:space="preserve"> krīzes pārvarēšanu un ekonomikas atlabšanu saistītu augstas gatavības projektu īstenošanu jābūt noslēgtiem līdz 2021. gada 1. augustam." Savukārt Informatīvā ziņojuma 3. un 4. lpp. norādīts, ka, izvērtējot visus aktuālos tirgus piedāvājumus, par Valsts policijas vajadzībām vispiemērotāko tika atzītas kopumā trīs ēkas, savukārt pārējās ēkas tika atzītas par neatbilstošām, jo tika konstatēti dažādi šķēršļi, </w:t>
            </w:r>
            <w:r w:rsidRPr="00846351">
              <w:rPr>
                <w:iCs/>
                <w:sz w:val="24"/>
                <w:szCs w:val="24"/>
                <w:u w:val="single"/>
              </w:rPr>
              <w:t>kas apgrūtinātu iespēju līdz 2021. gada 1. augustam noslēgt līgumu par ēkas iegādi</w:t>
            </w:r>
            <w:r w:rsidRPr="00846351">
              <w:rPr>
                <w:iCs/>
                <w:sz w:val="24"/>
                <w:szCs w:val="24"/>
              </w:rPr>
              <w:t xml:space="preserve">, </w:t>
            </w:r>
            <w:r w:rsidRPr="00846351">
              <w:rPr>
                <w:iCs/>
                <w:sz w:val="24"/>
                <w:szCs w:val="24"/>
                <w:u w:val="single"/>
              </w:rPr>
              <w:t>kā to paredz Ministru kabineta 2021. gada 18. marta sēdes protokollēmuma (prot. Nr. 28 42. §) 9. punkts.</w:t>
            </w:r>
            <w:r w:rsidRPr="00846351">
              <w:rPr>
                <w:iCs/>
                <w:sz w:val="24"/>
                <w:szCs w:val="24"/>
              </w:rPr>
              <w:t xml:space="preserve"> Ņemot vērā šo Informatīvajā ziņojumā sniegto informāciju, lūdzam skaidrot, vai Iekšlietu ministrija plāno Atsavināšanas likumā noteiktajā kārtībā noslēgt līgumu par nekustamā īpašuma Pērnavas ielā 83, Rīgā (kadastra Nr. 01000380075) (turpmāk – Nekustamais īpašums) labprātīgu atsavināšanu līdz 2021. </w:t>
            </w:r>
            <w:r w:rsidRPr="00846351">
              <w:rPr>
                <w:sz w:val="24"/>
                <w:szCs w:val="24"/>
              </w:rPr>
              <w:t>gada 1. augustam.</w:t>
            </w:r>
          </w:p>
          <w:p w14:paraId="07FD8500" w14:textId="6E45222A" w:rsidR="00944709" w:rsidRPr="00846351" w:rsidRDefault="00944709" w:rsidP="00440921">
            <w:pPr>
              <w:pStyle w:val="naisc"/>
              <w:spacing w:before="0" w:after="0"/>
              <w:jc w:val="both"/>
            </w:pPr>
          </w:p>
        </w:tc>
        <w:tc>
          <w:tcPr>
            <w:tcW w:w="1701" w:type="dxa"/>
            <w:gridSpan w:val="2"/>
            <w:tcBorders>
              <w:top w:val="single" w:sz="6" w:space="0" w:color="000000"/>
              <w:left w:val="single" w:sz="6" w:space="0" w:color="000000"/>
              <w:bottom w:val="single" w:sz="6" w:space="0" w:color="000000"/>
              <w:right w:val="single" w:sz="6" w:space="0" w:color="000000"/>
            </w:tcBorders>
          </w:tcPr>
          <w:p w14:paraId="79CC6989" w14:textId="77777777" w:rsidR="00792890" w:rsidRPr="00846351" w:rsidRDefault="00440921" w:rsidP="00440921">
            <w:pPr>
              <w:pStyle w:val="naisc"/>
              <w:spacing w:before="0" w:after="0"/>
              <w:jc w:val="left"/>
              <w:rPr>
                <w:b/>
              </w:rPr>
            </w:pPr>
            <w:r w:rsidRPr="00846351">
              <w:rPr>
                <w:b/>
              </w:rPr>
              <w:t>Ņemts vērā</w:t>
            </w:r>
          </w:p>
          <w:p w14:paraId="0A00E834" w14:textId="46DBD021" w:rsidR="00B95243" w:rsidRPr="00846351" w:rsidRDefault="00B95243" w:rsidP="00440921">
            <w:pPr>
              <w:pStyle w:val="naisc"/>
              <w:spacing w:before="0" w:after="0"/>
              <w:jc w:val="left"/>
              <w:rPr>
                <w:color w:val="000000"/>
                <w:lang w:eastAsia="en-US"/>
              </w:rPr>
            </w:pPr>
            <w:r w:rsidRPr="00846351">
              <w:rPr>
                <w:color w:val="000000"/>
                <w:lang w:eastAsia="en-US"/>
              </w:rPr>
              <w:t xml:space="preserve"> </w:t>
            </w:r>
          </w:p>
          <w:p w14:paraId="23E40F1E" w14:textId="4285A77C" w:rsidR="00944709" w:rsidRPr="00846351" w:rsidRDefault="00944709" w:rsidP="00440921">
            <w:pPr>
              <w:pStyle w:val="naisc"/>
              <w:spacing w:before="0" w:after="0"/>
              <w:jc w:val="left"/>
            </w:pPr>
          </w:p>
        </w:tc>
        <w:tc>
          <w:tcPr>
            <w:tcW w:w="4252" w:type="dxa"/>
            <w:tcBorders>
              <w:top w:val="single" w:sz="4" w:space="0" w:color="auto"/>
              <w:left w:val="single" w:sz="4" w:space="0" w:color="auto"/>
              <w:bottom w:val="single" w:sz="4" w:space="0" w:color="auto"/>
            </w:tcBorders>
          </w:tcPr>
          <w:p w14:paraId="5F95C346" w14:textId="018775D9" w:rsidR="00AD3BAE" w:rsidRPr="00846351" w:rsidRDefault="00AD3BAE" w:rsidP="00AD3BAE">
            <w:pPr>
              <w:pStyle w:val="Parastais"/>
              <w:jc w:val="both"/>
              <w:rPr>
                <w:color w:val="000000"/>
              </w:rPr>
            </w:pPr>
            <w:r w:rsidRPr="00846351">
              <w:rPr>
                <w:color w:val="000000"/>
              </w:rPr>
              <w:t xml:space="preserve">Informatīvais ziņojums </w:t>
            </w:r>
            <w:r w:rsidR="004D44B5" w:rsidRPr="00846351">
              <w:rPr>
                <w:color w:val="000000"/>
              </w:rPr>
              <w:t>precizēts. Ziņojums papildināts ar tekstu šādā redakcijā:</w:t>
            </w:r>
          </w:p>
          <w:p w14:paraId="44C0AC32" w14:textId="7E9DCDD8" w:rsidR="004D44B5" w:rsidRPr="00846351" w:rsidRDefault="004D44B5" w:rsidP="00AD3BAE">
            <w:pPr>
              <w:pStyle w:val="Parastais"/>
              <w:jc w:val="both"/>
              <w:rPr>
                <w:color w:val="000000"/>
              </w:rPr>
            </w:pPr>
            <w:r w:rsidRPr="00846351">
              <w:rPr>
                <w:color w:val="000000"/>
              </w:rPr>
              <w:t>“</w:t>
            </w:r>
            <w:r w:rsidRPr="00846351">
              <w:t xml:space="preserve">Ņemot vērā, ka atsavināmo nekustamo īpašumu īpašnieks ir piekritis labprātīgai nekustamo īpašumu atsavināšanai, līgumu par nekustamo īpašumu iegādi </w:t>
            </w:r>
            <w:r w:rsidR="00484B38" w:rsidRPr="00484B38">
              <w:t xml:space="preserve">atbilstoši Ministru kabineta </w:t>
            </w:r>
            <w:r w:rsidR="00484B38" w:rsidRPr="00484B38">
              <w:rPr>
                <w:color w:val="000000"/>
              </w:rPr>
              <w:t>2021.gada 18.marta sēdē lemtajam</w:t>
            </w:r>
            <w:r w:rsidR="00484B38">
              <w:rPr>
                <w:sz w:val="28"/>
                <w:szCs w:val="28"/>
              </w:rPr>
              <w:t xml:space="preserve"> </w:t>
            </w:r>
            <w:r w:rsidRPr="00846351">
              <w:t>plānots noslēgt līdz 2021.gada 1.augustam, ievērojot Sabiedrības vajadzībām nepieciešamā nekustamā īpašuma atsavināšanas likumā noteiktās nekustamā īpašuma atsavināšanas procedūras.</w:t>
            </w:r>
            <w:r w:rsidRPr="00846351">
              <w:rPr>
                <w:color w:val="000000"/>
              </w:rPr>
              <w:t>”</w:t>
            </w:r>
          </w:p>
          <w:p w14:paraId="7F24BBA0" w14:textId="4028A3F0" w:rsidR="00944709" w:rsidRPr="00846351" w:rsidRDefault="00944709" w:rsidP="00C860CE">
            <w:pPr>
              <w:pStyle w:val="Parastais"/>
              <w:jc w:val="both"/>
            </w:pPr>
          </w:p>
        </w:tc>
      </w:tr>
      <w:tr w:rsidR="00944709" w:rsidRPr="00846351" w14:paraId="2F9467D6" w14:textId="77777777" w:rsidTr="000C649E">
        <w:tc>
          <w:tcPr>
            <w:tcW w:w="708" w:type="dxa"/>
            <w:tcBorders>
              <w:top w:val="single" w:sz="6" w:space="0" w:color="000000"/>
              <w:left w:val="single" w:sz="6" w:space="0" w:color="000000"/>
              <w:bottom w:val="single" w:sz="6" w:space="0" w:color="000000"/>
              <w:right w:val="single" w:sz="6" w:space="0" w:color="000000"/>
            </w:tcBorders>
          </w:tcPr>
          <w:p w14:paraId="6A031ED9" w14:textId="77777777" w:rsidR="00944709" w:rsidRPr="00846351" w:rsidRDefault="00AC1D01" w:rsidP="003B71E0">
            <w:pPr>
              <w:pStyle w:val="naisc"/>
              <w:spacing w:before="0" w:after="0"/>
            </w:pPr>
            <w:r w:rsidRPr="00846351">
              <w:t>4.</w:t>
            </w:r>
          </w:p>
        </w:tc>
        <w:tc>
          <w:tcPr>
            <w:tcW w:w="2828" w:type="dxa"/>
            <w:tcBorders>
              <w:top w:val="single" w:sz="6" w:space="0" w:color="000000"/>
              <w:left w:val="single" w:sz="6" w:space="0" w:color="000000"/>
              <w:bottom w:val="single" w:sz="6" w:space="0" w:color="000000"/>
              <w:right w:val="single" w:sz="6" w:space="0" w:color="000000"/>
            </w:tcBorders>
          </w:tcPr>
          <w:p w14:paraId="14C36292" w14:textId="4B28357E" w:rsidR="00944709" w:rsidRPr="00846351" w:rsidRDefault="000C649E" w:rsidP="00AC1D01">
            <w:pPr>
              <w:pStyle w:val="naisc"/>
              <w:spacing w:before="0" w:after="0"/>
              <w:jc w:val="left"/>
            </w:pPr>
            <w:r w:rsidRPr="00846351">
              <w:rPr>
                <w:b/>
                <w:color w:val="000000"/>
              </w:rPr>
              <w:t>Informatīvais ziņojums</w:t>
            </w:r>
          </w:p>
        </w:tc>
        <w:tc>
          <w:tcPr>
            <w:tcW w:w="5245" w:type="dxa"/>
            <w:gridSpan w:val="2"/>
            <w:tcBorders>
              <w:top w:val="single" w:sz="6" w:space="0" w:color="000000"/>
              <w:left w:val="single" w:sz="6" w:space="0" w:color="000000"/>
              <w:bottom w:val="single" w:sz="6" w:space="0" w:color="000000"/>
              <w:right w:val="single" w:sz="6" w:space="0" w:color="000000"/>
            </w:tcBorders>
          </w:tcPr>
          <w:p w14:paraId="34600A8C" w14:textId="77777777" w:rsidR="00A32A6C" w:rsidRPr="00846351" w:rsidRDefault="00A32A6C" w:rsidP="001C4DDE">
            <w:pPr>
              <w:widowControl w:val="0"/>
              <w:ind w:firstLine="603"/>
              <w:contextualSpacing/>
              <w:jc w:val="both"/>
              <w:rPr>
                <w:iCs/>
                <w:sz w:val="24"/>
                <w:szCs w:val="24"/>
              </w:rPr>
            </w:pPr>
            <w:r w:rsidRPr="00846351">
              <w:rPr>
                <w:rFonts w:eastAsia="Calibri"/>
                <w:iCs/>
                <w:sz w:val="24"/>
                <w:szCs w:val="24"/>
                <w:lang w:eastAsia="en-US"/>
              </w:rPr>
              <w:t xml:space="preserve">Informatīvā ziņojuma 5. lpp. norādīts, ka pārdošanas piedāvājumā ietilpst arī nekustamajam īpašumam </w:t>
            </w:r>
            <w:bookmarkStart w:id="2" w:name="_Hlk71386385"/>
            <w:r w:rsidRPr="00846351">
              <w:rPr>
                <w:rFonts w:eastAsia="Calibri"/>
                <w:iCs/>
                <w:sz w:val="24"/>
                <w:szCs w:val="24"/>
                <w:lang w:eastAsia="en-US"/>
              </w:rPr>
              <w:t xml:space="preserve">Pērnavas ielā 83, Rīgā (kadastra Nr. </w:t>
            </w:r>
            <w:r w:rsidRPr="00846351">
              <w:rPr>
                <w:rFonts w:eastAsia="Calibri"/>
                <w:iCs/>
                <w:sz w:val="24"/>
                <w:szCs w:val="24"/>
                <w:lang w:eastAsia="en-US"/>
              </w:rPr>
              <w:lastRenderedPageBreak/>
              <w:t>01000380075) (turpmāk – Nekustamais īpašums)</w:t>
            </w:r>
            <w:bookmarkEnd w:id="2"/>
            <w:r w:rsidRPr="00846351">
              <w:rPr>
                <w:rFonts w:eastAsia="Calibri"/>
                <w:iCs/>
                <w:sz w:val="24"/>
                <w:szCs w:val="24"/>
                <w:lang w:eastAsia="en-US"/>
              </w:rPr>
              <w:t xml:space="preserve"> blakus esošā zemes vienība (kadastra Nr. 01000382013) 0,3175 ha platībā, kas pieder tai paši juridiskajai personai. Arī protokollēmuma projekta 2. punkts paredz "</w:t>
            </w:r>
            <w:r w:rsidRPr="00846351">
              <w:rPr>
                <w:iCs/>
                <w:sz w:val="24"/>
                <w:szCs w:val="24"/>
              </w:rPr>
              <w:t xml:space="preserve">konceptuāli atbalstīt nekustamā īpašuma Pērnavas ielā 83 (kadastra numurs 01000380075 un 01000382013 ), Rīgā iegādi Valsts policijas vajadzībām", taču gan protokollēmuma projektā, gan Informatīvajā ziņojumā vārdi "nekustamais īpašums" tiek lietoti vienskaitlī, tādējādi nav skaidrs, vai Informatīvais ziņojums sagatavots un Ministru kabineta konceptuālais atbalsts sniedzams viena vai divu nekustamo īpašumu atsavināšanai sabiedrības vajadzībām. </w:t>
            </w:r>
            <w:r w:rsidRPr="00846351">
              <w:rPr>
                <w:rFonts w:eastAsia="Calibri"/>
                <w:iCs/>
                <w:sz w:val="24"/>
                <w:szCs w:val="24"/>
                <w:lang w:eastAsia="en-US"/>
              </w:rPr>
              <w:t>Lūdzam šo skaidrot, un, ja plānots atsavināt divus nekustamos īpašumus, tad, pirmkārt, ir jāprecizē gan nosaukums protokollēmuma projektam un Informatīvajam ziņojumam, gan arī kopumā jāprecizē to saturs, jo šobrīd gan protokollēmuma projektā, gan Informatīvajā ziņojumā vārdi "nekustamais īpašums" lietoti vienskaitlī.</w:t>
            </w:r>
          </w:p>
          <w:p w14:paraId="63816D1B" w14:textId="77777777" w:rsidR="00A32A6C" w:rsidRPr="00846351" w:rsidRDefault="00A32A6C" w:rsidP="00A32A6C">
            <w:pPr>
              <w:ind w:firstLine="720"/>
              <w:contextualSpacing/>
              <w:jc w:val="both"/>
              <w:rPr>
                <w:iCs/>
                <w:sz w:val="24"/>
                <w:szCs w:val="24"/>
              </w:rPr>
            </w:pPr>
            <w:r w:rsidRPr="00846351">
              <w:rPr>
                <w:iCs/>
                <w:sz w:val="24"/>
                <w:szCs w:val="24"/>
              </w:rPr>
              <w:t xml:space="preserve">Tāpat Tieslietu ministrija uzsver, ka katra konkrēta, atsevišķa nekustamā īpašuma atsavināšanai jābūt pamatotai Informatīvajā ziņojumā. Šobrīd Informatīvajā ziņojumā nav informācijas ne par to, kādēļ nepieciešams atsavināt ne tikai Nekustamo īpašumu, bet arī nekustamo īpašumu ar kadastra Nr. 01000382013, ne arī informācija par to, kādēļ atsavināms viss Nekustamais īpašums, nevis tikai tā Nekustamā īpašuma daļa (zemes platība), kas nepieciešama uz </w:t>
            </w:r>
            <w:r w:rsidRPr="00846351">
              <w:rPr>
                <w:iCs/>
                <w:sz w:val="24"/>
                <w:szCs w:val="24"/>
              </w:rPr>
              <w:lastRenderedPageBreak/>
              <w:t>tās esošās ēkas ar kadastra apzīmējumu 01000380075032 uzturēšanai, apsaimniekošanai un funkcionēšanai. Saskaņā ar Atsavināšanas likuma 6. panta pirmo daļu, ja sabiedrības vajadzībām nepieciešama tikai nekustamā īpašuma daļa (šajā gadījumā zeme tādā platībā, kas nepieciešama ēkas uzturēšanai), tad institūcija ierosina visa nekustamā īpašuma atsavināšanu un atsavina visu nekustamo īpašumu tikai tad, ja atlikusī daļa nepietiekamās platības, apgrūtinājumu, konfigurācijas vai citu apstākļu dēļ nav izmantojama atbilstoši vietējās pašvaldības teritorijas plānojumam, un ja vien nekustamā īpašuma īpašnieks tomēr nevēlas šo atlikušo (valstij nevajadzīgo) daļu paturēt sev.</w:t>
            </w:r>
          </w:p>
          <w:p w14:paraId="512CF272" w14:textId="77777777" w:rsidR="00A32A6C" w:rsidRPr="00846351" w:rsidRDefault="00A32A6C" w:rsidP="00A32A6C">
            <w:pPr>
              <w:ind w:firstLine="720"/>
              <w:contextualSpacing/>
              <w:jc w:val="both"/>
              <w:rPr>
                <w:iCs/>
                <w:sz w:val="24"/>
                <w:szCs w:val="24"/>
              </w:rPr>
            </w:pPr>
            <w:r w:rsidRPr="00846351">
              <w:rPr>
                <w:iCs/>
                <w:sz w:val="24"/>
                <w:szCs w:val="24"/>
              </w:rPr>
              <w:t xml:space="preserve">Vienlaikus Informatīvā ziņojuma 4. lpp. ietverta informācija, ka Nekustamajā īpašumā ietilpstošajai zemes vienībai saskaņā ar Valsts zemes dienesta Nekustamā īpašuma valsts kadastra informācijas sistēmas datiem reģistrēts apgrūtinājums: individuāli noteikta vides un dabas resursu aizsargjoslas (aizsardzības zonas) teritorija ap kultūras pieminekli, kas atbilstoši UNESCO Konvencijai par pasaules kultūras un dabas mantojuma aizsardzību iekļauts pasaules kultūras un dabas mantojuma objektu sarakstā (1,7337 ha). Aizsargjoslu likuma 38. panta otrajā punktā noteikts, ka aizsargjoslās (aizsardzības zonās) ap kultūras pieminekļiem, pārdodot vienam īpašniekam piederošu kultūras pieminekļa un tā aizsargjoslas zemi, aizliegts to sadalīt. </w:t>
            </w:r>
          </w:p>
          <w:p w14:paraId="44EB7E4C" w14:textId="5BF6D7C1" w:rsidR="00944709" w:rsidRPr="00846351" w:rsidRDefault="00A32A6C" w:rsidP="001C4DDE">
            <w:pPr>
              <w:spacing w:before="75" w:after="75"/>
              <w:ind w:firstLine="720"/>
              <w:contextualSpacing/>
              <w:jc w:val="both"/>
              <w:rPr>
                <w:iCs/>
                <w:sz w:val="24"/>
                <w:szCs w:val="24"/>
              </w:rPr>
            </w:pPr>
            <w:r w:rsidRPr="00846351">
              <w:rPr>
                <w:iCs/>
                <w:sz w:val="24"/>
                <w:szCs w:val="24"/>
              </w:rPr>
              <w:t xml:space="preserve">Ņemot vērā minēto, Tieslietu ministrijas ieskatā ir nepieciešams izvērtēt augstāk minētās </w:t>
            </w:r>
            <w:r w:rsidRPr="00846351">
              <w:rPr>
                <w:iCs/>
                <w:sz w:val="24"/>
                <w:szCs w:val="24"/>
              </w:rPr>
              <w:lastRenderedPageBreak/>
              <w:t>tiesību normas, to ietekmi uz konkrēto situāciju, kā arī ietvert šo izvērtējumu un pamatojumu par augstāk minētajiem aspektiem Informatīvajā ziņojumā.</w:t>
            </w:r>
          </w:p>
        </w:tc>
        <w:tc>
          <w:tcPr>
            <w:tcW w:w="1701" w:type="dxa"/>
            <w:gridSpan w:val="2"/>
            <w:tcBorders>
              <w:top w:val="single" w:sz="6" w:space="0" w:color="000000"/>
              <w:left w:val="single" w:sz="6" w:space="0" w:color="000000"/>
              <w:bottom w:val="single" w:sz="6" w:space="0" w:color="000000"/>
              <w:right w:val="single" w:sz="6" w:space="0" w:color="000000"/>
            </w:tcBorders>
          </w:tcPr>
          <w:p w14:paraId="1958F3DE" w14:textId="2B36946B" w:rsidR="00944709" w:rsidRPr="00846351" w:rsidRDefault="004D44B5" w:rsidP="00BE0D5D">
            <w:pPr>
              <w:pStyle w:val="naisc"/>
              <w:spacing w:before="0" w:after="0"/>
              <w:jc w:val="left"/>
              <w:rPr>
                <w:b/>
              </w:rPr>
            </w:pPr>
            <w:r w:rsidRPr="00846351">
              <w:rPr>
                <w:b/>
              </w:rPr>
              <w:lastRenderedPageBreak/>
              <w:t>Ņemts vērā</w:t>
            </w:r>
          </w:p>
        </w:tc>
        <w:tc>
          <w:tcPr>
            <w:tcW w:w="4252" w:type="dxa"/>
            <w:tcBorders>
              <w:top w:val="single" w:sz="4" w:space="0" w:color="auto"/>
              <w:left w:val="single" w:sz="4" w:space="0" w:color="auto"/>
              <w:bottom w:val="single" w:sz="4" w:space="0" w:color="auto"/>
            </w:tcBorders>
          </w:tcPr>
          <w:p w14:paraId="2028BC06" w14:textId="77777777" w:rsidR="004D44B5" w:rsidRPr="00846351" w:rsidRDefault="004D44B5" w:rsidP="004D44B5">
            <w:pPr>
              <w:pStyle w:val="Parastais"/>
              <w:jc w:val="both"/>
              <w:rPr>
                <w:color w:val="000000"/>
              </w:rPr>
            </w:pPr>
            <w:r w:rsidRPr="00846351">
              <w:rPr>
                <w:color w:val="000000"/>
              </w:rPr>
              <w:t>Informatīvais ziņojums precizēts. Ziņojums papildināts ar tekstu šādā redakcijā:</w:t>
            </w:r>
          </w:p>
          <w:p w14:paraId="21F6D413" w14:textId="5BE80B6C" w:rsidR="00AA5EC0" w:rsidRPr="00AA5EC0" w:rsidRDefault="004D44B5" w:rsidP="00AA5EC0">
            <w:pPr>
              <w:widowControl w:val="0"/>
              <w:jc w:val="both"/>
              <w:rPr>
                <w:sz w:val="24"/>
                <w:szCs w:val="24"/>
              </w:rPr>
            </w:pPr>
            <w:r w:rsidRPr="00AA5EC0">
              <w:rPr>
                <w:color w:val="000000"/>
                <w:sz w:val="24"/>
                <w:szCs w:val="24"/>
              </w:rPr>
              <w:lastRenderedPageBreak/>
              <w:t>“</w:t>
            </w:r>
            <w:r w:rsidR="00AA5EC0" w:rsidRPr="00AA5EC0">
              <w:rPr>
                <w:sz w:val="24"/>
                <w:szCs w:val="24"/>
              </w:rPr>
              <w:t>Pārdošanas piedāvājumā ietilpst arī īpašumam blakus esošā zemes vienība (kadastra numurs 0100 038 2013) 0,3175 ha platībā, kas pieder tai paši juridiskajai personai. Īpašuma tiesības uz nekustamo īpašumu ir nostiprinātas Rīgas pilsētas</w:t>
            </w:r>
            <w:r w:rsidR="00AA5EC0" w:rsidRPr="00AA5EC0">
              <w:rPr>
                <w:b/>
                <w:sz w:val="24"/>
                <w:szCs w:val="24"/>
              </w:rPr>
              <w:t xml:space="preserve"> </w:t>
            </w:r>
            <w:r w:rsidR="00AA5EC0" w:rsidRPr="00AA5EC0">
              <w:rPr>
                <w:sz w:val="24"/>
                <w:szCs w:val="24"/>
              </w:rPr>
              <w:t xml:space="preserve">zemesgrāmatas nodalījumā Nr.18561. Zemesgrāmatā nav reģistrēti apgrūtinājumi par labu trešajām personām, arī saskaņā ar kadastra datiem zemes vienība ir brīva no apgrūtinājumiem. Zemes vienības kadastrālā vērtība uz 2021.gada 1.janvāri ir 69 031 </w:t>
            </w:r>
            <w:proofErr w:type="spellStart"/>
            <w:r w:rsidR="00AA5EC0" w:rsidRPr="00AA5EC0">
              <w:rPr>
                <w:i/>
                <w:sz w:val="24"/>
                <w:szCs w:val="24"/>
              </w:rPr>
              <w:t>euro</w:t>
            </w:r>
            <w:proofErr w:type="spellEnd"/>
            <w:r w:rsidR="00AA5EC0" w:rsidRPr="00AA5EC0">
              <w:rPr>
                <w:i/>
                <w:sz w:val="24"/>
                <w:szCs w:val="24"/>
              </w:rPr>
              <w:t xml:space="preserve">. </w:t>
            </w:r>
            <w:r w:rsidR="00AA5EC0" w:rsidRPr="00AA5EC0">
              <w:rPr>
                <w:sz w:val="24"/>
                <w:szCs w:val="24"/>
              </w:rPr>
              <w:t>Lai īstenotu strukturālo reformu plānā paredzēto ieceri un nodrošinātu iekšlietu dienestus ar tam nepieciešamo infrastruktūru, Iekšlietu ministrija rosina atsavināt arī šo zemesgabalu, kurā perspektīvā plānota gan mācību un treniņu infrastruktūras, gan transporta infrastruktūras izveide atbilstoši normatīvo aktu prasībām, kā arī citu nepieciešamo inženierbūvju izbūve.</w:t>
            </w:r>
            <w:r w:rsidR="00AA5EC0" w:rsidRPr="00AA5EC0">
              <w:rPr>
                <w:sz w:val="24"/>
                <w:szCs w:val="24"/>
              </w:rPr>
              <w:t>”</w:t>
            </w:r>
          </w:p>
          <w:p w14:paraId="6D63FAAB" w14:textId="1B9A5A69" w:rsidR="005E69B5" w:rsidRPr="00846351" w:rsidRDefault="005E69B5" w:rsidP="00AA5EC0">
            <w:pPr>
              <w:jc w:val="both"/>
              <w:rPr>
                <w:color w:val="000000"/>
                <w:sz w:val="24"/>
                <w:szCs w:val="24"/>
              </w:rPr>
            </w:pPr>
          </w:p>
        </w:tc>
      </w:tr>
      <w:tr w:rsidR="00A32A6C" w:rsidRPr="00846351" w14:paraId="59C513D9" w14:textId="77777777" w:rsidTr="000C649E">
        <w:tc>
          <w:tcPr>
            <w:tcW w:w="708" w:type="dxa"/>
            <w:tcBorders>
              <w:top w:val="single" w:sz="6" w:space="0" w:color="000000"/>
              <w:left w:val="single" w:sz="6" w:space="0" w:color="000000"/>
              <w:bottom w:val="single" w:sz="6" w:space="0" w:color="000000"/>
              <w:right w:val="single" w:sz="6" w:space="0" w:color="000000"/>
            </w:tcBorders>
          </w:tcPr>
          <w:p w14:paraId="633757EF" w14:textId="04198274" w:rsidR="00A32A6C" w:rsidRPr="00846351" w:rsidRDefault="001B5D5D" w:rsidP="003B71E0">
            <w:pPr>
              <w:pStyle w:val="naisc"/>
              <w:spacing w:before="0" w:after="0"/>
            </w:pPr>
            <w:r w:rsidRPr="00846351">
              <w:lastRenderedPageBreak/>
              <w:t>5.</w:t>
            </w:r>
          </w:p>
        </w:tc>
        <w:tc>
          <w:tcPr>
            <w:tcW w:w="2828" w:type="dxa"/>
            <w:tcBorders>
              <w:top w:val="single" w:sz="6" w:space="0" w:color="000000"/>
              <w:left w:val="single" w:sz="6" w:space="0" w:color="000000"/>
              <w:bottom w:val="single" w:sz="6" w:space="0" w:color="000000"/>
              <w:right w:val="single" w:sz="6" w:space="0" w:color="000000"/>
            </w:tcBorders>
          </w:tcPr>
          <w:p w14:paraId="5D356056" w14:textId="5A6808F7" w:rsidR="00A32A6C" w:rsidRPr="00846351" w:rsidRDefault="001B5D5D" w:rsidP="00AC1D01">
            <w:pPr>
              <w:pStyle w:val="naisc"/>
              <w:spacing w:before="0" w:after="0"/>
              <w:jc w:val="left"/>
              <w:rPr>
                <w:b/>
                <w:color w:val="000000"/>
              </w:rPr>
            </w:pPr>
            <w:r w:rsidRPr="00846351">
              <w:rPr>
                <w:b/>
                <w:color w:val="000000"/>
              </w:rPr>
              <w:t>Informatīvais ziņojums</w:t>
            </w:r>
          </w:p>
        </w:tc>
        <w:tc>
          <w:tcPr>
            <w:tcW w:w="5245" w:type="dxa"/>
            <w:gridSpan w:val="2"/>
            <w:tcBorders>
              <w:top w:val="single" w:sz="6" w:space="0" w:color="000000"/>
              <w:left w:val="single" w:sz="6" w:space="0" w:color="000000"/>
              <w:bottom w:val="single" w:sz="6" w:space="0" w:color="000000"/>
              <w:right w:val="single" w:sz="6" w:space="0" w:color="000000"/>
            </w:tcBorders>
          </w:tcPr>
          <w:p w14:paraId="41D6E888" w14:textId="77777777" w:rsidR="00A32A6C" w:rsidRPr="00846351" w:rsidRDefault="00A32A6C" w:rsidP="001C4DDE">
            <w:pPr>
              <w:widowControl w:val="0"/>
              <w:ind w:firstLine="745"/>
              <w:contextualSpacing/>
              <w:jc w:val="both"/>
              <w:rPr>
                <w:iCs/>
                <w:sz w:val="24"/>
                <w:szCs w:val="24"/>
              </w:rPr>
            </w:pPr>
            <w:r w:rsidRPr="00846351">
              <w:rPr>
                <w:iCs/>
                <w:sz w:val="24"/>
                <w:szCs w:val="24"/>
              </w:rPr>
              <w:t xml:space="preserve">Informatīvā ziņojuma 8. lpp. norādīts, ka </w:t>
            </w:r>
            <w:bookmarkStart w:id="3" w:name="_Hlk71383455"/>
            <w:r w:rsidRPr="00846351">
              <w:rPr>
                <w:iCs/>
                <w:sz w:val="24"/>
                <w:szCs w:val="24"/>
              </w:rPr>
              <w:t xml:space="preserve">Nekustamā īpašuma </w:t>
            </w:r>
            <w:bookmarkEnd w:id="3"/>
            <w:r w:rsidRPr="00846351">
              <w:rPr>
                <w:iCs/>
                <w:sz w:val="24"/>
                <w:szCs w:val="24"/>
              </w:rPr>
              <w:t xml:space="preserve">īpašnieks ir informējis Iekšlietu ministriju, ka piekrīt nekustamā īpašuma pārdošanai, tostarp ir saņemts arī cenas piedāvājums, kas ir spēkā līdz 2021. gada 31. jūlijam, saskaņā ar kuru nekustamā īpašuma pārdošanas (iegādes) vērtība ir 10 570 000 </w:t>
            </w:r>
            <w:proofErr w:type="spellStart"/>
            <w:r w:rsidRPr="00846351">
              <w:rPr>
                <w:iCs/>
                <w:sz w:val="24"/>
                <w:szCs w:val="24"/>
              </w:rPr>
              <w:t>euro</w:t>
            </w:r>
            <w:proofErr w:type="spellEnd"/>
            <w:r w:rsidRPr="00846351">
              <w:rPr>
                <w:iCs/>
                <w:sz w:val="24"/>
                <w:szCs w:val="24"/>
              </w:rPr>
              <w:t xml:space="preserve">. Saistībā ar šo Informatīvajā ziņojumā ietverto informāciju Tieslietu ministrija norāda sekojošo. Atsavināšanas likumā un Ministru kabineta 2011. gada 15. marta noteikumos Nr. 204 "Kārtība, kādā nosaka taisnīgu atlīdzību par sabiedrības vajadzībām atsavināmo nekustamo īpašumu" (turpmāk – Noteikumi) ir ietverts nepārprotams regulējums attiecībā uz atsavināmā nekustamā īpašuma tirgus vērtības noteikšanu taisnīgas atlīdzības noteikšanai. Saskaņā ar Atsavināšanas likuma regulējumu taisnīgu atlīdzību par atsavināmo nekustamo īpašumu nosaka institūcija, ņemot vērā sertificēta nekustamā īpašuma vērtētāja vērtējumu un nekustamā īpašuma īpašniekam nodarītos zaudējumus, kā arī </w:t>
            </w:r>
            <w:bookmarkStart w:id="4" w:name="_Hlk70404517"/>
            <w:r w:rsidRPr="00846351">
              <w:rPr>
                <w:iCs/>
                <w:sz w:val="24"/>
                <w:szCs w:val="24"/>
              </w:rPr>
              <w:t xml:space="preserve">Noteikumu </w:t>
            </w:r>
            <w:bookmarkEnd w:id="4"/>
            <w:r w:rsidRPr="00846351">
              <w:rPr>
                <w:iCs/>
                <w:sz w:val="24"/>
                <w:szCs w:val="24"/>
              </w:rPr>
              <w:t xml:space="preserve">17., 18. un 25. punktā noteikts, ka komisija ar lēmumu nosaka darba uzdevumu sertificētam nekustamā īpašuma vērtētājam un to iesniedz institūcijā, savukārt institūcija Publisko iepirkumu likumā noteiktajā kārtībā izvēlas </w:t>
            </w:r>
            <w:bookmarkStart w:id="5" w:name="_Hlk70528656"/>
            <w:r w:rsidRPr="00846351">
              <w:rPr>
                <w:iCs/>
                <w:sz w:val="24"/>
                <w:szCs w:val="24"/>
              </w:rPr>
              <w:t>sertificētu nekustamā īpašuma vērtētāju</w:t>
            </w:r>
            <w:bookmarkEnd w:id="5"/>
            <w:r w:rsidRPr="00846351">
              <w:rPr>
                <w:iCs/>
                <w:sz w:val="24"/>
                <w:szCs w:val="24"/>
              </w:rPr>
              <w:t>, un</w:t>
            </w:r>
            <w:r w:rsidRPr="00846351">
              <w:rPr>
                <w:sz w:val="24"/>
                <w:szCs w:val="24"/>
              </w:rPr>
              <w:t xml:space="preserve"> pēc tam, kad institūcijā iesniegts sertificēta nekustamā īpašuma vērtētāja sagatavots atsavināmā nekustamā īpašuma </w:t>
            </w:r>
            <w:r w:rsidRPr="00846351">
              <w:rPr>
                <w:sz w:val="24"/>
                <w:szCs w:val="24"/>
              </w:rPr>
              <w:lastRenderedPageBreak/>
              <w:t>vērtējums un zaudējumu aprēķins, komisija izvērtē minētos dokumentus un aprēķina atlīdzību.</w:t>
            </w:r>
          </w:p>
          <w:p w14:paraId="6CA3862A" w14:textId="77777777" w:rsidR="00A32A6C" w:rsidRPr="00846351" w:rsidRDefault="00A32A6C" w:rsidP="00A32A6C">
            <w:pPr>
              <w:ind w:firstLine="720"/>
              <w:contextualSpacing/>
              <w:jc w:val="both"/>
              <w:rPr>
                <w:iCs/>
                <w:sz w:val="24"/>
                <w:szCs w:val="24"/>
              </w:rPr>
            </w:pPr>
            <w:r w:rsidRPr="00846351">
              <w:rPr>
                <w:iCs/>
                <w:sz w:val="24"/>
                <w:szCs w:val="24"/>
              </w:rPr>
              <w:t>Ņemot vērā minēto, uzsveram, ka neatkarīgi no tā, par kādu cenu Nekustamā īpašuma īpašnieks piedāvā Nekustamo īpašumu iegādāties, institūcijai (konkrētajā gadījumā – Iekšlietu ministrijai) atsavināšanas procesa ietvaros ir jāievēro Atsavināšanas likuma un Noteikumu prasības attiecībā uz atsavināmā nekustamā īpašuma novērtēšanu, līdz ar to Informatīvajā ziņojumā norādītajam cenas piedāvājumam un faktam, ka Nekustamā īpašuma īpašnieks ir piekritis to pārdot par attiecīgo cenu, atsavināšanas procesā principā nebūs nekādas nozīmes.</w:t>
            </w:r>
          </w:p>
          <w:p w14:paraId="585EF484" w14:textId="77777777" w:rsidR="00A32A6C" w:rsidRPr="00846351" w:rsidRDefault="00A32A6C" w:rsidP="00A32A6C">
            <w:pPr>
              <w:ind w:firstLine="720"/>
              <w:contextualSpacing/>
              <w:jc w:val="both"/>
              <w:rPr>
                <w:iCs/>
                <w:sz w:val="24"/>
                <w:szCs w:val="24"/>
              </w:rPr>
            </w:pPr>
            <w:r w:rsidRPr="00846351">
              <w:rPr>
                <w:iCs/>
                <w:sz w:val="24"/>
                <w:szCs w:val="24"/>
              </w:rPr>
              <w:t>Ņemot vērā minēto, lūdzam izvērtēt, vai ir nepieciešams Informatīvajā ziņojumā iekļaut informāciju par Nekustamā īpašuma īpašnieka izteikto cenas piedāvājumu. Papildus vēlamies uzsvērt, ka Tieslietu ministrija nevarēs saskaņot tādus Ministru kabineta rīkojuma projektus par nekustamo īpašumu atsavināšanu sabiedrības vajadzībām, kuros taisnīga atlīdzība nebūs noteikta atbilstoši kārtībai, kas nostiprināta Atsavināšanas likumā un Noteikumos.</w:t>
            </w:r>
          </w:p>
          <w:p w14:paraId="63BDAE63" w14:textId="77777777" w:rsidR="00A32A6C" w:rsidRPr="00846351" w:rsidRDefault="00A32A6C" w:rsidP="00A32A6C">
            <w:pPr>
              <w:widowControl w:val="0"/>
              <w:contextualSpacing/>
              <w:jc w:val="both"/>
              <w:rPr>
                <w:rFonts w:eastAsia="Calibri"/>
                <w:iCs/>
                <w:sz w:val="24"/>
                <w:szCs w:val="24"/>
                <w:lang w:eastAsia="en-US"/>
              </w:rPr>
            </w:pPr>
          </w:p>
        </w:tc>
        <w:tc>
          <w:tcPr>
            <w:tcW w:w="1701" w:type="dxa"/>
            <w:gridSpan w:val="2"/>
            <w:tcBorders>
              <w:top w:val="single" w:sz="6" w:space="0" w:color="000000"/>
              <w:left w:val="single" w:sz="6" w:space="0" w:color="000000"/>
              <w:bottom w:val="single" w:sz="6" w:space="0" w:color="000000"/>
              <w:right w:val="single" w:sz="6" w:space="0" w:color="000000"/>
            </w:tcBorders>
          </w:tcPr>
          <w:p w14:paraId="7ED8026C" w14:textId="06BF72CA" w:rsidR="00A32A6C" w:rsidRPr="00846351" w:rsidRDefault="001C4DDE" w:rsidP="00BE0D5D">
            <w:pPr>
              <w:pStyle w:val="naisc"/>
              <w:spacing w:before="0" w:after="0"/>
              <w:jc w:val="left"/>
              <w:rPr>
                <w:b/>
              </w:rPr>
            </w:pPr>
            <w:r w:rsidRPr="00846351">
              <w:rPr>
                <w:b/>
              </w:rPr>
              <w:lastRenderedPageBreak/>
              <w:t>Ņemts vērā</w:t>
            </w:r>
          </w:p>
        </w:tc>
        <w:tc>
          <w:tcPr>
            <w:tcW w:w="4252" w:type="dxa"/>
            <w:tcBorders>
              <w:top w:val="single" w:sz="4" w:space="0" w:color="auto"/>
              <w:left w:val="single" w:sz="4" w:space="0" w:color="auto"/>
              <w:bottom w:val="single" w:sz="4" w:space="0" w:color="auto"/>
            </w:tcBorders>
          </w:tcPr>
          <w:p w14:paraId="3B355723" w14:textId="2D1DF5D1" w:rsidR="00AA5EC0" w:rsidRPr="00AA5EC0" w:rsidRDefault="001B5D5D" w:rsidP="00AA5EC0">
            <w:pPr>
              <w:pStyle w:val="Parastais"/>
              <w:jc w:val="both"/>
              <w:rPr>
                <w:color w:val="000000"/>
              </w:rPr>
            </w:pPr>
            <w:r w:rsidRPr="00AA5EC0">
              <w:rPr>
                <w:color w:val="000000"/>
              </w:rPr>
              <w:t>In</w:t>
            </w:r>
            <w:r w:rsidR="00AA5EC0">
              <w:rPr>
                <w:color w:val="000000"/>
              </w:rPr>
              <w:t>formatīvais ziņojums precizēts:</w:t>
            </w:r>
          </w:p>
          <w:p w14:paraId="70074DDC" w14:textId="1999CBC7" w:rsidR="00AA5EC0" w:rsidRPr="00AA5EC0" w:rsidRDefault="00AA5EC0" w:rsidP="00AA5EC0">
            <w:pPr>
              <w:autoSpaceDE w:val="0"/>
              <w:autoSpaceDN w:val="0"/>
              <w:adjustRightInd w:val="0"/>
              <w:jc w:val="both"/>
              <w:rPr>
                <w:sz w:val="24"/>
                <w:szCs w:val="24"/>
              </w:rPr>
            </w:pPr>
            <w:r w:rsidRPr="00AA5EC0">
              <w:rPr>
                <w:color w:val="000000"/>
                <w:sz w:val="24"/>
                <w:szCs w:val="24"/>
              </w:rPr>
              <w:t>“</w:t>
            </w:r>
            <w:r w:rsidRPr="00AA5EC0">
              <w:rPr>
                <w:sz w:val="24"/>
                <w:szCs w:val="24"/>
              </w:rPr>
              <w:t xml:space="preserve">Nekustamo īpašumu īpašnieks ir informējis Iekšlietu ministriju, ka piekrīt nekustamo īpašumu pārdošanai, kā arī ir iesniedzis savu cenas piedāvājumu. Lai noteiktu atlīdzības apmēru par nekustamo īpašumu atsavināšanu, Iekšlietu ministrija (Nodrošinājuma valsts aģentūra) Sabiedrības vajadzībām nepieciešamā nekustamā īpašuma atsavināšanas likumā noteiktajā kārtībā veiks nekustamo īpašumu novērtēšanu, piesaistot sertificētu nekustamo īpašumu vērtētāju, uz kura vērtējuma pamata  noteiks taisnīgas atlīdzības apmēru par nekustamo īpašumu atsavināšanu Ņemot vērā, ka atsavināmo nekustamo īpašumu īpašnieks ir piekritis labprātīgai nekustamo īpašumu atsavināšanai, līgumu par nekustamo īpašumu iegādi atbilstoši Ministru kabineta </w:t>
            </w:r>
            <w:r w:rsidRPr="00AA5EC0">
              <w:rPr>
                <w:color w:val="000000"/>
                <w:sz w:val="24"/>
                <w:szCs w:val="24"/>
              </w:rPr>
              <w:t>2021.gada 18.marta sēdē lemtajam</w:t>
            </w:r>
            <w:r w:rsidRPr="00AA5EC0">
              <w:rPr>
                <w:sz w:val="24"/>
                <w:szCs w:val="24"/>
              </w:rPr>
              <w:t xml:space="preserve"> plānots noslēgt līdz 2021.gada 1.augustam, ievērojot Sabiedrības vajadzībām nepieciešamā nekustamā īpašuma atsavināšanas likumā noteiktās nekustamā īpašuma atsavināšanas procedūras.</w:t>
            </w:r>
            <w:r w:rsidRPr="00AA5EC0">
              <w:rPr>
                <w:sz w:val="24"/>
                <w:szCs w:val="24"/>
              </w:rPr>
              <w:t>”</w:t>
            </w:r>
          </w:p>
          <w:p w14:paraId="3108CCBC" w14:textId="4FD2C06B" w:rsidR="00AA5EC0" w:rsidRPr="00AA5EC0" w:rsidRDefault="00AA5EC0" w:rsidP="00AA5EC0">
            <w:pPr>
              <w:pStyle w:val="Parastais"/>
              <w:jc w:val="both"/>
            </w:pPr>
          </w:p>
          <w:p w14:paraId="3FE1F01B" w14:textId="389BB6FA" w:rsidR="00A32A6C" w:rsidRPr="00AA5EC0" w:rsidRDefault="00A32A6C" w:rsidP="001B5D5D">
            <w:pPr>
              <w:autoSpaceDE w:val="0"/>
              <w:autoSpaceDN w:val="0"/>
              <w:adjustRightInd w:val="0"/>
              <w:jc w:val="both"/>
              <w:rPr>
                <w:sz w:val="24"/>
                <w:szCs w:val="24"/>
              </w:rPr>
            </w:pPr>
          </w:p>
        </w:tc>
      </w:tr>
      <w:tr w:rsidR="00A32A6C" w:rsidRPr="00846351" w14:paraId="3586DE36" w14:textId="77777777" w:rsidTr="00FB40D6">
        <w:tc>
          <w:tcPr>
            <w:tcW w:w="14734" w:type="dxa"/>
            <w:gridSpan w:val="7"/>
            <w:tcBorders>
              <w:top w:val="single" w:sz="6" w:space="0" w:color="000000"/>
              <w:left w:val="single" w:sz="6" w:space="0" w:color="000000"/>
              <w:bottom w:val="single" w:sz="6" w:space="0" w:color="000000"/>
            </w:tcBorders>
          </w:tcPr>
          <w:p w14:paraId="431FC9A0" w14:textId="12DBC37D" w:rsidR="00A32A6C" w:rsidRPr="00846351" w:rsidRDefault="00A32A6C" w:rsidP="001B5D5D">
            <w:pPr>
              <w:pStyle w:val="ListParagraph"/>
              <w:jc w:val="center"/>
              <w:rPr>
                <w:b/>
                <w:color w:val="000000"/>
                <w:szCs w:val="24"/>
              </w:rPr>
            </w:pPr>
            <w:r w:rsidRPr="00846351">
              <w:rPr>
                <w:b/>
                <w:color w:val="000000"/>
                <w:szCs w:val="24"/>
              </w:rPr>
              <w:t>Finanšu ministrija</w:t>
            </w:r>
          </w:p>
        </w:tc>
      </w:tr>
      <w:tr w:rsidR="00A32A6C" w:rsidRPr="00846351" w14:paraId="78B63067" w14:textId="77777777" w:rsidTr="000C649E">
        <w:tc>
          <w:tcPr>
            <w:tcW w:w="708" w:type="dxa"/>
            <w:tcBorders>
              <w:top w:val="single" w:sz="6" w:space="0" w:color="000000"/>
              <w:left w:val="single" w:sz="6" w:space="0" w:color="000000"/>
              <w:bottom w:val="single" w:sz="6" w:space="0" w:color="000000"/>
              <w:right w:val="single" w:sz="6" w:space="0" w:color="000000"/>
            </w:tcBorders>
          </w:tcPr>
          <w:p w14:paraId="57DBD320" w14:textId="5FCF5B5D" w:rsidR="00A32A6C" w:rsidRPr="00846351" w:rsidRDefault="001B5D5D" w:rsidP="003B71E0">
            <w:pPr>
              <w:pStyle w:val="naisc"/>
              <w:spacing w:before="0" w:after="0"/>
            </w:pPr>
            <w:r w:rsidRPr="00846351">
              <w:t>1.</w:t>
            </w:r>
          </w:p>
        </w:tc>
        <w:tc>
          <w:tcPr>
            <w:tcW w:w="2828" w:type="dxa"/>
            <w:tcBorders>
              <w:top w:val="single" w:sz="6" w:space="0" w:color="000000"/>
              <w:left w:val="single" w:sz="6" w:space="0" w:color="000000"/>
              <w:bottom w:val="single" w:sz="6" w:space="0" w:color="000000"/>
              <w:right w:val="single" w:sz="6" w:space="0" w:color="000000"/>
            </w:tcBorders>
          </w:tcPr>
          <w:p w14:paraId="273F64BE" w14:textId="622AD2BD" w:rsidR="00A32A6C" w:rsidRPr="00846351" w:rsidRDefault="001B5D5D" w:rsidP="00AC1D01">
            <w:pPr>
              <w:pStyle w:val="naisc"/>
              <w:spacing w:before="0" w:after="0"/>
              <w:jc w:val="left"/>
              <w:rPr>
                <w:b/>
                <w:color w:val="000000"/>
              </w:rPr>
            </w:pPr>
            <w:r w:rsidRPr="00846351">
              <w:rPr>
                <w:b/>
                <w:color w:val="000000"/>
              </w:rPr>
              <w:t>Informatīvais ziņojums</w:t>
            </w:r>
          </w:p>
        </w:tc>
        <w:tc>
          <w:tcPr>
            <w:tcW w:w="5245" w:type="dxa"/>
            <w:gridSpan w:val="2"/>
            <w:tcBorders>
              <w:top w:val="single" w:sz="6" w:space="0" w:color="000000"/>
              <w:left w:val="single" w:sz="6" w:space="0" w:color="000000"/>
              <w:bottom w:val="single" w:sz="6" w:space="0" w:color="000000"/>
              <w:right w:val="single" w:sz="6" w:space="0" w:color="000000"/>
            </w:tcBorders>
          </w:tcPr>
          <w:p w14:paraId="050A8008" w14:textId="77777777" w:rsidR="00A32A6C" w:rsidRPr="00846351" w:rsidRDefault="00A32A6C" w:rsidP="001C4DDE">
            <w:pPr>
              <w:ind w:firstLine="745"/>
              <w:jc w:val="both"/>
              <w:rPr>
                <w:sz w:val="24"/>
                <w:szCs w:val="24"/>
              </w:rPr>
            </w:pPr>
            <w:r w:rsidRPr="00846351">
              <w:rPr>
                <w:sz w:val="24"/>
                <w:szCs w:val="24"/>
              </w:rPr>
              <w:t xml:space="preserve">IeM informatīvajā ziņojumā norāda, ka nekustamā īpašuma Valsts policijas vajadzībām iegāde, </w:t>
            </w:r>
            <w:r w:rsidRPr="00846351">
              <w:rPr>
                <w:sz w:val="24"/>
                <w:szCs w:val="24"/>
                <w:u w:val="single"/>
              </w:rPr>
              <w:t>pielāgošana un aprīkošana</w:t>
            </w:r>
            <w:r w:rsidRPr="00846351">
              <w:rPr>
                <w:sz w:val="24"/>
                <w:szCs w:val="24"/>
              </w:rPr>
              <w:t xml:space="preserve"> tiks nodrošināta, nepārsniedzot norādītā finansējuma kopējo apmēru, vienlaikus vērtējot iespēju nepieciešamības gadījumā pielāgošanas un aprīkošanas izmaksas </w:t>
            </w:r>
            <w:r w:rsidRPr="00846351">
              <w:rPr>
                <w:sz w:val="24"/>
                <w:szCs w:val="24"/>
              </w:rPr>
              <w:lastRenderedPageBreak/>
              <w:t xml:space="preserve">segt, veicot pārdali no citiem IeM ar iepriekš minēto Ministru kabineta lēmumu atbalstīto pasākumu īstenošanas procesā ietaupītajiem valsts budžeta līdzekļiem (ja šāds ietaupījums radīsies). Priekšlikumi par precīzu nepieciešamā finansējuma apmēru tiks sniegti atbilstoši Ministru kabineta 2021.gada 18.marta sēdē lemtajam (prot. Nr.28 42.§), sagatavojot un iesniedzot apstiprināšanai Ministru kabinetā atsevišķu rīkojuma projektu par līdzekļu piešķiršanu no valsts budžeta programmas “Līdzekļi neparedzētiem gadījumiem”, kā arī iesniedzot attiecīgos priekšlikumus likumprojekta “Par valsts budžetu 2022.gadam” sagatavošanas procesā atbilstoši faktiski nepieciešamajam apmēram. </w:t>
            </w:r>
          </w:p>
          <w:p w14:paraId="7EDE6D59" w14:textId="77777777" w:rsidR="00A32A6C" w:rsidRPr="00846351" w:rsidRDefault="00A32A6C" w:rsidP="001B5D5D">
            <w:pPr>
              <w:ind w:firstLine="720"/>
              <w:jc w:val="both"/>
              <w:rPr>
                <w:color w:val="000000" w:themeColor="text1"/>
                <w:sz w:val="24"/>
                <w:szCs w:val="24"/>
              </w:rPr>
            </w:pPr>
            <w:r w:rsidRPr="00846351">
              <w:rPr>
                <w:sz w:val="24"/>
                <w:szCs w:val="24"/>
              </w:rPr>
              <w:t xml:space="preserve">Ņemot vērā, ka Ministru kabineta 2021.gada 18.marta sēdes prot. Nr.28 42.§ 4.punktā noteikts </w:t>
            </w:r>
            <w:r w:rsidRPr="00846351">
              <w:rPr>
                <w:sz w:val="24"/>
                <w:szCs w:val="24"/>
                <w:u w:val="single"/>
              </w:rPr>
              <w:t>atbalstīt investīciju projektus</w:t>
            </w:r>
            <w:r w:rsidRPr="00846351">
              <w:rPr>
                <w:sz w:val="24"/>
                <w:szCs w:val="24"/>
              </w:rPr>
              <w:t xml:space="preserve"> atbilstoši Likumā par budžetu un finanšu vadību noteiktajam, ka </w:t>
            </w:r>
            <w:r w:rsidRPr="00846351">
              <w:rPr>
                <w:sz w:val="24"/>
                <w:szCs w:val="24"/>
                <w:u w:val="single"/>
              </w:rPr>
              <w:t>budžetu investīcijas ir budžetu izdevumi pamatkapitāla veidošanai</w:t>
            </w:r>
            <w:r w:rsidRPr="00846351">
              <w:rPr>
                <w:sz w:val="24"/>
                <w:szCs w:val="24"/>
              </w:rPr>
              <w:t xml:space="preserve">,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 lūdzam precizēt informatīvajā ziņojumā norādīto informāciju par nekustamā īpašuma pielāgošanas un aprīkošanas </w:t>
            </w:r>
            <w:r w:rsidRPr="00846351">
              <w:rPr>
                <w:sz w:val="24"/>
                <w:szCs w:val="24"/>
              </w:rPr>
              <w:lastRenderedPageBreak/>
              <w:t xml:space="preserve">izdevumiem, papildu finansējumu plānojot tikai tādu izdevumu segšanai, kas atbilst Ministru kabinetā apstiprinātajiem nosacījumiem augstas gatavības projektu īstenošanai saskaņā ar Ministru kabineta 2021.gada 18.marta sēdes prot. Nr.28 42.§. </w:t>
            </w:r>
          </w:p>
          <w:p w14:paraId="46089900" w14:textId="77777777" w:rsidR="00A32A6C" w:rsidRPr="00846351" w:rsidRDefault="00A32A6C" w:rsidP="001B5D5D">
            <w:pPr>
              <w:widowControl w:val="0"/>
              <w:contextualSpacing/>
              <w:jc w:val="both"/>
              <w:rPr>
                <w:rFonts w:eastAsia="Calibri"/>
                <w:iCs/>
                <w:sz w:val="24"/>
                <w:szCs w:val="24"/>
                <w:lang w:eastAsia="en-US"/>
              </w:rPr>
            </w:pPr>
          </w:p>
        </w:tc>
        <w:tc>
          <w:tcPr>
            <w:tcW w:w="1701" w:type="dxa"/>
            <w:gridSpan w:val="2"/>
            <w:tcBorders>
              <w:top w:val="single" w:sz="6" w:space="0" w:color="000000"/>
              <w:left w:val="single" w:sz="6" w:space="0" w:color="000000"/>
              <w:bottom w:val="single" w:sz="6" w:space="0" w:color="000000"/>
              <w:right w:val="single" w:sz="6" w:space="0" w:color="000000"/>
            </w:tcBorders>
          </w:tcPr>
          <w:p w14:paraId="52E275E2" w14:textId="32BE2B95" w:rsidR="00A32A6C" w:rsidRPr="00846351" w:rsidRDefault="001B5D5D" w:rsidP="001B5D5D">
            <w:pPr>
              <w:pStyle w:val="naisc"/>
              <w:spacing w:before="0" w:after="0"/>
              <w:jc w:val="both"/>
              <w:rPr>
                <w:b/>
              </w:rPr>
            </w:pPr>
            <w:r w:rsidRPr="00846351">
              <w:rPr>
                <w:b/>
              </w:rPr>
              <w:lastRenderedPageBreak/>
              <w:t>Ņemts vērā</w:t>
            </w:r>
          </w:p>
        </w:tc>
        <w:tc>
          <w:tcPr>
            <w:tcW w:w="4252" w:type="dxa"/>
            <w:tcBorders>
              <w:top w:val="single" w:sz="4" w:space="0" w:color="auto"/>
              <w:left w:val="single" w:sz="4" w:space="0" w:color="auto"/>
              <w:bottom w:val="single" w:sz="4" w:space="0" w:color="auto"/>
            </w:tcBorders>
          </w:tcPr>
          <w:p w14:paraId="708C68B6" w14:textId="77777777" w:rsidR="00846351" w:rsidRPr="00846351" w:rsidRDefault="00846351" w:rsidP="00846351">
            <w:pPr>
              <w:jc w:val="both"/>
              <w:rPr>
                <w:color w:val="000000"/>
                <w:sz w:val="24"/>
                <w:szCs w:val="24"/>
              </w:rPr>
            </w:pPr>
            <w:r w:rsidRPr="00846351">
              <w:rPr>
                <w:color w:val="000000"/>
                <w:sz w:val="24"/>
                <w:szCs w:val="24"/>
              </w:rPr>
              <w:t>Informatīvais ziņojums precizēts. Attiecīgā rindkopa ir izteikta šādā redakcijā:</w:t>
            </w:r>
          </w:p>
          <w:p w14:paraId="54D1339F" w14:textId="7DB96616" w:rsidR="00A32A6C" w:rsidRPr="005756E2" w:rsidRDefault="00846351" w:rsidP="005756E2">
            <w:pPr>
              <w:jc w:val="both"/>
              <w:rPr>
                <w:color w:val="000000"/>
                <w:sz w:val="24"/>
                <w:szCs w:val="24"/>
              </w:rPr>
            </w:pPr>
            <w:r w:rsidRPr="00846351">
              <w:rPr>
                <w:color w:val="000000"/>
                <w:sz w:val="24"/>
                <w:szCs w:val="24"/>
              </w:rPr>
              <w:t xml:space="preserve">“Atbilstoši Ministru kabineta 2021.gada 18.marta sēdē lemtajam (prot. Nr.28 42.§) ar nekustamā īpašuma atsavināšanu, kā arī </w:t>
            </w:r>
            <w:r w:rsidRPr="00846351">
              <w:rPr>
                <w:color w:val="000000"/>
                <w:sz w:val="24"/>
                <w:szCs w:val="24"/>
              </w:rPr>
              <w:lastRenderedPageBreak/>
              <w:t xml:space="preserve">ēkas pielāgošanu un aprīkošanu saistītie izdevumi, kas atbilst budžetu investīciju jēdzienam Likuma par budžetu un finanšu </w:t>
            </w:r>
            <w:r>
              <w:rPr>
                <w:color w:val="000000"/>
                <w:sz w:val="24"/>
                <w:szCs w:val="24"/>
              </w:rPr>
              <w:t xml:space="preserve">vadību </w:t>
            </w:r>
            <w:r w:rsidRPr="00846351">
              <w:rPr>
                <w:color w:val="000000"/>
                <w:sz w:val="24"/>
                <w:szCs w:val="24"/>
              </w:rPr>
              <w:t>izpratnē (budžetu izdevumi pamatkapitāla veidošanai, kuru rezultātā tiek radīts jauns pamatlīdzeklis, ieguldījuma īpašums vai nemateriālais ieguldījums</w:t>
            </w:r>
            <w:r>
              <w:rPr>
                <w:color w:val="000000"/>
                <w:sz w:val="24"/>
                <w:szCs w:val="24"/>
              </w:rPr>
              <w:t>,</w:t>
            </w:r>
            <w:r w:rsidRPr="00846351">
              <w:rPr>
                <w:color w:val="000000"/>
                <w:sz w:val="24"/>
                <w:szCs w:val="24"/>
              </w:rPr>
              <w:t xml:space="preserve">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2021.gadā tiks segti no valsts budžeta programmas “Līdzekļi neparedzētiem gadījumiem” šim mērķim paredzētajiem līdzekļiem, savukārt, 2022.gadam šim mērķim nepieciešamais finansējums tiks paredzēts likumprojekta “Par valsts budžetu 2022.gadam” sagatavošanas procesā. Šim mērķim Iekšlietu ministrijai ir plānots finansējums 12 789 299 </w:t>
            </w:r>
            <w:proofErr w:type="spellStart"/>
            <w:r w:rsidRPr="00846351">
              <w:rPr>
                <w:color w:val="000000"/>
                <w:sz w:val="24"/>
                <w:szCs w:val="24"/>
              </w:rPr>
              <w:t>euro</w:t>
            </w:r>
            <w:proofErr w:type="spellEnd"/>
            <w:r w:rsidRPr="00846351">
              <w:rPr>
                <w:color w:val="000000"/>
                <w:sz w:val="24"/>
                <w:szCs w:val="24"/>
              </w:rPr>
              <w:t xml:space="preserve"> apmērā. Šajā informatīvajā ziņojumā minētā nekustamā īpašuma iegāde, pielāgošana un aprīkošana Valsts policijas vajadzībām atbilstoši Ministru kabineta 2021.gada 18.marta sēdē lemtajam tiks nodrošināta, nepārsniedzot norādītā finansējuma kopējo apmēru un ievērojot izdevumu raksturu, vienlaikus vērtējot iespēju nepieciešamības gadījumā pielāgošanas </w:t>
            </w:r>
            <w:r w:rsidRPr="00846351">
              <w:rPr>
                <w:color w:val="000000"/>
                <w:sz w:val="24"/>
                <w:szCs w:val="24"/>
              </w:rPr>
              <w:lastRenderedPageBreak/>
              <w:t>un aprīkošanas izmaksas segt, veicot pārdali no citiem Iekšlietu ministrijai ar iepriekš minēto Ministru kabineta lēmumu atbalstīto pasākumu īstenošanas procesā ietaupītajiem valsts budžeta līdzekļiem (ja šāds ietaupījums radīsies). Priekšlikumi par precīzu nepieciešamā finansējuma apmēru tiks sniegti, atbilstoši Ministru kabineta 2021.gada 18.marta sēdē lemtajam sagatavojot un iesniedzot apstiprināšanai Ministru kabinetā atsevišķu rīkojuma projektu par līdzekļu piešķiršanu no valsts budžeta programmas “Līdzekļi neparedzētiem gadījumiem”, kā arī iesniedzot attiecīgos priekšlikumus likumprojekta “Par valsts budžetu 2022.gadam sagatavošanas procesā” atbilstoši faktiski nepieciešamajam apmēram.”</w:t>
            </w:r>
          </w:p>
        </w:tc>
      </w:tr>
      <w:tr w:rsidR="00A32A6C" w:rsidRPr="00846351" w14:paraId="0DB83FF4" w14:textId="77777777" w:rsidTr="000C649E">
        <w:tc>
          <w:tcPr>
            <w:tcW w:w="708" w:type="dxa"/>
            <w:tcBorders>
              <w:top w:val="single" w:sz="6" w:space="0" w:color="000000"/>
              <w:left w:val="single" w:sz="6" w:space="0" w:color="000000"/>
              <w:bottom w:val="single" w:sz="6" w:space="0" w:color="000000"/>
              <w:right w:val="single" w:sz="6" w:space="0" w:color="000000"/>
            </w:tcBorders>
          </w:tcPr>
          <w:p w14:paraId="3D397345" w14:textId="6314C24D" w:rsidR="00A32A6C" w:rsidRPr="00846351" w:rsidRDefault="001B5D5D" w:rsidP="003B71E0">
            <w:pPr>
              <w:pStyle w:val="naisc"/>
              <w:spacing w:before="0" w:after="0"/>
            </w:pPr>
            <w:r w:rsidRPr="00846351">
              <w:lastRenderedPageBreak/>
              <w:t>2.</w:t>
            </w:r>
          </w:p>
        </w:tc>
        <w:tc>
          <w:tcPr>
            <w:tcW w:w="2828" w:type="dxa"/>
            <w:tcBorders>
              <w:top w:val="single" w:sz="6" w:space="0" w:color="000000"/>
              <w:left w:val="single" w:sz="6" w:space="0" w:color="000000"/>
              <w:bottom w:val="single" w:sz="6" w:space="0" w:color="000000"/>
              <w:right w:val="single" w:sz="6" w:space="0" w:color="000000"/>
            </w:tcBorders>
          </w:tcPr>
          <w:p w14:paraId="6007F847" w14:textId="122DE9A8" w:rsidR="00A32A6C" w:rsidRPr="00846351" w:rsidRDefault="001B5D5D" w:rsidP="00AC1D01">
            <w:pPr>
              <w:pStyle w:val="naisc"/>
              <w:spacing w:before="0" w:after="0"/>
              <w:jc w:val="left"/>
              <w:rPr>
                <w:b/>
                <w:color w:val="000000"/>
              </w:rPr>
            </w:pPr>
            <w:r w:rsidRPr="00846351">
              <w:rPr>
                <w:b/>
                <w:color w:val="000000"/>
              </w:rPr>
              <w:t>Informatīvais ziņojums</w:t>
            </w:r>
          </w:p>
        </w:tc>
        <w:tc>
          <w:tcPr>
            <w:tcW w:w="5245" w:type="dxa"/>
            <w:gridSpan w:val="2"/>
            <w:tcBorders>
              <w:top w:val="single" w:sz="6" w:space="0" w:color="000000"/>
              <w:left w:val="single" w:sz="6" w:space="0" w:color="000000"/>
              <w:bottom w:val="single" w:sz="6" w:space="0" w:color="000000"/>
              <w:right w:val="single" w:sz="6" w:space="0" w:color="000000"/>
            </w:tcBorders>
          </w:tcPr>
          <w:p w14:paraId="18FCC741" w14:textId="77777777" w:rsidR="00A32A6C" w:rsidRPr="00846351" w:rsidRDefault="00A32A6C" w:rsidP="001B5D5D">
            <w:pPr>
              <w:ind w:firstLine="720"/>
              <w:jc w:val="both"/>
              <w:rPr>
                <w:color w:val="000000" w:themeColor="text1"/>
                <w:sz w:val="24"/>
                <w:szCs w:val="24"/>
              </w:rPr>
            </w:pPr>
            <w:r w:rsidRPr="00846351">
              <w:rPr>
                <w:color w:val="000000" w:themeColor="text1"/>
                <w:sz w:val="24"/>
                <w:szCs w:val="24"/>
              </w:rPr>
              <w:t xml:space="preserve">Informatīvajā ziņojumā sniegts nekorekts apgalvojums, ka ēkas iegādes izdevumu iespējamā attiecināšana uz valsts ilgtspējīgo obligāciju ietvaru pozitīvi ietekmēs Latvijas vispārējās valdības budžeta bilanci. Ilgtspējīgas obligācijas ir tikai viens no valsts budžeta deficīta finansēšanas avotiem (nevis valsts budžeta ieņēmumi), kuru izmanto valsts kopējās finansēšanas nepieciešamības segšanai tāpat kā jebkuru citu aizņēmumu, līdz ar to aizņemšanās instrumentu izmantošana valsts budžeta izdevumu finansēšanai neietekmē valsts budžeta bilanci. Vienlaikus vēršam uzmanību, ka valsts ilgtspējīgo obligāciju ietvara veidošanas pamatā ir nozaru </w:t>
            </w:r>
            <w:r w:rsidRPr="00846351">
              <w:rPr>
                <w:color w:val="000000" w:themeColor="text1"/>
                <w:sz w:val="24"/>
                <w:szCs w:val="24"/>
              </w:rPr>
              <w:lastRenderedPageBreak/>
              <w:t xml:space="preserve">ministriju iepriekšējos gados veiktie izdevumi, par ko attiecīgi tiktu gatavotas atskaites vērtspapīru investoriem. Vienlaicīgi ietvarā var definēt jomas, kuru ietvaros varētu sagaidīt atbilstošus projektus turpmākajos gados. Taču šādu pasākumu izdevumi tiktu izmantoti obligāciju ietvarā tikai tad, ja būs veikti atbilstoši valsts budžeta izdevumi (ja izdevumi nebūs iekļauti kārtējā gada valsts budžeta likumā, tad attiecīgi projekts nevar tikt attiecināts uz obligāciju ietvaru).  </w:t>
            </w:r>
          </w:p>
          <w:p w14:paraId="3474BFB0" w14:textId="77777777" w:rsidR="00A32A6C" w:rsidRPr="00846351" w:rsidRDefault="00A32A6C" w:rsidP="001B5D5D">
            <w:pPr>
              <w:ind w:firstLine="720"/>
              <w:jc w:val="both"/>
              <w:rPr>
                <w:color w:val="000000" w:themeColor="text1"/>
                <w:sz w:val="24"/>
                <w:szCs w:val="24"/>
              </w:rPr>
            </w:pPr>
            <w:r w:rsidRPr="00846351">
              <w:rPr>
                <w:color w:val="000000" w:themeColor="text1"/>
                <w:sz w:val="24"/>
                <w:szCs w:val="24"/>
              </w:rPr>
              <w:t xml:space="preserve">Attiecīgi lūdzam precizēt informatīvā ziņojuma 8.lpp. pēdējo rindkopu, ņemot vērā, ka ēkas iegādes izdevumu iespējamā attiecināšana uz valsts ilgtspējīgo obligāciju ietvaru neietekmē valsts budžeta bilanci.  </w:t>
            </w:r>
          </w:p>
          <w:p w14:paraId="2CCCB04F" w14:textId="77777777" w:rsidR="00A32A6C" w:rsidRPr="00846351" w:rsidRDefault="00A32A6C" w:rsidP="001B5D5D">
            <w:pPr>
              <w:widowControl w:val="0"/>
              <w:contextualSpacing/>
              <w:jc w:val="both"/>
              <w:rPr>
                <w:rFonts w:eastAsia="Calibri"/>
                <w:iCs/>
                <w:sz w:val="24"/>
                <w:szCs w:val="24"/>
                <w:lang w:eastAsia="en-US"/>
              </w:rPr>
            </w:pPr>
          </w:p>
        </w:tc>
        <w:tc>
          <w:tcPr>
            <w:tcW w:w="1701" w:type="dxa"/>
            <w:gridSpan w:val="2"/>
            <w:tcBorders>
              <w:top w:val="single" w:sz="6" w:space="0" w:color="000000"/>
              <w:left w:val="single" w:sz="6" w:space="0" w:color="000000"/>
              <w:bottom w:val="single" w:sz="6" w:space="0" w:color="000000"/>
              <w:right w:val="single" w:sz="6" w:space="0" w:color="000000"/>
            </w:tcBorders>
          </w:tcPr>
          <w:p w14:paraId="43948B7C" w14:textId="1D453559" w:rsidR="00A32A6C" w:rsidRPr="00846351" w:rsidRDefault="001B5D5D" w:rsidP="001B5D5D">
            <w:pPr>
              <w:pStyle w:val="naisc"/>
              <w:spacing w:before="0" w:after="0"/>
              <w:jc w:val="both"/>
              <w:rPr>
                <w:b/>
              </w:rPr>
            </w:pPr>
            <w:r w:rsidRPr="00846351">
              <w:rPr>
                <w:b/>
              </w:rPr>
              <w:lastRenderedPageBreak/>
              <w:t>Ņemts vērā</w:t>
            </w:r>
          </w:p>
        </w:tc>
        <w:tc>
          <w:tcPr>
            <w:tcW w:w="4252" w:type="dxa"/>
            <w:tcBorders>
              <w:top w:val="single" w:sz="4" w:space="0" w:color="auto"/>
              <w:left w:val="single" w:sz="4" w:space="0" w:color="auto"/>
              <w:bottom w:val="single" w:sz="4" w:space="0" w:color="auto"/>
            </w:tcBorders>
          </w:tcPr>
          <w:p w14:paraId="34B7E425" w14:textId="0D7E92AC" w:rsidR="00A32A6C" w:rsidRPr="00846351" w:rsidRDefault="00846351" w:rsidP="00846351">
            <w:pPr>
              <w:jc w:val="both"/>
              <w:rPr>
                <w:color w:val="000000"/>
                <w:sz w:val="24"/>
                <w:szCs w:val="24"/>
              </w:rPr>
            </w:pPr>
            <w:r w:rsidRPr="00846351">
              <w:rPr>
                <w:sz w:val="24"/>
                <w:szCs w:val="24"/>
              </w:rPr>
              <w:t xml:space="preserve">Informatīvais ziņojums precizēts. Attiecīgā rindkopa ir izteikta šādā redakcijā: “Šobrīd norisinās resoru, Valsts kases un banku sarunas par Latvijas ilgtspējīgā valsts vērtspapīru ietvara izveidi, kas ļautu attiecināt vērstpapīru emisijas rezultātā saņemto līdzekļu izlietojumu uz konkrētiem budžeta izdevumiem vides un sociālā jomā (piemēram, klimata pārmaiņu mazināšana, energoefektivitāte, videi draudzīgi transporta risinājumi, u.c.), </w:t>
            </w:r>
            <w:r w:rsidRPr="00846351">
              <w:rPr>
                <w:sz w:val="24"/>
                <w:szCs w:val="24"/>
                <w:u w:val="single"/>
              </w:rPr>
              <w:t xml:space="preserve">vērtējot iespēju ar ēkas iegādi saistītos </w:t>
            </w:r>
            <w:r w:rsidRPr="00846351">
              <w:rPr>
                <w:sz w:val="24"/>
                <w:szCs w:val="24"/>
                <w:u w:val="single"/>
              </w:rPr>
              <w:lastRenderedPageBreak/>
              <w:t>izdevumus attiecināt uz iepriekš minēto finanšu instrumentu</w:t>
            </w:r>
            <w:r w:rsidRPr="00846351">
              <w:rPr>
                <w:sz w:val="24"/>
                <w:szCs w:val="24"/>
              </w:rPr>
              <w:t>.”</w:t>
            </w:r>
          </w:p>
        </w:tc>
      </w:tr>
      <w:tr w:rsidR="00A32A6C" w:rsidRPr="00846351" w14:paraId="4B275C4C" w14:textId="77777777" w:rsidTr="000C649E">
        <w:tc>
          <w:tcPr>
            <w:tcW w:w="708" w:type="dxa"/>
            <w:tcBorders>
              <w:top w:val="single" w:sz="6" w:space="0" w:color="000000"/>
              <w:left w:val="single" w:sz="6" w:space="0" w:color="000000"/>
              <w:bottom w:val="single" w:sz="6" w:space="0" w:color="000000"/>
              <w:right w:val="single" w:sz="6" w:space="0" w:color="000000"/>
            </w:tcBorders>
          </w:tcPr>
          <w:p w14:paraId="087FD5D0" w14:textId="55189DB9" w:rsidR="00A32A6C" w:rsidRPr="00846351" w:rsidRDefault="001B5D5D" w:rsidP="003B71E0">
            <w:pPr>
              <w:pStyle w:val="naisc"/>
              <w:spacing w:before="0" w:after="0"/>
            </w:pPr>
            <w:r w:rsidRPr="00846351">
              <w:lastRenderedPageBreak/>
              <w:t>3.</w:t>
            </w:r>
          </w:p>
        </w:tc>
        <w:tc>
          <w:tcPr>
            <w:tcW w:w="2828" w:type="dxa"/>
            <w:tcBorders>
              <w:top w:val="single" w:sz="6" w:space="0" w:color="000000"/>
              <w:left w:val="single" w:sz="6" w:space="0" w:color="000000"/>
              <w:bottom w:val="single" w:sz="6" w:space="0" w:color="000000"/>
              <w:right w:val="single" w:sz="6" w:space="0" w:color="000000"/>
            </w:tcBorders>
          </w:tcPr>
          <w:p w14:paraId="2B3A48A8" w14:textId="00A6A305" w:rsidR="00A32A6C" w:rsidRPr="00846351" w:rsidRDefault="001B5D5D" w:rsidP="00AC1D01">
            <w:pPr>
              <w:pStyle w:val="naisc"/>
              <w:spacing w:before="0" w:after="0"/>
              <w:jc w:val="left"/>
              <w:rPr>
                <w:b/>
                <w:color w:val="000000"/>
              </w:rPr>
            </w:pPr>
            <w:r w:rsidRPr="00846351">
              <w:rPr>
                <w:b/>
                <w:color w:val="000000"/>
              </w:rPr>
              <w:t>Informatīvais ziņojums</w:t>
            </w:r>
          </w:p>
        </w:tc>
        <w:tc>
          <w:tcPr>
            <w:tcW w:w="5245" w:type="dxa"/>
            <w:gridSpan w:val="2"/>
            <w:tcBorders>
              <w:top w:val="single" w:sz="6" w:space="0" w:color="000000"/>
              <w:left w:val="single" w:sz="6" w:space="0" w:color="000000"/>
              <w:bottom w:val="single" w:sz="6" w:space="0" w:color="000000"/>
              <w:right w:val="single" w:sz="6" w:space="0" w:color="000000"/>
            </w:tcBorders>
          </w:tcPr>
          <w:p w14:paraId="7620186E" w14:textId="77777777" w:rsidR="00A32A6C" w:rsidRPr="00846351" w:rsidRDefault="00A32A6C" w:rsidP="001B5D5D">
            <w:pPr>
              <w:ind w:firstLine="720"/>
              <w:jc w:val="both"/>
              <w:rPr>
                <w:color w:val="000000" w:themeColor="text1"/>
                <w:sz w:val="24"/>
                <w:szCs w:val="24"/>
              </w:rPr>
            </w:pPr>
            <w:r w:rsidRPr="00846351">
              <w:rPr>
                <w:color w:val="000000" w:themeColor="text1"/>
                <w:sz w:val="24"/>
                <w:szCs w:val="24"/>
              </w:rPr>
              <w:t xml:space="preserve">Informatīvajā ziņojumā (9.lpp.) norādīts, ka informatīvais ziņojums sagatavots, lai lūgtu Ministru kabinetu konceptuāli atbalstīt nekustamā īpašuma Pērnavas ielā 83, Rīgā (turpmāk – nekustamais īpašums) iegādi Valsts policijas vajadzībām, dodot atļauju IeM uzsākt nekustamā īpašuma atsavināšanas procedūru Sabiedrības vajadzībām nepieciešamā nekustamā īpašuma atsavināšanas likumā (turpmāk – Likums) noteiktajā kārtībā. Informatīvā ziņojuma 8.lpp.norādīts, ka nekustamā īpašuma īpašnieks ir informējis IeM, ka piekrīt nekustamā īpašuma pārdošanai, tostarp ir saņemts arī tā oficiāls cenas piedāvājums, kas ir spēkā līdz 2021.gada 31.jūlijam, saskaņā ar kuru nekustamā īpašuma pārdošanas (iegādes) vērtība ir 10 570 000 </w:t>
            </w:r>
            <w:proofErr w:type="spellStart"/>
            <w:r w:rsidRPr="00846351">
              <w:rPr>
                <w:i/>
                <w:iCs/>
                <w:color w:val="000000" w:themeColor="text1"/>
                <w:sz w:val="24"/>
                <w:szCs w:val="24"/>
              </w:rPr>
              <w:t>euro</w:t>
            </w:r>
            <w:proofErr w:type="spellEnd"/>
            <w:r w:rsidRPr="00846351">
              <w:rPr>
                <w:color w:val="000000" w:themeColor="text1"/>
                <w:sz w:val="24"/>
                <w:szCs w:val="24"/>
              </w:rPr>
              <w:t>.</w:t>
            </w:r>
          </w:p>
          <w:p w14:paraId="48561D63" w14:textId="77777777" w:rsidR="00A32A6C" w:rsidRPr="00846351" w:rsidRDefault="00A32A6C" w:rsidP="001B5D5D">
            <w:pPr>
              <w:ind w:firstLine="720"/>
              <w:jc w:val="both"/>
              <w:rPr>
                <w:color w:val="000000" w:themeColor="text1"/>
                <w:sz w:val="24"/>
                <w:szCs w:val="24"/>
              </w:rPr>
            </w:pPr>
            <w:r w:rsidRPr="00846351">
              <w:rPr>
                <w:color w:val="000000" w:themeColor="text1"/>
                <w:sz w:val="24"/>
                <w:szCs w:val="24"/>
              </w:rPr>
              <w:lastRenderedPageBreak/>
              <w:t>Vēršam uzmanību, ka saskaņā ar Likuma 8.panta 1.daļu pēc tam, kad Ministru kabinets pieņēmis konceptuālu lēmumu par sabiedrības vajadzību nodrošināšanai nepieciešama projekta īstenošanu, institūcija uzsāk attiecīgā projekta īstenošanai nepieciešamo nekustamo īpašumu apzināšanu un nosaka atlīdzību par atsavināmajiem nekustamajiem īpašumiem.</w:t>
            </w:r>
          </w:p>
          <w:p w14:paraId="2AB22852" w14:textId="77777777" w:rsidR="00A32A6C" w:rsidRPr="00846351" w:rsidRDefault="00A32A6C" w:rsidP="001B5D5D">
            <w:pPr>
              <w:ind w:firstLine="720"/>
              <w:jc w:val="both"/>
              <w:rPr>
                <w:color w:val="000000" w:themeColor="text1"/>
                <w:sz w:val="24"/>
                <w:szCs w:val="24"/>
              </w:rPr>
            </w:pPr>
            <w:r w:rsidRPr="00846351">
              <w:rPr>
                <w:color w:val="000000" w:themeColor="text1"/>
                <w:sz w:val="24"/>
                <w:szCs w:val="24"/>
              </w:rPr>
              <w:t>Atbilstoši Ministru kabineta 2011.gada 15.marta noteikumu Nr.204 “Kārtība, kādā nosaka taisnīgu atlīdzību par sabiedrības vajadzībām atsavināmo nekustamo īpašumu” (turpmāk – MK noteikumi Nr.204) 18.punktam atsavināmā nekustamā īpašuma novērtēšanai institūcija Publisko iepirkumu likumā noteiktajā kārtībā izvēlas sertificētu nekustamā īpašuma vērtētāju. Saskaņā ar MK noteikumu Nr.204 36.1.apakšpunktu pēc tam kad komisija pieņēmusi lēmumu par atlīdzību, institūcija izvērtē komisijas apstiprināto atlīdzības apmēru un, ja atlīdzības noteikšanā trūkumi nav konstatēti, – apstiprina komisijas noteikto atlīdzību, pieņemot Likuma 9.panta pirmajā daļā minēto lēmumu par atlīdzības apmēru.</w:t>
            </w:r>
          </w:p>
          <w:p w14:paraId="0FC1A4F6" w14:textId="77777777" w:rsidR="00A32A6C" w:rsidRPr="00846351" w:rsidRDefault="00A32A6C" w:rsidP="001B5D5D">
            <w:pPr>
              <w:ind w:firstLine="720"/>
              <w:jc w:val="both"/>
              <w:rPr>
                <w:color w:val="000000" w:themeColor="text1"/>
                <w:sz w:val="24"/>
                <w:szCs w:val="24"/>
              </w:rPr>
            </w:pPr>
            <w:r w:rsidRPr="00846351">
              <w:rPr>
                <w:color w:val="000000" w:themeColor="text1"/>
                <w:sz w:val="24"/>
                <w:szCs w:val="24"/>
              </w:rPr>
              <w:t>Likuma 9.panta pirmā daļa noteic, ka Ministru kabinets četru mēnešu laikā pēc tam, kad pieņemts lēmums par atlīdzības apmēru, pieņem lēmumu ierosināt sabiedrības vajadzību nodrošināšanai nepieciešamā nekustamā īpašuma atsavināšanu par noteikto atlīdzību.</w:t>
            </w:r>
          </w:p>
          <w:p w14:paraId="7602226E" w14:textId="0989CFB1" w:rsidR="00A32A6C" w:rsidRPr="00846351" w:rsidRDefault="00A32A6C" w:rsidP="001C4DDE">
            <w:pPr>
              <w:ind w:firstLine="720"/>
              <w:jc w:val="both"/>
              <w:rPr>
                <w:color w:val="000000" w:themeColor="text1"/>
                <w:sz w:val="24"/>
                <w:szCs w:val="24"/>
              </w:rPr>
            </w:pPr>
            <w:r w:rsidRPr="00846351">
              <w:rPr>
                <w:color w:val="000000" w:themeColor="text1"/>
                <w:sz w:val="24"/>
                <w:szCs w:val="24"/>
              </w:rPr>
              <w:t xml:space="preserve">Ņemot vērā minēto, skaidrības nodrošināšanai lūdzam precizēt informatīvā ziņojuma 9.lpp. norādīto attiecībā uz no nekustamā </w:t>
            </w:r>
            <w:r w:rsidRPr="00846351">
              <w:rPr>
                <w:color w:val="000000" w:themeColor="text1"/>
                <w:sz w:val="24"/>
                <w:szCs w:val="24"/>
              </w:rPr>
              <w:lastRenderedPageBreak/>
              <w:t xml:space="preserve">īpašuma īpašnieka saņemto cenas piedāvājumu, norādot, ka atlīdzība, par kuru tiks ierosināta nekustamā īpašuma atsavināšana, tiks noteikta atbilstoši Likuma un MK noteikumu Nr.204 nosacījumiem. </w:t>
            </w:r>
          </w:p>
        </w:tc>
        <w:tc>
          <w:tcPr>
            <w:tcW w:w="1701" w:type="dxa"/>
            <w:gridSpan w:val="2"/>
            <w:tcBorders>
              <w:top w:val="single" w:sz="6" w:space="0" w:color="000000"/>
              <w:left w:val="single" w:sz="6" w:space="0" w:color="000000"/>
              <w:bottom w:val="single" w:sz="6" w:space="0" w:color="000000"/>
              <w:right w:val="single" w:sz="6" w:space="0" w:color="000000"/>
            </w:tcBorders>
          </w:tcPr>
          <w:p w14:paraId="4AEFC827" w14:textId="0800F4FE" w:rsidR="00A32A6C" w:rsidRPr="00846351" w:rsidRDefault="001B5D5D" w:rsidP="001B5D5D">
            <w:pPr>
              <w:pStyle w:val="naisc"/>
              <w:spacing w:before="0" w:after="0"/>
              <w:jc w:val="both"/>
              <w:rPr>
                <w:b/>
              </w:rPr>
            </w:pPr>
            <w:r w:rsidRPr="00846351">
              <w:rPr>
                <w:b/>
              </w:rPr>
              <w:lastRenderedPageBreak/>
              <w:t>Ņemts vērā</w:t>
            </w:r>
          </w:p>
        </w:tc>
        <w:tc>
          <w:tcPr>
            <w:tcW w:w="4252" w:type="dxa"/>
            <w:tcBorders>
              <w:top w:val="single" w:sz="4" w:space="0" w:color="auto"/>
              <w:left w:val="single" w:sz="4" w:space="0" w:color="auto"/>
              <w:bottom w:val="single" w:sz="4" w:space="0" w:color="auto"/>
            </w:tcBorders>
          </w:tcPr>
          <w:p w14:paraId="2AABF6B2" w14:textId="160A017A" w:rsidR="00AA5EC0" w:rsidRPr="00AA5EC0" w:rsidRDefault="001C4DDE" w:rsidP="00AA5EC0">
            <w:pPr>
              <w:pStyle w:val="Parastais"/>
              <w:jc w:val="both"/>
              <w:rPr>
                <w:color w:val="000000"/>
              </w:rPr>
            </w:pPr>
            <w:r w:rsidRPr="00AA5EC0">
              <w:rPr>
                <w:color w:val="000000"/>
              </w:rPr>
              <w:t>In</w:t>
            </w:r>
            <w:r w:rsidR="00AA5EC0" w:rsidRPr="00AA5EC0">
              <w:rPr>
                <w:color w:val="000000"/>
              </w:rPr>
              <w:t>formatīvais ziņojums precizēts:</w:t>
            </w:r>
          </w:p>
          <w:p w14:paraId="44A49E71" w14:textId="385B73DC" w:rsidR="00AA5EC0" w:rsidRPr="00AA5EC0" w:rsidRDefault="00AA5EC0" w:rsidP="00AA5EC0">
            <w:pPr>
              <w:autoSpaceDE w:val="0"/>
              <w:autoSpaceDN w:val="0"/>
              <w:adjustRightInd w:val="0"/>
              <w:jc w:val="both"/>
              <w:rPr>
                <w:sz w:val="24"/>
                <w:szCs w:val="24"/>
              </w:rPr>
            </w:pPr>
            <w:r w:rsidRPr="00AA5EC0">
              <w:rPr>
                <w:color w:val="000000"/>
                <w:sz w:val="24"/>
                <w:szCs w:val="24"/>
              </w:rPr>
              <w:t>“</w:t>
            </w:r>
            <w:r w:rsidRPr="00AA5EC0">
              <w:rPr>
                <w:sz w:val="24"/>
                <w:szCs w:val="24"/>
              </w:rPr>
              <w:t xml:space="preserve">Nekustamo īpašumu īpašnieks ir informējis Iekšlietu ministriju, ka piekrīt nekustamo īpašumu pārdošanai, kā arī ir iesniedzis savu cenas piedāvājumu. Lai noteiktu atlīdzības apmēru par nekustamo īpašumu atsavināšanu, Iekšlietu ministrija (Nodrošinājuma valsts aģentūra) Sabiedrības vajadzībām nepieciešamā nekustamā īpašuma atsavināšanas likumā noteiktajā kārtībā veiks nekustamo īpašumu novērtēšanu, piesaistot sertificētu nekustamo īpašumu vērtētāju, uz kura vērtējuma pamata  noteiks taisnīgas atlīdzības apmēru par nekustamo īpašumu atsavināšanu Ņemot vērā, ka atsavināmo </w:t>
            </w:r>
            <w:r w:rsidRPr="00AA5EC0">
              <w:rPr>
                <w:sz w:val="24"/>
                <w:szCs w:val="24"/>
              </w:rPr>
              <w:lastRenderedPageBreak/>
              <w:t xml:space="preserve">nekustamo īpašumu īpašnieks ir piekritis labprātīgai nekustamo īpašumu atsavināšanai, līgumu par nekustamo īpašumu iegādi atbilstoši Ministru kabineta </w:t>
            </w:r>
            <w:r w:rsidRPr="00AA5EC0">
              <w:rPr>
                <w:color w:val="000000"/>
                <w:sz w:val="24"/>
                <w:szCs w:val="24"/>
              </w:rPr>
              <w:t>2021.gada 18.marta sēdē lemtajam</w:t>
            </w:r>
            <w:r w:rsidRPr="00AA5EC0">
              <w:rPr>
                <w:sz w:val="24"/>
                <w:szCs w:val="24"/>
              </w:rPr>
              <w:t xml:space="preserve"> plānots noslēgt līdz 2021.gada 1.augustam, ievērojot Sabiedrības vajadzībām nepieciešamā nekustamā īpašuma atsavināšanas likumā noteiktās nekustamā īpašuma atsavināšanas procedūras.</w:t>
            </w:r>
            <w:r w:rsidRPr="00AA5EC0">
              <w:rPr>
                <w:sz w:val="24"/>
                <w:szCs w:val="24"/>
              </w:rPr>
              <w:t>”</w:t>
            </w:r>
          </w:p>
          <w:p w14:paraId="6BDE531C" w14:textId="041D3CB6" w:rsidR="00A32A6C" w:rsidRPr="00AA5EC0" w:rsidRDefault="00A32A6C" w:rsidP="00AA5EC0">
            <w:pPr>
              <w:jc w:val="both"/>
              <w:rPr>
                <w:color w:val="000000"/>
                <w:sz w:val="24"/>
                <w:szCs w:val="24"/>
              </w:rPr>
            </w:pPr>
          </w:p>
        </w:tc>
      </w:tr>
      <w:tr w:rsidR="007116C7" w:rsidRPr="00846351" w14:paraId="3D0CA4DA" w14:textId="77777777" w:rsidTr="000C649E">
        <w:tblPrEx>
          <w:tblBorders>
            <w:top w:val="none" w:sz="0" w:space="0" w:color="auto"/>
            <w:left w:val="none" w:sz="0" w:space="0" w:color="auto"/>
            <w:bottom w:val="none" w:sz="0" w:space="0" w:color="auto"/>
            <w:right w:val="none" w:sz="0" w:space="0" w:color="auto"/>
          </w:tblBorders>
        </w:tblPrEx>
        <w:trPr>
          <w:gridAfter w:val="2"/>
          <w:wAfter w:w="4831" w:type="dxa"/>
        </w:trPr>
        <w:tc>
          <w:tcPr>
            <w:tcW w:w="4277" w:type="dxa"/>
            <w:gridSpan w:val="3"/>
          </w:tcPr>
          <w:p w14:paraId="0A7227B0" w14:textId="77777777" w:rsidR="00D92D47" w:rsidRPr="00846351" w:rsidRDefault="00D92D47" w:rsidP="00E74517">
            <w:pPr>
              <w:pStyle w:val="naiskr"/>
              <w:spacing w:before="0" w:after="0"/>
            </w:pPr>
          </w:p>
          <w:p w14:paraId="56D74DD6" w14:textId="77777777" w:rsidR="007116C7" w:rsidRPr="00846351" w:rsidRDefault="007116C7" w:rsidP="00E74517">
            <w:pPr>
              <w:pStyle w:val="naiskr"/>
              <w:spacing w:before="0" w:after="0"/>
            </w:pPr>
            <w:r w:rsidRPr="00846351">
              <w:t>Atbildīgā amatpersona</w:t>
            </w:r>
          </w:p>
        </w:tc>
        <w:tc>
          <w:tcPr>
            <w:tcW w:w="5626" w:type="dxa"/>
            <w:gridSpan w:val="2"/>
          </w:tcPr>
          <w:p w14:paraId="1CD1F0B9" w14:textId="77777777" w:rsidR="007116C7" w:rsidRPr="00846351" w:rsidRDefault="007116C7" w:rsidP="00DB7395">
            <w:pPr>
              <w:pStyle w:val="naiskr"/>
              <w:spacing w:before="0" w:after="0"/>
              <w:ind w:firstLine="720"/>
            </w:pPr>
          </w:p>
        </w:tc>
      </w:tr>
      <w:tr w:rsidR="007116C7" w:rsidRPr="00846351" w14:paraId="2190291F" w14:textId="77777777" w:rsidTr="000C649E">
        <w:tblPrEx>
          <w:tblBorders>
            <w:top w:val="none" w:sz="0" w:space="0" w:color="auto"/>
            <w:left w:val="none" w:sz="0" w:space="0" w:color="auto"/>
            <w:bottom w:val="none" w:sz="0" w:space="0" w:color="auto"/>
            <w:right w:val="none" w:sz="0" w:space="0" w:color="auto"/>
          </w:tblBorders>
        </w:tblPrEx>
        <w:trPr>
          <w:gridAfter w:val="2"/>
          <w:wAfter w:w="4831" w:type="dxa"/>
        </w:trPr>
        <w:tc>
          <w:tcPr>
            <w:tcW w:w="4277" w:type="dxa"/>
            <w:gridSpan w:val="3"/>
          </w:tcPr>
          <w:p w14:paraId="291D0927" w14:textId="77777777" w:rsidR="007116C7" w:rsidRPr="00846351" w:rsidRDefault="007116C7" w:rsidP="00DB7395">
            <w:pPr>
              <w:pStyle w:val="naiskr"/>
              <w:spacing w:before="0" w:after="0"/>
              <w:ind w:firstLine="720"/>
            </w:pPr>
          </w:p>
        </w:tc>
        <w:tc>
          <w:tcPr>
            <w:tcW w:w="5626" w:type="dxa"/>
            <w:gridSpan w:val="2"/>
            <w:tcBorders>
              <w:top w:val="single" w:sz="6" w:space="0" w:color="000000"/>
            </w:tcBorders>
          </w:tcPr>
          <w:p w14:paraId="59F4DB5B" w14:textId="77777777" w:rsidR="007116C7" w:rsidRPr="00846351" w:rsidRDefault="007116C7" w:rsidP="008655A2">
            <w:pPr>
              <w:pStyle w:val="naisc"/>
              <w:spacing w:before="0" w:after="0"/>
              <w:ind w:firstLine="720"/>
            </w:pPr>
            <w:r w:rsidRPr="00846351">
              <w:t>(paraksts)</w:t>
            </w:r>
          </w:p>
        </w:tc>
      </w:tr>
    </w:tbl>
    <w:p w14:paraId="669603D1" w14:textId="59D0EDD6" w:rsidR="004373E1" w:rsidRPr="00846351" w:rsidRDefault="00C860CE" w:rsidP="00313CDC">
      <w:pPr>
        <w:pStyle w:val="naisf"/>
        <w:spacing w:before="0" w:after="0"/>
        <w:ind w:firstLine="0"/>
      </w:pPr>
      <w:r w:rsidRPr="00846351">
        <w:t>Agate Sirmā</w:t>
      </w:r>
    </w:p>
    <w:tbl>
      <w:tblPr>
        <w:tblW w:w="0" w:type="auto"/>
        <w:tblLook w:val="00A0" w:firstRow="1" w:lastRow="0" w:firstColumn="1" w:lastColumn="0" w:noHBand="0" w:noVBand="0"/>
      </w:tblPr>
      <w:tblGrid>
        <w:gridCol w:w="8268"/>
      </w:tblGrid>
      <w:tr w:rsidR="008655A2" w:rsidRPr="00846351" w14:paraId="147FA962" w14:textId="77777777">
        <w:tc>
          <w:tcPr>
            <w:tcW w:w="8268" w:type="dxa"/>
            <w:tcBorders>
              <w:top w:val="single" w:sz="4" w:space="0" w:color="000000"/>
            </w:tcBorders>
          </w:tcPr>
          <w:p w14:paraId="1AA45FB9" w14:textId="77777777" w:rsidR="008655A2" w:rsidRPr="00846351" w:rsidRDefault="00184479" w:rsidP="00184479">
            <w:pPr>
              <w:pStyle w:val="Parastais"/>
              <w:jc w:val="center"/>
            </w:pPr>
            <w:r w:rsidRPr="00846351">
              <w:t>(</w:t>
            </w:r>
            <w:r w:rsidR="008655A2" w:rsidRPr="00846351">
              <w:t xml:space="preserve">par projektu atbildīgās amatpersonas </w:t>
            </w:r>
            <w:r w:rsidRPr="00846351">
              <w:t xml:space="preserve">vārds un </w:t>
            </w:r>
            <w:r w:rsidR="008655A2" w:rsidRPr="00846351">
              <w:t>uzvārds</w:t>
            </w:r>
            <w:r w:rsidRPr="00846351">
              <w:t>)</w:t>
            </w:r>
          </w:p>
          <w:p w14:paraId="241D562C" w14:textId="56FBF2F4" w:rsidR="000C649E" w:rsidRPr="00846351" w:rsidRDefault="000C649E" w:rsidP="00184479">
            <w:pPr>
              <w:pStyle w:val="Parastais"/>
              <w:jc w:val="center"/>
            </w:pPr>
          </w:p>
        </w:tc>
      </w:tr>
      <w:tr w:rsidR="008655A2" w:rsidRPr="00846351" w14:paraId="74A9CDF1" w14:textId="77777777">
        <w:tc>
          <w:tcPr>
            <w:tcW w:w="8268" w:type="dxa"/>
            <w:tcBorders>
              <w:bottom w:val="single" w:sz="4" w:space="0" w:color="000000"/>
            </w:tcBorders>
          </w:tcPr>
          <w:p w14:paraId="0091CE73" w14:textId="403ED91B" w:rsidR="008655A2" w:rsidRPr="00846351" w:rsidRDefault="005756E2" w:rsidP="0036160E">
            <w:pPr>
              <w:pStyle w:val="Parastais"/>
            </w:pPr>
            <w:r>
              <w:t xml:space="preserve">IeM </w:t>
            </w:r>
            <w:r w:rsidR="00C860CE" w:rsidRPr="00846351">
              <w:t>Nozares politikas departamenta vecākā referente</w:t>
            </w:r>
          </w:p>
        </w:tc>
      </w:tr>
      <w:tr w:rsidR="008655A2" w:rsidRPr="00846351" w14:paraId="2E2870C4" w14:textId="77777777">
        <w:tc>
          <w:tcPr>
            <w:tcW w:w="8268" w:type="dxa"/>
            <w:tcBorders>
              <w:top w:val="single" w:sz="4" w:space="0" w:color="000000"/>
            </w:tcBorders>
          </w:tcPr>
          <w:p w14:paraId="314E9149" w14:textId="77777777" w:rsidR="008655A2" w:rsidRPr="00846351" w:rsidRDefault="00184479" w:rsidP="00184479">
            <w:pPr>
              <w:pStyle w:val="Parastais"/>
              <w:jc w:val="center"/>
            </w:pPr>
            <w:r w:rsidRPr="00846351">
              <w:t>(</w:t>
            </w:r>
            <w:r w:rsidR="008655A2" w:rsidRPr="00846351">
              <w:t>amats</w:t>
            </w:r>
            <w:r w:rsidRPr="00846351">
              <w:t>)</w:t>
            </w:r>
          </w:p>
        </w:tc>
      </w:tr>
      <w:tr w:rsidR="008655A2" w:rsidRPr="00846351" w14:paraId="6528C9BA" w14:textId="77777777">
        <w:tc>
          <w:tcPr>
            <w:tcW w:w="8268" w:type="dxa"/>
            <w:tcBorders>
              <w:bottom w:val="single" w:sz="4" w:space="0" w:color="000000"/>
            </w:tcBorders>
          </w:tcPr>
          <w:p w14:paraId="607AE179" w14:textId="2BDE9094" w:rsidR="008655A2" w:rsidRPr="00846351" w:rsidRDefault="00C860CE" w:rsidP="0036160E">
            <w:pPr>
              <w:pStyle w:val="Parastais"/>
            </w:pPr>
            <w:r w:rsidRPr="00846351">
              <w:t>67219508</w:t>
            </w:r>
          </w:p>
        </w:tc>
      </w:tr>
      <w:tr w:rsidR="008655A2" w:rsidRPr="00846351" w14:paraId="0999BC57" w14:textId="77777777">
        <w:tc>
          <w:tcPr>
            <w:tcW w:w="8268" w:type="dxa"/>
            <w:tcBorders>
              <w:top w:val="single" w:sz="4" w:space="0" w:color="000000"/>
            </w:tcBorders>
          </w:tcPr>
          <w:p w14:paraId="68CFDE8D" w14:textId="77777777" w:rsidR="008655A2" w:rsidRPr="00846351" w:rsidRDefault="00184479" w:rsidP="00184479">
            <w:pPr>
              <w:pStyle w:val="Parastais"/>
              <w:jc w:val="center"/>
            </w:pPr>
            <w:r w:rsidRPr="00846351">
              <w:t>(</w:t>
            </w:r>
            <w:r w:rsidR="008655A2" w:rsidRPr="00846351">
              <w:t>tālruņa un faksa numurs</w:t>
            </w:r>
            <w:r w:rsidRPr="00846351">
              <w:t>)</w:t>
            </w:r>
          </w:p>
        </w:tc>
      </w:tr>
      <w:tr w:rsidR="008655A2" w:rsidRPr="00846351" w14:paraId="126B62A4" w14:textId="77777777">
        <w:tc>
          <w:tcPr>
            <w:tcW w:w="8268" w:type="dxa"/>
            <w:tcBorders>
              <w:bottom w:val="single" w:sz="4" w:space="0" w:color="000000"/>
            </w:tcBorders>
          </w:tcPr>
          <w:p w14:paraId="69DB0568" w14:textId="0F59D135" w:rsidR="008655A2" w:rsidRPr="00846351" w:rsidRDefault="00C860CE" w:rsidP="0036160E">
            <w:pPr>
              <w:pStyle w:val="Parastais"/>
            </w:pPr>
            <w:r w:rsidRPr="00846351">
              <w:t>agate.sirma@iem.gov.lv</w:t>
            </w:r>
          </w:p>
        </w:tc>
      </w:tr>
      <w:tr w:rsidR="008655A2" w:rsidRPr="00846351" w14:paraId="5D407713" w14:textId="77777777">
        <w:tc>
          <w:tcPr>
            <w:tcW w:w="8268" w:type="dxa"/>
            <w:tcBorders>
              <w:top w:val="single" w:sz="4" w:space="0" w:color="000000"/>
            </w:tcBorders>
          </w:tcPr>
          <w:p w14:paraId="3CB3EAB8" w14:textId="77777777" w:rsidR="008655A2" w:rsidRPr="00846351" w:rsidRDefault="00184479" w:rsidP="00184479">
            <w:pPr>
              <w:pStyle w:val="Parastais"/>
              <w:jc w:val="center"/>
            </w:pPr>
            <w:r w:rsidRPr="00846351">
              <w:t>(</w:t>
            </w:r>
            <w:r w:rsidR="008655A2" w:rsidRPr="00846351">
              <w:t>e-pasta adrese</w:t>
            </w:r>
            <w:r w:rsidRPr="00846351">
              <w:t>)</w:t>
            </w:r>
          </w:p>
        </w:tc>
      </w:tr>
    </w:tbl>
    <w:p w14:paraId="59FA3689" w14:textId="14DB8953" w:rsidR="008601B6" w:rsidRDefault="008601B6" w:rsidP="003721AC">
      <w:pPr>
        <w:pStyle w:val="naisf"/>
        <w:spacing w:before="0" w:after="0"/>
        <w:ind w:firstLine="0"/>
        <w:jc w:val="left"/>
        <w:rPr>
          <w:b/>
          <w:color w:val="984806"/>
        </w:rPr>
      </w:pPr>
    </w:p>
    <w:p w14:paraId="3FDE24C1" w14:textId="1F11DE2C" w:rsidR="005756E2" w:rsidRPr="00846351" w:rsidRDefault="005756E2" w:rsidP="005756E2">
      <w:pPr>
        <w:pStyle w:val="naisf"/>
        <w:spacing w:before="0" w:after="0"/>
        <w:ind w:firstLine="0"/>
      </w:pPr>
      <w:r>
        <w:t xml:space="preserve">Larisa </w:t>
      </w:r>
      <w:proofErr w:type="spellStart"/>
      <w:r>
        <w:t>Tumaņana</w:t>
      </w:r>
      <w:proofErr w:type="spellEnd"/>
    </w:p>
    <w:tbl>
      <w:tblPr>
        <w:tblW w:w="0" w:type="auto"/>
        <w:tblLook w:val="00A0" w:firstRow="1" w:lastRow="0" w:firstColumn="1" w:lastColumn="0" w:noHBand="0" w:noVBand="0"/>
      </w:tblPr>
      <w:tblGrid>
        <w:gridCol w:w="8268"/>
      </w:tblGrid>
      <w:tr w:rsidR="005756E2" w:rsidRPr="00846351" w14:paraId="6DD43CE0" w14:textId="77777777" w:rsidTr="005B2CCD">
        <w:tc>
          <w:tcPr>
            <w:tcW w:w="8268" w:type="dxa"/>
            <w:tcBorders>
              <w:top w:val="single" w:sz="4" w:space="0" w:color="000000"/>
            </w:tcBorders>
          </w:tcPr>
          <w:p w14:paraId="4834D80A" w14:textId="77777777" w:rsidR="005756E2" w:rsidRPr="00846351" w:rsidRDefault="005756E2" w:rsidP="005B2CCD">
            <w:pPr>
              <w:pStyle w:val="Parastais"/>
              <w:jc w:val="center"/>
            </w:pPr>
            <w:r w:rsidRPr="00846351">
              <w:t>(par projektu atbildīgās amatpersonas vārds un uzvārds)</w:t>
            </w:r>
          </w:p>
          <w:p w14:paraId="2E50D3A5" w14:textId="77777777" w:rsidR="005756E2" w:rsidRPr="00846351" w:rsidRDefault="005756E2" w:rsidP="005B2CCD">
            <w:pPr>
              <w:pStyle w:val="Parastais"/>
              <w:jc w:val="center"/>
            </w:pPr>
          </w:p>
        </w:tc>
      </w:tr>
      <w:tr w:rsidR="005756E2" w:rsidRPr="00846351" w14:paraId="13C7F0FF" w14:textId="77777777" w:rsidTr="005B2CCD">
        <w:tc>
          <w:tcPr>
            <w:tcW w:w="8268" w:type="dxa"/>
            <w:tcBorders>
              <w:bottom w:val="single" w:sz="4" w:space="0" w:color="000000"/>
            </w:tcBorders>
          </w:tcPr>
          <w:p w14:paraId="023058B6" w14:textId="56AA7F11" w:rsidR="005756E2" w:rsidRPr="00846351" w:rsidRDefault="005756E2" w:rsidP="005756E2">
            <w:pPr>
              <w:pStyle w:val="Parastais"/>
            </w:pPr>
            <w:r>
              <w:t>IeM Finanšu vadības departamenta direktore</w:t>
            </w:r>
          </w:p>
        </w:tc>
      </w:tr>
      <w:tr w:rsidR="005756E2" w:rsidRPr="00846351" w14:paraId="41633D18" w14:textId="77777777" w:rsidTr="005B2CCD">
        <w:tc>
          <w:tcPr>
            <w:tcW w:w="8268" w:type="dxa"/>
            <w:tcBorders>
              <w:top w:val="single" w:sz="4" w:space="0" w:color="000000"/>
            </w:tcBorders>
          </w:tcPr>
          <w:p w14:paraId="787526ED" w14:textId="77777777" w:rsidR="005756E2" w:rsidRPr="00846351" w:rsidRDefault="005756E2" w:rsidP="005B2CCD">
            <w:pPr>
              <w:pStyle w:val="Parastais"/>
              <w:jc w:val="center"/>
            </w:pPr>
            <w:r w:rsidRPr="00846351">
              <w:t>(amats)</w:t>
            </w:r>
          </w:p>
        </w:tc>
      </w:tr>
      <w:tr w:rsidR="005756E2" w:rsidRPr="00846351" w14:paraId="012EF547" w14:textId="77777777" w:rsidTr="005B2CCD">
        <w:tc>
          <w:tcPr>
            <w:tcW w:w="8268" w:type="dxa"/>
            <w:tcBorders>
              <w:bottom w:val="single" w:sz="4" w:space="0" w:color="000000"/>
            </w:tcBorders>
          </w:tcPr>
          <w:p w14:paraId="172BAA3F" w14:textId="7F0DD920" w:rsidR="005756E2" w:rsidRPr="00846351" w:rsidRDefault="005756E2" w:rsidP="005B2CCD">
            <w:pPr>
              <w:pStyle w:val="Parastais"/>
            </w:pPr>
            <w:r>
              <w:t>67219601</w:t>
            </w:r>
          </w:p>
        </w:tc>
      </w:tr>
      <w:tr w:rsidR="005756E2" w:rsidRPr="00846351" w14:paraId="4CD96523" w14:textId="77777777" w:rsidTr="005B2CCD">
        <w:tc>
          <w:tcPr>
            <w:tcW w:w="8268" w:type="dxa"/>
            <w:tcBorders>
              <w:top w:val="single" w:sz="4" w:space="0" w:color="000000"/>
            </w:tcBorders>
          </w:tcPr>
          <w:p w14:paraId="018455BA" w14:textId="77777777" w:rsidR="005756E2" w:rsidRPr="00846351" w:rsidRDefault="005756E2" w:rsidP="005B2CCD">
            <w:pPr>
              <w:pStyle w:val="Parastais"/>
              <w:jc w:val="center"/>
            </w:pPr>
            <w:r w:rsidRPr="00846351">
              <w:t>(tālruņa un faksa numurs)</w:t>
            </w:r>
          </w:p>
        </w:tc>
      </w:tr>
      <w:tr w:rsidR="005756E2" w:rsidRPr="00846351" w14:paraId="512E5B3C" w14:textId="77777777" w:rsidTr="005B2CCD">
        <w:tc>
          <w:tcPr>
            <w:tcW w:w="8268" w:type="dxa"/>
            <w:tcBorders>
              <w:bottom w:val="single" w:sz="4" w:space="0" w:color="000000"/>
            </w:tcBorders>
          </w:tcPr>
          <w:p w14:paraId="4B09C744" w14:textId="2CA68BDD" w:rsidR="005756E2" w:rsidRPr="00846351" w:rsidRDefault="005756E2" w:rsidP="005B2CCD">
            <w:pPr>
              <w:pStyle w:val="Parastais"/>
            </w:pPr>
            <w:r>
              <w:t>larisa.tumanana</w:t>
            </w:r>
            <w:r w:rsidRPr="00846351">
              <w:t>@iem.gov.lv</w:t>
            </w:r>
          </w:p>
        </w:tc>
      </w:tr>
      <w:tr w:rsidR="005756E2" w:rsidRPr="00846351" w14:paraId="0EF9C5B4" w14:textId="77777777" w:rsidTr="005B2CCD">
        <w:tc>
          <w:tcPr>
            <w:tcW w:w="8268" w:type="dxa"/>
            <w:tcBorders>
              <w:top w:val="single" w:sz="4" w:space="0" w:color="000000"/>
            </w:tcBorders>
          </w:tcPr>
          <w:p w14:paraId="7A6EFD56" w14:textId="77777777" w:rsidR="005756E2" w:rsidRPr="00846351" w:rsidRDefault="005756E2" w:rsidP="005B2CCD">
            <w:pPr>
              <w:pStyle w:val="Parastais"/>
              <w:jc w:val="center"/>
            </w:pPr>
            <w:r w:rsidRPr="00846351">
              <w:t>(e-pasta adrese)</w:t>
            </w:r>
          </w:p>
        </w:tc>
      </w:tr>
    </w:tbl>
    <w:p w14:paraId="1F224ECD" w14:textId="77777777" w:rsidR="005756E2" w:rsidRPr="00846351" w:rsidRDefault="005756E2" w:rsidP="005756E2">
      <w:pPr>
        <w:pStyle w:val="naisf"/>
        <w:spacing w:before="0" w:after="0"/>
        <w:ind w:firstLine="0"/>
        <w:jc w:val="left"/>
        <w:rPr>
          <w:b/>
          <w:color w:val="984806"/>
        </w:rPr>
      </w:pPr>
    </w:p>
    <w:p w14:paraId="452FE5DB" w14:textId="77777777" w:rsidR="005756E2" w:rsidRPr="00846351" w:rsidRDefault="005756E2" w:rsidP="003721AC">
      <w:pPr>
        <w:pStyle w:val="naisf"/>
        <w:spacing w:before="0" w:after="0"/>
        <w:ind w:firstLine="0"/>
        <w:jc w:val="left"/>
        <w:rPr>
          <w:b/>
          <w:color w:val="984806"/>
        </w:rPr>
      </w:pPr>
    </w:p>
    <w:sectPr w:rsidR="005756E2" w:rsidRPr="00846351" w:rsidSect="00863627">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51A1C" w14:textId="77777777" w:rsidR="00D964EE" w:rsidRDefault="00D964EE">
      <w:pPr>
        <w:pStyle w:val="Parastais"/>
      </w:pPr>
      <w:r>
        <w:separator/>
      </w:r>
    </w:p>
  </w:endnote>
  <w:endnote w:type="continuationSeparator" w:id="0">
    <w:p w14:paraId="238B4E50" w14:textId="77777777" w:rsidR="00D964EE" w:rsidRDefault="00D964EE">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C92C" w14:textId="2FFB97F5" w:rsidR="00AB3D34" w:rsidRPr="004A5B15" w:rsidRDefault="00A32A6C" w:rsidP="000277A1">
    <w:pPr>
      <w:pStyle w:val="Parastais"/>
      <w:rPr>
        <w:sz w:val="20"/>
        <w:szCs w:val="20"/>
      </w:rPr>
    </w:pPr>
    <w:proofErr w:type="spellStart"/>
    <w:r>
      <w:rPr>
        <w:sz w:val="20"/>
        <w:szCs w:val="20"/>
      </w:rPr>
      <w:t>IEMIzz_ekas.iegade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2F3C" w14:textId="7AE3D109" w:rsidR="00AB3D34" w:rsidRPr="00C805EF" w:rsidRDefault="00A32A6C" w:rsidP="00C805EF">
    <w:pPr>
      <w:pStyle w:val="Parastais"/>
    </w:pPr>
    <w:proofErr w:type="spellStart"/>
    <w:r>
      <w:rPr>
        <w:sz w:val="20"/>
        <w:szCs w:val="20"/>
      </w:rPr>
      <w:t>IEMIzz_ekas.iegade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8E326" w14:textId="77777777" w:rsidR="00D964EE" w:rsidRDefault="00D964EE">
      <w:pPr>
        <w:pStyle w:val="Parastais"/>
      </w:pPr>
      <w:r>
        <w:separator/>
      </w:r>
    </w:p>
  </w:footnote>
  <w:footnote w:type="continuationSeparator" w:id="0">
    <w:p w14:paraId="1493541A" w14:textId="77777777" w:rsidR="00D964EE" w:rsidRDefault="00D964EE">
      <w:pPr>
        <w:pStyle w:val="Parastais"/>
      </w:pPr>
      <w:r>
        <w:continuationSeparator/>
      </w:r>
    </w:p>
  </w:footnote>
  <w:footnote w:id="1">
    <w:p w14:paraId="56D66BE4" w14:textId="77777777" w:rsidR="00A32A6C" w:rsidRDefault="00A32A6C" w:rsidP="00A32A6C">
      <w:pPr>
        <w:pStyle w:val="FootnoteText"/>
      </w:pPr>
      <w:r>
        <w:rPr>
          <w:rStyle w:val="FootnoteReference"/>
        </w:rPr>
        <w:footnoteRef/>
      </w:r>
      <w:r>
        <w:t xml:space="preserve"> </w:t>
      </w:r>
      <w:r w:rsidRPr="00330F82">
        <w:t>Latvijas Republikas Satversmes tiesa</w:t>
      </w:r>
      <w:r>
        <w:t xml:space="preserve">s </w:t>
      </w:r>
      <w:r w:rsidRPr="00330F82">
        <w:t>2016. gada 9. decembr</w:t>
      </w:r>
      <w:r>
        <w:t xml:space="preserve">a sprieduma </w:t>
      </w:r>
      <w:r w:rsidRPr="00330F82">
        <w:t>lietā Nr. 2016</w:t>
      </w:r>
      <w:r>
        <w:t>-</w:t>
      </w:r>
      <w:r w:rsidRPr="00330F82">
        <w:t>08</w:t>
      </w:r>
      <w:r>
        <w:t>-</w:t>
      </w:r>
      <w:r w:rsidRPr="00330F82">
        <w:t>01</w:t>
      </w:r>
      <w:r>
        <w:t xml:space="preserve"> 14.1. punkts.</w:t>
      </w:r>
    </w:p>
  </w:footnote>
  <w:footnote w:id="2">
    <w:p w14:paraId="7AF5E8FC" w14:textId="77777777" w:rsidR="00A32A6C" w:rsidRDefault="00A32A6C" w:rsidP="00A32A6C">
      <w:pPr>
        <w:pStyle w:val="FootnoteText"/>
      </w:pPr>
      <w:r>
        <w:rPr>
          <w:rStyle w:val="FootnoteReference"/>
        </w:rPr>
        <w:footnoteRef/>
      </w:r>
      <w:r>
        <w:t xml:space="preserve"> Turpat.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186D" w14:textId="77777777" w:rsidR="00AB3D34" w:rsidRDefault="00AB3D3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2D1B6" w14:textId="77777777" w:rsidR="00AB3D34" w:rsidRDefault="00AB3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FF84" w14:textId="00E9B6D3" w:rsidR="00AB3D34" w:rsidRDefault="00AB3D3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EC0">
      <w:rPr>
        <w:rStyle w:val="PageNumber"/>
        <w:noProof/>
      </w:rPr>
      <w:t>14</w:t>
    </w:r>
    <w:r>
      <w:rPr>
        <w:rStyle w:val="PageNumber"/>
      </w:rPr>
      <w:fldChar w:fldCharType="end"/>
    </w:r>
  </w:p>
  <w:p w14:paraId="1CD865FD" w14:textId="77777777" w:rsidR="00AB3D34" w:rsidRDefault="00AB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1354"/>
    <w:multiLevelType w:val="hybridMultilevel"/>
    <w:tmpl w:val="DC5A101A"/>
    <w:lvl w:ilvl="0" w:tplc="59521BA4">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F12224"/>
    <w:multiLevelType w:val="hybridMultilevel"/>
    <w:tmpl w:val="78921B12"/>
    <w:lvl w:ilvl="0" w:tplc="0AFCC21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AE25EC7"/>
    <w:multiLevelType w:val="hybridMultilevel"/>
    <w:tmpl w:val="75801AB4"/>
    <w:lvl w:ilvl="0" w:tplc="5E4635EA">
      <w:start w:val="1"/>
      <w:numFmt w:val="decimal"/>
      <w:lvlText w:val="%1."/>
      <w:lvlJc w:val="left"/>
      <w:pPr>
        <w:ind w:left="644"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34357E1"/>
    <w:multiLevelType w:val="hybridMultilevel"/>
    <w:tmpl w:val="90B2A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7467B0"/>
    <w:multiLevelType w:val="hybridMultilevel"/>
    <w:tmpl w:val="13EC8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334268"/>
    <w:multiLevelType w:val="hybridMultilevel"/>
    <w:tmpl w:val="78921B12"/>
    <w:lvl w:ilvl="0" w:tplc="0AFCC21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1F4BD8"/>
    <w:multiLevelType w:val="hybridMultilevel"/>
    <w:tmpl w:val="0C962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C142E"/>
    <w:multiLevelType w:val="hybridMultilevel"/>
    <w:tmpl w:val="46E06D1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E0E0F19"/>
    <w:multiLevelType w:val="hybridMultilevel"/>
    <w:tmpl w:val="78921B12"/>
    <w:lvl w:ilvl="0" w:tplc="0AFCC21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2220555"/>
    <w:multiLevelType w:val="multilevel"/>
    <w:tmpl w:val="24BA39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3A468B1"/>
    <w:multiLevelType w:val="hybridMultilevel"/>
    <w:tmpl w:val="78921B12"/>
    <w:lvl w:ilvl="0" w:tplc="0AFCC21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CC551F"/>
    <w:multiLevelType w:val="hybridMultilevel"/>
    <w:tmpl w:val="13EC8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3"/>
  </w:num>
  <w:num w:numId="4">
    <w:abstractNumId w:val="9"/>
  </w:num>
  <w:num w:numId="5">
    <w:abstractNumId w:val="6"/>
  </w:num>
  <w:num w:numId="6">
    <w:abstractNumId w:val="14"/>
  </w:num>
  <w:num w:numId="7">
    <w:abstractNumId w:val="2"/>
  </w:num>
  <w:num w:numId="8">
    <w:abstractNumId w:val="4"/>
  </w:num>
  <w:num w:numId="9">
    <w:abstractNumId w:val="0"/>
  </w:num>
  <w:num w:numId="10">
    <w:abstractNumId w:val="3"/>
  </w:num>
  <w:num w:numId="11">
    <w:abstractNumId w:val="7"/>
  </w:num>
  <w:num w:numId="12">
    <w:abstractNumId w:val="15"/>
  </w:num>
  <w:num w:numId="13">
    <w:abstractNumId w:val="12"/>
  </w:num>
  <w:num w:numId="14">
    <w:abstractNumId w:val="1"/>
  </w:num>
  <w:num w:numId="15">
    <w:abstractNumId w:val="10"/>
  </w:num>
  <w:num w:numId="16">
    <w:abstractNumId w:val="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FCB"/>
    <w:rsid w:val="00001F89"/>
    <w:rsid w:val="00003C53"/>
    <w:rsid w:val="0000456E"/>
    <w:rsid w:val="000055EA"/>
    <w:rsid w:val="000058B4"/>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386"/>
    <w:rsid w:val="0002296A"/>
    <w:rsid w:val="00022B0F"/>
    <w:rsid w:val="00022B9A"/>
    <w:rsid w:val="00022D01"/>
    <w:rsid w:val="00023FD6"/>
    <w:rsid w:val="0002416A"/>
    <w:rsid w:val="00024CCD"/>
    <w:rsid w:val="00024D20"/>
    <w:rsid w:val="000253DB"/>
    <w:rsid w:val="00025E34"/>
    <w:rsid w:val="000277A1"/>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2F5"/>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1FE"/>
    <w:rsid w:val="000B7966"/>
    <w:rsid w:val="000B7CB1"/>
    <w:rsid w:val="000C0AE6"/>
    <w:rsid w:val="000C0D0D"/>
    <w:rsid w:val="000C1354"/>
    <w:rsid w:val="000C2555"/>
    <w:rsid w:val="000C3545"/>
    <w:rsid w:val="000C498A"/>
    <w:rsid w:val="000C4C16"/>
    <w:rsid w:val="000C56FC"/>
    <w:rsid w:val="000C649E"/>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3491"/>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B78"/>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669"/>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3F91"/>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5D5D"/>
    <w:rsid w:val="001B6553"/>
    <w:rsid w:val="001B6647"/>
    <w:rsid w:val="001B6A47"/>
    <w:rsid w:val="001B6B0A"/>
    <w:rsid w:val="001B6C3C"/>
    <w:rsid w:val="001C0824"/>
    <w:rsid w:val="001C0B83"/>
    <w:rsid w:val="001C1510"/>
    <w:rsid w:val="001C1989"/>
    <w:rsid w:val="001C28FD"/>
    <w:rsid w:val="001C3349"/>
    <w:rsid w:val="001C4ABA"/>
    <w:rsid w:val="001C4DDE"/>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07C"/>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10A"/>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9C1"/>
    <w:rsid w:val="00312CD0"/>
    <w:rsid w:val="00313CDC"/>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4EA"/>
    <w:rsid w:val="00364BB6"/>
    <w:rsid w:val="00364D6B"/>
    <w:rsid w:val="00365408"/>
    <w:rsid w:val="00365CC0"/>
    <w:rsid w:val="003668DF"/>
    <w:rsid w:val="00367688"/>
    <w:rsid w:val="003721AC"/>
    <w:rsid w:val="00372221"/>
    <w:rsid w:val="00372CF2"/>
    <w:rsid w:val="00374C7E"/>
    <w:rsid w:val="00377353"/>
    <w:rsid w:val="0037736B"/>
    <w:rsid w:val="00381F57"/>
    <w:rsid w:val="0038216E"/>
    <w:rsid w:val="003822E5"/>
    <w:rsid w:val="003830B8"/>
    <w:rsid w:val="00383262"/>
    <w:rsid w:val="003A157A"/>
    <w:rsid w:val="003A1646"/>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28F"/>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2FA6"/>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17D85"/>
    <w:rsid w:val="0042063D"/>
    <w:rsid w:val="00422B23"/>
    <w:rsid w:val="0042352C"/>
    <w:rsid w:val="00423A60"/>
    <w:rsid w:val="0042504A"/>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0921"/>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4B38"/>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1B62"/>
    <w:rsid w:val="004D3184"/>
    <w:rsid w:val="004D3C4B"/>
    <w:rsid w:val="004D44B5"/>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1A1"/>
    <w:rsid w:val="00503D4C"/>
    <w:rsid w:val="00504C0C"/>
    <w:rsid w:val="00504E48"/>
    <w:rsid w:val="00505555"/>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4A49"/>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56E2"/>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9B5"/>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823"/>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2D8"/>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663"/>
    <w:rsid w:val="00682E11"/>
    <w:rsid w:val="00683081"/>
    <w:rsid w:val="00684C95"/>
    <w:rsid w:val="006850D3"/>
    <w:rsid w:val="00685249"/>
    <w:rsid w:val="006856B9"/>
    <w:rsid w:val="00685BDE"/>
    <w:rsid w:val="00686085"/>
    <w:rsid w:val="00687C0D"/>
    <w:rsid w:val="00691237"/>
    <w:rsid w:val="006920E6"/>
    <w:rsid w:val="00692555"/>
    <w:rsid w:val="00696223"/>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828"/>
    <w:rsid w:val="006F4A61"/>
    <w:rsid w:val="006F4ADC"/>
    <w:rsid w:val="006F63A9"/>
    <w:rsid w:val="006F643D"/>
    <w:rsid w:val="006F675C"/>
    <w:rsid w:val="006F6D13"/>
    <w:rsid w:val="006F7759"/>
    <w:rsid w:val="006F7D95"/>
    <w:rsid w:val="00700D41"/>
    <w:rsid w:val="00701B21"/>
    <w:rsid w:val="00702384"/>
    <w:rsid w:val="00704BAE"/>
    <w:rsid w:val="0070562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0CB3"/>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3060"/>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890"/>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2A5"/>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68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98A"/>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6351"/>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3F5"/>
    <w:rsid w:val="0087787A"/>
    <w:rsid w:val="008802F0"/>
    <w:rsid w:val="00880992"/>
    <w:rsid w:val="00881692"/>
    <w:rsid w:val="00883143"/>
    <w:rsid w:val="00886154"/>
    <w:rsid w:val="00890277"/>
    <w:rsid w:val="0089061A"/>
    <w:rsid w:val="008915C6"/>
    <w:rsid w:val="00891677"/>
    <w:rsid w:val="00892DB5"/>
    <w:rsid w:val="00893016"/>
    <w:rsid w:val="00894B61"/>
    <w:rsid w:val="00895255"/>
    <w:rsid w:val="00895DF1"/>
    <w:rsid w:val="00896645"/>
    <w:rsid w:val="008975D2"/>
    <w:rsid w:val="008A035B"/>
    <w:rsid w:val="008A0459"/>
    <w:rsid w:val="008A1218"/>
    <w:rsid w:val="008A15B6"/>
    <w:rsid w:val="008A1A6E"/>
    <w:rsid w:val="008A202A"/>
    <w:rsid w:val="008A36C9"/>
    <w:rsid w:val="008A5021"/>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B1E"/>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63B"/>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4F36"/>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709"/>
    <w:rsid w:val="00944826"/>
    <w:rsid w:val="009457A1"/>
    <w:rsid w:val="00947C5D"/>
    <w:rsid w:val="00947CA9"/>
    <w:rsid w:val="00950478"/>
    <w:rsid w:val="00950888"/>
    <w:rsid w:val="00950AF9"/>
    <w:rsid w:val="00950B5F"/>
    <w:rsid w:val="00950D35"/>
    <w:rsid w:val="0095144C"/>
    <w:rsid w:val="0095165B"/>
    <w:rsid w:val="00951B17"/>
    <w:rsid w:val="00951B8D"/>
    <w:rsid w:val="0095355A"/>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2735"/>
    <w:rsid w:val="009E49AE"/>
    <w:rsid w:val="009E4DC7"/>
    <w:rsid w:val="009E660A"/>
    <w:rsid w:val="009E6B64"/>
    <w:rsid w:val="009E72E5"/>
    <w:rsid w:val="009F46C8"/>
    <w:rsid w:val="009F4F2A"/>
    <w:rsid w:val="009F660B"/>
    <w:rsid w:val="009F671E"/>
    <w:rsid w:val="009F7ED1"/>
    <w:rsid w:val="00A0149B"/>
    <w:rsid w:val="00A01607"/>
    <w:rsid w:val="00A018D4"/>
    <w:rsid w:val="00A02B27"/>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6C"/>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180"/>
    <w:rsid w:val="00A66517"/>
    <w:rsid w:val="00A67985"/>
    <w:rsid w:val="00A67B0E"/>
    <w:rsid w:val="00A718EF"/>
    <w:rsid w:val="00A72134"/>
    <w:rsid w:val="00A726A8"/>
    <w:rsid w:val="00A72951"/>
    <w:rsid w:val="00A73505"/>
    <w:rsid w:val="00A75E02"/>
    <w:rsid w:val="00A76040"/>
    <w:rsid w:val="00A76E79"/>
    <w:rsid w:val="00A7771B"/>
    <w:rsid w:val="00A77B53"/>
    <w:rsid w:val="00A811F1"/>
    <w:rsid w:val="00A82887"/>
    <w:rsid w:val="00A83010"/>
    <w:rsid w:val="00A83BF5"/>
    <w:rsid w:val="00A84CD1"/>
    <w:rsid w:val="00A85E2E"/>
    <w:rsid w:val="00A861F3"/>
    <w:rsid w:val="00A8674F"/>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5EC0"/>
    <w:rsid w:val="00AA6299"/>
    <w:rsid w:val="00AA6E05"/>
    <w:rsid w:val="00AB0262"/>
    <w:rsid w:val="00AB14A1"/>
    <w:rsid w:val="00AB202A"/>
    <w:rsid w:val="00AB3D34"/>
    <w:rsid w:val="00AB5555"/>
    <w:rsid w:val="00AB55AD"/>
    <w:rsid w:val="00AB5D1B"/>
    <w:rsid w:val="00AB6918"/>
    <w:rsid w:val="00AB6B40"/>
    <w:rsid w:val="00AB740A"/>
    <w:rsid w:val="00AC1D01"/>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3BAE"/>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220"/>
    <w:rsid w:val="00AF3AC0"/>
    <w:rsid w:val="00AF4F4A"/>
    <w:rsid w:val="00B00C24"/>
    <w:rsid w:val="00B00F93"/>
    <w:rsid w:val="00B01BBE"/>
    <w:rsid w:val="00B03F92"/>
    <w:rsid w:val="00B05585"/>
    <w:rsid w:val="00B055D8"/>
    <w:rsid w:val="00B0683F"/>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4A15"/>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243"/>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B678B"/>
    <w:rsid w:val="00BC01FC"/>
    <w:rsid w:val="00BC1F79"/>
    <w:rsid w:val="00BC2201"/>
    <w:rsid w:val="00BC3C7A"/>
    <w:rsid w:val="00BC7DC6"/>
    <w:rsid w:val="00BD1039"/>
    <w:rsid w:val="00BD13B5"/>
    <w:rsid w:val="00BD2EFC"/>
    <w:rsid w:val="00BD340E"/>
    <w:rsid w:val="00BD60AD"/>
    <w:rsid w:val="00BD6C02"/>
    <w:rsid w:val="00BE0D5D"/>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05EF"/>
    <w:rsid w:val="00C80C17"/>
    <w:rsid w:val="00C8398D"/>
    <w:rsid w:val="00C84BC2"/>
    <w:rsid w:val="00C85139"/>
    <w:rsid w:val="00C85657"/>
    <w:rsid w:val="00C860CE"/>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44B2"/>
    <w:rsid w:val="00CD0E6E"/>
    <w:rsid w:val="00CD23AE"/>
    <w:rsid w:val="00CD27DF"/>
    <w:rsid w:val="00CD2D8A"/>
    <w:rsid w:val="00CD3BAC"/>
    <w:rsid w:val="00CD3FF2"/>
    <w:rsid w:val="00CD4A65"/>
    <w:rsid w:val="00CD531F"/>
    <w:rsid w:val="00CD6BB8"/>
    <w:rsid w:val="00CD6FA3"/>
    <w:rsid w:val="00CE2184"/>
    <w:rsid w:val="00CE3B7F"/>
    <w:rsid w:val="00CE3FA2"/>
    <w:rsid w:val="00CE41A0"/>
    <w:rsid w:val="00CE4958"/>
    <w:rsid w:val="00CE68E2"/>
    <w:rsid w:val="00CE706E"/>
    <w:rsid w:val="00CE70B1"/>
    <w:rsid w:val="00CE7AE4"/>
    <w:rsid w:val="00CF03DA"/>
    <w:rsid w:val="00CF0A4C"/>
    <w:rsid w:val="00CF1103"/>
    <w:rsid w:val="00CF150A"/>
    <w:rsid w:val="00CF2225"/>
    <w:rsid w:val="00CF25E7"/>
    <w:rsid w:val="00CF2D57"/>
    <w:rsid w:val="00CF3C77"/>
    <w:rsid w:val="00CF45A2"/>
    <w:rsid w:val="00CF4BD3"/>
    <w:rsid w:val="00CF52E7"/>
    <w:rsid w:val="00CF64B5"/>
    <w:rsid w:val="00CF7853"/>
    <w:rsid w:val="00D004ED"/>
    <w:rsid w:val="00D00B87"/>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FF8"/>
    <w:rsid w:val="00D55F09"/>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549"/>
    <w:rsid w:val="00D70C1B"/>
    <w:rsid w:val="00D70E5C"/>
    <w:rsid w:val="00D7146C"/>
    <w:rsid w:val="00D718CD"/>
    <w:rsid w:val="00D7416F"/>
    <w:rsid w:val="00D755F2"/>
    <w:rsid w:val="00D762AC"/>
    <w:rsid w:val="00D7675B"/>
    <w:rsid w:val="00D775E7"/>
    <w:rsid w:val="00D77B9E"/>
    <w:rsid w:val="00D81CA9"/>
    <w:rsid w:val="00D839D8"/>
    <w:rsid w:val="00D83F9E"/>
    <w:rsid w:val="00D840C2"/>
    <w:rsid w:val="00D84562"/>
    <w:rsid w:val="00D85C16"/>
    <w:rsid w:val="00D86169"/>
    <w:rsid w:val="00D8677D"/>
    <w:rsid w:val="00D8732E"/>
    <w:rsid w:val="00D91294"/>
    <w:rsid w:val="00D9186A"/>
    <w:rsid w:val="00D92D47"/>
    <w:rsid w:val="00D94213"/>
    <w:rsid w:val="00D94BEB"/>
    <w:rsid w:val="00D94EA5"/>
    <w:rsid w:val="00D95F32"/>
    <w:rsid w:val="00D964EE"/>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6E35"/>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172"/>
    <w:rsid w:val="00E102F8"/>
    <w:rsid w:val="00E12FCF"/>
    <w:rsid w:val="00E13273"/>
    <w:rsid w:val="00E13379"/>
    <w:rsid w:val="00E139EE"/>
    <w:rsid w:val="00E13BC2"/>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2652"/>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0A9A"/>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3A95"/>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780"/>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878BA"/>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9E1600"/>
  <w15:chartTrackingRefBased/>
  <w15:docId w15:val="{63D8A16E-C932-4342-897C-8BFC22F3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Parastais"/>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944826"/>
    <w:rPr>
      <w:sz w:val="24"/>
      <w:szCs w:val="24"/>
    </w:rPr>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z-TopofForm">
    <w:name w:val="HTML Top of Form"/>
    <w:basedOn w:val="Parastais"/>
    <w:next w:val="Parastais"/>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Parastais"/>
    <w:next w:val="Parastais"/>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Parastais"/>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Parastais"/>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Parastais"/>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Parastais"/>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Parastais"/>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styleId="ListParagraph">
    <w:name w:val="List Paragraph"/>
    <w:aliases w:val="2,H&amp;P List Paragraph,Strip"/>
    <w:basedOn w:val="Parastais"/>
    <w:link w:val="ListParagraphChar"/>
    <w:uiPriority w:val="34"/>
    <w:qFormat/>
    <w:rsid w:val="00CC44B2"/>
    <w:pPr>
      <w:ind w:left="720"/>
      <w:contextualSpacing/>
    </w:pPr>
    <w:rPr>
      <w:rFonts w:eastAsia="PMingLiU"/>
      <w:szCs w:val="22"/>
      <w:lang w:eastAsia="en-US"/>
    </w:rPr>
  </w:style>
  <w:style w:type="character" w:customStyle="1" w:styleId="ListParagraphChar">
    <w:name w:val="List Paragraph Char"/>
    <w:aliases w:val="2 Char,H&amp;P List Paragraph Char,Strip Char"/>
    <w:link w:val="ListParagraph"/>
    <w:uiPriority w:val="34"/>
    <w:rsid w:val="00CC44B2"/>
    <w:rPr>
      <w:rFonts w:eastAsia="PMingLiU"/>
      <w:sz w:val="24"/>
      <w:szCs w:val="22"/>
      <w:lang w:eastAsia="en-US"/>
    </w:rPr>
  </w:style>
  <w:style w:type="paragraph" w:styleId="FootnoteText">
    <w:name w:val="footnote text"/>
    <w:basedOn w:val="Normal"/>
    <w:link w:val="FootnoteTextChar"/>
    <w:uiPriority w:val="99"/>
    <w:semiHidden/>
    <w:unhideWhenUsed/>
    <w:rsid w:val="00C860CE"/>
    <w:pPr>
      <w:widowControl w:val="0"/>
      <w:jc w:val="both"/>
    </w:pPr>
    <w:rPr>
      <w:rFonts w:eastAsia="Calibri"/>
      <w:lang w:eastAsia="en-US"/>
    </w:rPr>
  </w:style>
  <w:style w:type="character" w:customStyle="1" w:styleId="FootnoteTextChar">
    <w:name w:val="Footnote Text Char"/>
    <w:basedOn w:val="DefaultParagraphFont"/>
    <w:link w:val="FootnoteText"/>
    <w:uiPriority w:val="99"/>
    <w:semiHidden/>
    <w:rsid w:val="00C860CE"/>
    <w:rPr>
      <w:rFonts w:eastAsia="Calibri"/>
      <w:lang w:eastAsia="en-US"/>
    </w:rPr>
  </w:style>
  <w:style w:type="character" w:styleId="FootnoteReference">
    <w:name w:val="footnote reference"/>
    <w:basedOn w:val="DefaultParagraphFont"/>
    <w:uiPriority w:val="99"/>
    <w:semiHidden/>
    <w:unhideWhenUsed/>
    <w:rsid w:val="00C860CE"/>
    <w:rPr>
      <w:vertAlign w:val="superscript"/>
    </w:rPr>
  </w:style>
  <w:style w:type="paragraph" w:styleId="NormalWeb">
    <w:name w:val="Normal (Web)"/>
    <w:basedOn w:val="Normal"/>
    <w:uiPriority w:val="99"/>
    <w:unhideWhenUsed/>
    <w:rsid w:val="00C860CE"/>
    <w:pPr>
      <w:spacing w:before="75" w:after="75"/>
    </w:pPr>
    <w:rPr>
      <w:sz w:val="24"/>
      <w:szCs w:val="24"/>
    </w:rPr>
  </w:style>
  <w:style w:type="paragraph" w:customStyle="1" w:styleId="Char1">
    <w:name w:val="Char1"/>
    <w:basedOn w:val="Normal"/>
    <w:rsid w:val="000C649E"/>
    <w:pPr>
      <w:spacing w:before="40"/>
    </w:pPr>
    <w:rPr>
      <w:sz w:val="24"/>
      <w:szCs w:val="24"/>
      <w:lang w:val="pl-PL" w:eastAsia="pl-PL"/>
    </w:rPr>
  </w:style>
  <w:style w:type="paragraph" w:customStyle="1" w:styleId="fbinvisible">
    <w:name w:val="fb_invisible"/>
    <w:basedOn w:val="Normal"/>
    <w:rsid w:val="00A32A6C"/>
    <w:pPr>
      <w:spacing w:before="100" w:beforeAutospacing="1" w:after="100" w:afterAutospacing="1"/>
    </w:pPr>
    <w:rPr>
      <w:vanish/>
      <w:sz w:val="24"/>
      <w:szCs w:val="24"/>
    </w:rPr>
  </w:style>
  <w:style w:type="paragraph" w:customStyle="1" w:styleId="Char10">
    <w:name w:val="Char1"/>
    <w:basedOn w:val="Normal"/>
    <w:rsid w:val="004D44B5"/>
    <w:pPr>
      <w:spacing w:before="40"/>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8939-E086-465C-892F-B67C1640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3170</Words>
  <Characters>23569</Characters>
  <Application>Microsoft Office Word</Application>
  <DocSecurity>0</DocSecurity>
  <Lines>196</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Tieslietu ministrija</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Valdis Pusvācietis</dc:creator>
  <cp:keywords/>
  <dc:description>67036849, valdis.pusvacietis@tm.gov.lv</dc:description>
  <cp:lastModifiedBy>Agate Sirmā</cp:lastModifiedBy>
  <cp:revision>8</cp:revision>
  <cp:lastPrinted>2012-01-18T09:50:00Z</cp:lastPrinted>
  <dcterms:created xsi:type="dcterms:W3CDTF">2021-05-13T05:34:00Z</dcterms:created>
  <dcterms:modified xsi:type="dcterms:W3CDTF">2021-05-20T12:31:00Z</dcterms:modified>
</cp:coreProperties>
</file>