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0F46F" w14:textId="2FD9C405" w:rsidR="0018086A" w:rsidRPr="004A2259" w:rsidRDefault="00E16FB6" w:rsidP="004A2259">
      <w:pPr>
        <w:pStyle w:val="NoSpacing"/>
        <w:jc w:val="center"/>
        <w:rPr>
          <w:b/>
          <w:bCs/>
          <w:spacing w:val="-2"/>
          <w:sz w:val="26"/>
          <w:szCs w:val="26"/>
        </w:rPr>
      </w:pPr>
      <w:r w:rsidRPr="004A2259">
        <w:rPr>
          <w:b/>
          <w:bCs/>
          <w:color w:val="000000"/>
          <w:spacing w:val="-2"/>
          <w:sz w:val="26"/>
          <w:szCs w:val="26"/>
        </w:rPr>
        <w:t xml:space="preserve">Ministru kabineta rīkojumu projekta </w:t>
      </w:r>
      <w:r w:rsidR="004E3995">
        <w:rPr>
          <w:b/>
          <w:bCs/>
          <w:color w:val="000000"/>
          <w:spacing w:val="-2"/>
          <w:sz w:val="26"/>
          <w:szCs w:val="26"/>
        </w:rPr>
        <w:t>„</w:t>
      </w:r>
      <w:r w:rsidRPr="004A2259">
        <w:rPr>
          <w:b/>
          <w:sz w:val="26"/>
          <w:szCs w:val="26"/>
        </w:rPr>
        <w:t>Grozījum</w:t>
      </w:r>
      <w:r w:rsidR="00A85040" w:rsidRPr="004A2259">
        <w:rPr>
          <w:b/>
          <w:sz w:val="26"/>
          <w:szCs w:val="26"/>
        </w:rPr>
        <w:t>s</w:t>
      </w:r>
      <w:r w:rsidRPr="004A2259">
        <w:rPr>
          <w:b/>
          <w:sz w:val="26"/>
          <w:szCs w:val="26"/>
        </w:rPr>
        <w:t xml:space="preserve"> Ministru kabineta 2001.</w:t>
      </w:r>
      <w:r w:rsidR="007E61F8" w:rsidRPr="004A2259">
        <w:rPr>
          <w:b/>
          <w:sz w:val="26"/>
          <w:szCs w:val="26"/>
        </w:rPr>
        <w:t xml:space="preserve"> </w:t>
      </w:r>
      <w:r w:rsidRPr="004A2259">
        <w:rPr>
          <w:b/>
          <w:sz w:val="26"/>
          <w:szCs w:val="26"/>
        </w:rPr>
        <w:t>gada 8.</w:t>
      </w:r>
      <w:r w:rsidR="007E61F8" w:rsidRPr="004A2259">
        <w:rPr>
          <w:b/>
          <w:sz w:val="26"/>
          <w:szCs w:val="26"/>
        </w:rPr>
        <w:t xml:space="preserve"> </w:t>
      </w:r>
      <w:r w:rsidRPr="004A2259">
        <w:rPr>
          <w:b/>
          <w:sz w:val="26"/>
          <w:szCs w:val="26"/>
        </w:rPr>
        <w:t>augusta rīkojumā Nr. 385</w:t>
      </w:r>
      <w:r w:rsidR="007E61F8" w:rsidRPr="004A2259">
        <w:rPr>
          <w:b/>
          <w:sz w:val="26"/>
          <w:szCs w:val="26"/>
        </w:rPr>
        <w:t xml:space="preserve"> </w:t>
      </w:r>
      <w:r w:rsidR="004E3995">
        <w:rPr>
          <w:b/>
          <w:sz w:val="26"/>
          <w:szCs w:val="26"/>
        </w:rPr>
        <w:t>„</w:t>
      </w:r>
      <w:r w:rsidRPr="004A2259">
        <w:rPr>
          <w:b/>
          <w:sz w:val="26"/>
          <w:szCs w:val="26"/>
        </w:rPr>
        <w:t>Par biedrībām, nodibinājumiem un starptautiskajām izglītības un sadarbības programmām</w:t>
      </w:r>
      <w:r w:rsidR="007E61F8" w:rsidRPr="004A2259">
        <w:rPr>
          <w:b/>
          <w:sz w:val="26"/>
          <w:szCs w:val="26"/>
        </w:rPr>
        <w:t>”</w:t>
      </w:r>
      <w:r w:rsidRPr="004A2259">
        <w:rPr>
          <w:b/>
          <w:sz w:val="26"/>
          <w:szCs w:val="26"/>
        </w:rPr>
        <w:t>”</w:t>
      </w:r>
      <w:r w:rsidR="00E7572F" w:rsidRPr="00A0482F">
        <w:rPr>
          <w:b/>
          <w:sz w:val="26"/>
          <w:szCs w:val="26"/>
        </w:rPr>
        <w:t xml:space="preserve"> </w:t>
      </w:r>
      <w:r w:rsidR="00CC0260" w:rsidRPr="004A2259">
        <w:rPr>
          <w:b/>
          <w:bCs/>
          <w:color w:val="000000"/>
          <w:spacing w:val="-2"/>
          <w:sz w:val="26"/>
          <w:szCs w:val="26"/>
        </w:rPr>
        <w:t>sākotnējās ietekmes novērtējuma ziņojums</w:t>
      </w:r>
      <w:r w:rsidR="00CC0260" w:rsidRPr="004A2259">
        <w:rPr>
          <w:color w:val="000000"/>
          <w:spacing w:val="-2"/>
          <w:sz w:val="26"/>
          <w:szCs w:val="26"/>
        </w:rPr>
        <w:t xml:space="preserve"> </w:t>
      </w:r>
      <w:r w:rsidR="00CC0260" w:rsidRPr="004A2259">
        <w:rPr>
          <w:b/>
          <w:bCs/>
          <w:color w:val="000000"/>
          <w:spacing w:val="-2"/>
          <w:sz w:val="26"/>
          <w:szCs w:val="26"/>
        </w:rPr>
        <w:t>(anotācija)</w:t>
      </w:r>
    </w:p>
    <w:p w14:paraId="749E2841" w14:textId="77777777" w:rsidR="00507E8F" w:rsidRPr="004A2259" w:rsidRDefault="00507E8F" w:rsidP="00A049A0">
      <w:pPr>
        <w:shd w:val="clear" w:color="auto" w:fill="FFFFFF"/>
        <w:jc w:val="center"/>
        <w:rPr>
          <w:rFonts w:ascii="Arial" w:hAnsi="Arial" w:cs="Arial"/>
          <w:b/>
          <w:bCs/>
          <w:color w:val="414142"/>
          <w:spacing w:val="-2"/>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390"/>
        <w:gridCol w:w="6888"/>
      </w:tblGrid>
      <w:tr w:rsidR="00507E8F" w:rsidRPr="004A2259" w14:paraId="7AC57C30" w14:textId="77777777" w:rsidTr="00FA580B">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727B2EF6" w14:textId="77777777" w:rsidR="00507E8F" w:rsidRPr="00A0482F" w:rsidRDefault="00507E8F" w:rsidP="00A049A0">
            <w:pPr>
              <w:pStyle w:val="tvhtml"/>
              <w:spacing w:before="0" w:beforeAutospacing="0" w:after="0" w:afterAutospacing="0"/>
              <w:jc w:val="center"/>
              <w:rPr>
                <w:b/>
                <w:bCs/>
                <w:color w:val="000000"/>
                <w:spacing w:val="-2"/>
              </w:rPr>
            </w:pPr>
            <w:r w:rsidRPr="00A0482F">
              <w:rPr>
                <w:b/>
                <w:bCs/>
                <w:color w:val="000000"/>
                <w:spacing w:val="-2"/>
              </w:rPr>
              <w:t>Tiesību akta projekta anotācijas kopsavilkums</w:t>
            </w:r>
          </w:p>
        </w:tc>
      </w:tr>
      <w:tr w:rsidR="00507E8F" w:rsidRPr="004A2259" w14:paraId="79F0B7F2" w14:textId="77777777" w:rsidTr="0029729E">
        <w:tc>
          <w:tcPr>
            <w:tcW w:w="1288" w:type="pct"/>
            <w:tcBorders>
              <w:top w:val="outset" w:sz="6" w:space="0" w:color="414142"/>
              <w:left w:val="outset" w:sz="6" w:space="0" w:color="414142"/>
              <w:bottom w:val="outset" w:sz="6" w:space="0" w:color="414142"/>
              <w:right w:val="outset" w:sz="6" w:space="0" w:color="414142"/>
            </w:tcBorders>
            <w:hideMark/>
          </w:tcPr>
          <w:p w14:paraId="053A4224" w14:textId="7F6FAC6B" w:rsidR="00507E8F" w:rsidRPr="004A2259" w:rsidRDefault="008E5749" w:rsidP="00A049A0">
            <w:pPr>
              <w:rPr>
                <w:spacing w:val="-2"/>
              </w:rPr>
            </w:pPr>
            <w:r w:rsidRPr="004A2259">
              <w:rPr>
                <w:iCs/>
                <w:lang w:eastAsia="lv-LV"/>
              </w:rPr>
              <w:t>Mērķis, risinājums un projekta spēkā stāšanās laiks (500 zīmes bez atstarpēm)</w:t>
            </w:r>
          </w:p>
        </w:tc>
        <w:tc>
          <w:tcPr>
            <w:tcW w:w="3712" w:type="pct"/>
            <w:tcBorders>
              <w:top w:val="outset" w:sz="6" w:space="0" w:color="414142"/>
              <w:left w:val="outset" w:sz="6" w:space="0" w:color="414142"/>
              <w:bottom w:val="outset" w:sz="6" w:space="0" w:color="414142"/>
              <w:right w:val="outset" w:sz="6" w:space="0" w:color="414142"/>
            </w:tcBorders>
            <w:hideMark/>
          </w:tcPr>
          <w:p w14:paraId="27080691" w14:textId="4F4046B8" w:rsidR="00EC3FD1" w:rsidRPr="004A2259" w:rsidRDefault="007E61F8" w:rsidP="00010701">
            <w:pPr>
              <w:ind w:left="50" w:right="72"/>
              <w:jc w:val="both"/>
              <w:rPr>
                <w:noProof/>
                <w:color w:val="000000"/>
                <w:spacing w:val="-2"/>
              </w:rPr>
            </w:pPr>
            <w:r w:rsidRPr="004A2259">
              <w:rPr>
                <w:color w:val="212121"/>
              </w:rPr>
              <w:t xml:space="preserve">Rīkojuma projekta </w:t>
            </w:r>
            <w:r w:rsidR="008E5749" w:rsidRPr="004A2259">
              <w:rPr>
                <w:color w:val="000000"/>
              </w:rPr>
              <w:t xml:space="preserve">mērķis ir </w:t>
            </w:r>
            <w:r w:rsidR="00055FE1">
              <w:rPr>
                <w:color w:val="000000"/>
              </w:rPr>
              <w:t xml:space="preserve">arī pēc </w:t>
            </w:r>
            <w:r w:rsidRPr="00A0482F">
              <w:rPr>
                <w:color w:val="000000"/>
              </w:rPr>
              <w:t xml:space="preserve">sporta nozares finansēšanas pārvaldības un administratīvās pārvaldības modeļa reformas ietvaros </w:t>
            </w:r>
            <w:r w:rsidR="00055FE1">
              <w:rPr>
                <w:color w:val="000000"/>
              </w:rPr>
              <w:t>veiktajām izmaiņām a</w:t>
            </w:r>
            <w:r w:rsidR="00E7572F" w:rsidRPr="00E7572F">
              <w:rPr>
                <w:color w:val="000000"/>
              </w:rPr>
              <w:t>ugstu sasniegumu sporta finansēšanas modelī</w:t>
            </w:r>
            <w:r w:rsidR="00055FE1">
              <w:rPr>
                <w:color w:val="000000"/>
              </w:rPr>
              <w:t xml:space="preserve"> un funkciju p</w:t>
            </w:r>
            <w:r w:rsidR="00694962">
              <w:rPr>
                <w:color w:val="000000"/>
              </w:rPr>
              <w:t>ārdales</w:t>
            </w:r>
            <w:r w:rsidR="00055FE1">
              <w:rPr>
                <w:color w:val="000000"/>
              </w:rPr>
              <w:t xml:space="preserve"> starp nodibinājumu </w:t>
            </w:r>
            <w:r w:rsidR="004E3995">
              <w:rPr>
                <w:color w:val="000000" w:themeColor="text1"/>
              </w:rPr>
              <w:t>„</w:t>
            </w:r>
            <w:r w:rsidR="00055FE1">
              <w:rPr>
                <w:color w:val="000000"/>
              </w:rPr>
              <w:t xml:space="preserve">Latvijas Olimpiešu sociālais fonds” un biedrību </w:t>
            </w:r>
            <w:r w:rsidR="004E3995">
              <w:rPr>
                <w:color w:val="000000" w:themeColor="text1"/>
              </w:rPr>
              <w:t>„</w:t>
            </w:r>
            <w:r w:rsidR="00055FE1">
              <w:rPr>
                <w:color w:val="000000"/>
              </w:rPr>
              <w:t xml:space="preserve">Latvijas Olimpiskā komiteja” </w:t>
            </w:r>
            <w:r w:rsidRPr="00A0482F">
              <w:rPr>
                <w:color w:val="000000"/>
              </w:rPr>
              <w:t xml:space="preserve">saglabāt </w:t>
            </w:r>
            <w:r w:rsidR="00966254">
              <w:rPr>
                <w:color w:val="000000"/>
              </w:rPr>
              <w:t>regulējumu, ka</w:t>
            </w:r>
            <w:r w:rsidRPr="00A0482F">
              <w:rPr>
                <w:color w:val="000000"/>
              </w:rPr>
              <w:t xml:space="preserve"> </w:t>
            </w:r>
            <w:r w:rsidR="00551732">
              <w:rPr>
                <w:color w:val="000000"/>
              </w:rPr>
              <w:t xml:space="preserve">ne tikai </w:t>
            </w:r>
            <w:r w:rsidR="00551732" w:rsidRPr="00551732">
              <w:rPr>
                <w:color w:val="000000"/>
              </w:rPr>
              <w:t>bijuš</w:t>
            </w:r>
            <w:r w:rsidR="00010701">
              <w:rPr>
                <w:color w:val="000000"/>
              </w:rPr>
              <w:t>aji</w:t>
            </w:r>
            <w:r w:rsidR="00551732" w:rsidRPr="00551732">
              <w:rPr>
                <w:color w:val="000000"/>
              </w:rPr>
              <w:t xml:space="preserve">em izciliem sportistiem, treneriem un sporta darbiniekiem par mūža ieguldījumu </w:t>
            </w:r>
            <w:r w:rsidR="00551732">
              <w:rPr>
                <w:color w:val="000000"/>
              </w:rPr>
              <w:t xml:space="preserve">izmaksātie pabalsti, bet arī </w:t>
            </w:r>
            <w:r w:rsidRPr="00A0482F">
              <w:t xml:space="preserve">Latvijas Olimpiskās </w:t>
            </w:r>
            <w:r w:rsidRPr="00A0482F">
              <w:rPr>
                <w:color w:val="000000" w:themeColor="text1"/>
              </w:rPr>
              <w:t>vienība</w:t>
            </w:r>
            <w:r w:rsidRPr="004A2259">
              <w:rPr>
                <w:color w:val="000000" w:themeColor="text1"/>
              </w:rPr>
              <w:t xml:space="preserve">s sastāvos </w:t>
            </w:r>
            <w:r w:rsidR="00A0482F">
              <w:rPr>
                <w:color w:val="000000" w:themeColor="text1"/>
              </w:rPr>
              <w:t>esošiem</w:t>
            </w:r>
            <w:r w:rsidR="00A0482F" w:rsidRPr="00A0482F">
              <w:rPr>
                <w:color w:val="000000" w:themeColor="text1"/>
              </w:rPr>
              <w:t xml:space="preserve"> sportistiem</w:t>
            </w:r>
            <w:r w:rsidRPr="00A0482F">
              <w:rPr>
                <w:color w:val="000000" w:themeColor="text1"/>
              </w:rPr>
              <w:t xml:space="preserve"> un viņu </w:t>
            </w:r>
            <w:r w:rsidR="00A0482F" w:rsidRPr="00A0482F">
              <w:rPr>
                <w:color w:val="000000" w:themeColor="text1"/>
              </w:rPr>
              <w:t>treneriem</w:t>
            </w:r>
            <w:r w:rsidRPr="00A0482F">
              <w:rPr>
                <w:color w:val="000000" w:themeColor="text1"/>
              </w:rPr>
              <w:t xml:space="preserve"> </w:t>
            </w:r>
            <w:r w:rsidRPr="004A2259">
              <w:rPr>
                <w:color w:val="000000" w:themeColor="text1"/>
              </w:rPr>
              <w:t>izmaks</w:t>
            </w:r>
            <w:r w:rsidR="00A0482F" w:rsidRPr="004A2259">
              <w:rPr>
                <w:color w:val="000000" w:themeColor="text1"/>
              </w:rPr>
              <w:t>ātie pabalsti</w:t>
            </w:r>
            <w:r w:rsidRPr="004A2259">
              <w:rPr>
                <w:color w:val="000000" w:themeColor="text1"/>
              </w:rPr>
              <w:t xml:space="preserve"> </w:t>
            </w:r>
            <w:r w:rsidR="00A0482F" w:rsidRPr="004A2259">
              <w:rPr>
                <w:color w:val="000000" w:themeColor="text1"/>
              </w:rPr>
              <w:t>netiek aplikti</w:t>
            </w:r>
            <w:r w:rsidRPr="004A2259">
              <w:rPr>
                <w:color w:val="000000" w:themeColor="text1"/>
              </w:rPr>
              <w:t xml:space="preserve"> ar iedzīvotāju ienākum</w:t>
            </w:r>
            <w:r w:rsidR="00A0482F">
              <w:rPr>
                <w:color w:val="000000" w:themeColor="text1"/>
              </w:rPr>
              <w:t>a</w:t>
            </w:r>
            <w:r w:rsidRPr="00A0482F">
              <w:rPr>
                <w:color w:val="000000" w:themeColor="text1"/>
              </w:rPr>
              <w:t xml:space="preserve"> nodokli.</w:t>
            </w:r>
          </w:p>
        </w:tc>
      </w:tr>
    </w:tbl>
    <w:p w14:paraId="22CDC5DD" w14:textId="04F9C948" w:rsidR="00507E8F" w:rsidRPr="004A2259" w:rsidRDefault="009C05B1" w:rsidP="00A049A0">
      <w:pPr>
        <w:shd w:val="clear" w:color="auto" w:fill="FFFFFF"/>
        <w:rPr>
          <w:color w:val="414142"/>
          <w:spacing w:val="-2"/>
        </w:rPr>
      </w:pPr>
      <w:r w:rsidRPr="004A2259">
        <w:rPr>
          <w:color w:val="414142"/>
          <w:spacing w:val="-2"/>
        </w:rPr>
        <w:t xml:space="preserve"> </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9"/>
        <w:gridCol w:w="1908"/>
        <w:gridCol w:w="6941"/>
      </w:tblGrid>
      <w:tr w:rsidR="0018086A" w:rsidRPr="004A2259" w14:paraId="019EDB77" w14:textId="77777777">
        <w:trPr>
          <w:trHeight w:val="51"/>
          <w:jc w:val="center"/>
        </w:trPr>
        <w:tc>
          <w:tcPr>
            <w:tcW w:w="9348" w:type="dxa"/>
            <w:gridSpan w:val="3"/>
            <w:vAlign w:val="center"/>
          </w:tcPr>
          <w:p w14:paraId="4B2C6801" w14:textId="77777777" w:rsidR="0018086A" w:rsidRPr="004A2259" w:rsidRDefault="0018086A" w:rsidP="00A049A0">
            <w:pPr>
              <w:pStyle w:val="naisnod"/>
              <w:spacing w:before="0" w:after="0"/>
              <w:rPr>
                <w:spacing w:val="-2"/>
              </w:rPr>
            </w:pPr>
            <w:r w:rsidRPr="004A2259">
              <w:rPr>
                <w:spacing w:val="-2"/>
              </w:rPr>
              <w:t>I. Tiesību akta projekta izstrādes nepieciešamība</w:t>
            </w:r>
          </w:p>
        </w:tc>
      </w:tr>
      <w:tr w:rsidR="0018086A" w:rsidRPr="004A2259" w14:paraId="2F007FFA" w14:textId="77777777" w:rsidTr="005B5908">
        <w:trPr>
          <w:trHeight w:val="224"/>
          <w:jc w:val="center"/>
        </w:trPr>
        <w:tc>
          <w:tcPr>
            <w:tcW w:w="499" w:type="dxa"/>
          </w:tcPr>
          <w:p w14:paraId="46560353" w14:textId="77777777" w:rsidR="0018086A" w:rsidRPr="004A2259" w:rsidRDefault="0018086A" w:rsidP="00A049A0">
            <w:pPr>
              <w:pStyle w:val="naiskr"/>
              <w:spacing w:before="0" w:after="0"/>
              <w:jc w:val="center"/>
              <w:rPr>
                <w:spacing w:val="-2"/>
              </w:rPr>
            </w:pPr>
            <w:r w:rsidRPr="004A2259">
              <w:rPr>
                <w:spacing w:val="-2"/>
              </w:rPr>
              <w:t>1.</w:t>
            </w:r>
          </w:p>
        </w:tc>
        <w:tc>
          <w:tcPr>
            <w:tcW w:w="1908" w:type="dxa"/>
          </w:tcPr>
          <w:p w14:paraId="6CCA6F9A" w14:textId="77777777" w:rsidR="0018086A" w:rsidRPr="004A2259" w:rsidRDefault="0018086A" w:rsidP="00A049A0">
            <w:pPr>
              <w:pStyle w:val="naiskr"/>
              <w:spacing w:before="0" w:after="0"/>
              <w:jc w:val="both"/>
              <w:rPr>
                <w:spacing w:val="-2"/>
              </w:rPr>
            </w:pPr>
            <w:r w:rsidRPr="004A2259">
              <w:rPr>
                <w:spacing w:val="-2"/>
              </w:rPr>
              <w:t>Pamatojums</w:t>
            </w:r>
          </w:p>
        </w:tc>
        <w:tc>
          <w:tcPr>
            <w:tcW w:w="6941" w:type="dxa"/>
          </w:tcPr>
          <w:p w14:paraId="2D47D589" w14:textId="77777777" w:rsidR="00354E4E" w:rsidRDefault="00354E4E" w:rsidP="00354E4E">
            <w:pPr>
              <w:pStyle w:val="ListParagraph"/>
              <w:numPr>
                <w:ilvl w:val="0"/>
                <w:numId w:val="40"/>
              </w:numPr>
              <w:ind w:left="423" w:right="139"/>
              <w:jc w:val="both"/>
              <w:rPr>
                <w:color w:val="212121"/>
              </w:rPr>
            </w:pPr>
            <w:r w:rsidRPr="00C82404">
              <w:rPr>
                <w:color w:val="212121"/>
              </w:rPr>
              <w:t>Ministru kabineta 2020. gada 18. augusta sēdes protokollēmuma „Informatīvais ziņojums „Par valsts budžeta izdevumu pārskatīšanas rezultātiem un priekšlikumi par šo rezultātu izmantošanu likumprojekta „Par vidēja termiņa budžeta ietvaru 2021., 2022. un 2023. gadam” un likumprojekta „Par valsts budžetu 2021. gadam” izstrādes procesā” (prot Nr. 49 46.§) 20. un 21. punktā dotie uzdevumi.</w:t>
            </w:r>
          </w:p>
          <w:p w14:paraId="64EEB197" w14:textId="77777777" w:rsidR="00BE1E50" w:rsidRDefault="00C82404" w:rsidP="00BE1E50">
            <w:pPr>
              <w:pStyle w:val="ListParagraph"/>
              <w:numPr>
                <w:ilvl w:val="0"/>
                <w:numId w:val="40"/>
              </w:numPr>
              <w:ind w:left="423" w:right="139"/>
              <w:jc w:val="both"/>
              <w:rPr>
                <w:color w:val="212121"/>
              </w:rPr>
            </w:pPr>
            <w:r w:rsidRPr="00C82404">
              <w:rPr>
                <w:color w:val="000000"/>
              </w:rPr>
              <w:t xml:space="preserve">Jautājuma saistība ar </w:t>
            </w:r>
            <w:r w:rsidRPr="00C82404">
              <w:rPr>
                <w:color w:val="212121"/>
              </w:rPr>
              <w:t>Valdības rīcības plān</w:t>
            </w:r>
            <w:r w:rsidR="00CE3A5C">
              <w:rPr>
                <w:color w:val="212121"/>
              </w:rPr>
              <w:t>a</w:t>
            </w:r>
            <w:r w:rsidRPr="00C82404">
              <w:rPr>
                <w:color w:val="212121"/>
              </w:rPr>
              <w:t xml:space="preserve"> Deklarācijas par Artura Krišjāņa Kariņa vadītā Ministru kabineta iecerēto darbību īstenošanai (apstiprināts ar MK 2019.</w:t>
            </w:r>
            <w:r w:rsidR="00BE1E50">
              <w:rPr>
                <w:color w:val="212121"/>
              </w:rPr>
              <w:t xml:space="preserve"> </w:t>
            </w:r>
            <w:r w:rsidRPr="00C82404">
              <w:rPr>
                <w:color w:val="212121"/>
              </w:rPr>
              <w:t>gada 7.</w:t>
            </w:r>
            <w:r w:rsidR="00BE1E50">
              <w:rPr>
                <w:color w:val="212121"/>
              </w:rPr>
              <w:t xml:space="preserve"> </w:t>
            </w:r>
            <w:r w:rsidRPr="00C82404">
              <w:rPr>
                <w:color w:val="212121"/>
              </w:rPr>
              <w:t xml:space="preserve">maija rīkojumu Nr.210) </w:t>
            </w:r>
            <w:r>
              <w:rPr>
                <w:color w:val="212121"/>
              </w:rPr>
              <w:t>171.2. pasākuma izpildi.</w:t>
            </w:r>
          </w:p>
          <w:p w14:paraId="2F74EC6D" w14:textId="7C554D1F" w:rsidR="00BE1E50" w:rsidRPr="00BE1E50" w:rsidRDefault="00BE1E50" w:rsidP="00BE1E50">
            <w:pPr>
              <w:pStyle w:val="ListParagraph"/>
              <w:numPr>
                <w:ilvl w:val="0"/>
                <w:numId w:val="40"/>
              </w:numPr>
              <w:ind w:left="423" w:right="139"/>
              <w:jc w:val="both"/>
              <w:rPr>
                <w:color w:val="212121"/>
              </w:rPr>
            </w:pPr>
            <w:r w:rsidRPr="00C82404">
              <w:rPr>
                <w:color w:val="000000"/>
              </w:rPr>
              <w:t xml:space="preserve">Jautājuma saistība ar </w:t>
            </w:r>
            <w:r w:rsidRPr="00BE1E50">
              <w:rPr>
                <w:color w:val="212121"/>
              </w:rPr>
              <w:t>Latvijas Nacionālās sporta pado</w:t>
            </w:r>
            <w:r>
              <w:rPr>
                <w:color w:val="212121"/>
              </w:rPr>
              <w:t>mes 2021. gada 27. janvāra sēdē pieņemtajiem lēmumiem.</w:t>
            </w:r>
          </w:p>
          <w:p w14:paraId="5CB64395" w14:textId="77777777" w:rsidR="00EC0E7A" w:rsidRPr="00CE11B0" w:rsidRDefault="00B90065" w:rsidP="00C82404">
            <w:pPr>
              <w:pStyle w:val="ListParagraph"/>
              <w:numPr>
                <w:ilvl w:val="0"/>
                <w:numId w:val="40"/>
              </w:numPr>
              <w:ind w:left="423" w:right="139"/>
              <w:jc w:val="both"/>
              <w:rPr>
                <w:color w:val="212121"/>
              </w:rPr>
            </w:pPr>
            <w:r w:rsidRPr="00C82404">
              <w:rPr>
                <w:color w:val="000000"/>
              </w:rPr>
              <w:t>Jautājuma saistība ar sporta nozares finansēšanas pārvaldības un administratīvās pārvaldības modeļa reformas ietvaros veiktajām izmaiņām augstu sasniegumu sporta finansēšanas modelī</w:t>
            </w:r>
            <w:r w:rsidR="00CB444E" w:rsidRPr="00C82404">
              <w:rPr>
                <w:color w:val="000000"/>
              </w:rPr>
              <w:t xml:space="preserve"> un funkciju pārdali starp nodibinājumu </w:t>
            </w:r>
            <w:r w:rsidR="004E3995">
              <w:rPr>
                <w:color w:val="000000" w:themeColor="text1"/>
              </w:rPr>
              <w:t>„</w:t>
            </w:r>
            <w:r w:rsidR="00CB444E" w:rsidRPr="00C82404">
              <w:rPr>
                <w:color w:val="000000"/>
              </w:rPr>
              <w:t xml:space="preserve">Latvijas Olimpiešu sociālais fonds” </w:t>
            </w:r>
            <w:r w:rsidR="00E82864">
              <w:rPr>
                <w:color w:val="000000"/>
              </w:rPr>
              <w:t xml:space="preserve">(turpmāk – LOSF) </w:t>
            </w:r>
            <w:r w:rsidR="00CB444E" w:rsidRPr="00C82404">
              <w:rPr>
                <w:color w:val="000000"/>
              </w:rPr>
              <w:t xml:space="preserve">un biedrību </w:t>
            </w:r>
            <w:r w:rsidR="004E3995">
              <w:rPr>
                <w:color w:val="000000" w:themeColor="text1"/>
              </w:rPr>
              <w:t>„</w:t>
            </w:r>
            <w:r w:rsidR="00CB444E" w:rsidRPr="00C82404">
              <w:rPr>
                <w:color w:val="000000"/>
              </w:rPr>
              <w:t>Latvijas Olimpiskā komiteja”</w:t>
            </w:r>
            <w:r w:rsidR="00E82864">
              <w:rPr>
                <w:color w:val="000000"/>
              </w:rPr>
              <w:t xml:space="preserve"> (turpmāk – LOK)</w:t>
            </w:r>
            <w:r w:rsidR="00CB444E" w:rsidRPr="00C82404">
              <w:rPr>
                <w:color w:val="000000"/>
              </w:rPr>
              <w:t>.</w:t>
            </w:r>
          </w:p>
          <w:p w14:paraId="574B9A3F" w14:textId="6B998E07" w:rsidR="00CE11B0" w:rsidRPr="00CE11B0" w:rsidRDefault="00CE11B0" w:rsidP="00C82404">
            <w:pPr>
              <w:pStyle w:val="ListParagraph"/>
              <w:numPr>
                <w:ilvl w:val="0"/>
                <w:numId w:val="40"/>
              </w:numPr>
              <w:ind w:left="423" w:right="139"/>
              <w:jc w:val="both"/>
              <w:rPr>
                <w:color w:val="212121"/>
              </w:rPr>
            </w:pPr>
            <w:proofErr w:type="spellStart"/>
            <w:r>
              <w:rPr>
                <w:color w:val="000000"/>
              </w:rPr>
              <w:t>Jhjkhjk</w:t>
            </w:r>
            <w:proofErr w:type="spellEnd"/>
          </w:p>
          <w:p w14:paraId="567DB11D" w14:textId="50BD1E08" w:rsidR="00CE11B0" w:rsidRPr="00C82404" w:rsidRDefault="00CE11B0" w:rsidP="00C82404">
            <w:pPr>
              <w:pStyle w:val="ListParagraph"/>
              <w:numPr>
                <w:ilvl w:val="0"/>
                <w:numId w:val="40"/>
              </w:numPr>
              <w:ind w:left="423" w:right="139"/>
              <w:jc w:val="both"/>
              <w:rPr>
                <w:color w:val="212121"/>
              </w:rPr>
            </w:pPr>
          </w:p>
        </w:tc>
      </w:tr>
      <w:tr w:rsidR="0018086A" w:rsidRPr="004A2259" w14:paraId="74CE7821" w14:textId="77777777" w:rsidTr="005B5908">
        <w:trPr>
          <w:trHeight w:val="168"/>
          <w:jc w:val="center"/>
        </w:trPr>
        <w:tc>
          <w:tcPr>
            <w:tcW w:w="499" w:type="dxa"/>
          </w:tcPr>
          <w:p w14:paraId="413A5683" w14:textId="0A694B0A" w:rsidR="0018086A" w:rsidRPr="004A2259" w:rsidRDefault="0018086A" w:rsidP="00A049A0">
            <w:pPr>
              <w:pStyle w:val="naiskr"/>
              <w:spacing w:before="0" w:after="0"/>
              <w:jc w:val="center"/>
              <w:rPr>
                <w:spacing w:val="-2"/>
              </w:rPr>
            </w:pPr>
            <w:r w:rsidRPr="004A2259">
              <w:rPr>
                <w:spacing w:val="-2"/>
              </w:rPr>
              <w:t>2.</w:t>
            </w:r>
          </w:p>
        </w:tc>
        <w:tc>
          <w:tcPr>
            <w:tcW w:w="1908" w:type="dxa"/>
          </w:tcPr>
          <w:p w14:paraId="7615BE5F" w14:textId="77777777" w:rsidR="0018086A" w:rsidRPr="004A2259" w:rsidRDefault="00575F9E" w:rsidP="00A049A0">
            <w:pPr>
              <w:pStyle w:val="naiskr"/>
              <w:tabs>
                <w:tab w:val="left" w:pos="170"/>
              </w:tabs>
              <w:spacing w:before="0" w:after="0"/>
              <w:jc w:val="both"/>
              <w:rPr>
                <w:spacing w:val="-2"/>
              </w:rPr>
            </w:pPr>
            <w:r w:rsidRPr="004A2259">
              <w:rPr>
                <w:spacing w:val="-2"/>
              </w:rPr>
              <w:t>Pašreizējā situācija un problēmas, kuru risināšanai tiesību akta projekts izstrādāts, tiesiskā regulējuma mērķis un būtība</w:t>
            </w:r>
          </w:p>
        </w:tc>
        <w:tc>
          <w:tcPr>
            <w:tcW w:w="6941" w:type="dxa"/>
          </w:tcPr>
          <w:p w14:paraId="7EE70C4C" w14:textId="5CFF67C4" w:rsidR="00E933C3" w:rsidRDefault="00010118" w:rsidP="0056361F">
            <w:pPr>
              <w:ind w:left="94" w:right="139"/>
              <w:jc w:val="both"/>
            </w:pPr>
            <w:r>
              <w:tab/>
            </w:r>
            <w:r w:rsidR="00354E4E" w:rsidRPr="00491E7A">
              <w:t xml:space="preserve">Analizējot sporta nozares finansēšanas modeli, </w:t>
            </w:r>
            <w:r w:rsidR="00354E4E">
              <w:t xml:space="preserve">Izglītības un zinātnes ministrija (turpmāk – IZM) identificēja </w:t>
            </w:r>
            <w:r w:rsidR="00354E4E" w:rsidRPr="00491E7A">
              <w:t xml:space="preserve">vairākus trūkumus, tai skaitā, nav stabilitāte un prognozējamība ilgtermiņā, regulāri papildus finansējuma pieprasījumi un līdzekļu pārdales, privātā sektora atbalsta neprognozējamība, sporta nozares atbalstam paredzētā publiskā finansējuma sadrumstalotība starp dažādām nozaru ministrijām, sazarota budžeta administrēšanas sistēma nevalstisko sporta organizāciju līmenī, </w:t>
            </w:r>
            <w:r w:rsidR="00354E4E">
              <w:t xml:space="preserve">kā arī </w:t>
            </w:r>
            <w:r w:rsidR="00354E4E" w:rsidRPr="00491E7A">
              <w:t>atsevišķu f</w:t>
            </w:r>
            <w:r w:rsidR="00354E4E">
              <w:t>unkciju un uzdevumu pārklāšanās</w:t>
            </w:r>
            <w:r w:rsidR="00354E4E" w:rsidRPr="00491E7A">
              <w:t>.</w:t>
            </w:r>
            <w:r w:rsidR="00354E4E">
              <w:t xml:space="preserve"> </w:t>
            </w:r>
            <w:r>
              <w:t xml:space="preserve">Pirmās izmaiņas sporta nozares finansēšanas pārvaldības un administratīvās pārvaldības sistēmā tika veiktas jau 2020. gadā un tās tiek turpinātas arī 2021. gadā. </w:t>
            </w:r>
            <w:r w:rsidR="0056361F">
              <w:t xml:space="preserve"> </w:t>
            </w:r>
            <w:r w:rsidRPr="00010118">
              <w:t>Latvijas Nacionālās sporta padomes 2021. gada 27. janvāra sēdē</w:t>
            </w:r>
            <w:r w:rsidR="0056361F">
              <w:t xml:space="preserve">, apstiprinot valsts budžeta programmas </w:t>
            </w:r>
            <w:r w:rsidR="0056361F" w:rsidRPr="0056361F">
              <w:t xml:space="preserve">09.00.00 „Sports” apakšprogrammas 09.21.00 „Augstas klases </w:t>
            </w:r>
            <w:r w:rsidR="0056361F" w:rsidRPr="0056361F">
              <w:lastRenderedPageBreak/>
              <w:t>sasniegumu sports” sadalījumu 2021. gadā</w:t>
            </w:r>
            <w:r w:rsidR="0056361F">
              <w:t xml:space="preserve">, </w:t>
            </w:r>
            <w:r>
              <w:t>tika</w:t>
            </w:r>
            <w:r w:rsidRPr="00010118">
              <w:t xml:space="preserve"> atbalstītas izmaiņas augstu sasniegumu sporta finansēšanas modelī, kas paredz </w:t>
            </w:r>
            <w:r w:rsidR="004E3995">
              <w:t>LOSF</w:t>
            </w:r>
            <w:r>
              <w:t xml:space="preserve"> </w:t>
            </w:r>
            <w:r w:rsidRPr="00010118">
              <w:t xml:space="preserve">reorganizāciju, daļu funkciju nododot </w:t>
            </w:r>
            <w:r w:rsidR="004E3995">
              <w:t>LOK</w:t>
            </w:r>
            <w:r w:rsidR="0056361F">
              <w:t xml:space="preserve">, kā </w:t>
            </w:r>
            <w:r>
              <w:t xml:space="preserve">rezultātā </w:t>
            </w:r>
            <w:r w:rsidRPr="00010118">
              <w:t>LOSF turpinās veikt savu pamatfunkciju, sni</w:t>
            </w:r>
            <w:r>
              <w:t xml:space="preserve">edzot atbalstu sporta senioriem (tai skaitā izmaksājot mūža ikmēneša pabalstus bijušajiem izciliem sportistiem, treneriem un sporta darbiniekiem par mūža ieguldījumu, kā arī vienreizējos un noteikta laika materiālos pabalstus sporta veterāniem), savukārt LOSF </w:t>
            </w:r>
            <w:r w:rsidRPr="00010118">
              <w:t>neraksturīgo funkciju izmaksāt no valsts budžeta piešķirtos pabalstus Latvijas Olimpiskās vienības (</w:t>
            </w:r>
            <w:r>
              <w:t xml:space="preserve">turpmāk – </w:t>
            </w:r>
            <w:r w:rsidRPr="00010118">
              <w:t>LOV) sportistiem un viņu treneriem ar 2021. gada 1. jūliju pārņem LOK.</w:t>
            </w:r>
            <w:r>
              <w:t xml:space="preserve"> Tāpat izmaiņa skar arī LOV, </w:t>
            </w:r>
            <w:r w:rsidR="0056361F">
              <w:t xml:space="preserve">jo LOV reorganizācijas rezultātā </w:t>
            </w:r>
            <w:r w:rsidRPr="00010118">
              <w:t xml:space="preserve">LOV sportistiem paredzēto finanšu sadales funkciju turpmāk veiks LOK sadarbībā ar </w:t>
            </w:r>
            <w:r w:rsidR="0056361F">
              <w:t xml:space="preserve">attiecīgām Sporta likumā noteiktā kārtībā atzītajām olimpisko individuālo sporta veidu </w:t>
            </w:r>
            <w:r w:rsidRPr="00010118">
              <w:t>sporta federācijām (vasaras sporta veidiem ar 2021. gada 1. janvāri, ziemas sporta veidiem ar 2021. gada 1. aprīli)</w:t>
            </w:r>
            <w:r w:rsidR="0056361F">
              <w:t xml:space="preserve">, savukārt LOV </w:t>
            </w:r>
            <w:r w:rsidRPr="00010118">
              <w:t>turpinās sniegt medicīnas, rehabilitācijas un servisa pakalpojumus LOV sportistiem.</w:t>
            </w:r>
            <w:r w:rsidR="0056361F">
              <w:t xml:space="preserve"> </w:t>
            </w:r>
            <w:r w:rsidR="004E3995">
              <w:t xml:space="preserve">Papildus minētam ar 2021. gada 1. janvāri </w:t>
            </w:r>
            <w:r w:rsidR="004E3995" w:rsidRPr="00675F3E">
              <w:t>ieviests „Vienas pieturas aģentūras” princips jeb viena līguma ar vienu spor</w:t>
            </w:r>
            <w:r w:rsidR="004E3995">
              <w:t xml:space="preserve">ta federāciju pieeja, kuras ietvaros apakšprogrammā </w:t>
            </w:r>
            <w:r w:rsidR="004E3995" w:rsidRPr="00675F3E">
              <w:t xml:space="preserve">09.21.00 </w:t>
            </w:r>
            <w:r w:rsidR="004E3995">
              <w:t>„Augstas klases sasniegumu sports”</w:t>
            </w:r>
            <w:r w:rsidR="004E3995" w:rsidRPr="00675F3E">
              <w:t xml:space="preserve"> </w:t>
            </w:r>
            <w:r w:rsidR="004E3995">
              <w:t xml:space="preserve">tiek slēgts viens </w:t>
            </w:r>
            <w:r w:rsidR="004E3995" w:rsidRPr="00675F3E">
              <w:t>IZM līgums ar LOK (vairs neslēdzot a</w:t>
            </w:r>
            <w:r w:rsidR="004E3995">
              <w:t>ts</w:t>
            </w:r>
            <w:r w:rsidR="00DB1C99">
              <w:t xml:space="preserve">evišķu līgumu ar LOV un LOSF); olimpiskajām federācijām ir viens pamatlīgums ar LOK; apakšprogrammā 09.09.00 „Sporta federācijas un sporta pasākumi” </w:t>
            </w:r>
            <w:r w:rsidR="004E3995" w:rsidRPr="00675F3E">
              <w:t xml:space="preserve">sporta federācijām viens pamatlīgums ar </w:t>
            </w:r>
            <w:r w:rsidR="00DB1C99">
              <w:t>biedrību „</w:t>
            </w:r>
            <w:r w:rsidR="004E3995" w:rsidRPr="00675F3E">
              <w:t>L</w:t>
            </w:r>
            <w:r w:rsidR="00DB1C99">
              <w:t xml:space="preserve">atvijas Sporta federāciju padome”. </w:t>
            </w:r>
            <w:r w:rsidR="0056361F">
              <w:t>Iepriekšminētā r</w:t>
            </w:r>
            <w:r w:rsidRPr="00010118">
              <w:t xml:space="preserve">ezultātā par 43% </w:t>
            </w:r>
            <w:r w:rsidR="0056361F">
              <w:t>(</w:t>
            </w:r>
            <w:r w:rsidRPr="00010118">
              <w:t xml:space="preserve">81 500 </w:t>
            </w:r>
            <w:r w:rsidR="004E3995" w:rsidRPr="004E3995">
              <w:rPr>
                <w:i/>
              </w:rPr>
              <w:t>euro</w:t>
            </w:r>
            <w:r w:rsidR="0056361F">
              <w:t>)</w:t>
            </w:r>
            <w:r w:rsidRPr="00010118">
              <w:t xml:space="preserve"> </w:t>
            </w:r>
            <w:r w:rsidR="0056361F">
              <w:t xml:space="preserve">ir </w:t>
            </w:r>
            <w:r w:rsidRPr="00010118">
              <w:t xml:space="preserve">samazinātas LOSF administratīvās, organizatoriskās un saimnieciskās izmaksas (106 375 </w:t>
            </w:r>
            <w:r w:rsidR="004E3995" w:rsidRPr="004E3995">
              <w:rPr>
                <w:i/>
              </w:rPr>
              <w:t>euro</w:t>
            </w:r>
            <w:r w:rsidRPr="00010118">
              <w:t xml:space="preserve"> 2021. gadā salīdzinot ar 187 875 </w:t>
            </w:r>
            <w:r w:rsidR="004E3995" w:rsidRPr="004E3995">
              <w:rPr>
                <w:i/>
              </w:rPr>
              <w:t>euro</w:t>
            </w:r>
            <w:r w:rsidRPr="00010118">
              <w:t xml:space="preserve"> 2020. gadā). Turklāt, pārņemot būtisku daļu LOSF un arī LOV funkcijām</w:t>
            </w:r>
            <w:r w:rsidR="0056361F">
              <w:t xml:space="preserve">, </w:t>
            </w:r>
            <w:r w:rsidR="00675F3E">
              <w:t xml:space="preserve">LOK administratīvās, </w:t>
            </w:r>
            <w:r w:rsidRPr="00010118">
              <w:t xml:space="preserve">organizatoriskās un saimnieciskās izmaksas palielinājušās tikai par 12,7% [54 027 </w:t>
            </w:r>
            <w:r w:rsidR="004E3995" w:rsidRPr="004E3995">
              <w:rPr>
                <w:i/>
              </w:rPr>
              <w:t>euro</w:t>
            </w:r>
            <w:r w:rsidRPr="00010118">
              <w:t>], kas panākts, v</w:t>
            </w:r>
            <w:r w:rsidR="0056361F">
              <w:t>eicot strukturālas izmaiņas LOK.</w:t>
            </w:r>
            <w:r w:rsidR="00675F3E">
              <w:t xml:space="preserve"> </w:t>
            </w:r>
            <w:r w:rsidR="004E3995">
              <w:t>Tāpat ir samazinājušās arī LOV administratīvās izmaksas.</w:t>
            </w:r>
            <w:r w:rsidR="000D688A">
              <w:t xml:space="preserve"> </w:t>
            </w:r>
          </w:p>
          <w:p w14:paraId="4C931E1C" w14:textId="2D195E30" w:rsidR="00E933C3" w:rsidRDefault="003D0230" w:rsidP="0056361F">
            <w:pPr>
              <w:ind w:left="94" w:right="139"/>
              <w:jc w:val="both"/>
              <w:rPr>
                <w:color w:val="000000" w:themeColor="text1"/>
                <w:shd w:val="clear" w:color="auto" w:fill="FFFFFF"/>
              </w:rPr>
            </w:pPr>
            <w:r>
              <w:tab/>
              <w:t xml:space="preserve">Iepriekšminētās izmaiņas sporta nozares finansēšanas pārvaldības un administratīvās pārvaldības sistēmā ir saistītas gan ar </w:t>
            </w:r>
            <w:r w:rsidR="00E933C3" w:rsidRPr="00CE3A5C">
              <w:t>Valdības rīcības plāna Deklarācijas par Artura Krišjāņa Kariņa vadītā Ministru kabineta iecerēto darbību īstenošanai (apstiprināts ar MK 2019.</w:t>
            </w:r>
            <w:r w:rsidR="00BE1E50">
              <w:t xml:space="preserve"> </w:t>
            </w:r>
            <w:r w:rsidR="00E933C3" w:rsidRPr="00CE3A5C">
              <w:t>gada 7.</w:t>
            </w:r>
            <w:r w:rsidR="00BE1E50">
              <w:t xml:space="preserve"> </w:t>
            </w:r>
            <w:r w:rsidR="00E933C3" w:rsidRPr="00CE3A5C">
              <w:t>maija rīkojumu Nr.210) 171.2. pasākum</w:t>
            </w:r>
            <w:r>
              <w:t xml:space="preserve">a (kas paredz </w:t>
            </w:r>
            <w:r w:rsidR="00E933C3" w:rsidRPr="00CE3A5C">
              <w:t xml:space="preserve">uzdevumu </w:t>
            </w:r>
            <w:r w:rsidR="00E933C3">
              <w:t xml:space="preserve">IZM </w:t>
            </w:r>
            <w:r w:rsidR="00E933C3" w:rsidRPr="00CE3A5C">
              <w:t>izstrādāt jaunu kārtību un kritērijus, kādā valsts piešķir finansējumu augstu sasniegumu sporta attīstībai</w:t>
            </w:r>
            <w:r>
              <w:t xml:space="preserve">) izpildi, gan ar </w:t>
            </w:r>
            <w:r w:rsidR="00E933C3">
              <w:t xml:space="preserve"> </w:t>
            </w:r>
            <w:r w:rsidRPr="004A2259">
              <w:rPr>
                <w:color w:val="000000" w:themeColor="text1"/>
                <w:shd w:val="clear" w:color="auto" w:fill="FFFFFF"/>
              </w:rPr>
              <w:t>Ministru kabineta 2020. gada 18. augusta sēdes protokollēmuma „Informatīvais ziņojums „Par valsts budžeta izdevumu pārskatīšanas rezultātiem un priekšlikumi par šo rezultātu izmantošanu likumprojekta „Par vidēja termiņa budžeta ietvaru 2021., 2022. un 2023. gadam” un likumprojekta „Par valsts budžetu 2021. gadam” izstrādes procesā” (prot Nr. 49 46.§) 20. punktā</w:t>
            </w:r>
            <w:r>
              <w:rPr>
                <w:color w:val="000000" w:themeColor="text1"/>
                <w:shd w:val="clear" w:color="auto" w:fill="FFFFFF"/>
              </w:rPr>
              <w:t xml:space="preserve"> IZM dotā uzdevuma (</w:t>
            </w:r>
            <w:r w:rsidRPr="003D0230">
              <w:rPr>
                <w:color w:val="000000" w:themeColor="text1"/>
                <w:shd w:val="clear" w:color="auto" w:fill="FFFFFF"/>
              </w:rPr>
              <w:t xml:space="preserve">izvērtēt </w:t>
            </w:r>
            <w:r>
              <w:rPr>
                <w:color w:val="000000" w:themeColor="text1"/>
                <w:shd w:val="clear" w:color="auto" w:fill="FFFFFF"/>
              </w:rPr>
              <w:t xml:space="preserve">LOSF </w:t>
            </w:r>
            <w:r w:rsidRPr="003D0230">
              <w:rPr>
                <w:color w:val="000000" w:themeColor="text1"/>
                <w:shd w:val="clear" w:color="auto" w:fill="FFFFFF"/>
              </w:rPr>
              <w:t>darbību sporta nozarei paredzēto valsts budžeta līdzekļu administrēšanas kontekstā atbilstoši informatīvajā ziņojumā minētajam</w:t>
            </w:r>
            <w:r>
              <w:rPr>
                <w:color w:val="000000" w:themeColor="text1"/>
                <w:shd w:val="clear" w:color="auto" w:fill="FFFFFF"/>
              </w:rPr>
              <w:t>) un 21. punktā IZM dotā uzdevuma (</w:t>
            </w:r>
            <w:r w:rsidRPr="003D0230">
              <w:rPr>
                <w:color w:val="000000" w:themeColor="text1"/>
                <w:shd w:val="clear" w:color="auto" w:fill="FFFFFF"/>
              </w:rPr>
              <w:t>izvērtēt iespējas samazināt sporta nozarei paredzēto valsts budžeta līdzekļu administrēšanā un apgūšanā iesaistīto organizāciju skaitu atbilstoši informatīvajā ziņojumā minētajam</w:t>
            </w:r>
            <w:r>
              <w:rPr>
                <w:color w:val="000000" w:themeColor="text1"/>
                <w:shd w:val="clear" w:color="auto" w:fill="FFFFFF"/>
              </w:rPr>
              <w:t>) izpildi.</w:t>
            </w:r>
          </w:p>
          <w:p w14:paraId="05823C74" w14:textId="5961E2D6" w:rsidR="00ED425E" w:rsidRDefault="003D0230" w:rsidP="00ED425E">
            <w:pPr>
              <w:ind w:left="94" w:right="139"/>
              <w:jc w:val="both"/>
            </w:pPr>
            <w:r>
              <w:lastRenderedPageBreak/>
              <w:tab/>
            </w:r>
            <w:r w:rsidR="00551732" w:rsidRPr="004A2259">
              <w:rPr>
                <w:color w:val="000000" w:themeColor="text1"/>
              </w:rPr>
              <w:t>Saskaņā ar likum</w:t>
            </w:r>
            <w:r w:rsidR="00A435B4">
              <w:rPr>
                <w:color w:val="000000" w:themeColor="text1"/>
              </w:rPr>
              <w:t>a</w:t>
            </w:r>
            <w:r w:rsidR="00551732" w:rsidRPr="004A2259">
              <w:rPr>
                <w:color w:val="000000" w:themeColor="text1"/>
              </w:rPr>
              <w:t xml:space="preserve"> </w:t>
            </w:r>
            <w:r w:rsidR="00551732">
              <w:rPr>
                <w:color w:val="000000" w:themeColor="text1"/>
              </w:rPr>
              <w:t>„</w:t>
            </w:r>
            <w:r w:rsidR="00551732" w:rsidRPr="004A2259">
              <w:rPr>
                <w:color w:val="000000" w:themeColor="text1"/>
              </w:rPr>
              <w:t xml:space="preserve">Par iedzīvotāju ienākuma nodokli” </w:t>
            </w:r>
            <w:r w:rsidR="00551732">
              <w:rPr>
                <w:color w:val="000000" w:themeColor="text1"/>
              </w:rPr>
              <w:t xml:space="preserve">(turpmāk – IIN likums) </w:t>
            </w:r>
            <w:r w:rsidR="00551732" w:rsidRPr="004A2259">
              <w:rPr>
                <w:color w:val="000000" w:themeColor="text1"/>
              </w:rPr>
              <w:t>9.</w:t>
            </w:r>
            <w:r w:rsidR="00551732">
              <w:rPr>
                <w:color w:val="000000" w:themeColor="text1"/>
              </w:rPr>
              <w:t xml:space="preserve"> </w:t>
            </w:r>
            <w:r w:rsidR="00551732" w:rsidRPr="004A2259">
              <w:rPr>
                <w:color w:val="000000" w:themeColor="text1"/>
              </w:rPr>
              <w:t>panta pirmās daļas 7.</w:t>
            </w:r>
            <w:r w:rsidR="00551732">
              <w:rPr>
                <w:color w:val="000000" w:themeColor="text1"/>
              </w:rPr>
              <w:t xml:space="preserve"> </w:t>
            </w:r>
            <w:r w:rsidR="00551732" w:rsidRPr="004A2259">
              <w:rPr>
                <w:color w:val="000000" w:themeColor="text1"/>
              </w:rPr>
              <w:t>punktu g</w:t>
            </w:r>
            <w:r w:rsidR="00551732" w:rsidRPr="004A2259">
              <w:rPr>
                <w:color w:val="000000" w:themeColor="text1"/>
                <w:shd w:val="clear" w:color="auto" w:fill="FFFFFF"/>
              </w:rPr>
              <w:t>ada apliekamajā ienākumā netiek ietverti un ar nodokli netiek aplikti pabalsti, kas izmaksājami no Ministru kabineta noteikta</w:t>
            </w:r>
            <w:r w:rsidR="00551732">
              <w:rPr>
                <w:color w:val="000000" w:themeColor="text1"/>
                <w:shd w:val="clear" w:color="auto" w:fill="FFFFFF"/>
              </w:rPr>
              <w:t xml:space="preserve">jām biedrībām un nodibinājumiem. Ar </w:t>
            </w:r>
            <w:r w:rsidR="00551732" w:rsidRPr="00551732">
              <w:rPr>
                <w:color w:val="000000"/>
              </w:rPr>
              <w:t>Ministru kabineta 2001. gada 8. augusta rīkojum</w:t>
            </w:r>
            <w:r w:rsidR="00551732">
              <w:rPr>
                <w:color w:val="000000"/>
              </w:rPr>
              <w:t>a</w:t>
            </w:r>
            <w:r w:rsidR="00551732" w:rsidRPr="00551732">
              <w:rPr>
                <w:color w:val="000000"/>
              </w:rPr>
              <w:t xml:space="preserve"> Nr. 385 „Par biedrībām, nodibinājumiem un starptautiskajām izglī</w:t>
            </w:r>
            <w:r w:rsidR="00551732">
              <w:rPr>
                <w:color w:val="000000"/>
              </w:rPr>
              <w:t xml:space="preserve">tības un sadarbības programmām” (turpmāk – </w:t>
            </w:r>
            <w:r w:rsidR="00A435B4">
              <w:rPr>
                <w:color w:val="000000"/>
              </w:rPr>
              <w:t>Rīkojums Nr.385</w:t>
            </w:r>
            <w:r w:rsidR="00551732">
              <w:rPr>
                <w:color w:val="000000"/>
              </w:rPr>
              <w:t>) 3. punktu saskaņā ar IIN likuma</w:t>
            </w:r>
            <w:r w:rsidR="00551732" w:rsidRPr="00551732">
              <w:rPr>
                <w:color w:val="000000"/>
              </w:rPr>
              <w:t xml:space="preserve"> 9.</w:t>
            </w:r>
            <w:r w:rsidR="00551732">
              <w:rPr>
                <w:color w:val="000000"/>
              </w:rPr>
              <w:t xml:space="preserve"> </w:t>
            </w:r>
            <w:r w:rsidR="00551732" w:rsidRPr="00551732">
              <w:rPr>
                <w:color w:val="000000"/>
              </w:rPr>
              <w:t>panta pirmās daļas 7.</w:t>
            </w:r>
            <w:r w:rsidR="00551732">
              <w:rPr>
                <w:color w:val="000000"/>
              </w:rPr>
              <w:t xml:space="preserve"> punktu ir apstiprināts LOSF. </w:t>
            </w:r>
            <w:r w:rsidR="00675F3E">
              <w:t xml:space="preserve">Veicot LOSF un LOV reorganizāciju, </w:t>
            </w:r>
            <w:r>
              <w:t>ir būtiski</w:t>
            </w:r>
            <w:r w:rsidR="00A435B4">
              <w:t xml:space="preserve"> </w:t>
            </w:r>
            <w:r>
              <w:t xml:space="preserve">saglabāt </w:t>
            </w:r>
            <w:r>
              <w:rPr>
                <w:color w:val="000000"/>
              </w:rPr>
              <w:t xml:space="preserve">regulējumu, </w:t>
            </w:r>
            <w:r w:rsidR="00551732">
              <w:rPr>
                <w:color w:val="000000"/>
              </w:rPr>
              <w:t>ka</w:t>
            </w:r>
            <w:r w:rsidR="00551732" w:rsidRPr="00A0482F">
              <w:rPr>
                <w:color w:val="000000"/>
              </w:rPr>
              <w:t xml:space="preserve"> </w:t>
            </w:r>
            <w:r w:rsidR="00551732">
              <w:rPr>
                <w:color w:val="000000"/>
              </w:rPr>
              <w:t xml:space="preserve">ne tikai </w:t>
            </w:r>
            <w:r w:rsidR="00551732" w:rsidRPr="00551732">
              <w:rPr>
                <w:color w:val="000000"/>
              </w:rPr>
              <w:t xml:space="preserve">bijušajiem izciliem sportistiem, treneriem un sporta darbiniekiem par mūža ieguldījumu </w:t>
            </w:r>
            <w:r w:rsidR="00551732">
              <w:rPr>
                <w:color w:val="000000"/>
              </w:rPr>
              <w:t xml:space="preserve">izmaksātie pabalsti (kuru izmaksu arī turpmāk veiks LOSF), bet arī </w:t>
            </w:r>
            <w:r w:rsidR="00551732">
              <w:t>LOV</w:t>
            </w:r>
            <w:r w:rsidR="00551732" w:rsidRPr="004A2259">
              <w:rPr>
                <w:color w:val="000000" w:themeColor="text1"/>
              </w:rPr>
              <w:t xml:space="preserve"> sastāvos </w:t>
            </w:r>
            <w:r w:rsidR="00551732">
              <w:rPr>
                <w:color w:val="000000" w:themeColor="text1"/>
              </w:rPr>
              <w:t>esošiem</w:t>
            </w:r>
            <w:r w:rsidR="00551732" w:rsidRPr="00A0482F">
              <w:rPr>
                <w:color w:val="000000" w:themeColor="text1"/>
              </w:rPr>
              <w:t xml:space="preserve"> sportistiem un viņu treneriem </w:t>
            </w:r>
            <w:r w:rsidR="00551732" w:rsidRPr="004A2259">
              <w:rPr>
                <w:color w:val="000000" w:themeColor="text1"/>
              </w:rPr>
              <w:t xml:space="preserve">izmaksātie pabalsti </w:t>
            </w:r>
            <w:r w:rsidR="00551732">
              <w:rPr>
                <w:color w:val="000000" w:themeColor="text1"/>
              </w:rPr>
              <w:t xml:space="preserve">(kuru izmaksu turpmāk veiks LOK) </w:t>
            </w:r>
            <w:r w:rsidR="00551732" w:rsidRPr="004A2259">
              <w:rPr>
                <w:color w:val="000000" w:themeColor="text1"/>
              </w:rPr>
              <w:t>netiek aplikti ar iedzīvotāju ienākum</w:t>
            </w:r>
            <w:r w:rsidR="00551732">
              <w:rPr>
                <w:color w:val="000000" w:themeColor="text1"/>
              </w:rPr>
              <w:t>a</w:t>
            </w:r>
            <w:r w:rsidR="00551732" w:rsidRPr="00A0482F">
              <w:rPr>
                <w:color w:val="000000" w:themeColor="text1"/>
              </w:rPr>
              <w:t xml:space="preserve"> nodokli.</w:t>
            </w:r>
            <w:r w:rsidR="00551732">
              <w:rPr>
                <w:color w:val="000000" w:themeColor="text1"/>
              </w:rPr>
              <w:t xml:space="preserve"> </w:t>
            </w:r>
            <w:r w:rsidR="00551732">
              <w:rPr>
                <w:color w:val="000000"/>
              </w:rPr>
              <w:t xml:space="preserve">Lai to nodrošinātu, saskaņā ar </w:t>
            </w:r>
            <w:r w:rsidR="00A435B4">
              <w:rPr>
                <w:color w:val="000000"/>
              </w:rPr>
              <w:t>IIN likuma</w:t>
            </w:r>
            <w:r w:rsidR="00551732" w:rsidRPr="00551732">
              <w:rPr>
                <w:color w:val="000000"/>
              </w:rPr>
              <w:t xml:space="preserve"> 9.</w:t>
            </w:r>
            <w:r w:rsidR="00551732">
              <w:rPr>
                <w:color w:val="000000"/>
              </w:rPr>
              <w:t xml:space="preserve"> </w:t>
            </w:r>
            <w:r w:rsidR="00551732" w:rsidRPr="00551732">
              <w:rPr>
                <w:color w:val="000000"/>
              </w:rPr>
              <w:t>panta pirmās daļas 7.</w:t>
            </w:r>
            <w:r w:rsidR="00551732">
              <w:rPr>
                <w:color w:val="000000"/>
              </w:rPr>
              <w:t xml:space="preserve"> punktu ir apstiprināma arī LOK, izdarot attiecīgu grozījumu </w:t>
            </w:r>
            <w:r w:rsidR="00A435B4">
              <w:rPr>
                <w:color w:val="000000"/>
              </w:rPr>
              <w:t>Rīkojumā Nr.385</w:t>
            </w:r>
            <w:r w:rsidR="00551732">
              <w:rPr>
                <w:color w:val="000000"/>
              </w:rPr>
              <w:t>.</w:t>
            </w:r>
            <w:r w:rsidR="00A435B4">
              <w:rPr>
                <w:color w:val="000000"/>
              </w:rPr>
              <w:t xml:space="preserve"> Būtiski ir atzīmēt, ka iepriekšminēto izmaiņu rezultātā netiek paplašināts to personu loks, kurām izmaksātie pabalsti netiks aplikti ar </w:t>
            </w:r>
            <w:r w:rsidR="00A435B4" w:rsidRPr="004A2259">
              <w:rPr>
                <w:color w:val="000000" w:themeColor="text1"/>
              </w:rPr>
              <w:t>iedzīvotāju ienākum</w:t>
            </w:r>
            <w:r w:rsidR="00A435B4">
              <w:rPr>
                <w:color w:val="000000" w:themeColor="text1"/>
              </w:rPr>
              <w:t>a</w:t>
            </w:r>
            <w:r w:rsidR="00A435B4" w:rsidRPr="00A0482F">
              <w:rPr>
                <w:color w:val="000000" w:themeColor="text1"/>
              </w:rPr>
              <w:t xml:space="preserve"> nodokli</w:t>
            </w:r>
            <w:r w:rsidR="00A435B4">
              <w:rPr>
                <w:color w:val="000000" w:themeColor="text1"/>
              </w:rPr>
              <w:t xml:space="preserve">. Jautājums par izmaiņām LOSF un LOK funkciju sadalījumā tika izskatīts un pozitīvi novērtēts arī </w:t>
            </w:r>
            <w:r w:rsidR="00A435B4">
              <w:t xml:space="preserve">Finanšu ministrijas izveidotās </w:t>
            </w:r>
            <w:r w:rsidR="00354E4E" w:rsidRPr="00354E4E">
              <w:t xml:space="preserve">Izdevumu pārskatīšanas </w:t>
            </w:r>
            <w:proofErr w:type="spellStart"/>
            <w:r w:rsidR="00354E4E" w:rsidRPr="00354E4E">
              <w:t>s</w:t>
            </w:r>
            <w:r w:rsidR="00830329">
              <w:t>tarpinstitucionāl</w:t>
            </w:r>
            <w:r w:rsidR="00A435B4">
              <w:t>ā</w:t>
            </w:r>
            <w:r w:rsidR="00830329">
              <w:t>s</w:t>
            </w:r>
            <w:proofErr w:type="spellEnd"/>
            <w:r w:rsidR="00A435B4">
              <w:t xml:space="preserve"> darba grupas 2021. gada 9. aprīļa sēdē</w:t>
            </w:r>
            <w:r w:rsidR="00ED425E">
              <w:t>.</w:t>
            </w:r>
          </w:p>
          <w:p w14:paraId="0402A707" w14:textId="249865B3" w:rsidR="00E7572F" w:rsidRPr="00A0482F" w:rsidRDefault="00A435B4" w:rsidP="00ED425E">
            <w:pPr>
              <w:ind w:right="139"/>
              <w:jc w:val="both"/>
              <w:rPr>
                <w:color w:val="000000" w:themeColor="text1"/>
              </w:rPr>
            </w:pPr>
            <w:r>
              <w:rPr>
                <w:color w:val="000000" w:themeColor="text1"/>
              </w:rPr>
              <w:tab/>
              <w:t xml:space="preserve">Ievērojot minēto, IZM ir izstrādājusi Ministru kabineta rīkojuma projektu </w:t>
            </w:r>
            <w:r w:rsidR="000A72C9" w:rsidRPr="000A72C9">
              <w:rPr>
                <w:color w:val="000000" w:themeColor="text1"/>
              </w:rPr>
              <w:t>„Grozījums Ministru kabineta 2001. gada 8. augusta rīkojumā Nr. 385 „Par biedrībām, nodibinājumiem un starptautiskajām izglītības un sadarbības programmām””</w:t>
            </w:r>
            <w:r w:rsidR="00796A73">
              <w:rPr>
                <w:color w:val="000000" w:themeColor="text1"/>
              </w:rPr>
              <w:t xml:space="preserve"> (turpmāk – Rīkojuma projekts)</w:t>
            </w:r>
            <w:r w:rsidR="000A72C9">
              <w:rPr>
                <w:color w:val="000000" w:themeColor="text1"/>
              </w:rPr>
              <w:t>, kas paredz s</w:t>
            </w:r>
            <w:r w:rsidR="000A72C9">
              <w:rPr>
                <w:color w:val="000000"/>
              </w:rPr>
              <w:t>askaņā ar IIN likuma</w:t>
            </w:r>
            <w:r w:rsidR="000A72C9" w:rsidRPr="00551732">
              <w:rPr>
                <w:color w:val="000000"/>
              </w:rPr>
              <w:t xml:space="preserve"> 9.</w:t>
            </w:r>
            <w:r w:rsidR="000A72C9">
              <w:rPr>
                <w:color w:val="000000"/>
              </w:rPr>
              <w:t xml:space="preserve"> </w:t>
            </w:r>
            <w:r w:rsidR="000A72C9" w:rsidRPr="00551732">
              <w:rPr>
                <w:color w:val="000000"/>
              </w:rPr>
              <w:t>panta pirmās daļas 7.</w:t>
            </w:r>
            <w:r w:rsidR="000A72C9">
              <w:rPr>
                <w:color w:val="000000"/>
              </w:rPr>
              <w:t xml:space="preserve"> punktu apstiprināt ne tikai LOSF, bet arī LOK (izsakot jaunā redakcijā minētā rīkojuma 3. punktu).</w:t>
            </w:r>
          </w:p>
        </w:tc>
      </w:tr>
      <w:tr w:rsidR="0018086A" w:rsidRPr="004A2259" w14:paraId="5B42543E" w14:textId="77777777" w:rsidTr="005B5908">
        <w:trPr>
          <w:trHeight w:val="169"/>
          <w:jc w:val="center"/>
        </w:trPr>
        <w:tc>
          <w:tcPr>
            <w:tcW w:w="499" w:type="dxa"/>
            <w:vAlign w:val="center"/>
          </w:tcPr>
          <w:p w14:paraId="2FE379DC" w14:textId="1F28AFA6" w:rsidR="0018086A" w:rsidRPr="004A2259" w:rsidRDefault="00B54A3A" w:rsidP="00A049A0">
            <w:pPr>
              <w:pStyle w:val="naiskr"/>
              <w:spacing w:before="0" w:after="0"/>
              <w:ind w:left="-355"/>
              <w:jc w:val="center"/>
              <w:rPr>
                <w:spacing w:val="-2"/>
              </w:rPr>
            </w:pPr>
            <w:r w:rsidRPr="004A2259">
              <w:rPr>
                <w:spacing w:val="-2"/>
              </w:rPr>
              <w:lastRenderedPageBreak/>
              <w:t>a</w:t>
            </w:r>
            <w:r w:rsidR="00575F9E" w:rsidRPr="004A2259">
              <w:rPr>
                <w:spacing w:val="-2"/>
              </w:rPr>
              <w:t xml:space="preserve">      3</w:t>
            </w:r>
            <w:r w:rsidR="0018086A" w:rsidRPr="004A2259">
              <w:rPr>
                <w:spacing w:val="-2"/>
              </w:rPr>
              <w:t>.</w:t>
            </w:r>
          </w:p>
        </w:tc>
        <w:tc>
          <w:tcPr>
            <w:tcW w:w="1908" w:type="dxa"/>
          </w:tcPr>
          <w:p w14:paraId="44C6A7BE" w14:textId="77777777" w:rsidR="0018086A" w:rsidRPr="004A2259" w:rsidRDefault="0018086A" w:rsidP="00A049A0">
            <w:pPr>
              <w:pStyle w:val="naiskr"/>
              <w:spacing w:before="0" w:after="0"/>
              <w:rPr>
                <w:spacing w:val="-2"/>
              </w:rPr>
            </w:pPr>
            <w:r w:rsidRPr="004A2259">
              <w:rPr>
                <w:spacing w:val="-2"/>
              </w:rPr>
              <w:t>Projekta izstrādē iesaistītās institūcijas</w:t>
            </w:r>
          </w:p>
        </w:tc>
        <w:tc>
          <w:tcPr>
            <w:tcW w:w="6941" w:type="dxa"/>
          </w:tcPr>
          <w:p w14:paraId="141DEE0E" w14:textId="1DAEDDE4" w:rsidR="0018086A" w:rsidRPr="004A2259" w:rsidRDefault="00796A73" w:rsidP="00796A73">
            <w:pPr>
              <w:autoSpaceDE w:val="0"/>
              <w:autoSpaceDN w:val="0"/>
              <w:adjustRightInd w:val="0"/>
              <w:ind w:left="94" w:right="139"/>
              <w:jc w:val="both"/>
              <w:rPr>
                <w:noProof/>
                <w:spacing w:val="-2"/>
              </w:rPr>
            </w:pPr>
            <w:r>
              <w:rPr>
                <w:noProof/>
                <w:spacing w:val="-2"/>
              </w:rPr>
              <w:t>IZM sadarbībā ar LOK</w:t>
            </w:r>
            <w:r w:rsidR="003E56F5" w:rsidRPr="004A2259">
              <w:rPr>
                <w:noProof/>
                <w:spacing w:val="-2"/>
              </w:rPr>
              <w:t>.</w:t>
            </w:r>
          </w:p>
        </w:tc>
      </w:tr>
      <w:tr w:rsidR="0018086A" w:rsidRPr="004A2259" w14:paraId="007B2159" w14:textId="77777777" w:rsidTr="005B5908">
        <w:trPr>
          <w:trHeight w:val="339"/>
          <w:jc w:val="center"/>
        </w:trPr>
        <w:tc>
          <w:tcPr>
            <w:tcW w:w="499" w:type="dxa"/>
          </w:tcPr>
          <w:p w14:paraId="1AA6C177" w14:textId="77777777" w:rsidR="0018086A" w:rsidRPr="004A2259" w:rsidRDefault="00575F9E" w:rsidP="00A049A0">
            <w:pPr>
              <w:pStyle w:val="naiskr"/>
              <w:spacing w:before="0" w:after="0"/>
              <w:jc w:val="center"/>
              <w:rPr>
                <w:spacing w:val="-2"/>
              </w:rPr>
            </w:pPr>
            <w:r w:rsidRPr="004A2259">
              <w:rPr>
                <w:spacing w:val="-2"/>
              </w:rPr>
              <w:t>4</w:t>
            </w:r>
            <w:r w:rsidR="0018086A" w:rsidRPr="004A2259">
              <w:rPr>
                <w:spacing w:val="-2"/>
              </w:rPr>
              <w:t>.</w:t>
            </w:r>
          </w:p>
        </w:tc>
        <w:tc>
          <w:tcPr>
            <w:tcW w:w="1908" w:type="dxa"/>
          </w:tcPr>
          <w:p w14:paraId="0A58BE23" w14:textId="77777777" w:rsidR="0018086A" w:rsidRPr="004A2259" w:rsidRDefault="0018086A" w:rsidP="00A049A0">
            <w:pPr>
              <w:pStyle w:val="naiskr"/>
              <w:spacing w:before="0" w:after="0"/>
              <w:rPr>
                <w:spacing w:val="-2"/>
              </w:rPr>
            </w:pPr>
            <w:r w:rsidRPr="004A2259">
              <w:rPr>
                <w:spacing w:val="-2"/>
              </w:rPr>
              <w:t>Cita informācija</w:t>
            </w:r>
          </w:p>
        </w:tc>
        <w:tc>
          <w:tcPr>
            <w:tcW w:w="6941" w:type="dxa"/>
          </w:tcPr>
          <w:p w14:paraId="0982F845" w14:textId="77777777" w:rsidR="0018086A" w:rsidRPr="004A2259" w:rsidRDefault="002F08F8" w:rsidP="004A2259">
            <w:pPr>
              <w:pStyle w:val="naiskr"/>
              <w:spacing w:before="0" w:after="0"/>
              <w:ind w:left="94" w:right="139"/>
              <w:jc w:val="both"/>
              <w:rPr>
                <w:spacing w:val="-2"/>
              </w:rPr>
            </w:pPr>
            <w:r w:rsidRPr="004A2259">
              <w:rPr>
                <w:noProof/>
                <w:spacing w:val="-2"/>
              </w:rPr>
              <w:t>Nav.</w:t>
            </w:r>
            <w:r w:rsidR="008E0C5B" w:rsidRPr="004A2259">
              <w:rPr>
                <w:noProof/>
                <w:spacing w:val="-2"/>
              </w:rPr>
              <w:t xml:space="preserve"> </w:t>
            </w:r>
          </w:p>
        </w:tc>
      </w:tr>
    </w:tbl>
    <w:p w14:paraId="0EBB023E" w14:textId="77777777" w:rsidR="0018086A" w:rsidRPr="004A2259" w:rsidRDefault="0018086A" w:rsidP="00A049A0">
      <w:pPr>
        <w:pStyle w:val="naisf"/>
        <w:spacing w:before="0" w:after="0"/>
        <w:rPr>
          <w:spacing w:val="-2"/>
        </w:rPr>
      </w:pPr>
    </w:p>
    <w:tbl>
      <w:tblPr>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5"/>
        <w:gridCol w:w="1933"/>
        <w:gridCol w:w="6958"/>
      </w:tblGrid>
      <w:tr w:rsidR="0018086A" w:rsidRPr="0056361F" w14:paraId="535D8892" w14:textId="77777777" w:rsidTr="00CF2260">
        <w:trPr>
          <w:jc w:val="center"/>
        </w:trPr>
        <w:tc>
          <w:tcPr>
            <w:tcW w:w="9346" w:type="dxa"/>
            <w:gridSpan w:val="3"/>
            <w:vAlign w:val="center"/>
          </w:tcPr>
          <w:p w14:paraId="3751ACC3" w14:textId="77777777" w:rsidR="0018086A" w:rsidRPr="0056361F" w:rsidRDefault="0018086A" w:rsidP="0056361F">
            <w:pPr>
              <w:pStyle w:val="Heading4"/>
              <w:rPr>
                <w:sz w:val="24"/>
                <w:szCs w:val="24"/>
                <w:highlight w:val="yellow"/>
              </w:rPr>
            </w:pPr>
            <w:r w:rsidRPr="0056361F">
              <w:rPr>
                <w:sz w:val="24"/>
                <w:szCs w:val="24"/>
              </w:rPr>
              <w:t xml:space="preserve">II. </w:t>
            </w:r>
            <w:r w:rsidR="007F47AD" w:rsidRPr="0056361F">
              <w:rPr>
                <w:sz w:val="24"/>
                <w:szCs w:val="24"/>
              </w:rPr>
              <w:t>Tiesību akta projekta ietekme uz sabiedrību, tautsaimniecības attīstību un administratīvo</w:t>
            </w:r>
            <w:r w:rsidR="007F47AD" w:rsidRPr="0056361F">
              <w:rPr>
                <w:color w:val="414142"/>
                <w:sz w:val="24"/>
                <w:szCs w:val="24"/>
                <w:shd w:val="clear" w:color="auto" w:fill="FFFFFF"/>
              </w:rPr>
              <w:t xml:space="preserve"> slogu</w:t>
            </w:r>
          </w:p>
        </w:tc>
      </w:tr>
      <w:tr w:rsidR="0018086A" w:rsidRPr="004A2259" w14:paraId="73031413" w14:textId="77777777" w:rsidTr="008C50CC">
        <w:trPr>
          <w:trHeight w:val="38"/>
          <w:jc w:val="center"/>
        </w:trPr>
        <w:tc>
          <w:tcPr>
            <w:tcW w:w="455" w:type="dxa"/>
            <w:vAlign w:val="center"/>
          </w:tcPr>
          <w:p w14:paraId="464D3563" w14:textId="77777777" w:rsidR="0018086A" w:rsidRPr="004A2259" w:rsidRDefault="0018086A" w:rsidP="002F08F8">
            <w:pPr>
              <w:ind w:right="-57"/>
              <w:rPr>
                <w:spacing w:val="-2"/>
              </w:rPr>
            </w:pPr>
            <w:r w:rsidRPr="004A2259">
              <w:rPr>
                <w:spacing w:val="-2"/>
              </w:rPr>
              <w:t>1.</w:t>
            </w:r>
          </w:p>
        </w:tc>
        <w:tc>
          <w:tcPr>
            <w:tcW w:w="1933" w:type="dxa"/>
            <w:vAlign w:val="center"/>
          </w:tcPr>
          <w:p w14:paraId="1B05E378" w14:textId="77777777" w:rsidR="0018086A" w:rsidRPr="004A2259" w:rsidRDefault="00575F9E" w:rsidP="002F08F8">
            <w:pPr>
              <w:ind w:right="-57"/>
              <w:rPr>
                <w:spacing w:val="-2"/>
              </w:rPr>
            </w:pPr>
            <w:r w:rsidRPr="004A2259">
              <w:rPr>
                <w:spacing w:val="-2"/>
              </w:rPr>
              <w:t>Sabiedrības mērķgrupas, kuras tiesiskais regulējums ietekmē vai varētu ietekmēt</w:t>
            </w:r>
          </w:p>
        </w:tc>
        <w:tc>
          <w:tcPr>
            <w:tcW w:w="6958" w:type="dxa"/>
            <w:vAlign w:val="center"/>
          </w:tcPr>
          <w:p w14:paraId="4BF43787" w14:textId="7BFA5FF5" w:rsidR="008D64EE" w:rsidRPr="004A2259" w:rsidRDefault="00796A73" w:rsidP="0068038E">
            <w:pPr>
              <w:pStyle w:val="naiskr"/>
              <w:spacing w:before="0" w:after="0"/>
              <w:ind w:left="57" w:right="98"/>
              <w:jc w:val="both"/>
              <w:rPr>
                <w:noProof/>
                <w:spacing w:val="-2"/>
              </w:rPr>
            </w:pPr>
            <w:r>
              <w:rPr>
                <w:color w:val="000000" w:themeColor="text1"/>
                <w:spacing w:val="-2"/>
                <w:shd w:val="clear" w:color="auto" w:fill="FFFFFF"/>
              </w:rPr>
              <w:t>R</w:t>
            </w:r>
            <w:r w:rsidR="00A45372" w:rsidRPr="004A2259">
              <w:rPr>
                <w:color w:val="000000" w:themeColor="text1"/>
                <w:spacing w:val="-2"/>
                <w:shd w:val="clear" w:color="auto" w:fill="FFFFFF"/>
              </w:rPr>
              <w:t xml:space="preserve">īkojumu projekta </w:t>
            </w:r>
            <w:r w:rsidR="00564CF3" w:rsidRPr="004A2259">
              <w:rPr>
                <w:color w:val="000000" w:themeColor="text1"/>
                <w:spacing w:val="-2"/>
                <w:shd w:val="clear" w:color="auto" w:fill="FFFFFF"/>
              </w:rPr>
              <w:t>tiesiskais regulējums</w:t>
            </w:r>
            <w:r w:rsidR="0068038E">
              <w:rPr>
                <w:color w:val="000000" w:themeColor="text1"/>
                <w:spacing w:val="-2"/>
                <w:shd w:val="clear" w:color="auto" w:fill="FFFFFF"/>
              </w:rPr>
              <w:t xml:space="preserve"> tiešā veidā</w:t>
            </w:r>
            <w:r w:rsidR="00564CF3" w:rsidRPr="004A2259">
              <w:rPr>
                <w:color w:val="000000" w:themeColor="text1"/>
                <w:spacing w:val="-2"/>
                <w:shd w:val="clear" w:color="auto" w:fill="FFFFFF"/>
              </w:rPr>
              <w:t xml:space="preserve"> attiecas uz</w:t>
            </w:r>
            <w:r w:rsidR="0068038E">
              <w:rPr>
                <w:color w:val="000000" w:themeColor="text1"/>
                <w:spacing w:val="-2"/>
                <w:shd w:val="clear" w:color="auto" w:fill="FFFFFF"/>
              </w:rPr>
              <w:t xml:space="preserve"> </w:t>
            </w:r>
            <w:r w:rsidR="0068038E">
              <w:t>LOV</w:t>
            </w:r>
            <w:r w:rsidR="0068038E" w:rsidRPr="004A2259">
              <w:rPr>
                <w:color w:val="000000" w:themeColor="text1"/>
              </w:rPr>
              <w:t xml:space="preserve"> sastāvos </w:t>
            </w:r>
            <w:r w:rsidR="0068038E">
              <w:rPr>
                <w:color w:val="000000" w:themeColor="text1"/>
              </w:rPr>
              <w:t>esošiem</w:t>
            </w:r>
            <w:r w:rsidR="0068038E" w:rsidRPr="00A0482F">
              <w:rPr>
                <w:color w:val="000000" w:themeColor="text1"/>
              </w:rPr>
              <w:t xml:space="preserve"> sportistiem un viņu treneriem</w:t>
            </w:r>
            <w:r w:rsidR="0068038E">
              <w:rPr>
                <w:color w:val="000000" w:themeColor="text1"/>
              </w:rPr>
              <w:t xml:space="preserve">. Minētā ietekme ir pozitīva, jo arī pēc </w:t>
            </w:r>
            <w:r w:rsidR="0068038E">
              <w:rPr>
                <w:color w:val="000000"/>
              </w:rPr>
              <w:t xml:space="preserve">funkciju pārdales starp LOSF un LOK viņiem izmaksātie pabalsti </w:t>
            </w:r>
            <w:r w:rsidR="0068038E">
              <w:rPr>
                <w:color w:val="000000" w:themeColor="text1"/>
              </w:rPr>
              <w:t xml:space="preserve">netiks </w:t>
            </w:r>
            <w:r w:rsidR="0068038E" w:rsidRPr="004A2259">
              <w:rPr>
                <w:color w:val="000000" w:themeColor="text1"/>
              </w:rPr>
              <w:t>aplikti ar iedzīvotāju ienākum</w:t>
            </w:r>
            <w:r w:rsidR="0068038E">
              <w:rPr>
                <w:color w:val="000000" w:themeColor="text1"/>
              </w:rPr>
              <w:t>a</w:t>
            </w:r>
            <w:r w:rsidR="0068038E" w:rsidRPr="00A0482F">
              <w:rPr>
                <w:color w:val="000000" w:themeColor="text1"/>
              </w:rPr>
              <w:t xml:space="preserve"> nodokli.</w:t>
            </w:r>
            <w:r w:rsidR="0068038E">
              <w:rPr>
                <w:color w:val="000000" w:themeColor="text1"/>
              </w:rPr>
              <w:t xml:space="preserve"> Rīkojuma projekts netieši attiecas arī uz bijuš</w:t>
            </w:r>
            <w:r w:rsidR="00010701">
              <w:rPr>
                <w:color w:val="000000" w:themeColor="text1"/>
              </w:rPr>
              <w:t>aj</w:t>
            </w:r>
            <w:r w:rsidR="0068038E">
              <w:rPr>
                <w:color w:val="000000" w:themeColor="text1"/>
              </w:rPr>
              <w:t xml:space="preserve">iem </w:t>
            </w:r>
            <w:r w:rsidR="0068038E" w:rsidRPr="00551732">
              <w:rPr>
                <w:color w:val="000000"/>
              </w:rPr>
              <w:t>izciliem sportistiem, treneriem un sporta darbiniekiem</w:t>
            </w:r>
            <w:r w:rsidR="0068038E">
              <w:rPr>
                <w:color w:val="000000"/>
              </w:rPr>
              <w:t xml:space="preserve">, jo arī viņiem izmaksātie pabalsti </w:t>
            </w:r>
            <w:r w:rsidR="0068038E">
              <w:rPr>
                <w:color w:val="000000" w:themeColor="text1"/>
              </w:rPr>
              <w:t xml:space="preserve">netiek </w:t>
            </w:r>
            <w:r w:rsidR="0068038E" w:rsidRPr="004A2259">
              <w:rPr>
                <w:color w:val="000000" w:themeColor="text1"/>
              </w:rPr>
              <w:t>aplikti ar iedzīvotāju ienākum</w:t>
            </w:r>
            <w:r w:rsidR="0068038E">
              <w:rPr>
                <w:color w:val="000000" w:themeColor="text1"/>
              </w:rPr>
              <w:t>a</w:t>
            </w:r>
            <w:r w:rsidR="0068038E" w:rsidRPr="00A0482F">
              <w:rPr>
                <w:color w:val="000000" w:themeColor="text1"/>
              </w:rPr>
              <w:t xml:space="preserve"> nodokli</w:t>
            </w:r>
            <w:r w:rsidR="0068038E">
              <w:rPr>
                <w:color w:val="000000" w:themeColor="text1"/>
              </w:rPr>
              <w:t xml:space="preserve"> un šis regulējums ar Rīkojuma projektu netiek mainīts.</w:t>
            </w:r>
          </w:p>
        </w:tc>
      </w:tr>
      <w:tr w:rsidR="0018086A" w:rsidRPr="004A2259" w14:paraId="2E3424A7" w14:textId="77777777" w:rsidTr="0068038E">
        <w:trPr>
          <w:trHeight w:val="34"/>
          <w:jc w:val="center"/>
        </w:trPr>
        <w:tc>
          <w:tcPr>
            <w:tcW w:w="455" w:type="dxa"/>
            <w:vAlign w:val="center"/>
          </w:tcPr>
          <w:p w14:paraId="58261B88" w14:textId="2EF0CCAF" w:rsidR="0018086A" w:rsidRPr="004A2259" w:rsidRDefault="00575F9E" w:rsidP="00A049A0">
            <w:pPr>
              <w:pStyle w:val="naisnod"/>
              <w:spacing w:before="0" w:after="0"/>
              <w:rPr>
                <w:b w:val="0"/>
                <w:spacing w:val="-2"/>
              </w:rPr>
            </w:pPr>
            <w:r w:rsidRPr="004A2259">
              <w:rPr>
                <w:b w:val="0"/>
                <w:spacing w:val="-2"/>
              </w:rPr>
              <w:t>2</w:t>
            </w:r>
            <w:r w:rsidR="0018086A" w:rsidRPr="004A2259">
              <w:rPr>
                <w:b w:val="0"/>
                <w:spacing w:val="-2"/>
              </w:rPr>
              <w:t>.</w:t>
            </w:r>
          </w:p>
        </w:tc>
        <w:tc>
          <w:tcPr>
            <w:tcW w:w="1933" w:type="dxa"/>
            <w:vAlign w:val="center"/>
          </w:tcPr>
          <w:p w14:paraId="48FB0959" w14:textId="77777777" w:rsidR="0018086A" w:rsidRPr="004A2259" w:rsidRDefault="00575F9E" w:rsidP="00A049A0">
            <w:pPr>
              <w:rPr>
                <w:spacing w:val="-2"/>
              </w:rPr>
            </w:pPr>
            <w:r w:rsidRPr="004A2259">
              <w:rPr>
                <w:spacing w:val="-2"/>
              </w:rPr>
              <w:t>Tiesiskā regulējuma ietekme uz tautsaimniecību un administratīvo slogu</w:t>
            </w:r>
          </w:p>
        </w:tc>
        <w:tc>
          <w:tcPr>
            <w:tcW w:w="6958" w:type="dxa"/>
          </w:tcPr>
          <w:p w14:paraId="61A2661C" w14:textId="26B1EE8E" w:rsidR="0018086A" w:rsidRPr="004A2259" w:rsidRDefault="0068038E" w:rsidP="0068038E">
            <w:pPr>
              <w:ind w:left="57" w:right="98"/>
              <w:jc w:val="both"/>
              <w:rPr>
                <w:spacing w:val="-2"/>
              </w:rPr>
            </w:pPr>
            <w:r>
              <w:rPr>
                <w:color w:val="000000"/>
              </w:rPr>
              <w:t xml:space="preserve">Ņemot vērā, ka netiek paplašināts to personu loks, kurām izmaksātie pabalsti netiks aplikti ar </w:t>
            </w:r>
            <w:r w:rsidRPr="004A2259">
              <w:rPr>
                <w:color w:val="000000" w:themeColor="text1"/>
              </w:rPr>
              <w:t>iedzīvotāju ienākum</w:t>
            </w:r>
            <w:r>
              <w:rPr>
                <w:color w:val="000000" w:themeColor="text1"/>
              </w:rPr>
              <w:t>a</w:t>
            </w:r>
            <w:r w:rsidRPr="00A0482F">
              <w:rPr>
                <w:color w:val="000000" w:themeColor="text1"/>
              </w:rPr>
              <w:t xml:space="preserve"> nodokli</w:t>
            </w:r>
            <w:r>
              <w:rPr>
                <w:color w:val="000000" w:themeColor="text1"/>
              </w:rPr>
              <w:t xml:space="preserve">, tad nav identificējama ietekmes uz tautsaimniecību maiņa. Administratīvais slogs pabalstu saņēmējiem līdz šim nav bijis un tāds nebūs arī turpmāk. Savukārt funkciju izmaksāt pabalstus </w:t>
            </w:r>
            <w:r>
              <w:t>LOV</w:t>
            </w:r>
            <w:r w:rsidRPr="004A2259">
              <w:rPr>
                <w:color w:val="000000" w:themeColor="text1"/>
              </w:rPr>
              <w:t xml:space="preserve"> sastāvos </w:t>
            </w:r>
            <w:r>
              <w:rPr>
                <w:color w:val="000000" w:themeColor="text1"/>
              </w:rPr>
              <w:t>esošiem</w:t>
            </w:r>
            <w:r w:rsidRPr="00A0482F">
              <w:rPr>
                <w:color w:val="000000" w:themeColor="text1"/>
              </w:rPr>
              <w:t xml:space="preserve"> sportistiem un viņu treneriem</w:t>
            </w:r>
            <w:r>
              <w:rPr>
                <w:color w:val="000000" w:themeColor="text1"/>
              </w:rPr>
              <w:t xml:space="preserve"> no LOSF pārņems LOK.</w:t>
            </w:r>
          </w:p>
        </w:tc>
      </w:tr>
      <w:tr w:rsidR="0018086A" w:rsidRPr="004A2259" w14:paraId="066C368C" w14:textId="77777777" w:rsidTr="0068038E">
        <w:trPr>
          <w:trHeight w:val="34"/>
          <w:jc w:val="center"/>
        </w:trPr>
        <w:tc>
          <w:tcPr>
            <w:tcW w:w="455" w:type="dxa"/>
            <w:vAlign w:val="center"/>
          </w:tcPr>
          <w:p w14:paraId="216EE466" w14:textId="77777777" w:rsidR="0018086A" w:rsidRPr="004A2259" w:rsidRDefault="00575F9E" w:rsidP="00A049A0">
            <w:pPr>
              <w:pStyle w:val="naisnod"/>
              <w:spacing w:before="0" w:after="0"/>
              <w:rPr>
                <w:b w:val="0"/>
                <w:spacing w:val="-2"/>
              </w:rPr>
            </w:pPr>
            <w:r w:rsidRPr="004A2259">
              <w:rPr>
                <w:b w:val="0"/>
                <w:spacing w:val="-2"/>
              </w:rPr>
              <w:lastRenderedPageBreak/>
              <w:t>3</w:t>
            </w:r>
            <w:r w:rsidR="0018086A" w:rsidRPr="004A2259">
              <w:rPr>
                <w:b w:val="0"/>
                <w:spacing w:val="-2"/>
              </w:rPr>
              <w:t>.</w:t>
            </w:r>
          </w:p>
        </w:tc>
        <w:tc>
          <w:tcPr>
            <w:tcW w:w="1933" w:type="dxa"/>
            <w:vAlign w:val="center"/>
          </w:tcPr>
          <w:p w14:paraId="363CECB4" w14:textId="77777777" w:rsidR="0018086A" w:rsidRPr="004A2259" w:rsidRDefault="0018086A" w:rsidP="00A049A0">
            <w:pPr>
              <w:rPr>
                <w:b/>
                <w:spacing w:val="-2"/>
              </w:rPr>
            </w:pPr>
            <w:r w:rsidRPr="004A2259">
              <w:rPr>
                <w:spacing w:val="-2"/>
              </w:rPr>
              <w:t>Administratīvo izmaksu monetārs novērtējums</w:t>
            </w:r>
          </w:p>
        </w:tc>
        <w:tc>
          <w:tcPr>
            <w:tcW w:w="6958" w:type="dxa"/>
          </w:tcPr>
          <w:p w14:paraId="5CB55988" w14:textId="77777777" w:rsidR="0068038E" w:rsidRPr="004A2259" w:rsidRDefault="0068038E" w:rsidP="0068038E">
            <w:pPr>
              <w:tabs>
                <w:tab w:val="left" w:pos="9072"/>
              </w:tabs>
              <w:ind w:left="57" w:right="98"/>
            </w:pPr>
            <w:r>
              <w:t>Rīkojuma projekts</w:t>
            </w:r>
            <w:r w:rsidRPr="004A2259">
              <w:t xml:space="preserve"> šo jomu neskar.</w:t>
            </w:r>
          </w:p>
          <w:p w14:paraId="5A519273" w14:textId="65D3864F" w:rsidR="0018086A" w:rsidRPr="004A2259" w:rsidRDefault="0018086A" w:rsidP="0068038E">
            <w:pPr>
              <w:pStyle w:val="naisnod"/>
              <w:spacing w:before="0" w:after="0"/>
              <w:ind w:left="57" w:right="98"/>
              <w:jc w:val="left"/>
              <w:rPr>
                <w:b w:val="0"/>
                <w:spacing w:val="-2"/>
              </w:rPr>
            </w:pPr>
          </w:p>
        </w:tc>
      </w:tr>
      <w:tr w:rsidR="0018086A" w:rsidRPr="004A2259" w14:paraId="5E542B1A" w14:textId="77777777" w:rsidTr="0068038E">
        <w:trPr>
          <w:trHeight w:val="34"/>
          <w:jc w:val="center"/>
        </w:trPr>
        <w:tc>
          <w:tcPr>
            <w:tcW w:w="455" w:type="dxa"/>
            <w:vAlign w:val="center"/>
          </w:tcPr>
          <w:p w14:paraId="00755A80" w14:textId="77777777" w:rsidR="0018086A" w:rsidRPr="004A2259" w:rsidRDefault="00E30DBD" w:rsidP="00A049A0">
            <w:pPr>
              <w:pStyle w:val="naisnod"/>
              <w:spacing w:before="0" w:after="0"/>
              <w:rPr>
                <w:b w:val="0"/>
                <w:spacing w:val="-2"/>
              </w:rPr>
            </w:pPr>
            <w:r w:rsidRPr="004A2259">
              <w:rPr>
                <w:b w:val="0"/>
                <w:spacing w:val="-2"/>
              </w:rPr>
              <w:t>4</w:t>
            </w:r>
            <w:r w:rsidR="0018086A" w:rsidRPr="004A2259">
              <w:rPr>
                <w:b w:val="0"/>
                <w:spacing w:val="-2"/>
              </w:rPr>
              <w:t>.</w:t>
            </w:r>
          </w:p>
        </w:tc>
        <w:tc>
          <w:tcPr>
            <w:tcW w:w="1933" w:type="dxa"/>
            <w:vAlign w:val="center"/>
          </w:tcPr>
          <w:p w14:paraId="311D9879" w14:textId="77777777" w:rsidR="0018086A" w:rsidRPr="004A2259" w:rsidRDefault="009B1123" w:rsidP="00A049A0">
            <w:pPr>
              <w:pStyle w:val="naisc"/>
              <w:spacing w:before="0" w:after="0"/>
              <w:jc w:val="left"/>
              <w:rPr>
                <w:b/>
                <w:color w:val="000000"/>
                <w:spacing w:val="-2"/>
              </w:rPr>
            </w:pPr>
            <w:r w:rsidRPr="004A2259">
              <w:rPr>
                <w:color w:val="000000"/>
                <w:spacing w:val="-2"/>
              </w:rPr>
              <w:t>Atbilstības izmaksu monetārs novērtējums</w:t>
            </w:r>
          </w:p>
        </w:tc>
        <w:tc>
          <w:tcPr>
            <w:tcW w:w="6958" w:type="dxa"/>
          </w:tcPr>
          <w:p w14:paraId="576F27BC" w14:textId="63F4EEBB" w:rsidR="009B1123" w:rsidRPr="004A2259" w:rsidRDefault="0068038E" w:rsidP="0007779F">
            <w:pPr>
              <w:tabs>
                <w:tab w:val="left" w:pos="9072"/>
              </w:tabs>
              <w:ind w:left="57" w:right="98"/>
              <w:rPr>
                <w:b/>
                <w:spacing w:val="-2"/>
              </w:rPr>
            </w:pPr>
            <w:r>
              <w:t>Rīkojuma projekts</w:t>
            </w:r>
            <w:r w:rsidRPr="004A2259">
              <w:t xml:space="preserve"> šo jomu neskar.</w:t>
            </w:r>
          </w:p>
        </w:tc>
      </w:tr>
      <w:tr w:rsidR="009B1123" w:rsidRPr="004A2259" w14:paraId="2CC7F02C" w14:textId="77777777" w:rsidTr="0068038E">
        <w:trPr>
          <w:trHeight w:val="34"/>
          <w:jc w:val="center"/>
        </w:trPr>
        <w:tc>
          <w:tcPr>
            <w:tcW w:w="455" w:type="dxa"/>
            <w:vAlign w:val="center"/>
          </w:tcPr>
          <w:p w14:paraId="5E0677D5" w14:textId="77777777" w:rsidR="009B1123" w:rsidRPr="004A2259" w:rsidRDefault="009B1123" w:rsidP="00A049A0">
            <w:pPr>
              <w:pStyle w:val="naisnod"/>
              <w:spacing w:before="0" w:after="0"/>
              <w:rPr>
                <w:b w:val="0"/>
                <w:spacing w:val="-2"/>
              </w:rPr>
            </w:pPr>
            <w:r w:rsidRPr="004A2259">
              <w:rPr>
                <w:b w:val="0"/>
                <w:spacing w:val="-2"/>
              </w:rPr>
              <w:t>5.</w:t>
            </w:r>
          </w:p>
        </w:tc>
        <w:tc>
          <w:tcPr>
            <w:tcW w:w="1933" w:type="dxa"/>
            <w:vAlign w:val="center"/>
          </w:tcPr>
          <w:p w14:paraId="39301C18" w14:textId="77777777" w:rsidR="009B1123" w:rsidRPr="004A2259" w:rsidRDefault="009B1123" w:rsidP="00A049A0">
            <w:pPr>
              <w:pStyle w:val="naisc"/>
              <w:spacing w:before="0" w:after="0"/>
              <w:jc w:val="left"/>
              <w:rPr>
                <w:spacing w:val="-2"/>
              </w:rPr>
            </w:pPr>
            <w:r w:rsidRPr="004A2259">
              <w:rPr>
                <w:spacing w:val="-2"/>
              </w:rPr>
              <w:t>Cita informācija</w:t>
            </w:r>
          </w:p>
        </w:tc>
        <w:tc>
          <w:tcPr>
            <w:tcW w:w="6958" w:type="dxa"/>
          </w:tcPr>
          <w:p w14:paraId="05B285E9" w14:textId="77777777" w:rsidR="009B1123" w:rsidRPr="004A2259" w:rsidRDefault="009B1123" w:rsidP="0068038E">
            <w:pPr>
              <w:pStyle w:val="naisnod"/>
              <w:spacing w:before="0" w:after="0"/>
              <w:ind w:left="57" w:right="98"/>
              <w:jc w:val="left"/>
              <w:rPr>
                <w:b w:val="0"/>
                <w:spacing w:val="-2"/>
              </w:rPr>
            </w:pPr>
            <w:r w:rsidRPr="004A2259">
              <w:rPr>
                <w:b w:val="0"/>
                <w:spacing w:val="-2"/>
              </w:rPr>
              <w:t>Nav.</w:t>
            </w:r>
          </w:p>
        </w:tc>
      </w:tr>
    </w:tbl>
    <w:p w14:paraId="0D558820" w14:textId="77777777" w:rsidR="0018086A" w:rsidRDefault="0018086A" w:rsidP="00A049A0">
      <w:pPr>
        <w:pStyle w:val="naiskr"/>
        <w:tabs>
          <w:tab w:val="left" w:pos="2628"/>
        </w:tabs>
        <w:spacing w:before="0" w:after="0"/>
        <w:rPr>
          <w:spacing w:val="-2"/>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1115"/>
        <w:gridCol w:w="1383"/>
        <w:gridCol w:w="1093"/>
        <w:gridCol w:w="1202"/>
        <w:gridCol w:w="1093"/>
        <w:gridCol w:w="1187"/>
        <w:gridCol w:w="1150"/>
      </w:tblGrid>
      <w:tr w:rsidR="00E35014" w:rsidRPr="0033617F" w14:paraId="51B7C7C9" w14:textId="77777777" w:rsidTr="00594DD5">
        <w:trPr>
          <w:trHeight w:val="361"/>
          <w:jc w:val="center"/>
        </w:trPr>
        <w:tc>
          <w:tcPr>
            <w:tcW w:w="10343" w:type="dxa"/>
            <w:gridSpan w:val="8"/>
            <w:vAlign w:val="center"/>
          </w:tcPr>
          <w:p w14:paraId="7DEEEAEF" w14:textId="77777777" w:rsidR="00E35014" w:rsidRPr="0033617F" w:rsidRDefault="00E35014" w:rsidP="00594DD5">
            <w:pPr>
              <w:jc w:val="center"/>
            </w:pPr>
            <w:r w:rsidRPr="0033617F">
              <w:br w:type="page"/>
            </w:r>
            <w:r w:rsidRPr="0033617F">
              <w:br w:type="page"/>
            </w:r>
            <w:r w:rsidRPr="0033617F">
              <w:br w:type="page"/>
            </w:r>
            <w:r w:rsidRPr="0033617F">
              <w:rPr>
                <w:b/>
              </w:rPr>
              <w:t>III. Tiesību akta projekta ietekme uz valsts budžetu un pašvaldību budžetiem</w:t>
            </w:r>
          </w:p>
        </w:tc>
      </w:tr>
      <w:tr w:rsidR="00E35014" w:rsidRPr="0033617F" w14:paraId="7ABD8743" w14:textId="77777777" w:rsidTr="00594DD5">
        <w:trPr>
          <w:jc w:val="center"/>
        </w:trPr>
        <w:tc>
          <w:tcPr>
            <w:tcW w:w="2175" w:type="dxa"/>
            <w:vMerge w:val="restart"/>
            <w:vAlign w:val="center"/>
          </w:tcPr>
          <w:p w14:paraId="127858B1" w14:textId="77777777" w:rsidR="00E35014" w:rsidRPr="0033617F" w:rsidRDefault="00E35014" w:rsidP="00594DD5">
            <w:pPr>
              <w:jc w:val="center"/>
              <w:rPr>
                <w:b/>
              </w:rPr>
            </w:pPr>
            <w:r w:rsidRPr="0033617F">
              <w:rPr>
                <w:b/>
              </w:rPr>
              <w:t>Rādītāji</w:t>
            </w:r>
          </w:p>
        </w:tc>
        <w:tc>
          <w:tcPr>
            <w:tcW w:w="2537" w:type="dxa"/>
            <w:gridSpan w:val="2"/>
            <w:vMerge w:val="restart"/>
            <w:vAlign w:val="center"/>
          </w:tcPr>
          <w:p w14:paraId="2DEF3CA4" w14:textId="7C7EDCF7" w:rsidR="00E35014" w:rsidRPr="0033617F" w:rsidRDefault="00E35014" w:rsidP="00E35014">
            <w:pPr>
              <w:jc w:val="center"/>
              <w:rPr>
                <w:b/>
              </w:rPr>
            </w:pPr>
            <w:r>
              <w:rPr>
                <w:b/>
              </w:rPr>
              <w:t>2021</w:t>
            </w:r>
          </w:p>
        </w:tc>
        <w:tc>
          <w:tcPr>
            <w:tcW w:w="5631" w:type="dxa"/>
            <w:gridSpan w:val="5"/>
            <w:vAlign w:val="center"/>
          </w:tcPr>
          <w:p w14:paraId="4DF63E36" w14:textId="77777777" w:rsidR="00E35014" w:rsidRPr="0033617F" w:rsidRDefault="00E35014" w:rsidP="00594DD5">
            <w:pPr>
              <w:jc w:val="center"/>
            </w:pPr>
            <w:r w:rsidRPr="0033617F">
              <w:t>Turpmākie trīs gadi (</w:t>
            </w:r>
            <w:r w:rsidRPr="0033617F">
              <w:rPr>
                <w:i/>
              </w:rPr>
              <w:t>euro</w:t>
            </w:r>
            <w:r w:rsidRPr="0033617F">
              <w:t>)</w:t>
            </w:r>
          </w:p>
        </w:tc>
      </w:tr>
      <w:tr w:rsidR="00E35014" w:rsidRPr="0033617F" w14:paraId="5DE6FAA1" w14:textId="77777777" w:rsidTr="00594DD5">
        <w:trPr>
          <w:jc w:val="center"/>
        </w:trPr>
        <w:tc>
          <w:tcPr>
            <w:tcW w:w="2175" w:type="dxa"/>
            <w:vMerge/>
            <w:vAlign w:val="center"/>
          </w:tcPr>
          <w:p w14:paraId="53FB19E3" w14:textId="77777777" w:rsidR="00E35014" w:rsidRPr="0033617F" w:rsidRDefault="00E35014" w:rsidP="00594DD5">
            <w:pPr>
              <w:jc w:val="center"/>
              <w:rPr>
                <w:b/>
                <w:i/>
              </w:rPr>
            </w:pPr>
          </w:p>
        </w:tc>
        <w:tc>
          <w:tcPr>
            <w:tcW w:w="2537" w:type="dxa"/>
            <w:gridSpan w:val="2"/>
            <w:vMerge/>
            <w:vAlign w:val="center"/>
          </w:tcPr>
          <w:p w14:paraId="631CFFBD" w14:textId="77777777" w:rsidR="00E35014" w:rsidRPr="0033617F" w:rsidRDefault="00E35014" w:rsidP="00594DD5">
            <w:pPr>
              <w:jc w:val="center"/>
              <w:rPr>
                <w:b/>
                <w:i/>
              </w:rPr>
            </w:pPr>
          </w:p>
        </w:tc>
        <w:tc>
          <w:tcPr>
            <w:tcW w:w="2320" w:type="dxa"/>
            <w:gridSpan w:val="2"/>
            <w:vAlign w:val="center"/>
          </w:tcPr>
          <w:p w14:paraId="6A8BF38A" w14:textId="75B05BA3" w:rsidR="00E35014" w:rsidRPr="0033617F" w:rsidRDefault="00E35014" w:rsidP="00E35014">
            <w:pPr>
              <w:jc w:val="center"/>
              <w:rPr>
                <w:b/>
                <w:i/>
              </w:rPr>
            </w:pPr>
            <w:r>
              <w:rPr>
                <w:b/>
                <w:bCs/>
              </w:rPr>
              <w:t>2022</w:t>
            </w:r>
          </w:p>
        </w:tc>
        <w:tc>
          <w:tcPr>
            <w:tcW w:w="2303" w:type="dxa"/>
            <w:gridSpan w:val="2"/>
            <w:vAlign w:val="center"/>
          </w:tcPr>
          <w:p w14:paraId="160AD4F8" w14:textId="04BDCFBB" w:rsidR="00E35014" w:rsidRDefault="00E35014" w:rsidP="00E35014">
            <w:pPr>
              <w:jc w:val="center"/>
              <w:rPr>
                <w:b/>
                <w:bCs/>
              </w:rPr>
            </w:pPr>
            <w:r>
              <w:rPr>
                <w:b/>
                <w:bCs/>
              </w:rPr>
              <w:t>2023</w:t>
            </w:r>
          </w:p>
        </w:tc>
        <w:tc>
          <w:tcPr>
            <w:tcW w:w="1008" w:type="dxa"/>
            <w:vAlign w:val="center"/>
          </w:tcPr>
          <w:p w14:paraId="3898EDC9" w14:textId="4E02034B" w:rsidR="00E35014" w:rsidRDefault="00E35014" w:rsidP="00E35014">
            <w:pPr>
              <w:jc w:val="center"/>
              <w:rPr>
                <w:b/>
                <w:bCs/>
              </w:rPr>
            </w:pPr>
            <w:r>
              <w:rPr>
                <w:b/>
                <w:bCs/>
              </w:rPr>
              <w:t>2024</w:t>
            </w:r>
          </w:p>
        </w:tc>
      </w:tr>
      <w:tr w:rsidR="00E35014" w:rsidRPr="0033617F" w14:paraId="21E3C14B" w14:textId="77777777" w:rsidTr="00594DD5">
        <w:trPr>
          <w:jc w:val="center"/>
        </w:trPr>
        <w:tc>
          <w:tcPr>
            <w:tcW w:w="2175" w:type="dxa"/>
            <w:vMerge/>
            <w:vAlign w:val="center"/>
          </w:tcPr>
          <w:p w14:paraId="0129DEB0" w14:textId="77777777" w:rsidR="00E35014" w:rsidRPr="0033617F" w:rsidRDefault="00E35014" w:rsidP="00594DD5">
            <w:pPr>
              <w:jc w:val="center"/>
              <w:rPr>
                <w:b/>
                <w:i/>
              </w:rPr>
            </w:pPr>
          </w:p>
        </w:tc>
        <w:tc>
          <w:tcPr>
            <w:tcW w:w="1123" w:type="dxa"/>
            <w:vAlign w:val="center"/>
          </w:tcPr>
          <w:p w14:paraId="3E50C481" w14:textId="77777777" w:rsidR="00E35014" w:rsidRPr="0033617F" w:rsidRDefault="00E35014" w:rsidP="00594DD5">
            <w:pPr>
              <w:jc w:val="center"/>
              <w:rPr>
                <w:b/>
                <w:i/>
              </w:rPr>
            </w:pPr>
            <w:r w:rsidRPr="003350F2">
              <w:t>saskaņā ar valsts budžetu kārtējam gadam</w:t>
            </w:r>
          </w:p>
        </w:tc>
        <w:tc>
          <w:tcPr>
            <w:tcW w:w="1414" w:type="dxa"/>
            <w:vAlign w:val="center"/>
          </w:tcPr>
          <w:p w14:paraId="3B8F560B" w14:textId="77777777" w:rsidR="00E35014" w:rsidRPr="0033617F" w:rsidRDefault="00E35014" w:rsidP="00594DD5">
            <w:pPr>
              <w:jc w:val="center"/>
              <w:rPr>
                <w:b/>
                <w:i/>
              </w:rPr>
            </w:pPr>
            <w:r w:rsidRPr="003350F2">
              <w:t>izmaiņas kārtējā gadā, salīdzinot ar budžetu kārtējam gadam</w:t>
            </w:r>
          </w:p>
        </w:tc>
        <w:tc>
          <w:tcPr>
            <w:tcW w:w="1111" w:type="dxa"/>
            <w:vAlign w:val="center"/>
          </w:tcPr>
          <w:p w14:paraId="04E4A663" w14:textId="77777777" w:rsidR="00E35014" w:rsidRPr="00183338" w:rsidRDefault="00E35014" w:rsidP="00594DD5">
            <w:pPr>
              <w:jc w:val="center"/>
            </w:pPr>
            <w:r w:rsidRPr="003350F2">
              <w:t>saskaņā ar vidēja termiņa budžeta ietvaru</w:t>
            </w:r>
          </w:p>
        </w:tc>
        <w:tc>
          <w:tcPr>
            <w:tcW w:w="1209" w:type="dxa"/>
            <w:vAlign w:val="center"/>
          </w:tcPr>
          <w:p w14:paraId="52CFD4E4" w14:textId="0B0297F0" w:rsidR="00E35014" w:rsidRPr="003350F2" w:rsidRDefault="00E35014" w:rsidP="00594DD5">
            <w:pPr>
              <w:jc w:val="center"/>
            </w:pPr>
            <w:r w:rsidRPr="003350F2">
              <w:t>izmaiņas, salīdzinot ar vidēja termiņa budžeta ietvaru 202</w:t>
            </w:r>
            <w:r w:rsidR="00751D32">
              <w:t>2</w:t>
            </w:r>
            <w:r w:rsidRPr="003350F2">
              <w:t>.</w:t>
            </w:r>
          </w:p>
          <w:p w14:paraId="0A272020" w14:textId="77777777" w:rsidR="00E35014" w:rsidRPr="00183338" w:rsidRDefault="00E35014" w:rsidP="00594DD5">
            <w:pPr>
              <w:jc w:val="center"/>
            </w:pPr>
            <w:r w:rsidRPr="003350F2">
              <w:t>gadam</w:t>
            </w:r>
          </w:p>
        </w:tc>
        <w:tc>
          <w:tcPr>
            <w:tcW w:w="1111" w:type="dxa"/>
            <w:vAlign w:val="center"/>
          </w:tcPr>
          <w:p w14:paraId="1A081151" w14:textId="77777777" w:rsidR="00E35014" w:rsidRPr="00183338" w:rsidRDefault="00E35014" w:rsidP="00594DD5">
            <w:pPr>
              <w:jc w:val="center"/>
            </w:pPr>
            <w:r w:rsidRPr="003350F2">
              <w:t>saskaņā ar vidēja termiņa budžeta ietvaru</w:t>
            </w:r>
          </w:p>
        </w:tc>
        <w:tc>
          <w:tcPr>
            <w:tcW w:w="1192" w:type="dxa"/>
            <w:vAlign w:val="center"/>
          </w:tcPr>
          <w:p w14:paraId="428D11EA" w14:textId="6EC14357" w:rsidR="00E35014" w:rsidRPr="003350F2" w:rsidRDefault="00E35014" w:rsidP="00594DD5">
            <w:pPr>
              <w:jc w:val="center"/>
            </w:pPr>
            <w:r w:rsidRPr="003350F2">
              <w:t xml:space="preserve">izmaiņas, salīdzinot ar vidēja termiņa budžeta ietvaru </w:t>
            </w:r>
            <w:r>
              <w:t>202</w:t>
            </w:r>
            <w:r w:rsidR="00751D32">
              <w:t>3</w:t>
            </w:r>
            <w:r w:rsidRPr="003350F2">
              <w:t>.</w:t>
            </w:r>
          </w:p>
          <w:p w14:paraId="38F50E68" w14:textId="77777777" w:rsidR="00E35014" w:rsidRPr="00183338" w:rsidRDefault="00E35014" w:rsidP="00594DD5">
            <w:pPr>
              <w:jc w:val="center"/>
            </w:pPr>
            <w:r w:rsidRPr="003350F2">
              <w:t>gadam</w:t>
            </w:r>
          </w:p>
        </w:tc>
        <w:tc>
          <w:tcPr>
            <w:tcW w:w="1008" w:type="dxa"/>
            <w:vAlign w:val="center"/>
          </w:tcPr>
          <w:p w14:paraId="2C3681CD" w14:textId="5D00A947" w:rsidR="00E35014" w:rsidRPr="003350F2" w:rsidRDefault="00E35014" w:rsidP="00594DD5">
            <w:pPr>
              <w:jc w:val="center"/>
            </w:pPr>
            <w:r w:rsidRPr="003350F2">
              <w:t xml:space="preserve">izmaiņas, salīdzinot ar vidēja termiņa budžeta ietvaru </w:t>
            </w:r>
            <w:r>
              <w:t>202</w:t>
            </w:r>
            <w:r w:rsidR="00751D32">
              <w:t>3</w:t>
            </w:r>
            <w:r w:rsidRPr="003350F2">
              <w:t>.</w:t>
            </w:r>
          </w:p>
          <w:p w14:paraId="421E5D08" w14:textId="77777777" w:rsidR="00E35014" w:rsidRPr="00183338" w:rsidRDefault="00E35014" w:rsidP="00594DD5">
            <w:pPr>
              <w:jc w:val="center"/>
            </w:pPr>
            <w:r w:rsidRPr="003350F2">
              <w:t>gadam</w:t>
            </w:r>
          </w:p>
        </w:tc>
      </w:tr>
      <w:tr w:rsidR="00E35014" w:rsidRPr="0033617F" w14:paraId="49570D26" w14:textId="77777777" w:rsidTr="00594DD5">
        <w:trPr>
          <w:jc w:val="center"/>
        </w:trPr>
        <w:tc>
          <w:tcPr>
            <w:tcW w:w="2175" w:type="dxa"/>
            <w:vAlign w:val="center"/>
          </w:tcPr>
          <w:p w14:paraId="397B155E" w14:textId="77777777" w:rsidR="00E35014" w:rsidRPr="0033617F" w:rsidRDefault="00E35014" w:rsidP="00594DD5">
            <w:pPr>
              <w:jc w:val="center"/>
              <w:rPr>
                <w:bCs/>
              </w:rPr>
            </w:pPr>
            <w:r w:rsidRPr="0033617F">
              <w:rPr>
                <w:bCs/>
              </w:rPr>
              <w:t>1</w:t>
            </w:r>
          </w:p>
        </w:tc>
        <w:tc>
          <w:tcPr>
            <w:tcW w:w="1123" w:type="dxa"/>
            <w:vAlign w:val="center"/>
          </w:tcPr>
          <w:p w14:paraId="41EF76B0" w14:textId="77777777" w:rsidR="00E35014" w:rsidRPr="0033617F" w:rsidRDefault="00E35014" w:rsidP="00594DD5">
            <w:pPr>
              <w:jc w:val="center"/>
              <w:rPr>
                <w:bCs/>
              </w:rPr>
            </w:pPr>
            <w:r w:rsidRPr="0033617F">
              <w:rPr>
                <w:bCs/>
              </w:rPr>
              <w:t>2</w:t>
            </w:r>
          </w:p>
        </w:tc>
        <w:tc>
          <w:tcPr>
            <w:tcW w:w="1414" w:type="dxa"/>
            <w:vAlign w:val="center"/>
          </w:tcPr>
          <w:p w14:paraId="1AA918FA" w14:textId="77777777" w:rsidR="00E35014" w:rsidRPr="0033617F" w:rsidRDefault="00E35014" w:rsidP="00594DD5">
            <w:pPr>
              <w:jc w:val="center"/>
              <w:rPr>
                <w:bCs/>
              </w:rPr>
            </w:pPr>
            <w:r w:rsidRPr="0033617F">
              <w:rPr>
                <w:bCs/>
              </w:rPr>
              <w:t>3</w:t>
            </w:r>
          </w:p>
        </w:tc>
        <w:tc>
          <w:tcPr>
            <w:tcW w:w="1111" w:type="dxa"/>
            <w:vAlign w:val="center"/>
          </w:tcPr>
          <w:p w14:paraId="642FFCE5" w14:textId="77777777" w:rsidR="00E35014" w:rsidRPr="0033617F" w:rsidRDefault="00E35014" w:rsidP="00594DD5">
            <w:pPr>
              <w:jc w:val="center"/>
              <w:rPr>
                <w:bCs/>
              </w:rPr>
            </w:pPr>
            <w:r w:rsidRPr="0033617F">
              <w:rPr>
                <w:bCs/>
              </w:rPr>
              <w:t>4</w:t>
            </w:r>
          </w:p>
        </w:tc>
        <w:tc>
          <w:tcPr>
            <w:tcW w:w="1209" w:type="dxa"/>
            <w:vAlign w:val="center"/>
          </w:tcPr>
          <w:p w14:paraId="2005C15F" w14:textId="77777777" w:rsidR="00E35014" w:rsidRPr="0033617F" w:rsidRDefault="00E35014" w:rsidP="00594DD5">
            <w:pPr>
              <w:jc w:val="center"/>
              <w:rPr>
                <w:bCs/>
              </w:rPr>
            </w:pPr>
            <w:r w:rsidRPr="0033617F">
              <w:rPr>
                <w:bCs/>
              </w:rPr>
              <w:t>5</w:t>
            </w:r>
          </w:p>
        </w:tc>
        <w:tc>
          <w:tcPr>
            <w:tcW w:w="1111" w:type="dxa"/>
            <w:vAlign w:val="center"/>
          </w:tcPr>
          <w:p w14:paraId="17D82DBC" w14:textId="77777777" w:rsidR="00E35014" w:rsidRPr="0033617F" w:rsidRDefault="00E35014" w:rsidP="00594DD5">
            <w:pPr>
              <w:jc w:val="center"/>
              <w:rPr>
                <w:bCs/>
              </w:rPr>
            </w:pPr>
            <w:r w:rsidRPr="0033617F">
              <w:rPr>
                <w:bCs/>
              </w:rPr>
              <w:t>6</w:t>
            </w:r>
          </w:p>
        </w:tc>
        <w:tc>
          <w:tcPr>
            <w:tcW w:w="1192" w:type="dxa"/>
          </w:tcPr>
          <w:p w14:paraId="5B5F3F11" w14:textId="77777777" w:rsidR="00E35014" w:rsidRPr="0033617F" w:rsidRDefault="00E35014" w:rsidP="00594DD5">
            <w:pPr>
              <w:jc w:val="center"/>
              <w:rPr>
                <w:bCs/>
              </w:rPr>
            </w:pPr>
            <w:r>
              <w:rPr>
                <w:bCs/>
              </w:rPr>
              <w:t>7</w:t>
            </w:r>
          </w:p>
        </w:tc>
        <w:tc>
          <w:tcPr>
            <w:tcW w:w="1008" w:type="dxa"/>
          </w:tcPr>
          <w:p w14:paraId="70034ABC" w14:textId="77777777" w:rsidR="00E35014" w:rsidRPr="0033617F" w:rsidRDefault="00E35014" w:rsidP="00594DD5">
            <w:pPr>
              <w:jc w:val="center"/>
              <w:rPr>
                <w:bCs/>
              </w:rPr>
            </w:pPr>
            <w:r>
              <w:rPr>
                <w:bCs/>
              </w:rPr>
              <w:t>8</w:t>
            </w:r>
          </w:p>
        </w:tc>
      </w:tr>
      <w:tr w:rsidR="00E35014" w:rsidRPr="0033617F" w14:paraId="2A7370F0" w14:textId="77777777" w:rsidTr="00594DD5">
        <w:trPr>
          <w:jc w:val="center"/>
        </w:trPr>
        <w:tc>
          <w:tcPr>
            <w:tcW w:w="2175" w:type="dxa"/>
          </w:tcPr>
          <w:p w14:paraId="2BA05894" w14:textId="77777777" w:rsidR="00E35014" w:rsidRPr="0033617F" w:rsidRDefault="00E35014" w:rsidP="00594DD5">
            <w:pPr>
              <w:rPr>
                <w:i/>
              </w:rPr>
            </w:pPr>
            <w:r w:rsidRPr="0033617F">
              <w:t>1. Budžeta ieņēmumi:</w:t>
            </w:r>
          </w:p>
        </w:tc>
        <w:tc>
          <w:tcPr>
            <w:tcW w:w="1123" w:type="dxa"/>
          </w:tcPr>
          <w:p w14:paraId="4172DD36" w14:textId="77777777" w:rsidR="00E35014" w:rsidRPr="0033617F" w:rsidRDefault="00E35014" w:rsidP="00594DD5">
            <w:pPr>
              <w:jc w:val="center"/>
              <w:rPr>
                <w:b/>
              </w:rPr>
            </w:pPr>
            <w:r w:rsidRPr="0033617F">
              <w:rPr>
                <w:b/>
              </w:rPr>
              <w:t>0</w:t>
            </w:r>
          </w:p>
        </w:tc>
        <w:tc>
          <w:tcPr>
            <w:tcW w:w="1414" w:type="dxa"/>
          </w:tcPr>
          <w:p w14:paraId="6E9D4A57" w14:textId="77777777" w:rsidR="00E35014" w:rsidRPr="0033617F" w:rsidRDefault="00E35014" w:rsidP="00594DD5">
            <w:pPr>
              <w:jc w:val="center"/>
              <w:rPr>
                <w:b/>
              </w:rPr>
            </w:pPr>
            <w:r w:rsidRPr="0033617F">
              <w:rPr>
                <w:b/>
              </w:rPr>
              <w:t>0</w:t>
            </w:r>
          </w:p>
        </w:tc>
        <w:tc>
          <w:tcPr>
            <w:tcW w:w="1111" w:type="dxa"/>
          </w:tcPr>
          <w:p w14:paraId="2339D0C3" w14:textId="77777777" w:rsidR="00E35014" w:rsidRPr="0033617F" w:rsidRDefault="00E35014" w:rsidP="00594DD5">
            <w:pPr>
              <w:jc w:val="center"/>
              <w:rPr>
                <w:b/>
              </w:rPr>
            </w:pPr>
            <w:r w:rsidRPr="0033617F">
              <w:rPr>
                <w:b/>
              </w:rPr>
              <w:t>0</w:t>
            </w:r>
          </w:p>
        </w:tc>
        <w:tc>
          <w:tcPr>
            <w:tcW w:w="1209" w:type="dxa"/>
          </w:tcPr>
          <w:p w14:paraId="7C0A84B4" w14:textId="77777777" w:rsidR="00E35014" w:rsidRPr="0033617F" w:rsidRDefault="00E35014" w:rsidP="00594DD5">
            <w:pPr>
              <w:jc w:val="center"/>
              <w:rPr>
                <w:b/>
              </w:rPr>
            </w:pPr>
            <w:r w:rsidRPr="0033617F">
              <w:rPr>
                <w:b/>
              </w:rPr>
              <w:t>0</w:t>
            </w:r>
          </w:p>
        </w:tc>
        <w:tc>
          <w:tcPr>
            <w:tcW w:w="1111" w:type="dxa"/>
          </w:tcPr>
          <w:p w14:paraId="3A91F29D" w14:textId="77777777" w:rsidR="00E35014" w:rsidRPr="0033617F" w:rsidRDefault="00E35014" w:rsidP="00594DD5">
            <w:pPr>
              <w:jc w:val="center"/>
              <w:rPr>
                <w:b/>
              </w:rPr>
            </w:pPr>
            <w:r w:rsidRPr="0033617F">
              <w:rPr>
                <w:b/>
              </w:rPr>
              <w:t>0</w:t>
            </w:r>
          </w:p>
        </w:tc>
        <w:tc>
          <w:tcPr>
            <w:tcW w:w="1192" w:type="dxa"/>
          </w:tcPr>
          <w:p w14:paraId="0C154961" w14:textId="77777777" w:rsidR="00E35014" w:rsidRPr="0033617F" w:rsidRDefault="00E35014" w:rsidP="00594DD5">
            <w:pPr>
              <w:jc w:val="center"/>
              <w:rPr>
                <w:b/>
              </w:rPr>
            </w:pPr>
            <w:r>
              <w:rPr>
                <w:b/>
              </w:rPr>
              <w:t>0</w:t>
            </w:r>
          </w:p>
        </w:tc>
        <w:tc>
          <w:tcPr>
            <w:tcW w:w="1008" w:type="dxa"/>
          </w:tcPr>
          <w:p w14:paraId="27ACC7A3" w14:textId="77777777" w:rsidR="00E35014" w:rsidRPr="0033617F" w:rsidRDefault="00E35014" w:rsidP="00594DD5">
            <w:pPr>
              <w:jc w:val="center"/>
              <w:rPr>
                <w:b/>
              </w:rPr>
            </w:pPr>
            <w:r>
              <w:rPr>
                <w:b/>
              </w:rPr>
              <w:t>0</w:t>
            </w:r>
          </w:p>
        </w:tc>
      </w:tr>
      <w:tr w:rsidR="00E35014" w:rsidRPr="0033617F" w14:paraId="0CDFEB62" w14:textId="77777777" w:rsidTr="00594DD5">
        <w:trPr>
          <w:jc w:val="center"/>
        </w:trPr>
        <w:tc>
          <w:tcPr>
            <w:tcW w:w="2175" w:type="dxa"/>
          </w:tcPr>
          <w:p w14:paraId="29C06DEC" w14:textId="77777777" w:rsidR="00E35014" w:rsidRPr="0033617F" w:rsidRDefault="00E35014" w:rsidP="00594DD5">
            <w:pPr>
              <w:rPr>
                <w:i/>
              </w:rPr>
            </w:pPr>
            <w:r w:rsidRPr="0033617F">
              <w:t>1.1. valsts pamatbudžets, tai skaitā ieņēmumi no maksas pakalpojumiem un citi pašu ieņēmumi</w:t>
            </w:r>
          </w:p>
        </w:tc>
        <w:tc>
          <w:tcPr>
            <w:tcW w:w="1123" w:type="dxa"/>
          </w:tcPr>
          <w:p w14:paraId="5645BC31" w14:textId="77777777" w:rsidR="00E35014" w:rsidRPr="0033617F" w:rsidRDefault="00E35014" w:rsidP="00594DD5">
            <w:pPr>
              <w:jc w:val="center"/>
              <w:rPr>
                <w:i/>
              </w:rPr>
            </w:pPr>
          </w:p>
        </w:tc>
        <w:tc>
          <w:tcPr>
            <w:tcW w:w="1414" w:type="dxa"/>
          </w:tcPr>
          <w:p w14:paraId="4C518C40" w14:textId="77777777" w:rsidR="00E35014" w:rsidRPr="0033617F" w:rsidRDefault="00E35014" w:rsidP="00594DD5">
            <w:pPr>
              <w:jc w:val="center"/>
              <w:rPr>
                <w:i/>
              </w:rPr>
            </w:pPr>
          </w:p>
        </w:tc>
        <w:tc>
          <w:tcPr>
            <w:tcW w:w="1111" w:type="dxa"/>
          </w:tcPr>
          <w:p w14:paraId="6F7E5507" w14:textId="77777777" w:rsidR="00E35014" w:rsidRPr="0033617F" w:rsidRDefault="00E35014" w:rsidP="00594DD5">
            <w:pPr>
              <w:jc w:val="center"/>
              <w:rPr>
                <w:i/>
              </w:rPr>
            </w:pPr>
          </w:p>
        </w:tc>
        <w:tc>
          <w:tcPr>
            <w:tcW w:w="1209" w:type="dxa"/>
          </w:tcPr>
          <w:p w14:paraId="5C90EF51" w14:textId="77777777" w:rsidR="00E35014" w:rsidRPr="0033617F" w:rsidRDefault="00E35014" w:rsidP="00594DD5">
            <w:pPr>
              <w:jc w:val="center"/>
              <w:rPr>
                <w:i/>
              </w:rPr>
            </w:pPr>
          </w:p>
        </w:tc>
        <w:tc>
          <w:tcPr>
            <w:tcW w:w="1111" w:type="dxa"/>
          </w:tcPr>
          <w:p w14:paraId="3F39E758" w14:textId="77777777" w:rsidR="00E35014" w:rsidRPr="0033617F" w:rsidRDefault="00E35014" w:rsidP="00594DD5">
            <w:pPr>
              <w:jc w:val="center"/>
              <w:rPr>
                <w:i/>
              </w:rPr>
            </w:pPr>
          </w:p>
        </w:tc>
        <w:tc>
          <w:tcPr>
            <w:tcW w:w="1192" w:type="dxa"/>
          </w:tcPr>
          <w:p w14:paraId="2B6CEA8B" w14:textId="77777777" w:rsidR="00E35014" w:rsidRPr="0033617F" w:rsidRDefault="00E35014" w:rsidP="00594DD5">
            <w:pPr>
              <w:jc w:val="center"/>
              <w:rPr>
                <w:i/>
              </w:rPr>
            </w:pPr>
          </w:p>
        </w:tc>
        <w:tc>
          <w:tcPr>
            <w:tcW w:w="1008" w:type="dxa"/>
          </w:tcPr>
          <w:p w14:paraId="0C6EAC98" w14:textId="77777777" w:rsidR="00E35014" w:rsidRPr="0033617F" w:rsidRDefault="00E35014" w:rsidP="00594DD5">
            <w:pPr>
              <w:jc w:val="center"/>
              <w:rPr>
                <w:i/>
              </w:rPr>
            </w:pPr>
          </w:p>
        </w:tc>
      </w:tr>
      <w:tr w:rsidR="00E35014" w:rsidRPr="0033617F" w14:paraId="6900B195" w14:textId="77777777" w:rsidTr="00594DD5">
        <w:trPr>
          <w:jc w:val="center"/>
        </w:trPr>
        <w:tc>
          <w:tcPr>
            <w:tcW w:w="2175" w:type="dxa"/>
          </w:tcPr>
          <w:p w14:paraId="0555CFDE" w14:textId="77777777" w:rsidR="00E35014" w:rsidRPr="0033617F" w:rsidRDefault="00E35014" w:rsidP="00594DD5">
            <w:pPr>
              <w:rPr>
                <w:i/>
              </w:rPr>
            </w:pPr>
            <w:r w:rsidRPr="0033617F">
              <w:t>1.2. valsts speciālais budžets</w:t>
            </w:r>
          </w:p>
        </w:tc>
        <w:tc>
          <w:tcPr>
            <w:tcW w:w="1123" w:type="dxa"/>
          </w:tcPr>
          <w:p w14:paraId="48143324" w14:textId="77777777" w:rsidR="00E35014" w:rsidRPr="0033617F" w:rsidRDefault="00E35014" w:rsidP="00594DD5">
            <w:pPr>
              <w:jc w:val="center"/>
            </w:pPr>
          </w:p>
        </w:tc>
        <w:tc>
          <w:tcPr>
            <w:tcW w:w="1414" w:type="dxa"/>
          </w:tcPr>
          <w:p w14:paraId="49FACE75" w14:textId="77777777" w:rsidR="00E35014" w:rsidRPr="0033617F" w:rsidRDefault="00E35014" w:rsidP="00594DD5">
            <w:pPr>
              <w:jc w:val="center"/>
            </w:pPr>
          </w:p>
        </w:tc>
        <w:tc>
          <w:tcPr>
            <w:tcW w:w="1111" w:type="dxa"/>
          </w:tcPr>
          <w:p w14:paraId="35CF4B4D" w14:textId="77777777" w:rsidR="00E35014" w:rsidRPr="0033617F" w:rsidRDefault="00E35014" w:rsidP="00594DD5">
            <w:pPr>
              <w:jc w:val="center"/>
            </w:pPr>
          </w:p>
        </w:tc>
        <w:tc>
          <w:tcPr>
            <w:tcW w:w="1209" w:type="dxa"/>
          </w:tcPr>
          <w:p w14:paraId="6C8898EB" w14:textId="77777777" w:rsidR="00E35014" w:rsidRPr="0033617F" w:rsidRDefault="00E35014" w:rsidP="00594DD5">
            <w:pPr>
              <w:jc w:val="center"/>
            </w:pPr>
          </w:p>
        </w:tc>
        <w:tc>
          <w:tcPr>
            <w:tcW w:w="1111" w:type="dxa"/>
          </w:tcPr>
          <w:p w14:paraId="4F5F684E" w14:textId="77777777" w:rsidR="00E35014" w:rsidRPr="0033617F" w:rsidRDefault="00E35014" w:rsidP="00594DD5">
            <w:pPr>
              <w:jc w:val="center"/>
            </w:pPr>
          </w:p>
        </w:tc>
        <w:tc>
          <w:tcPr>
            <w:tcW w:w="1192" w:type="dxa"/>
          </w:tcPr>
          <w:p w14:paraId="1A3158C5" w14:textId="77777777" w:rsidR="00E35014" w:rsidRPr="0033617F" w:rsidRDefault="00E35014" w:rsidP="00594DD5">
            <w:pPr>
              <w:jc w:val="center"/>
            </w:pPr>
          </w:p>
        </w:tc>
        <w:tc>
          <w:tcPr>
            <w:tcW w:w="1008" w:type="dxa"/>
          </w:tcPr>
          <w:p w14:paraId="72274EA3" w14:textId="77777777" w:rsidR="00E35014" w:rsidRPr="0033617F" w:rsidRDefault="00E35014" w:rsidP="00594DD5">
            <w:pPr>
              <w:jc w:val="center"/>
            </w:pPr>
          </w:p>
        </w:tc>
      </w:tr>
      <w:tr w:rsidR="00E35014" w:rsidRPr="0033617F" w14:paraId="7FA4C34E" w14:textId="77777777" w:rsidTr="00594DD5">
        <w:trPr>
          <w:jc w:val="center"/>
        </w:trPr>
        <w:tc>
          <w:tcPr>
            <w:tcW w:w="2175" w:type="dxa"/>
          </w:tcPr>
          <w:p w14:paraId="5AA99065" w14:textId="77777777" w:rsidR="00E35014" w:rsidRPr="0033617F" w:rsidRDefault="00E35014" w:rsidP="00594DD5">
            <w:pPr>
              <w:rPr>
                <w:i/>
              </w:rPr>
            </w:pPr>
            <w:r w:rsidRPr="0033617F">
              <w:t>1.3. pašvaldību budžets</w:t>
            </w:r>
          </w:p>
        </w:tc>
        <w:tc>
          <w:tcPr>
            <w:tcW w:w="1123" w:type="dxa"/>
          </w:tcPr>
          <w:p w14:paraId="361568C8" w14:textId="77777777" w:rsidR="00E35014" w:rsidRPr="0033617F" w:rsidRDefault="00E35014" w:rsidP="00594DD5">
            <w:pPr>
              <w:jc w:val="center"/>
            </w:pPr>
          </w:p>
        </w:tc>
        <w:tc>
          <w:tcPr>
            <w:tcW w:w="1414" w:type="dxa"/>
          </w:tcPr>
          <w:p w14:paraId="6E617E52" w14:textId="77777777" w:rsidR="00E35014" w:rsidRPr="0033617F" w:rsidRDefault="00E35014" w:rsidP="00594DD5">
            <w:pPr>
              <w:jc w:val="center"/>
            </w:pPr>
          </w:p>
        </w:tc>
        <w:tc>
          <w:tcPr>
            <w:tcW w:w="1111" w:type="dxa"/>
          </w:tcPr>
          <w:p w14:paraId="2D37FC70" w14:textId="77777777" w:rsidR="00E35014" w:rsidRPr="0033617F" w:rsidRDefault="00E35014" w:rsidP="00594DD5">
            <w:pPr>
              <w:jc w:val="center"/>
            </w:pPr>
          </w:p>
        </w:tc>
        <w:tc>
          <w:tcPr>
            <w:tcW w:w="1209" w:type="dxa"/>
          </w:tcPr>
          <w:p w14:paraId="57DC16D9" w14:textId="77777777" w:rsidR="00E35014" w:rsidRPr="0033617F" w:rsidRDefault="00E35014" w:rsidP="00594DD5">
            <w:pPr>
              <w:jc w:val="center"/>
            </w:pPr>
          </w:p>
        </w:tc>
        <w:tc>
          <w:tcPr>
            <w:tcW w:w="1111" w:type="dxa"/>
          </w:tcPr>
          <w:p w14:paraId="31656B95" w14:textId="77777777" w:rsidR="00E35014" w:rsidRPr="0033617F" w:rsidRDefault="00E35014" w:rsidP="00594DD5">
            <w:pPr>
              <w:jc w:val="center"/>
            </w:pPr>
          </w:p>
        </w:tc>
        <w:tc>
          <w:tcPr>
            <w:tcW w:w="1192" w:type="dxa"/>
          </w:tcPr>
          <w:p w14:paraId="1ADD0A6C" w14:textId="77777777" w:rsidR="00E35014" w:rsidRPr="0033617F" w:rsidRDefault="00E35014" w:rsidP="00594DD5">
            <w:pPr>
              <w:jc w:val="center"/>
            </w:pPr>
          </w:p>
        </w:tc>
        <w:tc>
          <w:tcPr>
            <w:tcW w:w="1008" w:type="dxa"/>
          </w:tcPr>
          <w:p w14:paraId="2CE59C2A" w14:textId="77777777" w:rsidR="00E35014" w:rsidRPr="0033617F" w:rsidRDefault="00E35014" w:rsidP="00594DD5">
            <w:pPr>
              <w:jc w:val="center"/>
            </w:pPr>
          </w:p>
        </w:tc>
      </w:tr>
      <w:tr w:rsidR="00E35014" w:rsidRPr="0033617F" w14:paraId="3F781535" w14:textId="77777777" w:rsidTr="00594DD5">
        <w:trPr>
          <w:jc w:val="center"/>
        </w:trPr>
        <w:tc>
          <w:tcPr>
            <w:tcW w:w="2175" w:type="dxa"/>
          </w:tcPr>
          <w:p w14:paraId="6EE5958C" w14:textId="77777777" w:rsidR="00E35014" w:rsidRPr="0033617F" w:rsidRDefault="00E35014" w:rsidP="00594DD5">
            <w:r w:rsidRPr="0033617F">
              <w:t>2. Budžeta izdevumi:</w:t>
            </w:r>
          </w:p>
        </w:tc>
        <w:tc>
          <w:tcPr>
            <w:tcW w:w="1123" w:type="dxa"/>
          </w:tcPr>
          <w:p w14:paraId="78A712C4" w14:textId="77777777" w:rsidR="00E35014" w:rsidRPr="004B2478" w:rsidRDefault="00E35014" w:rsidP="00594DD5">
            <w:pPr>
              <w:jc w:val="center"/>
              <w:rPr>
                <w:b/>
              </w:rPr>
            </w:pPr>
            <w:r w:rsidRPr="004B2478">
              <w:rPr>
                <w:b/>
              </w:rPr>
              <w:t>0</w:t>
            </w:r>
          </w:p>
        </w:tc>
        <w:tc>
          <w:tcPr>
            <w:tcW w:w="1414" w:type="dxa"/>
          </w:tcPr>
          <w:p w14:paraId="3C87F399" w14:textId="77777777" w:rsidR="00E35014" w:rsidRPr="004B2478" w:rsidRDefault="00E35014" w:rsidP="00594DD5">
            <w:pPr>
              <w:jc w:val="center"/>
              <w:rPr>
                <w:b/>
              </w:rPr>
            </w:pPr>
            <w:r>
              <w:rPr>
                <w:b/>
              </w:rPr>
              <w:t>0</w:t>
            </w:r>
          </w:p>
        </w:tc>
        <w:tc>
          <w:tcPr>
            <w:tcW w:w="1111" w:type="dxa"/>
          </w:tcPr>
          <w:p w14:paraId="4698FAF1" w14:textId="77777777" w:rsidR="00E35014" w:rsidRPr="00317B6A" w:rsidRDefault="00E35014" w:rsidP="00594DD5">
            <w:pPr>
              <w:jc w:val="center"/>
              <w:rPr>
                <w:b/>
              </w:rPr>
            </w:pPr>
            <w:r w:rsidRPr="00317B6A">
              <w:rPr>
                <w:b/>
              </w:rPr>
              <w:t>0</w:t>
            </w:r>
          </w:p>
        </w:tc>
        <w:tc>
          <w:tcPr>
            <w:tcW w:w="1209" w:type="dxa"/>
          </w:tcPr>
          <w:p w14:paraId="75DFB887" w14:textId="77777777" w:rsidR="00E35014" w:rsidRPr="00317B6A" w:rsidRDefault="00E35014" w:rsidP="00594DD5">
            <w:pPr>
              <w:jc w:val="center"/>
              <w:rPr>
                <w:b/>
              </w:rPr>
            </w:pPr>
            <w:r w:rsidRPr="00317B6A">
              <w:rPr>
                <w:b/>
              </w:rPr>
              <w:t>0</w:t>
            </w:r>
          </w:p>
        </w:tc>
        <w:tc>
          <w:tcPr>
            <w:tcW w:w="1111" w:type="dxa"/>
          </w:tcPr>
          <w:p w14:paraId="22B7101A" w14:textId="77777777" w:rsidR="00E35014" w:rsidRPr="00317B6A" w:rsidRDefault="00E35014" w:rsidP="00594DD5">
            <w:pPr>
              <w:jc w:val="center"/>
              <w:rPr>
                <w:b/>
              </w:rPr>
            </w:pPr>
            <w:r w:rsidRPr="00317B6A">
              <w:rPr>
                <w:b/>
              </w:rPr>
              <w:t>0</w:t>
            </w:r>
          </w:p>
        </w:tc>
        <w:tc>
          <w:tcPr>
            <w:tcW w:w="1192" w:type="dxa"/>
          </w:tcPr>
          <w:p w14:paraId="63F16F10" w14:textId="77777777" w:rsidR="00E35014" w:rsidRPr="00317B6A" w:rsidRDefault="00E35014" w:rsidP="00594DD5">
            <w:pPr>
              <w:jc w:val="center"/>
              <w:rPr>
                <w:b/>
              </w:rPr>
            </w:pPr>
            <w:r>
              <w:rPr>
                <w:b/>
              </w:rPr>
              <w:t>0</w:t>
            </w:r>
          </w:p>
        </w:tc>
        <w:tc>
          <w:tcPr>
            <w:tcW w:w="1008" w:type="dxa"/>
          </w:tcPr>
          <w:p w14:paraId="403EACCD" w14:textId="77777777" w:rsidR="00E35014" w:rsidRPr="00317B6A" w:rsidRDefault="00E35014" w:rsidP="00594DD5">
            <w:pPr>
              <w:jc w:val="center"/>
              <w:rPr>
                <w:b/>
              </w:rPr>
            </w:pPr>
            <w:r>
              <w:rPr>
                <w:b/>
              </w:rPr>
              <w:t>0</w:t>
            </w:r>
          </w:p>
        </w:tc>
      </w:tr>
      <w:tr w:rsidR="00E35014" w:rsidRPr="0033617F" w14:paraId="7BBF0DA1" w14:textId="77777777" w:rsidTr="00594DD5">
        <w:trPr>
          <w:jc w:val="center"/>
        </w:trPr>
        <w:tc>
          <w:tcPr>
            <w:tcW w:w="2175" w:type="dxa"/>
          </w:tcPr>
          <w:p w14:paraId="7CD258D5" w14:textId="77777777" w:rsidR="00E35014" w:rsidRPr="0033617F" w:rsidRDefault="00E35014" w:rsidP="00594DD5">
            <w:r w:rsidRPr="0033617F">
              <w:t>2.1. valsts pamatbudžets</w:t>
            </w:r>
          </w:p>
        </w:tc>
        <w:tc>
          <w:tcPr>
            <w:tcW w:w="1123" w:type="dxa"/>
          </w:tcPr>
          <w:p w14:paraId="2CA6E7A1" w14:textId="77777777" w:rsidR="00E35014" w:rsidRPr="004B2478" w:rsidRDefault="00E35014" w:rsidP="00594DD5">
            <w:pPr>
              <w:jc w:val="center"/>
              <w:rPr>
                <w:i/>
              </w:rPr>
            </w:pPr>
            <w:r w:rsidRPr="004B2478">
              <w:rPr>
                <w:i/>
              </w:rPr>
              <w:t>0</w:t>
            </w:r>
          </w:p>
        </w:tc>
        <w:tc>
          <w:tcPr>
            <w:tcW w:w="1414" w:type="dxa"/>
          </w:tcPr>
          <w:p w14:paraId="1A10D5E5" w14:textId="77777777" w:rsidR="00E35014" w:rsidRPr="004B2478" w:rsidRDefault="00E35014" w:rsidP="00594DD5">
            <w:pPr>
              <w:jc w:val="center"/>
              <w:rPr>
                <w:i/>
              </w:rPr>
            </w:pPr>
            <w:r>
              <w:rPr>
                <w:i/>
              </w:rPr>
              <w:t>0</w:t>
            </w:r>
          </w:p>
        </w:tc>
        <w:tc>
          <w:tcPr>
            <w:tcW w:w="1111" w:type="dxa"/>
          </w:tcPr>
          <w:p w14:paraId="12EA73D5" w14:textId="77777777" w:rsidR="00E35014" w:rsidRPr="00317B6A" w:rsidRDefault="00E35014" w:rsidP="00594DD5">
            <w:pPr>
              <w:jc w:val="center"/>
              <w:rPr>
                <w:i/>
              </w:rPr>
            </w:pPr>
            <w:r w:rsidRPr="00317B6A">
              <w:rPr>
                <w:i/>
              </w:rPr>
              <w:t>0</w:t>
            </w:r>
          </w:p>
        </w:tc>
        <w:tc>
          <w:tcPr>
            <w:tcW w:w="1209" w:type="dxa"/>
          </w:tcPr>
          <w:p w14:paraId="476A6A5A" w14:textId="77777777" w:rsidR="00E35014" w:rsidRPr="00317B6A" w:rsidRDefault="00E35014" w:rsidP="00594DD5">
            <w:pPr>
              <w:jc w:val="center"/>
              <w:rPr>
                <w:i/>
              </w:rPr>
            </w:pPr>
            <w:r w:rsidRPr="00317B6A">
              <w:rPr>
                <w:i/>
              </w:rPr>
              <w:t>0</w:t>
            </w:r>
          </w:p>
        </w:tc>
        <w:tc>
          <w:tcPr>
            <w:tcW w:w="1111" w:type="dxa"/>
          </w:tcPr>
          <w:p w14:paraId="587ECC78" w14:textId="77777777" w:rsidR="00E35014" w:rsidRPr="00317B6A" w:rsidRDefault="00E35014" w:rsidP="00594DD5">
            <w:pPr>
              <w:jc w:val="center"/>
              <w:rPr>
                <w:i/>
              </w:rPr>
            </w:pPr>
            <w:r w:rsidRPr="00317B6A">
              <w:rPr>
                <w:i/>
              </w:rPr>
              <w:t>0</w:t>
            </w:r>
          </w:p>
        </w:tc>
        <w:tc>
          <w:tcPr>
            <w:tcW w:w="1192" w:type="dxa"/>
          </w:tcPr>
          <w:p w14:paraId="13770644" w14:textId="77777777" w:rsidR="00E35014" w:rsidRPr="00317B6A" w:rsidRDefault="00E35014" w:rsidP="00594DD5">
            <w:pPr>
              <w:jc w:val="center"/>
              <w:rPr>
                <w:i/>
              </w:rPr>
            </w:pPr>
            <w:r>
              <w:rPr>
                <w:i/>
              </w:rPr>
              <w:t>0</w:t>
            </w:r>
          </w:p>
        </w:tc>
        <w:tc>
          <w:tcPr>
            <w:tcW w:w="1008" w:type="dxa"/>
          </w:tcPr>
          <w:p w14:paraId="58381D0B" w14:textId="77777777" w:rsidR="00E35014" w:rsidRPr="00317B6A" w:rsidRDefault="00E35014" w:rsidP="00594DD5">
            <w:pPr>
              <w:jc w:val="center"/>
              <w:rPr>
                <w:i/>
              </w:rPr>
            </w:pPr>
            <w:r>
              <w:rPr>
                <w:i/>
              </w:rPr>
              <w:t>0</w:t>
            </w:r>
          </w:p>
        </w:tc>
      </w:tr>
      <w:tr w:rsidR="00E35014" w:rsidRPr="0033617F" w14:paraId="3780CD78" w14:textId="77777777" w:rsidTr="00594DD5">
        <w:trPr>
          <w:jc w:val="center"/>
        </w:trPr>
        <w:tc>
          <w:tcPr>
            <w:tcW w:w="2175" w:type="dxa"/>
          </w:tcPr>
          <w:p w14:paraId="6B7AC323" w14:textId="77777777" w:rsidR="00E35014" w:rsidRPr="0033617F" w:rsidRDefault="00E35014" w:rsidP="00594DD5">
            <w:r w:rsidRPr="0033617F">
              <w:t>2.2. valsts speciālais budžets</w:t>
            </w:r>
          </w:p>
        </w:tc>
        <w:tc>
          <w:tcPr>
            <w:tcW w:w="1123" w:type="dxa"/>
          </w:tcPr>
          <w:p w14:paraId="5F9CF40C" w14:textId="77777777" w:rsidR="00E35014" w:rsidRPr="004B2478" w:rsidRDefault="00E35014" w:rsidP="00594DD5">
            <w:pPr>
              <w:jc w:val="center"/>
            </w:pPr>
          </w:p>
        </w:tc>
        <w:tc>
          <w:tcPr>
            <w:tcW w:w="1414" w:type="dxa"/>
          </w:tcPr>
          <w:p w14:paraId="234B6493" w14:textId="77777777" w:rsidR="00E35014" w:rsidRPr="004B2478" w:rsidRDefault="00E35014" w:rsidP="00594DD5">
            <w:pPr>
              <w:jc w:val="center"/>
            </w:pPr>
          </w:p>
        </w:tc>
        <w:tc>
          <w:tcPr>
            <w:tcW w:w="1111" w:type="dxa"/>
          </w:tcPr>
          <w:p w14:paraId="1E5E2AAE" w14:textId="77777777" w:rsidR="00E35014" w:rsidRPr="00317B6A" w:rsidRDefault="00E35014" w:rsidP="00594DD5">
            <w:pPr>
              <w:jc w:val="center"/>
            </w:pPr>
          </w:p>
        </w:tc>
        <w:tc>
          <w:tcPr>
            <w:tcW w:w="1209" w:type="dxa"/>
          </w:tcPr>
          <w:p w14:paraId="1D980F6F" w14:textId="77777777" w:rsidR="00E35014" w:rsidRPr="00317B6A" w:rsidRDefault="00E35014" w:rsidP="00594DD5">
            <w:pPr>
              <w:jc w:val="center"/>
            </w:pPr>
          </w:p>
        </w:tc>
        <w:tc>
          <w:tcPr>
            <w:tcW w:w="1111" w:type="dxa"/>
          </w:tcPr>
          <w:p w14:paraId="6D94CDF8" w14:textId="77777777" w:rsidR="00E35014" w:rsidRPr="00317B6A" w:rsidRDefault="00E35014" w:rsidP="00594DD5">
            <w:pPr>
              <w:jc w:val="center"/>
            </w:pPr>
          </w:p>
        </w:tc>
        <w:tc>
          <w:tcPr>
            <w:tcW w:w="1192" w:type="dxa"/>
          </w:tcPr>
          <w:p w14:paraId="00AE893A" w14:textId="77777777" w:rsidR="00E35014" w:rsidRPr="00317B6A" w:rsidRDefault="00E35014" w:rsidP="00594DD5">
            <w:pPr>
              <w:jc w:val="center"/>
            </w:pPr>
          </w:p>
        </w:tc>
        <w:tc>
          <w:tcPr>
            <w:tcW w:w="1008" w:type="dxa"/>
          </w:tcPr>
          <w:p w14:paraId="42D3195D" w14:textId="77777777" w:rsidR="00E35014" w:rsidRPr="00317B6A" w:rsidRDefault="00E35014" w:rsidP="00594DD5">
            <w:pPr>
              <w:jc w:val="center"/>
            </w:pPr>
          </w:p>
        </w:tc>
      </w:tr>
      <w:tr w:rsidR="00E35014" w:rsidRPr="0033617F" w14:paraId="779A1767" w14:textId="77777777" w:rsidTr="00594DD5">
        <w:trPr>
          <w:jc w:val="center"/>
        </w:trPr>
        <w:tc>
          <w:tcPr>
            <w:tcW w:w="2175" w:type="dxa"/>
          </w:tcPr>
          <w:p w14:paraId="63573AE0" w14:textId="77777777" w:rsidR="00E35014" w:rsidRPr="0033617F" w:rsidRDefault="00E35014" w:rsidP="00594DD5">
            <w:r w:rsidRPr="0033617F">
              <w:t xml:space="preserve">2.3. pašvaldību budžets </w:t>
            </w:r>
          </w:p>
        </w:tc>
        <w:tc>
          <w:tcPr>
            <w:tcW w:w="1123" w:type="dxa"/>
          </w:tcPr>
          <w:p w14:paraId="247A8BC1" w14:textId="77777777" w:rsidR="00E35014" w:rsidRPr="004B2478" w:rsidRDefault="00E35014" w:rsidP="00594DD5">
            <w:pPr>
              <w:jc w:val="center"/>
            </w:pPr>
          </w:p>
        </w:tc>
        <w:tc>
          <w:tcPr>
            <w:tcW w:w="1414" w:type="dxa"/>
          </w:tcPr>
          <w:p w14:paraId="0C501F91" w14:textId="77777777" w:rsidR="00E35014" w:rsidRPr="004B2478" w:rsidRDefault="00E35014" w:rsidP="00594DD5">
            <w:pPr>
              <w:jc w:val="center"/>
            </w:pPr>
          </w:p>
        </w:tc>
        <w:tc>
          <w:tcPr>
            <w:tcW w:w="1111" w:type="dxa"/>
          </w:tcPr>
          <w:p w14:paraId="78D7B6D8" w14:textId="77777777" w:rsidR="00E35014" w:rsidRPr="00317B6A" w:rsidRDefault="00E35014" w:rsidP="00594DD5">
            <w:pPr>
              <w:jc w:val="center"/>
            </w:pPr>
          </w:p>
        </w:tc>
        <w:tc>
          <w:tcPr>
            <w:tcW w:w="1209" w:type="dxa"/>
          </w:tcPr>
          <w:p w14:paraId="068E6D04" w14:textId="77777777" w:rsidR="00E35014" w:rsidRPr="00317B6A" w:rsidRDefault="00E35014" w:rsidP="00594DD5">
            <w:pPr>
              <w:jc w:val="center"/>
            </w:pPr>
          </w:p>
        </w:tc>
        <w:tc>
          <w:tcPr>
            <w:tcW w:w="1111" w:type="dxa"/>
          </w:tcPr>
          <w:p w14:paraId="20F8DF56" w14:textId="77777777" w:rsidR="00E35014" w:rsidRPr="00317B6A" w:rsidRDefault="00E35014" w:rsidP="00594DD5">
            <w:pPr>
              <w:jc w:val="center"/>
            </w:pPr>
          </w:p>
        </w:tc>
        <w:tc>
          <w:tcPr>
            <w:tcW w:w="1192" w:type="dxa"/>
          </w:tcPr>
          <w:p w14:paraId="069CB884" w14:textId="77777777" w:rsidR="00E35014" w:rsidRPr="00317B6A" w:rsidRDefault="00E35014" w:rsidP="00594DD5">
            <w:pPr>
              <w:jc w:val="center"/>
            </w:pPr>
          </w:p>
        </w:tc>
        <w:tc>
          <w:tcPr>
            <w:tcW w:w="1008" w:type="dxa"/>
          </w:tcPr>
          <w:p w14:paraId="455F645D" w14:textId="77777777" w:rsidR="00E35014" w:rsidRPr="00317B6A" w:rsidRDefault="00E35014" w:rsidP="00594DD5">
            <w:pPr>
              <w:jc w:val="center"/>
            </w:pPr>
          </w:p>
        </w:tc>
      </w:tr>
      <w:tr w:rsidR="00E35014" w:rsidRPr="0033617F" w14:paraId="054ADB7B" w14:textId="77777777" w:rsidTr="00594DD5">
        <w:trPr>
          <w:jc w:val="center"/>
        </w:trPr>
        <w:tc>
          <w:tcPr>
            <w:tcW w:w="2175" w:type="dxa"/>
          </w:tcPr>
          <w:p w14:paraId="6D80BF87" w14:textId="77777777" w:rsidR="00E35014" w:rsidRPr="0033617F" w:rsidRDefault="00E35014" w:rsidP="00594DD5">
            <w:r w:rsidRPr="0033617F">
              <w:t>3. Finansiālā ietekme:</w:t>
            </w:r>
          </w:p>
        </w:tc>
        <w:tc>
          <w:tcPr>
            <w:tcW w:w="1123" w:type="dxa"/>
            <w:shd w:val="clear" w:color="auto" w:fill="auto"/>
          </w:tcPr>
          <w:p w14:paraId="7F409AA5" w14:textId="77777777" w:rsidR="00E35014" w:rsidRPr="004B2478" w:rsidRDefault="00E35014" w:rsidP="00594DD5">
            <w:pPr>
              <w:jc w:val="center"/>
              <w:rPr>
                <w:b/>
              </w:rPr>
            </w:pPr>
            <w:r w:rsidRPr="004B2478">
              <w:rPr>
                <w:b/>
              </w:rPr>
              <w:t>0</w:t>
            </w:r>
          </w:p>
        </w:tc>
        <w:tc>
          <w:tcPr>
            <w:tcW w:w="1414" w:type="dxa"/>
          </w:tcPr>
          <w:p w14:paraId="6C79AED7" w14:textId="77777777" w:rsidR="00E35014" w:rsidRPr="004B2478" w:rsidRDefault="00E35014" w:rsidP="00594DD5">
            <w:pPr>
              <w:jc w:val="center"/>
              <w:rPr>
                <w:b/>
              </w:rPr>
            </w:pPr>
            <w:r>
              <w:rPr>
                <w:b/>
              </w:rPr>
              <w:t>0</w:t>
            </w:r>
          </w:p>
        </w:tc>
        <w:tc>
          <w:tcPr>
            <w:tcW w:w="1111" w:type="dxa"/>
          </w:tcPr>
          <w:p w14:paraId="13355489" w14:textId="77777777" w:rsidR="00E35014" w:rsidRPr="00317B6A" w:rsidRDefault="00E35014" w:rsidP="00594DD5">
            <w:pPr>
              <w:jc w:val="center"/>
              <w:rPr>
                <w:b/>
              </w:rPr>
            </w:pPr>
            <w:r w:rsidRPr="00317B6A">
              <w:rPr>
                <w:b/>
              </w:rPr>
              <w:t>0</w:t>
            </w:r>
          </w:p>
        </w:tc>
        <w:tc>
          <w:tcPr>
            <w:tcW w:w="1209" w:type="dxa"/>
          </w:tcPr>
          <w:p w14:paraId="7FF8CAEE" w14:textId="77777777" w:rsidR="00E35014" w:rsidRPr="00317B6A" w:rsidRDefault="00E35014" w:rsidP="00594DD5">
            <w:pPr>
              <w:jc w:val="center"/>
              <w:rPr>
                <w:b/>
              </w:rPr>
            </w:pPr>
            <w:r w:rsidRPr="00317B6A">
              <w:rPr>
                <w:b/>
              </w:rPr>
              <w:t>0</w:t>
            </w:r>
          </w:p>
        </w:tc>
        <w:tc>
          <w:tcPr>
            <w:tcW w:w="1111" w:type="dxa"/>
          </w:tcPr>
          <w:p w14:paraId="068E1163" w14:textId="77777777" w:rsidR="00E35014" w:rsidRPr="00317B6A" w:rsidRDefault="00E35014" w:rsidP="00594DD5">
            <w:pPr>
              <w:jc w:val="center"/>
              <w:rPr>
                <w:b/>
              </w:rPr>
            </w:pPr>
            <w:r w:rsidRPr="00317B6A">
              <w:rPr>
                <w:b/>
              </w:rPr>
              <w:t>0</w:t>
            </w:r>
          </w:p>
        </w:tc>
        <w:tc>
          <w:tcPr>
            <w:tcW w:w="1192" w:type="dxa"/>
          </w:tcPr>
          <w:p w14:paraId="133DBF6F" w14:textId="77777777" w:rsidR="00E35014" w:rsidRPr="00317B6A" w:rsidRDefault="00E35014" w:rsidP="00594DD5">
            <w:pPr>
              <w:jc w:val="center"/>
              <w:rPr>
                <w:b/>
              </w:rPr>
            </w:pPr>
            <w:r>
              <w:rPr>
                <w:b/>
              </w:rPr>
              <w:t>0</w:t>
            </w:r>
          </w:p>
        </w:tc>
        <w:tc>
          <w:tcPr>
            <w:tcW w:w="1008" w:type="dxa"/>
          </w:tcPr>
          <w:p w14:paraId="42E5CF34" w14:textId="77777777" w:rsidR="00E35014" w:rsidRPr="00317B6A" w:rsidRDefault="00E35014" w:rsidP="00594DD5">
            <w:pPr>
              <w:jc w:val="center"/>
              <w:rPr>
                <w:b/>
              </w:rPr>
            </w:pPr>
            <w:r>
              <w:rPr>
                <w:b/>
              </w:rPr>
              <w:t>0</w:t>
            </w:r>
          </w:p>
        </w:tc>
      </w:tr>
      <w:tr w:rsidR="00E35014" w:rsidRPr="0033617F" w14:paraId="573E0CA5" w14:textId="77777777" w:rsidTr="00594DD5">
        <w:trPr>
          <w:jc w:val="center"/>
        </w:trPr>
        <w:tc>
          <w:tcPr>
            <w:tcW w:w="2175" w:type="dxa"/>
          </w:tcPr>
          <w:p w14:paraId="23D2AC24" w14:textId="77777777" w:rsidR="00E35014" w:rsidRPr="0033617F" w:rsidRDefault="00E35014" w:rsidP="00594DD5">
            <w:r w:rsidRPr="0033617F">
              <w:t>3.1. valsts pamatbudžets</w:t>
            </w:r>
          </w:p>
        </w:tc>
        <w:tc>
          <w:tcPr>
            <w:tcW w:w="1123" w:type="dxa"/>
            <w:shd w:val="clear" w:color="auto" w:fill="auto"/>
          </w:tcPr>
          <w:p w14:paraId="6422AC3B" w14:textId="77777777" w:rsidR="00E35014" w:rsidRPr="004B2478" w:rsidRDefault="00E35014" w:rsidP="00594DD5">
            <w:pPr>
              <w:jc w:val="center"/>
              <w:rPr>
                <w:i/>
              </w:rPr>
            </w:pPr>
            <w:r w:rsidRPr="004B2478">
              <w:rPr>
                <w:i/>
              </w:rPr>
              <w:t>0</w:t>
            </w:r>
          </w:p>
        </w:tc>
        <w:tc>
          <w:tcPr>
            <w:tcW w:w="1414" w:type="dxa"/>
          </w:tcPr>
          <w:p w14:paraId="21363465" w14:textId="77777777" w:rsidR="00E35014" w:rsidRPr="004B2478" w:rsidRDefault="00E35014" w:rsidP="00594DD5">
            <w:pPr>
              <w:jc w:val="center"/>
              <w:rPr>
                <w:i/>
              </w:rPr>
            </w:pPr>
            <w:r>
              <w:rPr>
                <w:i/>
              </w:rPr>
              <w:t>0</w:t>
            </w:r>
          </w:p>
        </w:tc>
        <w:tc>
          <w:tcPr>
            <w:tcW w:w="1111" w:type="dxa"/>
          </w:tcPr>
          <w:p w14:paraId="3784BBD1" w14:textId="77777777" w:rsidR="00E35014" w:rsidRPr="00317B6A" w:rsidRDefault="00E35014" w:rsidP="00594DD5">
            <w:pPr>
              <w:jc w:val="center"/>
              <w:rPr>
                <w:i/>
              </w:rPr>
            </w:pPr>
            <w:r w:rsidRPr="00317B6A">
              <w:rPr>
                <w:i/>
              </w:rPr>
              <w:t>0</w:t>
            </w:r>
          </w:p>
        </w:tc>
        <w:tc>
          <w:tcPr>
            <w:tcW w:w="1209" w:type="dxa"/>
          </w:tcPr>
          <w:p w14:paraId="7A261272" w14:textId="77777777" w:rsidR="00E35014" w:rsidRPr="00317B6A" w:rsidRDefault="00E35014" w:rsidP="00594DD5">
            <w:pPr>
              <w:jc w:val="center"/>
              <w:rPr>
                <w:i/>
              </w:rPr>
            </w:pPr>
            <w:r w:rsidRPr="00317B6A">
              <w:rPr>
                <w:i/>
              </w:rPr>
              <w:t>0</w:t>
            </w:r>
          </w:p>
        </w:tc>
        <w:tc>
          <w:tcPr>
            <w:tcW w:w="1111" w:type="dxa"/>
          </w:tcPr>
          <w:p w14:paraId="219E913B" w14:textId="77777777" w:rsidR="00E35014" w:rsidRPr="00317B6A" w:rsidRDefault="00E35014" w:rsidP="00594DD5">
            <w:pPr>
              <w:jc w:val="center"/>
              <w:rPr>
                <w:i/>
              </w:rPr>
            </w:pPr>
            <w:r w:rsidRPr="00317B6A">
              <w:rPr>
                <w:i/>
              </w:rPr>
              <w:t>0</w:t>
            </w:r>
          </w:p>
        </w:tc>
        <w:tc>
          <w:tcPr>
            <w:tcW w:w="1192" w:type="dxa"/>
          </w:tcPr>
          <w:p w14:paraId="5B365AF9" w14:textId="77777777" w:rsidR="00E35014" w:rsidRPr="00317B6A" w:rsidRDefault="00E35014" w:rsidP="00594DD5">
            <w:pPr>
              <w:jc w:val="center"/>
              <w:rPr>
                <w:i/>
              </w:rPr>
            </w:pPr>
            <w:r>
              <w:rPr>
                <w:i/>
              </w:rPr>
              <w:t>0</w:t>
            </w:r>
          </w:p>
        </w:tc>
        <w:tc>
          <w:tcPr>
            <w:tcW w:w="1008" w:type="dxa"/>
          </w:tcPr>
          <w:p w14:paraId="4F4CFACB" w14:textId="77777777" w:rsidR="00E35014" w:rsidRPr="00317B6A" w:rsidRDefault="00E35014" w:rsidP="00594DD5">
            <w:pPr>
              <w:jc w:val="center"/>
              <w:rPr>
                <w:i/>
              </w:rPr>
            </w:pPr>
            <w:r>
              <w:rPr>
                <w:i/>
              </w:rPr>
              <w:t>0</w:t>
            </w:r>
          </w:p>
        </w:tc>
      </w:tr>
      <w:tr w:rsidR="00E35014" w:rsidRPr="0033617F" w14:paraId="1EAD67A9" w14:textId="77777777" w:rsidTr="00594DD5">
        <w:trPr>
          <w:jc w:val="center"/>
        </w:trPr>
        <w:tc>
          <w:tcPr>
            <w:tcW w:w="2175" w:type="dxa"/>
          </w:tcPr>
          <w:p w14:paraId="0277FA0D" w14:textId="77777777" w:rsidR="00E35014" w:rsidRPr="0033617F" w:rsidRDefault="00E35014" w:rsidP="00594DD5">
            <w:r w:rsidRPr="0033617F">
              <w:t>3.2. speciālais budžets</w:t>
            </w:r>
          </w:p>
        </w:tc>
        <w:tc>
          <w:tcPr>
            <w:tcW w:w="1123" w:type="dxa"/>
            <w:shd w:val="clear" w:color="auto" w:fill="auto"/>
          </w:tcPr>
          <w:p w14:paraId="4FC06B9C" w14:textId="77777777" w:rsidR="00E35014" w:rsidRPr="004B2478" w:rsidRDefault="00E35014" w:rsidP="00594DD5">
            <w:pPr>
              <w:jc w:val="center"/>
            </w:pPr>
          </w:p>
        </w:tc>
        <w:tc>
          <w:tcPr>
            <w:tcW w:w="1414" w:type="dxa"/>
          </w:tcPr>
          <w:p w14:paraId="23ED23EE" w14:textId="77777777" w:rsidR="00E35014" w:rsidRPr="004B2478" w:rsidRDefault="00E35014" w:rsidP="00594DD5">
            <w:pPr>
              <w:jc w:val="center"/>
            </w:pPr>
          </w:p>
        </w:tc>
        <w:tc>
          <w:tcPr>
            <w:tcW w:w="1111" w:type="dxa"/>
          </w:tcPr>
          <w:p w14:paraId="5B882D49" w14:textId="77777777" w:rsidR="00E35014" w:rsidRPr="00317B6A" w:rsidRDefault="00E35014" w:rsidP="00594DD5">
            <w:pPr>
              <w:jc w:val="center"/>
            </w:pPr>
          </w:p>
        </w:tc>
        <w:tc>
          <w:tcPr>
            <w:tcW w:w="1209" w:type="dxa"/>
          </w:tcPr>
          <w:p w14:paraId="123E42D5" w14:textId="77777777" w:rsidR="00E35014" w:rsidRPr="00317B6A" w:rsidRDefault="00E35014" w:rsidP="00594DD5">
            <w:pPr>
              <w:jc w:val="center"/>
            </w:pPr>
          </w:p>
        </w:tc>
        <w:tc>
          <w:tcPr>
            <w:tcW w:w="1111" w:type="dxa"/>
          </w:tcPr>
          <w:p w14:paraId="79969BC6" w14:textId="77777777" w:rsidR="00E35014" w:rsidRPr="00317B6A" w:rsidRDefault="00E35014" w:rsidP="00594DD5">
            <w:pPr>
              <w:jc w:val="center"/>
            </w:pPr>
          </w:p>
        </w:tc>
        <w:tc>
          <w:tcPr>
            <w:tcW w:w="1192" w:type="dxa"/>
          </w:tcPr>
          <w:p w14:paraId="21E2F630" w14:textId="77777777" w:rsidR="00E35014" w:rsidRPr="00317B6A" w:rsidRDefault="00E35014" w:rsidP="00594DD5">
            <w:pPr>
              <w:jc w:val="center"/>
            </w:pPr>
          </w:p>
        </w:tc>
        <w:tc>
          <w:tcPr>
            <w:tcW w:w="1008" w:type="dxa"/>
          </w:tcPr>
          <w:p w14:paraId="1B0B61A3" w14:textId="77777777" w:rsidR="00E35014" w:rsidRPr="00317B6A" w:rsidRDefault="00E35014" w:rsidP="00594DD5">
            <w:pPr>
              <w:jc w:val="center"/>
            </w:pPr>
          </w:p>
        </w:tc>
      </w:tr>
      <w:tr w:rsidR="00E35014" w:rsidRPr="0033617F" w14:paraId="641BE7A3" w14:textId="77777777" w:rsidTr="00594DD5">
        <w:trPr>
          <w:jc w:val="center"/>
        </w:trPr>
        <w:tc>
          <w:tcPr>
            <w:tcW w:w="2175" w:type="dxa"/>
          </w:tcPr>
          <w:p w14:paraId="7D6E6FC5" w14:textId="77777777" w:rsidR="00E35014" w:rsidRPr="0033617F" w:rsidRDefault="00E35014" w:rsidP="00594DD5">
            <w:r w:rsidRPr="0033617F">
              <w:t xml:space="preserve">3.3. pašvaldību budžets </w:t>
            </w:r>
          </w:p>
        </w:tc>
        <w:tc>
          <w:tcPr>
            <w:tcW w:w="1123" w:type="dxa"/>
            <w:shd w:val="clear" w:color="auto" w:fill="auto"/>
          </w:tcPr>
          <w:p w14:paraId="10C2CD4F" w14:textId="77777777" w:rsidR="00E35014" w:rsidRPr="004B2478" w:rsidRDefault="00E35014" w:rsidP="00594DD5">
            <w:pPr>
              <w:jc w:val="center"/>
            </w:pPr>
          </w:p>
        </w:tc>
        <w:tc>
          <w:tcPr>
            <w:tcW w:w="1414" w:type="dxa"/>
          </w:tcPr>
          <w:p w14:paraId="1C4B032D" w14:textId="77777777" w:rsidR="00E35014" w:rsidRPr="004B2478" w:rsidRDefault="00E35014" w:rsidP="00594DD5">
            <w:pPr>
              <w:jc w:val="center"/>
            </w:pPr>
          </w:p>
        </w:tc>
        <w:tc>
          <w:tcPr>
            <w:tcW w:w="1111" w:type="dxa"/>
          </w:tcPr>
          <w:p w14:paraId="04C5A706" w14:textId="77777777" w:rsidR="00E35014" w:rsidRPr="00317B6A" w:rsidRDefault="00E35014" w:rsidP="00594DD5">
            <w:pPr>
              <w:jc w:val="center"/>
            </w:pPr>
          </w:p>
        </w:tc>
        <w:tc>
          <w:tcPr>
            <w:tcW w:w="1209" w:type="dxa"/>
          </w:tcPr>
          <w:p w14:paraId="2DA54435" w14:textId="77777777" w:rsidR="00E35014" w:rsidRPr="00317B6A" w:rsidRDefault="00E35014" w:rsidP="00594DD5">
            <w:pPr>
              <w:jc w:val="center"/>
            </w:pPr>
          </w:p>
        </w:tc>
        <w:tc>
          <w:tcPr>
            <w:tcW w:w="1111" w:type="dxa"/>
          </w:tcPr>
          <w:p w14:paraId="3836737B" w14:textId="77777777" w:rsidR="00E35014" w:rsidRPr="00317B6A" w:rsidRDefault="00E35014" w:rsidP="00594DD5">
            <w:pPr>
              <w:jc w:val="center"/>
            </w:pPr>
          </w:p>
        </w:tc>
        <w:tc>
          <w:tcPr>
            <w:tcW w:w="1192" w:type="dxa"/>
          </w:tcPr>
          <w:p w14:paraId="1BF90170" w14:textId="77777777" w:rsidR="00E35014" w:rsidRPr="00317B6A" w:rsidRDefault="00E35014" w:rsidP="00594DD5">
            <w:pPr>
              <w:jc w:val="center"/>
            </w:pPr>
          </w:p>
        </w:tc>
        <w:tc>
          <w:tcPr>
            <w:tcW w:w="1008" w:type="dxa"/>
          </w:tcPr>
          <w:p w14:paraId="3AB8F1AA" w14:textId="77777777" w:rsidR="00E35014" w:rsidRPr="00317B6A" w:rsidRDefault="00E35014" w:rsidP="00594DD5">
            <w:pPr>
              <w:jc w:val="center"/>
            </w:pPr>
          </w:p>
        </w:tc>
      </w:tr>
      <w:tr w:rsidR="00E35014" w:rsidRPr="0033617F" w14:paraId="721DEC12" w14:textId="77777777" w:rsidTr="00594DD5">
        <w:trPr>
          <w:jc w:val="center"/>
        </w:trPr>
        <w:tc>
          <w:tcPr>
            <w:tcW w:w="2175" w:type="dxa"/>
            <w:vMerge w:val="restart"/>
          </w:tcPr>
          <w:p w14:paraId="1D92531A" w14:textId="77777777" w:rsidR="00E35014" w:rsidRPr="0033617F" w:rsidRDefault="00E35014" w:rsidP="00594DD5">
            <w:r w:rsidRPr="0033617F">
              <w:t xml:space="preserve">4. Finanšu līdzekļi papildu izdevumu finansēšanai </w:t>
            </w:r>
            <w:r w:rsidRPr="0033617F">
              <w:lastRenderedPageBreak/>
              <w:t xml:space="preserve">(kompensējošu izdevumu samazinājumu norāda ar </w:t>
            </w:r>
            <w:r>
              <w:t>„</w:t>
            </w:r>
            <w:r w:rsidRPr="0033617F">
              <w:t>+” zīmi)</w:t>
            </w:r>
          </w:p>
        </w:tc>
        <w:tc>
          <w:tcPr>
            <w:tcW w:w="1123" w:type="dxa"/>
            <w:vMerge w:val="restart"/>
          </w:tcPr>
          <w:p w14:paraId="118ABBBA" w14:textId="77777777" w:rsidR="00E35014" w:rsidRPr="004B2478" w:rsidRDefault="00E35014" w:rsidP="00594DD5">
            <w:pPr>
              <w:jc w:val="center"/>
              <w:rPr>
                <w:i/>
              </w:rPr>
            </w:pPr>
            <w:r w:rsidRPr="004B2478">
              <w:lastRenderedPageBreak/>
              <w:t>X</w:t>
            </w:r>
          </w:p>
        </w:tc>
        <w:tc>
          <w:tcPr>
            <w:tcW w:w="1414" w:type="dxa"/>
          </w:tcPr>
          <w:p w14:paraId="125099A7" w14:textId="77777777" w:rsidR="00E35014" w:rsidRPr="004B2478" w:rsidRDefault="00E35014" w:rsidP="00594DD5">
            <w:pPr>
              <w:jc w:val="center"/>
            </w:pPr>
            <w:r>
              <w:t>0</w:t>
            </w:r>
          </w:p>
        </w:tc>
        <w:tc>
          <w:tcPr>
            <w:tcW w:w="1111" w:type="dxa"/>
          </w:tcPr>
          <w:p w14:paraId="39234F4B" w14:textId="77777777" w:rsidR="00E35014" w:rsidRPr="00317B6A" w:rsidRDefault="00E35014" w:rsidP="00594DD5">
            <w:pPr>
              <w:jc w:val="center"/>
            </w:pPr>
            <w:r w:rsidRPr="00317B6A">
              <w:t>0</w:t>
            </w:r>
          </w:p>
        </w:tc>
        <w:tc>
          <w:tcPr>
            <w:tcW w:w="1209" w:type="dxa"/>
          </w:tcPr>
          <w:p w14:paraId="1AA5CFDB" w14:textId="77777777" w:rsidR="00E35014" w:rsidRPr="00317B6A" w:rsidRDefault="00E35014" w:rsidP="00594DD5">
            <w:pPr>
              <w:jc w:val="center"/>
            </w:pPr>
            <w:r w:rsidRPr="00317B6A">
              <w:t>0</w:t>
            </w:r>
          </w:p>
        </w:tc>
        <w:tc>
          <w:tcPr>
            <w:tcW w:w="1111" w:type="dxa"/>
          </w:tcPr>
          <w:p w14:paraId="6623D5B4" w14:textId="77777777" w:rsidR="00E35014" w:rsidRPr="00317B6A" w:rsidRDefault="00E35014" w:rsidP="00594DD5">
            <w:pPr>
              <w:jc w:val="center"/>
            </w:pPr>
            <w:r w:rsidRPr="00317B6A">
              <w:t>0</w:t>
            </w:r>
          </w:p>
        </w:tc>
        <w:tc>
          <w:tcPr>
            <w:tcW w:w="1192" w:type="dxa"/>
          </w:tcPr>
          <w:p w14:paraId="07CA4FBB" w14:textId="77777777" w:rsidR="00E35014" w:rsidRPr="00317B6A" w:rsidRDefault="00E35014" w:rsidP="00594DD5">
            <w:pPr>
              <w:jc w:val="center"/>
            </w:pPr>
            <w:r>
              <w:t>0</w:t>
            </w:r>
          </w:p>
        </w:tc>
        <w:tc>
          <w:tcPr>
            <w:tcW w:w="1008" w:type="dxa"/>
          </w:tcPr>
          <w:p w14:paraId="77617DA4" w14:textId="77777777" w:rsidR="00E35014" w:rsidRPr="00317B6A" w:rsidRDefault="00E35014" w:rsidP="00594DD5">
            <w:pPr>
              <w:jc w:val="center"/>
            </w:pPr>
            <w:r>
              <w:t>0</w:t>
            </w:r>
          </w:p>
        </w:tc>
      </w:tr>
      <w:tr w:rsidR="00E35014" w:rsidRPr="0033617F" w14:paraId="44E70E80" w14:textId="77777777" w:rsidTr="00594DD5">
        <w:trPr>
          <w:jc w:val="center"/>
        </w:trPr>
        <w:tc>
          <w:tcPr>
            <w:tcW w:w="2175" w:type="dxa"/>
            <w:vMerge/>
          </w:tcPr>
          <w:p w14:paraId="00F6532C" w14:textId="77777777" w:rsidR="00E35014" w:rsidRPr="0033617F" w:rsidRDefault="00E35014" w:rsidP="00594DD5"/>
        </w:tc>
        <w:tc>
          <w:tcPr>
            <w:tcW w:w="1123" w:type="dxa"/>
            <w:vMerge/>
          </w:tcPr>
          <w:p w14:paraId="04E1705E" w14:textId="77777777" w:rsidR="00E35014" w:rsidRPr="004B2478" w:rsidRDefault="00E35014" w:rsidP="00594DD5">
            <w:pPr>
              <w:jc w:val="center"/>
              <w:rPr>
                <w:i/>
              </w:rPr>
            </w:pPr>
          </w:p>
        </w:tc>
        <w:tc>
          <w:tcPr>
            <w:tcW w:w="1414" w:type="dxa"/>
          </w:tcPr>
          <w:p w14:paraId="57A06E29" w14:textId="77777777" w:rsidR="00E35014" w:rsidRPr="004B2478" w:rsidRDefault="00E35014" w:rsidP="00594DD5">
            <w:pPr>
              <w:jc w:val="center"/>
            </w:pPr>
          </w:p>
        </w:tc>
        <w:tc>
          <w:tcPr>
            <w:tcW w:w="1111" w:type="dxa"/>
          </w:tcPr>
          <w:p w14:paraId="40AF0015" w14:textId="77777777" w:rsidR="00E35014" w:rsidRPr="0033617F" w:rsidRDefault="00E35014" w:rsidP="00594DD5">
            <w:pPr>
              <w:jc w:val="center"/>
            </w:pPr>
          </w:p>
        </w:tc>
        <w:tc>
          <w:tcPr>
            <w:tcW w:w="1209" w:type="dxa"/>
          </w:tcPr>
          <w:p w14:paraId="14A2F069" w14:textId="77777777" w:rsidR="00E35014" w:rsidRPr="0033617F" w:rsidRDefault="00E35014" w:rsidP="00594DD5">
            <w:pPr>
              <w:jc w:val="center"/>
            </w:pPr>
          </w:p>
        </w:tc>
        <w:tc>
          <w:tcPr>
            <w:tcW w:w="1111" w:type="dxa"/>
          </w:tcPr>
          <w:p w14:paraId="49EDAA43" w14:textId="77777777" w:rsidR="00E35014" w:rsidRPr="0033617F" w:rsidRDefault="00E35014" w:rsidP="00594DD5">
            <w:pPr>
              <w:jc w:val="center"/>
            </w:pPr>
          </w:p>
        </w:tc>
        <w:tc>
          <w:tcPr>
            <w:tcW w:w="1192" w:type="dxa"/>
          </w:tcPr>
          <w:p w14:paraId="3DA99612" w14:textId="77777777" w:rsidR="00E35014" w:rsidRPr="0033617F" w:rsidRDefault="00E35014" w:rsidP="00594DD5">
            <w:pPr>
              <w:jc w:val="center"/>
            </w:pPr>
          </w:p>
        </w:tc>
        <w:tc>
          <w:tcPr>
            <w:tcW w:w="1008" w:type="dxa"/>
          </w:tcPr>
          <w:p w14:paraId="2DEF0030" w14:textId="77777777" w:rsidR="00E35014" w:rsidRPr="0033617F" w:rsidRDefault="00E35014" w:rsidP="00594DD5">
            <w:pPr>
              <w:jc w:val="center"/>
            </w:pPr>
          </w:p>
        </w:tc>
      </w:tr>
      <w:tr w:rsidR="00E35014" w:rsidRPr="0033617F" w14:paraId="77E902F6" w14:textId="77777777" w:rsidTr="00594DD5">
        <w:trPr>
          <w:jc w:val="center"/>
        </w:trPr>
        <w:tc>
          <w:tcPr>
            <w:tcW w:w="2175" w:type="dxa"/>
            <w:vMerge/>
          </w:tcPr>
          <w:p w14:paraId="6F240EE7" w14:textId="77777777" w:rsidR="00E35014" w:rsidRPr="0033617F" w:rsidRDefault="00E35014" w:rsidP="00594DD5"/>
        </w:tc>
        <w:tc>
          <w:tcPr>
            <w:tcW w:w="1123" w:type="dxa"/>
            <w:vMerge/>
          </w:tcPr>
          <w:p w14:paraId="555C9BEB" w14:textId="77777777" w:rsidR="00E35014" w:rsidRPr="0033617F" w:rsidRDefault="00E35014" w:rsidP="00594DD5">
            <w:pPr>
              <w:jc w:val="center"/>
              <w:rPr>
                <w:i/>
              </w:rPr>
            </w:pPr>
          </w:p>
        </w:tc>
        <w:tc>
          <w:tcPr>
            <w:tcW w:w="1414" w:type="dxa"/>
          </w:tcPr>
          <w:p w14:paraId="5CD664B4" w14:textId="77777777" w:rsidR="00E35014" w:rsidRDefault="00E35014" w:rsidP="00594DD5">
            <w:pPr>
              <w:jc w:val="center"/>
            </w:pPr>
          </w:p>
          <w:p w14:paraId="27E24188" w14:textId="77777777" w:rsidR="00E35014" w:rsidRPr="002643AF" w:rsidRDefault="00E35014" w:rsidP="00594DD5">
            <w:pPr>
              <w:jc w:val="center"/>
            </w:pPr>
          </w:p>
        </w:tc>
        <w:tc>
          <w:tcPr>
            <w:tcW w:w="1111" w:type="dxa"/>
          </w:tcPr>
          <w:p w14:paraId="2DF8C6B7" w14:textId="77777777" w:rsidR="00E35014" w:rsidRPr="0033617F" w:rsidRDefault="00E35014" w:rsidP="00594DD5">
            <w:pPr>
              <w:jc w:val="center"/>
            </w:pPr>
          </w:p>
        </w:tc>
        <w:tc>
          <w:tcPr>
            <w:tcW w:w="1209" w:type="dxa"/>
          </w:tcPr>
          <w:p w14:paraId="3BEC18D2" w14:textId="77777777" w:rsidR="00E35014" w:rsidRPr="0033617F" w:rsidRDefault="00E35014" w:rsidP="00594DD5">
            <w:pPr>
              <w:jc w:val="center"/>
            </w:pPr>
          </w:p>
        </w:tc>
        <w:tc>
          <w:tcPr>
            <w:tcW w:w="1111" w:type="dxa"/>
          </w:tcPr>
          <w:p w14:paraId="6B810EEC" w14:textId="77777777" w:rsidR="00E35014" w:rsidRPr="0033617F" w:rsidRDefault="00E35014" w:rsidP="00594DD5">
            <w:pPr>
              <w:jc w:val="center"/>
            </w:pPr>
          </w:p>
        </w:tc>
        <w:tc>
          <w:tcPr>
            <w:tcW w:w="1192" w:type="dxa"/>
          </w:tcPr>
          <w:p w14:paraId="51265D62" w14:textId="77777777" w:rsidR="00E35014" w:rsidRPr="0033617F" w:rsidRDefault="00E35014" w:rsidP="00594DD5">
            <w:pPr>
              <w:jc w:val="center"/>
            </w:pPr>
          </w:p>
        </w:tc>
        <w:tc>
          <w:tcPr>
            <w:tcW w:w="1008" w:type="dxa"/>
          </w:tcPr>
          <w:p w14:paraId="47D956F0" w14:textId="77777777" w:rsidR="00E35014" w:rsidRPr="0033617F" w:rsidRDefault="00E35014" w:rsidP="00594DD5">
            <w:pPr>
              <w:jc w:val="center"/>
            </w:pPr>
          </w:p>
        </w:tc>
      </w:tr>
      <w:tr w:rsidR="00E35014" w:rsidRPr="0033617F" w14:paraId="260455B9" w14:textId="77777777" w:rsidTr="00594DD5">
        <w:trPr>
          <w:jc w:val="center"/>
        </w:trPr>
        <w:tc>
          <w:tcPr>
            <w:tcW w:w="2175" w:type="dxa"/>
          </w:tcPr>
          <w:p w14:paraId="41238609" w14:textId="77777777" w:rsidR="00E35014" w:rsidRPr="0033617F" w:rsidRDefault="00E35014" w:rsidP="00594DD5">
            <w:r w:rsidRPr="0033617F">
              <w:t>5. Precizēta finansiālā ietekme:</w:t>
            </w:r>
          </w:p>
        </w:tc>
        <w:tc>
          <w:tcPr>
            <w:tcW w:w="1123" w:type="dxa"/>
            <w:vMerge w:val="restart"/>
          </w:tcPr>
          <w:p w14:paraId="0AD9EC0D" w14:textId="77777777" w:rsidR="00E35014" w:rsidRPr="00317B6A" w:rsidRDefault="00E35014" w:rsidP="00594DD5">
            <w:pPr>
              <w:jc w:val="center"/>
              <w:rPr>
                <w:i/>
              </w:rPr>
            </w:pPr>
            <w:r w:rsidRPr="00317B6A">
              <w:t>X</w:t>
            </w:r>
          </w:p>
          <w:p w14:paraId="65416DF6" w14:textId="77777777" w:rsidR="00E35014" w:rsidRPr="00317B6A" w:rsidRDefault="00E35014" w:rsidP="00594DD5">
            <w:pPr>
              <w:jc w:val="center"/>
              <w:rPr>
                <w:i/>
              </w:rPr>
            </w:pPr>
            <w:r w:rsidRPr="00317B6A">
              <w:rPr>
                <w:b/>
              </w:rPr>
              <w:t>0</w:t>
            </w:r>
          </w:p>
        </w:tc>
        <w:tc>
          <w:tcPr>
            <w:tcW w:w="1414" w:type="dxa"/>
          </w:tcPr>
          <w:p w14:paraId="1A245BE6" w14:textId="77777777" w:rsidR="00E35014" w:rsidRPr="00317B6A" w:rsidRDefault="00E35014" w:rsidP="00594DD5">
            <w:pPr>
              <w:jc w:val="center"/>
            </w:pPr>
            <w:r w:rsidRPr="00317B6A">
              <w:t>0</w:t>
            </w:r>
          </w:p>
        </w:tc>
        <w:tc>
          <w:tcPr>
            <w:tcW w:w="1111" w:type="dxa"/>
          </w:tcPr>
          <w:p w14:paraId="7FE63EBF" w14:textId="77777777" w:rsidR="00E35014" w:rsidRPr="00317B6A" w:rsidRDefault="00E35014" w:rsidP="00594DD5">
            <w:pPr>
              <w:jc w:val="center"/>
            </w:pPr>
            <w:r w:rsidRPr="00317B6A">
              <w:t>0</w:t>
            </w:r>
          </w:p>
        </w:tc>
        <w:tc>
          <w:tcPr>
            <w:tcW w:w="1209" w:type="dxa"/>
          </w:tcPr>
          <w:p w14:paraId="3F022E6E" w14:textId="77777777" w:rsidR="00E35014" w:rsidRPr="00317B6A" w:rsidRDefault="00E35014" w:rsidP="00594DD5">
            <w:pPr>
              <w:jc w:val="center"/>
            </w:pPr>
            <w:r w:rsidRPr="00317B6A">
              <w:t>0</w:t>
            </w:r>
          </w:p>
        </w:tc>
        <w:tc>
          <w:tcPr>
            <w:tcW w:w="1111" w:type="dxa"/>
          </w:tcPr>
          <w:p w14:paraId="51BC1457" w14:textId="77777777" w:rsidR="00E35014" w:rsidRPr="00317B6A" w:rsidRDefault="00E35014" w:rsidP="00594DD5">
            <w:pPr>
              <w:jc w:val="center"/>
            </w:pPr>
            <w:r w:rsidRPr="00317B6A">
              <w:t>0</w:t>
            </w:r>
          </w:p>
        </w:tc>
        <w:tc>
          <w:tcPr>
            <w:tcW w:w="1192" w:type="dxa"/>
          </w:tcPr>
          <w:p w14:paraId="37653A67" w14:textId="77777777" w:rsidR="00E35014" w:rsidRPr="00317B6A" w:rsidRDefault="00E35014" w:rsidP="00594DD5">
            <w:pPr>
              <w:jc w:val="center"/>
            </w:pPr>
            <w:r>
              <w:t>0</w:t>
            </w:r>
          </w:p>
        </w:tc>
        <w:tc>
          <w:tcPr>
            <w:tcW w:w="1008" w:type="dxa"/>
          </w:tcPr>
          <w:p w14:paraId="417E515E" w14:textId="77777777" w:rsidR="00E35014" w:rsidRPr="00317B6A" w:rsidRDefault="00E35014" w:rsidP="00594DD5">
            <w:pPr>
              <w:jc w:val="center"/>
            </w:pPr>
            <w:r>
              <w:t>0</w:t>
            </w:r>
          </w:p>
        </w:tc>
      </w:tr>
      <w:tr w:rsidR="00E35014" w:rsidRPr="0033617F" w14:paraId="1932BD01" w14:textId="77777777" w:rsidTr="00594DD5">
        <w:trPr>
          <w:jc w:val="center"/>
        </w:trPr>
        <w:tc>
          <w:tcPr>
            <w:tcW w:w="2175" w:type="dxa"/>
          </w:tcPr>
          <w:p w14:paraId="0F595421" w14:textId="77777777" w:rsidR="00E35014" w:rsidRPr="0033617F" w:rsidRDefault="00E35014" w:rsidP="00594DD5">
            <w:r w:rsidRPr="0033617F">
              <w:t>5.1. valsts pamatbudžets</w:t>
            </w:r>
          </w:p>
        </w:tc>
        <w:tc>
          <w:tcPr>
            <w:tcW w:w="1123" w:type="dxa"/>
            <w:vMerge/>
            <w:vAlign w:val="center"/>
          </w:tcPr>
          <w:p w14:paraId="70FD391F" w14:textId="77777777" w:rsidR="00E35014" w:rsidRPr="0033617F" w:rsidRDefault="00E35014" w:rsidP="00594DD5">
            <w:pPr>
              <w:jc w:val="center"/>
              <w:rPr>
                <w:i/>
              </w:rPr>
            </w:pPr>
          </w:p>
        </w:tc>
        <w:tc>
          <w:tcPr>
            <w:tcW w:w="1414" w:type="dxa"/>
          </w:tcPr>
          <w:p w14:paraId="3D8550E0" w14:textId="77777777" w:rsidR="00E35014" w:rsidRPr="0033617F" w:rsidRDefault="00E35014" w:rsidP="00594DD5">
            <w:pPr>
              <w:jc w:val="center"/>
            </w:pPr>
            <w:r w:rsidRPr="00317B6A">
              <w:t>0</w:t>
            </w:r>
          </w:p>
        </w:tc>
        <w:tc>
          <w:tcPr>
            <w:tcW w:w="1111" w:type="dxa"/>
          </w:tcPr>
          <w:p w14:paraId="3E7C6988" w14:textId="77777777" w:rsidR="00E35014" w:rsidRPr="0033617F" w:rsidRDefault="00E35014" w:rsidP="00594DD5">
            <w:pPr>
              <w:jc w:val="center"/>
            </w:pPr>
            <w:r w:rsidRPr="00317B6A">
              <w:t>0</w:t>
            </w:r>
          </w:p>
        </w:tc>
        <w:tc>
          <w:tcPr>
            <w:tcW w:w="1209" w:type="dxa"/>
          </w:tcPr>
          <w:p w14:paraId="45E95D2C" w14:textId="77777777" w:rsidR="00E35014" w:rsidRPr="0033617F" w:rsidRDefault="00E35014" w:rsidP="00594DD5">
            <w:pPr>
              <w:jc w:val="center"/>
            </w:pPr>
            <w:r w:rsidRPr="00317B6A">
              <w:t>0</w:t>
            </w:r>
          </w:p>
        </w:tc>
        <w:tc>
          <w:tcPr>
            <w:tcW w:w="1111" w:type="dxa"/>
          </w:tcPr>
          <w:p w14:paraId="24A847DD" w14:textId="77777777" w:rsidR="00E35014" w:rsidRPr="0033617F" w:rsidRDefault="00E35014" w:rsidP="00594DD5">
            <w:pPr>
              <w:jc w:val="center"/>
            </w:pPr>
            <w:r w:rsidRPr="00317B6A">
              <w:t>0</w:t>
            </w:r>
          </w:p>
        </w:tc>
        <w:tc>
          <w:tcPr>
            <w:tcW w:w="1192" w:type="dxa"/>
          </w:tcPr>
          <w:p w14:paraId="66D9ABD2" w14:textId="77777777" w:rsidR="00E35014" w:rsidRPr="00317B6A" w:rsidRDefault="00E35014" w:rsidP="00594DD5">
            <w:pPr>
              <w:jc w:val="center"/>
            </w:pPr>
            <w:r>
              <w:t>0</w:t>
            </w:r>
          </w:p>
        </w:tc>
        <w:tc>
          <w:tcPr>
            <w:tcW w:w="1008" w:type="dxa"/>
          </w:tcPr>
          <w:p w14:paraId="47A17C84" w14:textId="77777777" w:rsidR="00E35014" w:rsidRPr="00317B6A" w:rsidRDefault="00E35014" w:rsidP="00594DD5">
            <w:pPr>
              <w:jc w:val="center"/>
            </w:pPr>
            <w:r>
              <w:t>0</w:t>
            </w:r>
          </w:p>
        </w:tc>
      </w:tr>
      <w:tr w:rsidR="00E35014" w:rsidRPr="0033617F" w14:paraId="76E77757" w14:textId="77777777" w:rsidTr="00594DD5">
        <w:trPr>
          <w:jc w:val="center"/>
        </w:trPr>
        <w:tc>
          <w:tcPr>
            <w:tcW w:w="2175" w:type="dxa"/>
          </w:tcPr>
          <w:p w14:paraId="4A899C2A" w14:textId="77777777" w:rsidR="00E35014" w:rsidRPr="0033617F" w:rsidRDefault="00E35014" w:rsidP="00594DD5">
            <w:r w:rsidRPr="0033617F">
              <w:t>5.2. speciālais budžets</w:t>
            </w:r>
          </w:p>
        </w:tc>
        <w:tc>
          <w:tcPr>
            <w:tcW w:w="1123" w:type="dxa"/>
            <w:vMerge/>
            <w:vAlign w:val="center"/>
          </w:tcPr>
          <w:p w14:paraId="1C38D811" w14:textId="77777777" w:rsidR="00E35014" w:rsidRPr="0033617F" w:rsidRDefault="00E35014" w:rsidP="00594DD5">
            <w:pPr>
              <w:jc w:val="center"/>
              <w:rPr>
                <w:i/>
              </w:rPr>
            </w:pPr>
          </w:p>
        </w:tc>
        <w:tc>
          <w:tcPr>
            <w:tcW w:w="1414" w:type="dxa"/>
          </w:tcPr>
          <w:p w14:paraId="4BC5D1BA" w14:textId="77777777" w:rsidR="00E35014" w:rsidRPr="0033617F" w:rsidRDefault="00E35014" w:rsidP="00594DD5">
            <w:pPr>
              <w:jc w:val="center"/>
            </w:pPr>
          </w:p>
        </w:tc>
        <w:tc>
          <w:tcPr>
            <w:tcW w:w="1111" w:type="dxa"/>
          </w:tcPr>
          <w:p w14:paraId="7F0BA655" w14:textId="77777777" w:rsidR="00E35014" w:rsidRPr="0033617F" w:rsidRDefault="00E35014" w:rsidP="00594DD5">
            <w:pPr>
              <w:jc w:val="center"/>
            </w:pPr>
          </w:p>
        </w:tc>
        <w:tc>
          <w:tcPr>
            <w:tcW w:w="1209" w:type="dxa"/>
          </w:tcPr>
          <w:p w14:paraId="7CF8FBF1" w14:textId="77777777" w:rsidR="00E35014" w:rsidRPr="0033617F" w:rsidRDefault="00E35014" w:rsidP="00594DD5">
            <w:pPr>
              <w:jc w:val="center"/>
            </w:pPr>
          </w:p>
        </w:tc>
        <w:tc>
          <w:tcPr>
            <w:tcW w:w="1111" w:type="dxa"/>
          </w:tcPr>
          <w:p w14:paraId="76E6507F" w14:textId="77777777" w:rsidR="00E35014" w:rsidRPr="0033617F" w:rsidRDefault="00E35014" w:rsidP="00594DD5">
            <w:pPr>
              <w:jc w:val="center"/>
            </w:pPr>
          </w:p>
        </w:tc>
        <w:tc>
          <w:tcPr>
            <w:tcW w:w="1192" w:type="dxa"/>
          </w:tcPr>
          <w:p w14:paraId="7CAB1364" w14:textId="77777777" w:rsidR="00E35014" w:rsidRPr="0033617F" w:rsidRDefault="00E35014" w:rsidP="00594DD5">
            <w:pPr>
              <w:jc w:val="center"/>
            </w:pPr>
          </w:p>
        </w:tc>
        <w:tc>
          <w:tcPr>
            <w:tcW w:w="1008" w:type="dxa"/>
          </w:tcPr>
          <w:p w14:paraId="4A13DBE3" w14:textId="77777777" w:rsidR="00E35014" w:rsidRPr="0033617F" w:rsidRDefault="00E35014" w:rsidP="00594DD5">
            <w:pPr>
              <w:jc w:val="center"/>
            </w:pPr>
          </w:p>
        </w:tc>
      </w:tr>
      <w:tr w:rsidR="00E35014" w:rsidRPr="0033617F" w14:paraId="7C8CE2D5" w14:textId="77777777" w:rsidTr="00594DD5">
        <w:trPr>
          <w:jc w:val="center"/>
        </w:trPr>
        <w:tc>
          <w:tcPr>
            <w:tcW w:w="2175" w:type="dxa"/>
          </w:tcPr>
          <w:p w14:paraId="28DA49AE" w14:textId="77777777" w:rsidR="00E35014" w:rsidRPr="0033617F" w:rsidRDefault="00E35014" w:rsidP="00594DD5">
            <w:r w:rsidRPr="0033617F">
              <w:t xml:space="preserve">5.3. pašvaldību budžets </w:t>
            </w:r>
          </w:p>
        </w:tc>
        <w:tc>
          <w:tcPr>
            <w:tcW w:w="1123" w:type="dxa"/>
            <w:vMerge/>
          </w:tcPr>
          <w:p w14:paraId="59496277" w14:textId="77777777" w:rsidR="00E35014" w:rsidRPr="0033617F" w:rsidRDefault="00E35014" w:rsidP="00594DD5">
            <w:pPr>
              <w:jc w:val="center"/>
              <w:rPr>
                <w:i/>
              </w:rPr>
            </w:pPr>
          </w:p>
        </w:tc>
        <w:tc>
          <w:tcPr>
            <w:tcW w:w="1414" w:type="dxa"/>
          </w:tcPr>
          <w:p w14:paraId="6F53494B" w14:textId="77777777" w:rsidR="00E35014" w:rsidRPr="0033617F" w:rsidRDefault="00E35014" w:rsidP="00594DD5">
            <w:pPr>
              <w:jc w:val="center"/>
            </w:pPr>
          </w:p>
        </w:tc>
        <w:tc>
          <w:tcPr>
            <w:tcW w:w="1111" w:type="dxa"/>
          </w:tcPr>
          <w:p w14:paraId="692FA8D2" w14:textId="77777777" w:rsidR="00E35014" w:rsidRPr="0033617F" w:rsidRDefault="00E35014" w:rsidP="00594DD5">
            <w:pPr>
              <w:jc w:val="center"/>
            </w:pPr>
          </w:p>
        </w:tc>
        <w:tc>
          <w:tcPr>
            <w:tcW w:w="1209" w:type="dxa"/>
          </w:tcPr>
          <w:p w14:paraId="646C73C0" w14:textId="77777777" w:rsidR="00E35014" w:rsidRPr="0033617F" w:rsidRDefault="00E35014" w:rsidP="00594DD5">
            <w:pPr>
              <w:jc w:val="center"/>
            </w:pPr>
          </w:p>
        </w:tc>
        <w:tc>
          <w:tcPr>
            <w:tcW w:w="1111" w:type="dxa"/>
          </w:tcPr>
          <w:p w14:paraId="2FA1896F" w14:textId="77777777" w:rsidR="00E35014" w:rsidRPr="0033617F" w:rsidRDefault="00E35014" w:rsidP="00594DD5">
            <w:pPr>
              <w:jc w:val="center"/>
            </w:pPr>
          </w:p>
        </w:tc>
        <w:tc>
          <w:tcPr>
            <w:tcW w:w="1192" w:type="dxa"/>
          </w:tcPr>
          <w:p w14:paraId="63222464" w14:textId="77777777" w:rsidR="00E35014" w:rsidRPr="0033617F" w:rsidRDefault="00E35014" w:rsidP="00594DD5">
            <w:pPr>
              <w:jc w:val="center"/>
            </w:pPr>
          </w:p>
        </w:tc>
        <w:tc>
          <w:tcPr>
            <w:tcW w:w="1008" w:type="dxa"/>
          </w:tcPr>
          <w:p w14:paraId="2FDAEB98" w14:textId="77777777" w:rsidR="00E35014" w:rsidRPr="0033617F" w:rsidRDefault="00E35014" w:rsidP="00594DD5">
            <w:pPr>
              <w:jc w:val="center"/>
            </w:pPr>
          </w:p>
        </w:tc>
      </w:tr>
      <w:tr w:rsidR="00E35014" w:rsidRPr="0033617F" w14:paraId="62CF4A09" w14:textId="77777777" w:rsidTr="00594DD5">
        <w:trPr>
          <w:jc w:val="center"/>
        </w:trPr>
        <w:tc>
          <w:tcPr>
            <w:tcW w:w="2175" w:type="dxa"/>
          </w:tcPr>
          <w:p w14:paraId="43E7038F" w14:textId="77777777" w:rsidR="00E35014" w:rsidRPr="0033617F" w:rsidRDefault="00E35014" w:rsidP="00594DD5">
            <w:r w:rsidRPr="0033617F">
              <w:t>6. Detalizēts ieņēmumu un izdevumu aprēķins (ja nepie</w:t>
            </w:r>
            <w:r w:rsidRPr="0033617F">
              <w:softHyphen/>
              <w:t>ciešams, detalizētu ieņēmumu un izdevumu aprēķinu var pievienot anotācijas pielikumā):</w:t>
            </w:r>
          </w:p>
        </w:tc>
        <w:tc>
          <w:tcPr>
            <w:tcW w:w="8168" w:type="dxa"/>
            <w:gridSpan w:val="7"/>
            <w:vMerge w:val="restart"/>
            <w:shd w:val="clear" w:color="auto" w:fill="auto"/>
          </w:tcPr>
          <w:p w14:paraId="3BB80745" w14:textId="7692941E" w:rsidR="00E35014" w:rsidRDefault="00016771" w:rsidP="00016771">
            <w:pPr>
              <w:ind w:right="34"/>
              <w:jc w:val="both"/>
              <w:rPr>
                <w:color w:val="000000" w:themeColor="text1"/>
              </w:rPr>
            </w:pPr>
            <w:r>
              <w:rPr>
                <w:color w:val="000000"/>
              </w:rPr>
              <w:t xml:space="preserve">Ņemot vērā, ka ar Rīkojuma projektu netiek paplašināts to personu loks, kurām izmaksātie pabalsti netiks aplikti ar </w:t>
            </w:r>
            <w:r w:rsidRPr="004A2259">
              <w:rPr>
                <w:color w:val="000000" w:themeColor="text1"/>
              </w:rPr>
              <w:t>iedzīvotāju ienākum</w:t>
            </w:r>
            <w:r>
              <w:rPr>
                <w:color w:val="000000" w:themeColor="text1"/>
              </w:rPr>
              <w:t>a</w:t>
            </w:r>
            <w:r w:rsidRPr="00A0482F">
              <w:rPr>
                <w:color w:val="000000" w:themeColor="text1"/>
              </w:rPr>
              <w:t xml:space="preserve"> nodokli</w:t>
            </w:r>
            <w:r>
              <w:rPr>
                <w:color w:val="000000" w:themeColor="text1"/>
              </w:rPr>
              <w:t xml:space="preserve">, nav identificējama arī Rīkojuma projekta ietekme uz valsts budžeta ieņēmumiem vai izdevumiem. </w:t>
            </w:r>
            <w:r>
              <w:t xml:space="preserve">Arī turpmāk ar iedzīvotāju ienākuma nodokli netiks aplikti gan </w:t>
            </w:r>
            <w:r w:rsidRPr="00551732">
              <w:rPr>
                <w:color w:val="000000"/>
              </w:rPr>
              <w:t xml:space="preserve">bijušajiem izciliem sportistiem, treneriem un sporta darbiniekiem par mūža ieguldījumu </w:t>
            </w:r>
            <w:r>
              <w:rPr>
                <w:color w:val="000000"/>
              </w:rPr>
              <w:t xml:space="preserve">izmaksātie pabalsti (kuru izmaksu arī turpmāk veiks LOSF), gan arī </w:t>
            </w:r>
            <w:r>
              <w:t>LOV</w:t>
            </w:r>
            <w:r w:rsidRPr="004A2259">
              <w:rPr>
                <w:color w:val="000000" w:themeColor="text1"/>
              </w:rPr>
              <w:t xml:space="preserve"> sastāvos </w:t>
            </w:r>
            <w:r>
              <w:rPr>
                <w:color w:val="000000" w:themeColor="text1"/>
              </w:rPr>
              <w:t>esošiem</w:t>
            </w:r>
            <w:r w:rsidRPr="00A0482F">
              <w:rPr>
                <w:color w:val="000000" w:themeColor="text1"/>
              </w:rPr>
              <w:t xml:space="preserve"> sportistiem un viņu treneriem </w:t>
            </w:r>
            <w:r w:rsidRPr="004A2259">
              <w:rPr>
                <w:color w:val="000000" w:themeColor="text1"/>
              </w:rPr>
              <w:t xml:space="preserve">izmaksātie pabalsti </w:t>
            </w:r>
            <w:r>
              <w:rPr>
                <w:color w:val="000000" w:themeColor="text1"/>
              </w:rPr>
              <w:t>(kuru izmaksu turpmāk veiks LOK).</w:t>
            </w:r>
          </w:p>
          <w:p w14:paraId="1DFBAA86" w14:textId="77777777" w:rsidR="00016771" w:rsidRDefault="00016771" w:rsidP="00016771">
            <w:pPr>
              <w:ind w:right="34"/>
              <w:jc w:val="both"/>
              <w:rPr>
                <w:color w:val="000000" w:themeColor="text1"/>
              </w:rPr>
            </w:pPr>
          </w:p>
          <w:p w14:paraId="2714C4D1" w14:textId="2959D6CF" w:rsidR="00016771" w:rsidRPr="004B2478" w:rsidRDefault="00016771" w:rsidP="00016771">
            <w:pPr>
              <w:ind w:right="34"/>
              <w:jc w:val="both"/>
            </w:pPr>
          </w:p>
        </w:tc>
      </w:tr>
      <w:tr w:rsidR="00E35014" w:rsidRPr="0033617F" w14:paraId="29245FA1" w14:textId="77777777" w:rsidTr="00594DD5">
        <w:trPr>
          <w:jc w:val="center"/>
        </w:trPr>
        <w:tc>
          <w:tcPr>
            <w:tcW w:w="2175" w:type="dxa"/>
          </w:tcPr>
          <w:p w14:paraId="45581961" w14:textId="77777777" w:rsidR="00E35014" w:rsidRPr="0033617F" w:rsidRDefault="00E35014" w:rsidP="00594DD5">
            <w:r w:rsidRPr="0033617F">
              <w:t>6.1. detalizēts ieņēmumu aprēķins</w:t>
            </w:r>
          </w:p>
        </w:tc>
        <w:tc>
          <w:tcPr>
            <w:tcW w:w="8168" w:type="dxa"/>
            <w:gridSpan w:val="7"/>
            <w:vMerge/>
            <w:shd w:val="clear" w:color="auto" w:fill="auto"/>
          </w:tcPr>
          <w:p w14:paraId="5FD27D78" w14:textId="77777777" w:rsidR="00E35014" w:rsidRPr="0033617F" w:rsidRDefault="00E35014" w:rsidP="00594DD5">
            <w:pPr>
              <w:rPr>
                <w:b/>
                <w:i/>
              </w:rPr>
            </w:pPr>
          </w:p>
        </w:tc>
      </w:tr>
      <w:tr w:rsidR="00E35014" w:rsidRPr="0033617F" w14:paraId="5334F598" w14:textId="77777777" w:rsidTr="00594DD5">
        <w:trPr>
          <w:jc w:val="center"/>
        </w:trPr>
        <w:tc>
          <w:tcPr>
            <w:tcW w:w="2175" w:type="dxa"/>
          </w:tcPr>
          <w:p w14:paraId="737560B4" w14:textId="77777777" w:rsidR="00E35014" w:rsidRPr="0033617F" w:rsidRDefault="00E35014" w:rsidP="00594DD5">
            <w:r w:rsidRPr="0033617F">
              <w:t>6.2. detalizēts izdevumu aprēķins</w:t>
            </w:r>
          </w:p>
        </w:tc>
        <w:tc>
          <w:tcPr>
            <w:tcW w:w="8168" w:type="dxa"/>
            <w:gridSpan w:val="7"/>
            <w:vMerge/>
            <w:shd w:val="clear" w:color="auto" w:fill="auto"/>
          </w:tcPr>
          <w:p w14:paraId="790BC296" w14:textId="77777777" w:rsidR="00E35014" w:rsidRPr="0033617F" w:rsidRDefault="00E35014" w:rsidP="00594DD5">
            <w:pPr>
              <w:rPr>
                <w:b/>
                <w:i/>
              </w:rPr>
            </w:pPr>
          </w:p>
        </w:tc>
      </w:tr>
      <w:tr w:rsidR="00E35014" w:rsidRPr="0033617F" w14:paraId="71F13F66" w14:textId="77777777" w:rsidTr="00594DD5">
        <w:trPr>
          <w:trHeight w:val="399"/>
          <w:jc w:val="center"/>
        </w:trPr>
        <w:tc>
          <w:tcPr>
            <w:tcW w:w="2175" w:type="dxa"/>
          </w:tcPr>
          <w:p w14:paraId="31BEA0DC" w14:textId="77777777" w:rsidR="00E35014" w:rsidRPr="0033617F" w:rsidRDefault="00E35014" w:rsidP="00594DD5">
            <w:r>
              <w:t>7. Amata vietu skaita izmaiņas</w:t>
            </w:r>
          </w:p>
        </w:tc>
        <w:tc>
          <w:tcPr>
            <w:tcW w:w="8168" w:type="dxa"/>
            <w:gridSpan w:val="7"/>
            <w:shd w:val="clear" w:color="auto" w:fill="auto"/>
          </w:tcPr>
          <w:p w14:paraId="792DED30" w14:textId="0994714B" w:rsidR="00E35014" w:rsidRDefault="00E35014" w:rsidP="00E35014">
            <w:pPr>
              <w:ind w:right="34"/>
              <w:jc w:val="both"/>
            </w:pPr>
            <w:r>
              <w:t>Rīkojuma projektam nav ietekme uz amata vietu skaita izmaiņām.</w:t>
            </w:r>
          </w:p>
        </w:tc>
      </w:tr>
      <w:tr w:rsidR="00E35014" w:rsidRPr="0033617F" w14:paraId="011B155F" w14:textId="77777777" w:rsidTr="00594DD5">
        <w:trPr>
          <w:trHeight w:val="399"/>
          <w:jc w:val="center"/>
        </w:trPr>
        <w:tc>
          <w:tcPr>
            <w:tcW w:w="2175" w:type="dxa"/>
          </w:tcPr>
          <w:p w14:paraId="4F1A1AB9" w14:textId="77777777" w:rsidR="00E35014" w:rsidRPr="0033617F" w:rsidRDefault="00E35014" w:rsidP="00594DD5">
            <w:r>
              <w:t>8</w:t>
            </w:r>
            <w:r w:rsidRPr="0033617F">
              <w:t>. Cita informācija</w:t>
            </w:r>
          </w:p>
        </w:tc>
        <w:tc>
          <w:tcPr>
            <w:tcW w:w="8168" w:type="dxa"/>
            <w:gridSpan w:val="7"/>
            <w:shd w:val="clear" w:color="auto" w:fill="auto"/>
          </w:tcPr>
          <w:p w14:paraId="0A087271" w14:textId="4A7B9FF1" w:rsidR="00E35014" w:rsidRDefault="00E35014" w:rsidP="00594DD5">
            <w:pPr>
              <w:ind w:right="34"/>
              <w:jc w:val="both"/>
            </w:pPr>
            <w:r>
              <w:t>Nav.</w:t>
            </w:r>
          </w:p>
        </w:tc>
      </w:tr>
    </w:tbl>
    <w:p w14:paraId="3ABEF8DF" w14:textId="77777777" w:rsidR="00E35014" w:rsidRDefault="00E35014" w:rsidP="00A049A0">
      <w:pPr>
        <w:pStyle w:val="naiskr"/>
        <w:tabs>
          <w:tab w:val="left" w:pos="2628"/>
        </w:tabs>
        <w:spacing w:before="0" w:after="0"/>
        <w:rPr>
          <w:spacing w:val="-2"/>
        </w:rPr>
      </w:pPr>
    </w:p>
    <w:p w14:paraId="5A7CD0E0" w14:textId="77777777" w:rsidR="00D07487" w:rsidRPr="004A2259" w:rsidRDefault="00D07487" w:rsidP="00D07487">
      <w:pPr>
        <w:rPr>
          <w:vanish/>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4570D0" w:rsidRPr="004A2259" w14:paraId="3FC525C4" w14:textId="77777777" w:rsidTr="004A2259">
        <w:tc>
          <w:tcPr>
            <w:tcW w:w="9356" w:type="dxa"/>
          </w:tcPr>
          <w:p w14:paraId="0165F719" w14:textId="77777777" w:rsidR="004570D0" w:rsidRPr="004A2259" w:rsidRDefault="004570D0" w:rsidP="00D13A6F">
            <w:pPr>
              <w:jc w:val="center"/>
              <w:rPr>
                <w:b/>
                <w:spacing w:val="-2"/>
              </w:rPr>
            </w:pPr>
            <w:r w:rsidRPr="004A2259">
              <w:rPr>
                <w:b/>
                <w:spacing w:val="-2"/>
              </w:rPr>
              <w:t> IV. Tiesību akta projekta ietekme uz sp</w:t>
            </w:r>
            <w:r w:rsidR="00D13A6F" w:rsidRPr="004A2259">
              <w:rPr>
                <w:b/>
                <w:spacing w:val="-2"/>
              </w:rPr>
              <w:t>ēkā esošo tiesību normu sistēmu</w:t>
            </w:r>
          </w:p>
        </w:tc>
      </w:tr>
      <w:tr w:rsidR="00B90065" w:rsidRPr="004A2259" w14:paraId="18BEDD7D" w14:textId="77777777" w:rsidTr="00B90065">
        <w:tc>
          <w:tcPr>
            <w:tcW w:w="9356" w:type="dxa"/>
          </w:tcPr>
          <w:p w14:paraId="18D0AE63" w14:textId="33DC1205" w:rsidR="00B90065" w:rsidRPr="004A2259" w:rsidRDefault="00AB0902" w:rsidP="00D13A6F">
            <w:pPr>
              <w:jc w:val="center"/>
              <w:rPr>
                <w:b/>
                <w:spacing w:val="-2"/>
              </w:rPr>
            </w:pPr>
            <w:r>
              <w:t>Rīkojuma projekts</w:t>
            </w:r>
            <w:r w:rsidRPr="003350F2">
              <w:t xml:space="preserve"> šo jomu neskar</w:t>
            </w:r>
          </w:p>
        </w:tc>
      </w:tr>
    </w:tbl>
    <w:p w14:paraId="0E6C735C" w14:textId="77777777" w:rsidR="0018086A" w:rsidRPr="004A2259" w:rsidRDefault="0018086A" w:rsidP="00A049A0">
      <w:pPr>
        <w:pStyle w:val="naiskr"/>
        <w:tabs>
          <w:tab w:val="left" w:pos="2628"/>
        </w:tabs>
        <w:spacing w:before="0" w:after="0"/>
        <w:rPr>
          <w:spacing w:val="-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18086A" w:rsidRPr="004A2259" w14:paraId="15EFC173" w14:textId="77777777" w:rsidTr="00FA396F">
        <w:trPr>
          <w:jc w:val="center"/>
        </w:trPr>
        <w:tc>
          <w:tcPr>
            <w:tcW w:w="9493" w:type="dxa"/>
          </w:tcPr>
          <w:p w14:paraId="719255BA" w14:textId="77777777" w:rsidR="0018086A" w:rsidRPr="004A2259" w:rsidRDefault="0018086A" w:rsidP="00FA396F">
            <w:pPr>
              <w:pStyle w:val="naisnod"/>
              <w:spacing w:before="0" w:after="0"/>
              <w:rPr>
                <w:spacing w:val="-2"/>
              </w:rPr>
            </w:pPr>
            <w:r w:rsidRPr="004A2259">
              <w:rPr>
                <w:spacing w:val="-2"/>
              </w:rPr>
              <w:t>V. Tiesību akta projekta atbilstība Latvijas Republikas starptautiskajām saistībām</w:t>
            </w:r>
          </w:p>
        </w:tc>
      </w:tr>
      <w:tr w:rsidR="00536613" w:rsidRPr="004A2259" w14:paraId="69BCB804" w14:textId="77777777" w:rsidTr="00FA396F">
        <w:trPr>
          <w:jc w:val="center"/>
        </w:trPr>
        <w:tc>
          <w:tcPr>
            <w:tcW w:w="9493" w:type="dxa"/>
          </w:tcPr>
          <w:p w14:paraId="2BDA1DFA" w14:textId="41885D88" w:rsidR="00536613" w:rsidRPr="004A2259" w:rsidRDefault="00AB0902" w:rsidP="004A2259">
            <w:pPr>
              <w:tabs>
                <w:tab w:val="left" w:pos="9072"/>
              </w:tabs>
              <w:jc w:val="center"/>
              <w:rPr>
                <w:iCs/>
                <w:spacing w:val="-2"/>
              </w:rPr>
            </w:pPr>
            <w:r>
              <w:t>Rīkojuma projekts</w:t>
            </w:r>
            <w:r w:rsidRPr="003350F2">
              <w:t xml:space="preserve"> šo jomu neskar</w:t>
            </w:r>
          </w:p>
        </w:tc>
      </w:tr>
    </w:tbl>
    <w:p w14:paraId="2A2E1DB5" w14:textId="77777777" w:rsidR="0018086A" w:rsidRPr="004A2259" w:rsidRDefault="0018086A" w:rsidP="00FA396F">
      <w:pPr>
        <w:pStyle w:val="naisf"/>
        <w:spacing w:before="0" w:after="0"/>
        <w:ind w:firstLine="0"/>
        <w:rPr>
          <w:spacing w:val="-2"/>
        </w:rPr>
      </w:pP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5"/>
        <w:gridCol w:w="3236"/>
        <w:gridCol w:w="5836"/>
      </w:tblGrid>
      <w:tr w:rsidR="0018086A" w:rsidRPr="004A2259" w14:paraId="3425D3ED" w14:textId="77777777" w:rsidTr="004E38DE">
        <w:trPr>
          <w:jc w:val="center"/>
        </w:trPr>
        <w:tc>
          <w:tcPr>
            <w:tcW w:w="9377" w:type="dxa"/>
            <w:gridSpan w:val="3"/>
          </w:tcPr>
          <w:p w14:paraId="463681FE" w14:textId="77777777" w:rsidR="0018086A" w:rsidRPr="004A2259" w:rsidRDefault="0018086A" w:rsidP="00A049A0">
            <w:pPr>
              <w:pStyle w:val="naisnod"/>
              <w:spacing w:before="0" w:after="0"/>
              <w:ind w:left="57" w:right="57"/>
              <w:rPr>
                <w:spacing w:val="-2"/>
              </w:rPr>
            </w:pPr>
            <w:r w:rsidRPr="004A2259">
              <w:rPr>
                <w:spacing w:val="-2"/>
              </w:rPr>
              <w:t xml:space="preserve">VI. </w:t>
            </w:r>
            <w:r w:rsidR="006E1DBE" w:rsidRPr="004A2259">
              <w:rPr>
                <w:spacing w:val="-2"/>
              </w:rPr>
              <w:t>Sabiedrības līdzdalība un komunikācijas aktivitātes</w:t>
            </w:r>
          </w:p>
        </w:tc>
      </w:tr>
      <w:tr w:rsidR="0018086A" w:rsidRPr="004A2259" w14:paraId="287ECE88" w14:textId="77777777" w:rsidTr="00575F9E">
        <w:trPr>
          <w:trHeight w:val="375"/>
          <w:jc w:val="center"/>
        </w:trPr>
        <w:tc>
          <w:tcPr>
            <w:tcW w:w="305" w:type="dxa"/>
          </w:tcPr>
          <w:p w14:paraId="2A3FFF18" w14:textId="77777777" w:rsidR="0018086A" w:rsidRPr="004A2259" w:rsidRDefault="0018086A" w:rsidP="00A049A0">
            <w:pPr>
              <w:pStyle w:val="naiskr"/>
              <w:spacing w:before="0" w:after="0"/>
              <w:ind w:left="57" w:right="57"/>
              <w:rPr>
                <w:bCs/>
                <w:spacing w:val="-2"/>
              </w:rPr>
            </w:pPr>
            <w:r w:rsidRPr="004A2259">
              <w:rPr>
                <w:bCs/>
                <w:spacing w:val="-2"/>
              </w:rPr>
              <w:t>1.</w:t>
            </w:r>
          </w:p>
        </w:tc>
        <w:tc>
          <w:tcPr>
            <w:tcW w:w="3236" w:type="dxa"/>
          </w:tcPr>
          <w:p w14:paraId="742A06F2" w14:textId="77777777" w:rsidR="0018086A" w:rsidRPr="004A2259" w:rsidRDefault="00575F9E" w:rsidP="00A049A0">
            <w:pPr>
              <w:pStyle w:val="naiskr"/>
              <w:tabs>
                <w:tab w:val="left" w:pos="170"/>
              </w:tabs>
              <w:spacing w:before="0" w:after="0"/>
              <w:ind w:left="57" w:right="57"/>
              <w:rPr>
                <w:spacing w:val="-2"/>
              </w:rPr>
            </w:pPr>
            <w:r w:rsidRPr="004A2259">
              <w:rPr>
                <w:spacing w:val="-2"/>
              </w:rPr>
              <w:t>Plānotās sabiedrības līdzdalības un komunikācijas aktivitātes saistībā ar projektu</w:t>
            </w:r>
          </w:p>
        </w:tc>
        <w:tc>
          <w:tcPr>
            <w:tcW w:w="5836" w:type="dxa"/>
          </w:tcPr>
          <w:p w14:paraId="719627B9" w14:textId="60496629" w:rsidR="00663725" w:rsidRPr="004A2259" w:rsidRDefault="00016771" w:rsidP="00FE36DC">
            <w:pPr>
              <w:shd w:val="clear" w:color="auto" w:fill="FFFFFF"/>
              <w:ind w:left="38" w:right="57"/>
              <w:jc w:val="both"/>
              <w:rPr>
                <w:rFonts w:ascii="Calibri" w:hAnsi="Calibri" w:cs="Calibri"/>
                <w:color w:val="000000"/>
              </w:rPr>
            </w:pPr>
            <w:r w:rsidRPr="00016771">
              <w:rPr>
                <w:color w:val="000000"/>
              </w:rPr>
              <w:t>Latvijas Nacionālās sporta padomes 2021. gada 27. janvāra sēdē, apstiprinot valsts budžeta programmas 09.00.00 „Sports” apakšprogrammas 09.21.00 „Augstas klases sasniegumu sports” sadalījumu 2021. gadā, tika atbalstītas izmaiņas augstu sasniegumu sporta finansēšanas modelī, kas paredz LOSF reorganizā</w:t>
            </w:r>
            <w:r>
              <w:rPr>
                <w:color w:val="000000"/>
              </w:rPr>
              <w:t>ciju, daļu funkciju nododot LOK. Informācija par minētajām izmaiņām tika sniegta arī publiski, sagatavojot informāciju  plašsaziņas līdzekļiem un ievietojot informāciju IZM tīmekļa vietnē</w:t>
            </w:r>
            <w:r>
              <w:rPr>
                <w:rStyle w:val="FootnoteReference"/>
                <w:color w:val="000000"/>
              </w:rPr>
              <w:footnoteReference w:id="1"/>
            </w:r>
            <w:r>
              <w:rPr>
                <w:color w:val="000000"/>
              </w:rPr>
              <w:t xml:space="preserve">. </w:t>
            </w:r>
            <w:r w:rsidR="00FE36DC">
              <w:rPr>
                <w:color w:val="000000"/>
              </w:rPr>
              <w:t xml:space="preserve">Ar aicinājumu izdarīt grozījumus Rīkojumā Nr.395 IZM vērsās arī LOK (2020. gada 23. novembra vēstule Nr. </w:t>
            </w:r>
            <w:r w:rsidR="00FE36DC" w:rsidRPr="00FE36DC">
              <w:rPr>
                <w:color w:val="000000"/>
              </w:rPr>
              <w:t>177</w:t>
            </w:r>
            <w:r w:rsidR="00FE36DC">
              <w:rPr>
                <w:color w:val="000000"/>
              </w:rPr>
              <w:t>).</w:t>
            </w:r>
          </w:p>
        </w:tc>
      </w:tr>
      <w:tr w:rsidR="0018086A" w:rsidRPr="004A2259" w14:paraId="64EFECC5" w14:textId="77777777" w:rsidTr="00575F9E">
        <w:trPr>
          <w:trHeight w:val="375"/>
          <w:jc w:val="center"/>
        </w:trPr>
        <w:tc>
          <w:tcPr>
            <w:tcW w:w="305" w:type="dxa"/>
          </w:tcPr>
          <w:p w14:paraId="23C607A8" w14:textId="46F3489D" w:rsidR="0018086A" w:rsidRPr="004A2259" w:rsidRDefault="0018086A" w:rsidP="00A049A0">
            <w:pPr>
              <w:pStyle w:val="naiskr"/>
              <w:spacing w:before="0" w:after="0"/>
              <w:ind w:left="57" w:right="57"/>
              <w:rPr>
                <w:bCs/>
                <w:spacing w:val="-2"/>
              </w:rPr>
            </w:pPr>
            <w:r w:rsidRPr="004A2259">
              <w:rPr>
                <w:bCs/>
                <w:spacing w:val="-2"/>
              </w:rPr>
              <w:lastRenderedPageBreak/>
              <w:t>2.</w:t>
            </w:r>
          </w:p>
        </w:tc>
        <w:tc>
          <w:tcPr>
            <w:tcW w:w="3236" w:type="dxa"/>
          </w:tcPr>
          <w:p w14:paraId="7F20801C" w14:textId="77777777" w:rsidR="0018086A" w:rsidRPr="004A2259" w:rsidRDefault="0018086A" w:rsidP="00A049A0">
            <w:pPr>
              <w:pStyle w:val="naiskr"/>
              <w:spacing w:before="0" w:after="0"/>
              <w:ind w:left="57" w:right="57"/>
              <w:rPr>
                <w:spacing w:val="-2"/>
              </w:rPr>
            </w:pPr>
            <w:r w:rsidRPr="004A2259">
              <w:rPr>
                <w:spacing w:val="-2"/>
              </w:rPr>
              <w:t xml:space="preserve">Sabiedrības līdzdalība projekta izstrādē </w:t>
            </w:r>
          </w:p>
        </w:tc>
        <w:tc>
          <w:tcPr>
            <w:tcW w:w="5836" w:type="dxa"/>
          </w:tcPr>
          <w:p w14:paraId="4B49AFF3" w14:textId="7CD9530F" w:rsidR="004A2259" w:rsidRPr="004A2259" w:rsidRDefault="00016771" w:rsidP="00016771">
            <w:pPr>
              <w:shd w:val="clear" w:color="auto" w:fill="FFFFFF"/>
              <w:ind w:left="38" w:right="57"/>
              <w:jc w:val="both"/>
              <w:rPr>
                <w:rFonts w:ascii="Calibri" w:hAnsi="Calibri" w:cs="Calibri"/>
                <w:color w:val="000000"/>
              </w:rPr>
            </w:pPr>
            <w:r>
              <w:rPr>
                <w:color w:val="212121"/>
              </w:rPr>
              <w:t>Rīkojuma projekta izstrādē tika iesaistīta LOK.</w:t>
            </w:r>
          </w:p>
        </w:tc>
      </w:tr>
      <w:tr w:rsidR="0018086A" w:rsidRPr="004A2259" w14:paraId="460321D4" w14:textId="77777777" w:rsidTr="00575F9E">
        <w:trPr>
          <w:trHeight w:val="375"/>
          <w:jc w:val="center"/>
        </w:trPr>
        <w:tc>
          <w:tcPr>
            <w:tcW w:w="305" w:type="dxa"/>
          </w:tcPr>
          <w:p w14:paraId="635B2631" w14:textId="77777777" w:rsidR="0018086A" w:rsidRPr="004A2259" w:rsidRDefault="0018086A" w:rsidP="00A049A0">
            <w:pPr>
              <w:pStyle w:val="naiskr"/>
              <w:spacing w:before="0" w:after="0"/>
              <w:ind w:left="57" w:right="57"/>
              <w:rPr>
                <w:bCs/>
                <w:spacing w:val="-2"/>
              </w:rPr>
            </w:pPr>
            <w:r w:rsidRPr="004A2259">
              <w:rPr>
                <w:bCs/>
                <w:spacing w:val="-2"/>
              </w:rPr>
              <w:t>3.</w:t>
            </w:r>
          </w:p>
        </w:tc>
        <w:tc>
          <w:tcPr>
            <w:tcW w:w="3236" w:type="dxa"/>
          </w:tcPr>
          <w:p w14:paraId="3AD523D5" w14:textId="77777777" w:rsidR="0018086A" w:rsidRPr="004A2259" w:rsidRDefault="0018086A" w:rsidP="00A049A0">
            <w:pPr>
              <w:pStyle w:val="naiskr"/>
              <w:spacing w:before="0" w:after="0"/>
              <w:ind w:left="57" w:right="57"/>
              <w:rPr>
                <w:spacing w:val="-2"/>
              </w:rPr>
            </w:pPr>
            <w:r w:rsidRPr="004A2259">
              <w:rPr>
                <w:spacing w:val="-2"/>
              </w:rPr>
              <w:t xml:space="preserve">Sabiedrības līdzdalības rezultāti </w:t>
            </w:r>
          </w:p>
        </w:tc>
        <w:tc>
          <w:tcPr>
            <w:tcW w:w="5836" w:type="dxa"/>
          </w:tcPr>
          <w:p w14:paraId="1DCC69CA" w14:textId="793AB92F" w:rsidR="00774F2C" w:rsidRPr="004A2259" w:rsidRDefault="00016771" w:rsidP="004A2259">
            <w:pPr>
              <w:pStyle w:val="naiskr"/>
              <w:spacing w:before="0" w:after="0"/>
              <w:ind w:left="38" w:right="57"/>
              <w:jc w:val="both"/>
              <w:rPr>
                <w:spacing w:val="-2"/>
              </w:rPr>
            </w:pPr>
            <w:r>
              <w:rPr>
                <w:color w:val="000000"/>
                <w:spacing w:val="-2"/>
                <w:shd w:val="clear" w:color="auto" w:fill="FFFFFF"/>
              </w:rPr>
              <w:t>LOK atbalsta Rīkojuma projekta virzību</w:t>
            </w:r>
            <w:r w:rsidR="005E5643" w:rsidRPr="004A2259">
              <w:rPr>
                <w:color w:val="000000"/>
                <w:spacing w:val="-2"/>
                <w:shd w:val="clear" w:color="auto" w:fill="FFFFFF"/>
              </w:rPr>
              <w:t>.</w:t>
            </w:r>
          </w:p>
        </w:tc>
      </w:tr>
      <w:tr w:rsidR="0018086A" w:rsidRPr="004A2259" w14:paraId="74C2F0C5" w14:textId="77777777" w:rsidTr="00575F9E">
        <w:trPr>
          <w:trHeight w:val="397"/>
          <w:jc w:val="center"/>
        </w:trPr>
        <w:tc>
          <w:tcPr>
            <w:tcW w:w="305" w:type="dxa"/>
          </w:tcPr>
          <w:p w14:paraId="0135ABBE" w14:textId="77777777" w:rsidR="0018086A" w:rsidRPr="004A2259" w:rsidRDefault="0018086A" w:rsidP="00A049A0">
            <w:pPr>
              <w:pStyle w:val="naiskr"/>
              <w:spacing w:before="0" w:after="0"/>
              <w:ind w:left="57" w:right="57"/>
              <w:rPr>
                <w:bCs/>
                <w:spacing w:val="-2"/>
              </w:rPr>
            </w:pPr>
            <w:r w:rsidRPr="004A2259">
              <w:rPr>
                <w:bCs/>
                <w:spacing w:val="-2"/>
              </w:rPr>
              <w:t>4.</w:t>
            </w:r>
          </w:p>
        </w:tc>
        <w:tc>
          <w:tcPr>
            <w:tcW w:w="3236" w:type="dxa"/>
          </w:tcPr>
          <w:p w14:paraId="030A56D1" w14:textId="77777777" w:rsidR="00575F9E" w:rsidRPr="004A2259" w:rsidRDefault="00575F9E" w:rsidP="00A049A0">
            <w:pPr>
              <w:pStyle w:val="naiskr"/>
              <w:spacing w:before="0" w:after="0"/>
              <w:ind w:left="57" w:right="57"/>
              <w:rPr>
                <w:spacing w:val="-2"/>
              </w:rPr>
            </w:pPr>
            <w:r w:rsidRPr="004A2259">
              <w:rPr>
                <w:spacing w:val="-2"/>
              </w:rPr>
              <w:t>Cita informācija</w:t>
            </w:r>
          </w:p>
          <w:p w14:paraId="3EB14BA5" w14:textId="77777777" w:rsidR="0018086A" w:rsidRPr="004A2259" w:rsidRDefault="0018086A" w:rsidP="00A049A0">
            <w:pPr>
              <w:pStyle w:val="naiskr"/>
              <w:spacing w:before="0" w:after="0"/>
              <w:ind w:left="57" w:right="57"/>
              <w:rPr>
                <w:spacing w:val="-2"/>
              </w:rPr>
            </w:pPr>
          </w:p>
        </w:tc>
        <w:tc>
          <w:tcPr>
            <w:tcW w:w="5836" w:type="dxa"/>
          </w:tcPr>
          <w:p w14:paraId="1E9928E7" w14:textId="564227EE" w:rsidR="005E4028" w:rsidRPr="00A0482F" w:rsidRDefault="009647D4" w:rsidP="009C37CC">
            <w:pPr>
              <w:ind w:left="38" w:right="57"/>
              <w:jc w:val="both"/>
              <w:rPr>
                <w:spacing w:val="-2"/>
              </w:rPr>
            </w:pPr>
            <w:r w:rsidRPr="004A2259">
              <w:rPr>
                <w:spacing w:val="-2"/>
              </w:rPr>
              <w:t xml:space="preserve">Sabiedrība pēc normatīvā akta pieņemšanas tiks informēta ar publikāciju laikrakstā </w:t>
            </w:r>
            <w:r w:rsidR="004E3995">
              <w:rPr>
                <w:spacing w:val="-2"/>
              </w:rPr>
              <w:t>„</w:t>
            </w:r>
            <w:r w:rsidRPr="004A2259">
              <w:rPr>
                <w:spacing w:val="-2"/>
              </w:rPr>
              <w:t>Latvijas Vēstnesis</w:t>
            </w:r>
            <w:r w:rsidR="00C115CD" w:rsidRPr="004A2259">
              <w:rPr>
                <w:spacing w:val="-2"/>
              </w:rPr>
              <w:t>”</w:t>
            </w:r>
            <w:r w:rsidRPr="004A2259">
              <w:rPr>
                <w:spacing w:val="-2"/>
              </w:rPr>
              <w:t xml:space="preserve"> kā arī ievietojot to bezmaksas normatīvo aktu datu bāzē </w:t>
            </w:r>
            <w:hyperlink r:id="rId8" w:history="1">
              <w:r w:rsidR="009C37CC" w:rsidRPr="00BE1E50">
                <w:rPr>
                  <w:rStyle w:val="Hyperlink"/>
                  <w:rFonts w:eastAsia="Calibri"/>
                  <w:i/>
                  <w:spacing w:val="-2"/>
                </w:rPr>
                <w:t>www.likumi.lv</w:t>
              </w:r>
            </w:hyperlink>
            <w:r w:rsidRPr="00A0482F">
              <w:rPr>
                <w:spacing w:val="-2"/>
              </w:rPr>
              <w:t>.</w:t>
            </w:r>
          </w:p>
        </w:tc>
      </w:tr>
    </w:tbl>
    <w:p w14:paraId="759BA103" w14:textId="77777777" w:rsidR="0018086A" w:rsidRPr="004A2259" w:rsidRDefault="0018086A" w:rsidP="00A049A0">
      <w:pPr>
        <w:pStyle w:val="naisf"/>
        <w:spacing w:before="0" w:after="0"/>
        <w:ind w:firstLine="0"/>
        <w:rPr>
          <w:spacing w:val="-2"/>
        </w:rPr>
      </w:pP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92"/>
        <w:gridCol w:w="3903"/>
        <w:gridCol w:w="4961"/>
      </w:tblGrid>
      <w:tr w:rsidR="0018086A" w:rsidRPr="004A2259" w14:paraId="4718E1A7" w14:textId="77777777" w:rsidTr="004E38DE">
        <w:tc>
          <w:tcPr>
            <w:tcW w:w="9356" w:type="dxa"/>
            <w:gridSpan w:val="3"/>
            <w:tcBorders>
              <w:top w:val="single" w:sz="4" w:space="0" w:color="auto"/>
            </w:tcBorders>
          </w:tcPr>
          <w:p w14:paraId="6E7CDC35" w14:textId="77777777" w:rsidR="0018086A" w:rsidRPr="004A2259" w:rsidRDefault="0018086A" w:rsidP="00A049A0">
            <w:pPr>
              <w:pStyle w:val="naisnod"/>
              <w:spacing w:before="0" w:after="0"/>
              <w:ind w:left="57" w:right="57"/>
              <w:rPr>
                <w:spacing w:val="-2"/>
              </w:rPr>
            </w:pPr>
            <w:r w:rsidRPr="004A2259">
              <w:rPr>
                <w:spacing w:val="-2"/>
              </w:rPr>
              <w:t>VII. Tiesību akta projekta izpildes nodrošināšana un tās ietekme uz institūcijām</w:t>
            </w:r>
          </w:p>
        </w:tc>
      </w:tr>
      <w:tr w:rsidR="0018086A" w:rsidRPr="004A2259" w14:paraId="04569B16" w14:textId="77777777" w:rsidTr="004E38DE">
        <w:trPr>
          <w:trHeight w:val="427"/>
        </w:trPr>
        <w:tc>
          <w:tcPr>
            <w:tcW w:w="492" w:type="dxa"/>
          </w:tcPr>
          <w:p w14:paraId="20959C03" w14:textId="77777777" w:rsidR="0018086A" w:rsidRPr="004A2259" w:rsidRDefault="0018086A" w:rsidP="00A049A0">
            <w:pPr>
              <w:pStyle w:val="naisnod"/>
              <w:spacing w:before="0" w:after="0"/>
              <w:ind w:left="57" w:right="57"/>
              <w:jc w:val="left"/>
              <w:rPr>
                <w:b w:val="0"/>
                <w:spacing w:val="-2"/>
              </w:rPr>
            </w:pPr>
            <w:r w:rsidRPr="004A2259">
              <w:rPr>
                <w:b w:val="0"/>
                <w:spacing w:val="-2"/>
              </w:rPr>
              <w:t>1.</w:t>
            </w:r>
          </w:p>
        </w:tc>
        <w:tc>
          <w:tcPr>
            <w:tcW w:w="3903" w:type="dxa"/>
          </w:tcPr>
          <w:p w14:paraId="268ED87D" w14:textId="77777777" w:rsidR="0018086A" w:rsidRPr="004A2259" w:rsidRDefault="0018086A" w:rsidP="00A049A0">
            <w:pPr>
              <w:pStyle w:val="naisf"/>
              <w:spacing w:before="0" w:after="0"/>
              <w:ind w:left="57" w:right="57" w:firstLine="0"/>
              <w:jc w:val="left"/>
              <w:rPr>
                <w:spacing w:val="-2"/>
              </w:rPr>
            </w:pPr>
            <w:r w:rsidRPr="004A2259">
              <w:rPr>
                <w:spacing w:val="-2"/>
              </w:rPr>
              <w:t xml:space="preserve">Projekta izpildē iesaistītās institūcijas </w:t>
            </w:r>
          </w:p>
        </w:tc>
        <w:tc>
          <w:tcPr>
            <w:tcW w:w="4961" w:type="dxa"/>
          </w:tcPr>
          <w:p w14:paraId="5113EC21" w14:textId="26FA88B5" w:rsidR="0018086A" w:rsidRPr="004A2259" w:rsidRDefault="00FE36DC" w:rsidP="00FE36DC">
            <w:pPr>
              <w:pStyle w:val="naisnod"/>
              <w:spacing w:before="0" w:after="0"/>
              <w:ind w:left="40" w:right="57"/>
              <w:jc w:val="both"/>
              <w:rPr>
                <w:b w:val="0"/>
                <w:spacing w:val="-2"/>
              </w:rPr>
            </w:pPr>
            <w:r>
              <w:rPr>
                <w:b w:val="0"/>
                <w:noProof/>
                <w:spacing w:val="-2"/>
              </w:rPr>
              <w:t>IZM, LOK un LOSF.</w:t>
            </w:r>
          </w:p>
        </w:tc>
      </w:tr>
      <w:tr w:rsidR="0018086A" w:rsidRPr="004A2259" w14:paraId="41F88F3A" w14:textId="77777777" w:rsidTr="004E38DE">
        <w:trPr>
          <w:trHeight w:val="725"/>
        </w:trPr>
        <w:tc>
          <w:tcPr>
            <w:tcW w:w="492" w:type="dxa"/>
          </w:tcPr>
          <w:p w14:paraId="09886074" w14:textId="77777777" w:rsidR="0018086A" w:rsidRPr="004A2259" w:rsidRDefault="00E32447" w:rsidP="00A049A0">
            <w:pPr>
              <w:pStyle w:val="naisnod"/>
              <w:spacing w:before="0" w:after="0"/>
              <w:ind w:left="57" w:right="57"/>
              <w:jc w:val="left"/>
              <w:rPr>
                <w:b w:val="0"/>
                <w:spacing w:val="-2"/>
              </w:rPr>
            </w:pPr>
            <w:r w:rsidRPr="004A2259">
              <w:rPr>
                <w:b w:val="0"/>
                <w:spacing w:val="-2"/>
              </w:rPr>
              <w:t>2</w:t>
            </w:r>
            <w:r w:rsidR="0018086A" w:rsidRPr="004A2259">
              <w:rPr>
                <w:b w:val="0"/>
                <w:spacing w:val="-2"/>
              </w:rPr>
              <w:t>.</w:t>
            </w:r>
          </w:p>
        </w:tc>
        <w:tc>
          <w:tcPr>
            <w:tcW w:w="3903" w:type="dxa"/>
          </w:tcPr>
          <w:p w14:paraId="4FE9043A" w14:textId="77777777" w:rsidR="00575F9E" w:rsidRPr="004A2259" w:rsidRDefault="00575F9E" w:rsidP="00A049A0">
            <w:pPr>
              <w:pStyle w:val="naisf"/>
              <w:spacing w:before="0" w:after="0"/>
              <w:ind w:left="57" w:right="57" w:firstLine="0"/>
              <w:rPr>
                <w:spacing w:val="-2"/>
              </w:rPr>
            </w:pPr>
            <w:r w:rsidRPr="004A2259">
              <w:rPr>
                <w:spacing w:val="-2"/>
              </w:rPr>
              <w:t>Projekta izpildes ietekme uz pārvaldes funkcijām un institucionālo struktūru.</w:t>
            </w:r>
          </w:p>
          <w:p w14:paraId="395406DA" w14:textId="77777777" w:rsidR="0018086A" w:rsidRPr="004A2259" w:rsidRDefault="00575F9E" w:rsidP="00A049A0">
            <w:pPr>
              <w:pStyle w:val="naisf"/>
              <w:spacing w:before="0" w:after="0"/>
              <w:ind w:left="57" w:right="57" w:firstLine="0"/>
              <w:rPr>
                <w:spacing w:val="-2"/>
              </w:rPr>
            </w:pPr>
            <w:r w:rsidRPr="004A2259">
              <w:rPr>
                <w:spacing w:val="-2"/>
              </w:rPr>
              <w:t>Jaunu institūciju izveide, esošu institūciju likvidācija vai reorganizācija, to ietekme uz institūcijas cilvēkresursiem</w:t>
            </w:r>
          </w:p>
        </w:tc>
        <w:tc>
          <w:tcPr>
            <w:tcW w:w="4961" w:type="dxa"/>
          </w:tcPr>
          <w:p w14:paraId="6797B49B" w14:textId="494E294E" w:rsidR="0018086A" w:rsidRPr="004A2259" w:rsidRDefault="00AB0902" w:rsidP="004A2259">
            <w:pPr>
              <w:ind w:left="40" w:right="57"/>
              <w:jc w:val="both"/>
              <w:rPr>
                <w:noProof/>
                <w:color w:val="000000"/>
                <w:spacing w:val="-2"/>
              </w:rPr>
            </w:pPr>
            <w:r w:rsidRPr="00AB0902">
              <w:rPr>
                <w:iCs/>
                <w:lang w:eastAsia="lv-LV"/>
              </w:rPr>
              <w:t>Rīkojuma projekts šo jomu neskar</w:t>
            </w:r>
          </w:p>
        </w:tc>
      </w:tr>
      <w:tr w:rsidR="0018086A" w:rsidRPr="004A2259" w14:paraId="15CBAD3F" w14:textId="77777777" w:rsidTr="000E1EA7">
        <w:trPr>
          <w:trHeight w:val="109"/>
        </w:trPr>
        <w:tc>
          <w:tcPr>
            <w:tcW w:w="492" w:type="dxa"/>
          </w:tcPr>
          <w:p w14:paraId="779B73A4" w14:textId="77777777" w:rsidR="0018086A" w:rsidRPr="004A2259" w:rsidRDefault="00E32447" w:rsidP="00A049A0">
            <w:pPr>
              <w:pStyle w:val="naiskr"/>
              <w:spacing w:before="0" w:after="0"/>
              <w:ind w:left="57" w:right="57"/>
              <w:rPr>
                <w:spacing w:val="-2"/>
              </w:rPr>
            </w:pPr>
            <w:r w:rsidRPr="004A2259">
              <w:rPr>
                <w:spacing w:val="-2"/>
              </w:rPr>
              <w:t>3</w:t>
            </w:r>
            <w:r w:rsidR="0018086A" w:rsidRPr="004A2259">
              <w:rPr>
                <w:spacing w:val="-2"/>
              </w:rPr>
              <w:t>.</w:t>
            </w:r>
          </w:p>
        </w:tc>
        <w:tc>
          <w:tcPr>
            <w:tcW w:w="3903" w:type="dxa"/>
          </w:tcPr>
          <w:p w14:paraId="21B05709" w14:textId="77777777" w:rsidR="0018086A" w:rsidRPr="004A2259" w:rsidRDefault="0018086A" w:rsidP="00A049A0">
            <w:pPr>
              <w:pStyle w:val="naiskr"/>
              <w:spacing w:before="0" w:after="0"/>
              <w:ind w:left="57" w:right="57"/>
              <w:rPr>
                <w:spacing w:val="-2"/>
              </w:rPr>
            </w:pPr>
            <w:r w:rsidRPr="004A2259">
              <w:rPr>
                <w:spacing w:val="-2"/>
              </w:rPr>
              <w:t>Cita informācija</w:t>
            </w:r>
          </w:p>
        </w:tc>
        <w:tc>
          <w:tcPr>
            <w:tcW w:w="4961" w:type="dxa"/>
          </w:tcPr>
          <w:p w14:paraId="0507C2E0" w14:textId="77777777" w:rsidR="0018086A" w:rsidRPr="004A2259" w:rsidRDefault="0018086A" w:rsidP="004A2259">
            <w:pPr>
              <w:pStyle w:val="naiskr"/>
              <w:spacing w:before="0" w:after="0"/>
              <w:ind w:left="40" w:right="57"/>
              <w:rPr>
                <w:spacing w:val="-2"/>
              </w:rPr>
            </w:pPr>
            <w:r w:rsidRPr="004A2259">
              <w:rPr>
                <w:spacing w:val="-2"/>
              </w:rPr>
              <w:t>Nav</w:t>
            </w:r>
            <w:r w:rsidR="00745F3A" w:rsidRPr="004A2259">
              <w:rPr>
                <w:spacing w:val="-2"/>
              </w:rPr>
              <w:t>.</w:t>
            </w:r>
          </w:p>
        </w:tc>
      </w:tr>
    </w:tbl>
    <w:p w14:paraId="41C20142" w14:textId="77777777" w:rsidR="00A07BB2" w:rsidRDefault="00A07BB2" w:rsidP="00A049A0">
      <w:pPr>
        <w:pStyle w:val="NormalWeb"/>
        <w:spacing w:before="0" w:beforeAutospacing="0" w:after="0" w:afterAutospacing="0"/>
        <w:rPr>
          <w:spacing w:val="-2"/>
        </w:rPr>
      </w:pPr>
    </w:p>
    <w:p w14:paraId="63B6BC46" w14:textId="77777777" w:rsidR="00FE36DC" w:rsidRPr="004A2259" w:rsidRDefault="00FE36DC" w:rsidP="00A049A0">
      <w:pPr>
        <w:pStyle w:val="NormalWeb"/>
        <w:spacing w:before="0" w:beforeAutospacing="0" w:after="0" w:afterAutospacing="0"/>
        <w:rPr>
          <w:spacing w:val="-2"/>
        </w:rPr>
      </w:pPr>
    </w:p>
    <w:p w14:paraId="4AB723BB" w14:textId="77777777" w:rsidR="00FE1DB7" w:rsidRPr="004A2259" w:rsidRDefault="00FE1DB7" w:rsidP="00E9114A">
      <w:pPr>
        <w:pStyle w:val="Body"/>
        <w:spacing w:after="0" w:line="240" w:lineRule="auto"/>
        <w:ind w:firstLine="709"/>
        <w:jc w:val="both"/>
        <w:rPr>
          <w:rFonts w:ascii="Times New Roman" w:hAnsi="Times New Roman"/>
          <w:color w:val="auto"/>
          <w:sz w:val="24"/>
          <w:szCs w:val="24"/>
          <w:lang w:val="de-DE"/>
        </w:rPr>
      </w:pPr>
    </w:p>
    <w:p w14:paraId="0454B7D1" w14:textId="42941C54" w:rsidR="006F739E" w:rsidRPr="004A2259" w:rsidRDefault="004A2259" w:rsidP="006F739E">
      <w:pPr>
        <w:ind w:firstLine="720"/>
      </w:pPr>
      <w:r>
        <w:t>I</w:t>
      </w:r>
      <w:r w:rsidR="006F739E" w:rsidRPr="004A2259">
        <w:t>zglītības un zinātnes ministre</w:t>
      </w:r>
      <w:r w:rsidR="006F739E" w:rsidRPr="004A2259">
        <w:tab/>
      </w:r>
      <w:r w:rsidR="006F739E" w:rsidRPr="004A2259">
        <w:tab/>
      </w:r>
      <w:r w:rsidR="006F739E" w:rsidRPr="004A2259">
        <w:tab/>
      </w:r>
      <w:r w:rsidR="006F739E" w:rsidRPr="004A2259">
        <w:tab/>
        <w:t xml:space="preserve"> </w:t>
      </w:r>
      <w:r w:rsidR="00B90065">
        <w:tab/>
      </w:r>
      <w:r w:rsidR="006F739E" w:rsidRPr="004A2259">
        <w:t>Ilga Šuplinska</w:t>
      </w:r>
    </w:p>
    <w:p w14:paraId="411C9143" w14:textId="246295AD" w:rsidR="006F739E" w:rsidRPr="004A2259" w:rsidRDefault="006F739E" w:rsidP="006F739E"/>
    <w:p w14:paraId="6F03B362" w14:textId="3A9F43ED" w:rsidR="006F739E" w:rsidRPr="004A2259" w:rsidRDefault="006F739E" w:rsidP="006F739E">
      <w:pPr>
        <w:ind w:firstLine="720"/>
      </w:pPr>
    </w:p>
    <w:p w14:paraId="0AFDA774" w14:textId="400DC423" w:rsidR="006F739E" w:rsidRPr="004A2259" w:rsidRDefault="006F739E" w:rsidP="006F739E">
      <w:pPr>
        <w:ind w:firstLine="720"/>
      </w:pPr>
    </w:p>
    <w:p w14:paraId="6B2A58FD" w14:textId="52A4DFCA" w:rsidR="006F739E" w:rsidRDefault="006F739E" w:rsidP="006F739E">
      <w:pPr>
        <w:ind w:firstLine="720"/>
      </w:pPr>
    </w:p>
    <w:p w14:paraId="1FB2C3C3" w14:textId="77777777" w:rsidR="00B90065" w:rsidRPr="004A2259" w:rsidRDefault="00B90065" w:rsidP="006F739E">
      <w:pPr>
        <w:ind w:firstLine="720"/>
      </w:pPr>
    </w:p>
    <w:p w14:paraId="1A2A2838" w14:textId="77777777" w:rsidR="006F739E" w:rsidRDefault="006F739E" w:rsidP="006F739E">
      <w:pPr>
        <w:ind w:firstLine="720"/>
      </w:pPr>
    </w:p>
    <w:p w14:paraId="71C7EA66" w14:textId="77777777" w:rsidR="00FE36DC" w:rsidRDefault="00FE36DC" w:rsidP="006F739E">
      <w:pPr>
        <w:ind w:firstLine="720"/>
      </w:pPr>
    </w:p>
    <w:p w14:paraId="1D78469D" w14:textId="77777777" w:rsidR="00FE36DC" w:rsidRDefault="00FE36DC" w:rsidP="006F739E">
      <w:pPr>
        <w:ind w:firstLine="720"/>
      </w:pPr>
    </w:p>
    <w:p w14:paraId="2A39BCBE" w14:textId="77777777" w:rsidR="00FE36DC" w:rsidRDefault="00FE36DC" w:rsidP="006F739E">
      <w:pPr>
        <w:ind w:firstLine="720"/>
      </w:pPr>
    </w:p>
    <w:p w14:paraId="040A9859" w14:textId="77777777" w:rsidR="00FE36DC" w:rsidRDefault="00FE36DC" w:rsidP="006F739E">
      <w:pPr>
        <w:ind w:firstLine="720"/>
      </w:pPr>
    </w:p>
    <w:p w14:paraId="25834136" w14:textId="77777777" w:rsidR="00FE36DC" w:rsidRDefault="00FE36DC" w:rsidP="006F739E">
      <w:pPr>
        <w:ind w:firstLine="720"/>
      </w:pPr>
    </w:p>
    <w:p w14:paraId="376974E8" w14:textId="77777777" w:rsidR="00FE36DC" w:rsidRPr="004A2259" w:rsidRDefault="00FE36DC" w:rsidP="006F739E">
      <w:pPr>
        <w:ind w:firstLine="720"/>
      </w:pPr>
    </w:p>
    <w:p w14:paraId="7C059D8D" w14:textId="689D9608" w:rsidR="006F739E" w:rsidRPr="004A2259" w:rsidRDefault="006F739E" w:rsidP="006F739E">
      <w:pPr>
        <w:ind w:firstLine="720"/>
        <w:rPr>
          <w:sz w:val="22"/>
          <w:szCs w:val="22"/>
        </w:rPr>
      </w:pPr>
      <w:r w:rsidRPr="004A2259">
        <w:rPr>
          <w:sz w:val="22"/>
          <w:szCs w:val="22"/>
        </w:rPr>
        <w:t>Kūliņš</w:t>
      </w:r>
      <w:r w:rsidR="00B90065" w:rsidRPr="004A2259">
        <w:rPr>
          <w:sz w:val="22"/>
          <w:szCs w:val="22"/>
        </w:rPr>
        <w:t xml:space="preserve"> </w:t>
      </w:r>
      <w:r w:rsidRPr="004A2259">
        <w:rPr>
          <w:sz w:val="22"/>
          <w:szCs w:val="22"/>
        </w:rPr>
        <w:t>67047</w:t>
      </w:r>
      <w:r w:rsidR="00B90065" w:rsidRPr="004A2259">
        <w:rPr>
          <w:sz w:val="22"/>
          <w:szCs w:val="22"/>
        </w:rPr>
        <w:t>884</w:t>
      </w:r>
    </w:p>
    <w:p w14:paraId="7E7A1A3D" w14:textId="00919889" w:rsidR="006F739E" w:rsidRPr="004A2259" w:rsidRDefault="00B90065" w:rsidP="006F739E">
      <w:pPr>
        <w:ind w:firstLine="720"/>
        <w:rPr>
          <w:sz w:val="22"/>
          <w:szCs w:val="22"/>
        </w:rPr>
      </w:pPr>
      <w:r w:rsidRPr="004A2259">
        <w:rPr>
          <w:sz w:val="22"/>
          <w:szCs w:val="22"/>
        </w:rPr>
        <w:t>silvestrs</w:t>
      </w:r>
      <w:r w:rsidR="006F739E" w:rsidRPr="004A2259">
        <w:rPr>
          <w:sz w:val="22"/>
          <w:szCs w:val="22"/>
        </w:rPr>
        <w:t>.kulins@izm.gov.lv</w:t>
      </w:r>
    </w:p>
    <w:p w14:paraId="5EAACBE1" w14:textId="2D4D8548" w:rsidR="00FE1DB7" w:rsidRPr="004A2259" w:rsidRDefault="00FE1DB7" w:rsidP="006F739E">
      <w:pPr>
        <w:pStyle w:val="Body"/>
        <w:tabs>
          <w:tab w:val="left" w:pos="6237"/>
        </w:tabs>
        <w:spacing w:after="0" w:line="240" w:lineRule="auto"/>
        <w:jc w:val="both"/>
        <w:rPr>
          <w:sz w:val="24"/>
          <w:szCs w:val="24"/>
          <w:highlight w:val="yellow"/>
        </w:rPr>
      </w:pPr>
    </w:p>
    <w:sectPr w:rsidR="00FE1DB7" w:rsidRPr="004A2259" w:rsidSect="004A2259">
      <w:headerReference w:type="even" r:id="rId9"/>
      <w:headerReference w:type="default" r:id="rId10"/>
      <w:footerReference w:type="default" r:id="rId11"/>
      <w:footerReference w:type="first" r:id="rId12"/>
      <w:pgSz w:w="11906" w:h="16838" w:code="9"/>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51CA5" w14:textId="77777777" w:rsidR="00E34667" w:rsidRDefault="00E34667">
      <w:r>
        <w:separator/>
      </w:r>
    </w:p>
  </w:endnote>
  <w:endnote w:type="continuationSeparator" w:id="0">
    <w:p w14:paraId="6023DA47" w14:textId="77777777" w:rsidR="00E34667" w:rsidRDefault="00E3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D4374" w14:textId="5E9868A5" w:rsidR="00DC7FC8" w:rsidRPr="001802F6" w:rsidRDefault="001802F6" w:rsidP="001802F6">
    <w:pPr>
      <w:pStyle w:val="Footer"/>
    </w:pPr>
    <w:r w:rsidRPr="001802F6">
      <w:rPr>
        <w:sz w:val="22"/>
        <w:szCs w:val="22"/>
      </w:rPr>
      <w:t>IZMAnot_</w:t>
    </w:r>
    <w:r w:rsidR="00886938">
      <w:rPr>
        <w:sz w:val="22"/>
        <w:szCs w:val="22"/>
      </w:rPr>
      <w:t>0106</w:t>
    </w:r>
    <w:r w:rsidRPr="001802F6">
      <w:rPr>
        <w:sz w:val="22"/>
        <w:szCs w:val="22"/>
      </w:rPr>
      <w:t>21_Groz385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C809F" w14:textId="49429742" w:rsidR="00DC7FC8" w:rsidRPr="001802F6" w:rsidRDefault="001802F6" w:rsidP="001802F6">
    <w:pPr>
      <w:pStyle w:val="Footer"/>
    </w:pPr>
    <w:r w:rsidRPr="001802F6">
      <w:rPr>
        <w:sz w:val="22"/>
        <w:szCs w:val="22"/>
      </w:rPr>
      <w:t>IZMAnot_</w:t>
    </w:r>
    <w:r w:rsidR="00886938">
      <w:rPr>
        <w:sz w:val="22"/>
        <w:szCs w:val="22"/>
      </w:rPr>
      <w:t>0106</w:t>
    </w:r>
    <w:r w:rsidRPr="001802F6">
      <w:rPr>
        <w:sz w:val="22"/>
        <w:szCs w:val="22"/>
      </w:rPr>
      <w:t>21_Groz385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7554E" w14:textId="77777777" w:rsidR="00E34667" w:rsidRDefault="00E34667">
      <w:r>
        <w:separator/>
      </w:r>
    </w:p>
  </w:footnote>
  <w:footnote w:type="continuationSeparator" w:id="0">
    <w:p w14:paraId="3CE46CE5" w14:textId="77777777" w:rsidR="00E34667" w:rsidRDefault="00E34667">
      <w:r>
        <w:continuationSeparator/>
      </w:r>
    </w:p>
  </w:footnote>
  <w:footnote w:id="1">
    <w:p w14:paraId="4C0C7992" w14:textId="72188695" w:rsidR="00016771" w:rsidRDefault="00016771" w:rsidP="00016771">
      <w:pPr>
        <w:pStyle w:val="FootnoteText"/>
        <w:jc w:val="both"/>
      </w:pPr>
      <w:r>
        <w:rPr>
          <w:rStyle w:val="FootnoteReference"/>
        </w:rPr>
        <w:footnoteRef/>
      </w:r>
      <w:r>
        <w:t xml:space="preserve"> </w:t>
      </w:r>
      <w:hyperlink r:id="rId1" w:history="1">
        <w:r w:rsidR="009C37CC" w:rsidRPr="0025402B">
          <w:rPr>
            <w:rStyle w:val="Hyperlink"/>
            <w:i/>
          </w:rPr>
          <w:t>https://www.izm.gov.lv/lv/jaunums/apstiprina-sporta-nozarei-pieskirto-valsts-budzeta-lidzeklu-sadali-2021gadam</w:t>
        </w:r>
      </w:hyperlink>
      <w:r>
        <w:t xml:space="preserve"> </w:t>
      </w:r>
      <w:r w:rsidR="009C37C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4CB8E" w14:textId="77777777" w:rsidR="00DC7FC8" w:rsidRDefault="00DC7FC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E1FFBE" w14:textId="77777777" w:rsidR="00DC7FC8" w:rsidRDefault="00DC7F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4784979"/>
      <w:docPartObj>
        <w:docPartGallery w:val="Page Numbers (Top of Page)"/>
        <w:docPartUnique/>
      </w:docPartObj>
    </w:sdtPr>
    <w:sdtEndPr>
      <w:rPr>
        <w:noProof/>
      </w:rPr>
    </w:sdtEndPr>
    <w:sdtContent>
      <w:p w14:paraId="606943FD" w14:textId="6E102DBE" w:rsidR="007E61F8" w:rsidRDefault="007E61F8">
        <w:pPr>
          <w:pStyle w:val="Header"/>
          <w:jc w:val="center"/>
        </w:pPr>
        <w:r>
          <w:fldChar w:fldCharType="begin"/>
        </w:r>
        <w:r>
          <w:instrText xml:space="preserve"> PAGE   \* MERGEFORMAT </w:instrText>
        </w:r>
        <w:r>
          <w:fldChar w:fldCharType="separate"/>
        </w:r>
        <w:r w:rsidR="00CE11B0">
          <w:rPr>
            <w:noProof/>
          </w:rPr>
          <w:t>6</w:t>
        </w:r>
        <w:r>
          <w:rPr>
            <w:noProof/>
          </w:rPr>
          <w:fldChar w:fldCharType="end"/>
        </w:r>
      </w:p>
    </w:sdtContent>
  </w:sdt>
  <w:p w14:paraId="4D5DBA7C" w14:textId="77777777" w:rsidR="00DC7FC8" w:rsidRDefault="00DC7FC8" w:rsidP="007E61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AE817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B8643F"/>
    <w:multiLevelType w:val="hybridMultilevel"/>
    <w:tmpl w:val="3F841D2A"/>
    <w:lvl w:ilvl="0" w:tplc="3BC450E8">
      <w:start w:val="1"/>
      <w:numFmt w:val="decimal"/>
      <w:lvlText w:val="(%1)"/>
      <w:lvlJc w:val="left"/>
      <w:pPr>
        <w:ind w:left="744" w:hanging="384"/>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D3E4135"/>
    <w:multiLevelType w:val="hybridMultilevel"/>
    <w:tmpl w:val="E78C9E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8D2C7F"/>
    <w:multiLevelType w:val="hybridMultilevel"/>
    <w:tmpl w:val="5AF268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1A75A3"/>
    <w:multiLevelType w:val="hybridMultilevel"/>
    <w:tmpl w:val="C3B81532"/>
    <w:lvl w:ilvl="0" w:tplc="B3240AD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376084"/>
    <w:multiLevelType w:val="hybridMultilevel"/>
    <w:tmpl w:val="F514986E"/>
    <w:lvl w:ilvl="0" w:tplc="780610D4">
      <w:start w:val="1"/>
      <w:numFmt w:val="decimal"/>
      <w:lvlText w:val="%1)"/>
      <w:lvlJc w:val="left"/>
      <w:pPr>
        <w:ind w:left="885" w:hanging="52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7E0D57"/>
    <w:multiLevelType w:val="hybridMultilevel"/>
    <w:tmpl w:val="19AEA6D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AE60F74"/>
    <w:multiLevelType w:val="multilevel"/>
    <w:tmpl w:val="AF5E1B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1CB87BC4"/>
    <w:multiLevelType w:val="hybridMultilevel"/>
    <w:tmpl w:val="27CE7524"/>
    <w:lvl w:ilvl="0" w:tplc="633C8C1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042405A"/>
    <w:multiLevelType w:val="hybridMultilevel"/>
    <w:tmpl w:val="0B30A1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FD46FD"/>
    <w:multiLevelType w:val="hybridMultilevel"/>
    <w:tmpl w:val="AF4CAB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 w15:restartNumberingAfterBreak="0">
    <w:nsid w:val="33B7223B"/>
    <w:multiLevelType w:val="hybridMultilevel"/>
    <w:tmpl w:val="A58EE66E"/>
    <w:lvl w:ilvl="0" w:tplc="4AA89766">
      <w:start w:val="2"/>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7" w15:restartNumberingAfterBreak="0">
    <w:nsid w:val="387512AE"/>
    <w:multiLevelType w:val="hybridMultilevel"/>
    <w:tmpl w:val="7160F2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2C9556C"/>
    <w:multiLevelType w:val="hybridMultilevel"/>
    <w:tmpl w:val="2730A008"/>
    <w:lvl w:ilvl="0" w:tplc="7B6A2C0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EB00B23"/>
    <w:multiLevelType w:val="hybridMultilevel"/>
    <w:tmpl w:val="4C06D76A"/>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01736F8"/>
    <w:multiLevelType w:val="hybridMultilevel"/>
    <w:tmpl w:val="6B446B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5073CA1"/>
    <w:multiLevelType w:val="hybridMultilevel"/>
    <w:tmpl w:val="34A40762"/>
    <w:lvl w:ilvl="0" w:tplc="EE942380">
      <w:start w:val="1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8"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60D05FA3"/>
    <w:multiLevelType w:val="hybridMultilevel"/>
    <w:tmpl w:val="0AACC4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2022458"/>
    <w:multiLevelType w:val="hybridMultilevel"/>
    <w:tmpl w:val="92043E4C"/>
    <w:lvl w:ilvl="0" w:tplc="3A74FAEA">
      <w:start w:val="1"/>
      <w:numFmt w:val="decimal"/>
      <w:lvlText w:val="%1)"/>
      <w:lvlJc w:val="left"/>
      <w:pPr>
        <w:tabs>
          <w:tab w:val="num" w:pos="417"/>
        </w:tabs>
        <w:ind w:left="417" w:hanging="360"/>
      </w:pPr>
      <w:rPr>
        <w:rFonts w:hint="default"/>
        <w:sz w:val="24"/>
        <w:szCs w:val="24"/>
      </w:rPr>
    </w:lvl>
    <w:lvl w:ilvl="1" w:tplc="FFFFFFFF" w:tentative="1">
      <w:start w:val="1"/>
      <w:numFmt w:val="lowerLetter"/>
      <w:lvlText w:val="%2."/>
      <w:lvlJc w:val="left"/>
      <w:pPr>
        <w:tabs>
          <w:tab w:val="num" w:pos="1137"/>
        </w:tabs>
        <w:ind w:left="1137" w:hanging="360"/>
      </w:pPr>
    </w:lvl>
    <w:lvl w:ilvl="2" w:tplc="FFFFFFFF" w:tentative="1">
      <w:start w:val="1"/>
      <w:numFmt w:val="lowerRoman"/>
      <w:lvlText w:val="%3."/>
      <w:lvlJc w:val="right"/>
      <w:pPr>
        <w:tabs>
          <w:tab w:val="num" w:pos="1857"/>
        </w:tabs>
        <w:ind w:left="1857" w:hanging="180"/>
      </w:pPr>
    </w:lvl>
    <w:lvl w:ilvl="3" w:tplc="FFFFFFFF" w:tentative="1">
      <w:start w:val="1"/>
      <w:numFmt w:val="decimal"/>
      <w:lvlText w:val="%4."/>
      <w:lvlJc w:val="left"/>
      <w:pPr>
        <w:tabs>
          <w:tab w:val="num" w:pos="2577"/>
        </w:tabs>
        <w:ind w:left="2577" w:hanging="360"/>
      </w:pPr>
    </w:lvl>
    <w:lvl w:ilvl="4" w:tplc="FFFFFFFF" w:tentative="1">
      <w:start w:val="1"/>
      <w:numFmt w:val="lowerLetter"/>
      <w:lvlText w:val="%5."/>
      <w:lvlJc w:val="left"/>
      <w:pPr>
        <w:tabs>
          <w:tab w:val="num" w:pos="3297"/>
        </w:tabs>
        <w:ind w:left="3297" w:hanging="360"/>
      </w:pPr>
    </w:lvl>
    <w:lvl w:ilvl="5" w:tplc="FFFFFFFF" w:tentative="1">
      <w:start w:val="1"/>
      <w:numFmt w:val="lowerRoman"/>
      <w:lvlText w:val="%6."/>
      <w:lvlJc w:val="right"/>
      <w:pPr>
        <w:tabs>
          <w:tab w:val="num" w:pos="4017"/>
        </w:tabs>
        <w:ind w:left="4017" w:hanging="180"/>
      </w:pPr>
    </w:lvl>
    <w:lvl w:ilvl="6" w:tplc="FFFFFFFF" w:tentative="1">
      <w:start w:val="1"/>
      <w:numFmt w:val="decimal"/>
      <w:lvlText w:val="%7."/>
      <w:lvlJc w:val="left"/>
      <w:pPr>
        <w:tabs>
          <w:tab w:val="num" w:pos="4737"/>
        </w:tabs>
        <w:ind w:left="4737" w:hanging="360"/>
      </w:pPr>
    </w:lvl>
    <w:lvl w:ilvl="7" w:tplc="FFFFFFFF" w:tentative="1">
      <w:start w:val="1"/>
      <w:numFmt w:val="lowerLetter"/>
      <w:lvlText w:val="%8."/>
      <w:lvlJc w:val="left"/>
      <w:pPr>
        <w:tabs>
          <w:tab w:val="num" w:pos="5457"/>
        </w:tabs>
        <w:ind w:left="5457" w:hanging="360"/>
      </w:pPr>
    </w:lvl>
    <w:lvl w:ilvl="8" w:tplc="FFFFFFFF" w:tentative="1">
      <w:start w:val="1"/>
      <w:numFmt w:val="lowerRoman"/>
      <w:lvlText w:val="%9."/>
      <w:lvlJc w:val="right"/>
      <w:pPr>
        <w:tabs>
          <w:tab w:val="num" w:pos="6177"/>
        </w:tabs>
        <w:ind w:left="6177" w:hanging="180"/>
      </w:pPr>
    </w:lvl>
  </w:abstractNum>
  <w:abstractNum w:abstractNumId="31"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53A2E19"/>
    <w:multiLevelType w:val="hybridMultilevel"/>
    <w:tmpl w:val="1EA88D34"/>
    <w:lvl w:ilvl="0" w:tplc="C6424D54">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8542476"/>
    <w:multiLevelType w:val="hybridMultilevel"/>
    <w:tmpl w:val="7F660EDC"/>
    <w:lvl w:ilvl="0" w:tplc="04260017">
      <w:start w:val="1"/>
      <w:numFmt w:val="lowerLetter"/>
      <w:lvlText w:val="%1)"/>
      <w:lvlJc w:val="left"/>
      <w:pPr>
        <w:ind w:left="732" w:hanging="372"/>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C70500D"/>
    <w:multiLevelType w:val="hybridMultilevel"/>
    <w:tmpl w:val="9F3667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DD252AC"/>
    <w:multiLevelType w:val="hybridMultilevel"/>
    <w:tmpl w:val="963E32B0"/>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0C5543"/>
    <w:multiLevelType w:val="hybridMultilevel"/>
    <w:tmpl w:val="3F841D2A"/>
    <w:lvl w:ilvl="0" w:tplc="3BC450E8">
      <w:start w:val="1"/>
      <w:numFmt w:val="decimal"/>
      <w:lvlText w:val="(%1)"/>
      <w:lvlJc w:val="left"/>
      <w:pPr>
        <w:ind w:left="744" w:hanging="384"/>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76F3D40"/>
    <w:multiLevelType w:val="hybridMultilevel"/>
    <w:tmpl w:val="224E923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8703E93"/>
    <w:multiLevelType w:val="hybridMultilevel"/>
    <w:tmpl w:val="50820DE8"/>
    <w:lvl w:ilvl="0" w:tplc="B3683B2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C9C38F5"/>
    <w:multiLevelType w:val="hybridMultilevel"/>
    <w:tmpl w:val="6234EC40"/>
    <w:lvl w:ilvl="0" w:tplc="95A4509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F4A1B84"/>
    <w:multiLevelType w:val="multilevel"/>
    <w:tmpl w:val="AF5E1B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5"/>
  </w:num>
  <w:num w:numId="2">
    <w:abstractNumId w:val="28"/>
  </w:num>
  <w:num w:numId="3">
    <w:abstractNumId w:val="12"/>
  </w:num>
  <w:num w:numId="4">
    <w:abstractNumId w:val="8"/>
  </w:num>
  <w:num w:numId="5">
    <w:abstractNumId w:val="2"/>
  </w:num>
  <w:num w:numId="6">
    <w:abstractNumId w:val="24"/>
  </w:num>
  <w:num w:numId="7">
    <w:abstractNumId w:val="31"/>
  </w:num>
  <w:num w:numId="8">
    <w:abstractNumId w:val="19"/>
  </w:num>
  <w:num w:numId="9">
    <w:abstractNumId w:val="10"/>
  </w:num>
  <w:num w:numId="10">
    <w:abstractNumId w:val="20"/>
  </w:num>
  <w:num w:numId="11">
    <w:abstractNumId w:val="21"/>
  </w:num>
  <w:num w:numId="12">
    <w:abstractNumId w:val="26"/>
  </w:num>
  <w:num w:numId="13">
    <w:abstractNumId w:val="27"/>
  </w:num>
  <w:num w:numId="14">
    <w:abstractNumId w:val="30"/>
  </w:num>
  <w:num w:numId="15">
    <w:abstractNumId w:val="13"/>
  </w:num>
  <w:num w:numId="16">
    <w:abstractNumId w:val="25"/>
  </w:num>
  <w:num w:numId="17">
    <w:abstractNumId w:val="0"/>
  </w:num>
  <w:num w:numId="18">
    <w:abstractNumId w:val="35"/>
  </w:num>
  <w:num w:numId="19">
    <w:abstractNumId w:val="23"/>
  </w:num>
  <w:num w:numId="20">
    <w:abstractNumId w:val="17"/>
  </w:num>
  <w:num w:numId="21">
    <w:abstractNumId w:val="32"/>
  </w:num>
  <w:num w:numId="22">
    <w:abstractNumId w:val="18"/>
  </w:num>
  <w:num w:numId="23">
    <w:abstractNumId w:val="3"/>
  </w:num>
  <w:num w:numId="24">
    <w:abstractNumId w:val="4"/>
  </w:num>
  <w:num w:numId="25">
    <w:abstractNumId w:val="37"/>
  </w:num>
  <w:num w:numId="26">
    <w:abstractNumId w:val="7"/>
  </w:num>
  <w:num w:numId="27">
    <w:abstractNumId w:val="38"/>
  </w:num>
  <w:num w:numId="28">
    <w:abstractNumId w:val="40"/>
  </w:num>
  <w:num w:numId="29">
    <w:abstractNumId w:val="16"/>
  </w:num>
  <w:num w:numId="30">
    <w:abstractNumId w:val="22"/>
  </w:num>
  <w:num w:numId="31">
    <w:abstractNumId w:val="29"/>
  </w:num>
  <w:num w:numId="32">
    <w:abstractNumId w:val="6"/>
  </w:num>
  <w:num w:numId="33">
    <w:abstractNumId w:val="39"/>
  </w:num>
  <w:num w:numId="34">
    <w:abstractNumId w:val="14"/>
  </w:num>
  <w:num w:numId="35">
    <w:abstractNumId w:val="33"/>
  </w:num>
  <w:num w:numId="36">
    <w:abstractNumId w:val="5"/>
  </w:num>
  <w:num w:numId="37">
    <w:abstractNumId w:val="11"/>
  </w:num>
  <w:num w:numId="38">
    <w:abstractNumId w:val="9"/>
  </w:num>
  <w:num w:numId="39">
    <w:abstractNumId w:val="34"/>
  </w:num>
  <w:num w:numId="40">
    <w:abstractNumId w:val="36"/>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CE4"/>
    <w:rsid w:val="00000E83"/>
    <w:rsid w:val="00001C37"/>
    <w:rsid w:val="00003621"/>
    <w:rsid w:val="00004E26"/>
    <w:rsid w:val="00005129"/>
    <w:rsid w:val="0000546B"/>
    <w:rsid w:val="0000622C"/>
    <w:rsid w:val="00006A7F"/>
    <w:rsid w:val="00006E94"/>
    <w:rsid w:val="00006F8C"/>
    <w:rsid w:val="00007465"/>
    <w:rsid w:val="00010118"/>
    <w:rsid w:val="00010701"/>
    <w:rsid w:val="00011D00"/>
    <w:rsid w:val="00013479"/>
    <w:rsid w:val="000141FB"/>
    <w:rsid w:val="00014476"/>
    <w:rsid w:val="00015493"/>
    <w:rsid w:val="00015CCC"/>
    <w:rsid w:val="00016771"/>
    <w:rsid w:val="00016811"/>
    <w:rsid w:val="00020698"/>
    <w:rsid w:val="00020F1A"/>
    <w:rsid w:val="000217C4"/>
    <w:rsid w:val="000226F2"/>
    <w:rsid w:val="000238B8"/>
    <w:rsid w:val="00024F1C"/>
    <w:rsid w:val="00024FCF"/>
    <w:rsid w:val="000256B7"/>
    <w:rsid w:val="000264F2"/>
    <w:rsid w:val="00026640"/>
    <w:rsid w:val="00026A49"/>
    <w:rsid w:val="00026F6F"/>
    <w:rsid w:val="00030463"/>
    <w:rsid w:val="000326A6"/>
    <w:rsid w:val="000329E2"/>
    <w:rsid w:val="00032CD0"/>
    <w:rsid w:val="0003304D"/>
    <w:rsid w:val="00033C49"/>
    <w:rsid w:val="00034D2D"/>
    <w:rsid w:val="000354CB"/>
    <w:rsid w:val="00036374"/>
    <w:rsid w:val="00041D9D"/>
    <w:rsid w:val="000423D4"/>
    <w:rsid w:val="00043BF2"/>
    <w:rsid w:val="00044F1F"/>
    <w:rsid w:val="000461D6"/>
    <w:rsid w:val="00046430"/>
    <w:rsid w:val="00047232"/>
    <w:rsid w:val="0005036E"/>
    <w:rsid w:val="00050EE4"/>
    <w:rsid w:val="000522C8"/>
    <w:rsid w:val="00053EE6"/>
    <w:rsid w:val="00054174"/>
    <w:rsid w:val="000549D9"/>
    <w:rsid w:val="00054A27"/>
    <w:rsid w:val="00055068"/>
    <w:rsid w:val="00055853"/>
    <w:rsid w:val="00055F8A"/>
    <w:rsid w:val="00055FE1"/>
    <w:rsid w:val="000565E2"/>
    <w:rsid w:val="000576D4"/>
    <w:rsid w:val="000604D0"/>
    <w:rsid w:val="00061719"/>
    <w:rsid w:val="000617EC"/>
    <w:rsid w:val="00065AD4"/>
    <w:rsid w:val="00066926"/>
    <w:rsid w:val="0007065A"/>
    <w:rsid w:val="0007117E"/>
    <w:rsid w:val="00072B30"/>
    <w:rsid w:val="00074054"/>
    <w:rsid w:val="00075F9F"/>
    <w:rsid w:val="000765C6"/>
    <w:rsid w:val="0007779F"/>
    <w:rsid w:val="000777FA"/>
    <w:rsid w:val="00081037"/>
    <w:rsid w:val="00082CE8"/>
    <w:rsid w:val="000831F5"/>
    <w:rsid w:val="000853F2"/>
    <w:rsid w:val="00085487"/>
    <w:rsid w:val="00085B9D"/>
    <w:rsid w:val="00087A27"/>
    <w:rsid w:val="00093A65"/>
    <w:rsid w:val="00093C8C"/>
    <w:rsid w:val="000941D3"/>
    <w:rsid w:val="000949BB"/>
    <w:rsid w:val="00095256"/>
    <w:rsid w:val="0009631A"/>
    <w:rsid w:val="000970C3"/>
    <w:rsid w:val="00097CB6"/>
    <w:rsid w:val="000A1088"/>
    <w:rsid w:val="000A1842"/>
    <w:rsid w:val="000A1FE4"/>
    <w:rsid w:val="000A2630"/>
    <w:rsid w:val="000A2FAA"/>
    <w:rsid w:val="000A33F8"/>
    <w:rsid w:val="000A4421"/>
    <w:rsid w:val="000A4A01"/>
    <w:rsid w:val="000A4C23"/>
    <w:rsid w:val="000A582E"/>
    <w:rsid w:val="000A72C9"/>
    <w:rsid w:val="000B19FF"/>
    <w:rsid w:val="000B1C16"/>
    <w:rsid w:val="000B3CEF"/>
    <w:rsid w:val="000B4551"/>
    <w:rsid w:val="000B5242"/>
    <w:rsid w:val="000B7068"/>
    <w:rsid w:val="000B719C"/>
    <w:rsid w:val="000B7CDC"/>
    <w:rsid w:val="000C0267"/>
    <w:rsid w:val="000C056A"/>
    <w:rsid w:val="000C0A85"/>
    <w:rsid w:val="000C0F1D"/>
    <w:rsid w:val="000C12E1"/>
    <w:rsid w:val="000C1D90"/>
    <w:rsid w:val="000C2E4E"/>
    <w:rsid w:val="000C4D00"/>
    <w:rsid w:val="000C4DC2"/>
    <w:rsid w:val="000D2715"/>
    <w:rsid w:val="000D471E"/>
    <w:rsid w:val="000D4AAC"/>
    <w:rsid w:val="000D4C15"/>
    <w:rsid w:val="000D6193"/>
    <w:rsid w:val="000D64BE"/>
    <w:rsid w:val="000D688A"/>
    <w:rsid w:val="000D6F67"/>
    <w:rsid w:val="000E1323"/>
    <w:rsid w:val="000E1779"/>
    <w:rsid w:val="000E1EA7"/>
    <w:rsid w:val="000E2C73"/>
    <w:rsid w:val="000E5E00"/>
    <w:rsid w:val="000E6011"/>
    <w:rsid w:val="000E716D"/>
    <w:rsid w:val="000F3195"/>
    <w:rsid w:val="000F3B52"/>
    <w:rsid w:val="000F4115"/>
    <w:rsid w:val="000F47C9"/>
    <w:rsid w:val="000F525C"/>
    <w:rsid w:val="000F69CF"/>
    <w:rsid w:val="000F7C8E"/>
    <w:rsid w:val="001000F6"/>
    <w:rsid w:val="001003A6"/>
    <w:rsid w:val="001017B7"/>
    <w:rsid w:val="001030DA"/>
    <w:rsid w:val="0010512A"/>
    <w:rsid w:val="0010573B"/>
    <w:rsid w:val="00106E58"/>
    <w:rsid w:val="00107A43"/>
    <w:rsid w:val="00107B2E"/>
    <w:rsid w:val="00107D69"/>
    <w:rsid w:val="00110379"/>
    <w:rsid w:val="00110477"/>
    <w:rsid w:val="001105D0"/>
    <w:rsid w:val="00110B31"/>
    <w:rsid w:val="00111F81"/>
    <w:rsid w:val="0011258E"/>
    <w:rsid w:val="00113062"/>
    <w:rsid w:val="001130F2"/>
    <w:rsid w:val="001136C5"/>
    <w:rsid w:val="00113B05"/>
    <w:rsid w:val="0011402F"/>
    <w:rsid w:val="00114280"/>
    <w:rsid w:val="00115142"/>
    <w:rsid w:val="001156D3"/>
    <w:rsid w:val="001163DA"/>
    <w:rsid w:val="0011684B"/>
    <w:rsid w:val="00116A0C"/>
    <w:rsid w:val="00116EC3"/>
    <w:rsid w:val="00117120"/>
    <w:rsid w:val="00121203"/>
    <w:rsid w:val="00123894"/>
    <w:rsid w:val="00124A40"/>
    <w:rsid w:val="0012500E"/>
    <w:rsid w:val="00125239"/>
    <w:rsid w:val="00125691"/>
    <w:rsid w:val="00126836"/>
    <w:rsid w:val="00126D63"/>
    <w:rsid w:val="00130404"/>
    <w:rsid w:val="00130793"/>
    <w:rsid w:val="001310C3"/>
    <w:rsid w:val="00131236"/>
    <w:rsid w:val="001320BF"/>
    <w:rsid w:val="00133150"/>
    <w:rsid w:val="0013696D"/>
    <w:rsid w:val="0013799F"/>
    <w:rsid w:val="00141578"/>
    <w:rsid w:val="00141C2F"/>
    <w:rsid w:val="00142E3C"/>
    <w:rsid w:val="00143BC2"/>
    <w:rsid w:val="00143FED"/>
    <w:rsid w:val="001444ED"/>
    <w:rsid w:val="00145D5A"/>
    <w:rsid w:val="00146B3E"/>
    <w:rsid w:val="00151C41"/>
    <w:rsid w:val="00152CD2"/>
    <w:rsid w:val="00154AF5"/>
    <w:rsid w:val="001603A9"/>
    <w:rsid w:val="00160C5A"/>
    <w:rsid w:val="001610D1"/>
    <w:rsid w:val="00162698"/>
    <w:rsid w:val="0016401E"/>
    <w:rsid w:val="00164101"/>
    <w:rsid w:val="00164839"/>
    <w:rsid w:val="00164BE2"/>
    <w:rsid w:val="001659E6"/>
    <w:rsid w:val="00165EF6"/>
    <w:rsid w:val="00166B6A"/>
    <w:rsid w:val="001672D8"/>
    <w:rsid w:val="00167461"/>
    <w:rsid w:val="00167935"/>
    <w:rsid w:val="00171923"/>
    <w:rsid w:val="00172950"/>
    <w:rsid w:val="00176C27"/>
    <w:rsid w:val="00176E0A"/>
    <w:rsid w:val="00177A0C"/>
    <w:rsid w:val="001802F6"/>
    <w:rsid w:val="0018086A"/>
    <w:rsid w:val="00181EF2"/>
    <w:rsid w:val="00182C87"/>
    <w:rsid w:val="00182D27"/>
    <w:rsid w:val="00183BD6"/>
    <w:rsid w:val="00187817"/>
    <w:rsid w:val="001879AA"/>
    <w:rsid w:val="00191144"/>
    <w:rsid w:val="00191E8E"/>
    <w:rsid w:val="00193FF8"/>
    <w:rsid w:val="0019476D"/>
    <w:rsid w:val="00194BD7"/>
    <w:rsid w:val="001951E5"/>
    <w:rsid w:val="001957C4"/>
    <w:rsid w:val="00196E68"/>
    <w:rsid w:val="00197D7F"/>
    <w:rsid w:val="001A0191"/>
    <w:rsid w:val="001A102F"/>
    <w:rsid w:val="001A1284"/>
    <w:rsid w:val="001A1290"/>
    <w:rsid w:val="001A23E9"/>
    <w:rsid w:val="001A2976"/>
    <w:rsid w:val="001A2DBB"/>
    <w:rsid w:val="001A408F"/>
    <w:rsid w:val="001A52DE"/>
    <w:rsid w:val="001B0434"/>
    <w:rsid w:val="001B0B4A"/>
    <w:rsid w:val="001B171B"/>
    <w:rsid w:val="001B289D"/>
    <w:rsid w:val="001B2DA7"/>
    <w:rsid w:val="001B37B4"/>
    <w:rsid w:val="001B3BE0"/>
    <w:rsid w:val="001B55FB"/>
    <w:rsid w:val="001B7143"/>
    <w:rsid w:val="001B767E"/>
    <w:rsid w:val="001C0A4E"/>
    <w:rsid w:val="001C3DC9"/>
    <w:rsid w:val="001C46C7"/>
    <w:rsid w:val="001C58FB"/>
    <w:rsid w:val="001C5F2C"/>
    <w:rsid w:val="001C5F5D"/>
    <w:rsid w:val="001C629E"/>
    <w:rsid w:val="001C6A65"/>
    <w:rsid w:val="001D0055"/>
    <w:rsid w:val="001D13E9"/>
    <w:rsid w:val="001D45FB"/>
    <w:rsid w:val="001D5242"/>
    <w:rsid w:val="001D566B"/>
    <w:rsid w:val="001D6BDE"/>
    <w:rsid w:val="001D6FB7"/>
    <w:rsid w:val="001E0246"/>
    <w:rsid w:val="001E114F"/>
    <w:rsid w:val="001E176B"/>
    <w:rsid w:val="001E17DF"/>
    <w:rsid w:val="001E1C09"/>
    <w:rsid w:val="001E3894"/>
    <w:rsid w:val="001E3CFE"/>
    <w:rsid w:val="001E46BF"/>
    <w:rsid w:val="001E5A9A"/>
    <w:rsid w:val="001E5BB4"/>
    <w:rsid w:val="001E61DA"/>
    <w:rsid w:val="001E700D"/>
    <w:rsid w:val="001F14D8"/>
    <w:rsid w:val="001F1EA4"/>
    <w:rsid w:val="001F201D"/>
    <w:rsid w:val="001F2415"/>
    <w:rsid w:val="001F3E34"/>
    <w:rsid w:val="001F4699"/>
    <w:rsid w:val="001F6B3B"/>
    <w:rsid w:val="001F7146"/>
    <w:rsid w:val="001F75FF"/>
    <w:rsid w:val="0020011B"/>
    <w:rsid w:val="0020207B"/>
    <w:rsid w:val="002036A9"/>
    <w:rsid w:val="002039B5"/>
    <w:rsid w:val="00204B19"/>
    <w:rsid w:val="0020557D"/>
    <w:rsid w:val="00205CCF"/>
    <w:rsid w:val="00210E3C"/>
    <w:rsid w:val="00211D5E"/>
    <w:rsid w:val="0021262B"/>
    <w:rsid w:val="00212898"/>
    <w:rsid w:val="00215C0F"/>
    <w:rsid w:val="00216163"/>
    <w:rsid w:val="002179C0"/>
    <w:rsid w:val="0022309A"/>
    <w:rsid w:val="00223662"/>
    <w:rsid w:val="00223FE1"/>
    <w:rsid w:val="002241D9"/>
    <w:rsid w:val="002247EC"/>
    <w:rsid w:val="00225A75"/>
    <w:rsid w:val="00226080"/>
    <w:rsid w:val="00227CD7"/>
    <w:rsid w:val="00227EE7"/>
    <w:rsid w:val="00230243"/>
    <w:rsid w:val="00231428"/>
    <w:rsid w:val="00231785"/>
    <w:rsid w:val="00232C9E"/>
    <w:rsid w:val="002330FC"/>
    <w:rsid w:val="00233340"/>
    <w:rsid w:val="00233D8E"/>
    <w:rsid w:val="00234181"/>
    <w:rsid w:val="002341E2"/>
    <w:rsid w:val="00236EDE"/>
    <w:rsid w:val="002376A6"/>
    <w:rsid w:val="002377C0"/>
    <w:rsid w:val="002401B9"/>
    <w:rsid w:val="0024037D"/>
    <w:rsid w:val="002405D7"/>
    <w:rsid w:val="002406FA"/>
    <w:rsid w:val="0024106D"/>
    <w:rsid w:val="00242409"/>
    <w:rsid w:val="002428BC"/>
    <w:rsid w:val="00242E06"/>
    <w:rsid w:val="00243BB0"/>
    <w:rsid w:val="002443ED"/>
    <w:rsid w:val="00244AEA"/>
    <w:rsid w:val="00246DF2"/>
    <w:rsid w:val="0025004A"/>
    <w:rsid w:val="002501A1"/>
    <w:rsid w:val="00250626"/>
    <w:rsid w:val="00250EB2"/>
    <w:rsid w:val="00251357"/>
    <w:rsid w:val="002548FC"/>
    <w:rsid w:val="00255C1C"/>
    <w:rsid w:val="002561AF"/>
    <w:rsid w:val="00257AD5"/>
    <w:rsid w:val="00260564"/>
    <w:rsid w:val="00260B62"/>
    <w:rsid w:val="002636E0"/>
    <w:rsid w:val="00263B40"/>
    <w:rsid w:val="00264709"/>
    <w:rsid w:val="002660AE"/>
    <w:rsid w:val="00266F09"/>
    <w:rsid w:val="0026729F"/>
    <w:rsid w:val="00270496"/>
    <w:rsid w:val="00271C7D"/>
    <w:rsid w:val="002728F0"/>
    <w:rsid w:val="00273BBE"/>
    <w:rsid w:val="00274CC8"/>
    <w:rsid w:val="0027615C"/>
    <w:rsid w:val="002767D6"/>
    <w:rsid w:val="002805DA"/>
    <w:rsid w:val="00280705"/>
    <w:rsid w:val="002815D8"/>
    <w:rsid w:val="00281647"/>
    <w:rsid w:val="00282A67"/>
    <w:rsid w:val="00282FE8"/>
    <w:rsid w:val="0028311A"/>
    <w:rsid w:val="00284822"/>
    <w:rsid w:val="00285A6C"/>
    <w:rsid w:val="00285FEA"/>
    <w:rsid w:val="00287A08"/>
    <w:rsid w:val="002907CF"/>
    <w:rsid w:val="0029080F"/>
    <w:rsid w:val="00290FD7"/>
    <w:rsid w:val="00291078"/>
    <w:rsid w:val="00291102"/>
    <w:rsid w:val="00291394"/>
    <w:rsid w:val="00291EEC"/>
    <w:rsid w:val="00291FF7"/>
    <w:rsid w:val="00292F28"/>
    <w:rsid w:val="00293279"/>
    <w:rsid w:val="00293B06"/>
    <w:rsid w:val="00294ADD"/>
    <w:rsid w:val="00295194"/>
    <w:rsid w:val="0029522A"/>
    <w:rsid w:val="0029536A"/>
    <w:rsid w:val="002963B5"/>
    <w:rsid w:val="0029729E"/>
    <w:rsid w:val="002A265E"/>
    <w:rsid w:val="002A2C1F"/>
    <w:rsid w:val="002A2E72"/>
    <w:rsid w:val="002A576F"/>
    <w:rsid w:val="002A684E"/>
    <w:rsid w:val="002B08AE"/>
    <w:rsid w:val="002B0B55"/>
    <w:rsid w:val="002B0CD9"/>
    <w:rsid w:val="002B1476"/>
    <w:rsid w:val="002B234E"/>
    <w:rsid w:val="002B3BB9"/>
    <w:rsid w:val="002B4C8B"/>
    <w:rsid w:val="002B6B39"/>
    <w:rsid w:val="002B7992"/>
    <w:rsid w:val="002C0BE7"/>
    <w:rsid w:val="002C1052"/>
    <w:rsid w:val="002C29C1"/>
    <w:rsid w:val="002C30B8"/>
    <w:rsid w:val="002C3F5B"/>
    <w:rsid w:val="002C4058"/>
    <w:rsid w:val="002C4DB8"/>
    <w:rsid w:val="002D35B2"/>
    <w:rsid w:val="002D43B3"/>
    <w:rsid w:val="002D45FD"/>
    <w:rsid w:val="002D4CC0"/>
    <w:rsid w:val="002E1954"/>
    <w:rsid w:val="002E20F5"/>
    <w:rsid w:val="002E4278"/>
    <w:rsid w:val="002E4F13"/>
    <w:rsid w:val="002E500B"/>
    <w:rsid w:val="002E536D"/>
    <w:rsid w:val="002E5890"/>
    <w:rsid w:val="002E67FC"/>
    <w:rsid w:val="002E692F"/>
    <w:rsid w:val="002F00E1"/>
    <w:rsid w:val="002F0423"/>
    <w:rsid w:val="002F08F8"/>
    <w:rsid w:val="002F28FC"/>
    <w:rsid w:val="002F2C5B"/>
    <w:rsid w:val="002F5E0B"/>
    <w:rsid w:val="002F6477"/>
    <w:rsid w:val="002F76EA"/>
    <w:rsid w:val="002F7FC1"/>
    <w:rsid w:val="0030035C"/>
    <w:rsid w:val="003007A9"/>
    <w:rsid w:val="003036C9"/>
    <w:rsid w:val="00304621"/>
    <w:rsid w:val="00304ED7"/>
    <w:rsid w:val="0030554F"/>
    <w:rsid w:val="003068B4"/>
    <w:rsid w:val="00306944"/>
    <w:rsid w:val="00306978"/>
    <w:rsid w:val="00307300"/>
    <w:rsid w:val="0030789E"/>
    <w:rsid w:val="00307968"/>
    <w:rsid w:val="003101B6"/>
    <w:rsid w:val="00310958"/>
    <w:rsid w:val="003116AA"/>
    <w:rsid w:val="00312AAF"/>
    <w:rsid w:val="00314197"/>
    <w:rsid w:val="003143B2"/>
    <w:rsid w:val="003153D4"/>
    <w:rsid w:val="003162BC"/>
    <w:rsid w:val="00316649"/>
    <w:rsid w:val="00316FD1"/>
    <w:rsid w:val="00317A34"/>
    <w:rsid w:val="00317B0B"/>
    <w:rsid w:val="003200A5"/>
    <w:rsid w:val="003205C2"/>
    <w:rsid w:val="003216F5"/>
    <w:rsid w:val="00321793"/>
    <w:rsid w:val="00322282"/>
    <w:rsid w:val="003225E7"/>
    <w:rsid w:val="003226CF"/>
    <w:rsid w:val="00322F4F"/>
    <w:rsid w:val="003230A7"/>
    <w:rsid w:val="00323682"/>
    <w:rsid w:val="00323A9C"/>
    <w:rsid w:val="003251DE"/>
    <w:rsid w:val="00325C1B"/>
    <w:rsid w:val="00325F79"/>
    <w:rsid w:val="0032625A"/>
    <w:rsid w:val="00326595"/>
    <w:rsid w:val="0032795A"/>
    <w:rsid w:val="00330423"/>
    <w:rsid w:val="00333263"/>
    <w:rsid w:val="00333365"/>
    <w:rsid w:val="003350EB"/>
    <w:rsid w:val="003367D9"/>
    <w:rsid w:val="00340339"/>
    <w:rsid w:val="003406D1"/>
    <w:rsid w:val="0034278A"/>
    <w:rsid w:val="00343CE2"/>
    <w:rsid w:val="003448D5"/>
    <w:rsid w:val="00344D2A"/>
    <w:rsid w:val="00344DFC"/>
    <w:rsid w:val="003451F1"/>
    <w:rsid w:val="00345B2B"/>
    <w:rsid w:val="00346D16"/>
    <w:rsid w:val="00347690"/>
    <w:rsid w:val="00347936"/>
    <w:rsid w:val="00347CC6"/>
    <w:rsid w:val="00352718"/>
    <w:rsid w:val="003542D9"/>
    <w:rsid w:val="003542E9"/>
    <w:rsid w:val="0035484F"/>
    <w:rsid w:val="00354E4E"/>
    <w:rsid w:val="003554F2"/>
    <w:rsid w:val="00356C14"/>
    <w:rsid w:val="00357B2C"/>
    <w:rsid w:val="003600AD"/>
    <w:rsid w:val="00360207"/>
    <w:rsid w:val="0036221A"/>
    <w:rsid w:val="003629B5"/>
    <w:rsid w:val="0036543B"/>
    <w:rsid w:val="00365530"/>
    <w:rsid w:val="00367115"/>
    <w:rsid w:val="00367C07"/>
    <w:rsid w:val="00367C7C"/>
    <w:rsid w:val="00367D2F"/>
    <w:rsid w:val="003700A0"/>
    <w:rsid w:val="0037186D"/>
    <w:rsid w:val="003726BE"/>
    <w:rsid w:val="003742CD"/>
    <w:rsid w:val="00375ED2"/>
    <w:rsid w:val="00376660"/>
    <w:rsid w:val="00377B15"/>
    <w:rsid w:val="00377DF4"/>
    <w:rsid w:val="0038011C"/>
    <w:rsid w:val="00381ADC"/>
    <w:rsid w:val="00381CBE"/>
    <w:rsid w:val="00381EDC"/>
    <w:rsid w:val="00382C43"/>
    <w:rsid w:val="003840AD"/>
    <w:rsid w:val="0038594A"/>
    <w:rsid w:val="00390C12"/>
    <w:rsid w:val="0039328A"/>
    <w:rsid w:val="0039406C"/>
    <w:rsid w:val="00397711"/>
    <w:rsid w:val="003A17CF"/>
    <w:rsid w:val="003A2258"/>
    <w:rsid w:val="003A43BE"/>
    <w:rsid w:val="003A44BE"/>
    <w:rsid w:val="003A47A1"/>
    <w:rsid w:val="003A5074"/>
    <w:rsid w:val="003A514C"/>
    <w:rsid w:val="003A5C4E"/>
    <w:rsid w:val="003A65AE"/>
    <w:rsid w:val="003A699E"/>
    <w:rsid w:val="003A7D9A"/>
    <w:rsid w:val="003B228D"/>
    <w:rsid w:val="003B4D31"/>
    <w:rsid w:val="003B6684"/>
    <w:rsid w:val="003C140E"/>
    <w:rsid w:val="003C1980"/>
    <w:rsid w:val="003C1CF2"/>
    <w:rsid w:val="003C2B25"/>
    <w:rsid w:val="003C4122"/>
    <w:rsid w:val="003C4F48"/>
    <w:rsid w:val="003C51F3"/>
    <w:rsid w:val="003C5F17"/>
    <w:rsid w:val="003C663C"/>
    <w:rsid w:val="003D0230"/>
    <w:rsid w:val="003D0CC2"/>
    <w:rsid w:val="003D1F7D"/>
    <w:rsid w:val="003D3383"/>
    <w:rsid w:val="003D433F"/>
    <w:rsid w:val="003D4E5D"/>
    <w:rsid w:val="003D62F1"/>
    <w:rsid w:val="003D6448"/>
    <w:rsid w:val="003E2991"/>
    <w:rsid w:val="003E422F"/>
    <w:rsid w:val="003E48DD"/>
    <w:rsid w:val="003E56F5"/>
    <w:rsid w:val="003E6FD0"/>
    <w:rsid w:val="003F0A93"/>
    <w:rsid w:val="003F1451"/>
    <w:rsid w:val="003F1641"/>
    <w:rsid w:val="003F3D52"/>
    <w:rsid w:val="003F41AC"/>
    <w:rsid w:val="003F48E8"/>
    <w:rsid w:val="003F4C1D"/>
    <w:rsid w:val="003F6014"/>
    <w:rsid w:val="00401A75"/>
    <w:rsid w:val="00401E43"/>
    <w:rsid w:val="0040260A"/>
    <w:rsid w:val="00402799"/>
    <w:rsid w:val="00402AC2"/>
    <w:rsid w:val="00402FAD"/>
    <w:rsid w:val="0040330F"/>
    <w:rsid w:val="00403A68"/>
    <w:rsid w:val="00404896"/>
    <w:rsid w:val="0040683E"/>
    <w:rsid w:val="00406931"/>
    <w:rsid w:val="00410435"/>
    <w:rsid w:val="00412463"/>
    <w:rsid w:val="00414201"/>
    <w:rsid w:val="004148B2"/>
    <w:rsid w:val="0041791B"/>
    <w:rsid w:val="00417B5D"/>
    <w:rsid w:val="00417C54"/>
    <w:rsid w:val="00423D9E"/>
    <w:rsid w:val="004242CE"/>
    <w:rsid w:val="00425F7D"/>
    <w:rsid w:val="00426F89"/>
    <w:rsid w:val="0043015D"/>
    <w:rsid w:val="0043075A"/>
    <w:rsid w:val="00431351"/>
    <w:rsid w:val="004322E6"/>
    <w:rsid w:val="00433F91"/>
    <w:rsid w:val="00433FF0"/>
    <w:rsid w:val="00434D6B"/>
    <w:rsid w:val="00435039"/>
    <w:rsid w:val="00435C3F"/>
    <w:rsid w:val="00436602"/>
    <w:rsid w:val="004369BA"/>
    <w:rsid w:val="00436F55"/>
    <w:rsid w:val="00437EA4"/>
    <w:rsid w:val="00440675"/>
    <w:rsid w:val="00440721"/>
    <w:rsid w:val="004411A4"/>
    <w:rsid w:val="0044120F"/>
    <w:rsid w:val="004412FE"/>
    <w:rsid w:val="00444724"/>
    <w:rsid w:val="00445A9B"/>
    <w:rsid w:val="00450FB2"/>
    <w:rsid w:val="004518D7"/>
    <w:rsid w:val="0045192D"/>
    <w:rsid w:val="00451A0A"/>
    <w:rsid w:val="00451AB9"/>
    <w:rsid w:val="00451B43"/>
    <w:rsid w:val="004528C9"/>
    <w:rsid w:val="00453BF0"/>
    <w:rsid w:val="00454245"/>
    <w:rsid w:val="00455221"/>
    <w:rsid w:val="004570D0"/>
    <w:rsid w:val="004571E6"/>
    <w:rsid w:val="00460E4E"/>
    <w:rsid w:val="004613A5"/>
    <w:rsid w:val="00463344"/>
    <w:rsid w:val="004643B0"/>
    <w:rsid w:val="00465A42"/>
    <w:rsid w:val="00465E2A"/>
    <w:rsid w:val="0046629A"/>
    <w:rsid w:val="004663AA"/>
    <w:rsid w:val="00466C16"/>
    <w:rsid w:val="00470609"/>
    <w:rsid w:val="00471718"/>
    <w:rsid w:val="00471C7C"/>
    <w:rsid w:val="00472222"/>
    <w:rsid w:val="0047298C"/>
    <w:rsid w:val="0047344D"/>
    <w:rsid w:val="00473648"/>
    <w:rsid w:val="00474DD1"/>
    <w:rsid w:val="0047552E"/>
    <w:rsid w:val="004759BB"/>
    <w:rsid w:val="0047727D"/>
    <w:rsid w:val="004814D5"/>
    <w:rsid w:val="00482431"/>
    <w:rsid w:val="00484000"/>
    <w:rsid w:val="0048447A"/>
    <w:rsid w:val="00484682"/>
    <w:rsid w:val="00485A19"/>
    <w:rsid w:val="0048615A"/>
    <w:rsid w:val="00486948"/>
    <w:rsid w:val="00486B27"/>
    <w:rsid w:val="00486CB0"/>
    <w:rsid w:val="004902C6"/>
    <w:rsid w:val="00490442"/>
    <w:rsid w:val="00490861"/>
    <w:rsid w:val="00490F7F"/>
    <w:rsid w:val="00491E7A"/>
    <w:rsid w:val="00493872"/>
    <w:rsid w:val="004949E9"/>
    <w:rsid w:val="004956EE"/>
    <w:rsid w:val="00497AAF"/>
    <w:rsid w:val="00497C75"/>
    <w:rsid w:val="004A04CF"/>
    <w:rsid w:val="004A2259"/>
    <w:rsid w:val="004A2642"/>
    <w:rsid w:val="004A6483"/>
    <w:rsid w:val="004A6C6A"/>
    <w:rsid w:val="004B2E09"/>
    <w:rsid w:val="004B4869"/>
    <w:rsid w:val="004B5AB3"/>
    <w:rsid w:val="004B72EB"/>
    <w:rsid w:val="004B7638"/>
    <w:rsid w:val="004B7C82"/>
    <w:rsid w:val="004C03A5"/>
    <w:rsid w:val="004C101C"/>
    <w:rsid w:val="004C2584"/>
    <w:rsid w:val="004C26B7"/>
    <w:rsid w:val="004C3096"/>
    <w:rsid w:val="004C404C"/>
    <w:rsid w:val="004C5DA2"/>
    <w:rsid w:val="004C5E45"/>
    <w:rsid w:val="004C675C"/>
    <w:rsid w:val="004C6DA3"/>
    <w:rsid w:val="004C6E6E"/>
    <w:rsid w:val="004C7779"/>
    <w:rsid w:val="004C78CF"/>
    <w:rsid w:val="004D037C"/>
    <w:rsid w:val="004D07DF"/>
    <w:rsid w:val="004D1DD9"/>
    <w:rsid w:val="004D2AF2"/>
    <w:rsid w:val="004D2E61"/>
    <w:rsid w:val="004D3A48"/>
    <w:rsid w:val="004D492E"/>
    <w:rsid w:val="004D51CD"/>
    <w:rsid w:val="004D6E06"/>
    <w:rsid w:val="004D7965"/>
    <w:rsid w:val="004D7D48"/>
    <w:rsid w:val="004E02B4"/>
    <w:rsid w:val="004E0906"/>
    <w:rsid w:val="004E0BA3"/>
    <w:rsid w:val="004E2D5B"/>
    <w:rsid w:val="004E38DE"/>
    <w:rsid w:val="004E3995"/>
    <w:rsid w:val="004E3D52"/>
    <w:rsid w:val="004E4501"/>
    <w:rsid w:val="004E50C9"/>
    <w:rsid w:val="004E628D"/>
    <w:rsid w:val="004E73B3"/>
    <w:rsid w:val="004E799F"/>
    <w:rsid w:val="004F3EC1"/>
    <w:rsid w:val="004F3EC5"/>
    <w:rsid w:val="004F5E0A"/>
    <w:rsid w:val="004F60D9"/>
    <w:rsid w:val="004F6C14"/>
    <w:rsid w:val="00504110"/>
    <w:rsid w:val="00506A39"/>
    <w:rsid w:val="00506C75"/>
    <w:rsid w:val="00507371"/>
    <w:rsid w:val="00507803"/>
    <w:rsid w:val="00507E8F"/>
    <w:rsid w:val="00510A41"/>
    <w:rsid w:val="00513898"/>
    <w:rsid w:val="00514191"/>
    <w:rsid w:val="005142EF"/>
    <w:rsid w:val="0052113F"/>
    <w:rsid w:val="00527D46"/>
    <w:rsid w:val="00527E12"/>
    <w:rsid w:val="005304DB"/>
    <w:rsid w:val="00532401"/>
    <w:rsid w:val="00533741"/>
    <w:rsid w:val="00533AA8"/>
    <w:rsid w:val="00533B7E"/>
    <w:rsid w:val="00534D1A"/>
    <w:rsid w:val="00536613"/>
    <w:rsid w:val="0053789D"/>
    <w:rsid w:val="00537CE3"/>
    <w:rsid w:val="00541213"/>
    <w:rsid w:val="00542212"/>
    <w:rsid w:val="005434C0"/>
    <w:rsid w:val="00546CA9"/>
    <w:rsid w:val="0054768F"/>
    <w:rsid w:val="00551732"/>
    <w:rsid w:val="00552BEC"/>
    <w:rsid w:val="0055355D"/>
    <w:rsid w:val="00553E51"/>
    <w:rsid w:val="005552A5"/>
    <w:rsid w:val="00555599"/>
    <w:rsid w:val="0055601F"/>
    <w:rsid w:val="005562C4"/>
    <w:rsid w:val="005568A5"/>
    <w:rsid w:val="00556FEC"/>
    <w:rsid w:val="0055779A"/>
    <w:rsid w:val="00557E0F"/>
    <w:rsid w:val="00557F07"/>
    <w:rsid w:val="00560C83"/>
    <w:rsid w:val="00561F19"/>
    <w:rsid w:val="0056361F"/>
    <w:rsid w:val="005636DF"/>
    <w:rsid w:val="00563D74"/>
    <w:rsid w:val="00564684"/>
    <w:rsid w:val="00564CF3"/>
    <w:rsid w:val="00565B59"/>
    <w:rsid w:val="0056649E"/>
    <w:rsid w:val="00567021"/>
    <w:rsid w:val="00567D28"/>
    <w:rsid w:val="00570848"/>
    <w:rsid w:val="00570C6C"/>
    <w:rsid w:val="00574209"/>
    <w:rsid w:val="00575A21"/>
    <w:rsid w:val="00575F9E"/>
    <w:rsid w:val="00576B71"/>
    <w:rsid w:val="005776D7"/>
    <w:rsid w:val="005800E9"/>
    <w:rsid w:val="005825A6"/>
    <w:rsid w:val="00584EB6"/>
    <w:rsid w:val="0058619F"/>
    <w:rsid w:val="00587AD8"/>
    <w:rsid w:val="00587E8C"/>
    <w:rsid w:val="00590503"/>
    <w:rsid w:val="00592023"/>
    <w:rsid w:val="00593BE2"/>
    <w:rsid w:val="00594AC9"/>
    <w:rsid w:val="00595E3F"/>
    <w:rsid w:val="00595EE0"/>
    <w:rsid w:val="00596269"/>
    <w:rsid w:val="00597A76"/>
    <w:rsid w:val="005A223F"/>
    <w:rsid w:val="005A2C78"/>
    <w:rsid w:val="005A2E30"/>
    <w:rsid w:val="005A3A1E"/>
    <w:rsid w:val="005A4788"/>
    <w:rsid w:val="005A4F33"/>
    <w:rsid w:val="005A5985"/>
    <w:rsid w:val="005A67D0"/>
    <w:rsid w:val="005A7566"/>
    <w:rsid w:val="005B0DF0"/>
    <w:rsid w:val="005B0F31"/>
    <w:rsid w:val="005B21EF"/>
    <w:rsid w:val="005B3223"/>
    <w:rsid w:val="005B51A3"/>
    <w:rsid w:val="005B5215"/>
    <w:rsid w:val="005B5908"/>
    <w:rsid w:val="005B64FE"/>
    <w:rsid w:val="005B72DD"/>
    <w:rsid w:val="005C13FA"/>
    <w:rsid w:val="005C245A"/>
    <w:rsid w:val="005C2F89"/>
    <w:rsid w:val="005C4AA9"/>
    <w:rsid w:val="005C5C1D"/>
    <w:rsid w:val="005C7665"/>
    <w:rsid w:val="005D08FB"/>
    <w:rsid w:val="005D12D4"/>
    <w:rsid w:val="005D2B76"/>
    <w:rsid w:val="005D4407"/>
    <w:rsid w:val="005D4793"/>
    <w:rsid w:val="005D486D"/>
    <w:rsid w:val="005D4ACA"/>
    <w:rsid w:val="005D4C85"/>
    <w:rsid w:val="005D53D3"/>
    <w:rsid w:val="005D5E57"/>
    <w:rsid w:val="005D6C03"/>
    <w:rsid w:val="005D795B"/>
    <w:rsid w:val="005E0394"/>
    <w:rsid w:val="005E15FE"/>
    <w:rsid w:val="005E1FED"/>
    <w:rsid w:val="005E21AE"/>
    <w:rsid w:val="005E2760"/>
    <w:rsid w:val="005E3E2A"/>
    <w:rsid w:val="005E4028"/>
    <w:rsid w:val="005E409F"/>
    <w:rsid w:val="005E522D"/>
    <w:rsid w:val="005E5643"/>
    <w:rsid w:val="005E5CE2"/>
    <w:rsid w:val="005E69C2"/>
    <w:rsid w:val="005F015F"/>
    <w:rsid w:val="005F024A"/>
    <w:rsid w:val="005F0EDB"/>
    <w:rsid w:val="005F2F19"/>
    <w:rsid w:val="005F4902"/>
    <w:rsid w:val="005F5210"/>
    <w:rsid w:val="005F5BFE"/>
    <w:rsid w:val="005F6653"/>
    <w:rsid w:val="00600B57"/>
    <w:rsid w:val="00600B97"/>
    <w:rsid w:val="00600D8D"/>
    <w:rsid w:val="006015F0"/>
    <w:rsid w:val="0060172D"/>
    <w:rsid w:val="00603B5D"/>
    <w:rsid w:val="00603E5C"/>
    <w:rsid w:val="00604271"/>
    <w:rsid w:val="00604784"/>
    <w:rsid w:val="00604BC3"/>
    <w:rsid w:val="00604E04"/>
    <w:rsid w:val="00607300"/>
    <w:rsid w:val="00607BE8"/>
    <w:rsid w:val="00607EF4"/>
    <w:rsid w:val="00610E47"/>
    <w:rsid w:val="00610F45"/>
    <w:rsid w:val="00610FED"/>
    <w:rsid w:val="006111BE"/>
    <w:rsid w:val="006122BE"/>
    <w:rsid w:val="0061236D"/>
    <w:rsid w:val="00613615"/>
    <w:rsid w:val="00614808"/>
    <w:rsid w:val="006169F8"/>
    <w:rsid w:val="00616C80"/>
    <w:rsid w:val="00623256"/>
    <w:rsid w:val="006237B3"/>
    <w:rsid w:val="00623974"/>
    <w:rsid w:val="00623F08"/>
    <w:rsid w:val="00624089"/>
    <w:rsid w:val="00624370"/>
    <w:rsid w:val="0062448A"/>
    <w:rsid w:val="00626014"/>
    <w:rsid w:val="0062689E"/>
    <w:rsid w:val="00626D14"/>
    <w:rsid w:val="006271A7"/>
    <w:rsid w:val="006303AD"/>
    <w:rsid w:val="006306A9"/>
    <w:rsid w:val="0063148B"/>
    <w:rsid w:val="00631BD0"/>
    <w:rsid w:val="0063330B"/>
    <w:rsid w:val="0063332F"/>
    <w:rsid w:val="00634A04"/>
    <w:rsid w:val="00634E30"/>
    <w:rsid w:val="00634F28"/>
    <w:rsid w:val="00636046"/>
    <w:rsid w:val="00636418"/>
    <w:rsid w:val="00636C16"/>
    <w:rsid w:val="0064324A"/>
    <w:rsid w:val="00646D1D"/>
    <w:rsid w:val="00650127"/>
    <w:rsid w:val="00650600"/>
    <w:rsid w:val="006506D9"/>
    <w:rsid w:val="00652401"/>
    <w:rsid w:val="006535A4"/>
    <w:rsid w:val="00654266"/>
    <w:rsid w:val="006549DB"/>
    <w:rsid w:val="006554D2"/>
    <w:rsid w:val="00655F8A"/>
    <w:rsid w:val="00657DAB"/>
    <w:rsid w:val="00657E8C"/>
    <w:rsid w:val="00661788"/>
    <w:rsid w:val="00661A0B"/>
    <w:rsid w:val="00661E74"/>
    <w:rsid w:val="00663161"/>
    <w:rsid w:val="00663725"/>
    <w:rsid w:val="00664CFF"/>
    <w:rsid w:val="00666A5D"/>
    <w:rsid w:val="00670141"/>
    <w:rsid w:val="0067120B"/>
    <w:rsid w:val="006715CE"/>
    <w:rsid w:val="006716D2"/>
    <w:rsid w:val="00671BCE"/>
    <w:rsid w:val="00671CCC"/>
    <w:rsid w:val="00673F54"/>
    <w:rsid w:val="006758E9"/>
    <w:rsid w:val="00675F3E"/>
    <w:rsid w:val="006762E5"/>
    <w:rsid w:val="006778A8"/>
    <w:rsid w:val="00677F4B"/>
    <w:rsid w:val="0068002F"/>
    <w:rsid w:val="0068038E"/>
    <w:rsid w:val="00680B86"/>
    <w:rsid w:val="00681517"/>
    <w:rsid w:val="006818E7"/>
    <w:rsid w:val="0068364D"/>
    <w:rsid w:val="00684B1F"/>
    <w:rsid w:val="00684C5A"/>
    <w:rsid w:val="00686970"/>
    <w:rsid w:val="0069013A"/>
    <w:rsid w:val="006903BC"/>
    <w:rsid w:val="00693173"/>
    <w:rsid w:val="00694962"/>
    <w:rsid w:val="006959A2"/>
    <w:rsid w:val="006A0EDC"/>
    <w:rsid w:val="006A189A"/>
    <w:rsid w:val="006A1F6C"/>
    <w:rsid w:val="006A21B0"/>
    <w:rsid w:val="006A22B0"/>
    <w:rsid w:val="006A2A4A"/>
    <w:rsid w:val="006A2E3B"/>
    <w:rsid w:val="006A41C5"/>
    <w:rsid w:val="006A5155"/>
    <w:rsid w:val="006A51F9"/>
    <w:rsid w:val="006A565C"/>
    <w:rsid w:val="006A7648"/>
    <w:rsid w:val="006A7BED"/>
    <w:rsid w:val="006B009C"/>
    <w:rsid w:val="006B0186"/>
    <w:rsid w:val="006B0ABF"/>
    <w:rsid w:val="006B0D2C"/>
    <w:rsid w:val="006B2746"/>
    <w:rsid w:val="006B4318"/>
    <w:rsid w:val="006B4838"/>
    <w:rsid w:val="006B551B"/>
    <w:rsid w:val="006B65D1"/>
    <w:rsid w:val="006C00EB"/>
    <w:rsid w:val="006C0BD0"/>
    <w:rsid w:val="006C1094"/>
    <w:rsid w:val="006C3058"/>
    <w:rsid w:val="006C4668"/>
    <w:rsid w:val="006C5640"/>
    <w:rsid w:val="006C593E"/>
    <w:rsid w:val="006C5E7D"/>
    <w:rsid w:val="006C6269"/>
    <w:rsid w:val="006C65F4"/>
    <w:rsid w:val="006C7096"/>
    <w:rsid w:val="006C7235"/>
    <w:rsid w:val="006C767E"/>
    <w:rsid w:val="006C7C57"/>
    <w:rsid w:val="006D0EE3"/>
    <w:rsid w:val="006D22DB"/>
    <w:rsid w:val="006D244B"/>
    <w:rsid w:val="006D3162"/>
    <w:rsid w:val="006D742E"/>
    <w:rsid w:val="006D76EB"/>
    <w:rsid w:val="006D7A28"/>
    <w:rsid w:val="006D7EBB"/>
    <w:rsid w:val="006D7F10"/>
    <w:rsid w:val="006E119A"/>
    <w:rsid w:val="006E1DBE"/>
    <w:rsid w:val="006E22AF"/>
    <w:rsid w:val="006E368B"/>
    <w:rsid w:val="006E5763"/>
    <w:rsid w:val="006E59D5"/>
    <w:rsid w:val="006E63B2"/>
    <w:rsid w:val="006F1F16"/>
    <w:rsid w:val="006F21B3"/>
    <w:rsid w:val="006F30AA"/>
    <w:rsid w:val="006F355E"/>
    <w:rsid w:val="006F4326"/>
    <w:rsid w:val="006F739E"/>
    <w:rsid w:val="006F74C7"/>
    <w:rsid w:val="00700F76"/>
    <w:rsid w:val="0070192C"/>
    <w:rsid w:val="00701D83"/>
    <w:rsid w:val="00702C37"/>
    <w:rsid w:val="00703B0A"/>
    <w:rsid w:val="00704D85"/>
    <w:rsid w:val="0070536D"/>
    <w:rsid w:val="00705542"/>
    <w:rsid w:val="00706634"/>
    <w:rsid w:val="007070D7"/>
    <w:rsid w:val="0071039A"/>
    <w:rsid w:val="00710422"/>
    <w:rsid w:val="0071090C"/>
    <w:rsid w:val="00710953"/>
    <w:rsid w:val="00710BF3"/>
    <w:rsid w:val="00711035"/>
    <w:rsid w:val="00711BAB"/>
    <w:rsid w:val="007127A6"/>
    <w:rsid w:val="007130EE"/>
    <w:rsid w:val="00714366"/>
    <w:rsid w:val="00716E25"/>
    <w:rsid w:val="007228AC"/>
    <w:rsid w:val="0072439F"/>
    <w:rsid w:val="007247CF"/>
    <w:rsid w:val="00727D5A"/>
    <w:rsid w:val="007307B8"/>
    <w:rsid w:val="00730988"/>
    <w:rsid w:val="00730A18"/>
    <w:rsid w:val="0073204E"/>
    <w:rsid w:val="00732F15"/>
    <w:rsid w:val="00734130"/>
    <w:rsid w:val="0073419E"/>
    <w:rsid w:val="00734B0A"/>
    <w:rsid w:val="00734C0F"/>
    <w:rsid w:val="0073513C"/>
    <w:rsid w:val="00735C84"/>
    <w:rsid w:val="00735E29"/>
    <w:rsid w:val="00736193"/>
    <w:rsid w:val="00736432"/>
    <w:rsid w:val="0073798D"/>
    <w:rsid w:val="007379C2"/>
    <w:rsid w:val="007430F4"/>
    <w:rsid w:val="00744546"/>
    <w:rsid w:val="007445FC"/>
    <w:rsid w:val="0074542C"/>
    <w:rsid w:val="007454C7"/>
    <w:rsid w:val="00745F3A"/>
    <w:rsid w:val="00746CB9"/>
    <w:rsid w:val="00747B0D"/>
    <w:rsid w:val="007507C0"/>
    <w:rsid w:val="00751186"/>
    <w:rsid w:val="00751D32"/>
    <w:rsid w:val="0075378C"/>
    <w:rsid w:val="00753FC3"/>
    <w:rsid w:val="00754AB9"/>
    <w:rsid w:val="00754B65"/>
    <w:rsid w:val="007555C7"/>
    <w:rsid w:val="007569C7"/>
    <w:rsid w:val="00757030"/>
    <w:rsid w:val="0075760F"/>
    <w:rsid w:val="00760916"/>
    <w:rsid w:val="00760CAC"/>
    <w:rsid w:val="007612CB"/>
    <w:rsid w:val="0076240A"/>
    <w:rsid w:val="00766236"/>
    <w:rsid w:val="0077114A"/>
    <w:rsid w:val="00771C4D"/>
    <w:rsid w:val="00773AB7"/>
    <w:rsid w:val="00774023"/>
    <w:rsid w:val="00774534"/>
    <w:rsid w:val="00774F2C"/>
    <w:rsid w:val="007773C3"/>
    <w:rsid w:val="007811B0"/>
    <w:rsid w:val="007815EE"/>
    <w:rsid w:val="00781780"/>
    <w:rsid w:val="00783BC1"/>
    <w:rsid w:val="00784185"/>
    <w:rsid w:val="007870C5"/>
    <w:rsid w:val="00787218"/>
    <w:rsid w:val="007872B6"/>
    <w:rsid w:val="00787922"/>
    <w:rsid w:val="00787F0F"/>
    <w:rsid w:val="007901C5"/>
    <w:rsid w:val="007901CB"/>
    <w:rsid w:val="007906A1"/>
    <w:rsid w:val="007906C5"/>
    <w:rsid w:val="00791C9F"/>
    <w:rsid w:val="00791F5D"/>
    <w:rsid w:val="00794047"/>
    <w:rsid w:val="00796A73"/>
    <w:rsid w:val="00796D8D"/>
    <w:rsid w:val="00797A3E"/>
    <w:rsid w:val="00797E19"/>
    <w:rsid w:val="00797F45"/>
    <w:rsid w:val="007A0FEF"/>
    <w:rsid w:val="007A16F2"/>
    <w:rsid w:val="007A318F"/>
    <w:rsid w:val="007A418B"/>
    <w:rsid w:val="007A45AA"/>
    <w:rsid w:val="007A481E"/>
    <w:rsid w:val="007A508C"/>
    <w:rsid w:val="007A69CA"/>
    <w:rsid w:val="007A792E"/>
    <w:rsid w:val="007B0320"/>
    <w:rsid w:val="007B1A2B"/>
    <w:rsid w:val="007B332A"/>
    <w:rsid w:val="007B4993"/>
    <w:rsid w:val="007B50A5"/>
    <w:rsid w:val="007B5349"/>
    <w:rsid w:val="007B66BF"/>
    <w:rsid w:val="007B7ED0"/>
    <w:rsid w:val="007B7FB0"/>
    <w:rsid w:val="007C05DA"/>
    <w:rsid w:val="007C0ACB"/>
    <w:rsid w:val="007C202A"/>
    <w:rsid w:val="007C3795"/>
    <w:rsid w:val="007C3901"/>
    <w:rsid w:val="007C3F90"/>
    <w:rsid w:val="007C42CC"/>
    <w:rsid w:val="007C44AD"/>
    <w:rsid w:val="007C56F4"/>
    <w:rsid w:val="007C6837"/>
    <w:rsid w:val="007C6ED8"/>
    <w:rsid w:val="007C72E9"/>
    <w:rsid w:val="007D149F"/>
    <w:rsid w:val="007D1EAB"/>
    <w:rsid w:val="007D217A"/>
    <w:rsid w:val="007D4EBF"/>
    <w:rsid w:val="007D5E9C"/>
    <w:rsid w:val="007D6147"/>
    <w:rsid w:val="007D6446"/>
    <w:rsid w:val="007D7D0B"/>
    <w:rsid w:val="007E165F"/>
    <w:rsid w:val="007E19F3"/>
    <w:rsid w:val="007E2897"/>
    <w:rsid w:val="007E326E"/>
    <w:rsid w:val="007E34EB"/>
    <w:rsid w:val="007E3B8A"/>
    <w:rsid w:val="007E49D2"/>
    <w:rsid w:val="007E50C8"/>
    <w:rsid w:val="007E50D1"/>
    <w:rsid w:val="007E5BEC"/>
    <w:rsid w:val="007E61F8"/>
    <w:rsid w:val="007E6403"/>
    <w:rsid w:val="007E6C6F"/>
    <w:rsid w:val="007F36D0"/>
    <w:rsid w:val="007F3B5C"/>
    <w:rsid w:val="007F4158"/>
    <w:rsid w:val="007F4758"/>
    <w:rsid w:val="007F47AD"/>
    <w:rsid w:val="007F4955"/>
    <w:rsid w:val="007F5226"/>
    <w:rsid w:val="007F54E0"/>
    <w:rsid w:val="00800217"/>
    <w:rsid w:val="0080122A"/>
    <w:rsid w:val="0080171C"/>
    <w:rsid w:val="0080240D"/>
    <w:rsid w:val="008037B8"/>
    <w:rsid w:val="00804136"/>
    <w:rsid w:val="00807B69"/>
    <w:rsid w:val="00807E68"/>
    <w:rsid w:val="00811B5F"/>
    <w:rsid w:val="008121C6"/>
    <w:rsid w:val="00812681"/>
    <w:rsid w:val="00812D2C"/>
    <w:rsid w:val="00817E5A"/>
    <w:rsid w:val="008209A0"/>
    <w:rsid w:val="0082201C"/>
    <w:rsid w:val="00822A2F"/>
    <w:rsid w:val="008236EA"/>
    <w:rsid w:val="00824CDF"/>
    <w:rsid w:val="00825036"/>
    <w:rsid w:val="00825256"/>
    <w:rsid w:val="00825C11"/>
    <w:rsid w:val="00825D67"/>
    <w:rsid w:val="0082691B"/>
    <w:rsid w:val="00830288"/>
    <w:rsid w:val="00830329"/>
    <w:rsid w:val="008338E8"/>
    <w:rsid w:val="0083422D"/>
    <w:rsid w:val="008369C0"/>
    <w:rsid w:val="00836E28"/>
    <w:rsid w:val="00837686"/>
    <w:rsid w:val="0083771D"/>
    <w:rsid w:val="0084343F"/>
    <w:rsid w:val="00843C4C"/>
    <w:rsid w:val="00843EFF"/>
    <w:rsid w:val="00844F81"/>
    <w:rsid w:val="00845A62"/>
    <w:rsid w:val="00846719"/>
    <w:rsid w:val="00846741"/>
    <w:rsid w:val="00846DCE"/>
    <w:rsid w:val="0084730C"/>
    <w:rsid w:val="00850472"/>
    <w:rsid w:val="00851468"/>
    <w:rsid w:val="00851D2F"/>
    <w:rsid w:val="0085425A"/>
    <w:rsid w:val="00854971"/>
    <w:rsid w:val="00857CF8"/>
    <w:rsid w:val="00860993"/>
    <w:rsid w:val="008610EA"/>
    <w:rsid w:val="00863293"/>
    <w:rsid w:val="008642DC"/>
    <w:rsid w:val="0086490B"/>
    <w:rsid w:val="0086560A"/>
    <w:rsid w:val="00865A3E"/>
    <w:rsid w:val="00865DAD"/>
    <w:rsid w:val="00866630"/>
    <w:rsid w:val="008702BA"/>
    <w:rsid w:val="00870B91"/>
    <w:rsid w:val="00872DA2"/>
    <w:rsid w:val="00874E42"/>
    <w:rsid w:val="00875EDA"/>
    <w:rsid w:val="00877606"/>
    <w:rsid w:val="008808EB"/>
    <w:rsid w:val="0088116D"/>
    <w:rsid w:val="00881290"/>
    <w:rsid w:val="00884020"/>
    <w:rsid w:val="00884E39"/>
    <w:rsid w:val="00885468"/>
    <w:rsid w:val="008857F6"/>
    <w:rsid w:val="0088628B"/>
    <w:rsid w:val="008862F4"/>
    <w:rsid w:val="0088680E"/>
    <w:rsid w:val="00886938"/>
    <w:rsid w:val="00886ACE"/>
    <w:rsid w:val="00886EEF"/>
    <w:rsid w:val="008871EB"/>
    <w:rsid w:val="00891B36"/>
    <w:rsid w:val="0089294C"/>
    <w:rsid w:val="00893AC5"/>
    <w:rsid w:val="00893BF7"/>
    <w:rsid w:val="00894A6F"/>
    <w:rsid w:val="00894D2C"/>
    <w:rsid w:val="00895496"/>
    <w:rsid w:val="00895708"/>
    <w:rsid w:val="00896968"/>
    <w:rsid w:val="00897632"/>
    <w:rsid w:val="00897863"/>
    <w:rsid w:val="008A0314"/>
    <w:rsid w:val="008A0C80"/>
    <w:rsid w:val="008A1108"/>
    <w:rsid w:val="008A1ED8"/>
    <w:rsid w:val="008A1FE7"/>
    <w:rsid w:val="008A2F6C"/>
    <w:rsid w:val="008A3A47"/>
    <w:rsid w:val="008A4120"/>
    <w:rsid w:val="008A4709"/>
    <w:rsid w:val="008A5629"/>
    <w:rsid w:val="008A7EE7"/>
    <w:rsid w:val="008B0436"/>
    <w:rsid w:val="008B0607"/>
    <w:rsid w:val="008B3B79"/>
    <w:rsid w:val="008B418C"/>
    <w:rsid w:val="008B4D12"/>
    <w:rsid w:val="008B5024"/>
    <w:rsid w:val="008B56A6"/>
    <w:rsid w:val="008B5C72"/>
    <w:rsid w:val="008B5E6E"/>
    <w:rsid w:val="008B63E6"/>
    <w:rsid w:val="008B77E0"/>
    <w:rsid w:val="008B78EF"/>
    <w:rsid w:val="008C0242"/>
    <w:rsid w:val="008C083B"/>
    <w:rsid w:val="008C1B67"/>
    <w:rsid w:val="008C2BA7"/>
    <w:rsid w:val="008C3DD6"/>
    <w:rsid w:val="008C50CC"/>
    <w:rsid w:val="008C5724"/>
    <w:rsid w:val="008C572C"/>
    <w:rsid w:val="008D06BD"/>
    <w:rsid w:val="008D121B"/>
    <w:rsid w:val="008D1B21"/>
    <w:rsid w:val="008D1E2C"/>
    <w:rsid w:val="008D1EAC"/>
    <w:rsid w:val="008D453A"/>
    <w:rsid w:val="008D4B36"/>
    <w:rsid w:val="008D64EE"/>
    <w:rsid w:val="008D69FA"/>
    <w:rsid w:val="008D6DB9"/>
    <w:rsid w:val="008D7A07"/>
    <w:rsid w:val="008D7C06"/>
    <w:rsid w:val="008E0C5B"/>
    <w:rsid w:val="008E186F"/>
    <w:rsid w:val="008E1A42"/>
    <w:rsid w:val="008E1F85"/>
    <w:rsid w:val="008E2D78"/>
    <w:rsid w:val="008E3757"/>
    <w:rsid w:val="008E4172"/>
    <w:rsid w:val="008E4380"/>
    <w:rsid w:val="008E5749"/>
    <w:rsid w:val="008E5F0A"/>
    <w:rsid w:val="008E6D16"/>
    <w:rsid w:val="008F079E"/>
    <w:rsid w:val="008F1EFA"/>
    <w:rsid w:val="008F2908"/>
    <w:rsid w:val="008F3E4A"/>
    <w:rsid w:val="008F6128"/>
    <w:rsid w:val="008F7E5A"/>
    <w:rsid w:val="008F7F96"/>
    <w:rsid w:val="008F7FF2"/>
    <w:rsid w:val="00900551"/>
    <w:rsid w:val="0090088B"/>
    <w:rsid w:val="009024A6"/>
    <w:rsid w:val="00902F00"/>
    <w:rsid w:val="009049B8"/>
    <w:rsid w:val="00905980"/>
    <w:rsid w:val="00906D3D"/>
    <w:rsid w:val="00912C77"/>
    <w:rsid w:val="00912FD2"/>
    <w:rsid w:val="00913D8B"/>
    <w:rsid w:val="0091469D"/>
    <w:rsid w:val="00917C29"/>
    <w:rsid w:val="00920459"/>
    <w:rsid w:val="00920A18"/>
    <w:rsid w:val="0092240D"/>
    <w:rsid w:val="0092337E"/>
    <w:rsid w:val="00923E21"/>
    <w:rsid w:val="00924149"/>
    <w:rsid w:val="00924D3A"/>
    <w:rsid w:val="00924D5E"/>
    <w:rsid w:val="0092606D"/>
    <w:rsid w:val="00926AF0"/>
    <w:rsid w:val="009277FC"/>
    <w:rsid w:val="00927E9D"/>
    <w:rsid w:val="00931CD0"/>
    <w:rsid w:val="0093317B"/>
    <w:rsid w:val="00933964"/>
    <w:rsid w:val="00934657"/>
    <w:rsid w:val="00934939"/>
    <w:rsid w:val="00936224"/>
    <w:rsid w:val="00937431"/>
    <w:rsid w:val="00937573"/>
    <w:rsid w:val="00937621"/>
    <w:rsid w:val="0093787C"/>
    <w:rsid w:val="00940577"/>
    <w:rsid w:val="00941BA1"/>
    <w:rsid w:val="00941CAF"/>
    <w:rsid w:val="00941F92"/>
    <w:rsid w:val="00943985"/>
    <w:rsid w:val="00943A78"/>
    <w:rsid w:val="00943D8C"/>
    <w:rsid w:val="00943F97"/>
    <w:rsid w:val="0094417D"/>
    <w:rsid w:val="009446E4"/>
    <w:rsid w:val="009465FB"/>
    <w:rsid w:val="00946D0C"/>
    <w:rsid w:val="009479A8"/>
    <w:rsid w:val="00950420"/>
    <w:rsid w:val="00950516"/>
    <w:rsid w:val="00951E4C"/>
    <w:rsid w:val="00952F73"/>
    <w:rsid w:val="00955802"/>
    <w:rsid w:val="00955DBE"/>
    <w:rsid w:val="00957357"/>
    <w:rsid w:val="00960999"/>
    <w:rsid w:val="009609D3"/>
    <w:rsid w:val="0096151B"/>
    <w:rsid w:val="00962C21"/>
    <w:rsid w:val="00962E9E"/>
    <w:rsid w:val="00963D68"/>
    <w:rsid w:val="009647D4"/>
    <w:rsid w:val="00964AC6"/>
    <w:rsid w:val="00966254"/>
    <w:rsid w:val="00966473"/>
    <w:rsid w:val="00970631"/>
    <w:rsid w:val="00970D0A"/>
    <w:rsid w:val="00972807"/>
    <w:rsid w:val="00972827"/>
    <w:rsid w:val="00972996"/>
    <w:rsid w:val="009729AD"/>
    <w:rsid w:val="00973387"/>
    <w:rsid w:val="009733ED"/>
    <w:rsid w:val="00973762"/>
    <w:rsid w:val="00974A2D"/>
    <w:rsid w:val="0097535D"/>
    <w:rsid w:val="00976216"/>
    <w:rsid w:val="00976A8B"/>
    <w:rsid w:val="00976AA6"/>
    <w:rsid w:val="00977C02"/>
    <w:rsid w:val="0098021A"/>
    <w:rsid w:val="009806C0"/>
    <w:rsid w:val="00981AAB"/>
    <w:rsid w:val="00982CD2"/>
    <w:rsid w:val="009831F7"/>
    <w:rsid w:val="00983335"/>
    <w:rsid w:val="0098693D"/>
    <w:rsid w:val="00986B43"/>
    <w:rsid w:val="009874CE"/>
    <w:rsid w:val="00987981"/>
    <w:rsid w:val="00990119"/>
    <w:rsid w:val="009918F5"/>
    <w:rsid w:val="00991B67"/>
    <w:rsid w:val="0099462C"/>
    <w:rsid w:val="009975D4"/>
    <w:rsid w:val="009A0526"/>
    <w:rsid w:val="009A0787"/>
    <w:rsid w:val="009A1EE8"/>
    <w:rsid w:val="009A4476"/>
    <w:rsid w:val="009A4A0A"/>
    <w:rsid w:val="009A5095"/>
    <w:rsid w:val="009A5AEE"/>
    <w:rsid w:val="009A6D7A"/>
    <w:rsid w:val="009B1123"/>
    <w:rsid w:val="009B2684"/>
    <w:rsid w:val="009B3D35"/>
    <w:rsid w:val="009B4DE8"/>
    <w:rsid w:val="009B554B"/>
    <w:rsid w:val="009B619D"/>
    <w:rsid w:val="009B6BC3"/>
    <w:rsid w:val="009B745A"/>
    <w:rsid w:val="009C03D3"/>
    <w:rsid w:val="009C05B1"/>
    <w:rsid w:val="009C0751"/>
    <w:rsid w:val="009C0E52"/>
    <w:rsid w:val="009C1525"/>
    <w:rsid w:val="009C37CC"/>
    <w:rsid w:val="009C3E3C"/>
    <w:rsid w:val="009C445C"/>
    <w:rsid w:val="009C53A7"/>
    <w:rsid w:val="009C59FC"/>
    <w:rsid w:val="009C658B"/>
    <w:rsid w:val="009C6B04"/>
    <w:rsid w:val="009D06F0"/>
    <w:rsid w:val="009D07A3"/>
    <w:rsid w:val="009D1602"/>
    <w:rsid w:val="009D31BD"/>
    <w:rsid w:val="009D3A46"/>
    <w:rsid w:val="009D536A"/>
    <w:rsid w:val="009D7522"/>
    <w:rsid w:val="009E32F8"/>
    <w:rsid w:val="009E444C"/>
    <w:rsid w:val="009E47F5"/>
    <w:rsid w:val="009E60E8"/>
    <w:rsid w:val="009E6A5D"/>
    <w:rsid w:val="009F0297"/>
    <w:rsid w:val="009F05B3"/>
    <w:rsid w:val="009F1380"/>
    <w:rsid w:val="009F1479"/>
    <w:rsid w:val="009F1524"/>
    <w:rsid w:val="009F2735"/>
    <w:rsid w:val="009F2934"/>
    <w:rsid w:val="009F2BAE"/>
    <w:rsid w:val="009F2D2D"/>
    <w:rsid w:val="009F3BEA"/>
    <w:rsid w:val="009F3BF0"/>
    <w:rsid w:val="009F4A64"/>
    <w:rsid w:val="009F4F47"/>
    <w:rsid w:val="009F5A07"/>
    <w:rsid w:val="009F6A0F"/>
    <w:rsid w:val="009F785D"/>
    <w:rsid w:val="00A00F0F"/>
    <w:rsid w:val="00A0482F"/>
    <w:rsid w:val="00A049A0"/>
    <w:rsid w:val="00A05ECE"/>
    <w:rsid w:val="00A0715D"/>
    <w:rsid w:val="00A075C6"/>
    <w:rsid w:val="00A07A05"/>
    <w:rsid w:val="00A07BB2"/>
    <w:rsid w:val="00A1059B"/>
    <w:rsid w:val="00A13266"/>
    <w:rsid w:val="00A13B0D"/>
    <w:rsid w:val="00A161A9"/>
    <w:rsid w:val="00A16227"/>
    <w:rsid w:val="00A172C1"/>
    <w:rsid w:val="00A2094C"/>
    <w:rsid w:val="00A20F75"/>
    <w:rsid w:val="00A212F4"/>
    <w:rsid w:val="00A2171C"/>
    <w:rsid w:val="00A2185A"/>
    <w:rsid w:val="00A21CA3"/>
    <w:rsid w:val="00A2233D"/>
    <w:rsid w:val="00A22667"/>
    <w:rsid w:val="00A24E44"/>
    <w:rsid w:val="00A24F98"/>
    <w:rsid w:val="00A26036"/>
    <w:rsid w:val="00A26314"/>
    <w:rsid w:val="00A2751F"/>
    <w:rsid w:val="00A30F9B"/>
    <w:rsid w:val="00A3159E"/>
    <w:rsid w:val="00A32815"/>
    <w:rsid w:val="00A3389F"/>
    <w:rsid w:val="00A4000E"/>
    <w:rsid w:val="00A40053"/>
    <w:rsid w:val="00A4078C"/>
    <w:rsid w:val="00A40972"/>
    <w:rsid w:val="00A4115F"/>
    <w:rsid w:val="00A4338A"/>
    <w:rsid w:val="00A435B4"/>
    <w:rsid w:val="00A435F2"/>
    <w:rsid w:val="00A4455B"/>
    <w:rsid w:val="00A44FA7"/>
    <w:rsid w:val="00A45372"/>
    <w:rsid w:val="00A454DC"/>
    <w:rsid w:val="00A46D37"/>
    <w:rsid w:val="00A527C2"/>
    <w:rsid w:val="00A537E2"/>
    <w:rsid w:val="00A55244"/>
    <w:rsid w:val="00A57043"/>
    <w:rsid w:val="00A60AA1"/>
    <w:rsid w:val="00A60DAF"/>
    <w:rsid w:val="00A61B05"/>
    <w:rsid w:val="00A62C05"/>
    <w:rsid w:val="00A64C4C"/>
    <w:rsid w:val="00A65A97"/>
    <w:rsid w:val="00A65B2E"/>
    <w:rsid w:val="00A660EF"/>
    <w:rsid w:val="00A6629F"/>
    <w:rsid w:val="00A6667C"/>
    <w:rsid w:val="00A66FC3"/>
    <w:rsid w:val="00A670F7"/>
    <w:rsid w:val="00A675E2"/>
    <w:rsid w:val="00A67AE7"/>
    <w:rsid w:val="00A701B4"/>
    <w:rsid w:val="00A705AA"/>
    <w:rsid w:val="00A708DE"/>
    <w:rsid w:val="00A71048"/>
    <w:rsid w:val="00A72BE3"/>
    <w:rsid w:val="00A7368F"/>
    <w:rsid w:val="00A73E68"/>
    <w:rsid w:val="00A7402B"/>
    <w:rsid w:val="00A7429D"/>
    <w:rsid w:val="00A7507D"/>
    <w:rsid w:val="00A75197"/>
    <w:rsid w:val="00A75ABB"/>
    <w:rsid w:val="00A7768E"/>
    <w:rsid w:val="00A81CBE"/>
    <w:rsid w:val="00A81E34"/>
    <w:rsid w:val="00A84339"/>
    <w:rsid w:val="00A84345"/>
    <w:rsid w:val="00A85040"/>
    <w:rsid w:val="00A850B2"/>
    <w:rsid w:val="00A858E2"/>
    <w:rsid w:val="00A86757"/>
    <w:rsid w:val="00A87106"/>
    <w:rsid w:val="00A873A2"/>
    <w:rsid w:val="00A912D7"/>
    <w:rsid w:val="00A92ABA"/>
    <w:rsid w:val="00A953CE"/>
    <w:rsid w:val="00A95FF9"/>
    <w:rsid w:val="00AA1745"/>
    <w:rsid w:val="00AA1D2D"/>
    <w:rsid w:val="00AA1E6C"/>
    <w:rsid w:val="00AA2072"/>
    <w:rsid w:val="00AA3A55"/>
    <w:rsid w:val="00AA3BD7"/>
    <w:rsid w:val="00AB0902"/>
    <w:rsid w:val="00AB097F"/>
    <w:rsid w:val="00AB0E01"/>
    <w:rsid w:val="00AB2858"/>
    <w:rsid w:val="00AB3448"/>
    <w:rsid w:val="00AB4F1B"/>
    <w:rsid w:val="00AB5327"/>
    <w:rsid w:val="00AB53CC"/>
    <w:rsid w:val="00AB56D3"/>
    <w:rsid w:val="00AB6290"/>
    <w:rsid w:val="00AB6957"/>
    <w:rsid w:val="00AB6D43"/>
    <w:rsid w:val="00AB728F"/>
    <w:rsid w:val="00AB744D"/>
    <w:rsid w:val="00AB7599"/>
    <w:rsid w:val="00AC04E3"/>
    <w:rsid w:val="00AC10E8"/>
    <w:rsid w:val="00AC20D9"/>
    <w:rsid w:val="00AC3A61"/>
    <w:rsid w:val="00AD0D5E"/>
    <w:rsid w:val="00AD1AA1"/>
    <w:rsid w:val="00AD2F26"/>
    <w:rsid w:val="00AD305F"/>
    <w:rsid w:val="00AD3111"/>
    <w:rsid w:val="00AD5C9C"/>
    <w:rsid w:val="00AD6F26"/>
    <w:rsid w:val="00AD75F2"/>
    <w:rsid w:val="00AD7BE1"/>
    <w:rsid w:val="00AD7DC9"/>
    <w:rsid w:val="00AE0551"/>
    <w:rsid w:val="00AE1924"/>
    <w:rsid w:val="00AE2B99"/>
    <w:rsid w:val="00AE34C6"/>
    <w:rsid w:val="00AE36F5"/>
    <w:rsid w:val="00AE500C"/>
    <w:rsid w:val="00AE529F"/>
    <w:rsid w:val="00AE5FF0"/>
    <w:rsid w:val="00AE60A2"/>
    <w:rsid w:val="00AE7A0B"/>
    <w:rsid w:val="00AF002C"/>
    <w:rsid w:val="00AF171E"/>
    <w:rsid w:val="00AF1790"/>
    <w:rsid w:val="00AF18C7"/>
    <w:rsid w:val="00AF3285"/>
    <w:rsid w:val="00AF3355"/>
    <w:rsid w:val="00AF3672"/>
    <w:rsid w:val="00AF3AF8"/>
    <w:rsid w:val="00AF4FE9"/>
    <w:rsid w:val="00AF53F8"/>
    <w:rsid w:val="00AF5F3D"/>
    <w:rsid w:val="00B01475"/>
    <w:rsid w:val="00B027CD"/>
    <w:rsid w:val="00B02B00"/>
    <w:rsid w:val="00B02F38"/>
    <w:rsid w:val="00B03223"/>
    <w:rsid w:val="00B0445A"/>
    <w:rsid w:val="00B04FAD"/>
    <w:rsid w:val="00B050C8"/>
    <w:rsid w:val="00B05750"/>
    <w:rsid w:val="00B05B8E"/>
    <w:rsid w:val="00B064DA"/>
    <w:rsid w:val="00B06A2F"/>
    <w:rsid w:val="00B07429"/>
    <w:rsid w:val="00B10A3A"/>
    <w:rsid w:val="00B10AB3"/>
    <w:rsid w:val="00B14519"/>
    <w:rsid w:val="00B15462"/>
    <w:rsid w:val="00B1589C"/>
    <w:rsid w:val="00B17894"/>
    <w:rsid w:val="00B21013"/>
    <w:rsid w:val="00B220DF"/>
    <w:rsid w:val="00B23662"/>
    <w:rsid w:val="00B24680"/>
    <w:rsid w:val="00B24880"/>
    <w:rsid w:val="00B2575A"/>
    <w:rsid w:val="00B315D8"/>
    <w:rsid w:val="00B31640"/>
    <w:rsid w:val="00B31A9B"/>
    <w:rsid w:val="00B31AAA"/>
    <w:rsid w:val="00B321C1"/>
    <w:rsid w:val="00B34BFE"/>
    <w:rsid w:val="00B3558E"/>
    <w:rsid w:val="00B4068D"/>
    <w:rsid w:val="00B413C3"/>
    <w:rsid w:val="00B435AF"/>
    <w:rsid w:val="00B437B4"/>
    <w:rsid w:val="00B44681"/>
    <w:rsid w:val="00B44F29"/>
    <w:rsid w:val="00B45D72"/>
    <w:rsid w:val="00B466EB"/>
    <w:rsid w:val="00B4708F"/>
    <w:rsid w:val="00B51409"/>
    <w:rsid w:val="00B51541"/>
    <w:rsid w:val="00B53206"/>
    <w:rsid w:val="00B53797"/>
    <w:rsid w:val="00B54A3A"/>
    <w:rsid w:val="00B56242"/>
    <w:rsid w:val="00B57D04"/>
    <w:rsid w:val="00B57D70"/>
    <w:rsid w:val="00B606BD"/>
    <w:rsid w:val="00B6190C"/>
    <w:rsid w:val="00B620B1"/>
    <w:rsid w:val="00B628DC"/>
    <w:rsid w:val="00B629FE"/>
    <w:rsid w:val="00B6458B"/>
    <w:rsid w:val="00B64A7A"/>
    <w:rsid w:val="00B66BDF"/>
    <w:rsid w:val="00B706EF"/>
    <w:rsid w:val="00B7303A"/>
    <w:rsid w:val="00B73104"/>
    <w:rsid w:val="00B7352B"/>
    <w:rsid w:val="00B7389C"/>
    <w:rsid w:val="00B740FE"/>
    <w:rsid w:val="00B7416C"/>
    <w:rsid w:val="00B7456C"/>
    <w:rsid w:val="00B75456"/>
    <w:rsid w:val="00B76596"/>
    <w:rsid w:val="00B77E28"/>
    <w:rsid w:val="00B81DB9"/>
    <w:rsid w:val="00B8218A"/>
    <w:rsid w:val="00B82250"/>
    <w:rsid w:val="00B8275C"/>
    <w:rsid w:val="00B828E7"/>
    <w:rsid w:val="00B83631"/>
    <w:rsid w:val="00B847D2"/>
    <w:rsid w:val="00B8587A"/>
    <w:rsid w:val="00B85895"/>
    <w:rsid w:val="00B85AD9"/>
    <w:rsid w:val="00B861F5"/>
    <w:rsid w:val="00B86739"/>
    <w:rsid w:val="00B86B8D"/>
    <w:rsid w:val="00B86BA0"/>
    <w:rsid w:val="00B86E0B"/>
    <w:rsid w:val="00B90065"/>
    <w:rsid w:val="00B90B9C"/>
    <w:rsid w:val="00B9191E"/>
    <w:rsid w:val="00B94A91"/>
    <w:rsid w:val="00B95028"/>
    <w:rsid w:val="00B95CB4"/>
    <w:rsid w:val="00B97007"/>
    <w:rsid w:val="00BA035A"/>
    <w:rsid w:val="00BA03EF"/>
    <w:rsid w:val="00BA04D5"/>
    <w:rsid w:val="00BA0628"/>
    <w:rsid w:val="00BA2C99"/>
    <w:rsid w:val="00BA378F"/>
    <w:rsid w:val="00BA42B1"/>
    <w:rsid w:val="00BA4CD6"/>
    <w:rsid w:val="00BA732B"/>
    <w:rsid w:val="00BB2B94"/>
    <w:rsid w:val="00BB317E"/>
    <w:rsid w:val="00BB3DE0"/>
    <w:rsid w:val="00BB4F9A"/>
    <w:rsid w:val="00BB55E6"/>
    <w:rsid w:val="00BB58B0"/>
    <w:rsid w:val="00BB6CDA"/>
    <w:rsid w:val="00BC1BE5"/>
    <w:rsid w:val="00BC368B"/>
    <w:rsid w:val="00BC401B"/>
    <w:rsid w:val="00BC4BE3"/>
    <w:rsid w:val="00BC4CE1"/>
    <w:rsid w:val="00BC51C7"/>
    <w:rsid w:val="00BC6804"/>
    <w:rsid w:val="00BC7793"/>
    <w:rsid w:val="00BD03E4"/>
    <w:rsid w:val="00BD04EC"/>
    <w:rsid w:val="00BD0769"/>
    <w:rsid w:val="00BD0F3D"/>
    <w:rsid w:val="00BD3F50"/>
    <w:rsid w:val="00BD4058"/>
    <w:rsid w:val="00BD4666"/>
    <w:rsid w:val="00BD4F65"/>
    <w:rsid w:val="00BD56A6"/>
    <w:rsid w:val="00BD617E"/>
    <w:rsid w:val="00BD6213"/>
    <w:rsid w:val="00BD62FC"/>
    <w:rsid w:val="00BD6358"/>
    <w:rsid w:val="00BD65FF"/>
    <w:rsid w:val="00BD73B2"/>
    <w:rsid w:val="00BE00F9"/>
    <w:rsid w:val="00BE0A98"/>
    <w:rsid w:val="00BE1A50"/>
    <w:rsid w:val="00BE1E50"/>
    <w:rsid w:val="00BE3971"/>
    <w:rsid w:val="00BE39B3"/>
    <w:rsid w:val="00BE4798"/>
    <w:rsid w:val="00BE552C"/>
    <w:rsid w:val="00BE57E7"/>
    <w:rsid w:val="00BE5832"/>
    <w:rsid w:val="00BE69CB"/>
    <w:rsid w:val="00BE6CFD"/>
    <w:rsid w:val="00BE75D9"/>
    <w:rsid w:val="00BE7A33"/>
    <w:rsid w:val="00BF0588"/>
    <w:rsid w:val="00BF1BD8"/>
    <w:rsid w:val="00BF4F60"/>
    <w:rsid w:val="00BF5A4A"/>
    <w:rsid w:val="00BF5B08"/>
    <w:rsid w:val="00BF63E0"/>
    <w:rsid w:val="00C0144F"/>
    <w:rsid w:val="00C04568"/>
    <w:rsid w:val="00C0641F"/>
    <w:rsid w:val="00C070DA"/>
    <w:rsid w:val="00C0757B"/>
    <w:rsid w:val="00C102FC"/>
    <w:rsid w:val="00C115CD"/>
    <w:rsid w:val="00C11A60"/>
    <w:rsid w:val="00C13C6C"/>
    <w:rsid w:val="00C16726"/>
    <w:rsid w:val="00C169A5"/>
    <w:rsid w:val="00C16AEA"/>
    <w:rsid w:val="00C207E6"/>
    <w:rsid w:val="00C21B14"/>
    <w:rsid w:val="00C22166"/>
    <w:rsid w:val="00C22B6E"/>
    <w:rsid w:val="00C25836"/>
    <w:rsid w:val="00C259B7"/>
    <w:rsid w:val="00C26374"/>
    <w:rsid w:val="00C27F6C"/>
    <w:rsid w:val="00C328EF"/>
    <w:rsid w:val="00C34248"/>
    <w:rsid w:val="00C3430E"/>
    <w:rsid w:val="00C349C2"/>
    <w:rsid w:val="00C34B85"/>
    <w:rsid w:val="00C34F41"/>
    <w:rsid w:val="00C35D50"/>
    <w:rsid w:val="00C35F51"/>
    <w:rsid w:val="00C444BA"/>
    <w:rsid w:val="00C47615"/>
    <w:rsid w:val="00C50579"/>
    <w:rsid w:val="00C52ABF"/>
    <w:rsid w:val="00C5377F"/>
    <w:rsid w:val="00C54681"/>
    <w:rsid w:val="00C54901"/>
    <w:rsid w:val="00C55263"/>
    <w:rsid w:val="00C56BD9"/>
    <w:rsid w:val="00C60D58"/>
    <w:rsid w:val="00C61A53"/>
    <w:rsid w:val="00C64E00"/>
    <w:rsid w:val="00C64E25"/>
    <w:rsid w:val="00C64F99"/>
    <w:rsid w:val="00C66A69"/>
    <w:rsid w:val="00C7013B"/>
    <w:rsid w:val="00C710B3"/>
    <w:rsid w:val="00C71B65"/>
    <w:rsid w:val="00C728CA"/>
    <w:rsid w:val="00C742F8"/>
    <w:rsid w:val="00C76F24"/>
    <w:rsid w:val="00C77B31"/>
    <w:rsid w:val="00C8053E"/>
    <w:rsid w:val="00C82404"/>
    <w:rsid w:val="00C82663"/>
    <w:rsid w:val="00C82BEC"/>
    <w:rsid w:val="00C82FD4"/>
    <w:rsid w:val="00C83057"/>
    <w:rsid w:val="00C83910"/>
    <w:rsid w:val="00C85D6C"/>
    <w:rsid w:val="00C87681"/>
    <w:rsid w:val="00C87D10"/>
    <w:rsid w:val="00C87EEF"/>
    <w:rsid w:val="00C901CC"/>
    <w:rsid w:val="00C90A7C"/>
    <w:rsid w:val="00C91132"/>
    <w:rsid w:val="00C91C44"/>
    <w:rsid w:val="00C91C57"/>
    <w:rsid w:val="00C923BF"/>
    <w:rsid w:val="00C93C67"/>
    <w:rsid w:val="00C9463A"/>
    <w:rsid w:val="00C948B3"/>
    <w:rsid w:val="00C956BE"/>
    <w:rsid w:val="00C96B04"/>
    <w:rsid w:val="00C96F4C"/>
    <w:rsid w:val="00CA1271"/>
    <w:rsid w:val="00CA1468"/>
    <w:rsid w:val="00CA1B40"/>
    <w:rsid w:val="00CA1BFF"/>
    <w:rsid w:val="00CA34A6"/>
    <w:rsid w:val="00CA3699"/>
    <w:rsid w:val="00CA50C6"/>
    <w:rsid w:val="00CA62D8"/>
    <w:rsid w:val="00CA7BB8"/>
    <w:rsid w:val="00CB08AA"/>
    <w:rsid w:val="00CB240F"/>
    <w:rsid w:val="00CB3580"/>
    <w:rsid w:val="00CB444E"/>
    <w:rsid w:val="00CB474F"/>
    <w:rsid w:val="00CB4A00"/>
    <w:rsid w:val="00CB4A62"/>
    <w:rsid w:val="00CC0260"/>
    <w:rsid w:val="00CC02A4"/>
    <w:rsid w:val="00CC2889"/>
    <w:rsid w:val="00CC49C2"/>
    <w:rsid w:val="00CC55A0"/>
    <w:rsid w:val="00CC688D"/>
    <w:rsid w:val="00CC6956"/>
    <w:rsid w:val="00CC6D56"/>
    <w:rsid w:val="00CC79E0"/>
    <w:rsid w:val="00CC7B83"/>
    <w:rsid w:val="00CC7F96"/>
    <w:rsid w:val="00CD09D6"/>
    <w:rsid w:val="00CD126A"/>
    <w:rsid w:val="00CD2BE2"/>
    <w:rsid w:val="00CD32E3"/>
    <w:rsid w:val="00CD3D82"/>
    <w:rsid w:val="00CD427B"/>
    <w:rsid w:val="00CD5B8A"/>
    <w:rsid w:val="00CD6269"/>
    <w:rsid w:val="00CE0C0D"/>
    <w:rsid w:val="00CE11B0"/>
    <w:rsid w:val="00CE1A25"/>
    <w:rsid w:val="00CE389C"/>
    <w:rsid w:val="00CE3A5C"/>
    <w:rsid w:val="00CE4D89"/>
    <w:rsid w:val="00CE6AE0"/>
    <w:rsid w:val="00CE6B08"/>
    <w:rsid w:val="00CF0252"/>
    <w:rsid w:val="00CF034A"/>
    <w:rsid w:val="00CF090A"/>
    <w:rsid w:val="00CF0D66"/>
    <w:rsid w:val="00CF1404"/>
    <w:rsid w:val="00CF1C12"/>
    <w:rsid w:val="00CF2260"/>
    <w:rsid w:val="00CF2658"/>
    <w:rsid w:val="00CF26F3"/>
    <w:rsid w:val="00CF362F"/>
    <w:rsid w:val="00CF4403"/>
    <w:rsid w:val="00CF49C5"/>
    <w:rsid w:val="00CF6CA2"/>
    <w:rsid w:val="00CF6F5F"/>
    <w:rsid w:val="00CF7C2B"/>
    <w:rsid w:val="00D02C03"/>
    <w:rsid w:val="00D03316"/>
    <w:rsid w:val="00D03F40"/>
    <w:rsid w:val="00D047E2"/>
    <w:rsid w:val="00D05D36"/>
    <w:rsid w:val="00D05E1C"/>
    <w:rsid w:val="00D063E9"/>
    <w:rsid w:val="00D07487"/>
    <w:rsid w:val="00D07758"/>
    <w:rsid w:val="00D07C78"/>
    <w:rsid w:val="00D10DB8"/>
    <w:rsid w:val="00D110F5"/>
    <w:rsid w:val="00D13A6F"/>
    <w:rsid w:val="00D141C4"/>
    <w:rsid w:val="00D143C4"/>
    <w:rsid w:val="00D1479B"/>
    <w:rsid w:val="00D152B2"/>
    <w:rsid w:val="00D161D8"/>
    <w:rsid w:val="00D1727C"/>
    <w:rsid w:val="00D17923"/>
    <w:rsid w:val="00D17996"/>
    <w:rsid w:val="00D17AB7"/>
    <w:rsid w:val="00D215F3"/>
    <w:rsid w:val="00D23076"/>
    <w:rsid w:val="00D232C3"/>
    <w:rsid w:val="00D24354"/>
    <w:rsid w:val="00D259B7"/>
    <w:rsid w:val="00D25B93"/>
    <w:rsid w:val="00D26260"/>
    <w:rsid w:val="00D26846"/>
    <w:rsid w:val="00D26ADE"/>
    <w:rsid w:val="00D27AEE"/>
    <w:rsid w:val="00D3031C"/>
    <w:rsid w:val="00D30374"/>
    <w:rsid w:val="00D30D9B"/>
    <w:rsid w:val="00D31986"/>
    <w:rsid w:val="00D31A71"/>
    <w:rsid w:val="00D33915"/>
    <w:rsid w:val="00D3391C"/>
    <w:rsid w:val="00D33F53"/>
    <w:rsid w:val="00D36525"/>
    <w:rsid w:val="00D40196"/>
    <w:rsid w:val="00D4028C"/>
    <w:rsid w:val="00D41659"/>
    <w:rsid w:val="00D417A4"/>
    <w:rsid w:val="00D42A9A"/>
    <w:rsid w:val="00D42DD4"/>
    <w:rsid w:val="00D43352"/>
    <w:rsid w:val="00D45843"/>
    <w:rsid w:val="00D45DF0"/>
    <w:rsid w:val="00D4624F"/>
    <w:rsid w:val="00D4629E"/>
    <w:rsid w:val="00D466AB"/>
    <w:rsid w:val="00D47D4C"/>
    <w:rsid w:val="00D50284"/>
    <w:rsid w:val="00D50DAF"/>
    <w:rsid w:val="00D513D4"/>
    <w:rsid w:val="00D51C05"/>
    <w:rsid w:val="00D51E21"/>
    <w:rsid w:val="00D52142"/>
    <w:rsid w:val="00D53E5A"/>
    <w:rsid w:val="00D54E1B"/>
    <w:rsid w:val="00D54FDE"/>
    <w:rsid w:val="00D551C5"/>
    <w:rsid w:val="00D56DCA"/>
    <w:rsid w:val="00D57F9A"/>
    <w:rsid w:val="00D6048E"/>
    <w:rsid w:val="00D61E80"/>
    <w:rsid w:val="00D65100"/>
    <w:rsid w:val="00D66765"/>
    <w:rsid w:val="00D6683C"/>
    <w:rsid w:val="00D7045D"/>
    <w:rsid w:val="00D7166D"/>
    <w:rsid w:val="00D71701"/>
    <w:rsid w:val="00D7205F"/>
    <w:rsid w:val="00D73689"/>
    <w:rsid w:val="00D73727"/>
    <w:rsid w:val="00D73925"/>
    <w:rsid w:val="00D73DA7"/>
    <w:rsid w:val="00D75812"/>
    <w:rsid w:val="00D76B74"/>
    <w:rsid w:val="00D771F1"/>
    <w:rsid w:val="00D773CA"/>
    <w:rsid w:val="00D81C95"/>
    <w:rsid w:val="00D83C87"/>
    <w:rsid w:val="00D84FCA"/>
    <w:rsid w:val="00D868E6"/>
    <w:rsid w:val="00D910FF"/>
    <w:rsid w:val="00D91204"/>
    <w:rsid w:val="00D92464"/>
    <w:rsid w:val="00D92A79"/>
    <w:rsid w:val="00D936A1"/>
    <w:rsid w:val="00D940D2"/>
    <w:rsid w:val="00D94516"/>
    <w:rsid w:val="00D945AC"/>
    <w:rsid w:val="00D95033"/>
    <w:rsid w:val="00D964B6"/>
    <w:rsid w:val="00DA07E0"/>
    <w:rsid w:val="00DA2E95"/>
    <w:rsid w:val="00DA45E1"/>
    <w:rsid w:val="00DA4EC0"/>
    <w:rsid w:val="00DA5DFF"/>
    <w:rsid w:val="00DA5E8B"/>
    <w:rsid w:val="00DA6873"/>
    <w:rsid w:val="00DA6D18"/>
    <w:rsid w:val="00DA7067"/>
    <w:rsid w:val="00DA77DC"/>
    <w:rsid w:val="00DA7A2A"/>
    <w:rsid w:val="00DB06DC"/>
    <w:rsid w:val="00DB14AF"/>
    <w:rsid w:val="00DB1A7E"/>
    <w:rsid w:val="00DB1C99"/>
    <w:rsid w:val="00DB2141"/>
    <w:rsid w:val="00DB2469"/>
    <w:rsid w:val="00DB3480"/>
    <w:rsid w:val="00DB366B"/>
    <w:rsid w:val="00DB3A22"/>
    <w:rsid w:val="00DB41D4"/>
    <w:rsid w:val="00DB43C1"/>
    <w:rsid w:val="00DB4C0C"/>
    <w:rsid w:val="00DB530E"/>
    <w:rsid w:val="00DB53E9"/>
    <w:rsid w:val="00DB58DF"/>
    <w:rsid w:val="00DB5936"/>
    <w:rsid w:val="00DB5C3A"/>
    <w:rsid w:val="00DB6028"/>
    <w:rsid w:val="00DB7914"/>
    <w:rsid w:val="00DB7DF1"/>
    <w:rsid w:val="00DC0497"/>
    <w:rsid w:val="00DC2AD1"/>
    <w:rsid w:val="00DC4E79"/>
    <w:rsid w:val="00DC551C"/>
    <w:rsid w:val="00DC5C02"/>
    <w:rsid w:val="00DC60C6"/>
    <w:rsid w:val="00DC7F28"/>
    <w:rsid w:val="00DC7FC8"/>
    <w:rsid w:val="00DD095E"/>
    <w:rsid w:val="00DD3678"/>
    <w:rsid w:val="00DD3B54"/>
    <w:rsid w:val="00DD3D90"/>
    <w:rsid w:val="00DE2BCC"/>
    <w:rsid w:val="00DE386F"/>
    <w:rsid w:val="00DE6416"/>
    <w:rsid w:val="00DE6DAF"/>
    <w:rsid w:val="00DE6DD1"/>
    <w:rsid w:val="00DE7B40"/>
    <w:rsid w:val="00DF0222"/>
    <w:rsid w:val="00DF0460"/>
    <w:rsid w:val="00DF1693"/>
    <w:rsid w:val="00DF20E1"/>
    <w:rsid w:val="00DF2486"/>
    <w:rsid w:val="00DF2FB5"/>
    <w:rsid w:val="00DF32FA"/>
    <w:rsid w:val="00DF39FC"/>
    <w:rsid w:val="00DF3DC1"/>
    <w:rsid w:val="00DF411D"/>
    <w:rsid w:val="00DF6577"/>
    <w:rsid w:val="00DF67CA"/>
    <w:rsid w:val="00DF6C6C"/>
    <w:rsid w:val="00DF7729"/>
    <w:rsid w:val="00E01C93"/>
    <w:rsid w:val="00E01DC3"/>
    <w:rsid w:val="00E04726"/>
    <w:rsid w:val="00E07085"/>
    <w:rsid w:val="00E07E4C"/>
    <w:rsid w:val="00E11E30"/>
    <w:rsid w:val="00E13394"/>
    <w:rsid w:val="00E16FB6"/>
    <w:rsid w:val="00E177AE"/>
    <w:rsid w:val="00E179BC"/>
    <w:rsid w:val="00E17B31"/>
    <w:rsid w:val="00E17C8B"/>
    <w:rsid w:val="00E17F4C"/>
    <w:rsid w:val="00E17FB8"/>
    <w:rsid w:val="00E20385"/>
    <w:rsid w:val="00E21307"/>
    <w:rsid w:val="00E218CB"/>
    <w:rsid w:val="00E22D00"/>
    <w:rsid w:val="00E2332C"/>
    <w:rsid w:val="00E2338C"/>
    <w:rsid w:val="00E2406D"/>
    <w:rsid w:val="00E26860"/>
    <w:rsid w:val="00E2753B"/>
    <w:rsid w:val="00E30C3A"/>
    <w:rsid w:val="00E30D35"/>
    <w:rsid w:val="00E30DBD"/>
    <w:rsid w:val="00E315B2"/>
    <w:rsid w:val="00E32447"/>
    <w:rsid w:val="00E32F62"/>
    <w:rsid w:val="00E34448"/>
    <w:rsid w:val="00E3456C"/>
    <w:rsid w:val="00E34667"/>
    <w:rsid w:val="00E3468B"/>
    <w:rsid w:val="00E35014"/>
    <w:rsid w:val="00E357CD"/>
    <w:rsid w:val="00E35CA0"/>
    <w:rsid w:val="00E35CC6"/>
    <w:rsid w:val="00E37154"/>
    <w:rsid w:val="00E371B1"/>
    <w:rsid w:val="00E40460"/>
    <w:rsid w:val="00E41FF0"/>
    <w:rsid w:val="00E45EF9"/>
    <w:rsid w:val="00E4602C"/>
    <w:rsid w:val="00E46634"/>
    <w:rsid w:val="00E503C9"/>
    <w:rsid w:val="00E513B6"/>
    <w:rsid w:val="00E514C7"/>
    <w:rsid w:val="00E51D92"/>
    <w:rsid w:val="00E51DC3"/>
    <w:rsid w:val="00E54680"/>
    <w:rsid w:val="00E605F0"/>
    <w:rsid w:val="00E62585"/>
    <w:rsid w:val="00E65B27"/>
    <w:rsid w:val="00E65F6A"/>
    <w:rsid w:val="00E66691"/>
    <w:rsid w:val="00E671AB"/>
    <w:rsid w:val="00E67A15"/>
    <w:rsid w:val="00E67E72"/>
    <w:rsid w:val="00E727A2"/>
    <w:rsid w:val="00E735D4"/>
    <w:rsid w:val="00E73EE7"/>
    <w:rsid w:val="00E746F6"/>
    <w:rsid w:val="00E74742"/>
    <w:rsid w:val="00E74FAE"/>
    <w:rsid w:val="00E7572F"/>
    <w:rsid w:val="00E75B56"/>
    <w:rsid w:val="00E76097"/>
    <w:rsid w:val="00E77107"/>
    <w:rsid w:val="00E77139"/>
    <w:rsid w:val="00E7776B"/>
    <w:rsid w:val="00E77CF3"/>
    <w:rsid w:val="00E80F5D"/>
    <w:rsid w:val="00E8123F"/>
    <w:rsid w:val="00E814EE"/>
    <w:rsid w:val="00E82235"/>
    <w:rsid w:val="00E8238E"/>
    <w:rsid w:val="00E82864"/>
    <w:rsid w:val="00E82CD8"/>
    <w:rsid w:val="00E82EF9"/>
    <w:rsid w:val="00E8332B"/>
    <w:rsid w:val="00E83735"/>
    <w:rsid w:val="00E838F0"/>
    <w:rsid w:val="00E8725C"/>
    <w:rsid w:val="00E87ECE"/>
    <w:rsid w:val="00E90879"/>
    <w:rsid w:val="00E9114A"/>
    <w:rsid w:val="00E91379"/>
    <w:rsid w:val="00E91DE3"/>
    <w:rsid w:val="00E93395"/>
    <w:rsid w:val="00E933C3"/>
    <w:rsid w:val="00E93760"/>
    <w:rsid w:val="00E9459A"/>
    <w:rsid w:val="00E94FB7"/>
    <w:rsid w:val="00E95134"/>
    <w:rsid w:val="00E95ADD"/>
    <w:rsid w:val="00E95C13"/>
    <w:rsid w:val="00E95E13"/>
    <w:rsid w:val="00E9632C"/>
    <w:rsid w:val="00E965AD"/>
    <w:rsid w:val="00E97C73"/>
    <w:rsid w:val="00E97EF5"/>
    <w:rsid w:val="00EA0D0A"/>
    <w:rsid w:val="00EA2487"/>
    <w:rsid w:val="00EA4294"/>
    <w:rsid w:val="00EA47F7"/>
    <w:rsid w:val="00EA4F69"/>
    <w:rsid w:val="00EA7D93"/>
    <w:rsid w:val="00EB0044"/>
    <w:rsid w:val="00EB096B"/>
    <w:rsid w:val="00EB1143"/>
    <w:rsid w:val="00EB255F"/>
    <w:rsid w:val="00EB47D2"/>
    <w:rsid w:val="00EB6557"/>
    <w:rsid w:val="00EB731F"/>
    <w:rsid w:val="00EC0E7A"/>
    <w:rsid w:val="00EC22F1"/>
    <w:rsid w:val="00EC3FD1"/>
    <w:rsid w:val="00EC4BA1"/>
    <w:rsid w:val="00EC500E"/>
    <w:rsid w:val="00EC5B5A"/>
    <w:rsid w:val="00EC692F"/>
    <w:rsid w:val="00ED1A6C"/>
    <w:rsid w:val="00ED1CC1"/>
    <w:rsid w:val="00ED27ED"/>
    <w:rsid w:val="00ED2860"/>
    <w:rsid w:val="00ED3D57"/>
    <w:rsid w:val="00ED425E"/>
    <w:rsid w:val="00ED4406"/>
    <w:rsid w:val="00ED5A2A"/>
    <w:rsid w:val="00ED5E72"/>
    <w:rsid w:val="00ED604C"/>
    <w:rsid w:val="00EE3AAF"/>
    <w:rsid w:val="00EE3B02"/>
    <w:rsid w:val="00EE4EEA"/>
    <w:rsid w:val="00EE5F8B"/>
    <w:rsid w:val="00EE666D"/>
    <w:rsid w:val="00EE7713"/>
    <w:rsid w:val="00EE7F96"/>
    <w:rsid w:val="00EE7F9B"/>
    <w:rsid w:val="00EF06EE"/>
    <w:rsid w:val="00EF157F"/>
    <w:rsid w:val="00EF1835"/>
    <w:rsid w:val="00EF2A83"/>
    <w:rsid w:val="00EF5BB1"/>
    <w:rsid w:val="00EF642B"/>
    <w:rsid w:val="00F00CB6"/>
    <w:rsid w:val="00F00FA0"/>
    <w:rsid w:val="00F02BEA"/>
    <w:rsid w:val="00F02CE4"/>
    <w:rsid w:val="00F02E39"/>
    <w:rsid w:val="00F02FB5"/>
    <w:rsid w:val="00F0559B"/>
    <w:rsid w:val="00F05801"/>
    <w:rsid w:val="00F06B2A"/>
    <w:rsid w:val="00F06DD8"/>
    <w:rsid w:val="00F06FA3"/>
    <w:rsid w:val="00F07ECB"/>
    <w:rsid w:val="00F10172"/>
    <w:rsid w:val="00F111BE"/>
    <w:rsid w:val="00F11A23"/>
    <w:rsid w:val="00F12B06"/>
    <w:rsid w:val="00F1384A"/>
    <w:rsid w:val="00F13D8D"/>
    <w:rsid w:val="00F144A4"/>
    <w:rsid w:val="00F14DA5"/>
    <w:rsid w:val="00F1510F"/>
    <w:rsid w:val="00F15BDF"/>
    <w:rsid w:val="00F16902"/>
    <w:rsid w:val="00F16C32"/>
    <w:rsid w:val="00F23653"/>
    <w:rsid w:val="00F23B13"/>
    <w:rsid w:val="00F24D37"/>
    <w:rsid w:val="00F26832"/>
    <w:rsid w:val="00F26B8B"/>
    <w:rsid w:val="00F301B4"/>
    <w:rsid w:val="00F3027C"/>
    <w:rsid w:val="00F31800"/>
    <w:rsid w:val="00F320DD"/>
    <w:rsid w:val="00F344E1"/>
    <w:rsid w:val="00F34F1D"/>
    <w:rsid w:val="00F35FE6"/>
    <w:rsid w:val="00F360FF"/>
    <w:rsid w:val="00F366C1"/>
    <w:rsid w:val="00F369D5"/>
    <w:rsid w:val="00F40BA5"/>
    <w:rsid w:val="00F419C0"/>
    <w:rsid w:val="00F41E3F"/>
    <w:rsid w:val="00F423F8"/>
    <w:rsid w:val="00F4299E"/>
    <w:rsid w:val="00F4309F"/>
    <w:rsid w:val="00F43A91"/>
    <w:rsid w:val="00F44480"/>
    <w:rsid w:val="00F45028"/>
    <w:rsid w:val="00F46D7F"/>
    <w:rsid w:val="00F47075"/>
    <w:rsid w:val="00F50197"/>
    <w:rsid w:val="00F52E8C"/>
    <w:rsid w:val="00F54E31"/>
    <w:rsid w:val="00F56B49"/>
    <w:rsid w:val="00F600DC"/>
    <w:rsid w:val="00F632E8"/>
    <w:rsid w:val="00F641C6"/>
    <w:rsid w:val="00F65AA5"/>
    <w:rsid w:val="00F661DD"/>
    <w:rsid w:val="00F6767C"/>
    <w:rsid w:val="00F67DEA"/>
    <w:rsid w:val="00F728EB"/>
    <w:rsid w:val="00F73918"/>
    <w:rsid w:val="00F76435"/>
    <w:rsid w:val="00F776ED"/>
    <w:rsid w:val="00F80FEF"/>
    <w:rsid w:val="00F81580"/>
    <w:rsid w:val="00F82F39"/>
    <w:rsid w:val="00F83253"/>
    <w:rsid w:val="00F85060"/>
    <w:rsid w:val="00F8568F"/>
    <w:rsid w:val="00F8652C"/>
    <w:rsid w:val="00F86D5A"/>
    <w:rsid w:val="00F86EC3"/>
    <w:rsid w:val="00F86F09"/>
    <w:rsid w:val="00F8794F"/>
    <w:rsid w:val="00F905B8"/>
    <w:rsid w:val="00F90F36"/>
    <w:rsid w:val="00F913F3"/>
    <w:rsid w:val="00F91D4B"/>
    <w:rsid w:val="00F91D71"/>
    <w:rsid w:val="00F9383F"/>
    <w:rsid w:val="00F95ABF"/>
    <w:rsid w:val="00F96A5D"/>
    <w:rsid w:val="00F96A82"/>
    <w:rsid w:val="00FA0F91"/>
    <w:rsid w:val="00FA396F"/>
    <w:rsid w:val="00FA580B"/>
    <w:rsid w:val="00FA599A"/>
    <w:rsid w:val="00FA6F44"/>
    <w:rsid w:val="00FA7D17"/>
    <w:rsid w:val="00FA7F01"/>
    <w:rsid w:val="00FB011A"/>
    <w:rsid w:val="00FB0610"/>
    <w:rsid w:val="00FB106F"/>
    <w:rsid w:val="00FB25BE"/>
    <w:rsid w:val="00FB2F13"/>
    <w:rsid w:val="00FB3463"/>
    <w:rsid w:val="00FB585D"/>
    <w:rsid w:val="00FB670B"/>
    <w:rsid w:val="00FB6CEE"/>
    <w:rsid w:val="00FC182C"/>
    <w:rsid w:val="00FC1AA5"/>
    <w:rsid w:val="00FC285B"/>
    <w:rsid w:val="00FC2F6C"/>
    <w:rsid w:val="00FC361D"/>
    <w:rsid w:val="00FC3AA7"/>
    <w:rsid w:val="00FC4DA5"/>
    <w:rsid w:val="00FC4F63"/>
    <w:rsid w:val="00FC5880"/>
    <w:rsid w:val="00FC6F73"/>
    <w:rsid w:val="00FD09E4"/>
    <w:rsid w:val="00FD22F2"/>
    <w:rsid w:val="00FD3153"/>
    <w:rsid w:val="00FD35D1"/>
    <w:rsid w:val="00FD5B92"/>
    <w:rsid w:val="00FD634D"/>
    <w:rsid w:val="00FD75E9"/>
    <w:rsid w:val="00FE0BB3"/>
    <w:rsid w:val="00FE1DB7"/>
    <w:rsid w:val="00FE2697"/>
    <w:rsid w:val="00FE36DC"/>
    <w:rsid w:val="00FE4856"/>
    <w:rsid w:val="00FE4B9C"/>
    <w:rsid w:val="00FE4F22"/>
    <w:rsid w:val="00FE636D"/>
    <w:rsid w:val="00FF096A"/>
    <w:rsid w:val="00FF1CF9"/>
    <w:rsid w:val="00FF272C"/>
    <w:rsid w:val="00FF3104"/>
    <w:rsid w:val="00FF3BCE"/>
    <w:rsid w:val="00FF4A68"/>
    <w:rsid w:val="00FF529B"/>
    <w:rsid w:val="00FF5564"/>
    <w:rsid w:val="00FF5C38"/>
    <w:rsid w:val="00FF723C"/>
    <w:rsid w:val="00FF7373"/>
    <w:rsid w:val="00FF7A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5B9338"/>
  <w15:chartTrackingRefBased/>
  <w15:docId w15:val="{42B7AFA9-0A1E-B648-B3E3-01CFC504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5CD"/>
    <w:rPr>
      <w:sz w:val="24"/>
      <w:szCs w:val="24"/>
    </w:rPr>
  </w:style>
  <w:style w:type="paragraph" w:styleId="Heading4">
    <w:name w:val="heading 4"/>
    <w:basedOn w:val="Normal"/>
    <w:next w:val="Normal"/>
    <w:qFormat/>
    <w:pPr>
      <w:keepNext/>
      <w:jc w:val="center"/>
      <w:outlineLvl w:val="3"/>
    </w:pPr>
    <w:rPr>
      <w:rFonts w:eastAsia="Calibr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153"/>
        <w:tab w:val="right" w:pos="8306"/>
      </w:tabs>
    </w:pPr>
    <w:rPr>
      <w:lang w:eastAsia="lv-LV"/>
    </w:rPr>
  </w:style>
  <w:style w:type="character" w:styleId="PageNumber">
    <w:name w:val="page number"/>
    <w:basedOn w:val="DefaultParagraphFont"/>
    <w:semiHidden/>
  </w:style>
  <w:style w:type="paragraph" w:customStyle="1" w:styleId="naisf">
    <w:name w:val="naisf"/>
    <w:basedOn w:val="Normal"/>
    <w:pPr>
      <w:spacing w:before="75" w:after="75"/>
      <w:ind w:firstLine="375"/>
      <w:jc w:val="both"/>
    </w:pPr>
    <w:rPr>
      <w:lang w:eastAsia="lv-LV"/>
    </w:rPr>
  </w:style>
  <w:style w:type="paragraph" w:customStyle="1" w:styleId="naisnod">
    <w:name w:val="naisnod"/>
    <w:basedOn w:val="Normal"/>
    <w:pPr>
      <w:spacing w:before="150" w:after="150"/>
      <w:jc w:val="center"/>
    </w:pPr>
    <w:rPr>
      <w:b/>
      <w:bCs/>
      <w:lang w:eastAsia="lv-LV"/>
    </w:rPr>
  </w:style>
  <w:style w:type="paragraph" w:customStyle="1" w:styleId="naislab">
    <w:name w:val="naislab"/>
    <w:basedOn w:val="Normal"/>
    <w:pPr>
      <w:spacing w:before="75" w:after="75"/>
      <w:jc w:val="right"/>
    </w:pPr>
    <w:rPr>
      <w:lang w:eastAsia="lv-LV"/>
    </w:rPr>
  </w:style>
  <w:style w:type="paragraph" w:customStyle="1" w:styleId="naiskr">
    <w:name w:val="naiskr"/>
    <w:basedOn w:val="Normal"/>
    <w:pPr>
      <w:spacing w:before="75" w:after="75"/>
    </w:pPr>
    <w:rPr>
      <w:lang w:eastAsia="lv-LV"/>
    </w:rPr>
  </w:style>
  <w:style w:type="paragraph" w:customStyle="1" w:styleId="naisc">
    <w:name w:val="naisc"/>
    <w:basedOn w:val="Normal"/>
    <w:pPr>
      <w:spacing w:before="75" w:after="75"/>
      <w:jc w:val="center"/>
    </w:pPr>
    <w:rPr>
      <w:lang w:eastAsia="lv-LV"/>
    </w:rPr>
  </w:style>
  <w:style w:type="character" w:customStyle="1" w:styleId="th1">
    <w:name w:val="th1"/>
    <w:rPr>
      <w:b/>
      <w:bCs/>
      <w:color w:val="333333"/>
    </w:rPr>
  </w:style>
  <w:style w:type="character" w:styleId="CommentReference">
    <w:name w:val="annotation reference"/>
    <w:semiHidden/>
    <w:rPr>
      <w:sz w:val="16"/>
      <w:szCs w:val="16"/>
    </w:rPr>
  </w:style>
  <w:style w:type="paragraph" w:styleId="CommentText">
    <w:name w:val="annotation text"/>
    <w:basedOn w:val="Normal"/>
    <w:uiPriority w:val="99"/>
    <w:semiHidden/>
    <w:rPr>
      <w:sz w:val="20"/>
      <w:szCs w:val="20"/>
      <w:lang w:eastAsia="lv-LV"/>
    </w:rPr>
  </w:style>
  <w:style w:type="character" w:customStyle="1" w:styleId="CommentTextChar">
    <w:name w:val="Comment Text Char"/>
    <w:uiPriority w:val="99"/>
    <w:semiHidden/>
    <w:rPr>
      <w:lang w:val="lv-LV" w:eastAsia="lv-LV" w:bidi="ar-SA"/>
    </w:rPr>
  </w:style>
  <w:style w:type="paragraph" w:styleId="BalloonText">
    <w:name w:val="Balloon Text"/>
    <w:basedOn w:val="Normal"/>
    <w:semiHidden/>
    <w:rPr>
      <w:rFonts w:ascii="Tahoma" w:hAnsi="Tahoma" w:cs="Tahoma"/>
      <w:sz w:val="16"/>
      <w:szCs w:val="16"/>
      <w:lang w:eastAsia="lv-LV"/>
    </w:rPr>
  </w:style>
  <w:style w:type="paragraph" w:styleId="BodyTextIndent">
    <w:name w:val="Body Text Indent"/>
    <w:basedOn w:val="Normal"/>
    <w:link w:val="BodyTextIndentChar"/>
    <w:semiHidden/>
    <w:pPr>
      <w:ind w:firstLine="720"/>
      <w:jc w:val="both"/>
    </w:pPr>
    <w:rPr>
      <w:lang w:eastAsia="lv-LV"/>
    </w:rPr>
  </w:style>
  <w:style w:type="paragraph" w:styleId="FootnoteText">
    <w:name w:val="footnote text"/>
    <w:basedOn w:val="Normal"/>
    <w:link w:val="FootnoteTextChar"/>
    <w:uiPriority w:val="99"/>
    <w:semiHidden/>
    <w:rPr>
      <w:sz w:val="20"/>
      <w:szCs w:val="20"/>
      <w:lang w:eastAsia="lv-LV"/>
    </w:rPr>
  </w:style>
  <w:style w:type="character" w:styleId="FootnoteReference">
    <w:name w:val="footnote reference"/>
    <w:uiPriority w:val="99"/>
    <w:semiHidden/>
    <w:rPr>
      <w:vertAlign w:val="superscript"/>
    </w:rPr>
  </w:style>
  <w:style w:type="paragraph" w:styleId="CommentSubject">
    <w:name w:val="annotation subject"/>
    <w:basedOn w:val="CommentText"/>
    <w:next w:val="CommentText"/>
    <w:link w:val="CommentSubjectChar"/>
    <w:uiPriority w:val="99"/>
    <w:semiHidden/>
    <w:rPr>
      <w:b/>
      <w:bCs/>
    </w:rPr>
  </w:style>
  <w:style w:type="paragraph" w:styleId="Footer">
    <w:name w:val="footer"/>
    <w:basedOn w:val="Normal"/>
    <w:uiPriority w:val="99"/>
    <w:pPr>
      <w:tabs>
        <w:tab w:val="center" w:pos="4153"/>
        <w:tab w:val="right" w:pos="8306"/>
      </w:tabs>
    </w:pPr>
    <w:rPr>
      <w:lang w:eastAsia="lv-LV"/>
    </w:rPr>
  </w:style>
  <w:style w:type="character" w:customStyle="1" w:styleId="FooterChar">
    <w:name w:val="Footer Char"/>
    <w:uiPriority w:val="99"/>
    <w:rPr>
      <w:sz w:val="24"/>
      <w:szCs w:val="24"/>
      <w:lang w:val="lv-LV" w:eastAsia="lv-LV" w:bidi="ar-SA"/>
    </w:rPr>
  </w:style>
  <w:style w:type="character" w:styleId="Hyperlink">
    <w:name w:val="Hyperlink"/>
    <w:uiPriority w:val="99"/>
    <w:semiHidden/>
    <w:rPr>
      <w:color w:val="0000FF"/>
      <w:u w:val="single"/>
    </w:rPr>
  </w:style>
  <w:style w:type="paragraph" w:styleId="DocumentMap">
    <w:name w:val="Document Map"/>
    <w:basedOn w:val="Normal"/>
    <w:semiHidden/>
    <w:pPr>
      <w:shd w:val="clear" w:color="auto" w:fill="000080"/>
    </w:pPr>
    <w:rPr>
      <w:rFonts w:ascii="Tahoma" w:hAnsi="Tahoma" w:cs="Tahoma"/>
      <w:sz w:val="20"/>
      <w:szCs w:val="20"/>
      <w:lang w:eastAsia="lv-LV"/>
    </w:rPr>
  </w:style>
  <w:style w:type="paragraph" w:styleId="NormalWeb">
    <w:name w:val="Normal (Web)"/>
    <w:basedOn w:val="Normal"/>
    <w:uiPriority w:val="99"/>
    <w:semiHidden/>
    <w:pPr>
      <w:spacing w:before="100" w:beforeAutospacing="1" w:after="100" w:afterAutospacing="1"/>
    </w:pPr>
    <w:rPr>
      <w:lang w:eastAsia="lv-LV"/>
    </w:rPr>
  </w:style>
  <w:style w:type="character" w:customStyle="1" w:styleId="HeaderChar">
    <w:name w:val="Header Char"/>
    <w:uiPriority w:val="99"/>
    <w:locked/>
    <w:rPr>
      <w:sz w:val="24"/>
      <w:szCs w:val="24"/>
    </w:rPr>
  </w:style>
  <w:style w:type="character" w:styleId="Strong">
    <w:name w:val="Strong"/>
    <w:qFormat/>
    <w:rPr>
      <w:rFonts w:cs="Times New Roman"/>
      <w:b/>
      <w:bCs/>
    </w:rPr>
  </w:style>
  <w:style w:type="character" w:customStyle="1" w:styleId="Heading4Char">
    <w:name w:val="Heading 4 Char"/>
    <w:rPr>
      <w:rFonts w:eastAsia="Calibri"/>
      <w:b/>
      <w:bCs/>
      <w:sz w:val="28"/>
      <w:szCs w:val="28"/>
      <w:lang w:eastAsia="en-US"/>
    </w:rPr>
  </w:style>
  <w:style w:type="paragraph" w:styleId="BodyText3">
    <w:name w:val="Body Text 3"/>
    <w:basedOn w:val="Normal"/>
    <w:semiHidden/>
    <w:pPr>
      <w:spacing w:after="120"/>
    </w:pPr>
    <w:rPr>
      <w:sz w:val="16"/>
      <w:szCs w:val="16"/>
      <w:lang w:val="en-GB" w:eastAsia="en-US"/>
    </w:rPr>
  </w:style>
  <w:style w:type="character" w:customStyle="1" w:styleId="BodyText3Char">
    <w:name w:val="Body Text 3 Char"/>
    <w:rPr>
      <w:sz w:val="16"/>
      <w:szCs w:val="16"/>
      <w:lang w:val="en-GB" w:eastAsia="en-US"/>
    </w:rPr>
  </w:style>
  <w:style w:type="character" w:customStyle="1" w:styleId="spelle">
    <w:name w:val="spelle"/>
    <w:basedOn w:val="DefaultParagraphFont"/>
  </w:style>
  <w:style w:type="paragraph" w:styleId="BodyText2">
    <w:name w:val="Body Text 2"/>
    <w:basedOn w:val="Normal"/>
    <w:semiHidden/>
    <w:pPr>
      <w:spacing w:after="120" w:line="480" w:lineRule="auto"/>
    </w:pPr>
    <w:rPr>
      <w:lang w:eastAsia="lv-LV"/>
    </w:rPr>
  </w:style>
  <w:style w:type="paragraph" w:customStyle="1" w:styleId="CharCharRakstzRakstzCharCharRakstzRakstz">
    <w:name w:val="Char Char Rakstz. Rakstz. Char Char Rakstz. Rakstz."/>
    <w:basedOn w:val="Normal"/>
    <w:autoRedefine/>
    <w:pPr>
      <w:spacing w:before="40"/>
    </w:pPr>
    <w:rPr>
      <w:lang w:val="pl-PL" w:eastAsia="pl-PL"/>
    </w:rPr>
  </w:style>
  <w:style w:type="paragraph" w:customStyle="1" w:styleId="MediumShading1-Accent11">
    <w:name w:val="Medium Shading 1 - Accent 11"/>
    <w:qFormat/>
    <w:rPr>
      <w:rFonts w:ascii="Calibri" w:hAnsi="Calibri"/>
      <w:sz w:val="22"/>
      <w:szCs w:val="22"/>
      <w:lang w:val="en-US" w:eastAsia="en-US"/>
    </w:rPr>
  </w:style>
  <w:style w:type="character" w:customStyle="1" w:styleId="NormalWebChar">
    <w:name w:val="Normal (Web) Char"/>
    <w:locked/>
    <w:rPr>
      <w:sz w:val="24"/>
      <w:szCs w:val="24"/>
      <w:lang w:val="lv-LV" w:eastAsia="lv-LV" w:bidi="ar-SA"/>
    </w:rPr>
  </w:style>
  <w:style w:type="paragraph" w:styleId="BodyTextIndent2">
    <w:name w:val="Body Text Indent 2"/>
    <w:basedOn w:val="Normal"/>
    <w:semiHidden/>
    <w:pPr>
      <w:spacing w:after="120"/>
      <w:ind w:firstLine="432"/>
      <w:jc w:val="both"/>
    </w:pPr>
    <w:rPr>
      <w:lang w:eastAsia="lv-LV"/>
    </w:rPr>
  </w:style>
  <w:style w:type="paragraph" w:styleId="BodyTextIndent3">
    <w:name w:val="Body Text Indent 3"/>
    <w:basedOn w:val="Normal"/>
    <w:semiHidden/>
    <w:pPr>
      <w:ind w:firstLine="431"/>
      <w:jc w:val="both"/>
    </w:pPr>
    <w:rPr>
      <w:bCs/>
      <w:lang w:eastAsia="lv-LV"/>
    </w:rPr>
  </w:style>
  <w:style w:type="paragraph" w:styleId="BodyText">
    <w:name w:val="Body Text"/>
    <w:basedOn w:val="Normal"/>
    <w:link w:val="BodyTextChar"/>
    <w:uiPriority w:val="99"/>
    <w:unhideWhenUsed/>
    <w:rsid w:val="0096151B"/>
    <w:pPr>
      <w:spacing w:after="120"/>
    </w:pPr>
    <w:rPr>
      <w:lang w:val="x-none" w:eastAsia="x-none"/>
    </w:rPr>
  </w:style>
  <w:style w:type="character" w:customStyle="1" w:styleId="BodyTextChar">
    <w:name w:val="Body Text Char"/>
    <w:link w:val="BodyText"/>
    <w:uiPriority w:val="99"/>
    <w:rsid w:val="0096151B"/>
    <w:rPr>
      <w:sz w:val="24"/>
      <w:szCs w:val="24"/>
    </w:rPr>
  </w:style>
  <w:style w:type="paragraph" w:customStyle="1" w:styleId="Text1">
    <w:name w:val="Text 1"/>
    <w:basedOn w:val="Normal"/>
    <w:rsid w:val="0096151B"/>
    <w:pPr>
      <w:spacing w:before="120" w:after="120"/>
      <w:ind w:left="850"/>
      <w:jc w:val="both"/>
    </w:pPr>
    <w:rPr>
      <w:szCs w:val="20"/>
      <w:lang w:eastAsia="zh-CN"/>
    </w:rPr>
  </w:style>
  <w:style w:type="paragraph" w:customStyle="1" w:styleId="rxvirsraksts">
    <w:name w:val="rx_virsraksts"/>
    <w:basedOn w:val="Normal"/>
    <w:rsid w:val="00987981"/>
    <w:pPr>
      <w:spacing w:before="100" w:beforeAutospacing="1" w:after="100" w:afterAutospacing="1"/>
      <w:jc w:val="both"/>
    </w:pPr>
    <w:rPr>
      <w:color w:val="666666"/>
      <w:lang w:eastAsia="lv-LV"/>
    </w:rPr>
  </w:style>
  <w:style w:type="character" w:customStyle="1" w:styleId="apple-converted-space">
    <w:name w:val="apple-converted-space"/>
    <w:basedOn w:val="DefaultParagraphFont"/>
    <w:rsid w:val="00987981"/>
  </w:style>
  <w:style w:type="paragraph" w:customStyle="1" w:styleId="MediumList2-Accent21">
    <w:name w:val="Medium List 2 - Accent 21"/>
    <w:hidden/>
    <w:uiPriority w:val="99"/>
    <w:semiHidden/>
    <w:rsid w:val="005A3A1E"/>
    <w:rPr>
      <w:sz w:val="24"/>
      <w:szCs w:val="24"/>
      <w:lang w:eastAsia="lv-LV"/>
    </w:rPr>
  </w:style>
  <w:style w:type="paragraph" w:customStyle="1" w:styleId="MediumGrid1-Accent21">
    <w:name w:val="Medium Grid 1 - Accent 21"/>
    <w:basedOn w:val="Normal"/>
    <w:uiPriority w:val="99"/>
    <w:qFormat/>
    <w:rsid w:val="00CC0260"/>
    <w:pPr>
      <w:spacing w:after="200" w:line="276" w:lineRule="auto"/>
      <w:ind w:left="720"/>
      <w:contextualSpacing/>
    </w:pPr>
    <w:rPr>
      <w:rFonts w:ascii="Calibri" w:hAnsi="Calibri"/>
      <w:sz w:val="22"/>
      <w:szCs w:val="22"/>
      <w:lang w:val="en-US" w:eastAsia="en-US"/>
    </w:rPr>
  </w:style>
  <w:style w:type="character" w:customStyle="1" w:styleId="CommentSubjectChar">
    <w:name w:val="Comment Subject Char"/>
    <w:link w:val="CommentSubject"/>
    <w:uiPriority w:val="99"/>
    <w:semiHidden/>
    <w:locked/>
    <w:rsid w:val="00CC0260"/>
    <w:rPr>
      <w:b/>
      <w:bCs/>
      <w:lang w:val="lv-LV" w:eastAsia="lv-LV"/>
    </w:rPr>
  </w:style>
  <w:style w:type="character" w:customStyle="1" w:styleId="BodyTextIndentChar">
    <w:name w:val="Body Text Indent Char"/>
    <w:link w:val="BodyTextIndent"/>
    <w:semiHidden/>
    <w:rsid w:val="00CC0260"/>
    <w:rPr>
      <w:sz w:val="24"/>
      <w:szCs w:val="24"/>
      <w:lang w:val="lv-LV" w:eastAsia="lv-LV"/>
    </w:rPr>
  </w:style>
  <w:style w:type="paragraph" w:styleId="Revision">
    <w:name w:val="Revision"/>
    <w:hidden/>
    <w:uiPriority w:val="99"/>
    <w:semiHidden/>
    <w:rsid w:val="00CF090A"/>
    <w:rPr>
      <w:sz w:val="24"/>
      <w:szCs w:val="24"/>
      <w:lang w:eastAsia="lv-LV"/>
    </w:rPr>
  </w:style>
  <w:style w:type="paragraph" w:customStyle="1" w:styleId="tvhtml">
    <w:name w:val="tv_html"/>
    <w:basedOn w:val="Normal"/>
    <w:rsid w:val="00507E8F"/>
    <w:pPr>
      <w:spacing w:before="100" w:beforeAutospacing="1" w:after="100" w:afterAutospacing="1"/>
    </w:pPr>
    <w:rPr>
      <w:lang w:eastAsia="lv-LV"/>
    </w:rPr>
  </w:style>
  <w:style w:type="paragraph" w:customStyle="1" w:styleId="sti-art2">
    <w:name w:val="sti-art2"/>
    <w:basedOn w:val="Normal"/>
    <w:rsid w:val="006D7F10"/>
    <w:pPr>
      <w:spacing w:before="60" w:after="120" w:line="312" w:lineRule="atLeast"/>
      <w:jc w:val="center"/>
    </w:pPr>
    <w:rPr>
      <w:b/>
      <w:bCs/>
      <w:lang w:eastAsia="lv-LV"/>
    </w:rPr>
  </w:style>
  <w:style w:type="paragraph" w:customStyle="1" w:styleId="normal2">
    <w:name w:val="normal2"/>
    <w:basedOn w:val="Normal"/>
    <w:rsid w:val="006D7F10"/>
    <w:pPr>
      <w:spacing w:before="120" w:line="312" w:lineRule="atLeast"/>
      <w:jc w:val="both"/>
    </w:pPr>
    <w:rPr>
      <w:lang w:eastAsia="lv-LV"/>
    </w:rPr>
  </w:style>
  <w:style w:type="paragraph" w:customStyle="1" w:styleId="Teksts1">
    <w:name w:val="Teksts1"/>
    <w:basedOn w:val="Normal"/>
    <w:rsid w:val="00E2753B"/>
    <w:pPr>
      <w:spacing w:after="320"/>
      <w:jc w:val="both"/>
    </w:pPr>
    <w:rPr>
      <w:szCs w:val="20"/>
      <w:lang w:eastAsia="en-US"/>
    </w:rPr>
  </w:style>
  <w:style w:type="character" w:customStyle="1" w:styleId="FootnoteTextChar">
    <w:name w:val="Footnote Text Char"/>
    <w:link w:val="FootnoteText"/>
    <w:uiPriority w:val="99"/>
    <w:semiHidden/>
    <w:rsid w:val="00E2753B"/>
  </w:style>
  <w:style w:type="character" w:customStyle="1" w:styleId="FontStyle27">
    <w:name w:val="Font Style27"/>
    <w:uiPriority w:val="99"/>
    <w:rsid w:val="00DA7A2A"/>
    <w:rPr>
      <w:rFonts w:ascii="Arial" w:hAnsi="Arial" w:cs="Arial"/>
      <w:sz w:val="16"/>
      <w:szCs w:val="16"/>
    </w:rPr>
  </w:style>
  <w:style w:type="character" w:customStyle="1" w:styleId="FontStyle25">
    <w:name w:val="Font Style25"/>
    <w:uiPriority w:val="99"/>
    <w:rsid w:val="000D2715"/>
    <w:rPr>
      <w:rFonts w:ascii="Arial" w:hAnsi="Arial" w:cs="Arial"/>
      <w:i/>
      <w:iCs/>
      <w:sz w:val="16"/>
      <w:szCs w:val="16"/>
    </w:rPr>
  </w:style>
  <w:style w:type="paragraph" w:customStyle="1" w:styleId="Body">
    <w:name w:val="Body"/>
    <w:rsid w:val="00FE1DB7"/>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eastAsia="lv-LV"/>
    </w:rPr>
  </w:style>
  <w:style w:type="paragraph" w:styleId="EndnoteText">
    <w:name w:val="endnote text"/>
    <w:basedOn w:val="Normal"/>
    <w:link w:val="EndnoteTextChar"/>
    <w:uiPriority w:val="99"/>
    <w:semiHidden/>
    <w:unhideWhenUsed/>
    <w:rsid w:val="006A2A4A"/>
    <w:rPr>
      <w:sz w:val="20"/>
      <w:szCs w:val="20"/>
      <w:lang w:eastAsia="lv-LV"/>
    </w:rPr>
  </w:style>
  <w:style w:type="character" w:customStyle="1" w:styleId="EndnoteTextChar">
    <w:name w:val="Endnote Text Char"/>
    <w:basedOn w:val="DefaultParagraphFont"/>
    <w:link w:val="EndnoteText"/>
    <w:uiPriority w:val="99"/>
    <w:semiHidden/>
    <w:rsid w:val="006A2A4A"/>
  </w:style>
  <w:style w:type="character" w:styleId="EndnoteReference">
    <w:name w:val="endnote reference"/>
    <w:uiPriority w:val="99"/>
    <w:semiHidden/>
    <w:unhideWhenUsed/>
    <w:rsid w:val="006A2A4A"/>
    <w:rPr>
      <w:vertAlign w:val="superscript"/>
    </w:rPr>
  </w:style>
  <w:style w:type="paragraph" w:styleId="NoSpacing">
    <w:name w:val="No Spacing"/>
    <w:uiPriority w:val="1"/>
    <w:qFormat/>
    <w:rsid w:val="00D513D4"/>
    <w:pPr>
      <w:jc w:val="both"/>
    </w:pPr>
    <w:rPr>
      <w:rFonts w:eastAsia="Calibri"/>
      <w:sz w:val="24"/>
      <w:szCs w:val="24"/>
      <w:lang w:eastAsia="en-US"/>
    </w:rPr>
  </w:style>
  <w:style w:type="paragraph" w:customStyle="1" w:styleId="xmsonormal">
    <w:name w:val="x_msonormal"/>
    <w:basedOn w:val="Normal"/>
    <w:rsid w:val="009A0526"/>
    <w:pPr>
      <w:spacing w:before="100" w:beforeAutospacing="1" w:after="100" w:afterAutospacing="1"/>
    </w:pPr>
    <w:rPr>
      <w:lang w:eastAsia="lv-LV"/>
    </w:rPr>
  </w:style>
  <w:style w:type="character" w:customStyle="1" w:styleId="UnresolvedMention1">
    <w:name w:val="Unresolved Mention1"/>
    <w:basedOn w:val="DefaultParagraphFont"/>
    <w:uiPriority w:val="99"/>
    <w:semiHidden/>
    <w:unhideWhenUsed/>
    <w:rsid w:val="00C115CD"/>
    <w:rPr>
      <w:color w:val="605E5C"/>
      <w:shd w:val="clear" w:color="auto" w:fill="E1DFDD"/>
    </w:rPr>
  </w:style>
  <w:style w:type="paragraph" w:styleId="ListParagraph">
    <w:name w:val="List Paragraph"/>
    <w:basedOn w:val="Normal"/>
    <w:uiPriority w:val="99"/>
    <w:qFormat/>
    <w:rsid w:val="00B90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8604">
      <w:bodyDiv w:val="1"/>
      <w:marLeft w:val="0"/>
      <w:marRight w:val="0"/>
      <w:marTop w:val="0"/>
      <w:marBottom w:val="0"/>
      <w:divBdr>
        <w:top w:val="none" w:sz="0" w:space="0" w:color="auto"/>
        <w:left w:val="none" w:sz="0" w:space="0" w:color="auto"/>
        <w:bottom w:val="none" w:sz="0" w:space="0" w:color="auto"/>
        <w:right w:val="none" w:sz="0" w:space="0" w:color="auto"/>
      </w:divBdr>
      <w:divsChild>
        <w:div w:id="1839151548">
          <w:marLeft w:val="0"/>
          <w:marRight w:val="0"/>
          <w:marTop w:val="240"/>
          <w:marBottom w:val="0"/>
          <w:divBdr>
            <w:top w:val="none" w:sz="0" w:space="0" w:color="auto"/>
            <w:left w:val="none" w:sz="0" w:space="0" w:color="auto"/>
            <w:bottom w:val="none" w:sz="0" w:space="0" w:color="auto"/>
            <w:right w:val="none" w:sz="0" w:space="0" w:color="auto"/>
          </w:divBdr>
        </w:div>
      </w:divsChild>
    </w:div>
    <w:div w:id="88700477">
      <w:bodyDiv w:val="1"/>
      <w:marLeft w:val="0"/>
      <w:marRight w:val="0"/>
      <w:marTop w:val="0"/>
      <w:marBottom w:val="0"/>
      <w:divBdr>
        <w:top w:val="none" w:sz="0" w:space="0" w:color="auto"/>
        <w:left w:val="none" w:sz="0" w:space="0" w:color="auto"/>
        <w:bottom w:val="none" w:sz="0" w:space="0" w:color="auto"/>
        <w:right w:val="none" w:sz="0" w:space="0" w:color="auto"/>
      </w:divBdr>
    </w:div>
    <w:div w:id="356390677">
      <w:bodyDiv w:val="1"/>
      <w:marLeft w:val="0"/>
      <w:marRight w:val="0"/>
      <w:marTop w:val="0"/>
      <w:marBottom w:val="0"/>
      <w:divBdr>
        <w:top w:val="none" w:sz="0" w:space="0" w:color="auto"/>
        <w:left w:val="none" w:sz="0" w:space="0" w:color="auto"/>
        <w:bottom w:val="none" w:sz="0" w:space="0" w:color="auto"/>
        <w:right w:val="none" w:sz="0" w:space="0" w:color="auto"/>
      </w:divBdr>
    </w:div>
    <w:div w:id="546530784">
      <w:bodyDiv w:val="1"/>
      <w:marLeft w:val="0"/>
      <w:marRight w:val="0"/>
      <w:marTop w:val="0"/>
      <w:marBottom w:val="0"/>
      <w:divBdr>
        <w:top w:val="none" w:sz="0" w:space="0" w:color="auto"/>
        <w:left w:val="none" w:sz="0" w:space="0" w:color="auto"/>
        <w:bottom w:val="none" w:sz="0" w:space="0" w:color="auto"/>
        <w:right w:val="none" w:sz="0" w:space="0" w:color="auto"/>
      </w:divBdr>
    </w:div>
    <w:div w:id="565527375">
      <w:bodyDiv w:val="1"/>
      <w:marLeft w:val="0"/>
      <w:marRight w:val="0"/>
      <w:marTop w:val="0"/>
      <w:marBottom w:val="0"/>
      <w:divBdr>
        <w:top w:val="none" w:sz="0" w:space="0" w:color="auto"/>
        <w:left w:val="none" w:sz="0" w:space="0" w:color="auto"/>
        <w:bottom w:val="none" w:sz="0" w:space="0" w:color="auto"/>
        <w:right w:val="none" w:sz="0" w:space="0" w:color="auto"/>
      </w:divBdr>
    </w:div>
    <w:div w:id="600452381">
      <w:bodyDiv w:val="1"/>
      <w:marLeft w:val="0"/>
      <w:marRight w:val="0"/>
      <w:marTop w:val="0"/>
      <w:marBottom w:val="0"/>
      <w:divBdr>
        <w:top w:val="none" w:sz="0" w:space="0" w:color="auto"/>
        <w:left w:val="none" w:sz="0" w:space="0" w:color="auto"/>
        <w:bottom w:val="none" w:sz="0" w:space="0" w:color="auto"/>
        <w:right w:val="none" w:sz="0" w:space="0" w:color="auto"/>
      </w:divBdr>
      <w:divsChild>
        <w:div w:id="94057603">
          <w:marLeft w:val="0"/>
          <w:marRight w:val="0"/>
          <w:marTop w:val="0"/>
          <w:marBottom w:val="0"/>
          <w:divBdr>
            <w:top w:val="none" w:sz="0" w:space="0" w:color="auto"/>
            <w:left w:val="none" w:sz="0" w:space="0" w:color="auto"/>
            <w:bottom w:val="none" w:sz="0" w:space="0" w:color="auto"/>
            <w:right w:val="none" w:sz="0" w:space="0" w:color="auto"/>
          </w:divBdr>
          <w:divsChild>
            <w:div w:id="538664823">
              <w:marLeft w:val="0"/>
              <w:marRight w:val="0"/>
              <w:marTop w:val="0"/>
              <w:marBottom w:val="0"/>
              <w:divBdr>
                <w:top w:val="none" w:sz="0" w:space="0" w:color="auto"/>
                <w:left w:val="none" w:sz="0" w:space="0" w:color="auto"/>
                <w:bottom w:val="none" w:sz="0" w:space="0" w:color="auto"/>
                <w:right w:val="none" w:sz="0" w:space="0" w:color="auto"/>
              </w:divBdr>
              <w:divsChild>
                <w:div w:id="1882015693">
                  <w:marLeft w:val="0"/>
                  <w:marRight w:val="0"/>
                  <w:marTop w:val="0"/>
                  <w:marBottom w:val="0"/>
                  <w:divBdr>
                    <w:top w:val="none" w:sz="0" w:space="0" w:color="auto"/>
                    <w:left w:val="none" w:sz="0" w:space="0" w:color="auto"/>
                    <w:bottom w:val="none" w:sz="0" w:space="0" w:color="auto"/>
                    <w:right w:val="none" w:sz="0" w:space="0" w:color="auto"/>
                  </w:divBdr>
                  <w:divsChild>
                    <w:div w:id="1288702693">
                      <w:marLeft w:val="1"/>
                      <w:marRight w:val="1"/>
                      <w:marTop w:val="0"/>
                      <w:marBottom w:val="0"/>
                      <w:divBdr>
                        <w:top w:val="none" w:sz="0" w:space="0" w:color="auto"/>
                        <w:left w:val="none" w:sz="0" w:space="0" w:color="auto"/>
                        <w:bottom w:val="none" w:sz="0" w:space="0" w:color="auto"/>
                        <w:right w:val="none" w:sz="0" w:space="0" w:color="auto"/>
                      </w:divBdr>
                      <w:divsChild>
                        <w:div w:id="1935555306">
                          <w:marLeft w:val="0"/>
                          <w:marRight w:val="0"/>
                          <w:marTop w:val="0"/>
                          <w:marBottom w:val="0"/>
                          <w:divBdr>
                            <w:top w:val="none" w:sz="0" w:space="0" w:color="auto"/>
                            <w:left w:val="none" w:sz="0" w:space="0" w:color="auto"/>
                            <w:bottom w:val="none" w:sz="0" w:space="0" w:color="auto"/>
                            <w:right w:val="none" w:sz="0" w:space="0" w:color="auto"/>
                          </w:divBdr>
                          <w:divsChild>
                            <w:div w:id="601691797">
                              <w:marLeft w:val="0"/>
                              <w:marRight w:val="0"/>
                              <w:marTop w:val="0"/>
                              <w:marBottom w:val="360"/>
                              <w:divBdr>
                                <w:top w:val="none" w:sz="0" w:space="0" w:color="auto"/>
                                <w:left w:val="none" w:sz="0" w:space="0" w:color="auto"/>
                                <w:bottom w:val="none" w:sz="0" w:space="0" w:color="auto"/>
                                <w:right w:val="none" w:sz="0" w:space="0" w:color="auto"/>
                              </w:divBdr>
                              <w:divsChild>
                                <w:div w:id="2087258704">
                                  <w:marLeft w:val="0"/>
                                  <w:marRight w:val="0"/>
                                  <w:marTop w:val="0"/>
                                  <w:marBottom w:val="0"/>
                                  <w:divBdr>
                                    <w:top w:val="none" w:sz="0" w:space="0" w:color="auto"/>
                                    <w:left w:val="none" w:sz="0" w:space="0" w:color="auto"/>
                                    <w:bottom w:val="none" w:sz="0" w:space="0" w:color="auto"/>
                                    <w:right w:val="none" w:sz="0" w:space="0" w:color="auto"/>
                                  </w:divBdr>
                                  <w:divsChild>
                                    <w:div w:id="1729763506">
                                      <w:marLeft w:val="0"/>
                                      <w:marRight w:val="0"/>
                                      <w:marTop w:val="0"/>
                                      <w:marBottom w:val="0"/>
                                      <w:divBdr>
                                        <w:top w:val="none" w:sz="0" w:space="0" w:color="auto"/>
                                        <w:left w:val="none" w:sz="0" w:space="0" w:color="auto"/>
                                        <w:bottom w:val="none" w:sz="0" w:space="0" w:color="auto"/>
                                        <w:right w:val="none" w:sz="0" w:space="0" w:color="auto"/>
                                      </w:divBdr>
                                      <w:divsChild>
                                        <w:div w:id="1515028461">
                                          <w:marLeft w:val="0"/>
                                          <w:marRight w:val="0"/>
                                          <w:marTop w:val="0"/>
                                          <w:marBottom w:val="0"/>
                                          <w:divBdr>
                                            <w:top w:val="none" w:sz="0" w:space="0" w:color="auto"/>
                                            <w:left w:val="none" w:sz="0" w:space="0" w:color="auto"/>
                                            <w:bottom w:val="none" w:sz="0" w:space="0" w:color="auto"/>
                                            <w:right w:val="none" w:sz="0" w:space="0" w:color="auto"/>
                                          </w:divBdr>
                                          <w:divsChild>
                                            <w:div w:id="368578233">
                                              <w:marLeft w:val="0"/>
                                              <w:marRight w:val="0"/>
                                              <w:marTop w:val="0"/>
                                              <w:marBottom w:val="0"/>
                                              <w:divBdr>
                                                <w:top w:val="none" w:sz="0" w:space="0" w:color="auto"/>
                                                <w:left w:val="none" w:sz="0" w:space="0" w:color="auto"/>
                                                <w:bottom w:val="none" w:sz="0" w:space="0" w:color="auto"/>
                                                <w:right w:val="none" w:sz="0" w:space="0" w:color="auto"/>
                                              </w:divBdr>
                                              <w:divsChild>
                                                <w:div w:id="13482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1661049">
      <w:bodyDiv w:val="1"/>
      <w:marLeft w:val="0"/>
      <w:marRight w:val="0"/>
      <w:marTop w:val="0"/>
      <w:marBottom w:val="0"/>
      <w:divBdr>
        <w:top w:val="none" w:sz="0" w:space="0" w:color="auto"/>
        <w:left w:val="none" w:sz="0" w:space="0" w:color="auto"/>
        <w:bottom w:val="none" w:sz="0" w:space="0" w:color="auto"/>
        <w:right w:val="none" w:sz="0" w:space="0" w:color="auto"/>
      </w:divBdr>
    </w:div>
    <w:div w:id="738290598">
      <w:bodyDiv w:val="1"/>
      <w:marLeft w:val="0"/>
      <w:marRight w:val="0"/>
      <w:marTop w:val="0"/>
      <w:marBottom w:val="0"/>
      <w:divBdr>
        <w:top w:val="none" w:sz="0" w:space="0" w:color="auto"/>
        <w:left w:val="none" w:sz="0" w:space="0" w:color="auto"/>
        <w:bottom w:val="none" w:sz="0" w:space="0" w:color="auto"/>
        <w:right w:val="none" w:sz="0" w:space="0" w:color="auto"/>
      </w:divBdr>
    </w:div>
    <w:div w:id="807816560">
      <w:bodyDiv w:val="1"/>
      <w:marLeft w:val="0"/>
      <w:marRight w:val="0"/>
      <w:marTop w:val="0"/>
      <w:marBottom w:val="0"/>
      <w:divBdr>
        <w:top w:val="none" w:sz="0" w:space="0" w:color="auto"/>
        <w:left w:val="none" w:sz="0" w:space="0" w:color="auto"/>
        <w:bottom w:val="none" w:sz="0" w:space="0" w:color="auto"/>
        <w:right w:val="none" w:sz="0" w:space="0" w:color="auto"/>
      </w:divBdr>
    </w:div>
    <w:div w:id="853609775">
      <w:bodyDiv w:val="1"/>
      <w:marLeft w:val="0"/>
      <w:marRight w:val="0"/>
      <w:marTop w:val="0"/>
      <w:marBottom w:val="0"/>
      <w:divBdr>
        <w:top w:val="none" w:sz="0" w:space="0" w:color="auto"/>
        <w:left w:val="none" w:sz="0" w:space="0" w:color="auto"/>
        <w:bottom w:val="none" w:sz="0" w:space="0" w:color="auto"/>
        <w:right w:val="none" w:sz="0" w:space="0" w:color="auto"/>
      </w:divBdr>
      <w:divsChild>
        <w:div w:id="364839971">
          <w:marLeft w:val="0"/>
          <w:marRight w:val="0"/>
          <w:marTop w:val="240"/>
          <w:marBottom w:val="0"/>
          <w:divBdr>
            <w:top w:val="none" w:sz="0" w:space="0" w:color="auto"/>
            <w:left w:val="none" w:sz="0" w:space="0" w:color="auto"/>
            <w:bottom w:val="none" w:sz="0" w:space="0" w:color="auto"/>
            <w:right w:val="none" w:sz="0" w:space="0" w:color="auto"/>
          </w:divBdr>
        </w:div>
      </w:divsChild>
    </w:div>
    <w:div w:id="854538830">
      <w:bodyDiv w:val="1"/>
      <w:marLeft w:val="0"/>
      <w:marRight w:val="0"/>
      <w:marTop w:val="0"/>
      <w:marBottom w:val="0"/>
      <w:divBdr>
        <w:top w:val="none" w:sz="0" w:space="0" w:color="auto"/>
        <w:left w:val="none" w:sz="0" w:space="0" w:color="auto"/>
        <w:bottom w:val="none" w:sz="0" w:space="0" w:color="auto"/>
        <w:right w:val="none" w:sz="0" w:space="0" w:color="auto"/>
      </w:divBdr>
    </w:div>
    <w:div w:id="982320373">
      <w:bodyDiv w:val="1"/>
      <w:marLeft w:val="0"/>
      <w:marRight w:val="0"/>
      <w:marTop w:val="0"/>
      <w:marBottom w:val="0"/>
      <w:divBdr>
        <w:top w:val="none" w:sz="0" w:space="0" w:color="auto"/>
        <w:left w:val="none" w:sz="0" w:space="0" w:color="auto"/>
        <w:bottom w:val="none" w:sz="0" w:space="0" w:color="auto"/>
        <w:right w:val="none" w:sz="0" w:space="0" w:color="auto"/>
      </w:divBdr>
    </w:div>
    <w:div w:id="1036540668">
      <w:bodyDiv w:val="1"/>
      <w:marLeft w:val="0"/>
      <w:marRight w:val="0"/>
      <w:marTop w:val="0"/>
      <w:marBottom w:val="0"/>
      <w:divBdr>
        <w:top w:val="none" w:sz="0" w:space="0" w:color="auto"/>
        <w:left w:val="none" w:sz="0" w:space="0" w:color="auto"/>
        <w:bottom w:val="none" w:sz="0" w:space="0" w:color="auto"/>
        <w:right w:val="none" w:sz="0" w:space="0" w:color="auto"/>
      </w:divBdr>
    </w:div>
    <w:div w:id="1073359174">
      <w:bodyDiv w:val="1"/>
      <w:marLeft w:val="0"/>
      <w:marRight w:val="0"/>
      <w:marTop w:val="0"/>
      <w:marBottom w:val="0"/>
      <w:divBdr>
        <w:top w:val="none" w:sz="0" w:space="0" w:color="auto"/>
        <w:left w:val="none" w:sz="0" w:space="0" w:color="auto"/>
        <w:bottom w:val="none" w:sz="0" w:space="0" w:color="auto"/>
        <w:right w:val="none" w:sz="0" w:space="0" w:color="auto"/>
      </w:divBdr>
    </w:div>
    <w:div w:id="1093238072">
      <w:bodyDiv w:val="1"/>
      <w:marLeft w:val="0"/>
      <w:marRight w:val="0"/>
      <w:marTop w:val="0"/>
      <w:marBottom w:val="0"/>
      <w:divBdr>
        <w:top w:val="none" w:sz="0" w:space="0" w:color="auto"/>
        <w:left w:val="none" w:sz="0" w:space="0" w:color="auto"/>
        <w:bottom w:val="none" w:sz="0" w:space="0" w:color="auto"/>
        <w:right w:val="none" w:sz="0" w:space="0" w:color="auto"/>
      </w:divBdr>
      <w:divsChild>
        <w:div w:id="1508711020">
          <w:marLeft w:val="0"/>
          <w:marRight w:val="0"/>
          <w:marTop w:val="0"/>
          <w:marBottom w:val="160"/>
          <w:divBdr>
            <w:top w:val="none" w:sz="0" w:space="0" w:color="auto"/>
            <w:left w:val="none" w:sz="0" w:space="0" w:color="auto"/>
            <w:bottom w:val="none" w:sz="0" w:space="0" w:color="auto"/>
            <w:right w:val="none" w:sz="0" w:space="0" w:color="auto"/>
          </w:divBdr>
        </w:div>
      </w:divsChild>
    </w:div>
    <w:div w:id="1105689288">
      <w:bodyDiv w:val="1"/>
      <w:marLeft w:val="0"/>
      <w:marRight w:val="0"/>
      <w:marTop w:val="0"/>
      <w:marBottom w:val="0"/>
      <w:divBdr>
        <w:top w:val="none" w:sz="0" w:space="0" w:color="auto"/>
        <w:left w:val="none" w:sz="0" w:space="0" w:color="auto"/>
        <w:bottom w:val="none" w:sz="0" w:space="0" w:color="auto"/>
        <w:right w:val="none" w:sz="0" w:space="0" w:color="auto"/>
      </w:divBdr>
    </w:div>
    <w:div w:id="1300455356">
      <w:bodyDiv w:val="1"/>
      <w:marLeft w:val="0"/>
      <w:marRight w:val="0"/>
      <w:marTop w:val="0"/>
      <w:marBottom w:val="0"/>
      <w:divBdr>
        <w:top w:val="none" w:sz="0" w:space="0" w:color="auto"/>
        <w:left w:val="none" w:sz="0" w:space="0" w:color="auto"/>
        <w:bottom w:val="none" w:sz="0" w:space="0" w:color="auto"/>
        <w:right w:val="none" w:sz="0" w:space="0" w:color="auto"/>
      </w:divBdr>
    </w:div>
    <w:div w:id="1312753849">
      <w:bodyDiv w:val="1"/>
      <w:marLeft w:val="0"/>
      <w:marRight w:val="0"/>
      <w:marTop w:val="0"/>
      <w:marBottom w:val="0"/>
      <w:divBdr>
        <w:top w:val="none" w:sz="0" w:space="0" w:color="auto"/>
        <w:left w:val="none" w:sz="0" w:space="0" w:color="auto"/>
        <w:bottom w:val="none" w:sz="0" w:space="0" w:color="auto"/>
        <w:right w:val="none" w:sz="0" w:space="0" w:color="auto"/>
      </w:divBdr>
    </w:div>
    <w:div w:id="1359113589">
      <w:bodyDiv w:val="1"/>
      <w:marLeft w:val="0"/>
      <w:marRight w:val="0"/>
      <w:marTop w:val="0"/>
      <w:marBottom w:val="0"/>
      <w:divBdr>
        <w:top w:val="none" w:sz="0" w:space="0" w:color="auto"/>
        <w:left w:val="none" w:sz="0" w:space="0" w:color="auto"/>
        <w:bottom w:val="none" w:sz="0" w:space="0" w:color="auto"/>
        <w:right w:val="none" w:sz="0" w:space="0" w:color="auto"/>
      </w:divBdr>
    </w:div>
    <w:div w:id="1404915383">
      <w:bodyDiv w:val="1"/>
      <w:marLeft w:val="0"/>
      <w:marRight w:val="0"/>
      <w:marTop w:val="0"/>
      <w:marBottom w:val="0"/>
      <w:divBdr>
        <w:top w:val="none" w:sz="0" w:space="0" w:color="auto"/>
        <w:left w:val="none" w:sz="0" w:space="0" w:color="auto"/>
        <w:bottom w:val="none" w:sz="0" w:space="0" w:color="auto"/>
        <w:right w:val="none" w:sz="0" w:space="0" w:color="auto"/>
      </w:divBdr>
    </w:div>
    <w:div w:id="1462193032">
      <w:bodyDiv w:val="1"/>
      <w:marLeft w:val="0"/>
      <w:marRight w:val="0"/>
      <w:marTop w:val="0"/>
      <w:marBottom w:val="0"/>
      <w:divBdr>
        <w:top w:val="none" w:sz="0" w:space="0" w:color="auto"/>
        <w:left w:val="none" w:sz="0" w:space="0" w:color="auto"/>
        <w:bottom w:val="none" w:sz="0" w:space="0" w:color="auto"/>
        <w:right w:val="none" w:sz="0" w:space="0" w:color="auto"/>
      </w:divBdr>
    </w:div>
    <w:div w:id="1493989758">
      <w:bodyDiv w:val="1"/>
      <w:marLeft w:val="0"/>
      <w:marRight w:val="0"/>
      <w:marTop w:val="0"/>
      <w:marBottom w:val="0"/>
      <w:divBdr>
        <w:top w:val="none" w:sz="0" w:space="0" w:color="auto"/>
        <w:left w:val="none" w:sz="0" w:space="0" w:color="auto"/>
        <w:bottom w:val="none" w:sz="0" w:space="0" w:color="auto"/>
        <w:right w:val="none" w:sz="0" w:space="0" w:color="auto"/>
      </w:divBdr>
    </w:div>
    <w:div w:id="1528985101">
      <w:bodyDiv w:val="1"/>
      <w:marLeft w:val="0"/>
      <w:marRight w:val="0"/>
      <w:marTop w:val="0"/>
      <w:marBottom w:val="0"/>
      <w:divBdr>
        <w:top w:val="none" w:sz="0" w:space="0" w:color="auto"/>
        <w:left w:val="none" w:sz="0" w:space="0" w:color="auto"/>
        <w:bottom w:val="none" w:sz="0" w:space="0" w:color="auto"/>
        <w:right w:val="none" w:sz="0" w:space="0" w:color="auto"/>
      </w:divBdr>
    </w:div>
    <w:div w:id="1663658552">
      <w:bodyDiv w:val="1"/>
      <w:marLeft w:val="0"/>
      <w:marRight w:val="0"/>
      <w:marTop w:val="0"/>
      <w:marBottom w:val="0"/>
      <w:divBdr>
        <w:top w:val="none" w:sz="0" w:space="0" w:color="auto"/>
        <w:left w:val="none" w:sz="0" w:space="0" w:color="auto"/>
        <w:bottom w:val="none" w:sz="0" w:space="0" w:color="auto"/>
        <w:right w:val="none" w:sz="0" w:space="0" w:color="auto"/>
      </w:divBdr>
    </w:div>
    <w:div w:id="1665821252">
      <w:bodyDiv w:val="1"/>
      <w:marLeft w:val="0"/>
      <w:marRight w:val="0"/>
      <w:marTop w:val="0"/>
      <w:marBottom w:val="0"/>
      <w:divBdr>
        <w:top w:val="none" w:sz="0" w:space="0" w:color="auto"/>
        <w:left w:val="none" w:sz="0" w:space="0" w:color="auto"/>
        <w:bottom w:val="none" w:sz="0" w:space="0" w:color="auto"/>
        <w:right w:val="none" w:sz="0" w:space="0" w:color="auto"/>
      </w:divBdr>
      <w:divsChild>
        <w:div w:id="651719537">
          <w:marLeft w:val="0"/>
          <w:marRight w:val="0"/>
          <w:marTop w:val="240"/>
          <w:marBottom w:val="0"/>
          <w:divBdr>
            <w:top w:val="none" w:sz="0" w:space="0" w:color="auto"/>
            <w:left w:val="none" w:sz="0" w:space="0" w:color="auto"/>
            <w:bottom w:val="none" w:sz="0" w:space="0" w:color="auto"/>
            <w:right w:val="none" w:sz="0" w:space="0" w:color="auto"/>
          </w:divBdr>
        </w:div>
      </w:divsChild>
    </w:div>
    <w:div w:id="1757558065">
      <w:bodyDiv w:val="1"/>
      <w:marLeft w:val="0"/>
      <w:marRight w:val="0"/>
      <w:marTop w:val="0"/>
      <w:marBottom w:val="0"/>
      <w:divBdr>
        <w:top w:val="none" w:sz="0" w:space="0" w:color="auto"/>
        <w:left w:val="none" w:sz="0" w:space="0" w:color="auto"/>
        <w:bottom w:val="none" w:sz="0" w:space="0" w:color="auto"/>
        <w:right w:val="none" w:sz="0" w:space="0" w:color="auto"/>
      </w:divBdr>
    </w:div>
    <w:div w:id="191315115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zm.gov.lv/lv/jaunums/apstiprina-sporta-nozarei-pieskirto-valsts-budzeta-lidzeklu-sadali-2021gad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B5D937-A9B9-4D31-B08C-4FB78F4D5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1831</Words>
  <Characters>11999</Characters>
  <Application>Microsoft Office Word</Application>
  <DocSecurity>0</DocSecurity>
  <Lines>571</Lines>
  <Paragraphs>206</Paragraphs>
  <ScaleCrop>false</ScaleCrop>
  <HeadingPairs>
    <vt:vector size="2" baseType="variant">
      <vt:variant>
        <vt:lpstr>Title</vt:lpstr>
      </vt:variant>
      <vt:variant>
        <vt:i4>1</vt:i4>
      </vt:variant>
    </vt:vector>
  </HeadingPairs>
  <TitlesOfParts>
    <vt:vector size="1" baseType="lpstr">
      <vt:lpstr>Ministru kabineta rīkojumu projekta “Grozījums Ministru kabineta 2001.gada 8.augusta rīkojumā Nr. 385  “Par biedrībām, nodibinājumiem un starptautiskajām izglītības un sadarbības programmām”   sākotnējās ietekmes novērtējuma ziņojums (anotācija)</vt:lpstr>
    </vt:vector>
  </TitlesOfParts>
  <Manager/>
  <Company>Izglītības un zinātnes ministrija</Company>
  <LinksUpToDate>false</LinksUpToDate>
  <CharactersWithSpaces>13624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rīkojumu projekta “Grozījums Ministru kabineta 2001.gada 8.augusta rīkojumā Nr. 385  “Par biedrībām, nodibinājumiem un starptautiskajām izglītības un sadarbības programmām”   sākotnējās ietekmes novērtējuma ziņojums (anotācija)</dc:title>
  <dc:subject>Anotācija</dc:subject>
  <dc:creator>Silvestrs Kūliņš</dc:creator>
  <cp:keywords/>
  <dc:description>S.Kūliņš, 67047884_x000d_
silvestrs.kulins@izm.gov.lv</dc:description>
  <cp:lastModifiedBy>Silvestrs Kūliņš</cp:lastModifiedBy>
  <cp:revision>2</cp:revision>
  <cp:lastPrinted>2020-01-23T07:20:00Z</cp:lastPrinted>
  <dcterms:created xsi:type="dcterms:W3CDTF">2021-06-01T14:16:00Z</dcterms:created>
  <dcterms:modified xsi:type="dcterms:W3CDTF">2021-06-01T14:16:00Z</dcterms:modified>
  <cp:category/>
</cp:coreProperties>
</file>