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02D7" w14:textId="447F2339" w:rsidR="00BD5588" w:rsidRPr="00F51D9E" w:rsidRDefault="00BE32CE" w:rsidP="003A422C">
      <w:pPr>
        <w:shd w:val="clear" w:color="auto" w:fill="FFFFFF"/>
        <w:jc w:val="center"/>
        <w:rPr>
          <w:b/>
        </w:rPr>
      </w:pPr>
      <w:r w:rsidRPr="00F51D9E">
        <w:rPr>
          <w:b/>
        </w:rPr>
        <w:t>Ministru kabineta noteikumu projekta “</w:t>
      </w:r>
      <w:r w:rsidR="00AC2774" w:rsidRPr="00F51D9E">
        <w:rPr>
          <w:b/>
        </w:rPr>
        <w:t>Muitas maksājumu un dabas resursu nodokļa summas kompensācijas kārtība privātajai izglītības iestādei “Latvijas Starptautiskā skola”</w:t>
      </w:r>
      <w:r w:rsidRPr="00F51D9E">
        <w:rPr>
          <w:b/>
        </w:rPr>
        <w:t>”</w:t>
      </w:r>
      <w:r w:rsidR="003A422C" w:rsidRPr="00F51D9E">
        <w:rPr>
          <w:b/>
        </w:rPr>
        <w:t xml:space="preserve"> </w:t>
      </w:r>
      <w:r w:rsidR="002C6E9A" w:rsidRPr="00F51D9E">
        <w:rPr>
          <w:b/>
        </w:rPr>
        <w:t>sākotnējās ietekmes novērtējuma ziņojums (anotācija)</w:t>
      </w:r>
    </w:p>
    <w:p w14:paraId="0E3BC2CE" w14:textId="77777777" w:rsidR="00BD5588" w:rsidRPr="00F51D9E" w:rsidRDefault="00BD5588" w:rsidP="002C6E9A">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6"/>
      </w:tblGrid>
      <w:tr w:rsidR="00F51D9E" w:rsidRPr="00F51D9E" w14:paraId="7E58E138" w14:textId="77777777" w:rsidTr="009E0502">
        <w:trPr>
          <w:cantSplit/>
        </w:trPr>
        <w:tc>
          <w:tcPr>
            <w:tcW w:w="9581" w:type="dxa"/>
            <w:gridSpan w:val="2"/>
            <w:shd w:val="clear" w:color="auto" w:fill="FFFFFF"/>
            <w:vAlign w:val="center"/>
            <w:hideMark/>
          </w:tcPr>
          <w:p w14:paraId="25AD245E" w14:textId="77777777" w:rsidR="00BD5588" w:rsidRPr="00F51D9E" w:rsidRDefault="00BD5588" w:rsidP="002C6E9A">
            <w:pPr>
              <w:jc w:val="center"/>
              <w:rPr>
                <w:b/>
                <w:iCs/>
                <w:lang w:eastAsia="en-US"/>
              </w:rPr>
            </w:pPr>
            <w:r w:rsidRPr="00F51D9E">
              <w:rPr>
                <w:b/>
                <w:iCs/>
                <w:lang w:eastAsia="en-US"/>
              </w:rPr>
              <w:t>Tiesību akta projekta anotācijas kopsavilkums</w:t>
            </w:r>
          </w:p>
        </w:tc>
      </w:tr>
      <w:tr w:rsidR="00F51D9E" w:rsidRPr="00F51D9E" w14:paraId="26C1D3D1" w14:textId="77777777" w:rsidTr="009E0502">
        <w:trPr>
          <w:cantSplit/>
        </w:trPr>
        <w:tc>
          <w:tcPr>
            <w:tcW w:w="3430" w:type="dxa"/>
            <w:shd w:val="clear" w:color="auto" w:fill="FFFFFF"/>
            <w:hideMark/>
          </w:tcPr>
          <w:p w14:paraId="32C50E97" w14:textId="77777777" w:rsidR="00BD5588" w:rsidRPr="00F51D9E" w:rsidRDefault="00BD5588" w:rsidP="00D32E81">
            <w:pPr>
              <w:rPr>
                <w:iCs/>
                <w:lang w:eastAsia="en-US"/>
              </w:rPr>
            </w:pPr>
            <w:r w:rsidRPr="00F51D9E">
              <w:rPr>
                <w:iCs/>
                <w:lang w:eastAsia="en-US"/>
              </w:rPr>
              <w:t>Mērķis, risinājums un</w:t>
            </w:r>
            <w:r w:rsidR="00D32E81" w:rsidRPr="00F51D9E">
              <w:rPr>
                <w:iCs/>
                <w:lang w:eastAsia="en-US"/>
              </w:rPr>
              <w:t xml:space="preserve"> projekta spēkā stāšanās laiks </w:t>
            </w:r>
          </w:p>
        </w:tc>
        <w:tc>
          <w:tcPr>
            <w:tcW w:w="6151" w:type="dxa"/>
            <w:shd w:val="clear" w:color="auto" w:fill="FFFFFF"/>
            <w:hideMark/>
          </w:tcPr>
          <w:p w14:paraId="4CCD8A66" w14:textId="52C9B017" w:rsidR="00BD5588" w:rsidRPr="00F51D9E" w:rsidRDefault="00D32E81" w:rsidP="00D32E81">
            <w:pPr>
              <w:jc w:val="both"/>
              <w:rPr>
                <w:lang w:eastAsia="en-US"/>
              </w:rPr>
            </w:pPr>
            <w:r w:rsidRPr="00F51D9E">
              <w:rPr>
                <w:lang w:eastAsia="en-US"/>
              </w:rPr>
              <w:t>Ministru kabineta</w:t>
            </w:r>
            <w:r w:rsidR="00A2160F" w:rsidRPr="00F51D9E">
              <w:rPr>
                <w:lang w:eastAsia="en-US"/>
              </w:rPr>
              <w:t xml:space="preserve"> </w:t>
            </w:r>
            <w:r w:rsidRPr="00F51D9E">
              <w:rPr>
                <w:lang w:eastAsia="en-US"/>
              </w:rPr>
              <w:t xml:space="preserve">noteikumu projekta mērķis ir noteikt </w:t>
            </w:r>
            <w:r w:rsidR="00AC2774" w:rsidRPr="00F51D9E">
              <w:t>muitas maksājumu un dabas resursu nodokļa summas kompensācijas kārtību privātajai izglītības iestādei “Latvijas Starptautiskā skola”</w:t>
            </w:r>
            <w:r w:rsidR="00233A10" w:rsidRPr="00F51D9E">
              <w:rPr>
                <w:lang w:eastAsia="en-US"/>
              </w:rPr>
              <w:t xml:space="preserve"> (turpmāk – skola)</w:t>
            </w:r>
            <w:r w:rsidRPr="00F51D9E">
              <w:rPr>
                <w:lang w:eastAsia="en-US"/>
              </w:rPr>
              <w:t xml:space="preserve"> par tās vajadzībām </w:t>
            </w:r>
            <w:r w:rsidR="005440F4" w:rsidRPr="00F51D9E">
              <w:rPr>
                <w:lang w:eastAsia="en-US"/>
              </w:rPr>
              <w:t>iev</w:t>
            </w:r>
            <w:r w:rsidR="00E83CCA" w:rsidRPr="00F51D9E">
              <w:rPr>
                <w:lang w:eastAsia="en-US"/>
              </w:rPr>
              <w:t>estajām</w:t>
            </w:r>
            <w:r w:rsidRPr="00F51D9E">
              <w:rPr>
                <w:lang w:eastAsia="en-US"/>
              </w:rPr>
              <w:t xml:space="preserve"> precēm</w:t>
            </w:r>
            <w:r w:rsidR="00A87AD4" w:rsidRPr="00F51D9E">
              <w:rPr>
                <w:lang w:eastAsia="en-US"/>
              </w:rPr>
              <w:t xml:space="preserve"> no 2016.</w:t>
            </w:r>
            <w:r w:rsidR="004A7A4E" w:rsidRPr="00F51D9E">
              <w:rPr>
                <w:lang w:eastAsia="en-US"/>
              </w:rPr>
              <w:t xml:space="preserve"> </w:t>
            </w:r>
            <w:r w:rsidR="00A87AD4" w:rsidRPr="00F51D9E">
              <w:rPr>
                <w:lang w:eastAsia="en-US"/>
              </w:rPr>
              <w:t>gada 1.</w:t>
            </w:r>
            <w:r w:rsidR="004A7A4E" w:rsidRPr="00F51D9E">
              <w:rPr>
                <w:lang w:eastAsia="en-US"/>
              </w:rPr>
              <w:t xml:space="preserve"> </w:t>
            </w:r>
            <w:r w:rsidR="00A87AD4" w:rsidRPr="00F51D9E">
              <w:rPr>
                <w:lang w:eastAsia="en-US"/>
              </w:rPr>
              <w:t>janvāra</w:t>
            </w:r>
            <w:r w:rsidR="00B00127" w:rsidRPr="00F51D9E">
              <w:rPr>
                <w:lang w:eastAsia="en-US"/>
              </w:rPr>
              <w:t>, tādējādi nodrošinot Latvijas Republikas valdības un Amerikas Savienoto Valstu valdības līgumā par privātās izglītības iestādes “Latvijas Starptautiskā skola” darbības nodrošināšanu noteikto saistību izpildi.</w:t>
            </w:r>
          </w:p>
          <w:p w14:paraId="04435934" w14:textId="3FFB69CD" w:rsidR="00D32E81" w:rsidRPr="00F51D9E" w:rsidRDefault="00A87AD4" w:rsidP="00A87AD4">
            <w:pPr>
              <w:jc w:val="both"/>
              <w:rPr>
                <w:i/>
                <w:iCs/>
                <w:lang w:eastAsia="en-US"/>
              </w:rPr>
            </w:pPr>
            <w:r w:rsidRPr="00F51D9E">
              <w:rPr>
                <w:lang w:eastAsia="en-US"/>
              </w:rPr>
              <w:t>Ministru kabineta noteikumi</w:t>
            </w:r>
            <w:r w:rsidR="00D32E81" w:rsidRPr="00F51D9E">
              <w:rPr>
                <w:lang w:eastAsia="en-US"/>
              </w:rPr>
              <w:t xml:space="preserve"> stāsies spēkā pēc</w:t>
            </w:r>
            <w:r w:rsidRPr="00F51D9E">
              <w:rPr>
                <w:lang w:eastAsia="en-US"/>
              </w:rPr>
              <w:t xml:space="preserve"> to</w:t>
            </w:r>
            <w:r w:rsidR="00D32E81" w:rsidRPr="00F51D9E">
              <w:rPr>
                <w:lang w:eastAsia="en-US"/>
              </w:rPr>
              <w:t xml:space="preserve"> </w:t>
            </w:r>
            <w:r w:rsidRPr="00F51D9E">
              <w:rPr>
                <w:lang w:eastAsia="en-US"/>
              </w:rPr>
              <w:t>izsludināšanas</w:t>
            </w:r>
            <w:r w:rsidR="00D32E81" w:rsidRPr="00F51D9E">
              <w:rPr>
                <w:lang w:eastAsia="en-US"/>
              </w:rPr>
              <w:t>.</w:t>
            </w:r>
          </w:p>
        </w:tc>
      </w:tr>
    </w:tbl>
    <w:p w14:paraId="74E7CE0B" w14:textId="77777777" w:rsidR="00BD5588" w:rsidRPr="00F51D9E" w:rsidRDefault="00BD5588" w:rsidP="002C6E9A">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0"/>
        <w:gridCol w:w="5817"/>
      </w:tblGrid>
      <w:tr w:rsidR="00F51D9E" w:rsidRPr="00F51D9E" w14:paraId="375BADBA" w14:textId="77777777" w:rsidTr="0023565F">
        <w:trPr>
          <w:cantSplit/>
        </w:trPr>
        <w:tc>
          <w:tcPr>
            <w:tcW w:w="5000" w:type="pct"/>
            <w:gridSpan w:val="3"/>
            <w:vAlign w:val="center"/>
            <w:hideMark/>
          </w:tcPr>
          <w:p w14:paraId="7BD86305" w14:textId="77777777" w:rsidR="00BD5588" w:rsidRPr="00F51D9E" w:rsidRDefault="00BD5588" w:rsidP="002C6E9A">
            <w:pPr>
              <w:jc w:val="center"/>
              <w:rPr>
                <w:b/>
                <w:bCs/>
              </w:rPr>
            </w:pPr>
            <w:r w:rsidRPr="00F51D9E">
              <w:rPr>
                <w:b/>
                <w:bCs/>
              </w:rPr>
              <w:t>I. Tiesību akta projekta izstrādes nepieciešamība</w:t>
            </w:r>
          </w:p>
        </w:tc>
      </w:tr>
      <w:tr w:rsidR="00F51D9E" w:rsidRPr="00F51D9E" w14:paraId="615BBB3A" w14:textId="77777777" w:rsidTr="0023565F">
        <w:trPr>
          <w:cantSplit/>
        </w:trPr>
        <w:tc>
          <w:tcPr>
            <w:tcW w:w="311" w:type="pct"/>
            <w:hideMark/>
          </w:tcPr>
          <w:p w14:paraId="53249C99" w14:textId="77777777" w:rsidR="00BD5588" w:rsidRPr="00F51D9E" w:rsidRDefault="00BD5588" w:rsidP="002C6E9A">
            <w:pPr>
              <w:jc w:val="center"/>
            </w:pPr>
            <w:r w:rsidRPr="00F51D9E">
              <w:t>1.</w:t>
            </w:r>
          </w:p>
        </w:tc>
        <w:tc>
          <w:tcPr>
            <w:tcW w:w="1479" w:type="pct"/>
            <w:hideMark/>
          </w:tcPr>
          <w:p w14:paraId="3E98863A" w14:textId="77777777" w:rsidR="00BD5588" w:rsidRPr="00F51D9E" w:rsidRDefault="00BD5588" w:rsidP="002C6E9A">
            <w:r w:rsidRPr="00F51D9E">
              <w:t>Pamatojums</w:t>
            </w:r>
          </w:p>
        </w:tc>
        <w:tc>
          <w:tcPr>
            <w:tcW w:w="3210" w:type="pct"/>
            <w:hideMark/>
          </w:tcPr>
          <w:p w14:paraId="7C624771" w14:textId="5D85C77D" w:rsidR="00BD5588" w:rsidRPr="00F51D9E" w:rsidRDefault="00A2160F" w:rsidP="00A831A2">
            <w:pPr>
              <w:jc w:val="both"/>
            </w:pPr>
            <w:r w:rsidRPr="00F51D9E">
              <w:t>Ministru kabineta noteikumu projekts</w:t>
            </w:r>
            <w:r w:rsidR="00B45C62" w:rsidRPr="00F51D9E">
              <w:t xml:space="preserve"> “</w:t>
            </w:r>
            <w:r w:rsidR="005C103B" w:rsidRPr="00F51D9E">
              <w:t>Muitas maksājumu un dabas resursu nodokļa summas kompensācijas kārtība privātajai izglītības iestādei “Latvijas Starptautiskā skola</w:t>
            </w:r>
            <w:r w:rsidR="00B45C62" w:rsidRPr="00F51D9E">
              <w:t>”</w:t>
            </w:r>
            <w:r w:rsidR="004A7A4E" w:rsidRPr="00F51D9E">
              <w:t>”</w:t>
            </w:r>
            <w:r w:rsidR="00B45C62" w:rsidRPr="00F51D9E">
              <w:t xml:space="preserve"> (turpmāk -</w:t>
            </w:r>
            <w:r w:rsidR="00B45C62" w:rsidRPr="00F51D9E">
              <w:rPr>
                <w:b/>
              </w:rPr>
              <w:t xml:space="preserve"> </w:t>
            </w:r>
            <w:r w:rsidR="00B45C62" w:rsidRPr="00F51D9E">
              <w:t>Ministru kabineta noteikumu projekts)</w:t>
            </w:r>
            <w:r w:rsidRPr="00F51D9E">
              <w:t xml:space="preserve"> </w:t>
            </w:r>
            <w:r w:rsidR="00A831A2" w:rsidRPr="00F51D9E">
              <w:t>ir izstrādāts</w:t>
            </w:r>
            <w:r w:rsidRPr="00F51D9E">
              <w:t xml:space="preserve"> saskaņā ar likuma “Par Latvijas Republikas valdības un Amerikas Savienoto Valstu valdības līgumu par privātās izglītības iestādes “Latvijas Starptautiskā skola” darbības nodrošināšanu” 1.</w:t>
            </w:r>
            <w:r w:rsidRPr="00F51D9E">
              <w:rPr>
                <w:vertAlign w:val="superscript"/>
              </w:rPr>
              <w:t>1</w:t>
            </w:r>
            <w:r w:rsidRPr="00F51D9E">
              <w:t xml:space="preserve"> </w:t>
            </w:r>
            <w:r w:rsidR="003F0A4E" w:rsidRPr="00F51D9E">
              <w:t>panta otro daļu</w:t>
            </w:r>
            <w:r w:rsidR="00A831A2" w:rsidRPr="00F51D9E">
              <w:t>.</w:t>
            </w:r>
          </w:p>
        </w:tc>
      </w:tr>
      <w:tr w:rsidR="00F51D9E" w:rsidRPr="00F51D9E" w14:paraId="6841E793" w14:textId="77777777" w:rsidTr="0023565F">
        <w:tc>
          <w:tcPr>
            <w:tcW w:w="311" w:type="pct"/>
            <w:hideMark/>
          </w:tcPr>
          <w:p w14:paraId="172A7F9B" w14:textId="77777777" w:rsidR="00BD5588" w:rsidRPr="00F51D9E" w:rsidRDefault="00BD5588" w:rsidP="002C6E9A">
            <w:pPr>
              <w:jc w:val="center"/>
            </w:pPr>
            <w:r w:rsidRPr="00F51D9E">
              <w:t>2.</w:t>
            </w:r>
          </w:p>
        </w:tc>
        <w:tc>
          <w:tcPr>
            <w:tcW w:w="1479" w:type="pct"/>
            <w:hideMark/>
          </w:tcPr>
          <w:p w14:paraId="546E277D" w14:textId="77777777" w:rsidR="00BD5588" w:rsidRPr="00F51D9E" w:rsidRDefault="00BD5588" w:rsidP="002C6E9A">
            <w:r w:rsidRPr="00F51D9E">
              <w:t>Pašreizējā situācija un problēmas, kuru risināšanai tiesību akta projekts izstrādāts, tiesiskā regulējuma mērķis un būtība</w:t>
            </w:r>
            <w:bookmarkStart w:id="0" w:name="_GoBack"/>
            <w:bookmarkEnd w:id="0"/>
          </w:p>
        </w:tc>
        <w:tc>
          <w:tcPr>
            <w:tcW w:w="3210" w:type="pct"/>
            <w:hideMark/>
          </w:tcPr>
          <w:p w14:paraId="62984318" w14:textId="4BC23297" w:rsidR="002F256A" w:rsidRPr="00F51D9E" w:rsidRDefault="002F256A" w:rsidP="00FA6D19">
            <w:pPr>
              <w:pStyle w:val="BodyText1"/>
              <w:shd w:val="clear" w:color="auto" w:fill="auto"/>
              <w:spacing w:before="0" w:after="0" w:line="240" w:lineRule="auto"/>
              <w:ind w:firstLine="0"/>
              <w:jc w:val="both"/>
              <w:rPr>
                <w:rFonts w:ascii="Times New Roman" w:eastAsia="Times New Roman" w:hAnsi="Times New Roman" w:cs="Times New Roman"/>
                <w:sz w:val="24"/>
                <w:szCs w:val="24"/>
                <w:shd w:val="clear" w:color="auto" w:fill="FFFFFF"/>
                <w:lang w:eastAsia="lv-LV"/>
              </w:rPr>
            </w:pPr>
            <w:r w:rsidRPr="00F51D9E">
              <w:rPr>
                <w:rFonts w:ascii="Times New Roman" w:eastAsia="Times New Roman" w:hAnsi="Times New Roman" w:cs="Times New Roman"/>
                <w:sz w:val="24"/>
                <w:szCs w:val="24"/>
                <w:shd w:val="clear" w:color="auto" w:fill="FFFFFF"/>
                <w:lang w:eastAsia="lv-LV"/>
              </w:rPr>
              <w:t>2003. gada 12. mart</w:t>
            </w:r>
            <w:r w:rsidR="00746F8D" w:rsidRPr="00F51D9E">
              <w:rPr>
                <w:rFonts w:ascii="Times New Roman" w:eastAsia="Times New Roman" w:hAnsi="Times New Roman" w:cs="Times New Roman"/>
                <w:sz w:val="24"/>
                <w:szCs w:val="24"/>
                <w:shd w:val="clear" w:color="auto" w:fill="FFFFFF"/>
                <w:lang w:eastAsia="lv-LV"/>
              </w:rPr>
              <w:t>a</w:t>
            </w:r>
            <w:r w:rsidRPr="00F51D9E">
              <w:rPr>
                <w:rFonts w:ascii="Times New Roman" w:eastAsia="Times New Roman" w:hAnsi="Times New Roman" w:cs="Times New Roman"/>
                <w:sz w:val="24"/>
                <w:szCs w:val="24"/>
                <w:shd w:val="clear" w:color="auto" w:fill="FFFFFF"/>
                <w:lang w:eastAsia="lv-LV"/>
              </w:rPr>
              <w:t xml:space="preserve"> </w:t>
            </w:r>
            <w:r w:rsidR="00DF058D" w:rsidRPr="00F51D9E">
              <w:rPr>
                <w:rFonts w:ascii="Times New Roman" w:eastAsia="Times New Roman" w:hAnsi="Times New Roman" w:cs="Times New Roman"/>
                <w:sz w:val="24"/>
                <w:szCs w:val="24"/>
                <w:shd w:val="clear" w:color="auto" w:fill="FFFFFF"/>
                <w:lang w:eastAsia="lv-LV"/>
              </w:rPr>
              <w:t xml:space="preserve">parakstītā </w:t>
            </w:r>
            <w:r w:rsidRPr="00F51D9E">
              <w:rPr>
                <w:rFonts w:ascii="Times New Roman" w:eastAsia="Times New Roman" w:hAnsi="Times New Roman" w:cs="Times New Roman"/>
                <w:sz w:val="24"/>
                <w:szCs w:val="24"/>
                <w:shd w:val="clear" w:color="auto" w:fill="FFFFFF"/>
                <w:lang w:eastAsia="lv-LV"/>
              </w:rPr>
              <w:t xml:space="preserve">Latvijas Republikas valdības un Amerikas Savienoto Valstu valdības līgumā par privātās izglītības iestādes “Latvijas Starptautiskā skola” darbības nodrošināšanu (turpmāk – </w:t>
            </w:r>
            <w:r w:rsidR="00E5136A" w:rsidRPr="00F51D9E">
              <w:rPr>
                <w:rFonts w:ascii="Times New Roman" w:eastAsia="Times New Roman" w:hAnsi="Times New Roman" w:cs="Times New Roman"/>
                <w:sz w:val="24"/>
                <w:szCs w:val="24"/>
                <w:shd w:val="clear" w:color="auto" w:fill="FFFFFF"/>
                <w:lang w:eastAsia="lv-LV"/>
              </w:rPr>
              <w:t>l</w:t>
            </w:r>
            <w:r w:rsidRPr="00F51D9E">
              <w:rPr>
                <w:rFonts w:ascii="Times New Roman" w:eastAsia="Times New Roman" w:hAnsi="Times New Roman" w:cs="Times New Roman"/>
                <w:sz w:val="24"/>
                <w:szCs w:val="24"/>
                <w:shd w:val="clear" w:color="auto" w:fill="FFFFFF"/>
                <w:lang w:eastAsia="lv-LV"/>
              </w:rPr>
              <w:t>īgums) noteiktās Latvijas puses saistības neatbilst Eiropas Savienības regulējumam par atbrīvojumiem no muitas nodokļiem.</w:t>
            </w:r>
          </w:p>
          <w:p w14:paraId="651ADEA8" w14:textId="14AF8387" w:rsidR="002F256A" w:rsidRPr="00F51D9E" w:rsidRDefault="002F256A" w:rsidP="00FA6D19">
            <w:pPr>
              <w:pStyle w:val="BodyText1"/>
              <w:shd w:val="clear" w:color="auto" w:fill="auto"/>
              <w:spacing w:before="0" w:after="0" w:line="240" w:lineRule="auto"/>
              <w:ind w:firstLine="0"/>
              <w:jc w:val="both"/>
              <w:rPr>
                <w:rFonts w:ascii="Times New Roman" w:eastAsia="Times New Roman" w:hAnsi="Times New Roman" w:cs="Times New Roman"/>
                <w:sz w:val="24"/>
                <w:szCs w:val="24"/>
                <w:shd w:val="clear" w:color="auto" w:fill="FFFFFF"/>
                <w:lang w:eastAsia="lv-LV"/>
              </w:rPr>
            </w:pPr>
            <w:r w:rsidRPr="00F51D9E">
              <w:rPr>
                <w:rFonts w:ascii="Times New Roman" w:eastAsia="Times New Roman" w:hAnsi="Times New Roman" w:cs="Times New Roman"/>
                <w:sz w:val="24"/>
                <w:szCs w:val="24"/>
                <w:shd w:val="clear" w:color="auto" w:fill="FFFFFF"/>
                <w:lang w:eastAsia="lv-LV"/>
              </w:rPr>
              <w:t>Lai novērstu šo problēmu, 2021.</w:t>
            </w:r>
            <w:r w:rsidR="004A7A4E" w:rsidRPr="00F51D9E">
              <w:rPr>
                <w:rFonts w:ascii="Times New Roman" w:eastAsia="Times New Roman" w:hAnsi="Times New Roman" w:cs="Times New Roman"/>
                <w:sz w:val="24"/>
                <w:szCs w:val="24"/>
                <w:shd w:val="clear" w:color="auto" w:fill="FFFFFF"/>
                <w:lang w:eastAsia="lv-LV"/>
              </w:rPr>
              <w:t xml:space="preserve"> </w:t>
            </w:r>
            <w:r w:rsidRPr="00F51D9E">
              <w:rPr>
                <w:rFonts w:ascii="Times New Roman" w:eastAsia="Times New Roman" w:hAnsi="Times New Roman" w:cs="Times New Roman"/>
                <w:sz w:val="24"/>
                <w:szCs w:val="24"/>
                <w:shd w:val="clear" w:color="auto" w:fill="FFFFFF"/>
                <w:lang w:eastAsia="lv-LV"/>
              </w:rPr>
              <w:t xml:space="preserve">gada </w:t>
            </w:r>
            <w:r w:rsidR="006447EC" w:rsidRPr="00F51D9E">
              <w:rPr>
                <w:rFonts w:ascii="Times New Roman" w:eastAsia="Times New Roman" w:hAnsi="Times New Roman" w:cs="Times New Roman"/>
                <w:sz w:val="24"/>
                <w:szCs w:val="24"/>
                <w:shd w:val="clear" w:color="auto" w:fill="FFFFFF"/>
                <w:lang w:eastAsia="lv-LV"/>
              </w:rPr>
              <w:t>20.</w:t>
            </w:r>
            <w:r w:rsidR="004A7A4E" w:rsidRPr="00F51D9E">
              <w:rPr>
                <w:rFonts w:ascii="Times New Roman" w:eastAsia="Times New Roman" w:hAnsi="Times New Roman" w:cs="Times New Roman"/>
                <w:sz w:val="24"/>
                <w:szCs w:val="24"/>
                <w:shd w:val="clear" w:color="auto" w:fill="FFFFFF"/>
                <w:lang w:eastAsia="lv-LV"/>
              </w:rPr>
              <w:t xml:space="preserve"> </w:t>
            </w:r>
            <w:r w:rsidR="006447EC" w:rsidRPr="00F51D9E">
              <w:rPr>
                <w:rFonts w:ascii="Times New Roman" w:eastAsia="Times New Roman" w:hAnsi="Times New Roman" w:cs="Times New Roman"/>
                <w:sz w:val="24"/>
                <w:szCs w:val="24"/>
                <w:shd w:val="clear" w:color="auto" w:fill="FFFFFF"/>
                <w:lang w:eastAsia="lv-LV"/>
              </w:rPr>
              <w:t>maijā</w:t>
            </w:r>
            <w:r w:rsidRPr="00F51D9E">
              <w:rPr>
                <w:rFonts w:ascii="Times New Roman" w:eastAsia="Times New Roman" w:hAnsi="Times New Roman" w:cs="Times New Roman"/>
                <w:sz w:val="24"/>
                <w:szCs w:val="24"/>
                <w:shd w:val="clear" w:color="auto" w:fill="FFFFFF"/>
                <w:lang w:eastAsia="lv-LV"/>
              </w:rPr>
              <w:t xml:space="preserve"> tika apstiprināts grozījums 2006. gada 28. jūnija likumā “Par Latvijas Republikas valdības un Amerikas Savienoto Valstu valdības līgumu par privātās izglītības iestādes “Latvijas Starptautiskā skola” darbības nodrošināšanu” (turpmāk - </w:t>
            </w:r>
            <w:r w:rsidR="00E5136A" w:rsidRPr="00F51D9E">
              <w:rPr>
                <w:rFonts w:ascii="Times New Roman" w:eastAsia="Times New Roman" w:hAnsi="Times New Roman" w:cs="Times New Roman"/>
                <w:sz w:val="24"/>
                <w:szCs w:val="24"/>
                <w:shd w:val="clear" w:color="auto" w:fill="FFFFFF"/>
                <w:lang w:eastAsia="lv-LV"/>
              </w:rPr>
              <w:t>l</w:t>
            </w:r>
            <w:r w:rsidRPr="00F51D9E">
              <w:rPr>
                <w:rFonts w:ascii="Times New Roman" w:eastAsia="Times New Roman" w:hAnsi="Times New Roman" w:cs="Times New Roman"/>
                <w:sz w:val="24"/>
                <w:szCs w:val="24"/>
                <w:shd w:val="clear" w:color="auto" w:fill="FFFFFF"/>
                <w:lang w:eastAsia="lv-LV"/>
              </w:rPr>
              <w:t xml:space="preserve">ikums), kas paredz, ka Ministru kabinets nosaka kārtību, kādā skolai par līguma 3. panta 2. punktā minētajām precēm, kas ievestas tās lietošanai, samaksāto muitas maksājumu (ievedmuitas nodoklis, pievienotās vērtības nodoklis, akcīzes nodoklis) un dabas resursu nodokļa summu kompensē no valsts budžeta, kā arī paredzētās kompensācijas izmaksai iesniedzamos dokumentus, to iesniegšanas kārtību un termiņus, kā arī kompensācijas izmaksas kārtību. </w:t>
            </w:r>
          </w:p>
          <w:p w14:paraId="04EFCA9B" w14:textId="5E436442" w:rsidR="00AE2100" w:rsidRPr="00F51D9E" w:rsidRDefault="00B00127" w:rsidP="00FA6D19">
            <w:pPr>
              <w:jc w:val="both"/>
              <w:rPr>
                <w:shd w:val="clear" w:color="auto" w:fill="FFFFFF"/>
              </w:rPr>
            </w:pPr>
            <w:r w:rsidRPr="00F51D9E">
              <w:rPr>
                <w:shd w:val="clear" w:color="auto" w:fill="FFFFFF"/>
              </w:rPr>
              <w:t>Termina “muitas maksājumi” definīcija noteikta Muitas likuma 1.</w:t>
            </w:r>
            <w:r w:rsidR="004A7A4E" w:rsidRPr="00F51D9E">
              <w:rPr>
                <w:shd w:val="clear" w:color="auto" w:fill="FFFFFF"/>
              </w:rPr>
              <w:t xml:space="preserve"> </w:t>
            </w:r>
            <w:r w:rsidRPr="00F51D9E">
              <w:rPr>
                <w:shd w:val="clear" w:color="auto" w:fill="FFFFFF"/>
              </w:rPr>
              <w:t>panta 4.</w:t>
            </w:r>
            <w:r w:rsidR="004A7A4E" w:rsidRPr="00F51D9E">
              <w:rPr>
                <w:shd w:val="clear" w:color="auto" w:fill="FFFFFF"/>
              </w:rPr>
              <w:t xml:space="preserve"> </w:t>
            </w:r>
            <w:r w:rsidRPr="00F51D9E">
              <w:rPr>
                <w:shd w:val="clear" w:color="auto" w:fill="FFFFFF"/>
              </w:rPr>
              <w:t xml:space="preserve">punktā, proti, muitas maksājumi ir </w:t>
            </w:r>
            <w:r w:rsidR="00F362B0" w:rsidRPr="00F51D9E">
              <w:rPr>
                <w:shd w:val="clear" w:color="auto" w:fill="FFFFFF"/>
              </w:rPr>
              <w:t>Eiropas Parlamenta un Padomes 2013.</w:t>
            </w:r>
            <w:r w:rsidR="004A7A4E" w:rsidRPr="00F51D9E">
              <w:rPr>
                <w:shd w:val="clear" w:color="auto" w:fill="FFFFFF"/>
              </w:rPr>
              <w:t xml:space="preserve"> </w:t>
            </w:r>
            <w:r w:rsidR="00F362B0" w:rsidRPr="00F51D9E">
              <w:rPr>
                <w:shd w:val="clear" w:color="auto" w:fill="FFFFFF"/>
              </w:rPr>
              <w:t>gada 9.</w:t>
            </w:r>
            <w:r w:rsidR="004A7A4E" w:rsidRPr="00F51D9E">
              <w:rPr>
                <w:shd w:val="clear" w:color="auto" w:fill="FFFFFF"/>
              </w:rPr>
              <w:t xml:space="preserve"> </w:t>
            </w:r>
            <w:r w:rsidR="00F362B0" w:rsidRPr="00F51D9E">
              <w:rPr>
                <w:shd w:val="clear" w:color="auto" w:fill="FFFFFF"/>
              </w:rPr>
              <w:t xml:space="preserve">oktobra Regulas (ES) </w:t>
            </w:r>
            <w:r w:rsidR="00F362B0" w:rsidRPr="00F51D9E">
              <w:rPr>
                <w:shd w:val="clear" w:color="auto" w:fill="FFFFFF"/>
              </w:rPr>
              <w:lastRenderedPageBreak/>
              <w:t>Nr.</w:t>
            </w:r>
            <w:r w:rsidR="004A7A4E" w:rsidRPr="00F51D9E">
              <w:rPr>
                <w:shd w:val="clear" w:color="auto" w:fill="FFFFFF"/>
              </w:rPr>
              <w:t xml:space="preserve"> </w:t>
            </w:r>
            <w:r w:rsidR="00F362B0" w:rsidRPr="00F51D9E">
              <w:rPr>
                <w:shd w:val="clear" w:color="auto" w:fill="FFFFFF"/>
              </w:rPr>
              <w:t>952/2013, ar ko izveido Savienības Muitas kodeksu</w:t>
            </w:r>
            <w:r w:rsidRPr="00F51D9E">
              <w:rPr>
                <w:shd w:val="clear" w:color="auto" w:fill="FFFFFF"/>
              </w:rPr>
              <w:t xml:space="preserve"> 5.</w:t>
            </w:r>
            <w:r w:rsidR="004A7A4E" w:rsidRPr="00F51D9E">
              <w:rPr>
                <w:shd w:val="clear" w:color="auto" w:fill="FFFFFF"/>
              </w:rPr>
              <w:t xml:space="preserve"> </w:t>
            </w:r>
            <w:r w:rsidRPr="00F51D9E">
              <w:rPr>
                <w:shd w:val="clear" w:color="auto" w:fill="FFFFFF"/>
              </w:rPr>
              <w:t>panta 20.</w:t>
            </w:r>
            <w:r w:rsidR="004A7A4E" w:rsidRPr="00F51D9E">
              <w:rPr>
                <w:shd w:val="clear" w:color="auto" w:fill="FFFFFF"/>
              </w:rPr>
              <w:t xml:space="preserve"> </w:t>
            </w:r>
            <w:r w:rsidRPr="00F51D9E">
              <w:rPr>
                <w:shd w:val="clear" w:color="auto" w:fill="FFFFFF"/>
              </w:rPr>
              <w:t>punktā noteiktais ievedmuitas nodoklis un 21.</w:t>
            </w:r>
            <w:r w:rsidR="004A7A4E" w:rsidRPr="00F51D9E">
              <w:rPr>
                <w:shd w:val="clear" w:color="auto" w:fill="FFFFFF"/>
              </w:rPr>
              <w:t xml:space="preserve"> </w:t>
            </w:r>
            <w:r w:rsidRPr="00F51D9E">
              <w:rPr>
                <w:shd w:val="clear" w:color="auto" w:fill="FFFFFF"/>
              </w:rPr>
              <w:t xml:space="preserve">punktā noteiktais izvedmuitas nodoklis un ar tiem saistītie maksājumi, kā arī </w:t>
            </w:r>
            <w:r w:rsidR="008C7FED" w:rsidRPr="00F51D9E">
              <w:rPr>
                <w:shd w:val="clear" w:color="auto" w:fill="FFFFFF"/>
              </w:rPr>
              <w:t>pievienotās vērtības nodoklis</w:t>
            </w:r>
            <w:r w:rsidRPr="00F51D9E">
              <w:rPr>
                <w:shd w:val="clear" w:color="auto" w:fill="FFFFFF"/>
              </w:rPr>
              <w:t xml:space="preserve"> un akcīzes nodoklis, kurus piemēro, preces </w:t>
            </w:r>
            <w:r w:rsidR="00E83CCA" w:rsidRPr="00F51D9E">
              <w:rPr>
                <w:shd w:val="clear" w:color="auto" w:fill="FFFFFF"/>
              </w:rPr>
              <w:t>iev</w:t>
            </w:r>
            <w:r w:rsidR="005440F4" w:rsidRPr="00F51D9E">
              <w:rPr>
                <w:shd w:val="clear" w:color="auto" w:fill="FFFFFF"/>
              </w:rPr>
              <w:t>edot</w:t>
            </w:r>
            <w:r w:rsidR="00E83CCA" w:rsidRPr="00F51D9E">
              <w:rPr>
                <w:shd w:val="clear" w:color="auto" w:fill="FFFFFF"/>
              </w:rPr>
              <w:t xml:space="preserve"> </w:t>
            </w:r>
            <w:r w:rsidRPr="00F51D9E">
              <w:rPr>
                <w:shd w:val="clear" w:color="auto" w:fill="FFFFFF"/>
              </w:rPr>
              <w:t>Latvijas Republikas muitas teritorijā.</w:t>
            </w:r>
          </w:p>
          <w:p w14:paraId="7E3C4BBC" w14:textId="3428E5EB" w:rsidR="00576E3D" w:rsidRPr="00F51D9E" w:rsidRDefault="005034E5" w:rsidP="00FA6D19">
            <w:pPr>
              <w:pStyle w:val="tv213"/>
              <w:shd w:val="clear" w:color="auto" w:fill="FFFFFF"/>
              <w:spacing w:before="0" w:beforeAutospacing="0" w:after="0" w:afterAutospacing="0"/>
              <w:jc w:val="both"/>
              <w:rPr>
                <w:shd w:val="clear" w:color="auto" w:fill="FFFFFF"/>
              </w:rPr>
            </w:pPr>
            <w:r w:rsidRPr="00F51D9E">
              <w:rPr>
                <w:shd w:val="clear" w:color="auto" w:fill="FFFFFF"/>
              </w:rPr>
              <w:t xml:space="preserve">Atbilstoši Ministru kabineta noteikumu projektā noteiktajam, </w:t>
            </w:r>
            <w:r w:rsidR="009E1141" w:rsidRPr="00F51D9E">
              <w:rPr>
                <w:shd w:val="clear" w:color="auto" w:fill="FFFFFF"/>
              </w:rPr>
              <w:t>skola</w:t>
            </w:r>
            <w:r w:rsidR="00576E3D" w:rsidRPr="00F51D9E">
              <w:rPr>
                <w:shd w:val="clear" w:color="auto" w:fill="FFFFFF"/>
              </w:rPr>
              <w:t xml:space="preserve"> </w:t>
            </w:r>
            <w:r w:rsidRPr="00F51D9E">
              <w:rPr>
                <w:shd w:val="clear" w:color="auto" w:fill="FFFFFF"/>
              </w:rPr>
              <w:t>vienu reizi gadā līdz</w:t>
            </w:r>
            <w:r w:rsidR="00576E3D" w:rsidRPr="00F51D9E">
              <w:rPr>
                <w:shd w:val="clear" w:color="auto" w:fill="FFFFFF"/>
              </w:rPr>
              <w:t xml:space="preserve"> 1.martam vai tad, ja </w:t>
            </w:r>
            <w:r w:rsidR="00F362B0" w:rsidRPr="00F51D9E">
              <w:rPr>
                <w:shd w:val="clear" w:color="auto" w:fill="FFFFFF"/>
              </w:rPr>
              <w:t xml:space="preserve">samaksāto </w:t>
            </w:r>
            <w:r w:rsidR="00576E3D" w:rsidRPr="00F51D9E">
              <w:rPr>
                <w:shd w:val="clear" w:color="auto" w:fill="FFFFFF"/>
              </w:rPr>
              <w:t>muitas maksājumu un dabas resursu nodokļa summa</w:t>
            </w:r>
            <w:r w:rsidR="00F362B0" w:rsidRPr="00F51D9E">
              <w:rPr>
                <w:shd w:val="clear" w:color="auto" w:fill="FFFFFF"/>
              </w:rPr>
              <w:t xml:space="preserve">, kas samaksāta par precēm, kas </w:t>
            </w:r>
            <w:r w:rsidR="005440F4" w:rsidRPr="00F51D9E">
              <w:rPr>
                <w:shd w:val="clear" w:color="auto" w:fill="FFFFFF"/>
              </w:rPr>
              <w:t>iev</w:t>
            </w:r>
            <w:r w:rsidR="00E83CCA" w:rsidRPr="00F51D9E">
              <w:rPr>
                <w:shd w:val="clear" w:color="auto" w:fill="FFFFFF"/>
              </w:rPr>
              <w:t xml:space="preserve">estas </w:t>
            </w:r>
            <w:r w:rsidR="00F362B0" w:rsidRPr="00F51D9E">
              <w:rPr>
                <w:shd w:val="clear" w:color="auto" w:fill="FFFFFF"/>
              </w:rPr>
              <w:t>skolas lietošanai,</w:t>
            </w:r>
            <w:r w:rsidR="00576E3D" w:rsidRPr="00F51D9E">
              <w:rPr>
                <w:shd w:val="clear" w:color="auto" w:fill="FFFFFF"/>
              </w:rPr>
              <w:t xml:space="preserve"> kalendārā gada ietvaros sasniegusi </w:t>
            </w:r>
            <w:r w:rsidR="00D0238F" w:rsidRPr="00F51D9E">
              <w:rPr>
                <w:shd w:val="clear" w:color="auto" w:fill="FFFFFF"/>
              </w:rPr>
              <w:t xml:space="preserve">vai pārsniegusi </w:t>
            </w:r>
            <w:r w:rsidR="003F73CC" w:rsidRPr="00F51D9E">
              <w:rPr>
                <w:shd w:val="clear" w:color="auto" w:fill="FFFFFF"/>
              </w:rPr>
              <w:t>5</w:t>
            </w:r>
            <w:r w:rsidR="00576E3D" w:rsidRPr="00F51D9E">
              <w:rPr>
                <w:shd w:val="clear" w:color="auto" w:fill="FFFFFF"/>
              </w:rPr>
              <w:t xml:space="preserve"> 000 </w:t>
            </w:r>
            <w:proofErr w:type="spellStart"/>
            <w:r w:rsidR="00576E3D" w:rsidRPr="00F51D9E">
              <w:rPr>
                <w:i/>
                <w:shd w:val="clear" w:color="auto" w:fill="FFFFFF"/>
              </w:rPr>
              <w:t>euro</w:t>
            </w:r>
            <w:proofErr w:type="spellEnd"/>
            <w:r w:rsidR="00DF766E" w:rsidRPr="00F51D9E">
              <w:rPr>
                <w:i/>
                <w:shd w:val="clear" w:color="auto" w:fill="FFFFFF"/>
              </w:rPr>
              <w:t>,</w:t>
            </w:r>
            <w:r w:rsidR="00576E3D" w:rsidRPr="00F51D9E">
              <w:rPr>
                <w:shd w:val="clear" w:color="auto" w:fill="FFFFFF"/>
              </w:rPr>
              <w:t xml:space="preserve"> Izglītības un zinātnes ministrijā iesniedz iesniegumu par muitas maksājumu un dabas resursu nodokļu </w:t>
            </w:r>
            <w:r w:rsidR="00240DEE" w:rsidRPr="00F51D9E">
              <w:rPr>
                <w:shd w:val="clear" w:color="auto" w:fill="FFFFFF"/>
              </w:rPr>
              <w:t>kompensāciju</w:t>
            </w:r>
            <w:r w:rsidR="00576E3D" w:rsidRPr="00F51D9E">
              <w:rPr>
                <w:shd w:val="clear" w:color="auto" w:fill="FFFFFF"/>
              </w:rPr>
              <w:t>, iekļaujot tajā informāciju par kopējo veikto muitas maksājumu summu</w:t>
            </w:r>
            <w:r w:rsidRPr="00F51D9E">
              <w:rPr>
                <w:shd w:val="clear" w:color="auto" w:fill="FFFFFF"/>
              </w:rPr>
              <w:t xml:space="preserve"> un</w:t>
            </w:r>
            <w:r w:rsidR="00576E3D" w:rsidRPr="00F51D9E">
              <w:rPr>
                <w:shd w:val="clear" w:color="auto" w:fill="FFFFFF"/>
              </w:rPr>
              <w:t xml:space="preserve"> periodu, kura ietvaros tika veikti muitas maksājumi</w:t>
            </w:r>
            <w:r w:rsidRPr="00F51D9E">
              <w:rPr>
                <w:shd w:val="clear" w:color="auto" w:fill="FFFFFF"/>
              </w:rPr>
              <w:t>, kā arī skolas konta numuru, uz kuru veikt muitas maksājumu un dabas resursu nodokļa kompensāciju</w:t>
            </w:r>
            <w:r w:rsidR="00D630BF" w:rsidRPr="00F51D9E">
              <w:rPr>
                <w:shd w:val="clear" w:color="auto" w:fill="FFFFFF"/>
              </w:rPr>
              <w:t>, informāciju par skolas kontaktpersonu,</w:t>
            </w:r>
            <w:r w:rsidRPr="00F51D9E">
              <w:rPr>
                <w:shd w:val="clear" w:color="auto" w:fill="FFFFFF"/>
              </w:rPr>
              <w:t xml:space="preserve"> un citu informāciju, kuru skola uzskata par būtisku</w:t>
            </w:r>
            <w:r w:rsidR="00DF766E" w:rsidRPr="00F51D9E">
              <w:rPr>
                <w:shd w:val="clear" w:color="auto" w:fill="FFFFFF"/>
              </w:rPr>
              <w:t xml:space="preserve">. </w:t>
            </w:r>
            <w:r w:rsidR="00082488" w:rsidRPr="00F51D9E">
              <w:rPr>
                <w:shd w:val="clear" w:color="auto" w:fill="FFFFFF"/>
              </w:rPr>
              <w:t>Iesniegumam skola pievieno dokumentus, kas apliecina iesniegumā norādīto informāciju</w:t>
            </w:r>
            <w:r w:rsidR="00D630BF" w:rsidRPr="00F51D9E">
              <w:rPr>
                <w:shd w:val="clear" w:color="auto" w:fill="FFFFFF"/>
              </w:rPr>
              <w:t xml:space="preserve"> par kopējo veikto muitas maksājumu un dabas resursu nodokļa summu un periodu, kura ietvaros tika veikti muitas maksājumi un dabas resursu nodokļa maksājums,</w:t>
            </w:r>
            <w:r w:rsidR="00082488" w:rsidRPr="00F51D9E">
              <w:rPr>
                <w:shd w:val="clear" w:color="auto" w:fill="FFFFFF"/>
              </w:rPr>
              <w:t xml:space="preserve"> un atbilstību līguma 3. panta 2. punktam. </w:t>
            </w:r>
            <w:r w:rsidR="00576E3D" w:rsidRPr="00F51D9E">
              <w:rPr>
                <w:shd w:val="clear" w:color="auto" w:fill="FFFFFF"/>
              </w:rPr>
              <w:t xml:space="preserve">Vienlaikus iesniegumā </w:t>
            </w:r>
            <w:r w:rsidR="009118A5" w:rsidRPr="00F51D9E">
              <w:rPr>
                <w:shd w:val="clear" w:color="auto" w:fill="FFFFFF"/>
              </w:rPr>
              <w:t>skola</w:t>
            </w:r>
            <w:r w:rsidR="0047261B" w:rsidRPr="00F51D9E">
              <w:rPr>
                <w:shd w:val="clear" w:color="auto" w:fill="FFFFFF"/>
              </w:rPr>
              <w:t xml:space="preserve"> apliecin</w:t>
            </w:r>
            <w:r w:rsidR="009118A5" w:rsidRPr="00F51D9E">
              <w:rPr>
                <w:shd w:val="clear" w:color="auto" w:fill="FFFFFF"/>
              </w:rPr>
              <w:t>a</w:t>
            </w:r>
            <w:r w:rsidR="0047261B" w:rsidRPr="00F51D9E">
              <w:rPr>
                <w:shd w:val="clear" w:color="auto" w:fill="FFFFFF"/>
              </w:rPr>
              <w:t xml:space="preserve">, ka </w:t>
            </w:r>
            <w:r w:rsidR="005440F4" w:rsidRPr="00F51D9E">
              <w:rPr>
                <w:shd w:val="clear" w:color="auto" w:fill="FFFFFF"/>
              </w:rPr>
              <w:t>iev</w:t>
            </w:r>
            <w:r w:rsidR="00E83CCA" w:rsidRPr="00F51D9E">
              <w:rPr>
                <w:shd w:val="clear" w:color="auto" w:fill="FFFFFF"/>
              </w:rPr>
              <w:t>estās</w:t>
            </w:r>
            <w:r w:rsidR="0047261B" w:rsidRPr="00F51D9E">
              <w:rPr>
                <w:shd w:val="clear" w:color="auto" w:fill="FFFFFF"/>
              </w:rPr>
              <w:t xml:space="preserve"> preces tiks izmantotas skolas darbības un mācību procesa nodrošināšanai</w:t>
            </w:r>
            <w:r w:rsidR="000666CD" w:rsidRPr="00F51D9E">
              <w:rPr>
                <w:shd w:val="clear" w:color="auto" w:fill="FFFFFF"/>
              </w:rPr>
              <w:t>.</w:t>
            </w:r>
          </w:p>
          <w:p w14:paraId="3FBD5CA6" w14:textId="0E4E2A62" w:rsidR="00D630BF" w:rsidRPr="00F51D9E" w:rsidRDefault="00D630BF" w:rsidP="00D630BF">
            <w:pPr>
              <w:jc w:val="both"/>
            </w:pPr>
            <w:r w:rsidRPr="00F51D9E">
              <w:t>Gadījumā, ja nepietiek informācijas, lai izvērtētu skolas iesniegumā un apliecinošajos dokumentos norādītās informācijas atbilstību Līguma 3.</w:t>
            </w:r>
            <w:r w:rsidR="00F11F01" w:rsidRPr="00F51D9E">
              <w:t xml:space="preserve"> </w:t>
            </w:r>
            <w:r w:rsidRPr="00F51D9E">
              <w:t xml:space="preserve">panta 2. punktam, Izglītības un zinātnes ministrija pieprasa skolai sniegt papildu informāciju. </w:t>
            </w:r>
            <w:r w:rsidR="00755AEA" w:rsidRPr="00F51D9E">
              <w:t>Savukārt, s</w:t>
            </w:r>
            <w:r w:rsidR="003F73CC" w:rsidRPr="00F51D9E">
              <w:t>kolai 2</w:t>
            </w:r>
            <w:r w:rsidRPr="00F51D9E">
              <w:t>0 darbdienu laikā pēc pieprasījuma saņemšanas ir pienākums iesniegt Izglītības un zinātnes ministrijā nepieciešamo papildu informāciju.</w:t>
            </w:r>
          </w:p>
          <w:p w14:paraId="01379A39" w14:textId="71381D1F" w:rsidR="00BE32CE" w:rsidRPr="00F51D9E" w:rsidRDefault="00AA14A3" w:rsidP="00FA6D19">
            <w:pPr>
              <w:jc w:val="both"/>
            </w:pPr>
            <w:r w:rsidRPr="00F51D9E">
              <w:rPr>
                <w:shd w:val="clear" w:color="auto" w:fill="FFFFFF"/>
              </w:rPr>
              <w:t>P</w:t>
            </w:r>
            <w:r w:rsidR="00576E3D" w:rsidRPr="00F51D9E">
              <w:rPr>
                <w:shd w:val="clear" w:color="auto" w:fill="FFFFFF"/>
              </w:rPr>
              <w:t xml:space="preserve">amatojoties uz </w:t>
            </w:r>
            <w:r w:rsidR="009E1141" w:rsidRPr="00F51D9E">
              <w:rPr>
                <w:shd w:val="clear" w:color="auto" w:fill="FFFFFF"/>
              </w:rPr>
              <w:t>skolas</w:t>
            </w:r>
            <w:r w:rsidR="00576E3D" w:rsidRPr="00F51D9E">
              <w:rPr>
                <w:shd w:val="clear" w:color="auto" w:fill="FFFFFF"/>
              </w:rPr>
              <w:t xml:space="preserve"> iesniegumu, Iz</w:t>
            </w:r>
            <w:r w:rsidR="00DF766E" w:rsidRPr="00F51D9E">
              <w:rPr>
                <w:shd w:val="clear" w:color="auto" w:fill="FFFFFF"/>
              </w:rPr>
              <w:t>glītības un zinātnes ministrija</w:t>
            </w:r>
            <w:r w:rsidR="00576E3D" w:rsidRPr="00F51D9E">
              <w:rPr>
                <w:shd w:val="clear" w:color="auto" w:fill="FFFFFF"/>
              </w:rPr>
              <w:t xml:space="preserve"> </w:t>
            </w:r>
            <w:r w:rsidR="0004256A" w:rsidRPr="00F51D9E">
              <w:rPr>
                <w:shd w:val="clear" w:color="auto" w:fill="FFFFFF"/>
              </w:rPr>
              <w:t>trīs</w:t>
            </w:r>
            <w:r w:rsidR="005D78A2" w:rsidRPr="00F51D9E">
              <w:rPr>
                <w:shd w:val="clear" w:color="auto" w:fill="FFFFFF"/>
              </w:rPr>
              <w:t xml:space="preserve"> </w:t>
            </w:r>
            <w:r w:rsidR="00576E3D" w:rsidRPr="00F51D9E">
              <w:rPr>
                <w:shd w:val="clear" w:color="auto" w:fill="FFFFFF"/>
              </w:rPr>
              <w:t>mēnešu laikā pēc skolas iesnieguma saņemšanas</w:t>
            </w:r>
            <w:r w:rsidR="00B237CC" w:rsidRPr="00F51D9E">
              <w:rPr>
                <w:shd w:val="clear" w:color="auto" w:fill="FFFFFF"/>
              </w:rPr>
              <w:t xml:space="preserve"> un izvērtēšanas</w:t>
            </w:r>
            <w:r w:rsidR="00576E3D" w:rsidRPr="00F51D9E">
              <w:rPr>
                <w:shd w:val="clear" w:color="auto" w:fill="FFFFFF"/>
              </w:rPr>
              <w:t xml:space="preserve"> iesniedz Ministru kabinetā Ministru kabineta rīkojuma projektu par </w:t>
            </w:r>
            <w:r w:rsidR="00637252" w:rsidRPr="00F51D9E">
              <w:rPr>
                <w:shd w:val="clear" w:color="auto" w:fill="FFFFFF"/>
              </w:rPr>
              <w:t xml:space="preserve">finanšu līdzekļu piešķiršanu kompensācijas </w:t>
            </w:r>
            <w:r w:rsidR="00DA6751" w:rsidRPr="00F51D9E">
              <w:rPr>
                <w:shd w:val="clear" w:color="auto" w:fill="FFFFFF"/>
              </w:rPr>
              <w:t xml:space="preserve">izmaksai </w:t>
            </w:r>
            <w:r w:rsidR="00637252" w:rsidRPr="00F51D9E">
              <w:rPr>
                <w:shd w:val="clear" w:color="auto" w:fill="FFFFFF"/>
              </w:rPr>
              <w:t xml:space="preserve">no valsts budžeta programmas 02.00.00 “Līdzekļi neparedzētiem </w:t>
            </w:r>
            <w:r w:rsidR="00BE32CE" w:rsidRPr="00F51D9E">
              <w:rPr>
                <w:shd w:val="clear" w:color="auto" w:fill="FFFFFF"/>
              </w:rPr>
              <w:t>gadījumiem”.</w:t>
            </w:r>
            <w:r w:rsidR="00BE32CE" w:rsidRPr="00F51D9E">
              <w:t xml:space="preserve"> </w:t>
            </w:r>
          </w:p>
          <w:p w14:paraId="53A3AD3A" w14:textId="39053926" w:rsidR="00B237CC" w:rsidRPr="00F51D9E" w:rsidRDefault="00B237CC" w:rsidP="00FA6D19">
            <w:pPr>
              <w:jc w:val="both"/>
              <w:rPr>
                <w:shd w:val="clear" w:color="auto" w:fill="FFFFFF"/>
              </w:rPr>
            </w:pPr>
            <w:r w:rsidRPr="00F51D9E">
              <w:t>Ja skola nav iesniegusi papildu informāciju vai, izvērtējot iesniegto papildu informāciju, Izglītības un zinātnes ministrija</w:t>
            </w:r>
            <w:r w:rsidR="003F73CC" w:rsidRPr="00F51D9E">
              <w:t xml:space="preserve"> objektīvi</w:t>
            </w:r>
            <w:r w:rsidRPr="00F51D9E">
              <w:t xml:space="preserve"> konstatē, ka </w:t>
            </w:r>
            <w:r w:rsidR="005440F4" w:rsidRPr="00F51D9E">
              <w:t>iev</w:t>
            </w:r>
            <w:r w:rsidR="00E83CCA" w:rsidRPr="00F51D9E">
              <w:t xml:space="preserve">estās </w:t>
            </w:r>
            <w:r w:rsidR="005440F4" w:rsidRPr="00F51D9E">
              <w:t>preces neatbilst līguma 3. </w:t>
            </w:r>
            <w:r w:rsidRPr="00F51D9E">
              <w:t xml:space="preserve">panta 2. punktā noteiktajam, Izglītības un zinātnes ministrija </w:t>
            </w:r>
            <w:r w:rsidR="00E42904" w:rsidRPr="00F51D9E">
              <w:t xml:space="preserve"> pieņem</w:t>
            </w:r>
            <w:r w:rsidRPr="00F51D9E">
              <w:t xml:space="preserve"> lēmumu par kompensācijas </w:t>
            </w:r>
            <w:r w:rsidR="00082488" w:rsidRPr="00F51D9E">
              <w:t>atteikumu</w:t>
            </w:r>
            <w:r w:rsidRPr="00F51D9E">
              <w:t>.</w:t>
            </w:r>
          </w:p>
          <w:p w14:paraId="7FE7A113" w14:textId="4F32D520" w:rsidR="0047261B" w:rsidRPr="00F51D9E" w:rsidRDefault="0047261B" w:rsidP="00FA6D19">
            <w:pPr>
              <w:jc w:val="both"/>
              <w:rPr>
                <w:shd w:val="clear" w:color="auto" w:fill="FFFFFF"/>
              </w:rPr>
            </w:pPr>
            <w:r w:rsidRPr="00F51D9E">
              <w:rPr>
                <w:shd w:val="clear" w:color="auto" w:fill="FFFFFF"/>
              </w:rPr>
              <w:t>Pēc Ministru ka</w:t>
            </w:r>
            <w:r w:rsidR="00DF766E" w:rsidRPr="00F51D9E">
              <w:rPr>
                <w:shd w:val="clear" w:color="auto" w:fill="FFFFFF"/>
              </w:rPr>
              <w:t xml:space="preserve">bineta rīkojuma </w:t>
            </w:r>
            <w:r w:rsidR="00082488" w:rsidRPr="00F51D9E">
              <w:rPr>
                <w:shd w:val="clear" w:color="auto" w:fill="FFFFFF"/>
              </w:rPr>
              <w:t xml:space="preserve">par finanšu līdzekļu piešķiršanu kompensācijas </w:t>
            </w:r>
            <w:r w:rsidR="00DA6751" w:rsidRPr="00F51D9E">
              <w:rPr>
                <w:shd w:val="clear" w:color="auto" w:fill="FFFFFF"/>
              </w:rPr>
              <w:t xml:space="preserve">izmaksai </w:t>
            </w:r>
            <w:r w:rsidR="00082488" w:rsidRPr="00F51D9E">
              <w:rPr>
                <w:shd w:val="clear" w:color="auto" w:fill="FFFFFF"/>
              </w:rPr>
              <w:t xml:space="preserve">no valsts budžeta programmas 02.00.00 “Līdzekļi neparedzētiem </w:t>
            </w:r>
            <w:r w:rsidR="00082488" w:rsidRPr="00F51D9E">
              <w:rPr>
                <w:shd w:val="clear" w:color="auto" w:fill="FFFFFF"/>
              </w:rPr>
              <w:lastRenderedPageBreak/>
              <w:t xml:space="preserve">gadījumiem” </w:t>
            </w:r>
            <w:r w:rsidR="00637252" w:rsidRPr="00F51D9E">
              <w:rPr>
                <w:shd w:val="clear" w:color="auto" w:fill="FFFFFF"/>
              </w:rPr>
              <w:t>pieņemšanas</w:t>
            </w:r>
            <w:r w:rsidR="00DF766E" w:rsidRPr="00F51D9E">
              <w:rPr>
                <w:shd w:val="clear" w:color="auto" w:fill="FFFFFF"/>
              </w:rPr>
              <w:t>,</w:t>
            </w:r>
            <w:r w:rsidRPr="00F51D9E">
              <w:rPr>
                <w:shd w:val="clear" w:color="auto" w:fill="FFFFFF"/>
              </w:rPr>
              <w:t xml:space="preserve"> </w:t>
            </w:r>
            <w:r w:rsidR="00637252" w:rsidRPr="00F51D9E">
              <w:rPr>
                <w:shd w:val="clear" w:color="auto" w:fill="FFFFFF"/>
              </w:rPr>
              <w:t>Izglītības un zinātnes ministrija</w:t>
            </w:r>
            <w:r w:rsidRPr="00F51D9E">
              <w:rPr>
                <w:shd w:val="clear" w:color="auto" w:fill="FFFFFF"/>
              </w:rPr>
              <w:t xml:space="preserve"> 20 darbdienu laikā uz skolas norādīto kontu pārskaita skolai kompensāciju</w:t>
            </w:r>
            <w:r w:rsidR="00233A10" w:rsidRPr="00F51D9E">
              <w:rPr>
                <w:shd w:val="clear" w:color="auto" w:fill="FFFFFF"/>
              </w:rPr>
              <w:t>.</w:t>
            </w:r>
          </w:p>
          <w:p w14:paraId="2B334099" w14:textId="6C26FD05" w:rsidR="00F10D28" w:rsidRPr="00F51D9E" w:rsidRDefault="00F10D28" w:rsidP="00B24D4C">
            <w:pPr>
              <w:jc w:val="both"/>
              <w:rPr>
                <w:shd w:val="clear" w:color="auto" w:fill="FFFFFF"/>
              </w:rPr>
            </w:pPr>
            <w:r w:rsidRPr="00F51D9E">
              <w:rPr>
                <w:shd w:val="clear" w:color="auto" w:fill="FFFFFF"/>
              </w:rPr>
              <w:t>Saskaņā ar 2018. gada 15. maijā Ministru kabineta sēdes protokollēmuma (prot. Nr. 24, 33. §) 4. punktu skolai tiek kompensēti samaksātie muitas maksājumi un dabas resursu nodoklis par precēm, kas ievest</w:t>
            </w:r>
            <w:r w:rsidR="00E83CCA" w:rsidRPr="00F51D9E">
              <w:rPr>
                <w:shd w:val="clear" w:color="auto" w:fill="FFFFFF"/>
              </w:rPr>
              <w:t>a</w:t>
            </w:r>
            <w:r w:rsidRPr="00F51D9E">
              <w:rPr>
                <w:shd w:val="clear" w:color="auto" w:fill="FFFFFF"/>
              </w:rPr>
              <w:t>s skolas lietošanai, par laika posmu no 2016. gada 1. janvāra. Pēc šo noteikumu spēkā stāšanās skola divu mēnešu laikā iesniedz Izglītības un zinātnes ministrijā iesniegumu par kompensāciju.</w:t>
            </w:r>
          </w:p>
        </w:tc>
      </w:tr>
      <w:tr w:rsidR="00F51D9E" w:rsidRPr="00F51D9E" w14:paraId="11B3460D" w14:textId="77777777" w:rsidTr="0023565F">
        <w:trPr>
          <w:cantSplit/>
        </w:trPr>
        <w:tc>
          <w:tcPr>
            <w:tcW w:w="311" w:type="pct"/>
            <w:hideMark/>
          </w:tcPr>
          <w:p w14:paraId="435DE2DF" w14:textId="77777777" w:rsidR="00BD5588" w:rsidRPr="00F51D9E" w:rsidRDefault="00BD5588" w:rsidP="002C6E9A">
            <w:pPr>
              <w:jc w:val="center"/>
            </w:pPr>
            <w:r w:rsidRPr="00F51D9E">
              <w:lastRenderedPageBreak/>
              <w:t>3.</w:t>
            </w:r>
          </w:p>
        </w:tc>
        <w:tc>
          <w:tcPr>
            <w:tcW w:w="1479" w:type="pct"/>
            <w:hideMark/>
          </w:tcPr>
          <w:p w14:paraId="03D55125" w14:textId="77777777" w:rsidR="00BD5588" w:rsidRPr="00F51D9E" w:rsidRDefault="00BD5588" w:rsidP="002C6E9A">
            <w:r w:rsidRPr="00F51D9E">
              <w:t>Projekta izstrādē iesaistītās institūcijas un publiskas personas kapitālsabiedrības</w:t>
            </w:r>
          </w:p>
        </w:tc>
        <w:tc>
          <w:tcPr>
            <w:tcW w:w="3210" w:type="pct"/>
            <w:hideMark/>
          </w:tcPr>
          <w:p w14:paraId="29969A89" w14:textId="77777777" w:rsidR="00BD5588" w:rsidRPr="00F51D9E" w:rsidRDefault="00B00127" w:rsidP="00DA2971">
            <w:pPr>
              <w:jc w:val="both"/>
            </w:pPr>
            <w:r w:rsidRPr="00F51D9E">
              <w:t>Izglītības un zinātnes ministrija un Finanšu ministrija.</w:t>
            </w:r>
          </w:p>
        </w:tc>
      </w:tr>
      <w:tr w:rsidR="00876AF9" w:rsidRPr="00F51D9E" w14:paraId="7DEB85FF" w14:textId="77777777" w:rsidTr="0023565F">
        <w:tc>
          <w:tcPr>
            <w:tcW w:w="311" w:type="pct"/>
            <w:hideMark/>
          </w:tcPr>
          <w:p w14:paraId="259310C1" w14:textId="77777777" w:rsidR="00BD5588" w:rsidRPr="00F51D9E" w:rsidRDefault="00BD5588" w:rsidP="002C6E9A">
            <w:pPr>
              <w:jc w:val="center"/>
            </w:pPr>
            <w:r w:rsidRPr="00F51D9E">
              <w:t>4.</w:t>
            </w:r>
          </w:p>
        </w:tc>
        <w:tc>
          <w:tcPr>
            <w:tcW w:w="1479" w:type="pct"/>
            <w:hideMark/>
          </w:tcPr>
          <w:p w14:paraId="15F68027" w14:textId="77777777" w:rsidR="00BD5588" w:rsidRPr="00F51D9E" w:rsidRDefault="00BD5588" w:rsidP="002C6E9A">
            <w:r w:rsidRPr="00F51D9E">
              <w:t>Cita informācija</w:t>
            </w:r>
          </w:p>
        </w:tc>
        <w:tc>
          <w:tcPr>
            <w:tcW w:w="3210" w:type="pct"/>
            <w:hideMark/>
          </w:tcPr>
          <w:p w14:paraId="2C9F08F3" w14:textId="3BCA370C" w:rsidR="005F360B" w:rsidRPr="00F51D9E" w:rsidRDefault="005F360B" w:rsidP="005F360B">
            <w:pPr>
              <w:jc w:val="both"/>
            </w:pPr>
            <w:r w:rsidRPr="00F51D9E">
              <w:t xml:space="preserve">Latvijas Starptautiskajā skolā 2020./2021. mācību gadā mācās 407 skolēni, kuru vecāki ir nodarbināti Latvijā esošajās ārvalstu vēstniecībās un diplomātiskajās pārstāvniecībās, Eiropas Elektronisko sakaru regulatoru iestādes atbalsta aģentūras birojā Rīgā (BEREC), ārvalstu uzņēmumos un to pārstāvniecībās Latvijā, kā arī citu Latvijā dzīvojošu Latvijas valstspiederīgo vai ārvalstnieku bērni, tādējādi Latvijas Starptautiskās skolas sniegtie izglītības pakalpojumi ir vērsti uz Latvijas teritoriju. Turklāt tā mērķtiecīgi nepiesaista mācībām ārvalstīs dzīvojošus izglītojamos. Nav pamata arī uzskatīt, ka Latvijas Starptautiskās skolas vispārējās izglītības piedāvājums būtu par primāro iemeslu kādam no ārvalstu uzņēmumiem par atrašanās vietu izvēlēties Latviju iepretim citai ES dalībvalstij. Arī kaimiņvalstīs – Igaunijā un Lietuvā – ir vairākas vispārējās izglītības iestādes, kuras īsteno kādu no starptautiskajām izglītības programmām svešvalodās, tai skaitā angļu valodā, kas paver izglītības iespējas šajās valstīs dzīvojošiem starptautisko institūciju, diplomātiskā un konsulārā dienesta, ārvalstu uzņēmēju un citu interesentu bērnu izglītībai angļu valodā. Piemēram, Lietuvā ir Viļņas Amerikas starptautiskā skola </w:t>
            </w:r>
            <w:r w:rsidRPr="00F51D9E">
              <w:rPr>
                <w:i/>
              </w:rPr>
              <w:t>(</w:t>
            </w:r>
            <w:proofErr w:type="spellStart"/>
            <w:r w:rsidRPr="00F51D9E">
              <w:rPr>
                <w:i/>
              </w:rPr>
              <w:t>The</w:t>
            </w:r>
            <w:proofErr w:type="spellEnd"/>
            <w:r w:rsidRPr="00F51D9E">
              <w:rPr>
                <w:i/>
              </w:rPr>
              <w:t xml:space="preserve"> American International School </w:t>
            </w:r>
            <w:proofErr w:type="spellStart"/>
            <w:r w:rsidRPr="00F51D9E">
              <w:rPr>
                <w:i/>
              </w:rPr>
              <w:t>of</w:t>
            </w:r>
            <w:proofErr w:type="spellEnd"/>
            <w:r w:rsidRPr="00F51D9E">
              <w:rPr>
                <w:i/>
              </w:rPr>
              <w:t xml:space="preserve"> </w:t>
            </w:r>
            <w:proofErr w:type="spellStart"/>
            <w:r w:rsidRPr="00F51D9E">
              <w:rPr>
                <w:i/>
              </w:rPr>
              <w:t>Vilnius</w:t>
            </w:r>
            <w:proofErr w:type="spellEnd"/>
            <w:r w:rsidRPr="00F51D9E">
              <w:rPr>
                <w:i/>
              </w:rPr>
              <w:t>)</w:t>
            </w:r>
            <w:r w:rsidR="00A833CB" w:rsidRPr="00F51D9E">
              <w:t>, ko līdzīgi kā Latvijas skola</w:t>
            </w:r>
            <w:r w:rsidRPr="00F51D9E">
              <w:t xml:space="preserve">, arī Viļņā esošās skolas izglītības programmas ir akreditējusi, tai skaitā Starptautiskā skolu padome </w:t>
            </w:r>
            <w:r w:rsidRPr="00F51D9E">
              <w:rPr>
                <w:i/>
              </w:rPr>
              <w:t>(</w:t>
            </w:r>
            <w:proofErr w:type="spellStart"/>
            <w:r w:rsidRPr="00F51D9E">
              <w:rPr>
                <w:i/>
              </w:rPr>
              <w:t>Council</w:t>
            </w:r>
            <w:proofErr w:type="spellEnd"/>
            <w:r w:rsidRPr="00F51D9E">
              <w:rPr>
                <w:i/>
              </w:rPr>
              <w:t xml:space="preserve"> </w:t>
            </w:r>
            <w:proofErr w:type="spellStart"/>
            <w:r w:rsidRPr="00F51D9E">
              <w:rPr>
                <w:i/>
              </w:rPr>
              <w:t>of</w:t>
            </w:r>
            <w:proofErr w:type="spellEnd"/>
            <w:r w:rsidRPr="00F51D9E">
              <w:rPr>
                <w:i/>
              </w:rPr>
              <w:t xml:space="preserve"> International </w:t>
            </w:r>
            <w:proofErr w:type="spellStart"/>
            <w:r w:rsidRPr="00F51D9E">
              <w:rPr>
                <w:i/>
              </w:rPr>
              <w:t>Schools</w:t>
            </w:r>
            <w:proofErr w:type="spellEnd"/>
            <w:r w:rsidRPr="00F51D9E">
              <w:rPr>
                <w:i/>
              </w:rPr>
              <w:t>)</w:t>
            </w:r>
            <w:r w:rsidRPr="00F51D9E">
              <w:t xml:space="preserve">, kā arī citas izglītības iestādes – Viļņas Starptautiskā skola </w:t>
            </w:r>
            <w:r w:rsidRPr="00F51D9E">
              <w:rPr>
                <w:i/>
              </w:rPr>
              <w:t>(</w:t>
            </w:r>
            <w:proofErr w:type="spellStart"/>
            <w:r w:rsidRPr="00F51D9E">
              <w:rPr>
                <w:i/>
              </w:rPr>
              <w:t>Vilnius</w:t>
            </w:r>
            <w:proofErr w:type="spellEnd"/>
            <w:r w:rsidRPr="00F51D9E">
              <w:rPr>
                <w:i/>
              </w:rPr>
              <w:t xml:space="preserve"> International School)</w:t>
            </w:r>
            <w:r w:rsidRPr="00F51D9E">
              <w:t xml:space="preserve">, Viļņas Britu skola </w:t>
            </w:r>
            <w:r w:rsidR="00A833CB" w:rsidRPr="00F51D9E">
              <w:rPr>
                <w:i/>
              </w:rPr>
              <w:t>(</w:t>
            </w:r>
            <w:proofErr w:type="spellStart"/>
            <w:r w:rsidR="00A833CB" w:rsidRPr="00F51D9E">
              <w:rPr>
                <w:i/>
              </w:rPr>
              <w:t>Vilnius</w:t>
            </w:r>
            <w:proofErr w:type="spellEnd"/>
            <w:r w:rsidR="00A833CB" w:rsidRPr="00F51D9E">
              <w:rPr>
                <w:i/>
              </w:rPr>
              <w:t xml:space="preserve"> Britis</w:t>
            </w:r>
            <w:r w:rsidRPr="00F51D9E">
              <w:rPr>
                <w:i/>
              </w:rPr>
              <w:t>h School)</w:t>
            </w:r>
            <w:r w:rsidRPr="00F51D9E">
              <w:t xml:space="preserve"> un citas. Savukārt, arī Igaunijā līdzīgi kā Latvijā un Lietuvā ir Igaunija</w:t>
            </w:r>
            <w:r w:rsidRPr="00F51D9E">
              <w:rPr>
                <w:i/>
              </w:rPr>
              <w:t>s</w:t>
            </w:r>
            <w:r w:rsidRPr="00F51D9E">
              <w:t xml:space="preserve"> Starptautiskā skola </w:t>
            </w:r>
            <w:r w:rsidRPr="00F51D9E">
              <w:rPr>
                <w:i/>
              </w:rPr>
              <w:t xml:space="preserve">(International School </w:t>
            </w:r>
            <w:proofErr w:type="spellStart"/>
            <w:r w:rsidRPr="00F51D9E">
              <w:rPr>
                <w:i/>
              </w:rPr>
              <w:t>of</w:t>
            </w:r>
            <w:proofErr w:type="spellEnd"/>
            <w:r w:rsidRPr="00F51D9E">
              <w:rPr>
                <w:i/>
              </w:rPr>
              <w:t xml:space="preserve"> </w:t>
            </w:r>
            <w:proofErr w:type="spellStart"/>
            <w:r w:rsidRPr="00F51D9E">
              <w:rPr>
                <w:i/>
              </w:rPr>
              <w:t>Estonia</w:t>
            </w:r>
            <w:proofErr w:type="spellEnd"/>
            <w:r w:rsidRPr="00F51D9E">
              <w:rPr>
                <w:i/>
              </w:rPr>
              <w:t>),</w:t>
            </w:r>
            <w:r w:rsidRPr="00F51D9E">
              <w:t xml:space="preserve"> kā arī citas, piemēram, Tallinas Starptautiskā skola </w:t>
            </w:r>
            <w:r w:rsidRPr="00F51D9E">
              <w:rPr>
                <w:i/>
              </w:rPr>
              <w:t>(</w:t>
            </w:r>
            <w:proofErr w:type="spellStart"/>
            <w:r w:rsidRPr="00F51D9E">
              <w:rPr>
                <w:i/>
              </w:rPr>
              <w:t>Tallinn</w:t>
            </w:r>
            <w:proofErr w:type="spellEnd"/>
            <w:r w:rsidRPr="00F51D9E">
              <w:rPr>
                <w:i/>
              </w:rPr>
              <w:t xml:space="preserve"> International School)</w:t>
            </w:r>
            <w:r w:rsidRPr="00F51D9E">
              <w:t xml:space="preserve">,  Tallinas Eiropas skola </w:t>
            </w:r>
            <w:r w:rsidRPr="00F51D9E">
              <w:rPr>
                <w:i/>
              </w:rPr>
              <w:t>(</w:t>
            </w:r>
            <w:proofErr w:type="spellStart"/>
            <w:r w:rsidRPr="00F51D9E">
              <w:rPr>
                <w:i/>
              </w:rPr>
              <w:t>Talli</w:t>
            </w:r>
            <w:r w:rsidR="00A833CB" w:rsidRPr="00F51D9E">
              <w:rPr>
                <w:i/>
              </w:rPr>
              <w:t>n</w:t>
            </w:r>
            <w:r w:rsidRPr="00F51D9E">
              <w:rPr>
                <w:i/>
              </w:rPr>
              <w:t>n</w:t>
            </w:r>
            <w:proofErr w:type="spellEnd"/>
            <w:r w:rsidRPr="00F51D9E">
              <w:rPr>
                <w:i/>
              </w:rPr>
              <w:t xml:space="preserve"> </w:t>
            </w:r>
            <w:proofErr w:type="spellStart"/>
            <w:r w:rsidRPr="00F51D9E">
              <w:rPr>
                <w:i/>
              </w:rPr>
              <w:t>European</w:t>
            </w:r>
            <w:proofErr w:type="spellEnd"/>
            <w:r w:rsidRPr="00F51D9E">
              <w:rPr>
                <w:i/>
              </w:rPr>
              <w:t xml:space="preserve"> School)</w:t>
            </w:r>
            <w:r w:rsidRPr="00F51D9E">
              <w:t xml:space="preserve">, Tartu Starptautiskā skola </w:t>
            </w:r>
            <w:r w:rsidRPr="00F51D9E">
              <w:rPr>
                <w:i/>
              </w:rPr>
              <w:t>(Tartu International School)</w:t>
            </w:r>
            <w:r w:rsidRPr="00F51D9E">
              <w:t xml:space="preserve"> u.c.</w:t>
            </w:r>
          </w:p>
          <w:p w14:paraId="6C270F44" w14:textId="60E0F968" w:rsidR="005F360B" w:rsidRPr="00F51D9E" w:rsidRDefault="005F360B" w:rsidP="005F360B">
            <w:pPr>
              <w:jc w:val="both"/>
            </w:pPr>
            <w:r w:rsidRPr="00F51D9E">
              <w:lastRenderedPageBreak/>
              <w:t xml:space="preserve">Tādējādi saskaņā ar EK paziņojuma 196. un 197. punktu </w:t>
            </w:r>
            <w:r w:rsidR="00A833CB" w:rsidRPr="00F51D9E">
              <w:t>skolas</w:t>
            </w:r>
            <w:r w:rsidRPr="00F51D9E">
              <w:t xml:space="preserve"> izglītības pakalpojumi tiek piedāvāti ierobežotā teritorijā, tai ir vietēja ietekme un tā neietekmē tirdzniecību starp ES dalībvalstīm.</w:t>
            </w:r>
          </w:p>
          <w:p w14:paraId="31819E5D" w14:textId="38E619B6" w:rsidR="005F360B" w:rsidRPr="00F51D9E" w:rsidRDefault="005F360B" w:rsidP="005F360B">
            <w:pPr>
              <w:jc w:val="both"/>
            </w:pPr>
            <w:r w:rsidRPr="00F51D9E">
              <w:t>2019./2020. mācību gadā Latvijā vispārējās izglītības iestādēs (dienas programmās) kopā mācījās 206 136 izglītojamie, tādējādi skolā mācījās aptuveni 0,</w:t>
            </w:r>
            <w:r w:rsidR="00A833CB" w:rsidRPr="00F51D9E">
              <w:t>2</w:t>
            </w:r>
            <w:r w:rsidRPr="00F51D9E">
              <w:t xml:space="preserve">% no izglītojamajiem. </w:t>
            </w:r>
          </w:p>
          <w:p w14:paraId="54A51699" w14:textId="77777777" w:rsidR="005F360B" w:rsidRPr="00F51D9E" w:rsidRDefault="005F360B" w:rsidP="005F360B">
            <w:pPr>
              <w:jc w:val="both"/>
            </w:pPr>
            <w:r w:rsidRPr="00F51D9E">
              <w:t xml:space="preserve">Saskaņā ar Starptautiskā </w:t>
            </w:r>
            <w:proofErr w:type="spellStart"/>
            <w:r w:rsidRPr="00F51D9E">
              <w:t>bakalaureāta</w:t>
            </w:r>
            <w:proofErr w:type="spellEnd"/>
            <w:r w:rsidRPr="00F51D9E">
              <w:t xml:space="preserve"> organizācijas (turpmāk – SBO) tīmekļa vietnē pieejamo informāciju</w:t>
            </w:r>
            <w:r w:rsidRPr="00F51D9E">
              <w:rPr>
                <w:rStyle w:val="FootnoteReference"/>
              </w:rPr>
              <w:footnoteReference w:id="1"/>
            </w:r>
            <w:r w:rsidRPr="00F51D9E">
              <w:t>, kāda no SBO programmām Lietuvā tiek īstenota 10 izglītības iestādēs, bet Igaunijā – sešās.</w:t>
            </w:r>
          </w:p>
          <w:p w14:paraId="0831EA05" w14:textId="59BFDBA7" w:rsidR="00BD5588" w:rsidRPr="00F51D9E" w:rsidRDefault="005F360B" w:rsidP="00AC6FAF">
            <w:pPr>
              <w:jc w:val="both"/>
            </w:pPr>
            <w:r w:rsidRPr="00F51D9E">
              <w:t xml:space="preserve">Ir secināms, ka konkrētajā situācijā viennozīmīgi izpildās Komercdarbības atbalsta kontroles likuma (turpmāk – KAKL) 5. panta 1. punktā noteiktā komercdarbības atbalsta pazīme – nosacījums par publisko resursu piešķiršanu (muitas maksājumu un dabas resursu nodokļa </w:t>
            </w:r>
            <w:r w:rsidR="00240DEE" w:rsidRPr="00F51D9E">
              <w:t>kompensācija</w:t>
            </w:r>
            <w:r w:rsidRPr="00F51D9E">
              <w:t xml:space="preserve">), kā arī izpildās KAKL 5. panta 3. punktā noteiktā komercdarbības atbalsta pazīme – pasākums ir vērtējams kā selektīvs, jo </w:t>
            </w:r>
            <w:r w:rsidR="00AC6FAF" w:rsidRPr="00F51D9E">
              <w:t>tas</w:t>
            </w:r>
            <w:r w:rsidRPr="00F51D9E">
              <w:t xml:space="preserve"> skar tikai vienu subjektu. Izpildās arī KAKL 5. panta 2. punktā noteiktā ekonomiskās priekšrocības pazīme, jo </w:t>
            </w:r>
            <w:r w:rsidR="00240DEE" w:rsidRPr="00F51D9E">
              <w:t>skola</w:t>
            </w:r>
            <w:r w:rsidRPr="00F51D9E">
              <w:t xml:space="preserve"> saņems veikto muitas maksājumu un dabas resursu nodokļa </w:t>
            </w:r>
            <w:r w:rsidR="00240DEE" w:rsidRPr="00F51D9E">
              <w:t>kompensāciju</w:t>
            </w:r>
            <w:r w:rsidRPr="00F51D9E">
              <w:t xml:space="preserve">, kas tādējādi samazinās </w:t>
            </w:r>
            <w:r w:rsidR="00240DEE" w:rsidRPr="00F51D9E">
              <w:t>skolas</w:t>
            </w:r>
            <w:r w:rsidRPr="00F51D9E">
              <w:t xml:space="preserve"> kopējās izmaksas. Neizpildās KAKL 5. panta 4. punktā minētā pazīme, t.i., finansiāla palīdzība (muitas maksājumu un dabas resursu nodokļu </w:t>
            </w:r>
            <w:r w:rsidR="00240DEE" w:rsidRPr="00F51D9E">
              <w:t>kompensācija</w:t>
            </w:r>
            <w:r w:rsidRPr="00F51D9E">
              <w:t xml:space="preserve"> </w:t>
            </w:r>
            <w:r w:rsidR="00240DEE" w:rsidRPr="00F51D9E">
              <w:t>skolai</w:t>
            </w:r>
            <w:r w:rsidRPr="00F51D9E">
              <w:t xml:space="preserve">) neietekmēs tirdzniecību un neizkropļos konkurenci ES iekšējā tirgū. Ņemot vērā to, ka izpildās trīs no četrām KAKL 5. pantā minētajām pazīmēm, atbalsts </w:t>
            </w:r>
            <w:r w:rsidR="00902995" w:rsidRPr="00F51D9E">
              <w:t>skolai</w:t>
            </w:r>
            <w:r w:rsidRPr="00F51D9E">
              <w:t xml:space="preserve"> nekvalificējas kā komercdarbības atbalsts.</w:t>
            </w:r>
          </w:p>
        </w:tc>
      </w:tr>
    </w:tbl>
    <w:p w14:paraId="12974175" w14:textId="77777777" w:rsidR="00DF766E" w:rsidRPr="00F51D9E" w:rsidRDefault="00DF766E" w:rsidP="00444BAD">
      <w:pPr>
        <w:pStyle w:val="Title"/>
        <w:jc w:val="both"/>
        <w:rPr>
          <w:sz w:val="24"/>
          <w:szCs w:val="24"/>
        </w:rPr>
      </w:pPr>
    </w:p>
    <w:p w14:paraId="4FB6DB27" w14:textId="77777777" w:rsidR="00B00127" w:rsidRPr="00F51D9E" w:rsidRDefault="00B00127" w:rsidP="002C6E9A">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0"/>
        <w:gridCol w:w="5817"/>
      </w:tblGrid>
      <w:tr w:rsidR="00F51D9E" w:rsidRPr="00F51D9E" w14:paraId="32D537C7" w14:textId="77777777" w:rsidTr="00DF766E">
        <w:trPr>
          <w:trHeight w:val="819"/>
        </w:trPr>
        <w:tc>
          <w:tcPr>
            <w:tcW w:w="5000" w:type="pct"/>
            <w:gridSpan w:val="3"/>
            <w:vAlign w:val="center"/>
            <w:hideMark/>
          </w:tcPr>
          <w:p w14:paraId="3502431B" w14:textId="77777777" w:rsidR="00BD5588" w:rsidRPr="00F51D9E" w:rsidRDefault="00BD5588" w:rsidP="00DF766E">
            <w:pPr>
              <w:jc w:val="center"/>
              <w:rPr>
                <w:b/>
                <w:bCs/>
              </w:rPr>
            </w:pPr>
            <w:r w:rsidRPr="00F51D9E">
              <w:rPr>
                <w:b/>
                <w:bCs/>
              </w:rPr>
              <w:t>II. Tiesību akta projekta ietekme uz sabiedrību, tautsaimniecības attīstību un administratīvo slogu</w:t>
            </w:r>
          </w:p>
        </w:tc>
      </w:tr>
      <w:tr w:rsidR="00F51D9E" w:rsidRPr="00F51D9E" w14:paraId="34BAED3D" w14:textId="77777777" w:rsidTr="00B00127">
        <w:tc>
          <w:tcPr>
            <w:tcW w:w="311" w:type="pct"/>
            <w:hideMark/>
          </w:tcPr>
          <w:p w14:paraId="38C9A662" w14:textId="77777777" w:rsidR="00BD5588" w:rsidRPr="00F51D9E" w:rsidRDefault="00BD5588" w:rsidP="002C6E9A">
            <w:pPr>
              <w:jc w:val="center"/>
            </w:pPr>
            <w:r w:rsidRPr="00F51D9E">
              <w:t>1.</w:t>
            </w:r>
          </w:p>
        </w:tc>
        <w:tc>
          <w:tcPr>
            <w:tcW w:w="1479" w:type="pct"/>
            <w:hideMark/>
          </w:tcPr>
          <w:p w14:paraId="2B00D651" w14:textId="77777777" w:rsidR="00BD5588" w:rsidRPr="00F51D9E" w:rsidRDefault="00BD5588" w:rsidP="002C6E9A">
            <w:r w:rsidRPr="00F51D9E">
              <w:t>Sabiedrības mērķgrupas, kuras tiesiskais regulējums ietekmē vai varētu ietekmēt</w:t>
            </w:r>
          </w:p>
        </w:tc>
        <w:tc>
          <w:tcPr>
            <w:tcW w:w="3210" w:type="pct"/>
            <w:hideMark/>
          </w:tcPr>
          <w:p w14:paraId="5A2ABDA9" w14:textId="2EC5A533" w:rsidR="00BD5588" w:rsidRPr="00F51D9E" w:rsidRDefault="00A831A2" w:rsidP="003D5494">
            <w:pPr>
              <w:jc w:val="both"/>
            </w:pPr>
            <w:r w:rsidRPr="00F51D9E">
              <w:t>P</w:t>
            </w:r>
            <w:r w:rsidR="00DA2971" w:rsidRPr="00F51D9E">
              <w:t>rivātā</w:t>
            </w:r>
            <w:r w:rsidRPr="00F51D9E">
              <w:t xml:space="preserve"> izglītības iestāde “Latvijas Starptautiskā skola”</w:t>
            </w:r>
            <w:r w:rsidR="00DA2971" w:rsidRPr="00F51D9E">
              <w:t>, tās administrācija, pedagogi, izglītojamie un viņu vecāki, Izglītības un zinātnes ministrija, Finanšu ministrija, Valsts ieņēmumu dienests.</w:t>
            </w:r>
          </w:p>
        </w:tc>
      </w:tr>
      <w:tr w:rsidR="00F51D9E" w:rsidRPr="00F51D9E" w14:paraId="5171B6F7" w14:textId="77777777" w:rsidTr="00B00127">
        <w:tc>
          <w:tcPr>
            <w:tcW w:w="311" w:type="pct"/>
            <w:hideMark/>
          </w:tcPr>
          <w:p w14:paraId="022C05C5" w14:textId="77777777" w:rsidR="00BD5588" w:rsidRPr="00F51D9E" w:rsidRDefault="00BD5588" w:rsidP="002C6E9A">
            <w:pPr>
              <w:jc w:val="center"/>
            </w:pPr>
            <w:r w:rsidRPr="00F51D9E">
              <w:t>2.</w:t>
            </w:r>
          </w:p>
        </w:tc>
        <w:tc>
          <w:tcPr>
            <w:tcW w:w="1479" w:type="pct"/>
            <w:hideMark/>
          </w:tcPr>
          <w:p w14:paraId="6DE60A6A" w14:textId="77777777" w:rsidR="00BD5588" w:rsidRPr="00F51D9E" w:rsidRDefault="00BD5588" w:rsidP="002C6E9A">
            <w:r w:rsidRPr="00F51D9E">
              <w:t>Tiesiskā regulējuma ietekme uz tautsaimniecību un administratīvo slogu</w:t>
            </w:r>
          </w:p>
        </w:tc>
        <w:tc>
          <w:tcPr>
            <w:tcW w:w="3210" w:type="pct"/>
            <w:hideMark/>
          </w:tcPr>
          <w:p w14:paraId="3110DC4F" w14:textId="690C9A2F" w:rsidR="00BD5588" w:rsidRPr="00F51D9E" w:rsidRDefault="003D5494" w:rsidP="003D5494">
            <w:pPr>
              <w:jc w:val="both"/>
            </w:pPr>
            <w:r w:rsidRPr="00F51D9E">
              <w:t xml:space="preserve">Administratīvais slogs palielināsies Izglītības un zinātnes ministrijai, Finanšu ministrijai, Valsts ieņēmumu dienestam un skolai, bet tas tiks </w:t>
            </w:r>
            <w:r w:rsidR="00B24D4C" w:rsidRPr="00F51D9E">
              <w:t>nodrošināts</w:t>
            </w:r>
            <w:r w:rsidRPr="00F51D9E">
              <w:t xml:space="preserve"> esošo resursu ietvaros. </w:t>
            </w:r>
          </w:p>
          <w:p w14:paraId="2D2A7906" w14:textId="22ABBA25" w:rsidR="003D5494" w:rsidRPr="00F51D9E" w:rsidRDefault="003D5494" w:rsidP="003D5494">
            <w:pPr>
              <w:jc w:val="both"/>
            </w:pPr>
          </w:p>
        </w:tc>
      </w:tr>
      <w:tr w:rsidR="00F51D9E" w:rsidRPr="00F51D9E" w14:paraId="2573FA60" w14:textId="77777777" w:rsidTr="00B00127">
        <w:tc>
          <w:tcPr>
            <w:tcW w:w="311" w:type="pct"/>
            <w:hideMark/>
          </w:tcPr>
          <w:p w14:paraId="12850F21" w14:textId="77777777" w:rsidR="00BD5588" w:rsidRPr="00F51D9E" w:rsidRDefault="00BD5588" w:rsidP="002C6E9A">
            <w:pPr>
              <w:jc w:val="center"/>
            </w:pPr>
            <w:r w:rsidRPr="00F51D9E">
              <w:t>3.</w:t>
            </w:r>
          </w:p>
        </w:tc>
        <w:tc>
          <w:tcPr>
            <w:tcW w:w="1479" w:type="pct"/>
            <w:hideMark/>
          </w:tcPr>
          <w:p w14:paraId="15A21FF6" w14:textId="77777777" w:rsidR="00BD5588" w:rsidRPr="00F51D9E" w:rsidRDefault="00BD5588" w:rsidP="002C6E9A">
            <w:r w:rsidRPr="00F51D9E">
              <w:t>Administratīvo izmaksu monetārs novērtējums</w:t>
            </w:r>
          </w:p>
        </w:tc>
        <w:tc>
          <w:tcPr>
            <w:tcW w:w="3210" w:type="pct"/>
            <w:hideMark/>
          </w:tcPr>
          <w:p w14:paraId="07B0D1F9" w14:textId="77777777" w:rsidR="00BD5588" w:rsidRPr="00F51D9E" w:rsidRDefault="00B00127" w:rsidP="002C6E9A">
            <w:r w:rsidRPr="00F51D9E">
              <w:t>Nav attiecināms.</w:t>
            </w:r>
          </w:p>
        </w:tc>
      </w:tr>
      <w:tr w:rsidR="00F51D9E" w:rsidRPr="00F51D9E" w14:paraId="1A790B30" w14:textId="77777777" w:rsidTr="00B00127">
        <w:tc>
          <w:tcPr>
            <w:tcW w:w="311" w:type="pct"/>
            <w:hideMark/>
          </w:tcPr>
          <w:p w14:paraId="6D590233" w14:textId="77777777" w:rsidR="00BD5588" w:rsidRPr="00F51D9E" w:rsidRDefault="00BD5588" w:rsidP="002C6E9A">
            <w:pPr>
              <w:jc w:val="center"/>
            </w:pPr>
            <w:r w:rsidRPr="00F51D9E">
              <w:t>4.</w:t>
            </w:r>
          </w:p>
        </w:tc>
        <w:tc>
          <w:tcPr>
            <w:tcW w:w="1479" w:type="pct"/>
            <w:hideMark/>
          </w:tcPr>
          <w:p w14:paraId="0AB649C1" w14:textId="77777777" w:rsidR="00BD5588" w:rsidRPr="00F51D9E" w:rsidRDefault="00BD5588" w:rsidP="002C6E9A">
            <w:r w:rsidRPr="00F51D9E">
              <w:t>Atbilstības izmaksu monetārs novērtējums</w:t>
            </w:r>
          </w:p>
        </w:tc>
        <w:tc>
          <w:tcPr>
            <w:tcW w:w="3210" w:type="pct"/>
            <w:hideMark/>
          </w:tcPr>
          <w:p w14:paraId="0E3821E5" w14:textId="77777777" w:rsidR="00BD5588" w:rsidRPr="00F51D9E" w:rsidRDefault="00B00127" w:rsidP="002C6E9A">
            <w:r w:rsidRPr="00F51D9E">
              <w:t>Nav attiecināms.</w:t>
            </w:r>
          </w:p>
        </w:tc>
      </w:tr>
      <w:tr w:rsidR="00BD5588" w:rsidRPr="00F51D9E" w14:paraId="4975502A" w14:textId="77777777" w:rsidTr="00B00127">
        <w:tc>
          <w:tcPr>
            <w:tcW w:w="311" w:type="pct"/>
            <w:hideMark/>
          </w:tcPr>
          <w:p w14:paraId="30AEDE5F" w14:textId="77777777" w:rsidR="00BD5588" w:rsidRPr="00F51D9E" w:rsidRDefault="00BD5588" w:rsidP="002C6E9A">
            <w:pPr>
              <w:jc w:val="center"/>
            </w:pPr>
            <w:r w:rsidRPr="00F51D9E">
              <w:lastRenderedPageBreak/>
              <w:t>5.</w:t>
            </w:r>
          </w:p>
        </w:tc>
        <w:tc>
          <w:tcPr>
            <w:tcW w:w="1479" w:type="pct"/>
            <w:hideMark/>
          </w:tcPr>
          <w:p w14:paraId="3F95A340" w14:textId="77777777" w:rsidR="00BD5588" w:rsidRPr="00F51D9E" w:rsidRDefault="00BD5588" w:rsidP="002C6E9A">
            <w:r w:rsidRPr="00F51D9E">
              <w:t>Cita informācija</w:t>
            </w:r>
          </w:p>
        </w:tc>
        <w:tc>
          <w:tcPr>
            <w:tcW w:w="3210" w:type="pct"/>
            <w:hideMark/>
          </w:tcPr>
          <w:p w14:paraId="6AA4A5B0" w14:textId="77777777" w:rsidR="00BD5588" w:rsidRPr="00F51D9E" w:rsidRDefault="00B00127" w:rsidP="002C6E9A">
            <w:r w:rsidRPr="00F51D9E">
              <w:t>Nav.</w:t>
            </w:r>
          </w:p>
        </w:tc>
      </w:tr>
    </w:tbl>
    <w:p w14:paraId="3491456F" w14:textId="77777777" w:rsidR="00BD5588" w:rsidRPr="00F51D9E" w:rsidRDefault="00BD5588" w:rsidP="002C6E9A"/>
    <w:p w14:paraId="44217590" w14:textId="77777777" w:rsidR="00257526" w:rsidRPr="00F51D9E" w:rsidRDefault="00257526" w:rsidP="002C6E9A"/>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81"/>
        <w:gridCol w:w="1135"/>
        <w:gridCol w:w="992"/>
        <w:gridCol w:w="974"/>
        <w:gridCol w:w="861"/>
        <w:gridCol w:w="861"/>
        <w:gridCol w:w="861"/>
        <w:gridCol w:w="1399"/>
      </w:tblGrid>
      <w:tr w:rsidR="00F51D9E" w:rsidRPr="00F51D9E" w14:paraId="0D16194C" w14:textId="77777777" w:rsidTr="00BE32CE">
        <w:tc>
          <w:tcPr>
            <w:tcW w:w="9064" w:type="dxa"/>
            <w:gridSpan w:val="8"/>
            <w:shd w:val="clear" w:color="auto" w:fill="auto"/>
            <w:vAlign w:val="center"/>
            <w:hideMark/>
          </w:tcPr>
          <w:p w14:paraId="52A7DEAB" w14:textId="77777777" w:rsidR="00BD5588" w:rsidRPr="00F51D9E" w:rsidRDefault="00BD5588" w:rsidP="002C6E9A">
            <w:pPr>
              <w:jc w:val="center"/>
              <w:rPr>
                <w:b/>
                <w:bCs/>
                <w:lang w:eastAsia="en-US"/>
              </w:rPr>
            </w:pPr>
            <w:r w:rsidRPr="00F51D9E">
              <w:rPr>
                <w:b/>
                <w:bCs/>
                <w:lang w:eastAsia="en-US"/>
              </w:rPr>
              <w:t>III. Tiesību akta projekta ietekme uz valsts budžetu un pašvaldību budžetiem</w:t>
            </w:r>
          </w:p>
        </w:tc>
      </w:tr>
      <w:tr w:rsidR="00F51D9E" w:rsidRPr="00F51D9E" w14:paraId="721580B1" w14:textId="77777777" w:rsidTr="00A12514">
        <w:tc>
          <w:tcPr>
            <w:tcW w:w="1981" w:type="dxa"/>
            <w:vMerge w:val="restart"/>
            <w:shd w:val="clear" w:color="auto" w:fill="FFFFFF"/>
            <w:vAlign w:val="center"/>
          </w:tcPr>
          <w:p w14:paraId="23D51D8D" w14:textId="77777777" w:rsidR="00BD5588" w:rsidRPr="00F51D9E" w:rsidRDefault="00BD5588" w:rsidP="002C6E9A">
            <w:pPr>
              <w:jc w:val="center"/>
              <w:rPr>
                <w:bCs/>
                <w:lang w:eastAsia="en-US"/>
              </w:rPr>
            </w:pPr>
            <w:r w:rsidRPr="00F51D9E">
              <w:rPr>
                <w:bCs/>
                <w:lang w:eastAsia="en-US"/>
              </w:rPr>
              <w:t>Rādītāji</w:t>
            </w:r>
          </w:p>
        </w:tc>
        <w:tc>
          <w:tcPr>
            <w:tcW w:w="2127" w:type="dxa"/>
            <w:gridSpan w:val="2"/>
            <w:vMerge w:val="restart"/>
            <w:shd w:val="clear" w:color="auto" w:fill="FFFFFF"/>
            <w:vAlign w:val="center"/>
            <w:hideMark/>
          </w:tcPr>
          <w:p w14:paraId="41DB72C1" w14:textId="57232D28" w:rsidR="00BD5588" w:rsidRPr="00F51D9E" w:rsidRDefault="00F10D28" w:rsidP="002C6E9A">
            <w:pPr>
              <w:jc w:val="center"/>
              <w:rPr>
                <w:bCs/>
                <w:lang w:eastAsia="en-US"/>
              </w:rPr>
            </w:pPr>
            <w:r w:rsidRPr="00F51D9E">
              <w:rPr>
                <w:bCs/>
                <w:lang w:eastAsia="en-US"/>
              </w:rPr>
              <w:t>2021</w:t>
            </w:r>
            <w:r w:rsidR="00BE32CE" w:rsidRPr="00F51D9E">
              <w:rPr>
                <w:bCs/>
                <w:lang w:eastAsia="en-US"/>
              </w:rPr>
              <w:t>.</w:t>
            </w:r>
          </w:p>
        </w:tc>
        <w:tc>
          <w:tcPr>
            <w:tcW w:w="4956" w:type="dxa"/>
            <w:gridSpan w:val="5"/>
            <w:shd w:val="clear" w:color="auto" w:fill="FFFFFF"/>
            <w:vAlign w:val="center"/>
            <w:hideMark/>
          </w:tcPr>
          <w:p w14:paraId="1ACE295C" w14:textId="77777777" w:rsidR="00BD5588" w:rsidRPr="00F51D9E" w:rsidRDefault="00BD5588" w:rsidP="002C6E9A">
            <w:pPr>
              <w:jc w:val="center"/>
              <w:rPr>
                <w:lang w:eastAsia="en-US"/>
              </w:rPr>
            </w:pPr>
            <w:r w:rsidRPr="00F51D9E">
              <w:rPr>
                <w:lang w:eastAsia="en-US"/>
              </w:rPr>
              <w:t>Turpmākie trīs gadi (</w:t>
            </w:r>
            <w:proofErr w:type="spellStart"/>
            <w:r w:rsidRPr="00F51D9E">
              <w:rPr>
                <w:i/>
                <w:iCs/>
                <w:lang w:eastAsia="en-US"/>
              </w:rPr>
              <w:t>euro</w:t>
            </w:r>
            <w:proofErr w:type="spellEnd"/>
            <w:r w:rsidRPr="00F51D9E">
              <w:rPr>
                <w:lang w:eastAsia="en-US"/>
              </w:rPr>
              <w:t>)</w:t>
            </w:r>
          </w:p>
        </w:tc>
      </w:tr>
      <w:tr w:rsidR="00F51D9E" w:rsidRPr="00F51D9E" w14:paraId="74E3CE8E" w14:textId="77777777" w:rsidTr="00A12514">
        <w:tc>
          <w:tcPr>
            <w:tcW w:w="1981" w:type="dxa"/>
            <w:vMerge/>
            <w:shd w:val="clear" w:color="auto" w:fill="auto"/>
            <w:vAlign w:val="center"/>
            <w:hideMark/>
          </w:tcPr>
          <w:p w14:paraId="3DF6F113" w14:textId="77777777" w:rsidR="00BD5588" w:rsidRPr="00F51D9E" w:rsidRDefault="00BD5588" w:rsidP="002C6E9A">
            <w:pPr>
              <w:jc w:val="center"/>
              <w:rPr>
                <w:bCs/>
                <w:lang w:eastAsia="en-US"/>
              </w:rPr>
            </w:pPr>
          </w:p>
        </w:tc>
        <w:tc>
          <w:tcPr>
            <w:tcW w:w="2127" w:type="dxa"/>
            <w:gridSpan w:val="2"/>
            <w:vMerge/>
            <w:shd w:val="clear" w:color="auto" w:fill="auto"/>
            <w:vAlign w:val="center"/>
            <w:hideMark/>
          </w:tcPr>
          <w:p w14:paraId="458B3999" w14:textId="77777777" w:rsidR="00BD5588" w:rsidRPr="00F51D9E" w:rsidRDefault="00BD5588" w:rsidP="002C6E9A">
            <w:pPr>
              <w:jc w:val="center"/>
              <w:rPr>
                <w:bCs/>
                <w:lang w:eastAsia="en-US"/>
              </w:rPr>
            </w:pPr>
          </w:p>
        </w:tc>
        <w:tc>
          <w:tcPr>
            <w:tcW w:w="1835" w:type="dxa"/>
            <w:gridSpan w:val="2"/>
            <w:shd w:val="clear" w:color="auto" w:fill="FFFFFF"/>
            <w:vAlign w:val="center"/>
            <w:hideMark/>
          </w:tcPr>
          <w:p w14:paraId="092D784E" w14:textId="7B88466C" w:rsidR="00BD5588" w:rsidRPr="00F51D9E" w:rsidRDefault="00F10D28" w:rsidP="002C6E9A">
            <w:pPr>
              <w:jc w:val="center"/>
              <w:rPr>
                <w:bCs/>
                <w:lang w:eastAsia="en-US"/>
              </w:rPr>
            </w:pPr>
            <w:r w:rsidRPr="00F51D9E">
              <w:rPr>
                <w:bCs/>
                <w:lang w:eastAsia="en-US"/>
              </w:rPr>
              <w:t>2022</w:t>
            </w:r>
            <w:r w:rsidR="00BE32CE" w:rsidRPr="00F51D9E">
              <w:rPr>
                <w:bCs/>
                <w:lang w:eastAsia="en-US"/>
              </w:rPr>
              <w:t>.</w:t>
            </w:r>
          </w:p>
        </w:tc>
        <w:tc>
          <w:tcPr>
            <w:tcW w:w="1722" w:type="dxa"/>
            <w:gridSpan w:val="2"/>
            <w:shd w:val="clear" w:color="auto" w:fill="FFFFFF"/>
            <w:vAlign w:val="center"/>
            <w:hideMark/>
          </w:tcPr>
          <w:p w14:paraId="306CF405" w14:textId="360296D8" w:rsidR="00BD5588" w:rsidRPr="00F51D9E" w:rsidRDefault="00F10D28" w:rsidP="002C6E9A">
            <w:pPr>
              <w:jc w:val="center"/>
              <w:rPr>
                <w:bCs/>
                <w:lang w:eastAsia="en-US"/>
              </w:rPr>
            </w:pPr>
            <w:r w:rsidRPr="00F51D9E">
              <w:rPr>
                <w:bCs/>
                <w:lang w:eastAsia="en-US"/>
              </w:rPr>
              <w:t>2023</w:t>
            </w:r>
            <w:r w:rsidR="00BE32CE" w:rsidRPr="00F51D9E">
              <w:rPr>
                <w:bCs/>
                <w:lang w:eastAsia="en-US"/>
              </w:rPr>
              <w:t>.</w:t>
            </w:r>
          </w:p>
        </w:tc>
        <w:tc>
          <w:tcPr>
            <w:tcW w:w="1399" w:type="dxa"/>
            <w:shd w:val="clear" w:color="auto" w:fill="FFFFFF"/>
            <w:vAlign w:val="center"/>
            <w:hideMark/>
          </w:tcPr>
          <w:p w14:paraId="5EDA39AF" w14:textId="1C61AED1" w:rsidR="00BD5588" w:rsidRPr="00F51D9E" w:rsidRDefault="00F10D28" w:rsidP="002C6E9A">
            <w:pPr>
              <w:jc w:val="center"/>
              <w:rPr>
                <w:bCs/>
                <w:lang w:eastAsia="en-US"/>
              </w:rPr>
            </w:pPr>
            <w:r w:rsidRPr="00F51D9E">
              <w:rPr>
                <w:bCs/>
                <w:lang w:eastAsia="en-US"/>
              </w:rPr>
              <w:t>2024</w:t>
            </w:r>
            <w:r w:rsidR="00BE32CE" w:rsidRPr="00F51D9E">
              <w:rPr>
                <w:bCs/>
                <w:lang w:eastAsia="en-US"/>
              </w:rPr>
              <w:t>.</w:t>
            </w:r>
          </w:p>
        </w:tc>
      </w:tr>
      <w:tr w:rsidR="00F51D9E" w:rsidRPr="00F51D9E" w14:paraId="02CB9F7F" w14:textId="77777777" w:rsidTr="00A12514">
        <w:tc>
          <w:tcPr>
            <w:tcW w:w="1981" w:type="dxa"/>
            <w:vMerge/>
            <w:shd w:val="clear" w:color="auto" w:fill="auto"/>
            <w:vAlign w:val="center"/>
            <w:hideMark/>
          </w:tcPr>
          <w:p w14:paraId="62781193" w14:textId="77777777" w:rsidR="00BD5588" w:rsidRPr="00F51D9E" w:rsidRDefault="00BD5588" w:rsidP="002C6E9A">
            <w:pPr>
              <w:jc w:val="center"/>
              <w:rPr>
                <w:b/>
                <w:bCs/>
                <w:lang w:eastAsia="en-US"/>
              </w:rPr>
            </w:pPr>
          </w:p>
        </w:tc>
        <w:tc>
          <w:tcPr>
            <w:tcW w:w="1135" w:type="dxa"/>
            <w:shd w:val="clear" w:color="auto" w:fill="FFFFFF"/>
            <w:vAlign w:val="center"/>
            <w:hideMark/>
          </w:tcPr>
          <w:p w14:paraId="33471523" w14:textId="77777777" w:rsidR="00BD5588" w:rsidRPr="00F51D9E" w:rsidRDefault="00BD5588" w:rsidP="002C6E9A">
            <w:pPr>
              <w:jc w:val="center"/>
              <w:rPr>
                <w:lang w:eastAsia="en-US"/>
              </w:rPr>
            </w:pPr>
            <w:r w:rsidRPr="00F51D9E">
              <w:rPr>
                <w:lang w:eastAsia="en-US"/>
              </w:rPr>
              <w:t>saskaņā ar valsts budžetu kārtējam gadam</w:t>
            </w:r>
          </w:p>
        </w:tc>
        <w:tc>
          <w:tcPr>
            <w:tcW w:w="992" w:type="dxa"/>
            <w:shd w:val="clear" w:color="auto" w:fill="FFFFFF"/>
            <w:vAlign w:val="center"/>
            <w:hideMark/>
          </w:tcPr>
          <w:p w14:paraId="4902A64C" w14:textId="77777777" w:rsidR="00BD5588" w:rsidRPr="00F51D9E" w:rsidRDefault="00BD5588" w:rsidP="002C6E9A">
            <w:pPr>
              <w:jc w:val="center"/>
              <w:rPr>
                <w:lang w:eastAsia="en-US"/>
              </w:rPr>
            </w:pPr>
            <w:r w:rsidRPr="00F51D9E">
              <w:rPr>
                <w:lang w:eastAsia="en-US"/>
              </w:rPr>
              <w:t>izmaiņas kārtējā gadā, salīdzinot ar valsts budžetu kārtējam gadam</w:t>
            </w:r>
          </w:p>
        </w:tc>
        <w:tc>
          <w:tcPr>
            <w:tcW w:w="974" w:type="dxa"/>
            <w:shd w:val="clear" w:color="auto" w:fill="FFFFFF"/>
            <w:vAlign w:val="center"/>
            <w:hideMark/>
          </w:tcPr>
          <w:p w14:paraId="05B28F80" w14:textId="77777777" w:rsidR="00BD5588" w:rsidRPr="00F51D9E" w:rsidRDefault="00BD5588" w:rsidP="002C6E9A">
            <w:pPr>
              <w:jc w:val="center"/>
              <w:rPr>
                <w:lang w:eastAsia="en-US"/>
              </w:rPr>
            </w:pPr>
            <w:r w:rsidRPr="00F51D9E">
              <w:rPr>
                <w:lang w:eastAsia="en-US"/>
              </w:rPr>
              <w:t>saskaņā ar vidēja termiņa budžeta ietvaru</w:t>
            </w:r>
          </w:p>
        </w:tc>
        <w:tc>
          <w:tcPr>
            <w:tcW w:w="861" w:type="dxa"/>
            <w:shd w:val="clear" w:color="auto" w:fill="FFFFFF"/>
            <w:vAlign w:val="center"/>
            <w:hideMark/>
          </w:tcPr>
          <w:p w14:paraId="2E37C578" w14:textId="7EA4BBF4" w:rsidR="00BD5588" w:rsidRPr="00F51D9E" w:rsidRDefault="00BD5588" w:rsidP="00F10D28">
            <w:pPr>
              <w:jc w:val="center"/>
              <w:rPr>
                <w:lang w:eastAsia="en-US"/>
              </w:rPr>
            </w:pPr>
            <w:r w:rsidRPr="00F51D9E">
              <w:rPr>
                <w:lang w:eastAsia="en-US"/>
              </w:rPr>
              <w:t xml:space="preserve">izmaiņas, salīdzinot ar vidēja termiņa budžeta ietvaru </w:t>
            </w:r>
            <w:r w:rsidR="00F10D28" w:rsidRPr="00F51D9E">
              <w:rPr>
                <w:lang w:eastAsia="en-US"/>
              </w:rPr>
              <w:t>2022.</w:t>
            </w:r>
            <w:r w:rsidRPr="00F51D9E">
              <w:rPr>
                <w:lang w:eastAsia="en-US"/>
              </w:rPr>
              <w:t xml:space="preserve"> gadam</w:t>
            </w:r>
          </w:p>
        </w:tc>
        <w:tc>
          <w:tcPr>
            <w:tcW w:w="861" w:type="dxa"/>
            <w:shd w:val="clear" w:color="auto" w:fill="FFFFFF"/>
            <w:vAlign w:val="center"/>
            <w:hideMark/>
          </w:tcPr>
          <w:p w14:paraId="2C9F4744" w14:textId="77777777" w:rsidR="00BD5588" w:rsidRPr="00F51D9E" w:rsidRDefault="00BD5588" w:rsidP="002C6E9A">
            <w:pPr>
              <w:jc w:val="center"/>
              <w:rPr>
                <w:lang w:eastAsia="en-US"/>
              </w:rPr>
            </w:pPr>
            <w:r w:rsidRPr="00F51D9E">
              <w:rPr>
                <w:lang w:eastAsia="en-US"/>
              </w:rPr>
              <w:t>saskaņā ar vidēja termiņa budžeta ietvaru</w:t>
            </w:r>
          </w:p>
        </w:tc>
        <w:tc>
          <w:tcPr>
            <w:tcW w:w="861" w:type="dxa"/>
            <w:shd w:val="clear" w:color="auto" w:fill="FFFFFF"/>
            <w:vAlign w:val="center"/>
            <w:hideMark/>
          </w:tcPr>
          <w:p w14:paraId="757DB7CB" w14:textId="10CB74AF" w:rsidR="00BD5588" w:rsidRPr="00F51D9E" w:rsidRDefault="00BD5588" w:rsidP="00F10D28">
            <w:pPr>
              <w:jc w:val="center"/>
              <w:rPr>
                <w:lang w:eastAsia="en-US"/>
              </w:rPr>
            </w:pPr>
            <w:r w:rsidRPr="00F51D9E">
              <w:rPr>
                <w:lang w:eastAsia="en-US"/>
              </w:rPr>
              <w:t xml:space="preserve">izmaiņas, salīdzinot ar vidēja termiņa budžeta ietvaru </w:t>
            </w:r>
            <w:r w:rsidR="00F10D28" w:rsidRPr="00F51D9E">
              <w:rPr>
                <w:lang w:eastAsia="en-US"/>
              </w:rPr>
              <w:t>2023.</w:t>
            </w:r>
            <w:r w:rsidRPr="00F51D9E">
              <w:rPr>
                <w:lang w:eastAsia="en-US"/>
              </w:rPr>
              <w:t xml:space="preserve"> gadam</w:t>
            </w:r>
          </w:p>
        </w:tc>
        <w:tc>
          <w:tcPr>
            <w:tcW w:w="1399" w:type="dxa"/>
            <w:shd w:val="clear" w:color="auto" w:fill="FFFFFF"/>
            <w:vAlign w:val="center"/>
            <w:hideMark/>
          </w:tcPr>
          <w:p w14:paraId="7300DA82" w14:textId="6848068F" w:rsidR="00BD5588" w:rsidRPr="00F51D9E" w:rsidRDefault="00BD5588" w:rsidP="00F10D28">
            <w:pPr>
              <w:jc w:val="center"/>
              <w:rPr>
                <w:lang w:eastAsia="en-US"/>
              </w:rPr>
            </w:pPr>
            <w:r w:rsidRPr="00F51D9E">
              <w:rPr>
                <w:lang w:eastAsia="en-US"/>
              </w:rPr>
              <w:t xml:space="preserve">izmaiņas, salīdzinot ar vidēja termiņa budžeta ietvaru </w:t>
            </w:r>
            <w:r w:rsidRPr="00F51D9E">
              <w:rPr>
                <w:lang w:eastAsia="en-US"/>
              </w:rPr>
              <w:br/>
            </w:r>
            <w:r w:rsidR="00F10D28" w:rsidRPr="00F51D9E">
              <w:rPr>
                <w:lang w:eastAsia="en-US"/>
              </w:rPr>
              <w:t>2023.</w:t>
            </w:r>
            <w:r w:rsidRPr="00F51D9E">
              <w:rPr>
                <w:lang w:eastAsia="en-US"/>
              </w:rPr>
              <w:t xml:space="preserve"> gadam</w:t>
            </w:r>
          </w:p>
        </w:tc>
      </w:tr>
      <w:tr w:rsidR="00F51D9E" w:rsidRPr="00F51D9E" w14:paraId="250B3D53" w14:textId="77777777" w:rsidTr="00A12514">
        <w:tc>
          <w:tcPr>
            <w:tcW w:w="1981" w:type="dxa"/>
            <w:shd w:val="clear" w:color="auto" w:fill="FFFFFF"/>
            <w:vAlign w:val="center"/>
            <w:hideMark/>
          </w:tcPr>
          <w:p w14:paraId="58B27EC3" w14:textId="77777777" w:rsidR="00BD5588" w:rsidRPr="00F51D9E" w:rsidRDefault="00BD5588" w:rsidP="002C6E9A">
            <w:pPr>
              <w:jc w:val="center"/>
              <w:rPr>
                <w:lang w:eastAsia="en-US"/>
              </w:rPr>
            </w:pPr>
            <w:r w:rsidRPr="00F51D9E">
              <w:rPr>
                <w:lang w:eastAsia="en-US"/>
              </w:rPr>
              <w:t>1</w:t>
            </w:r>
          </w:p>
        </w:tc>
        <w:tc>
          <w:tcPr>
            <w:tcW w:w="1135" w:type="dxa"/>
            <w:shd w:val="clear" w:color="auto" w:fill="FFFFFF"/>
            <w:vAlign w:val="center"/>
            <w:hideMark/>
          </w:tcPr>
          <w:p w14:paraId="52B5DE73" w14:textId="77777777" w:rsidR="00BD5588" w:rsidRPr="00F51D9E" w:rsidRDefault="00BD5588" w:rsidP="002C6E9A">
            <w:pPr>
              <w:jc w:val="center"/>
              <w:rPr>
                <w:lang w:eastAsia="en-US"/>
              </w:rPr>
            </w:pPr>
            <w:r w:rsidRPr="00F51D9E">
              <w:rPr>
                <w:lang w:eastAsia="en-US"/>
              </w:rPr>
              <w:t>2</w:t>
            </w:r>
          </w:p>
        </w:tc>
        <w:tc>
          <w:tcPr>
            <w:tcW w:w="992" w:type="dxa"/>
            <w:shd w:val="clear" w:color="auto" w:fill="FFFFFF"/>
            <w:vAlign w:val="center"/>
            <w:hideMark/>
          </w:tcPr>
          <w:p w14:paraId="2623C9EE" w14:textId="77777777" w:rsidR="00BD5588" w:rsidRPr="00F51D9E" w:rsidRDefault="00BD5588" w:rsidP="002C6E9A">
            <w:pPr>
              <w:jc w:val="center"/>
              <w:rPr>
                <w:lang w:eastAsia="en-US"/>
              </w:rPr>
            </w:pPr>
            <w:r w:rsidRPr="00F51D9E">
              <w:rPr>
                <w:lang w:eastAsia="en-US"/>
              </w:rPr>
              <w:t>3</w:t>
            </w:r>
          </w:p>
        </w:tc>
        <w:tc>
          <w:tcPr>
            <w:tcW w:w="974" w:type="dxa"/>
            <w:shd w:val="clear" w:color="auto" w:fill="FFFFFF"/>
            <w:vAlign w:val="center"/>
            <w:hideMark/>
          </w:tcPr>
          <w:p w14:paraId="4606755E" w14:textId="77777777" w:rsidR="00BD5588" w:rsidRPr="00F51D9E" w:rsidRDefault="00BD5588" w:rsidP="002C6E9A">
            <w:pPr>
              <w:jc w:val="center"/>
              <w:rPr>
                <w:lang w:eastAsia="en-US"/>
              </w:rPr>
            </w:pPr>
            <w:r w:rsidRPr="00F51D9E">
              <w:rPr>
                <w:lang w:eastAsia="en-US"/>
              </w:rPr>
              <w:t>4</w:t>
            </w:r>
          </w:p>
        </w:tc>
        <w:tc>
          <w:tcPr>
            <w:tcW w:w="861" w:type="dxa"/>
            <w:shd w:val="clear" w:color="auto" w:fill="FFFFFF"/>
            <w:vAlign w:val="center"/>
            <w:hideMark/>
          </w:tcPr>
          <w:p w14:paraId="00D1830D" w14:textId="77777777" w:rsidR="00BD5588" w:rsidRPr="00F51D9E" w:rsidRDefault="00BD5588" w:rsidP="002C6E9A">
            <w:pPr>
              <w:jc w:val="center"/>
              <w:rPr>
                <w:lang w:eastAsia="en-US"/>
              </w:rPr>
            </w:pPr>
            <w:r w:rsidRPr="00F51D9E">
              <w:rPr>
                <w:lang w:eastAsia="en-US"/>
              </w:rPr>
              <w:t>5</w:t>
            </w:r>
          </w:p>
        </w:tc>
        <w:tc>
          <w:tcPr>
            <w:tcW w:w="861" w:type="dxa"/>
            <w:shd w:val="clear" w:color="auto" w:fill="FFFFFF"/>
            <w:vAlign w:val="center"/>
            <w:hideMark/>
          </w:tcPr>
          <w:p w14:paraId="009D2C6B" w14:textId="77777777" w:rsidR="00BD5588" w:rsidRPr="00F51D9E" w:rsidRDefault="00BD5588" w:rsidP="002C6E9A">
            <w:pPr>
              <w:jc w:val="center"/>
              <w:rPr>
                <w:lang w:eastAsia="en-US"/>
              </w:rPr>
            </w:pPr>
            <w:r w:rsidRPr="00F51D9E">
              <w:rPr>
                <w:lang w:eastAsia="en-US"/>
              </w:rPr>
              <w:t>6</w:t>
            </w:r>
          </w:p>
        </w:tc>
        <w:tc>
          <w:tcPr>
            <w:tcW w:w="861" w:type="dxa"/>
            <w:shd w:val="clear" w:color="auto" w:fill="FFFFFF"/>
            <w:vAlign w:val="center"/>
            <w:hideMark/>
          </w:tcPr>
          <w:p w14:paraId="28BDBC2C" w14:textId="77777777" w:rsidR="00BD5588" w:rsidRPr="00F51D9E" w:rsidRDefault="00BD5588" w:rsidP="002C6E9A">
            <w:pPr>
              <w:jc w:val="center"/>
              <w:rPr>
                <w:lang w:eastAsia="en-US"/>
              </w:rPr>
            </w:pPr>
            <w:r w:rsidRPr="00F51D9E">
              <w:rPr>
                <w:lang w:eastAsia="en-US"/>
              </w:rPr>
              <w:t>7</w:t>
            </w:r>
          </w:p>
        </w:tc>
        <w:tc>
          <w:tcPr>
            <w:tcW w:w="1399" w:type="dxa"/>
            <w:shd w:val="clear" w:color="auto" w:fill="FFFFFF"/>
            <w:vAlign w:val="center"/>
            <w:hideMark/>
          </w:tcPr>
          <w:p w14:paraId="11E8A4E9" w14:textId="77777777" w:rsidR="00BD5588" w:rsidRPr="00F51D9E" w:rsidRDefault="00BD5588" w:rsidP="002C6E9A">
            <w:pPr>
              <w:jc w:val="center"/>
              <w:rPr>
                <w:lang w:eastAsia="en-US"/>
              </w:rPr>
            </w:pPr>
            <w:r w:rsidRPr="00F51D9E">
              <w:rPr>
                <w:lang w:eastAsia="en-US"/>
              </w:rPr>
              <w:t>8</w:t>
            </w:r>
          </w:p>
        </w:tc>
      </w:tr>
      <w:tr w:rsidR="00F51D9E" w:rsidRPr="00F51D9E" w14:paraId="04EC1F73" w14:textId="77777777" w:rsidTr="00A12514">
        <w:tc>
          <w:tcPr>
            <w:tcW w:w="1981" w:type="dxa"/>
            <w:shd w:val="clear" w:color="auto" w:fill="FFFFFF"/>
            <w:hideMark/>
          </w:tcPr>
          <w:p w14:paraId="3B3C5D9A" w14:textId="77777777" w:rsidR="00BD5588" w:rsidRPr="00F51D9E" w:rsidRDefault="00BD5588" w:rsidP="002C6E9A">
            <w:pPr>
              <w:rPr>
                <w:lang w:eastAsia="en-US"/>
              </w:rPr>
            </w:pPr>
            <w:r w:rsidRPr="00F51D9E">
              <w:rPr>
                <w:lang w:eastAsia="en-US"/>
              </w:rPr>
              <w:t>1. Budžeta ieņēmumi</w:t>
            </w:r>
          </w:p>
        </w:tc>
        <w:tc>
          <w:tcPr>
            <w:tcW w:w="1135" w:type="dxa"/>
            <w:shd w:val="clear" w:color="auto" w:fill="FFFFFF"/>
            <w:vAlign w:val="center"/>
            <w:hideMark/>
          </w:tcPr>
          <w:p w14:paraId="15DFA0DF" w14:textId="516F2D94" w:rsidR="00BD5588" w:rsidRPr="00F51D9E" w:rsidRDefault="00D0238F" w:rsidP="002C6E9A">
            <w:pPr>
              <w:jc w:val="center"/>
              <w:rPr>
                <w:lang w:eastAsia="en-US"/>
              </w:rPr>
            </w:pPr>
            <w:r w:rsidRPr="00F51D9E">
              <w:rPr>
                <w:lang w:eastAsia="en-US"/>
              </w:rPr>
              <w:t>0</w:t>
            </w:r>
          </w:p>
        </w:tc>
        <w:tc>
          <w:tcPr>
            <w:tcW w:w="992" w:type="dxa"/>
            <w:shd w:val="clear" w:color="auto" w:fill="FFFFFF"/>
            <w:vAlign w:val="center"/>
            <w:hideMark/>
          </w:tcPr>
          <w:p w14:paraId="3F2B448F" w14:textId="31345C69" w:rsidR="00BD5588" w:rsidRPr="00F51D9E" w:rsidRDefault="00D0238F" w:rsidP="002C6E9A">
            <w:pPr>
              <w:jc w:val="center"/>
              <w:rPr>
                <w:lang w:eastAsia="en-US"/>
              </w:rPr>
            </w:pPr>
            <w:r w:rsidRPr="00F51D9E">
              <w:rPr>
                <w:lang w:eastAsia="en-US"/>
              </w:rPr>
              <w:t>0</w:t>
            </w:r>
          </w:p>
        </w:tc>
        <w:tc>
          <w:tcPr>
            <w:tcW w:w="974" w:type="dxa"/>
            <w:shd w:val="clear" w:color="auto" w:fill="FFFFFF"/>
            <w:vAlign w:val="center"/>
            <w:hideMark/>
          </w:tcPr>
          <w:p w14:paraId="79F1E89A" w14:textId="40C9F339" w:rsidR="00BD5588" w:rsidRPr="00F51D9E" w:rsidRDefault="00D0238F" w:rsidP="002C6E9A">
            <w:pPr>
              <w:jc w:val="center"/>
              <w:rPr>
                <w:lang w:eastAsia="en-US"/>
              </w:rPr>
            </w:pPr>
            <w:r w:rsidRPr="00F51D9E">
              <w:rPr>
                <w:lang w:eastAsia="en-US"/>
              </w:rPr>
              <w:t>0</w:t>
            </w:r>
          </w:p>
        </w:tc>
        <w:tc>
          <w:tcPr>
            <w:tcW w:w="861" w:type="dxa"/>
            <w:shd w:val="clear" w:color="auto" w:fill="FFFFFF"/>
            <w:vAlign w:val="center"/>
            <w:hideMark/>
          </w:tcPr>
          <w:p w14:paraId="50756729" w14:textId="1E84ABB3" w:rsidR="00BD5588" w:rsidRPr="00F51D9E" w:rsidRDefault="00D0238F" w:rsidP="002C6E9A">
            <w:pPr>
              <w:jc w:val="center"/>
              <w:rPr>
                <w:lang w:eastAsia="en-US"/>
              </w:rPr>
            </w:pPr>
            <w:r w:rsidRPr="00F51D9E">
              <w:rPr>
                <w:lang w:eastAsia="en-US"/>
              </w:rPr>
              <w:t>0</w:t>
            </w:r>
          </w:p>
        </w:tc>
        <w:tc>
          <w:tcPr>
            <w:tcW w:w="861" w:type="dxa"/>
            <w:shd w:val="clear" w:color="auto" w:fill="FFFFFF"/>
            <w:vAlign w:val="center"/>
            <w:hideMark/>
          </w:tcPr>
          <w:p w14:paraId="43037C9E" w14:textId="62BBAB45" w:rsidR="00BD5588" w:rsidRPr="00F51D9E" w:rsidRDefault="00D0238F" w:rsidP="002C6E9A">
            <w:pPr>
              <w:jc w:val="center"/>
              <w:rPr>
                <w:lang w:eastAsia="en-US"/>
              </w:rPr>
            </w:pPr>
            <w:r w:rsidRPr="00F51D9E">
              <w:rPr>
                <w:lang w:eastAsia="en-US"/>
              </w:rPr>
              <w:t>0</w:t>
            </w:r>
          </w:p>
        </w:tc>
        <w:tc>
          <w:tcPr>
            <w:tcW w:w="861" w:type="dxa"/>
            <w:shd w:val="clear" w:color="auto" w:fill="FFFFFF"/>
            <w:vAlign w:val="center"/>
            <w:hideMark/>
          </w:tcPr>
          <w:p w14:paraId="77D08260" w14:textId="54A66D93" w:rsidR="00BD5588" w:rsidRPr="00F51D9E" w:rsidRDefault="00D0238F" w:rsidP="002C6E9A">
            <w:pPr>
              <w:jc w:val="center"/>
              <w:rPr>
                <w:lang w:eastAsia="en-US"/>
              </w:rPr>
            </w:pPr>
            <w:r w:rsidRPr="00F51D9E">
              <w:rPr>
                <w:lang w:eastAsia="en-US"/>
              </w:rPr>
              <w:t>0</w:t>
            </w:r>
          </w:p>
        </w:tc>
        <w:tc>
          <w:tcPr>
            <w:tcW w:w="1399" w:type="dxa"/>
            <w:shd w:val="clear" w:color="auto" w:fill="FFFFFF"/>
            <w:vAlign w:val="center"/>
            <w:hideMark/>
          </w:tcPr>
          <w:p w14:paraId="152699EF" w14:textId="0FC695BE" w:rsidR="00BD5588" w:rsidRPr="00F51D9E" w:rsidRDefault="00D0238F" w:rsidP="002C6E9A">
            <w:pPr>
              <w:jc w:val="center"/>
              <w:rPr>
                <w:lang w:eastAsia="en-US"/>
              </w:rPr>
            </w:pPr>
            <w:r w:rsidRPr="00F51D9E">
              <w:rPr>
                <w:lang w:eastAsia="en-US"/>
              </w:rPr>
              <w:t>0</w:t>
            </w:r>
          </w:p>
        </w:tc>
      </w:tr>
      <w:tr w:rsidR="00F51D9E" w:rsidRPr="00F51D9E" w14:paraId="70FA8648" w14:textId="77777777" w:rsidTr="00A12514">
        <w:tc>
          <w:tcPr>
            <w:tcW w:w="1981" w:type="dxa"/>
            <w:shd w:val="clear" w:color="auto" w:fill="auto"/>
            <w:hideMark/>
          </w:tcPr>
          <w:p w14:paraId="717F2609" w14:textId="77777777" w:rsidR="00BD5588" w:rsidRPr="00F51D9E" w:rsidRDefault="00BD5588" w:rsidP="002C6E9A">
            <w:pPr>
              <w:rPr>
                <w:lang w:eastAsia="en-US"/>
              </w:rPr>
            </w:pPr>
            <w:r w:rsidRPr="00F51D9E">
              <w:rPr>
                <w:lang w:eastAsia="en-US"/>
              </w:rPr>
              <w:t>1.1. valsts pamatbudžets, tai skaitā ieņēmumi no maksas pakalpojumiem un citi pašu ieņēmumi</w:t>
            </w:r>
          </w:p>
        </w:tc>
        <w:tc>
          <w:tcPr>
            <w:tcW w:w="1135" w:type="dxa"/>
            <w:shd w:val="clear" w:color="auto" w:fill="auto"/>
            <w:vAlign w:val="center"/>
            <w:hideMark/>
          </w:tcPr>
          <w:p w14:paraId="35E32E5E" w14:textId="396E50EF" w:rsidR="00BD5588" w:rsidRPr="00F51D9E" w:rsidRDefault="00020708" w:rsidP="002C6E9A">
            <w:pPr>
              <w:jc w:val="center"/>
              <w:rPr>
                <w:lang w:eastAsia="en-US"/>
              </w:rPr>
            </w:pPr>
            <w:r w:rsidRPr="00F51D9E">
              <w:rPr>
                <w:lang w:eastAsia="en-US"/>
              </w:rPr>
              <w:t>0</w:t>
            </w:r>
          </w:p>
        </w:tc>
        <w:tc>
          <w:tcPr>
            <w:tcW w:w="992" w:type="dxa"/>
            <w:shd w:val="clear" w:color="auto" w:fill="auto"/>
            <w:vAlign w:val="center"/>
            <w:hideMark/>
          </w:tcPr>
          <w:p w14:paraId="677692CE" w14:textId="5823A1F0" w:rsidR="00BD5588" w:rsidRPr="00F51D9E" w:rsidRDefault="00020708" w:rsidP="002C6E9A">
            <w:pPr>
              <w:jc w:val="center"/>
              <w:rPr>
                <w:lang w:eastAsia="en-US"/>
              </w:rPr>
            </w:pPr>
            <w:r w:rsidRPr="00F51D9E">
              <w:rPr>
                <w:lang w:eastAsia="en-US"/>
              </w:rPr>
              <w:t>0</w:t>
            </w:r>
          </w:p>
        </w:tc>
        <w:tc>
          <w:tcPr>
            <w:tcW w:w="974" w:type="dxa"/>
            <w:shd w:val="clear" w:color="auto" w:fill="auto"/>
            <w:vAlign w:val="center"/>
            <w:hideMark/>
          </w:tcPr>
          <w:p w14:paraId="4AEACDB0" w14:textId="6A08481B"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2CE1C583" w14:textId="5AC31E6E"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6C62EDA2" w14:textId="0A734E03"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2A433ECA" w14:textId="048479B9" w:rsidR="00BD5588" w:rsidRPr="00F51D9E" w:rsidRDefault="00020708" w:rsidP="002C6E9A">
            <w:pPr>
              <w:jc w:val="center"/>
              <w:rPr>
                <w:lang w:eastAsia="en-US"/>
              </w:rPr>
            </w:pPr>
            <w:r w:rsidRPr="00F51D9E">
              <w:rPr>
                <w:lang w:eastAsia="en-US"/>
              </w:rPr>
              <w:t>0</w:t>
            </w:r>
          </w:p>
        </w:tc>
        <w:tc>
          <w:tcPr>
            <w:tcW w:w="1399" w:type="dxa"/>
            <w:shd w:val="clear" w:color="auto" w:fill="auto"/>
            <w:vAlign w:val="center"/>
            <w:hideMark/>
          </w:tcPr>
          <w:p w14:paraId="70CC8440" w14:textId="693E5D43" w:rsidR="00BD5588" w:rsidRPr="00F51D9E" w:rsidRDefault="00020708" w:rsidP="002C6E9A">
            <w:pPr>
              <w:jc w:val="center"/>
              <w:rPr>
                <w:lang w:eastAsia="en-US"/>
              </w:rPr>
            </w:pPr>
            <w:r w:rsidRPr="00F51D9E">
              <w:rPr>
                <w:lang w:eastAsia="en-US"/>
              </w:rPr>
              <w:t>0</w:t>
            </w:r>
          </w:p>
        </w:tc>
      </w:tr>
      <w:tr w:rsidR="00F51D9E" w:rsidRPr="00F51D9E" w14:paraId="55C8A808" w14:textId="77777777" w:rsidTr="00A12514">
        <w:tc>
          <w:tcPr>
            <w:tcW w:w="1981" w:type="dxa"/>
            <w:shd w:val="clear" w:color="auto" w:fill="auto"/>
            <w:hideMark/>
          </w:tcPr>
          <w:p w14:paraId="55FE5BE3" w14:textId="77777777" w:rsidR="00BD5588" w:rsidRPr="00F51D9E" w:rsidRDefault="00BD5588" w:rsidP="002C6E9A">
            <w:pPr>
              <w:rPr>
                <w:lang w:eastAsia="en-US"/>
              </w:rPr>
            </w:pPr>
            <w:r w:rsidRPr="00F51D9E">
              <w:rPr>
                <w:lang w:eastAsia="en-US"/>
              </w:rPr>
              <w:t>1.2. valsts speciālais budžets</w:t>
            </w:r>
          </w:p>
        </w:tc>
        <w:tc>
          <w:tcPr>
            <w:tcW w:w="1135" w:type="dxa"/>
            <w:shd w:val="clear" w:color="auto" w:fill="auto"/>
            <w:vAlign w:val="center"/>
            <w:hideMark/>
          </w:tcPr>
          <w:p w14:paraId="1A17E451" w14:textId="188CAFE1" w:rsidR="00BD5588" w:rsidRPr="00F51D9E" w:rsidRDefault="00020708" w:rsidP="002C6E9A">
            <w:pPr>
              <w:jc w:val="center"/>
              <w:rPr>
                <w:lang w:eastAsia="en-US"/>
              </w:rPr>
            </w:pPr>
            <w:r w:rsidRPr="00F51D9E">
              <w:rPr>
                <w:lang w:eastAsia="en-US"/>
              </w:rPr>
              <w:t>0</w:t>
            </w:r>
          </w:p>
        </w:tc>
        <w:tc>
          <w:tcPr>
            <w:tcW w:w="992" w:type="dxa"/>
            <w:shd w:val="clear" w:color="auto" w:fill="auto"/>
            <w:vAlign w:val="center"/>
            <w:hideMark/>
          </w:tcPr>
          <w:p w14:paraId="219EAA87" w14:textId="68440ABA" w:rsidR="00BD5588" w:rsidRPr="00F51D9E" w:rsidRDefault="00020708" w:rsidP="002C6E9A">
            <w:pPr>
              <w:jc w:val="center"/>
              <w:rPr>
                <w:lang w:eastAsia="en-US"/>
              </w:rPr>
            </w:pPr>
            <w:r w:rsidRPr="00F51D9E">
              <w:rPr>
                <w:lang w:eastAsia="en-US"/>
              </w:rPr>
              <w:t>0</w:t>
            </w:r>
          </w:p>
        </w:tc>
        <w:tc>
          <w:tcPr>
            <w:tcW w:w="974" w:type="dxa"/>
            <w:shd w:val="clear" w:color="auto" w:fill="auto"/>
            <w:vAlign w:val="center"/>
            <w:hideMark/>
          </w:tcPr>
          <w:p w14:paraId="5F00D23C" w14:textId="155C600F"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3D8E35CB" w14:textId="13DDD4CD"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13B2791A" w14:textId="40397C89"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40DC9171" w14:textId="786B7938" w:rsidR="00BD5588" w:rsidRPr="00F51D9E" w:rsidRDefault="00020708" w:rsidP="002C6E9A">
            <w:pPr>
              <w:jc w:val="center"/>
              <w:rPr>
                <w:lang w:eastAsia="en-US"/>
              </w:rPr>
            </w:pPr>
            <w:r w:rsidRPr="00F51D9E">
              <w:rPr>
                <w:lang w:eastAsia="en-US"/>
              </w:rPr>
              <w:t>0</w:t>
            </w:r>
          </w:p>
        </w:tc>
        <w:tc>
          <w:tcPr>
            <w:tcW w:w="1399" w:type="dxa"/>
            <w:shd w:val="clear" w:color="auto" w:fill="auto"/>
            <w:vAlign w:val="center"/>
            <w:hideMark/>
          </w:tcPr>
          <w:p w14:paraId="68C48253" w14:textId="4E16574C" w:rsidR="00BD5588" w:rsidRPr="00F51D9E" w:rsidRDefault="00020708" w:rsidP="002C6E9A">
            <w:pPr>
              <w:jc w:val="center"/>
              <w:rPr>
                <w:lang w:eastAsia="en-US"/>
              </w:rPr>
            </w:pPr>
            <w:r w:rsidRPr="00F51D9E">
              <w:rPr>
                <w:lang w:eastAsia="en-US"/>
              </w:rPr>
              <w:t>0</w:t>
            </w:r>
          </w:p>
        </w:tc>
      </w:tr>
      <w:tr w:rsidR="00F51D9E" w:rsidRPr="00F51D9E" w14:paraId="37CAC85F" w14:textId="77777777" w:rsidTr="00A12514">
        <w:tc>
          <w:tcPr>
            <w:tcW w:w="1981" w:type="dxa"/>
            <w:shd w:val="clear" w:color="auto" w:fill="auto"/>
            <w:hideMark/>
          </w:tcPr>
          <w:p w14:paraId="0DE31ABE" w14:textId="77777777" w:rsidR="00BD5588" w:rsidRPr="00F51D9E" w:rsidRDefault="00BD5588" w:rsidP="002C6E9A">
            <w:pPr>
              <w:rPr>
                <w:lang w:eastAsia="en-US"/>
              </w:rPr>
            </w:pPr>
            <w:r w:rsidRPr="00F51D9E">
              <w:rPr>
                <w:lang w:eastAsia="en-US"/>
              </w:rPr>
              <w:t>1.3. pašvaldību budžets</w:t>
            </w:r>
          </w:p>
        </w:tc>
        <w:tc>
          <w:tcPr>
            <w:tcW w:w="1135" w:type="dxa"/>
            <w:shd w:val="clear" w:color="auto" w:fill="auto"/>
            <w:vAlign w:val="center"/>
            <w:hideMark/>
          </w:tcPr>
          <w:p w14:paraId="5C85AAB6" w14:textId="4A1FE57C" w:rsidR="00BD5588" w:rsidRPr="00F51D9E" w:rsidRDefault="00020708" w:rsidP="002C6E9A">
            <w:pPr>
              <w:jc w:val="center"/>
              <w:rPr>
                <w:lang w:eastAsia="en-US"/>
              </w:rPr>
            </w:pPr>
            <w:r w:rsidRPr="00F51D9E">
              <w:rPr>
                <w:lang w:eastAsia="en-US"/>
              </w:rPr>
              <w:t>0</w:t>
            </w:r>
          </w:p>
        </w:tc>
        <w:tc>
          <w:tcPr>
            <w:tcW w:w="992" w:type="dxa"/>
            <w:shd w:val="clear" w:color="auto" w:fill="auto"/>
            <w:vAlign w:val="center"/>
            <w:hideMark/>
          </w:tcPr>
          <w:p w14:paraId="0EF2F118" w14:textId="44B3AEF2" w:rsidR="00BD5588" w:rsidRPr="00F51D9E" w:rsidRDefault="00020708" w:rsidP="002C6E9A">
            <w:pPr>
              <w:jc w:val="center"/>
              <w:rPr>
                <w:lang w:eastAsia="en-US"/>
              </w:rPr>
            </w:pPr>
            <w:r w:rsidRPr="00F51D9E">
              <w:rPr>
                <w:lang w:eastAsia="en-US"/>
              </w:rPr>
              <w:t>0</w:t>
            </w:r>
          </w:p>
        </w:tc>
        <w:tc>
          <w:tcPr>
            <w:tcW w:w="974" w:type="dxa"/>
            <w:shd w:val="clear" w:color="auto" w:fill="auto"/>
            <w:vAlign w:val="center"/>
            <w:hideMark/>
          </w:tcPr>
          <w:p w14:paraId="1917EB8E" w14:textId="3C4B5F25"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45B46527" w14:textId="328DD121"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34995658" w14:textId="059CABCB"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79924B40" w14:textId="66774530" w:rsidR="00BD5588" w:rsidRPr="00F51D9E" w:rsidRDefault="00020708" w:rsidP="002C6E9A">
            <w:pPr>
              <w:jc w:val="center"/>
              <w:rPr>
                <w:lang w:eastAsia="en-US"/>
              </w:rPr>
            </w:pPr>
            <w:r w:rsidRPr="00F51D9E">
              <w:rPr>
                <w:lang w:eastAsia="en-US"/>
              </w:rPr>
              <w:t>0</w:t>
            </w:r>
          </w:p>
        </w:tc>
        <w:tc>
          <w:tcPr>
            <w:tcW w:w="1399" w:type="dxa"/>
            <w:shd w:val="clear" w:color="auto" w:fill="auto"/>
            <w:vAlign w:val="center"/>
            <w:hideMark/>
          </w:tcPr>
          <w:p w14:paraId="7C5DDBEB" w14:textId="08A6365B" w:rsidR="00BD5588" w:rsidRPr="00F51D9E" w:rsidRDefault="00020708" w:rsidP="002C6E9A">
            <w:pPr>
              <w:jc w:val="center"/>
              <w:rPr>
                <w:lang w:eastAsia="en-US"/>
              </w:rPr>
            </w:pPr>
            <w:r w:rsidRPr="00F51D9E">
              <w:rPr>
                <w:lang w:eastAsia="en-US"/>
              </w:rPr>
              <w:t>0</w:t>
            </w:r>
          </w:p>
        </w:tc>
      </w:tr>
      <w:tr w:rsidR="00F51D9E" w:rsidRPr="00F51D9E" w14:paraId="6EBB23F8" w14:textId="77777777" w:rsidTr="00A12514">
        <w:tc>
          <w:tcPr>
            <w:tcW w:w="1981" w:type="dxa"/>
            <w:shd w:val="clear" w:color="auto" w:fill="auto"/>
            <w:hideMark/>
          </w:tcPr>
          <w:p w14:paraId="7975C40B" w14:textId="77777777" w:rsidR="00BD5588" w:rsidRPr="00F51D9E" w:rsidRDefault="00BD5588" w:rsidP="002C6E9A">
            <w:pPr>
              <w:rPr>
                <w:lang w:eastAsia="en-US"/>
              </w:rPr>
            </w:pPr>
            <w:r w:rsidRPr="00F51D9E">
              <w:rPr>
                <w:lang w:eastAsia="en-US"/>
              </w:rPr>
              <w:t>2. Budžeta izdevumi</w:t>
            </w:r>
          </w:p>
        </w:tc>
        <w:tc>
          <w:tcPr>
            <w:tcW w:w="1135" w:type="dxa"/>
            <w:shd w:val="clear" w:color="auto" w:fill="auto"/>
            <w:vAlign w:val="center"/>
            <w:hideMark/>
          </w:tcPr>
          <w:p w14:paraId="35EECA8A" w14:textId="6B7FF475" w:rsidR="00BD5588" w:rsidRPr="00F51D9E" w:rsidRDefault="00020708" w:rsidP="002C6E9A">
            <w:pPr>
              <w:jc w:val="center"/>
              <w:rPr>
                <w:lang w:eastAsia="en-US"/>
              </w:rPr>
            </w:pPr>
            <w:r w:rsidRPr="00F51D9E">
              <w:rPr>
                <w:lang w:eastAsia="en-US"/>
              </w:rPr>
              <w:t>0</w:t>
            </w:r>
          </w:p>
        </w:tc>
        <w:tc>
          <w:tcPr>
            <w:tcW w:w="992" w:type="dxa"/>
            <w:shd w:val="clear" w:color="auto" w:fill="auto"/>
            <w:vAlign w:val="center"/>
            <w:hideMark/>
          </w:tcPr>
          <w:p w14:paraId="24DCE361" w14:textId="1EC68EBC" w:rsidR="00BD5588" w:rsidRPr="00F51D9E" w:rsidRDefault="00D0314E">
            <w:pPr>
              <w:jc w:val="center"/>
              <w:rPr>
                <w:lang w:eastAsia="en-US"/>
              </w:rPr>
            </w:pPr>
            <w:r w:rsidRPr="00F51D9E">
              <w:rPr>
                <w:lang w:eastAsia="en-US"/>
              </w:rPr>
              <w:t>11 84</w:t>
            </w:r>
            <w:r w:rsidR="001858E6" w:rsidRPr="00F51D9E">
              <w:rPr>
                <w:lang w:eastAsia="en-US"/>
              </w:rPr>
              <w:t>6</w:t>
            </w:r>
          </w:p>
        </w:tc>
        <w:tc>
          <w:tcPr>
            <w:tcW w:w="974" w:type="dxa"/>
            <w:shd w:val="clear" w:color="auto" w:fill="auto"/>
            <w:vAlign w:val="center"/>
            <w:hideMark/>
          </w:tcPr>
          <w:p w14:paraId="490BD282" w14:textId="26D21D93"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6597AFFF" w14:textId="65C5479F"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0747C3A0" w14:textId="5C5999F1"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67287982" w14:textId="7473A410" w:rsidR="00BD5588" w:rsidRPr="00F51D9E" w:rsidRDefault="00020708" w:rsidP="002C6E9A">
            <w:pPr>
              <w:jc w:val="center"/>
              <w:rPr>
                <w:lang w:eastAsia="en-US"/>
              </w:rPr>
            </w:pPr>
            <w:r w:rsidRPr="00F51D9E">
              <w:rPr>
                <w:lang w:eastAsia="en-US"/>
              </w:rPr>
              <w:t>0</w:t>
            </w:r>
          </w:p>
        </w:tc>
        <w:tc>
          <w:tcPr>
            <w:tcW w:w="1399" w:type="dxa"/>
            <w:shd w:val="clear" w:color="auto" w:fill="auto"/>
            <w:vAlign w:val="center"/>
            <w:hideMark/>
          </w:tcPr>
          <w:p w14:paraId="16CA6CC3" w14:textId="136A0123" w:rsidR="00BD5588" w:rsidRPr="00F51D9E" w:rsidRDefault="00020708" w:rsidP="002C6E9A">
            <w:pPr>
              <w:jc w:val="center"/>
              <w:rPr>
                <w:lang w:eastAsia="en-US"/>
              </w:rPr>
            </w:pPr>
            <w:r w:rsidRPr="00F51D9E">
              <w:rPr>
                <w:lang w:eastAsia="en-US"/>
              </w:rPr>
              <w:t>0</w:t>
            </w:r>
          </w:p>
        </w:tc>
      </w:tr>
      <w:tr w:rsidR="00F51D9E" w:rsidRPr="00F51D9E" w14:paraId="4780A006" w14:textId="77777777" w:rsidTr="00A12514">
        <w:tc>
          <w:tcPr>
            <w:tcW w:w="1981" w:type="dxa"/>
            <w:shd w:val="clear" w:color="auto" w:fill="auto"/>
            <w:hideMark/>
          </w:tcPr>
          <w:p w14:paraId="1C5FC49A" w14:textId="77777777" w:rsidR="00BD5588" w:rsidRPr="00F51D9E" w:rsidRDefault="00BD5588" w:rsidP="002C6E9A">
            <w:pPr>
              <w:rPr>
                <w:lang w:eastAsia="en-US"/>
              </w:rPr>
            </w:pPr>
            <w:r w:rsidRPr="00F51D9E">
              <w:rPr>
                <w:lang w:eastAsia="en-US"/>
              </w:rPr>
              <w:t>2.1. valsts pamatbudžets</w:t>
            </w:r>
          </w:p>
        </w:tc>
        <w:tc>
          <w:tcPr>
            <w:tcW w:w="1135" w:type="dxa"/>
            <w:shd w:val="clear" w:color="auto" w:fill="auto"/>
            <w:vAlign w:val="center"/>
            <w:hideMark/>
          </w:tcPr>
          <w:p w14:paraId="210603D1" w14:textId="64BA50FD" w:rsidR="00BD5588" w:rsidRPr="00F51D9E" w:rsidRDefault="00020708" w:rsidP="002C6E9A">
            <w:pPr>
              <w:jc w:val="center"/>
              <w:rPr>
                <w:lang w:eastAsia="en-US"/>
              </w:rPr>
            </w:pPr>
            <w:r w:rsidRPr="00F51D9E">
              <w:rPr>
                <w:lang w:eastAsia="en-US"/>
              </w:rPr>
              <w:t>0</w:t>
            </w:r>
          </w:p>
        </w:tc>
        <w:tc>
          <w:tcPr>
            <w:tcW w:w="992" w:type="dxa"/>
            <w:shd w:val="clear" w:color="auto" w:fill="auto"/>
            <w:vAlign w:val="center"/>
            <w:hideMark/>
          </w:tcPr>
          <w:p w14:paraId="7ECD216B" w14:textId="425E977E" w:rsidR="00BD5588" w:rsidRPr="00F51D9E" w:rsidRDefault="00D0314E">
            <w:pPr>
              <w:jc w:val="center"/>
              <w:rPr>
                <w:lang w:eastAsia="en-US"/>
              </w:rPr>
            </w:pPr>
            <w:r w:rsidRPr="00F51D9E">
              <w:rPr>
                <w:lang w:eastAsia="en-US"/>
              </w:rPr>
              <w:t>11 84</w:t>
            </w:r>
            <w:r w:rsidR="001858E6" w:rsidRPr="00F51D9E">
              <w:rPr>
                <w:lang w:eastAsia="en-US"/>
              </w:rPr>
              <w:t>6</w:t>
            </w:r>
          </w:p>
        </w:tc>
        <w:tc>
          <w:tcPr>
            <w:tcW w:w="974" w:type="dxa"/>
            <w:shd w:val="clear" w:color="auto" w:fill="auto"/>
            <w:vAlign w:val="center"/>
            <w:hideMark/>
          </w:tcPr>
          <w:p w14:paraId="1E88046D" w14:textId="5AC1D95E"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631E9B7E" w14:textId="59BCD4B9"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28401F12" w14:textId="3C39946D" w:rsidR="00BD5588" w:rsidRPr="00F51D9E" w:rsidRDefault="00020708" w:rsidP="002C6E9A">
            <w:pPr>
              <w:jc w:val="center"/>
              <w:rPr>
                <w:lang w:eastAsia="en-US"/>
              </w:rPr>
            </w:pPr>
            <w:r w:rsidRPr="00F51D9E">
              <w:rPr>
                <w:lang w:eastAsia="en-US"/>
              </w:rPr>
              <w:t>0</w:t>
            </w:r>
          </w:p>
        </w:tc>
        <w:tc>
          <w:tcPr>
            <w:tcW w:w="861" w:type="dxa"/>
            <w:shd w:val="clear" w:color="auto" w:fill="auto"/>
            <w:vAlign w:val="center"/>
            <w:hideMark/>
          </w:tcPr>
          <w:p w14:paraId="3EF4B767" w14:textId="07FFDD90" w:rsidR="00BD5588" w:rsidRPr="00F51D9E" w:rsidRDefault="00020708" w:rsidP="002C6E9A">
            <w:pPr>
              <w:jc w:val="center"/>
              <w:rPr>
                <w:lang w:eastAsia="en-US"/>
              </w:rPr>
            </w:pPr>
            <w:r w:rsidRPr="00F51D9E">
              <w:rPr>
                <w:lang w:eastAsia="en-US"/>
              </w:rPr>
              <w:t>0</w:t>
            </w:r>
          </w:p>
        </w:tc>
        <w:tc>
          <w:tcPr>
            <w:tcW w:w="1399" w:type="dxa"/>
            <w:shd w:val="clear" w:color="auto" w:fill="auto"/>
            <w:vAlign w:val="center"/>
            <w:hideMark/>
          </w:tcPr>
          <w:p w14:paraId="4D2CB74B" w14:textId="7DE3871E" w:rsidR="00BD5588" w:rsidRPr="00F51D9E" w:rsidRDefault="00020708" w:rsidP="002C6E9A">
            <w:pPr>
              <w:jc w:val="center"/>
              <w:rPr>
                <w:lang w:eastAsia="en-US"/>
              </w:rPr>
            </w:pPr>
            <w:r w:rsidRPr="00F51D9E">
              <w:rPr>
                <w:lang w:eastAsia="en-US"/>
              </w:rPr>
              <w:t>0</w:t>
            </w:r>
          </w:p>
        </w:tc>
      </w:tr>
      <w:tr w:rsidR="00F51D9E" w:rsidRPr="00F51D9E" w14:paraId="38DA398C" w14:textId="77777777" w:rsidTr="00A12514">
        <w:tc>
          <w:tcPr>
            <w:tcW w:w="1981" w:type="dxa"/>
            <w:shd w:val="clear" w:color="auto" w:fill="auto"/>
            <w:hideMark/>
          </w:tcPr>
          <w:p w14:paraId="2C87CF9C" w14:textId="77777777" w:rsidR="00BD5588" w:rsidRPr="00F51D9E" w:rsidRDefault="00BD5588" w:rsidP="002C6E9A">
            <w:pPr>
              <w:rPr>
                <w:lang w:eastAsia="en-US"/>
              </w:rPr>
            </w:pPr>
            <w:r w:rsidRPr="00F51D9E">
              <w:rPr>
                <w:lang w:eastAsia="en-US"/>
              </w:rPr>
              <w:t>2.2. valsts speciālais budžets</w:t>
            </w:r>
          </w:p>
        </w:tc>
        <w:tc>
          <w:tcPr>
            <w:tcW w:w="1135" w:type="dxa"/>
            <w:shd w:val="clear" w:color="auto" w:fill="auto"/>
            <w:vAlign w:val="center"/>
            <w:hideMark/>
          </w:tcPr>
          <w:p w14:paraId="71346DCF" w14:textId="52EF6C9C" w:rsidR="00BD5588" w:rsidRPr="00F51D9E" w:rsidRDefault="00AF7387" w:rsidP="002C6E9A">
            <w:pPr>
              <w:jc w:val="center"/>
              <w:rPr>
                <w:lang w:eastAsia="en-US"/>
              </w:rPr>
            </w:pPr>
            <w:r w:rsidRPr="00F51D9E">
              <w:rPr>
                <w:lang w:eastAsia="en-US"/>
              </w:rPr>
              <w:t>0</w:t>
            </w:r>
          </w:p>
        </w:tc>
        <w:tc>
          <w:tcPr>
            <w:tcW w:w="992" w:type="dxa"/>
            <w:shd w:val="clear" w:color="auto" w:fill="auto"/>
            <w:vAlign w:val="center"/>
            <w:hideMark/>
          </w:tcPr>
          <w:p w14:paraId="03658BC0" w14:textId="462687E5" w:rsidR="00BD5588" w:rsidRPr="00F51D9E" w:rsidRDefault="00AF7387" w:rsidP="002C6E9A">
            <w:pPr>
              <w:jc w:val="center"/>
              <w:rPr>
                <w:lang w:eastAsia="en-US"/>
              </w:rPr>
            </w:pPr>
            <w:r w:rsidRPr="00F51D9E">
              <w:rPr>
                <w:lang w:eastAsia="en-US"/>
              </w:rPr>
              <w:t>0</w:t>
            </w:r>
          </w:p>
        </w:tc>
        <w:tc>
          <w:tcPr>
            <w:tcW w:w="974" w:type="dxa"/>
            <w:shd w:val="clear" w:color="auto" w:fill="auto"/>
            <w:vAlign w:val="center"/>
            <w:hideMark/>
          </w:tcPr>
          <w:p w14:paraId="69AEE771" w14:textId="02CA4068"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75F1B7B5" w14:textId="24159014"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55219CE7" w14:textId="6A450EE1"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058D3764" w14:textId="7658C6BF" w:rsidR="00BD5588" w:rsidRPr="00F51D9E" w:rsidRDefault="00B413FC" w:rsidP="002C6E9A">
            <w:pPr>
              <w:jc w:val="center"/>
              <w:rPr>
                <w:lang w:eastAsia="en-US"/>
              </w:rPr>
            </w:pPr>
            <w:r w:rsidRPr="00F51D9E">
              <w:rPr>
                <w:lang w:eastAsia="en-US"/>
              </w:rPr>
              <w:t>0</w:t>
            </w:r>
          </w:p>
        </w:tc>
        <w:tc>
          <w:tcPr>
            <w:tcW w:w="1399" w:type="dxa"/>
            <w:shd w:val="clear" w:color="auto" w:fill="auto"/>
            <w:vAlign w:val="center"/>
            <w:hideMark/>
          </w:tcPr>
          <w:p w14:paraId="1592B945" w14:textId="46CD74A3" w:rsidR="00BD5588" w:rsidRPr="00F51D9E" w:rsidRDefault="00B413FC" w:rsidP="002C6E9A">
            <w:pPr>
              <w:jc w:val="center"/>
              <w:rPr>
                <w:lang w:eastAsia="en-US"/>
              </w:rPr>
            </w:pPr>
            <w:r w:rsidRPr="00F51D9E">
              <w:rPr>
                <w:lang w:eastAsia="en-US"/>
              </w:rPr>
              <w:t>0</w:t>
            </w:r>
          </w:p>
        </w:tc>
      </w:tr>
      <w:tr w:rsidR="00F51D9E" w:rsidRPr="00F51D9E" w14:paraId="27F2FD97" w14:textId="77777777" w:rsidTr="00A12514">
        <w:tc>
          <w:tcPr>
            <w:tcW w:w="1981" w:type="dxa"/>
            <w:shd w:val="clear" w:color="auto" w:fill="auto"/>
            <w:hideMark/>
          </w:tcPr>
          <w:p w14:paraId="26DE9384" w14:textId="77777777" w:rsidR="00BD5588" w:rsidRPr="00F51D9E" w:rsidRDefault="00BD5588" w:rsidP="002C6E9A">
            <w:pPr>
              <w:rPr>
                <w:lang w:eastAsia="en-US"/>
              </w:rPr>
            </w:pPr>
            <w:r w:rsidRPr="00F51D9E">
              <w:rPr>
                <w:lang w:eastAsia="en-US"/>
              </w:rPr>
              <w:t>2.3. pašvaldību budžets</w:t>
            </w:r>
          </w:p>
        </w:tc>
        <w:tc>
          <w:tcPr>
            <w:tcW w:w="1135" w:type="dxa"/>
            <w:shd w:val="clear" w:color="auto" w:fill="auto"/>
            <w:vAlign w:val="center"/>
            <w:hideMark/>
          </w:tcPr>
          <w:p w14:paraId="43CDF8C2" w14:textId="530076BE" w:rsidR="00BD5588" w:rsidRPr="00F51D9E" w:rsidRDefault="00B413FC" w:rsidP="002C6E9A">
            <w:pPr>
              <w:jc w:val="center"/>
              <w:rPr>
                <w:lang w:eastAsia="en-US"/>
              </w:rPr>
            </w:pPr>
            <w:r w:rsidRPr="00F51D9E">
              <w:rPr>
                <w:lang w:eastAsia="en-US"/>
              </w:rPr>
              <w:t>0</w:t>
            </w:r>
          </w:p>
        </w:tc>
        <w:tc>
          <w:tcPr>
            <w:tcW w:w="992" w:type="dxa"/>
            <w:shd w:val="clear" w:color="auto" w:fill="auto"/>
            <w:vAlign w:val="center"/>
            <w:hideMark/>
          </w:tcPr>
          <w:p w14:paraId="4FCD0118" w14:textId="518194B1" w:rsidR="00BD5588" w:rsidRPr="00F51D9E" w:rsidRDefault="00B413FC" w:rsidP="002C6E9A">
            <w:pPr>
              <w:jc w:val="center"/>
              <w:rPr>
                <w:lang w:eastAsia="en-US"/>
              </w:rPr>
            </w:pPr>
            <w:r w:rsidRPr="00F51D9E">
              <w:rPr>
                <w:lang w:eastAsia="en-US"/>
              </w:rPr>
              <w:t>0</w:t>
            </w:r>
          </w:p>
        </w:tc>
        <w:tc>
          <w:tcPr>
            <w:tcW w:w="974" w:type="dxa"/>
            <w:shd w:val="clear" w:color="auto" w:fill="auto"/>
            <w:vAlign w:val="center"/>
            <w:hideMark/>
          </w:tcPr>
          <w:p w14:paraId="06AFCEAA" w14:textId="64C3F4B5"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2197F42D" w14:textId="46540ABD"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5D7F2076" w14:textId="618E8692"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710D3EF5" w14:textId="7EBF72D4" w:rsidR="00BD5588" w:rsidRPr="00F51D9E" w:rsidRDefault="00B413FC" w:rsidP="002C6E9A">
            <w:pPr>
              <w:jc w:val="center"/>
              <w:rPr>
                <w:lang w:eastAsia="en-US"/>
              </w:rPr>
            </w:pPr>
            <w:r w:rsidRPr="00F51D9E">
              <w:rPr>
                <w:lang w:eastAsia="en-US"/>
              </w:rPr>
              <w:t>0</w:t>
            </w:r>
          </w:p>
        </w:tc>
        <w:tc>
          <w:tcPr>
            <w:tcW w:w="1399" w:type="dxa"/>
            <w:shd w:val="clear" w:color="auto" w:fill="auto"/>
            <w:vAlign w:val="center"/>
            <w:hideMark/>
          </w:tcPr>
          <w:p w14:paraId="24353305" w14:textId="7FC915AC" w:rsidR="00BD5588" w:rsidRPr="00F51D9E" w:rsidRDefault="00B413FC" w:rsidP="002C6E9A">
            <w:pPr>
              <w:jc w:val="center"/>
              <w:rPr>
                <w:lang w:eastAsia="en-US"/>
              </w:rPr>
            </w:pPr>
            <w:r w:rsidRPr="00F51D9E">
              <w:rPr>
                <w:lang w:eastAsia="en-US"/>
              </w:rPr>
              <w:t>0</w:t>
            </w:r>
          </w:p>
        </w:tc>
      </w:tr>
      <w:tr w:rsidR="00F51D9E" w:rsidRPr="00F51D9E" w14:paraId="4A9F3837" w14:textId="77777777" w:rsidTr="00A12514">
        <w:tc>
          <w:tcPr>
            <w:tcW w:w="1981" w:type="dxa"/>
            <w:shd w:val="clear" w:color="auto" w:fill="auto"/>
            <w:hideMark/>
          </w:tcPr>
          <w:p w14:paraId="2FF75B3B" w14:textId="77777777" w:rsidR="00BD5588" w:rsidRPr="00F51D9E" w:rsidRDefault="00BD5588" w:rsidP="002C6E9A">
            <w:pPr>
              <w:rPr>
                <w:lang w:eastAsia="en-US"/>
              </w:rPr>
            </w:pPr>
            <w:r w:rsidRPr="00F51D9E">
              <w:rPr>
                <w:lang w:eastAsia="en-US"/>
              </w:rPr>
              <w:t>3. Finansiālā ietekme</w:t>
            </w:r>
          </w:p>
        </w:tc>
        <w:tc>
          <w:tcPr>
            <w:tcW w:w="1135" w:type="dxa"/>
            <w:shd w:val="clear" w:color="auto" w:fill="auto"/>
            <w:vAlign w:val="center"/>
            <w:hideMark/>
          </w:tcPr>
          <w:p w14:paraId="3F73A3F3" w14:textId="53D83595" w:rsidR="00BD5588" w:rsidRPr="00F51D9E" w:rsidRDefault="00B413FC" w:rsidP="002C6E9A">
            <w:pPr>
              <w:jc w:val="center"/>
              <w:rPr>
                <w:lang w:eastAsia="en-US"/>
              </w:rPr>
            </w:pPr>
            <w:r w:rsidRPr="00F51D9E">
              <w:rPr>
                <w:lang w:eastAsia="en-US"/>
              </w:rPr>
              <w:t>0</w:t>
            </w:r>
          </w:p>
        </w:tc>
        <w:tc>
          <w:tcPr>
            <w:tcW w:w="992" w:type="dxa"/>
            <w:shd w:val="clear" w:color="auto" w:fill="auto"/>
            <w:vAlign w:val="center"/>
            <w:hideMark/>
          </w:tcPr>
          <w:p w14:paraId="52657FFC" w14:textId="41E68468" w:rsidR="00BD5588" w:rsidRPr="00F51D9E" w:rsidRDefault="001858E6">
            <w:pPr>
              <w:jc w:val="center"/>
              <w:rPr>
                <w:lang w:eastAsia="en-US"/>
              </w:rPr>
            </w:pPr>
            <w:r w:rsidRPr="00F51D9E">
              <w:rPr>
                <w:lang w:eastAsia="en-US"/>
              </w:rPr>
              <w:t>-</w:t>
            </w:r>
            <w:r w:rsidR="00D0314E" w:rsidRPr="00F51D9E">
              <w:rPr>
                <w:lang w:eastAsia="en-US"/>
              </w:rPr>
              <w:t>11 84</w:t>
            </w:r>
            <w:r w:rsidRPr="00F51D9E">
              <w:rPr>
                <w:lang w:eastAsia="en-US"/>
              </w:rPr>
              <w:t>6</w:t>
            </w:r>
          </w:p>
        </w:tc>
        <w:tc>
          <w:tcPr>
            <w:tcW w:w="974" w:type="dxa"/>
            <w:shd w:val="clear" w:color="auto" w:fill="auto"/>
            <w:vAlign w:val="center"/>
            <w:hideMark/>
          </w:tcPr>
          <w:p w14:paraId="1AEBD72B" w14:textId="4C8FA7A2"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64AA4052" w14:textId="212CDB3D"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7272705D" w14:textId="33CD69EE"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2B4D932D" w14:textId="11A53C8F" w:rsidR="00BD5588" w:rsidRPr="00F51D9E" w:rsidRDefault="00B413FC" w:rsidP="002C6E9A">
            <w:pPr>
              <w:jc w:val="center"/>
              <w:rPr>
                <w:lang w:eastAsia="en-US"/>
              </w:rPr>
            </w:pPr>
            <w:r w:rsidRPr="00F51D9E">
              <w:rPr>
                <w:lang w:eastAsia="en-US"/>
              </w:rPr>
              <w:t>0</w:t>
            </w:r>
          </w:p>
        </w:tc>
        <w:tc>
          <w:tcPr>
            <w:tcW w:w="1399" w:type="dxa"/>
            <w:shd w:val="clear" w:color="auto" w:fill="auto"/>
            <w:vAlign w:val="center"/>
            <w:hideMark/>
          </w:tcPr>
          <w:p w14:paraId="5A13F4B2" w14:textId="6051734D" w:rsidR="00BD5588" w:rsidRPr="00F51D9E" w:rsidRDefault="00B413FC" w:rsidP="002C6E9A">
            <w:pPr>
              <w:jc w:val="center"/>
              <w:rPr>
                <w:lang w:eastAsia="en-US"/>
              </w:rPr>
            </w:pPr>
            <w:r w:rsidRPr="00F51D9E">
              <w:rPr>
                <w:lang w:eastAsia="en-US"/>
              </w:rPr>
              <w:t>0</w:t>
            </w:r>
          </w:p>
        </w:tc>
      </w:tr>
      <w:tr w:rsidR="00F51D9E" w:rsidRPr="00F51D9E" w14:paraId="7D7BBBF9" w14:textId="77777777" w:rsidTr="00A12514">
        <w:tc>
          <w:tcPr>
            <w:tcW w:w="1981" w:type="dxa"/>
            <w:shd w:val="clear" w:color="auto" w:fill="auto"/>
            <w:hideMark/>
          </w:tcPr>
          <w:p w14:paraId="593C70DE" w14:textId="77777777" w:rsidR="00BD5588" w:rsidRPr="00F51D9E" w:rsidRDefault="00BD5588" w:rsidP="002C6E9A">
            <w:pPr>
              <w:rPr>
                <w:lang w:eastAsia="en-US"/>
              </w:rPr>
            </w:pPr>
            <w:r w:rsidRPr="00F51D9E">
              <w:rPr>
                <w:lang w:eastAsia="en-US"/>
              </w:rPr>
              <w:t>3.1. valsts pamatbudžets</w:t>
            </w:r>
          </w:p>
        </w:tc>
        <w:tc>
          <w:tcPr>
            <w:tcW w:w="1135" w:type="dxa"/>
            <w:shd w:val="clear" w:color="auto" w:fill="auto"/>
            <w:vAlign w:val="center"/>
            <w:hideMark/>
          </w:tcPr>
          <w:p w14:paraId="7EC2DB26" w14:textId="288C77D0" w:rsidR="00BD5588" w:rsidRPr="00F51D9E" w:rsidRDefault="00B413FC" w:rsidP="002C6E9A">
            <w:pPr>
              <w:jc w:val="center"/>
              <w:rPr>
                <w:lang w:eastAsia="en-US"/>
              </w:rPr>
            </w:pPr>
            <w:r w:rsidRPr="00F51D9E">
              <w:rPr>
                <w:lang w:eastAsia="en-US"/>
              </w:rPr>
              <w:t>0</w:t>
            </w:r>
          </w:p>
        </w:tc>
        <w:tc>
          <w:tcPr>
            <w:tcW w:w="992" w:type="dxa"/>
            <w:shd w:val="clear" w:color="auto" w:fill="auto"/>
            <w:vAlign w:val="center"/>
            <w:hideMark/>
          </w:tcPr>
          <w:p w14:paraId="145E2D3B" w14:textId="43725622" w:rsidR="00BD5588" w:rsidRPr="00F51D9E" w:rsidRDefault="001858E6">
            <w:pPr>
              <w:jc w:val="center"/>
              <w:rPr>
                <w:lang w:eastAsia="en-US"/>
              </w:rPr>
            </w:pPr>
            <w:r w:rsidRPr="00F51D9E">
              <w:rPr>
                <w:lang w:eastAsia="en-US"/>
              </w:rPr>
              <w:t>-</w:t>
            </w:r>
            <w:r w:rsidR="00D0314E" w:rsidRPr="00F51D9E">
              <w:rPr>
                <w:lang w:eastAsia="en-US"/>
              </w:rPr>
              <w:t>11 84</w:t>
            </w:r>
            <w:r w:rsidRPr="00F51D9E">
              <w:rPr>
                <w:lang w:eastAsia="en-US"/>
              </w:rPr>
              <w:t>6</w:t>
            </w:r>
          </w:p>
        </w:tc>
        <w:tc>
          <w:tcPr>
            <w:tcW w:w="974" w:type="dxa"/>
            <w:shd w:val="clear" w:color="auto" w:fill="auto"/>
            <w:vAlign w:val="center"/>
            <w:hideMark/>
          </w:tcPr>
          <w:p w14:paraId="7BF9DD9D" w14:textId="3E1ED090"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3BB7BE2E" w14:textId="50E38030"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1307C527" w14:textId="6A658F99"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2C2325DD" w14:textId="0B10F213" w:rsidR="00BD5588" w:rsidRPr="00F51D9E" w:rsidRDefault="00B413FC" w:rsidP="002C6E9A">
            <w:pPr>
              <w:jc w:val="center"/>
              <w:rPr>
                <w:lang w:eastAsia="en-US"/>
              </w:rPr>
            </w:pPr>
            <w:r w:rsidRPr="00F51D9E">
              <w:rPr>
                <w:lang w:eastAsia="en-US"/>
              </w:rPr>
              <w:t>0</w:t>
            </w:r>
          </w:p>
        </w:tc>
        <w:tc>
          <w:tcPr>
            <w:tcW w:w="1399" w:type="dxa"/>
            <w:shd w:val="clear" w:color="auto" w:fill="auto"/>
            <w:vAlign w:val="center"/>
            <w:hideMark/>
          </w:tcPr>
          <w:p w14:paraId="5B7047B4" w14:textId="2FC128B7" w:rsidR="00BD5588" w:rsidRPr="00F51D9E" w:rsidRDefault="00B413FC" w:rsidP="002C6E9A">
            <w:pPr>
              <w:jc w:val="center"/>
              <w:rPr>
                <w:lang w:eastAsia="en-US"/>
              </w:rPr>
            </w:pPr>
            <w:r w:rsidRPr="00F51D9E">
              <w:rPr>
                <w:lang w:eastAsia="en-US"/>
              </w:rPr>
              <w:t>0</w:t>
            </w:r>
          </w:p>
        </w:tc>
      </w:tr>
      <w:tr w:rsidR="00F51D9E" w:rsidRPr="00F51D9E" w14:paraId="5C2824E3" w14:textId="77777777" w:rsidTr="00A12514">
        <w:tc>
          <w:tcPr>
            <w:tcW w:w="1981" w:type="dxa"/>
            <w:shd w:val="clear" w:color="auto" w:fill="auto"/>
            <w:hideMark/>
          </w:tcPr>
          <w:p w14:paraId="0EE73BC4" w14:textId="77777777" w:rsidR="00BD5588" w:rsidRPr="00F51D9E" w:rsidRDefault="00BD5588" w:rsidP="002C6E9A">
            <w:pPr>
              <w:rPr>
                <w:lang w:eastAsia="en-US"/>
              </w:rPr>
            </w:pPr>
            <w:r w:rsidRPr="00F51D9E">
              <w:rPr>
                <w:lang w:eastAsia="en-US"/>
              </w:rPr>
              <w:t>3.2. speciālais budžets</w:t>
            </w:r>
          </w:p>
        </w:tc>
        <w:tc>
          <w:tcPr>
            <w:tcW w:w="1135" w:type="dxa"/>
            <w:shd w:val="clear" w:color="auto" w:fill="auto"/>
            <w:vAlign w:val="center"/>
            <w:hideMark/>
          </w:tcPr>
          <w:p w14:paraId="57EC8EDD" w14:textId="2FDD2282" w:rsidR="00BD5588" w:rsidRPr="00F51D9E" w:rsidRDefault="00B413FC" w:rsidP="002C6E9A">
            <w:pPr>
              <w:jc w:val="center"/>
              <w:rPr>
                <w:lang w:eastAsia="en-US"/>
              </w:rPr>
            </w:pPr>
            <w:r w:rsidRPr="00F51D9E">
              <w:rPr>
                <w:lang w:eastAsia="en-US"/>
              </w:rPr>
              <w:t>0</w:t>
            </w:r>
          </w:p>
        </w:tc>
        <w:tc>
          <w:tcPr>
            <w:tcW w:w="992" w:type="dxa"/>
            <w:shd w:val="clear" w:color="auto" w:fill="auto"/>
            <w:vAlign w:val="center"/>
            <w:hideMark/>
          </w:tcPr>
          <w:p w14:paraId="2931AB20" w14:textId="73321E5E" w:rsidR="00BD5588" w:rsidRPr="00F51D9E" w:rsidRDefault="00B413FC" w:rsidP="002C6E9A">
            <w:pPr>
              <w:jc w:val="center"/>
              <w:rPr>
                <w:lang w:eastAsia="en-US"/>
              </w:rPr>
            </w:pPr>
            <w:r w:rsidRPr="00F51D9E">
              <w:rPr>
                <w:lang w:eastAsia="en-US"/>
              </w:rPr>
              <w:t>0</w:t>
            </w:r>
          </w:p>
        </w:tc>
        <w:tc>
          <w:tcPr>
            <w:tcW w:w="974" w:type="dxa"/>
            <w:shd w:val="clear" w:color="auto" w:fill="auto"/>
            <w:vAlign w:val="center"/>
            <w:hideMark/>
          </w:tcPr>
          <w:p w14:paraId="717EA13F" w14:textId="3F33EE91"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21FCD7B0" w14:textId="42B980C9"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7BEB40B1" w14:textId="5542CD01"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0B1DCAA1" w14:textId="24237841" w:rsidR="00BD5588" w:rsidRPr="00F51D9E" w:rsidRDefault="00B413FC" w:rsidP="002C6E9A">
            <w:pPr>
              <w:jc w:val="center"/>
              <w:rPr>
                <w:lang w:eastAsia="en-US"/>
              </w:rPr>
            </w:pPr>
            <w:r w:rsidRPr="00F51D9E">
              <w:rPr>
                <w:lang w:eastAsia="en-US"/>
              </w:rPr>
              <w:t>0</w:t>
            </w:r>
          </w:p>
        </w:tc>
        <w:tc>
          <w:tcPr>
            <w:tcW w:w="1399" w:type="dxa"/>
            <w:shd w:val="clear" w:color="auto" w:fill="auto"/>
            <w:vAlign w:val="center"/>
            <w:hideMark/>
          </w:tcPr>
          <w:p w14:paraId="10F32D93" w14:textId="2043C2DC" w:rsidR="00BD5588" w:rsidRPr="00F51D9E" w:rsidRDefault="00B413FC" w:rsidP="002C6E9A">
            <w:pPr>
              <w:jc w:val="center"/>
              <w:rPr>
                <w:lang w:eastAsia="en-US"/>
              </w:rPr>
            </w:pPr>
            <w:r w:rsidRPr="00F51D9E">
              <w:rPr>
                <w:lang w:eastAsia="en-US"/>
              </w:rPr>
              <w:t>0</w:t>
            </w:r>
          </w:p>
        </w:tc>
      </w:tr>
      <w:tr w:rsidR="00F51D9E" w:rsidRPr="00F51D9E" w14:paraId="21D1D155" w14:textId="77777777" w:rsidTr="00A12514">
        <w:tc>
          <w:tcPr>
            <w:tcW w:w="1981" w:type="dxa"/>
            <w:shd w:val="clear" w:color="auto" w:fill="auto"/>
            <w:hideMark/>
          </w:tcPr>
          <w:p w14:paraId="0B1BF30F" w14:textId="77777777" w:rsidR="00BD5588" w:rsidRPr="00F51D9E" w:rsidRDefault="00BD5588" w:rsidP="002C6E9A">
            <w:pPr>
              <w:rPr>
                <w:lang w:eastAsia="en-US"/>
              </w:rPr>
            </w:pPr>
            <w:r w:rsidRPr="00F51D9E">
              <w:rPr>
                <w:lang w:eastAsia="en-US"/>
              </w:rPr>
              <w:t>3.3. pašvaldību budžets</w:t>
            </w:r>
          </w:p>
        </w:tc>
        <w:tc>
          <w:tcPr>
            <w:tcW w:w="1135" w:type="dxa"/>
            <w:shd w:val="clear" w:color="auto" w:fill="auto"/>
            <w:vAlign w:val="center"/>
            <w:hideMark/>
          </w:tcPr>
          <w:p w14:paraId="4A482AB7" w14:textId="6297253F" w:rsidR="00BD5588" w:rsidRPr="00F51D9E" w:rsidRDefault="00B413FC" w:rsidP="002C6E9A">
            <w:pPr>
              <w:jc w:val="center"/>
              <w:rPr>
                <w:lang w:eastAsia="en-US"/>
              </w:rPr>
            </w:pPr>
            <w:r w:rsidRPr="00F51D9E">
              <w:rPr>
                <w:lang w:eastAsia="en-US"/>
              </w:rPr>
              <w:t>0</w:t>
            </w:r>
          </w:p>
        </w:tc>
        <w:tc>
          <w:tcPr>
            <w:tcW w:w="992" w:type="dxa"/>
            <w:shd w:val="clear" w:color="auto" w:fill="auto"/>
            <w:vAlign w:val="center"/>
            <w:hideMark/>
          </w:tcPr>
          <w:p w14:paraId="4D9B8506" w14:textId="5B7CCBFC" w:rsidR="00BD5588" w:rsidRPr="00F51D9E" w:rsidRDefault="00B413FC" w:rsidP="002C6E9A">
            <w:pPr>
              <w:jc w:val="center"/>
              <w:rPr>
                <w:lang w:eastAsia="en-US"/>
              </w:rPr>
            </w:pPr>
            <w:r w:rsidRPr="00F51D9E">
              <w:rPr>
                <w:lang w:eastAsia="en-US"/>
              </w:rPr>
              <w:t>0</w:t>
            </w:r>
          </w:p>
        </w:tc>
        <w:tc>
          <w:tcPr>
            <w:tcW w:w="974" w:type="dxa"/>
            <w:shd w:val="clear" w:color="auto" w:fill="auto"/>
            <w:vAlign w:val="center"/>
            <w:hideMark/>
          </w:tcPr>
          <w:p w14:paraId="624B0926" w14:textId="5DAA642D"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73AAEC11" w14:textId="6CD2062F"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7F2F2C47" w14:textId="5044323C"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4FC29368" w14:textId="6347F6B2" w:rsidR="00BD5588" w:rsidRPr="00F51D9E" w:rsidRDefault="00B413FC" w:rsidP="002C6E9A">
            <w:pPr>
              <w:jc w:val="center"/>
              <w:rPr>
                <w:lang w:eastAsia="en-US"/>
              </w:rPr>
            </w:pPr>
            <w:r w:rsidRPr="00F51D9E">
              <w:rPr>
                <w:lang w:eastAsia="en-US"/>
              </w:rPr>
              <w:t>0</w:t>
            </w:r>
          </w:p>
        </w:tc>
        <w:tc>
          <w:tcPr>
            <w:tcW w:w="1399" w:type="dxa"/>
            <w:shd w:val="clear" w:color="auto" w:fill="auto"/>
            <w:vAlign w:val="center"/>
            <w:hideMark/>
          </w:tcPr>
          <w:p w14:paraId="769DE11B" w14:textId="5ACFEEC4" w:rsidR="00BD5588" w:rsidRPr="00F51D9E" w:rsidRDefault="00B413FC" w:rsidP="002C6E9A">
            <w:pPr>
              <w:jc w:val="center"/>
              <w:rPr>
                <w:lang w:eastAsia="en-US"/>
              </w:rPr>
            </w:pPr>
            <w:r w:rsidRPr="00F51D9E">
              <w:rPr>
                <w:lang w:eastAsia="en-US"/>
              </w:rPr>
              <w:t>0</w:t>
            </w:r>
          </w:p>
        </w:tc>
      </w:tr>
      <w:tr w:rsidR="00F51D9E" w:rsidRPr="00F51D9E" w14:paraId="0D8446F0" w14:textId="77777777" w:rsidTr="00A12514">
        <w:tc>
          <w:tcPr>
            <w:tcW w:w="1981" w:type="dxa"/>
            <w:shd w:val="clear" w:color="auto" w:fill="auto"/>
            <w:hideMark/>
          </w:tcPr>
          <w:p w14:paraId="09585B8F" w14:textId="77777777" w:rsidR="00BD5588" w:rsidRPr="00F51D9E" w:rsidRDefault="00BD5588" w:rsidP="002C6E9A">
            <w:pPr>
              <w:rPr>
                <w:lang w:eastAsia="en-US"/>
              </w:rPr>
            </w:pPr>
            <w:r w:rsidRPr="00F51D9E">
              <w:rPr>
                <w:lang w:eastAsia="en-US"/>
              </w:rPr>
              <w:lastRenderedPageBreak/>
              <w:t>4. Finanšu līdzekļi papildu izdevumu finansēšanai (kompensējošu izdevumu samazinājumu norāda ar "+" zīmi)</w:t>
            </w:r>
          </w:p>
        </w:tc>
        <w:tc>
          <w:tcPr>
            <w:tcW w:w="1135" w:type="dxa"/>
            <w:shd w:val="clear" w:color="auto" w:fill="auto"/>
            <w:vAlign w:val="center"/>
            <w:hideMark/>
          </w:tcPr>
          <w:p w14:paraId="1DBD40D6" w14:textId="7607C8D1" w:rsidR="00BD5588" w:rsidRPr="00F51D9E" w:rsidRDefault="00B413FC" w:rsidP="002C6E9A">
            <w:pPr>
              <w:jc w:val="center"/>
              <w:rPr>
                <w:lang w:eastAsia="en-US"/>
              </w:rPr>
            </w:pPr>
            <w:r w:rsidRPr="00F51D9E">
              <w:rPr>
                <w:lang w:eastAsia="en-US"/>
              </w:rPr>
              <w:t>0</w:t>
            </w:r>
          </w:p>
        </w:tc>
        <w:tc>
          <w:tcPr>
            <w:tcW w:w="992" w:type="dxa"/>
            <w:shd w:val="clear" w:color="auto" w:fill="auto"/>
            <w:vAlign w:val="center"/>
            <w:hideMark/>
          </w:tcPr>
          <w:p w14:paraId="006D1AF4" w14:textId="5B9AFA6F" w:rsidR="00BD5588" w:rsidRPr="00F51D9E" w:rsidRDefault="001858E6" w:rsidP="002C6E9A">
            <w:pPr>
              <w:jc w:val="center"/>
              <w:rPr>
                <w:lang w:eastAsia="en-US"/>
              </w:rPr>
            </w:pPr>
            <w:r w:rsidRPr="00F51D9E">
              <w:rPr>
                <w:lang w:eastAsia="en-US"/>
              </w:rPr>
              <w:t>+11 846</w:t>
            </w:r>
          </w:p>
        </w:tc>
        <w:tc>
          <w:tcPr>
            <w:tcW w:w="974" w:type="dxa"/>
            <w:shd w:val="clear" w:color="auto" w:fill="auto"/>
            <w:vAlign w:val="center"/>
            <w:hideMark/>
          </w:tcPr>
          <w:p w14:paraId="74AFA182" w14:textId="23AFDE2F"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10D3F224" w14:textId="2CEB660D"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2DFCFC1D" w14:textId="5DB6C44E"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5D609E61" w14:textId="4795DE65" w:rsidR="00BD5588" w:rsidRPr="00F51D9E" w:rsidRDefault="00B413FC" w:rsidP="002C6E9A">
            <w:pPr>
              <w:jc w:val="center"/>
              <w:rPr>
                <w:lang w:eastAsia="en-US"/>
              </w:rPr>
            </w:pPr>
            <w:r w:rsidRPr="00F51D9E">
              <w:rPr>
                <w:lang w:eastAsia="en-US"/>
              </w:rPr>
              <w:t>0</w:t>
            </w:r>
          </w:p>
        </w:tc>
        <w:tc>
          <w:tcPr>
            <w:tcW w:w="1399" w:type="dxa"/>
            <w:shd w:val="clear" w:color="auto" w:fill="auto"/>
            <w:vAlign w:val="center"/>
            <w:hideMark/>
          </w:tcPr>
          <w:p w14:paraId="5EA8D1C4" w14:textId="5B819E68" w:rsidR="00BD5588" w:rsidRPr="00F51D9E" w:rsidRDefault="00B413FC" w:rsidP="002C6E9A">
            <w:pPr>
              <w:jc w:val="center"/>
              <w:rPr>
                <w:lang w:eastAsia="en-US"/>
              </w:rPr>
            </w:pPr>
            <w:r w:rsidRPr="00F51D9E">
              <w:rPr>
                <w:lang w:eastAsia="en-US"/>
              </w:rPr>
              <w:t>0</w:t>
            </w:r>
          </w:p>
        </w:tc>
      </w:tr>
      <w:tr w:rsidR="00F51D9E" w:rsidRPr="00F51D9E" w14:paraId="41F55E06" w14:textId="77777777" w:rsidTr="00A12514">
        <w:tc>
          <w:tcPr>
            <w:tcW w:w="1981" w:type="dxa"/>
            <w:shd w:val="clear" w:color="auto" w:fill="auto"/>
            <w:hideMark/>
          </w:tcPr>
          <w:p w14:paraId="26A22CE5" w14:textId="77777777" w:rsidR="00BD5588" w:rsidRPr="00F51D9E" w:rsidRDefault="00BD5588" w:rsidP="002C6E9A">
            <w:pPr>
              <w:rPr>
                <w:lang w:eastAsia="en-US"/>
              </w:rPr>
            </w:pPr>
            <w:r w:rsidRPr="00F51D9E">
              <w:rPr>
                <w:lang w:eastAsia="en-US"/>
              </w:rPr>
              <w:t>5. Precizēta finansiālā ietekme</w:t>
            </w:r>
          </w:p>
        </w:tc>
        <w:tc>
          <w:tcPr>
            <w:tcW w:w="1135" w:type="dxa"/>
            <w:vMerge w:val="restart"/>
            <w:shd w:val="clear" w:color="auto" w:fill="auto"/>
            <w:vAlign w:val="center"/>
            <w:hideMark/>
          </w:tcPr>
          <w:p w14:paraId="36A12083" w14:textId="16A6F432" w:rsidR="00BD5588" w:rsidRPr="00F51D9E" w:rsidRDefault="00B413FC" w:rsidP="002C6E9A">
            <w:pPr>
              <w:jc w:val="center"/>
              <w:rPr>
                <w:lang w:eastAsia="en-US"/>
              </w:rPr>
            </w:pPr>
            <w:r w:rsidRPr="00F51D9E">
              <w:rPr>
                <w:lang w:eastAsia="en-US"/>
              </w:rPr>
              <w:t>0</w:t>
            </w:r>
          </w:p>
        </w:tc>
        <w:tc>
          <w:tcPr>
            <w:tcW w:w="992" w:type="dxa"/>
            <w:shd w:val="clear" w:color="auto" w:fill="auto"/>
            <w:vAlign w:val="center"/>
            <w:hideMark/>
          </w:tcPr>
          <w:p w14:paraId="5E691AD4" w14:textId="1DF2D1AC" w:rsidR="00BD5588" w:rsidRPr="00F51D9E" w:rsidRDefault="00B413FC" w:rsidP="002C6E9A">
            <w:pPr>
              <w:jc w:val="center"/>
              <w:rPr>
                <w:lang w:eastAsia="en-US"/>
              </w:rPr>
            </w:pPr>
            <w:r w:rsidRPr="00F51D9E">
              <w:rPr>
                <w:lang w:eastAsia="en-US"/>
              </w:rPr>
              <w:t>0</w:t>
            </w:r>
          </w:p>
        </w:tc>
        <w:tc>
          <w:tcPr>
            <w:tcW w:w="974" w:type="dxa"/>
            <w:vMerge w:val="restart"/>
            <w:shd w:val="clear" w:color="auto" w:fill="auto"/>
            <w:vAlign w:val="center"/>
            <w:hideMark/>
          </w:tcPr>
          <w:p w14:paraId="01371DAC" w14:textId="4EBD1F08"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3A79FD1E" w14:textId="485C53CB" w:rsidR="00BD5588" w:rsidRPr="00F51D9E" w:rsidRDefault="00B413FC" w:rsidP="002C6E9A">
            <w:pPr>
              <w:jc w:val="center"/>
              <w:rPr>
                <w:lang w:eastAsia="en-US"/>
              </w:rPr>
            </w:pPr>
            <w:r w:rsidRPr="00F51D9E">
              <w:rPr>
                <w:lang w:eastAsia="en-US"/>
              </w:rPr>
              <w:t>0</w:t>
            </w:r>
          </w:p>
        </w:tc>
        <w:tc>
          <w:tcPr>
            <w:tcW w:w="861" w:type="dxa"/>
            <w:vMerge w:val="restart"/>
            <w:shd w:val="clear" w:color="auto" w:fill="auto"/>
            <w:vAlign w:val="center"/>
            <w:hideMark/>
          </w:tcPr>
          <w:p w14:paraId="74F03320" w14:textId="7D14B08E" w:rsidR="00BD5588" w:rsidRPr="00F51D9E" w:rsidRDefault="00B413FC" w:rsidP="002C6E9A">
            <w:pPr>
              <w:jc w:val="center"/>
              <w:rPr>
                <w:lang w:eastAsia="en-US"/>
              </w:rPr>
            </w:pPr>
            <w:r w:rsidRPr="00F51D9E">
              <w:rPr>
                <w:lang w:eastAsia="en-US"/>
              </w:rPr>
              <w:t>0</w:t>
            </w:r>
          </w:p>
        </w:tc>
        <w:tc>
          <w:tcPr>
            <w:tcW w:w="861" w:type="dxa"/>
            <w:shd w:val="clear" w:color="auto" w:fill="auto"/>
            <w:vAlign w:val="center"/>
            <w:hideMark/>
          </w:tcPr>
          <w:p w14:paraId="3DE64604" w14:textId="1DC629C7" w:rsidR="00BD5588" w:rsidRPr="00F51D9E" w:rsidRDefault="00B413FC" w:rsidP="002C6E9A">
            <w:pPr>
              <w:jc w:val="center"/>
              <w:rPr>
                <w:lang w:eastAsia="en-US"/>
              </w:rPr>
            </w:pPr>
            <w:r w:rsidRPr="00F51D9E">
              <w:rPr>
                <w:lang w:eastAsia="en-US"/>
              </w:rPr>
              <w:t>0</w:t>
            </w:r>
          </w:p>
        </w:tc>
        <w:tc>
          <w:tcPr>
            <w:tcW w:w="1399" w:type="dxa"/>
            <w:shd w:val="clear" w:color="auto" w:fill="auto"/>
            <w:vAlign w:val="center"/>
            <w:hideMark/>
          </w:tcPr>
          <w:p w14:paraId="4618D6CD" w14:textId="265CCE9D" w:rsidR="00BD5588" w:rsidRPr="00F51D9E" w:rsidRDefault="00B413FC" w:rsidP="002C6E9A">
            <w:pPr>
              <w:jc w:val="center"/>
              <w:rPr>
                <w:lang w:eastAsia="en-US"/>
              </w:rPr>
            </w:pPr>
            <w:r w:rsidRPr="00F51D9E">
              <w:rPr>
                <w:lang w:eastAsia="en-US"/>
              </w:rPr>
              <w:t>0</w:t>
            </w:r>
          </w:p>
        </w:tc>
      </w:tr>
      <w:tr w:rsidR="00F51D9E" w:rsidRPr="00F51D9E" w14:paraId="2C2536BD" w14:textId="77777777" w:rsidTr="00A12514">
        <w:tc>
          <w:tcPr>
            <w:tcW w:w="1981" w:type="dxa"/>
            <w:shd w:val="clear" w:color="auto" w:fill="auto"/>
            <w:hideMark/>
          </w:tcPr>
          <w:p w14:paraId="7D24E710" w14:textId="77777777" w:rsidR="00BD5588" w:rsidRPr="00F51D9E" w:rsidRDefault="00BD5588" w:rsidP="002C6E9A">
            <w:pPr>
              <w:rPr>
                <w:lang w:eastAsia="en-US"/>
              </w:rPr>
            </w:pPr>
            <w:r w:rsidRPr="00F51D9E">
              <w:rPr>
                <w:lang w:eastAsia="en-US"/>
              </w:rPr>
              <w:t>5.1. valsts pamatbudžets</w:t>
            </w:r>
          </w:p>
        </w:tc>
        <w:tc>
          <w:tcPr>
            <w:tcW w:w="1135" w:type="dxa"/>
            <w:vMerge/>
            <w:shd w:val="clear" w:color="auto" w:fill="auto"/>
            <w:vAlign w:val="center"/>
            <w:hideMark/>
          </w:tcPr>
          <w:p w14:paraId="0BC15DAE" w14:textId="77777777" w:rsidR="00BD5588" w:rsidRPr="00F51D9E" w:rsidRDefault="00BD5588" w:rsidP="002C6E9A">
            <w:pPr>
              <w:jc w:val="center"/>
              <w:rPr>
                <w:lang w:eastAsia="en-US"/>
              </w:rPr>
            </w:pPr>
          </w:p>
        </w:tc>
        <w:tc>
          <w:tcPr>
            <w:tcW w:w="992" w:type="dxa"/>
            <w:shd w:val="clear" w:color="auto" w:fill="auto"/>
            <w:vAlign w:val="center"/>
            <w:hideMark/>
          </w:tcPr>
          <w:p w14:paraId="1433A246" w14:textId="07626D1C" w:rsidR="00BD5588" w:rsidRPr="00F51D9E" w:rsidRDefault="00B413FC" w:rsidP="002C6E9A">
            <w:pPr>
              <w:jc w:val="center"/>
              <w:rPr>
                <w:lang w:eastAsia="en-US"/>
              </w:rPr>
            </w:pPr>
            <w:r w:rsidRPr="00F51D9E">
              <w:rPr>
                <w:lang w:eastAsia="en-US"/>
              </w:rPr>
              <w:t>0</w:t>
            </w:r>
          </w:p>
        </w:tc>
        <w:tc>
          <w:tcPr>
            <w:tcW w:w="974" w:type="dxa"/>
            <w:vMerge/>
            <w:shd w:val="clear" w:color="auto" w:fill="auto"/>
            <w:vAlign w:val="center"/>
            <w:hideMark/>
          </w:tcPr>
          <w:p w14:paraId="1BE5048A" w14:textId="77777777" w:rsidR="00BD5588" w:rsidRPr="00F51D9E" w:rsidRDefault="00BD5588" w:rsidP="002C6E9A">
            <w:pPr>
              <w:jc w:val="center"/>
              <w:rPr>
                <w:lang w:eastAsia="en-US"/>
              </w:rPr>
            </w:pPr>
          </w:p>
        </w:tc>
        <w:tc>
          <w:tcPr>
            <w:tcW w:w="861" w:type="dxa"/>
            <w:shd w:val="clear" w:color="auto" w:fill="auto"/>
            <w:vAlign w:val="center"/>
            <w:hideMark/>
          </w:tcPr>
          <w:p w14:paraId="3BEBE2F2" w14:textId="19075D14" w:rsidR="00BD5588" w:rsidRPr="00F51D9E" w:rsidRDefault="00B413FC" w:rsidP="002C6E9A">
            <w:pPr>
              <w:jc w:val="center"/>
              <w:rPr>
                <w:lang w:eastAsia="en-US"/>
              </w:rPr>
            </w:pPr>
            <w:r w:rsidRPr="00F51D9E">
              <w:rPr>
                <w:lang w:eastAsia="en-US"/>
              </w:rPr>
              <w:t>0</w:t>
            </w:r>
          </w:p>
        </w:tc>
        <w:tc>
          <w:tcPr>
            <w:tcW w:w="861" w:type="dxa"/>
            <w:vMerge/>
            <w:shd w:val="clear" w:color="auto" w:fill="auto"/>
            <w:vAlign w:val="center"/>
            <w:hideMark/>
          </w:tcPr>
          <w:p w14:paraId="636E3C52" w14:textId="77777777" w:rsidR="00BD5588" w:rsidRPr="00F51D9E" w:rsidRDefault="00BD5588" w:rsidP="002C6E9A">
            <w:pPr>
              <w:jc w:val="center"/>
              <w:rPr>
                <w:lang w:eastAsia="en-US"/>
              </w:rPr>
            </w:pPr>
          </w:p>
        </w:tc>
        <w:tc>
          <w:tcPr>
            <w:tcW w:w="861" w:type="dxa"/>
            <w:shd w:val="clear" w:color="auto" w:fill="auto"/>
            <w:vAlign w:val="center"/>
            <w:hideMark/>
          </w:tcPr>
          <w:p w14:paraId="170D10E6" w14:textId="563D8A3D" w:rsidR="00BD5588" w:rsidRPr="00F51D9E" w:rsidRDefault="00B413FC" w:rsidP="002C6E9A">
            <w:pPr>
              <w:jc w:val="center"/>
              <w:rPr>
                <w:lang w:eastAsia="en-US"/>
              </w:rPr>
            </w:pPr>
            <w:r w:rsidRPr="00F51D9E">
              <w:rPr>
                <w:lang w:eastAsia="en-US"/>
              </w:rPr>
              <w:t>0</w:t>
            </w:r>
          </w:p>
        </w:tc>
        <w:tc>
          <w:tcPr>
            <w:tcW w:w="1399" w:type="dxa"/>
            <w:shd w:val="clear" w:color="auto" w:fill="auto"/>
            <w:vAlign w:val="center"/>
            <w:hideMark/>
          </w:tcPr>
          <w:p w14:paraId="6B4E0BBD" w14:textId="516F1382" w:rsidR="00BD5588" w:rsidRPr="00F51D9E" w:rsidRDefault="00B413FC" w:rsidP="002C6E9A">
            <w:pPr>
              <w:jc w:val="center"/>
              <w:rPr>
                <w:lang w:eastAsia="en-US"/>
              </w:rPr>
            </w:pPr>
            <w:r w:rsidRPr="00F51D9E">
              <w:rPr>
                <w:lang w:eastAsia="en-US"/>
              </w:rPr>
              <w:t>0</w:t>
            </w:r>
          </w:p>
        </w:tc>
      </w:tr>
      <w:tr w:rsidR="00F51D9E" w:rsidRPr="00F51D9E" w14:paraId="614264EF" w14:textId="77777777" w:rsidTr="00A12514">
        <w:tc>
          <w:tcPr>
            <w:tcW w:w="1981" w:type="dxa"/>
            <w:shd w:val="clear" w:color="auto" w:fill="auto"/>
            <w:hideMark/>
          </w:tcPr>
          <w:p w14:paraId="2AB1CBD9" w14:textId="77777777" w:rsidR="00BD5588" w:rsidRPr="00F51D9E" w:rsidRDefault="00BD5588" w:rsidP="002C6E9A">
            <w:pPr>
              <w:rPr>
                <w:lang w:eastAsia="en-US"/>
              </w:rPr>
            </w:pPr>
            <w:r w:rsidRPr="00F51D9E">
              <w:rPr>
                <w:lang w:eastAsia="en-US"/>
              </w:rPr>
              <w:t>5.2. speciālais budžets</w:t>
            </w:r>
          </w:p>
        </w:tc>
        <w:tc>
          <w:tcPr>
            <w:tcW w:w="1135" w:type="dxa"/>
            <w:vMerge/>
            <w:shd w:val="clear" w:color="auto" w:fill="auto"/>
            <w:vAlign w:val="center"/>
            <w:hideMark/>
          </w:tcPr>
          <w:p w14:paraId="01E61FD9" w14:textId="77777777" w:rsidR="00BD5588" w:rsidRPr="00F51D9E" w:rsidRDefault="00BD5588" w:rsidP="002C6E9A">
            <w:pPr>
              <w:jc w:val="center"/>
              <w:rPr>
                <w:lang w:eastAsia="en-US"/>
              </w:rPr>
            </w:pPr>
          </w:p>
        </w:tc>
        <w:tc>
          <w:tcPr>
            <w:tcW w:w="992" w:type="dxa"/>
            <w:shd w:val="clear" w:color="auto" w:fill="auto"/>
            <w:vAlign w:val="center"/>
            <w:hideMark/>
          </w:tcPr>
          <w:p w14:paraId="74607D67" w14:textId="6600726F" w:rsidR="00BD5588" w:rsidRPr="00F51D9E" w:rsidRDefault="00B413FC" w:rsidP="002C6E9A">
            <w:pPr>
              <w:jc w:val="center"/>
              <w:rPr>
                <w:lang w:eastAsia="en-US"/>
              </w:rPr>
            </w:pPr>
            <w:r w:rsidRPr="00F51D9E">
              <w:rPr>
                <w:lang w:eastAsia="en-US"/>
              </w:rPr>
              <w:t>0</w:t>
            </w:r>
          </w:p>
        </w:tc>
        <w:tc>
          <w:tcPr>
            <w:tcW w:w="974" w:type="dxa"/>
            <w:vMerge/>
            <w:shd w:val="clear" w:color="auto" w:fill="auto"/>
            <w:vAlign w:val="center"/>
            <w:hideMark/>
          </w:tcPr>
          <w:p w14:paraId="34B7D3C1" w14:textId="77777777" w:rsidR="00BD5588" w:rsidRPr="00F51D9E" w:rsidRDefault="00BD5588" w:rsidP="002C6E9A">
            <w:pPr>
              <w:jc w:val="center"/>
              <w:rPr>
                <w:lang w:eastAsia="en-US"/>
              </w:rPr>
            </w:pPr>
          </w:p>
        </w:tc>
        <w:tc>
          <w:tcPr>
            <w:tcW w:w="861" w:type="dxa"/>
            <w:shd w:val="clear" w:color="auto" w:fill="auto"/>
            <w:vAlign w:val="center"/>
            <w:hideMark/>
          </w:tcPr>
          <w:p w14:paraId="0B435CEC" w14:textId="4A8A82EF" w:rsidR="00BD5588" w:rsidRPr="00F51D9E" w:rsidRDefault="00B413FC" w:rsidP="002C6E9A">
            <w:pPr>
              <w:jc w:val="center"/>
              <w:rPr>
                <w:lang w:eastAsia="en-US"/>
              </w:rPr>
            </w:pPr>
            <w:r w:rsidRPr="00F51D9E">
              <w:rPr>
                <w:lang w:eastAsia="en-US"/>
              </w:rPr>
              <w:t>0</w:t>
            </w:r>
          </w:p>
        </w:tc>
        <w:tc>
          <w:tcPr>
            <w:tcW w:w="861" w:type="dxa"/>
            <w:vMerge/>
            <w:shd w:val="clear" w:color="auto" w:fill="auto"/>
            <w:vAlign w:val="center"/>
            <w:hideMark/>
          </w:tcPr>
          <w:p w14:paraId="325079FD" w14:textId="77777777" w:rsidR="00BD5588" w:rsidRPr="00F51D9E" w:rsidRDefault="00BD5588" w:rsidP="002C6E9A">
            <w:pPr>
              <w:jc w:val="center"/>
              <w:rPr>
                <w:lang w:eastAsia="en-US"/>
              </w:rPr>
            </w:pPr>
          </w:p>
        </w:tc>
        <w:tc>
          <w:tcPr>
            <w:tcW w:w="861" w:type="dxa"/>
            <w:shd w:val="clear" w:color="auto" w:fill="auto"/>
            <w:vAlign w:val="center"/>
            <w:hideMark/>
          </w:tcPr>
          <w:p w14:paraId="5464B7D9" w14:textId="11ED22ED" w:rsidR="00BD5588" w:rsidRPr="00F51D9E" w:rsidRDefault="00B413FC" w:rsidP="002C6E9A">
            <w:pPr>
              <w:jc w:val="center"/>
              <w:rPr>
                <w:lang w:eastAsia="en-US"/>
              </w:rPr>
            </w:pPr>
            <w:r w:rsidRPr="00F51D9E">
              <w:rPr>
                <w:lang w:eastAsia="en-US"/>
              </w:rPr>
              <w:t>0</w:t>
            </w:r>
          </w:p>
        </w:tc>
        <w:tc>
          <w:tcPr>
            <w:tcW w:w="1399" w:type="dxa"/>
            <w:shd w:val="clear" w:color="auto" w:fill="auto"/>
            <w:vAlign w:val="center"/>
            <w:hideMark/>
          </w:tcPr>
          <w:p w14:paraId="36EDF0FA" w14:textId="2D4C3E17" w:rsidR="00BD5588" w:rsidRPr="00F51D9E" w:rsidRDefault="00B413FC" w:rsidP="002C6E9A">
            <w:pPr>
              <w:jc w:val="center"/>
              <w:rPr>
                <w:lang w:eastAsia="en-US"/>
              </w:rPr>
            </w:pPr>
            <w:r w:rsidRPr="00F51D9E">
              <w:rPr>
                <w:lang w:eastAsia="en-US"/>
              </w:rPr>
              <w:t>0</w:t>
            </w:r>
          </w:p>
        </w:tc>
      </w:tr>
      <w:tr w:rsidR="00F51D9E" w:rsidRPr="00F51D9E" w14:paraId="6997612F" w14:textId="77777777" w:rsidTr="00A12514">
        <w:tc>
          <w:tcPr>
            <w:tcW w:w="1981" w:type="dxa"/>
            <w:shd w:val="clear" w:color="auto" w:fill="auto"/>
            <w:hideMark/>
          </w:tcPr>
          <w:p w14:paraId="4B2714EB" w14:textId="77777777" w:rsidR="00BD5588" w:rsidRPr="00F51D9E" w:rsidRDefault="00BD5588" w:rsidP="002C6E9A">
            <w:pPr>
              <w:rPr>
                <w:lang w:eastAsia="en-US"/>
              </w:rPr>
            </w:pPr>
            <w:r w:rsidRPr="00F51D9E">
              <w:rPr>
                <w:lang w:eastAsia="en-US"/>
              </w:rPr>
              <w:t>5.3. pašvaldību budžets</w:t>
            </w:r>
          </w:p>
        </w:tc>
        <w:tc>
          <w:tcPr>
            <w:tcW w:w="1135" w:type="dxa"/>
            <w:vMerge/>
            <w:shd w:val="clear" w:color="auto" w:fill="auto"/>
            <w:vAlign w:val="center"/>
            <w:hideMark/>
          </w:tcPr>
          <w:p w14:paraId="355A4B05" w14:textId="77777777" w:rsidR="00BD5588" w:rsidRPr="00F51D9E" w:rsidRDefault="00BD5588" w:rsidP="002C6E9A">
            <w:pPr>
              <w:jc w:val="center"/>
              <w:rPr>
                <w:lang w:eastAsia="en-US"/>
              </w:rPr>
            </w:pPr>
          </w:p>
        </w:tc>
        <w:tc>
          <w:tcPr>
            <w:tcW w:w="992" w:type="dxa"/>
            <w:shd w:val="clear" w:color="auto" w:fill="auto"/>
            <w:vAlign w:val="center"/>
            <w:hideMark/>
          </w:tcPr>
          <w:p w14:paraId="63FCDBE0" w14:textId="3A32ED0F" w:rsidR="00BD5588" w:rsidRPr="00F51D9E" w:rsidRDefault="00B413FC" w:rsidP="002C6E9A">
            <w:pPr>
              <w:jc w:val="center"/>
              <w:rPr>
                <w:lang w:eastAsia="en-US"/>
              </w:rPr>
            </w:pPr>
            <w:r w:rsidRPr="00F51D9E">
              <w:rPr>
                <w:lang w:eastAsia="en-US"/>
              </w:rPr>
              <w:t>0</w:t>
            </w:r>
          </w:p>
        </w:tc>
        <w:tc>
          <w:tcPr>
            <w:tcW w:w="974" w:type="dxa"/>
            <w:vMerge/>
            <w:shd w:val="clear" w:color="auto" w:fill="auto"/>
            <w:vAlign w:val="center"/>
            <w:hideMark/>
          </w:tcPr>
          <w:p w14:paraId="768C1124" w14:textId="77777777" w:rsidR="00BD5588" w:rsidRPr="00F51D9E" w:rsidRDefault="00BD5588" w:rsidP="002C6E9A">
            <w:pPr>
              <w:jc w:val="center"/>
              <w:rPr>
                <w:lang w:eastAsia="en-US"/>
              </w:rPr>
            </w:pPr>
          </w:p>
        </w:tc>
        <w:tc>
          <w:tcPr>
            <w:tcW w:w="861" w:type="dxa"/>
            <w:shd w:val="clear" w:color="auto" w:fill="auto"/>
            <w:vAlign w:val="center"/>
            <w:hideMark/>
          </w:tcPr>
          <w:p w14:paraId="767A7A13" w14:textId="3ECDED48" w:rsidR="00BD5588" w:rsidRPr="00F51D9E" w:rsidRDefault="00B413FC" w:rsidP="002C6E9A">
            <w:pPr>
              <w:jc w:val="center"/>
              <w:rPr>
                <w:lang w:eastAsia="en-US"/>
              </w:rPr>
            </w:pPr>
            <w:r w:rsidRPr="00F51D9E">
              <w:rPr>
                <w:lang w:eastAsia="en-US"/>
              </w:rPr>
              <w:t>0</w:t>
            </w:r>
          </w:p>
        </w:tc>
        <w:tc>
          <w:tcPr>
            <w:tcW w:w="861" w:type="dxa"/>
            <w:vMerge/>
            <w:shd w:val="clear" w:color="auto" w:fill="auto"/>
            <w:vAlign w:val="center"/>
            <w:hideMark/>
          </w:tcPr>
          <w:p w14:paraId="53AA2F99" w14:textId="77777777" w:rsidR="00BD5588" w:rsidRPr="00F51D9E" w:rsidRDefault="00BD5588" w:rsidP="002C6E9A">
            <w:pPr>
              <w:jc w:val="center"/>
              <w:rPr>
                <w:lang w:eastAsia="en-US"/>
              </w:rPr>
            </w:pPr>
          </w:p>
        </w:tc>
        <w:tc>
          <w:tcPr>
            <w:tcW w:w="861" w:type="dxa"/>
            <w:shd w:val="clear" w:color="auto" w:fill="auto"/>
            <w:vAlign w:val="center"/>
            <w:hideMark/>
          </w:tcPr>
          <w:p w14:paraId="42F0F4CC" w14:textId="51618CA1" w:rsidR="00BD5588" w:rsidRPr="00F51D9E" w:rsidRDefault="00B413FC" w:rsidP="002C6E9A">
            <w:pPr>
              <w:jc w:val="center"/>
              <w:rPr>
                <w:lang w:eastAsia="en-US"/>
              </w:rPr>
            </w:pPr>
            <w:r w:rsidRPr="00F51D9E">
              <w:rPr>
                <w:lang w:eastAsia="en-US"/>
              </w:rPr>
              <w:t>0</w:t>
            </w:r>
          </w:p>
        </w:tc>
        <w:tc>
          <w:tcPr>
            <w:tcW w:w="1399" w:type="dxa"/>
            <w:shd w:val="clear" w:color="auto" w:fill="auto"/>
            <w:vAlign w:val="center"/>
            <w:hideMark/>
          </w:tcPr>
          <w:p w14:paraId="30EC0562" w14:textId="60F6C65B" w:rsidR="00BD5588" w:rsidRPr="00F51D9E" w:rsidRDefault="00B413FC" w:rsidP="002C6E9A">
            <w:pPr>
              <w:jc w:val="center"/>
              <w:rPr>
                <w:lang w:eastAsia="en-US"/>
              </w:rPr>
            </w:pPr>
            <w:r w:rsidRPr="00F51D9E">
              <w:rPr>
                <w:lang w:eastAsia="en-US"/>
              </w:rPr>
              <w:t>0</w:t>
            </w:r>
          </w:p>
        </w:tc>
      </w:tr>
      <w:tr w:rsidR="00F51D9E" w:rsidRPr="00F51D9E" w14:paraId="24C17A22" w14:textId="77777777" w:rsidTr="00BE32CE">
        <w:tc>
          <w:tcPr>
            <w:tcW w:w="1981" w:type="dxa"/>
            <w:shd w:val="clear" w:color="auto" w:fill="auto"/>
            <w:hideMark/>
          </w:tcPr>
          <w:p w14:paraId="6F782715" w14:textId="77777777" w:rsidR="00BD5588" w:rsidRPr="00F51D9E" w:rsidRDefault="00BD5588" w:rsidP="002C6E9A">
            <w:pPr>
              <w:rPr>
                <w:lang w:eastAsia="en-US"/>
              </w:rPr>
            </w:pPr>
            <w:r w:rsidRPr="00F51D9E">
              <w:rPr>
                <w:lang w:eastAsia="en-US"/>
              </w:rPr>
              <w:t>6. Detalizēts ieņēmumu un izdevumu aprēķins (ja nepieciešams, detalizētu ieņēmumu un izdevumu aprēķinu var pievienot anotācijas pielikumā)</w:t>
            </w:r>
          </w:p>
        </w:tc>
        <w:tc>
          <w:tcPr>
            <w:tcW w:w="7083" w:type="dxa"/>
            <w:gridSpan w:val="7"/>
            <w:vMerge w:val="restart"/>
            <w:shd w:val="clear" w:color="auto" w:fill="auto"/>
            <w:vAlign w:val="center"/>
            <w:hideMark/>
          </w:tcPr>
          <w:p w14:paraId="6F8036C1" w14:textId="6EA72568" w:rsidR="00BD5588" w:rsidRPr="00F51D9E" w:rsidRDefault="00B413FC" w:rsidP="00B413FC">
            <w:pPr>
              <w:rPr>
                <w:lang w:eastAsia="en-US"/>
              </w:rPr>
            </w:pPr>
            <w:r w:rsidRPr="00F51D9E">
              <w:rPr>
                <w:lang w:eastAsia="en-US"/>
              </w:rPr>
              <w:t>Nav attiecināms.</w:t>
            </w:r>
          </w:p>
        </w:tc>
      </w:tr>
      <w:tr w:rsidR="00F51D9E" w:rsidRPr="00F51D9E" w14:paraId="34A9F547" w14:textId="77777777" w:rsidTr="00BE32CE">
        <w:tc>
          <w:tcPr>
            <w:tcW w:w="1981" w:type="dxa"/>
            <w:shd w:val="clear" w:color="auto" w:fill="auto"/>
            <w:hideMark/>
          </w:tcPr>
          <w:p w14:paraId="2D77331C" w14:textId="77777777" w:rsidR="00BD5588" w:rsidRPr="00F51D9E" w:rsidRDefault="00BD5588" w:rsidP="002C6E9A">
            <w:pPr>
              <w:rPr>
                <w:lang w:eastAsia="en-US"/>
              </w:rPr>
            </w:pPr>
            <w:r w:rsidRPr="00F51D9E">
              <w:rPr>
                <w:lang w:eastAsia="en-US"/>
              </w:rPr>
              <w:t>6.1. detalizēts ieņēmumu aprēķins</w:t>
            </w:r>
          </w:p>
        </w:tc>
        <w:tc>
          <w:tcPr>
            <w:tcW w:w="7083" w:type="dxa"/>
            <w:gridSpan w:val="7"/>
            <w:vMerge/>
            <w:shd w:val="clear" w:color="auto" w:fill="auto"/>
            <w:vAlign w:val="center"/>
            <w:hideMark/>
          </w:tcPr>
          <w:p w14:paraId="50F07AF5" w14:textId="77777777" w:rsidR="00BD5588" w:rsidRPr="00F51D9E" w:rsidRDefault="00BD5588" w:rsidP="002C6E9A">
            <w:pPr>
              <w:jc w:val="center"/>
              <w:rPr>
                <w:lang w:eastAsia="en-US"/>
              </w:rPr>
            </w:pPr>
          </w:p>
        </w:tc>
      </w:tr>
      <w:tr w:rsidR="00F51D9E" w:rsidRPr="00F51D9E" w14:paraId="5A147BC6" w14:textId="77777777" w:rsidTr="00BE32CE">
        <w:tc>
          <w:tcPr>
            <w:tcW w:w="1981" w:type="dxa"/>
            <w:shd w:val="clear" w:color="auto" w:fill="auto"/>
            <w:hideMark/>
          </w:tcPr>
          <w:p w14:paraId="77336A53" w14:textId="77777777" w:rsidR="00BD5588" w:rsidRPr="00F51D9E" w:rsidRDefault="00BD5588" w:rsidP="002C6E9A">
            <w:pPr>
              <w:rPr>
                <w:lang w:eastAsia="en-US"/>
              </w:rPr>
            </w:pPr>
            <w:r w:rsidRPr="00F51D9E">
              <w:rPr>
                <w:lang w:eastAsia="en-US"/>
              </w:rPr>
              <w:t>6.2. detalizēts izdevumu aprēķins</w:t>
            </w:r>
          </w:p>
        </w:tc>
        <w:tc>
          <w:tcPr>
            <w:tcW w:w="7083" w:type="dxa"/>
            <w:gridSpan w:val="7"/>
            <w:vMerge/>
            <w:shd w:val="clear" w:color="auto" w:fill="auto"/>
            <w:vAlign w:val="center"/>
            <w:hideMark/>
          </w:tcPr>
          <w:p w14:paraId="0A82E193" w14:textId="77777777" w:rsidR="00BD5588" w:rsidRPr="00F51D9E" w:rsidRDefault="00BD5588" w:rsidP="002C6E9A">
            <w:pPr>
              <w:jc w:val="center"/>
              <w:rPr>
                <w:lang w:eastAsia="en-US"/>
              </w:rPr>
            </w:pPr>
          </w:p>
        </w:tc>
      </w:tr>
      <w:tr w:rsidR="00F51D9E" w:rsidRPr="00F51D9E" w14:paraId="1C2EA58B" w14:textId="77777777" w:rsidTr="00BE32CE">
        <w:tc>
          <w:tcPr>
            <w:tcW w:w="1981" w:type="dxa"/>
            <w:shd w:val="clear" w:color="auto" w:fill="auto"/>
            <w:hideMark/>
          </w:tcPr>
          <w:p w14:paraId="5EDD3DAF" w14:textId="77777777" w:rsidR="00BD5588" w:rsidRPr="00F51D9E" w:rsidRDefault="00BD5588" w:rsidP="002C6E9A">
            <w:pPr>
              <w:rPr>
                <w:lang w:eastAsia="en-US"/>
              </w:rPr>
            </w:pPr>
            <w:r w:rsidRPr="00F51D9E">
              <w:rPr>
                <w:lang w:eastAsia="en-US"/>
              </w:rPr>
              <w:t>7. Amata vietu skaita izmaiņas</w:t>
            </w:r>
          </w:p>
        </w:tc>
        <w:tc>
          <w:tcPr>
            <w:tcW w:w="7083" w:type="dxa"/>
            <w:gridSpan w:val="7"/>
            <w:shd w:val="clear" w:color="auto" w:fill="auto"/>
            <w:hideMark/>
          </w:tcPr>
          <w:p w14:paraId="68944BD9" w14:textId="77777777" w:rsidR="00BD5588" w:rsidRPr="00F51D9E" w:rsidRDefault="00B00127" w:rsidP="002C6E9A">
            <w:pPr>
              <w:rPr>
                <w:lang w:eastAsia="en-US"/>
              </w:rPr>
            </w:pPr>
            <w:r w:rsidRPr="00F51D9E">
              <w:rPr>
                <w:lang w:eastAsia="en-US"/>
              </w:rPr>
              <w:t>Nav attiecināms.</w:t>
            </w:r>
          </w:p>
        </w:tc>
      </w:tr>
      <w:tr w:rsidR="00F51D9E" w:rsidRPr="00F51D9E" w14:paraId="3927AE6B" w14:textId="77777777" w:rsidTr="00BE32CE">
        <w:tc>
          <w:tcPr>
            <w:tcW w:w="1981" w:type="dxa"/>
            <w:shd w:val="clear" w:color="auto" w:fill="auto"/>
            <w:hideMark/>
          </w:tcPr>
          <w:p w14:paraId="44917394" w14:textId="77777777" w:rsidR="00BD5588" w:rsidRPr="00F51D9E" w:rsidRDefault="00BD5588" w:rsidP="002C6E9A">
            <w:pPr>
              <w:rPr>
                <w:lang w:eastAsia="en-US"/>
              </w:rPr>
            </w:pPr>
            <w:r w:rsidRPr="00F51D9E">
              <w:rPr>
                <w:lang w:eastAsia="en-US"/>
              </w:rPr>
              <w:t>8. Cita informācija</w:t>
            </w:r>
          </w:p>
        </w:tc>
        <w:tc>
          <w:tcPr>
            <w:tcW w:w="7083" w:type="dxa"/>
            <w:gridSpan w:val="7"/>
            <w:shd w:val="clear" w:color="auto" w:fill="auto"/>
            <w:hideMark/>
          </w:tcPr>
          <w:p w14:paraId="1B0BC371" w14:textId="6001F7BE" w:rsidR="009D605C" w:rsidRPr="00F51D9E" w:rsidRDefault="00B00127" w:rsidP="00B00127">
            <w:pPr>
              <w:jc w:val="both"/>
              <w:rPr>
                <w:lang w:eastAsia="en-US"/>
              </w:rPr>
            </w:pPr>
            <w:r w:rsidRPr="00F51D9E">
              <w:rPr>
                <w:lang w:eastAsia="en-US"/>
              </w:rPr>
              <w:t xml:space="preserve">Saskaņā ar Valsts ieņēmumu dienesta sniegto informāciju </w:t>
            </w:r>
            <w:r w:rsidR="009E1141" w:rsidRPr="00F51D9E">
              <w:rPr>
                <w:lang w:eastAsia="en-US"/>
              </w:rPr>
              <w:t>skola</w:t>
            </w:r>
            <w:r w:rsidRPr="00F51D9E">
              <w:rPr>
                <w:lang w:eastAsia="en-US"/>
              </w:rPr>
              <w:t xml:space="preserve"> laika periodā no </w:t>
            </w:r>
            <w:r w:rsidR="00F10D28" w:rsidRPr="00F51D9E">
              <w:rPr>
                <w:lang w:eastAsia="en-US"/>
              </w:rPr>
              <w:t>2016</w:t>
            </w:r>
            <w:r w:rsidRPr="00F51D9E">
              <w:rPr>
                <w:lang w:eastAsia="en-US"/>
              </w:rPr>
              <w:t>.</w:t>
            </w:r>
            <w:r w:rsidR="00F51D9E" w:rsidRPr="00F51D9E">
              <w:rPr>
                <w:lang w:eastAsia="en-US"/>
              </w:rPr>
              <w:t xml:space="preserve"> </w:t>
            </w:r>
            <w:r w:rsidRPr="00F51D9E">
              <w:rPr>
                <w:lang w:eastAsia="en-US"/>
              </w:rPr>
              <w:t xml:space="preserve">gada </w:t>
            </w:r>
            <w:r w:rsidR="00F10D28" w:rsidRPr="00F51D9E">
              <w:rPr>
                <w:lang w:eastAsia="en-US"/>
              </w:rPr>
              <w:t>1. janvāra</w:t>
            </w:r>
            <w:r w:rsidRPr="00F51D9E">
              <w:rPr>
                <w:lang w:eastAsia="en-US"/>
              </w:rPr>
              <w:t xml:space="preserve"> līdz</w:t>
            </w:r>
            <w:r w:rsidR="00D04F4C" w:rsidRPr="00F51D9E">
              <w:rPr>
                <w:lang w:eastAsia="en-US"/>
              </w:rPr>
              <w:t xml:space="preserve"> 2020. gada 31. decembrim </w:t>
            </w:r>
            <w:r w:rsidRPr="00F51D9E">
              <w:rPr>
                <w:lang w:eastAsia="en-US"/>
              </w:rPr>
              <w:t xml:space="preserve">ir veikusi muitas maksājumu samaksu </w:t>
            </w:r>
            <w:r w:rsidR="00D04F4C" w:rsidRPr="00F51D9E">
              <w:rPr>
                <w:lang w:eastAsia="en-US"/>
              </w:rPr>
              <w:t xml:space="preserve"> 11 845,19 </w:t>
            </w:r>
            <w:proofErr w:type="spellStart"/>
            <w:r w:rsidR="009118A5" w:rsidRPr="00F51D9E">
              <w:rPr>
                <w:i/>
                <w:lang w:eastAsia="en-US"/>
              </w:rPr>
              <w:t>euro</w:t>
            </w:r>
            <w:proofErr w:type="spellEnd"/>
            <w:r w:rsidRPr="00F51D9E">
              <w:rPr>
                <w:lang w:eastAsia="en-US"/>
              </w:rPr>
              <w:t xml:space="preserve"> apmērā.</w:t>
            </w:r>
          </w:p>
          <w:p w14:paraId="474B91DD" w14:textId="3D9B16E9" w:rsidR="00BD5588" w:rsidRPr="00F51D9E" w:rsidRDefault="00FC7019">
            <w:pPr>
              <w:jc w:val="both"/>
              <w:rPr>
                <w:lang w:eastAsia="en-US"/>
              </w:rPr>
            </w:pPr>
            <w:r w:rsidRPr="00F51D9E">
              <w:rPr>
                <w:lang w:eastAsia="en-US"/>
              </w:rPr>
              <w:t xml:space="preserve">Atbilstoši </w:t>
            </w:r>
            <w:r w:rsidR="00576E3D" w:rsidRPr="00F51D9E">
              <w:rPr>
                <w:lang w:eastAsia="en-US"/>
              </w:rPr>
              <w:t>Ministru kabineta noteikumu projekt</w:t>
            </w:r>
            <w:r w:rsidR="00F51D9E" w:rsidRPr="00F51D9E">
              <w:rPr>
                <w:lang w:eastAsia="en-US"/>
              </w:rPr>
              <w:t>ā noteiktaja</w:t>
            </w:r>
            <w:r w:rsidRPr="00F51D9E">
              <w:rPr>
                <w:lang w:eastAsia="en-US"/>
              </w:rPr>
              <w:t>m</w:t>
            </w:r>
            <w:r w:rsidR="00B00127" w:rsidRPr="00F51D9E">
              <w:rPr>
                <w:lang w:eastAsia="en-US"/>
              </w:rPr>
              <w:t xml:space="preserve"> saistītie</w:t>
            </w:r>
            <w:r w:rsidRPr="00F51D9E">
              <w:rPr>
                <w:lang w:eastAsia="en-US"/>
              </w:rPr>
              <w:t xml:space="preserve"> </w:t>
            </w:r>
            <w:r w:rsidRPr="00F51D9E">
              <w:t>ar muitas maksājumu un dabas resursu nodokļu kompensāciju</w:t>
            </w:r>
            <w:r w:rsidR="00B00127" w:rsidRPr="00F51D9E">
              <w:rPr>
                <w:lang w:eastAsia="en-US"/>
              </w:rPr>
              <w:t xml:space="preserve"> izdevumi</w:t>
            </w:r>
            <w:r w:rsidR="00B31022" w:rsidRPr="00F51D9E">
              <w:rPr>
                <w:lang w:eastAsia="en-US"/>
              </w:rPr>
              <w:t xml:space="preserve"> </w:t>
            </w:r>
            <w:r w:rsidR="00B00127" w:rsidRPr="00F51D9E">
              <w:rPr>
                <w:lang w:eastAsia="en-US"/>
              </w:rPr>
              <w:t>tiks segti no valsts budžeta resora “74. Gadskārtējā  valsts budžeta izpildes procesā pārdalāmais finansējums” programmas 02.00.00 “Līdzekļi neparedzētiem gadījumiem”.</w:t>
            </w:r>
          </w:p>
        </w:tc>
      </w:tr>
    </w:tbl>
    <w:p w14:paraId="425AFE43" w14:textId="77777777" w:rsidR="00BD5588" w:rsidRPr="00F51D9E" w:rsidRDefault="00BD5588" w:rsidP="002C6E9A">
      <w:pPr>
        <w:pStyle w:val="Title"/>
        <w:ind w:firstLine="539"/>
        <w:jc w:val="both"/>
        <w:rPr>
          <w:sz w:val="24"/>
          <w:szCs w:val="24"/>
        </w:rPr>
      </w:pPr>
    </w:p>
    <w:p w14:paraId="37D91D71" w14:textId="77777777" w:rsidR="00B00127" w:rsidRPr="00F51D9E" w:rsidRDefault="00B00127" w:rsidP="002C6E9A">
      <w:pPr>
        <w:pStyle w:val="Title"/>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2"/>
        <w:gridCol w:w="2667"/>
        <w:gridCol w:w="5825"/>
      </w:tblGrid>
      <w:tr w:rsidR="00F51D9E" w:rsidRPr="00F51D9E" w14:paraId="270A4F95" w14:textId="77777777" w:rsidTr="00885548">
        <w:tc>
          <w:tcPr>
            <w:tcW w:w="9130" w:type="dxa"/>
            <w:gridSpan w:val="3"/>
            <w:vAlign w:val="center"/>
            <w:hideMark/>
          </w:tcPr>
          <w:p w14:paraId="1F4B4E5F" w14:textId="77777777" w:rsidR="00B00127" w:rsidRPr="00F51D9E" w:rsidRDefault="00B00127" w:rsidP="00885548">
            <w:pPr>
              <w:jc w:val="center"/>
              <w:rPr>
                <w:b/>
                <w:bCs/>
              </w:rPr>
            </w:pPr>
            <w:r w:rsidRPr="00F51D9E">
              <w:rPr>
                <w:b/>
                <w:bCs/>
              </w:rPr>
              <w:t>IV. Tiesību akta projekta ietekme uz spēkā esošo tiesību normu sistēmu</w:t>
            </w:r>
          </w:p>
        </w:tc>
      </w:tr>
      <w:tr w:rsidR="00F51D9E" w:rsidRPr="00F51D9E" w14:paraId="0F5C0041" w14:textId="77777777" w:rsidTr="00885548">
        <w:tc>
          <w:tcPr>
            <w:tcW w:w="576" w:type="dxa"/>
            <w:hideMark/>
          </w:tcPr>
          <w:p w14:paraId="519BBC07" w14:textId="77777777" w:rsidR="00B00127" w:rsidRPr="00F51D9E" w:rsidRDefault="00B00127" w:rsidP="00885548">
            <w:pPr>
              <w:jc w:val="center"/>
            </w:pPr>
            <w:r w:rsidRPr="00F51D9E">
              <w:t>1.</w:t>
            </w:r>
          </w:p>
        </w:tc>
        <w:tc>
          <w:tcPr>
            <w:tcW w:w="2686" w:type="dxa"/>
            <w:hideMark/>
          </w:tcPr>
          <w:p w14:paraId="5E893B86" w14:textId="77777777" w:rsidR="00B00127" w:rsidRPr="00F51D9E" w:rsidRDefault="00B00127" w:rsidP="00885548">
            <w:r w:rsidRPr="00F51D9E">
              <w:t>Saistītie tiesību aktu projekti</w:t>
            </w:r>
          </w:p>
        </w:tc>
        <w:tc>
          <w:tcPr>
            <w:tcW w:w="5868" w:type="dxa"/>
            <w:hideMark/>
          </w:tcPr>
          <w:p w14:paraId="51BD5B7F" w14:textId="2383F244" w:rsidR="00B00127" w:rsidRPr="00F51D9E" w:rsidRDefault="00B00127" w:rsidP="00885548">
            <w:pPr>
              <w:jc w:val="both"/>
            </w:pPr>
            <w:r w:rsidRPr="00F51D9E">
              <w:t xml:space="preserve">Ministru kabineta rīkojuma projekts par </w:t>
            </w:r>
            <w:r w:rsidR="00637252" w:rsidRPr="00F51D9E">
              <w:t xml:space="preserve">finanšu līdzekļu piešķiršanu kompensācijas </w:t>
            </w:r>
            <w:r w:rsidR="00DA6751" w:rsidRPr="00F51D9E">
              <w:t xml:space="preserve">izmaksai </w:t>
            </w:r>
            <w:r w:rsidR="00637252" w:rsidRPr="00F51D9E">
              <w:t>no valsts budžeta programmas 02.00.00 “Līdzekļi neparedzētiem gadījumiem”</w:t>
            </w:r>
            <w:r w:rsidRPr="00F51D9E">
              <w:t>.</w:t>
            </w:r>
          </w:p>
          <w:p w14:paraId="686BEC7A" w14:textId="77777777" w:rsidR="00B00127" w:rsidRPr="00F51D9E" w:rsidRDefault="00B00127" w:rsidP="00240DEE">
            <w:pPr>
              <w:jc w:val="both"/>
            </w:pPr>
            <w:r w:rsidRPr="00F51D9E">
              <w:lastRenderedPageBreak/>
              <w:t xml:space="preserve">Šis Ministru kabineta rīkojuma projekts tiks izstrādāts, pamatojoties </w:t>
            </w:r>
            <w:r w:rsidR="002E3CB3" w:rsidRPr="00F51D9E">
              <w:t xml:space="preserve">uz </w:t>
            </w:r>
            <w:r w:rsidR="009E1141" w:rsidRPr="00F51D9E">
              <w:t>skolas</w:t>
            </w:r>
            <w:r w:rsidRPr="00F51D9E">
              <w:t xml:space="preserve"> iesniegumu par muitas maksājumu un dabas resursu nodokļu </w:t>
            </w:r>
            <w:r w:rsidR="00240DEE" w:rsidRPr="00F51D9E">
              <w:t>kompensācij</w:t>
            </w:r>
            <w:r w:rsidRPr="00F51D9E">
              <w:t>u.</w:t>
            </w:r>
          </w:p>
        </w:tc>
      </w:tr>
      <w:tr w:rsidR="00F51D9E" w:rsidRPr="00F51D9E" w14:paraId="1A35F611" w14:textId="77777777" w:rsidTr="00885548">
        <w:tc>
          <w:tcPr>
            <w:tcW w:w="576" w:type="dxa"/>
            <w:hideMark/>
          </w:tcPr>
          <w:p w14:paraId="578281B9" w14:textId="77777777" w:rsidR="00B00127" w:rsidRPr="00F51D9E" w:rsidRDefault="00B00127" w:rsidP="00885548">
            <w:pPr>
              <w:jc w:val="center"/>
            </w:pPr>
            <w:r w:rsidRPr="00F51D9E">
              <w:lastRenderedPageBreak/>
              <w:t>2.</w:t>
            </w:r>
          </w:p>
        </w:tc>
        <w:tc>
          <w:tcPr>
            <w:tcW w:w="2686" w:type="dxa"/>
            <w:hideMark/>
          </w:tcPr>
          <w:p w14:paraId="44B77451" w14:textId="77777777" w:rsidR="00B00127" w:rsidRPr="00F51D9E" w:rsidRDefault="00B00127" w:rsidP="00885548">
            <w:r w:rsidRPr="00F51D9E">
              <w:t>Atbildīgā institūcija</w:t>
            </w:r>
          </w:p>
        </w:tc>
        <w:tc>
          <w:tcPr>
            <w:tcW w:w="5868" w:type="dxa"/>
            <w:hideMark/>
          </w:tcPr>
          <w:p w14:paraId="4CF626A9" w14:textId="77777777" w:rsidR="00B00127" w:rsidRPr="00F51D9E" w:rsidRDefault="00B00127" w:rsidP="00885548">
            <w:r w:rsidRPr="00F51D9E">
              <w:t>Izglītības un zinātnes ministrija</w:t>
            </w:r>
          </w:p>
        </w:tc>
      </w:tr>
      <w:tr w:rsidR="00F51D9E" w:rsidRPr="00F51D9E" w14:paraId="1AA18239" w14:textId="77777777" w:rsidTr="00885548">
        <w:tc>
          <w:tcPr>
            <w:tcW w:w="576" w:type="dxa"/>
            <w:hideMark/>
          </w:tcPr>
          <w:p w14:paraId="232DA765" w14:textId="77777777" w:rsidR="00B00127" w:rsidRPr="00F51D9E" w:rsidRDefault="00B00127" w:rsidP="00885548">
            <w:pPr>
              <w:jc w:val="center"/>
            </w:pPr>
            <w:r w:rsidRPr="00F51D9E">
              <w:t>3.</w:t>
            </w:r>
          </w:p>
        </w:tc>
        <w:tc>
          <w:tcPr>
            <w:tcW w:w="2686" w:type="dxa"/>
            <w:hideMark/>
          </w:tcPr>
          <w:p w14:paraId="297B9087" w14:textId="77777777" w:rsidR="00B00127" w:rsidRPr="00F51D9E" w:rsidRDefault="00B00127" w:rsidP="00885548">
            <w:r w:rsidRPr="00F51D9E">
              <w:t>Cita informācija</w:t>
            </w:r>
          </w:p>
        </w:tc>
        <w:tc>
          <w:tcPr>
            <w:tcW w:w="5868" w:type="dxa"/>
            <w:hideMark/>
          </w:tcPr>
          <w:p w14:paraId="046465C9" w14:textId="77777777" w:rsidR="00B00127" w:rsidRPr="00F51D9E" w:rsidRDefault="00B00127" w:rsidP="00885548">
            <w:r w:rsidRPr="00F51D9E">
              <w:t>Nav</w:t>
            </w:r>
          </w:p>
        </w:tc>
      </w:tr>
    </w:tbl>
    <w:p w14:paraId="410D9302" w14:textId="77777777" w:rsidR="00B00127" w:rsidRPr="00F51D9E" w:rsidRDefault="00B00127" w:rsidP="00B00127">
      <w:pPr>
        <w:pStyle w:val="Title"/>
        <w:jc w:val="both"/>
        <w:rPr>
          <w:sz w:val="24"/>
          <w:szCs w:val="24"/>
        </w:rPr>
      </w:pPr>
    </w:p>
    <w:p w14:paraId="40CD8673" w14:textId="77777777" w:rsidR="00B00127" w:rsidRPr="00F51D9E" w:rsidRDefault="00B00127" w:rsidP="002C6E9A">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0"/>
        <w:gridCol w:w="5817"/>
      </w:tblGrid>
      <w:tr w:rsidR="00F51D9E" w:rsidRPr="00F51D9E" w14:paraId="00CA751D" w14:textId="77777777" w:rsidTr="009E0502">
        <w:trPr>
          <w:cantSplit/>
        </w:trPr>
        <w:tc>
          <w:tcPr>
            <w:tcW w:w="5000" w:type="pct"/>
            <w:gridSpan w:val="3"/>
            <w:vAlign w:val="center"/>
            <w:hideMark/>
          </w:tcPr>
          <w:p w14:paraId="27ABB1A3" w14:textId="77777777" w:rsidR="00BD5588" w:rsidRPr="00F51D9E" w:rsidRDefault="00BD5588" w:rsidP="002C6E9A">
            <w:pPr>
              <w:jc w:val="center"/>
              <w:rPr>
                <w:b/>
                <w:bCs/>
              </w:rPr>
            </w:pPr>
            <w:r w:rsidRPr="00F51D9E">
              <w:rPr>
                <w:b/>
                <w:bCs/>
              </w:rPr>
              <w:t>V. Tiesību akta projekta atbilstība Latvijas Republikas starptautiskajām saistībām</w:t>
            </w:r>
          </w:p>
        </w:tc>
      </w:tr>
      <w:tr w:rsidR="00F51D9E" w:rsidRPr="00F51D9E" w14:paraId="704808D0" w14:textId="77777777" w:rsidTr="009E0502">
        <w:trPr>
          <w:cantSplit/>
        </w:trPr>
        <w:tc>
          <w:tcPr>
            <w:tcW w:w="311" w:type="pct"/>
            <w:hideMark/>
          </w:tcPr>
          <w:p w14:paraId="71FB842B" w14:textId="77777777" w:rsidR="00BD5588" w:rsidRPr="00F51D9E" w:rsidRDefault="00BD5588" w:rsidP="002C6E9A">
            <w:pPr>
              <w:jc w:val="center"/>
            </w:pPr>
            <w:r w:rsidRPr="00F51D9E">
              <w:t>1.</w:t>
            </w:r>
          </w:p>
        </w:tc>
        <w:tc>
          <w:tcPr>
            <w:tcW w:w="1479" w:type="pct"/>
            <w:hideMark/>
          </w:tcPr>
          <w:p w14:paraId="590A4D06" w14:textId="77777777" w:rsidR="00BD5588" w:rsidRPr="00F51D9E" w:rsidRDefault="00BD5588" w:rsidP="002C6E9A">
            <w:r w:rsidRPr="00F51D9E">
              <w:t>Saistības pret Eiropas Savienību</w:t>
            </w:r>
          </w:p>
        </w:tc>
        <w:tc>
          <w:tcPr>
            <w:tcW w:w="3210" w:type="pct"/>
            <w:hideMark/>
          </w:tcPr>
          <w:p w14:paraId="7B39B7AB" w14:textId="77777777" w:rsidR="00BD5588" w:rsidRPr="00F51D9E" w:rsidRDefault="00B00127" w:rsidP="002C6E9A">
            <w:pPr>
              <w:rPr>
                <w:highlight w:val="yellow"/>
              </w:rPr>
            </w:pPr>
            <w:r w:rsidRPr="00F51D9E">
              <w:t>Nav attiecināms.</w:t>
            </w:r>
          </w:p>
        </w:tc>
      </w:tr>
      <w:tr w:rsidR="00F51D9E" w:rsidRPr="00F51D9E" w14:paraId="3327A036" w14:textId="77777777" w:rsidTr="009E0502">
        <w:trPr>
          <w:cantSplit/>
        </w:trPr>
        <w:tc>
          <w:tcPr>
            <w:tcW w:w="311" w:type="pct"/>
            <w:hideMark/>
          </w:tcPr>
          <w:p w14:paraId="168710C5" w14:textId="77777777" w:rsidR="00BD5588" w:rsidRPr="00F51D9E" w:rsidRDefault="00BD5588" w:rsidP="002C6E9A">
            <w:pPr>
              <w:jc w:val="center"/>
            </w:pPr>
            <w:r w:rsidRPr="00F51D9E">
              <w:t>2.</w:t>
            </w:r>
          </w:p>
        </w:tc>
        <w:tc>
          <w:tcPr>
            <w:tcW w:w="1479" w:type="pct"/>
            <w:hideMark/>
          </w:tcPr>
          <w:p w14:paraId="569B1D1F" w14:textId="77777777" w:rsidR="00BD5588" w:rsidRPr="00F51D9E" w:rsidRDefault="00BD5588" w:rsidP="002C6E9A">
            <w:r w:rsidRPr="00F51D9E">
              <w:t>Citas starptautiskās saistības</w:t>
            </w:r>
          </w:p>
        </w:tc>
        <w:tc>
          <w:tcPr>
            <w:tcW w:w="3210" w:type="pct"/>
            <w:hideMark/>
          </w:tcPr>
          <w:p w14:paraId="17B91A03" w14:textId="77777777" w:rsidR="00BD5588" w:rsidRPr="00F51D9E" w:rsidRDefault="00B00127" w:rsidP="00B00127">
            <w:pPr>
              <w:jc w:val="both"/>
            </w:pPr>
            <w:r w:rsidRPr="00F51D9E">
              <w:t>Tiks nodrošināta Latvijas Republikas saistību izpilde, kas paredzētas Latvijas Republikas valdības un Amerikas Savienoto Valstu valdības līgumā par privātās izglītības iestādes “Latvijas Starptautiskā skola” darbības nodrošināšanu.</w:t>
            </w:r>
          </w:p>
        </w:tc>
      </w:tr>
      <w:tr w:rsidR="00BD5588" w:rsidRPr="00F51D9E" w14:paraId="295B57B4" w14:textId="77777777" w:rsidTr="009E0502">
        <w:trPr>
          <w:cantSplit/>
        </w:trPr>
        <w:tc>
          <w:tcPr>
            <w:tcW w:w="311" w:type="pct"/>
            <w:hideMark/>
          </w:tcPr>
          <w:p w14:paraId="1239F729" w14:textId="77777777" w:rsidR="00BD5588" w:rsidRPr="00F51D9E" w:rsidRDefault="00BD5588" w:rsidP="002C6E9A">
            <w:pPr>
              <w:jc w:val="center"/>
            </w:pPr>
            <w:r w:rsidRPr="00F51D9E">
              <w:t>3.</w:t>
            </w:r>
          </w:p>
        </w:tc>
        <w:tc>
          <w:tcPr>
            <w:tcW w:w="1479" w:type="pct"/>
            <w:hideMark/>
          </w:tcPr>
          <w:p w14:paraId="54CB9491" w14:textId="77777777" w:rsidR="00BD5588" w:rsidRPr="00F51D9E" w:rsidRDefault="00BD5588" w:rsidP="002C6E9A">
            <w:r w:rsidRPr="00F51D9E">
              <w:t>Cita informācija</w:t>
            </w:r>
          </w:p>
        </w:tc>
        <w:tc>
          <w:tcPr>
            <w:tcW w:w="3210" w:type="pct"/>
            <w:hideMark/>
          </w:tcPr>
          <w:p w14:paraId="210F731E" w14:textId="77777777" w:rsidR="00BD5588" w:rsidRPr="00F51D9E" w:rsidRDefault="00B00127" w:rsidP="002C6E9A">
            <w:r w:rsidRPr="00F51D9E">
              <w:t>Nav.</w:t>
            </w:r>
          </w:p>
          <w:p w14:paraId="68C003B6" w14:textId="77777777" w:rsidR="00B00127" w:rsidRPr="00F51D9E" w:rsidRDefault="00B00127" w:rsidP="002C6E9A">
            <w:pPr>
              <w:rPr>
                <w:highlight w:val="yellow"/>
              </w:rPr>
            </w:pPr>
          </w:p>
        </w:tc>
      </w:tr>
    </w:tbl>
    <w:p w14:paraId="511D92E6" w14:textId="77777777" w:rsidR="004E2E09" w:rsidRPr="00F51D9E" w:rsidRDefault="004E2E09" w:rsidP="00B24D4C">
      <w:pPr>
        <w:pStyle w:val="Title"/>
        <w:jc w:val="both"/>
        <w:rPr>
          <w:sz w:val="24"/>
          <w:szCs w:val="24"/>
        </w:rPr>
      </w:pPr>
    </w:p>
    <w:p w14:paraId="2E035675" w14:textId="77777777" w:rsidR="00B00127" w:rsidRPr="00F51D9E" w:rsidRDefault="00B00127" w:rsidP="002C6E9A">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72"/>
        <w:gridCol w:w="2144"/>
        <w:gridCol w:w="1071"/>
        <w:gridCol w:w="1341"/>
        <w:gridCol w:w="2332"/>
      </w:tblGrid>
      <w:tr w:rsidR="00F51D9E" w:rsidRPr="00F51D9E" w14:paraId="389863F8" w14:textId="77777777" w:rsidTr="009E0502">
        <w:trPr>
          <w:cantSplit/>
        </w:trPr>
        <w:tc>
          <w:tcPr>
            <w:tcW w:w="5000" w:type="pct"/>
            <w:gridSpan w:val="5"/>
            <w:vAlign w:val="center"/>
            <w:hideMark/>
          </w:tcPr>
          <w:p w14:paraId="51189EFE" w14:textId="77777777" w:rsidR="00BD5588" w:rsidRPr="00F51D9E" w:rsidRDefault="00BD5588" w:rsidP="002C6E9A">
            <w:pPr>
              <w:jc w:val="center"/>
              <w:rPr>
                <w:b/>
                <w:bCs/>
              </w:rPr>
            </w:pPr>
            <w:r w:rsidRPr="00F51D9E">
              <w:rPr>
                <w:b/>
                <w:bCs/>
              </w:rPr>
              <w:t>1. tabula</w:t>
            </w:r>
            <w:r w:rsidRPr="00F51D9E">
              <w:rPr>
                <w:b/>
                <w:bCs/>
              </w:rPr>
              <w:br/>
              <w:t>Tiesību akta projekta atbilstība ES tiesību aktiem</w:t>
            </w:r>
          </w:p>
        </w:tc>
      </w:tr>
      <w:tr w:rsidR="00F51D9E" w:rsidRPr="00F51D9E" w14:paraId="3DA379E6" w14:textId="77777777" w:rsidTr="009E0502">
        <w:trPr>
          <w:cantSplit/>
        </w:trPr>
        <w:tc>
          <w:tcPr>
            <w:tcW w:w="1199" w:type="pct"/>
            <w:hideMark/>
          </w:tcPr>
          <w:p w14:paraId="493FF7EF" w14:textId="77777777" w:rsidR="00BD5588" w:rsidRPr="00F51D9E" w:rsidRDefault="00BD5588" w:rsidP="002C6E9A">
            <w:r w:rsidRPr="00F51D9E">
              <w:t>Attiecīgā ES tiesību akta datums, numurs un nosaukums</w:t>
            </w:r>
          </w:p>
        </w:tc>
        <w:tc>
          <w:tcPr>
            <w:tcW w:w="3801" w:type="pct"/>
            <w:gridSpan w:val="4"/>
            <w:hideMark/>
          </w:tcPr>
          <w:p w14:paraId="361779AC" w14:textId="77777777" w:rsidR="00BD5588" w:rsidRPr="00F51D9E" w:rsidRDefault="000666CD" w:rsidP="002C6E9A">
            <w:r w:rsidRPr="00F51D9E">
              <w:t>Nav attiecināms.</w:t>
            </w:r>
          </w:p>
        </w:tc>
      </w:tr>
      <w:tr w:rsidR="00F51D9E" w:rsidRPr="00F51D9E" w14:paraId="1EAC7F17" w14:textId="77777777" w:rsidTr="009E0502">
        <w:trPr>
          <w:cantSplit/>
        </w:trPr>
        <w:tc>
          <w:tcPr>
            <w:tcW w:w="1199" w:type="pct"/>
            <w:vAlign w:val="center"/>
            <w:hideMark/>
          </w:tcPr>
          <w:p w14:paraId="43885228" w14:textId="77777777" w:rsidR="00BD5588" w:rsidRPr="00F51D9E" w:rsidRDefault="00BD5588" w:rsidP="002C6E9A">
            <w:pPr>
              <w:jc w:val="center"/>
            </w:pPr>
            <w:r w:rsidRPr="00F51D9E">
              <w:t>A</w:t>
            </w:r>
          </w:p>
        </w:tc>
        <w:tc>
          <w:tcPr>
            <w:tcW w:w="1183" w:type="pct"/>
            <w:vAlign w:val="center"/>
            <w:hideMark/>
          </w:tcPr>
          <w:p w14:paraId="5FC4AE0F" w14:textId="77777777" w:rsidR="00BD5588" w:rsidRPr="00F51D9E" w:rsidRDefault="00BD5588" w:rsidP="002C6E9A">
            <w:pPr>
              <w:jc w:val="center"/>
            </w:pPr>
            <w:r w:rsidRPr="00F51D9E">
              <w:t>B</w:t>
            </w:r>
          </w:p>
        </w:tc>
        <w:tc>
          <w:tcPr>
            <w:tcW w:w="1331" w:type="pct"/>
            <w:gridSpan w:val="2"/>
            <w:vAlign w:val="center"/>
            <w:hideMark/>
          </w:tcPr>
          <w:p w14:paraId="17565403" w14:textId="77777777" w:rsidR="00BD5588" w:rsidRPr="00F51D9E" w:rsidRDefault="00BD5588" w:rsidP="002C6E9A">
            <w:pPr>
              <w:jc w:val="center"/>
            </w:pPr>
            <w:r w:rsidRPr="00F51D9E">
              <w:t>C</w:t>
            </w:r>
          </w:p>
        </w:tc>
        <w:tc>
          <w:tcPr>
            <w:tcW w:w="1287" w:type="pct"/>
            <w:vAlign w:val="center"/>
            <w:hideMark/>
          </w:tcPr>
          <w:p w14:paraId="65E1B368" w14:textId="77777777" w:rsidR="00BD5588" w:rsidRPr="00F51D9E" w:rsidRDefault="00BD5588" w:rsidP="002C6E9A">
            <w:pPr>
              <w:jc w:val="center"/>
            </w:pPr>
            <w:r w:rsidRPr="00F51D9E">
              <w:t>D</w:t>
            </w:r>
          </w:p>
        </w:tc>
      </w:tr>
      <w:tr w:rsidR="00F51D9E" w:rsidRPr="00F51D9E" w14:paraId="5E5812A1" w14:textId="77777777" w:rsidTr="009E0502">
        <w:trPr>
          <w:cantSplit/>
        </w:trPr>
        <w:tc>
          <w:tcPr>
            <w:tcW w:w="1199" w:type="pct"/>
            <w:hideMark/>
          </w:tcPr>
          <w:p w14:paraId="5A9454D2" w14:textId="77777777" w:rsidR="00BD5588" w:rsidRPr="00F51D9E" w:rsidRDefault="00BD5588" w:rsidP="002C6E9A">
            <w:r w:rsidRPr="00F51D9E">
              <w:t>Attiecīgā ES tiesību akta panta numurs (uzskaitot katru tiesību akta vienību – pantu, daļu, punktu, apakšpunktu)</w:t>
            </w:r>
          </w:p>
        </w:tc>
        <w:tc>
          <w:tcPr>
            <w:tcW w:w="1183" w:type="pct"/>
            <w:hideMark/>
          </w:tcPr>
          <w:p w14:paraId="0786D05D" w14:textId="77777777" w:rsidR="00BD5588" w:rsidRPr="00F51D9E" w:rsidRDefault="008F062B" w:rsidP="002C6E9A">
            <w:r w:rsidRPr="00F51D9E">
              <w:t>Nav attiecināms.</w:t>
            </w:r>
          </w:p>
        </w:tc>
        <w:tc>
          <w:tcPr>
            <w:tcW w:w="1331" w:type="pct"/>
            <w:gridSpan w:val="2"/>
            <w:hideMark/>
          </w:tcPr>
          <w:p w14:paraId="59F42B9E" w14:textId="77777777" w:rsidR="00BD5588" w:rsidRPr="00F51D9E" w:rsidRDefault="008F062B" w:rsidP="002C6E9A">
            <w:r w:rsidRPr="00F51D9E">
              <w:t>Nav attiecināms.</w:t>
            </w:r>
          </w:p>
        </w:tc>
        <w:tc>
          <w:tcPr>
            <w:tcW w:w="1287" w:type="pct"/>
            <w:hideMark/>
          </w:tcPr>
          <w:p w14:paraId="073A3035" w14:textId="77777777" w:rsidR="00BD5588" w:rsidRPr="00F51D9E" w:rsidRDefault="008F062B" w:rsidP="002C6E9A">
            <w:r w:rsidRPr="00F51D9E">
              <w:t>Nav attiecināms.</w:t>
            </w:r>
          </w:p>
        </w:tc>
      </w:tr>
      <w:tr w:rsidR="00F51D9E" w:rsidRPr="00F51D9E" w14:paraId="79547294" w14:textId="77777777" w:rsidTr="009E0502">
        <w:trPr>
          <w:cantSplit/>
        </w:trPr>
        <w:tc>
          <w:tcPr>
            <w:tcW w:w="1199" w:type="pct"/>
            <w:hideMark/>
          </w:tcPr>
          <w:p w14:paraId="73CF9F39" w14:textId="77777777" w:rsidR="00BD5588" w:rsidRPr="00F51D9E" w:rsidRDefault="00BD5588" w:rsidP="002C6E9A">
            <w:r w:rsidRPr="00F51D9E">
              <w:t xml:space="preserve">Iekļauj informāciju atbilstoši instrukcijas </w:t>
            </w:r>
            <w:r w:rsidRPr="00F51D9E">
              <w:br/>
              <w:t>56.1. apakšpunktam</w:t>
            </w:r>
          </w:p>
        </w:tc>
        <w:tc>
          <w:tcPr>
            <w:tcW w:w="1183" w:type="pct"/>
            <w:hideMark/>
          </w:tcPr>
          <w:p w14:paraId="7F1C4DC2" w14:textId="77777777" w:rsidR="00BD5588" w:rsidRPr="00F51D9E" w:rsidRDefault="008F062B" w:rsidP="002C6E9A">
            <w:r w:rsidRPr="00F51D9E">
              <w:t>Nav attiecināms.</w:t>
            </w:r>
          </w:p>
        </w:tc>
        <w:tc>
          <w:tcPr>
            <w:tcW w:w="1331" w:type="pct"/>
            <w:gridSpan w:val="2"/>
            <w:hideMark/>
          </w:tcPr>
          <w:p w14:paraId="7BDFF5A6" w14:textId="77777777" w:rsidR="00BD5588" w:rsidRPr="00F51D9E" w:rsidRDefault="008F062B" w:rsidP="002C6E9A">
            <w:r w:rsidRPr="00F51D9E">
              <w:t>Nav attiecināms.</w:t>
            </w:r>
          </w:p>
        </w:tc>
        <w:tc>
          <w:tcPr>
            <w:tcW w:w="1287" w:type="pct"/>
            <w:hideMark/>
          </w:tcPr>
          <w:p w14:paraId="59DFC9FA" w14:textId="77777777" w:rsidR="00BD5588" w:rsidRPr="00F51D9E" w:rsidRDefault="008F062B" w:rsidP="002C6E9A">
            <w:r w:rsidRPr="00F51D9E">
              <w:t>Nav attiecināms.</w:t>
            </w:r>
          </w:p>
        </w:tc>
      </w:tr>
      <w:tr w:rsidR="00F51D9E" w:rsidRPr="00F51D9E" w14:paraId="171ADE2C" w14:textId="77777777" w:rsidTr="009E0502">
        <w:trPr>
          <w:cantSplit/>
        </w:trPr>
        <w:tc>
          <w:tcPr>
            <w:tcW w:w="1199" w:type="pct"/>
            <w:hideMark/>
          </w:tcPr>
          <w:p w14:paraId="37BC9426" w14:textId="77777777" w:rsidR="00BD5588" w:rsidRPr="00F51D9E" w:rsidRDefault="00BD5588" w:rsidP="002C6E9A">
            <w:r w:rsidRPr="00F51D9E">
              <w:t>Kā ir izmantota ES tiesību aktā paredzētā rīcības brīvība dalībvalstij pārņemt vai ieviest noteiktas ES tiesību akta normas? Kādēļ?</w:t>
            </w:r>
          </w:p>
        </w:tc>
        <w:tc>
          <w:tcPr>
            <w:tcW w:w="3801" w:type="pct"/>
            <w:gridSpan w:val="4"/>
            <w:hideMark/>
          </w:tcPr>
          <w:p w14:paraId="588C3D5C" w14:textId="77777777" w:rsidR="00BD5588" w:rsidRPr="00F51D9E" w:rsidRDefault="008F062B" w:rsidP="002C6E9A">
            <w:r w:rsidRPr="00F51D9E">
              <w:t>Nav attiecināms.</w:t>
            </w:r>
          </w:p>
        </w:tc>
      </w:tr>
      <w:tr w:rsidR="00F51D9E" w:rsidRPr="00F51D9E" w14:paraId="4CBF715F" w14:textId="77777777" w:rsidTr="009E0502">
        <w:trPr>
          <w:cantSplit/>
        </w:trPr>
        <w:tc>
          <w:tcPr>
            <w:tcW w:w="1199" w:type="pct"/>
            <w:hideMark/>
          </w:tcPr>
          <w:p w14:paraId="7CC9F919" w14:textId="77777777" w:rsidR="00BD5588" w:rsidRPr="00F51D9E" w:rsidRDefault="00BD5588" w:rsidP="002C6E9A">
            <w:r w:rsidRPr="00F51D9E">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4"/>
            <w:hideMark/>
          </w:tcPr>
          <w:p w14:paraId="6B664058" w14:textId="77777777" w:rsidR="00BD5588" w:rsidRPr="00F51D9E" w:rsidRDefault="008F062B" w:rsidP="002C6E9A">
            <w:r w:rsidRPr="00F51D9E">
              <w:t>Nav attiecināms.</w:t>
            </w:r>
          </w:p>
        </w:tc>
      </w:tr>
      <w:tr w:rsidR="00F51D9E" w:rsidRPr="00F51D9E" w14:paraId="0CDC3999" w14:textId="77777777" w:rsidTr="009E0502">
        <w:trPr>
          <w:cantSplit/>
        </w:trPr>
        <w:tc>
          <w:tcPr>
            <w:tcW w:w="1199" w:type="pct"/>
            <w:hideMark/>
          </w:tcPr>
          <w:p w14:paraId="676D17A9" w14:textId="77777777" w:rsidR="00BD5588" w:rsidRPr="00F51D9E" w:rsidRDefault="00BD5588" w:rsidP="002C6E9A">
            <w:r w:rsidRPr="00F51D9E">
              <w:t>Cita informācija</w:t>
            </w:r>
          </w:p>
        </w:tc>
        <w:tc>
          <w:tcPr>
            <w:tcW w:w="3801" w:type="pct"/>
            <w:gridSpan w:val="4"/>
            <w:hideMark/>
          </w:tcPr>
          <w:p w14:paraId="5F31998A" w14:textId="77777777" w:rsidR="00BD5588" w:rsidRPr="00F51D9E" w:rsidRDefault="008F062B" w:rsidP="008F062B">
            <w:r w:rsidRPr="00F51D9E">
              <w:t>Nav.</w:t>
            </w:r>
          </w:p>
        </w:tc>
      </w:tr>
      <w:tr w:rsidR="00F51D9E" w:rsidRPr="00F51D9E" w14:paraId="77E4239C" w14:textId="77777777" w:rsidTr="009E0502">
        <w:trPr>
          <w:cantSplit/>
        </w:trPr>
        <w:tc>
          <w:tcPr>
            <w:tcW w:w="5000" w:type="pct"/>
            <w:gridSpan w:val="5"/>
            <w:vAlign w:val="center"/>
            <w:hideMark/>
          </w:tcPr>
          <w:p w14:paraId="779A5CB9" w14:textId="77777777" w:rsidR="00BD5588" w:rsidRPr="00F51D9E" w:rsidRDefault="00BD5588" w:rsidP="002C6E9A">
            <w:pPr>
              <w:jc w:val="center"/>
              <w:rPr>
                <w:b/>
                <w:bCs/>
              </w:rPr>
            </w:pPr>
            <w:r w:rsidRPr="00F51D9E">
              <w:rPr>
                <w:b/>
                <w:bCs/>
              </w:rPr>
              <w:t>2. tabula</w:t>
            </w:r>
            <w:r w:rsidRPr="00F51D9E">
              <w:rPr>
                <w:b/>
                <w:bCs/>
              </w:rPr>
              <w:br/>
              <w:t>Ar tiesību akta projektu izpildītās vai uzņemtās saistības, kas izriet no starptautiskajiem tiesību aktiem vai starptautiskas institūcijas vai organizācijas dokumentiem.</w:t>
            </w:r>
            <w:r w:rsidRPr="00F51D9E">
              <w:rPr>
                <w:b/>
                <w:bCs/>
              </w:rPr>
              <w:br/>
              <w:t>Pasākumi šo saistību izpildei</w:t>
            </w:r>
          </w:p>
        </w:tc>
      </w:tr>
      <w:tr w:rsidR="00F51D9E" w:rsidRPr="00F51D9E" w14:paraId="4B88C38C" w14:textId="77777777" w:rsidTr="009E0502">
        <w:trPr>
          <w:cantSplit/>
        </w:trPr>
        <w:tc>
          <w:tcPr>
            <w:tcW w:w="1199" w:type="pct"/>
            <w:hideMark/>
          </w:tcPr>
          <w:p w14:paraId="06370200" w14:textId="77777777" w:rsidR="00BD5588" w:rsidRPr="00F51D9E" w:rsidRDefault="00BD5588" w:rsidP="002C6E9A">
            <w:r w:rsidRPr="00F51D9E">
              <w:t>Attiecīgā starptautiskā tiesību akta vai starptautiskas institūcijas vai organizācijas dokumenta (turpmāk – starptautiskais dokuments) datums, numurs un nosaukums</w:t>
            </w:r>
          </w:p>
        </w:tc>
        <w:tc>
          <w:tcPr>
            <w:tcW w:w="3801" w:type="pct"/>
            <w:gridSpan w:val="4"/>
            <w:hideMark/>
          </w:tcPr>
          <w:p w14:paraId="075463E4" w14:textId="6214207D" w:rsidR="00BD5588" w:rsidRPr="00F51D9E" w:rsidRDefault="00E027AF" w:rsidP="00E027AF">
            <w:pPr>
              <w:jc w:val="both"/>
            </w:pPr>
            <w:r w:rsidRPr="00F51D9E">
              <w:t>2003.</w:t>
            </w:r>
            <w:r w:rsidR="00D04F4C" w:rsidRPr="00F51D9E">
              <w:t> </w:t>
            </w:r>
            <w:r w:rsidRPr="00F51D9E">
              <w:t>gada 12.</w:t>
            </w:r>
            <w:r w:rsidR="00D04F4C" w:rsidRPr="00F51D9E">
              <w:t> </w:t>
            </w:r>
            <w:r w:rsidRPr="00F51D9E">
              <w:t>martā parakstītais Latvijas Republikas valdības un Amerikas Savienoto Valstu valdības līgums par privātās izglītības iestādes “Latvijas Starptautiskā skola” darbības nodrošināšanu, kurš pieņemts un apstiprināts saskaņā ar 2006.</w:t>
            </w:r>
            <w:r w:rsidR="00D04F4C" w:rsidRPr="00F51D9E">
              <w:t> </w:t>
            </w:r>
            <w:r w:rsidRPr="00F51D9E">
              <w:t>gada 15.</w:t>
            </w:r>
            <w:r w:rsidR="00D04F4C" w:rsidRPr="00F51D9E">
              <w:t> </w:t>
            </w:r>
            <w:r w:rsidRPr="00F51D9E">
              <w:t xml:space="preserve">jūnija likumu “Par Latvijas Republikas valdības un Amerikas Savienoto Valstu valdības līgumu par privātās izglītības iestādes “Latvijas Starptautiskā skola” darbības nodrošināšanu”. </w:t>
            </w:r>
          </w:p>
        </w:tc>
      </w:tr>
      <w:tr w:rsidR="00F51D9E" w:rsidRPr="00F51D9E" w14:paraId="56B572ED" w14:textId="77777777" w:rsidTr="009E0502">
        <w:trPr>
          <w:cantSplit/>
        </w:trPr>
        <w:tc>
          <w:tcPr>
            <w:tcW w:w="1199" w:type="pct"/>
            <w:vAlign w:val="center"/>
            <w:hideMark/>
          </w:tcPr>
          <w:p w14:paraId="58C2A1A8" w14:textId="77777777" w:rsidR="00BD5588" w:rsidRPr="00F51D9E" w:rsidRDefault="00BD5588" w:rsidP="002C6E9A">
            <w:pPr>
              <w:jc w:val="center"/>
            </w:pPr>
            <w:r w:rsidRPr="00F51D9E">
              <w:t>A</w:t>
            </w:r>
          </w:p>
        </w:tc>
        <w:tc>
          <w:tcPr>
            <w:tcW w:w="1774" w:type="pct"/>
            <w:gridSpan w:val="2"/>
            <w:vAlign w:val="center"/>
            <w:hideMark/>
          </w:tcPr>
          <w:p w14:paraId="3DC09508" w14:textId="77777777" w:rsidR="00BD5588" w:rsidRPr="00F51D9E" w:rsidRDefault="00BD5588" w:rsidP="002C6E9A">
            <w:pPr>
              <w:jc w:val="center"/>
            </w:pPr>
            <w:r w:rsidRPr="00F51D9E">
              <w:t>B</w:t>
            </w:r>
          </w:p>
        </w:tc>
        <w:tc>
          <w:tcPr>
            <w:tcW w:w="2027" w:type="pct"/>
            <w:gridSpan w:val="2"/>
            <w:vAlign w:val="center"/>
            <w:hideMark/>
          </w:tcPr>
          <w:p w14:paraId="20221612" w14:textId="77777777" w:rsidR="00BD5588" w:rsidRPr="00F51D9E" w:rsidRDefault="00BD5588" w:rsidP="002C6E9A">
            <w:pPr>
              <w:jc w:val="center"/>
            </w:pPr>
            <w:r w:rsidRPr="00F51D9E">
              <w:t>C</w:t>
            </w:r>
          </w:p>
        </w:tc>
      </w:tr>
      <w:tr w:rsidR="00F51D9E" w:rsidRPr="00F51D9E" w14:paraId="1EF27F3E" w14:textId="77777777" w:rsidTr="009E0502">
        <w:trPr>
          <w:cantSplit/>
        </w:trPr>
        <w:tc>
          <w:tcPr>
            <w:tcW w:w="1199" w:type="pct"/>
            <w:hideMark/>
          </w:tcPr>
          <w:p w14:paraId="0A06C565" w14:textId="17F1D17A" w:rsidR="00BD5588" w:rsidRPr="00F51D9E" w:rsidRDefault="00E027AF" w:rsidP="00E83CCA">
            <w:pPr>
              <w:jc w:val="both"/>
            </w:pPr>
            <w:r w:rsidRPr="00F51D9E">
              <w:t xml:space="preserve">Tiks veikta muitas maksājumu un dabas resursu nodokļa </w:t>
            </w:r>
            <w:r w:rsidR="00240DEE" w:rsidRPr="00F51D9E">
              <w:t>kompensācija</w:t>
            </w:r>
            <w:r w:rsidRPr="00F51D9E">
              <w:t xml:space="preserve"> par   </w:t>
            </w:r>
            <w:r w:rsidR="009E1141" w:rsidRPr="00F51D9E">
              <w:t>skolas</w:t>
            </w:r>
            <w:r w:rsidRPr="00F51D9E">
              <w:t xml:space="preserve"> vajadzībām </w:t>
            </w:r>
            <w:r w:rsidR="00E83CCA" w:rsidRPr="00F51D9E">
              <w:t xml:space="preserve">ieviestajām </w:t>
            </w:r>
            <w:r w:rsidRPr="00F51D9E">
              <w:t>precēm.</w:t>
            </w:r>
          </w:p>
        </w:tc>
        <w:tc>
          <w:tcPr>
            <w:tcW w:w="1774" w:type="pct"/>
            <w:gridSpan w:val="2"/>
            <w:hideMark/>
          </w:tcPr>
          <w:p w14:paraId="40CF5842" w14:textId="32FE06B2" w:rsidR="00E027AF" w:rsidRPr="00F51D9E" w:rsidRDefault="00E027AF" w:rsidP="00E027AF">
            <w:pPr>
              <w:jc w:val="both"/>
            </w:pPr>
            <w:r w:rsidRPr="00F51D9E">
              <w:t xml:space="preserve">Tiks izstrādāts Ministru kabineta rīkojuma projekts par </w:t>
            </w:r>
            <w:r w:rsidR="00637252" w:rsidRPr="00F51D9E">
              <w:t xml:space="preserve">finanšu līdzekļu piešķiršanu kompensācijas </w:t>
            </w:r>
            <w:r w:rsidR="00DA6751" w:rsidRPr="00F51D9E">
              <w:t xml:space="preserve">izmaksai </w:t>
            </w:r>
            <w:r w:rsidR="00637252" w:rsidRPr="00F51D9E">
              <w:t>no valsts budžeta programmas 02.00.00 “Līdzekļi neparedzētiem gadījumiem”</w:t>
            </w:r>
            <w:r w:rsidRPr="00F51D9E">
              <w:t>.</w:t>
            </w:r>
          </w:p>
          <w:p w14:paraId="6D79A807" w14:textId="77777777" w:rsidR="00BD5588" w:rsidRPr="00F51D9E" w:rsidRDefault="00BD5588" w:rsidP="002C6E9A"/>
        </w:tc>
        <w:tc>
          <w:tcPr>
            <w:tcW w:w="2027" w:type="pct"/>
            <w:gridSpan w:val="2"/>
            <w:hideMark/>
          </w:tcPr>
          <w:p w14:paraId="6F2FFC64" w14:textId="77777777" w:rsidR="00BD5588" w:rsidRPr="00F51D9E" w:rsidRDefault="00E027AF" w:rsidP="00E027AF">
            <w:pPr>
              <w:jc w:val="both"/>
            </w:pPr>
            <w:r w:rsidRPr="00F51D9E">
              <w:t xml:space="preserve">Latvijas puses saistības tiks izpildītas pilnībā. Par saistību izpildi </w:t>
            </w:r>
            <w:r w:rsidR="009D605C" w:rsidRPr="00F51D9E">
              <w:t xml:space="preserve">ir </w:t>
            </w:r>
            <w:r w:rsidRPr="00F51D9E">
              <w:t>atbildīga Izglītības un zinātnes ministrija.</w:t>
            </w:r>
          </w:p>
        </w:tc>
      </w:tr>
      <w:tr w:rsidR="00F51D9E" w:rsidRPr="00F51D9E" w14:paraId="5BA87C2D" w14:textId="77777777" w:rsidTr="009E0502">
        <w:trPr>
          <w:cantSplit/>
        </w:trPr>
        <w:tc>
          <w:tcPr>
            <w:tcW w:w="1199" w:type="pct"/>
            <w:hideMark/>
          </w:tcPr>
          <w:p w14:paraId="58082B30" w14:textId="77777777" w:rsidR="00BD5588" w:rsidRPr="00F51D9E" w:rsidRDefault="00E027AF" w:rsidP="002C6E9A">
            <w:r w:rsidRPr="00F51D9E">
              <w:t>Nav attiecināms.</w:t>
            </w:r>
          </w:p>
        </w:tc>
        <w:tc>
          <w:tcPr>
            <w:tcW w:w="1774" w:type="pct"/>
            <w:gridSpan w:val="2"/>
            <w:hideMark/>
          </w:tcPr>
          <w:p w14:paraId="4C6DBD15" w14:textId="77777777" w:rsidR="00BD5588" w:rsidRPr="00F51D9E" w:rsidRDefault="00E027AF" w:rsidP="002C6E9A">
            <w:r w:rsidRPr="00F51D9E">
              <w:t>Nav attiecināms.</w:t>
            </w:r>
          </w:p>
        </w:tc>
        <w:tc>
          <w:tcPr>
            <w:tcW w:w="2027" w:type="pct"/>
            <w:gridSpan w:val="2"/>
            <w:hideMark/>
          </w:tcPr>
          <w:p w14:paraId="28FBB701" w14:textId="77777777" w:rsidR="00BD5588" w:rsidRPr="00F51D9E" w:rsidRDefault="00E027AF" w:rsidP="002C6E9A">
            <w:r w:rsidRPr="00F51D9E">
              <w:t>Nav attiecināms.</w:t>
            </w:r>
          </w:p>
        </w:tc>
      </w:tr>
      <w:tr w:rsidR="00F51D9E" w:rsidRPr="00F51D9E" w14:paraId="67745640" w14:textId="77777777" w:rsidTr="009E0502">
        <w:trPr>
          <w:cantSplit/>
        </w:trPr>
        <w:tc>
          <w:tcPr>
            <w:tcW w:w="1199" w:type="pct"/>
            <w:hideMark/>
          </w:tcPr>
          <w:p w14:paraId="69B0A9E1" w14:textId="77777777" w:rsidR="00BD5588" w:rsidRPr="00F51D9E" w:rsidRDefault="00BD5588" w:rsidP="002C6E9A">
            <w:r w:rsidRPr="00F51D9E">
              <w:lastRenderedPageBreak/>
              <w:t>Vai starptautiskajā dokumentā paredzētās saistības nav pretrunā ar jau esošajām Latvijas Republikas starptautiskajām saistībām</w:t>
            </w:r>
          </w:p>
        </w:tc>
        <w:tc>
          <w:tcPr>
            <w:tcW w:w="3801" w:type="pct"/>
            <w:gridSpan w:val="4"/>
            <w:hideMark/>
          </w:tcPr>
          <w:p w14:paraId="39720D48" w14:textId="77777777" w:rsidR="00BD5588" w:rsidRPr="00F51D9E" w:rsidRDefault="00E027AF" w:rsidP="002C6E9A">
            <w:r w:rsidRPr="00F51D9E">
              <w:t>Nav attiecināms.</w:t>
            </w:r>
          </w:p>
        </w:tc>
      </w:tr>
      <w:tr w:rsidR="00BD5588" w:rsidRPr="00F51D9E" w14:paraId="1A95FC8C" w14:textId="77777777" w:rsidTr="009E0502">
        <w:trPr>
          <w:cantSplit/>
        </w:trPr>
        <w:tc>
          <w:tcPr>
            <w:tcW w:w="1199" w:type="pct"/>
            <w:hideMark/>
          </w:tcPr>
          <w:p w14:paraId="751DBFF2" w14:textId="77777777" w:rsidR="00BD5588" w:rsidRPr="00F51D9E" w:rsidRDefault="00BD5588" w:rsidP="002C6E9A">
            <w:r w:rsidRPr="00F51D9E">
              <w:t>Cita informācija</w:t>
            </w:r>
          </w:p>
        </w:tc>
        <w:tc>
          <w:tcPr>
            <w:tcW w:w="3801" w:type="pct"/>
            <w:gridSpan w:val="4"/>
            <w:hideMark/>
          </w:tcPr>
          <w:p w14:paraId="115999EF" w14:textId="77777777" w:rsidR="00BD5588" w:rsidRPr="00F51D9E" w:rsidRDefault="00E027AF" w:rsidP="002C6E9A">
            <w:r w:rsidRPr="00F51D9E">
              <w:t>Nav.</w:t>
            </w:r>
          </w:p>
          <w:p w14:paraId="35731268" w14:textId="77777777" w:rsidR="00E027AF" w:rsidRPr="00F51D9E" w:rsidRDefault="00E027AF" w:rsidP="002C6E9A">
            <w:pPr>
              <w:rPr>
                <w:b/>
              </w:rPr>
            </w:pPr>
          </w:p>
        </w:tc>
      </w:tr>
    </w:tbl>
    <w:p w14:paraId="07063565" w14:textId="77777777" w:rsidR="00BD5588" w:rsidRPr="00F51D9E" w:rsidRDefault="00BD5588" w:rsidP="002C6E9A">
      <w:pPr>
        <w:pStyle w:val="Title"/>
        <w:ind w:firstLine="539"/>
        <w:jc w:val="both"/>
        <w:rPr>
          <w:sz w:val="24"/>
          <w:szCs w:val="24"/>
        </w:rPr>
      </w:pPr>
    </w:p>
    <w:p w14:paraId="143B0F74" w14:textId="77777777" w:rsidR="00E027AF" w:rsidRPr="00F51D9E" w:rsidRDefault="00E027AF" w:rsidP="002C6E9A">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0"/>
        <w:gridCol w:w="5817"/>
      </w:tblGrid>
      <w:tr w:rsidR="00F51D9E" w:rsidRPr="00F51D9E" w14:paraId="1A14E1E6" w14:textId="77777777" w:rsidTr="009E0502">
        <w:trPr>
          <w:cantSplit/>
        </w:trPr>
        <w:tc>
          <w:tcPr>
            <w:tcW w:w="5000" w:type="pct"/>
            <w:gridSpan w:val="3"/>
            <w:vAlign w:val="center"/>
            <w:hideMark/>
          </w:tcPr>
          <w:p w14:paraId="38CC8B9D" w14:textId="77777777" w:rsidR="00BD5588" w:rsidRPr="00F51D9E" w:rsidRDefault="00BD5588" w:rsidP="002C6E9A">
            <w:pPr>
              <w:jc w:val="center"/>
              <w:rPr>
                <w:b/>
                <w:bCs/>
              </w:rPr>
            </w:pPr>
            <w:r w:rsidRPr="00F51D9E">
              <w:rPr>
                <w:b/>
                <w:bCs/>
              </w:rPr>
              <w:t>VI. Sabiedrības līdzdalība un komunikācijas aktivitātes</w:t>
            </w:r>
          </w:p>
        </w:tc>
      </w:tr>
      <w:tr w:rsidR="00F51D9E" w:rsidRPr="00F51D9E" w14:paraId="7068EB88" w14:textId="77777777" w:rsidTr="009E0502">
        <w:trPr>
          <w:cantSplit/>
        </w:trPr>
        <w:tc>
          <w:tcPr>
            <w:tcW w:w="311" w:type="pct"/>
            <w:hideMark/>
          </w:tcPr>
          <w:p w14:paraId="2E2B028E" w14:textId="77777777" w:rsidR="00BD5588" w:rsidRPr="00F51D9E" w:rsidRDefault="00BD5588" w:rsidP="002C6E9A">
            <w:pPr>
              <w:jc w:val="center"/>
            </w:pPr>
            <w:r w:rsidRPr="00F51D9E">
              <w:t>1.</w:t>
            </w:r>
          </w:p>
        </w:tc>
        <w:tc>
          <w:tcPr>
            <w:tcW w:w="1479" w:type="pct"/>
            <w:hideMark/>
          </w:tcPr>
          <w:p w14:paraId="430DDECC" w14:textId="77777777" w:rsidR="00BD5588" w:rsidRPr="00F51D9E" w:rsidRDefault="00BD5588" w:rsidP="002C6E9A">
            <w:r w:rsidRPr="00F51D9E">
              <w:t>Plānotās sabiedrības līdzdalības un komunikācijas aktivitātes saistībā ar projektu</w:t>
            </w:r>
          </w:p>
        </w:tc>
        <w:tc>
          <w:tcPr>
            <w:tcW w:w="3210" w:type="pct"/>
            <w:hideMark/>
          </w:tcPr>
          <w:p w14:paraId="62BD63A5" w14:textId="4B1801CC" w:rsidR="00BD5588" w:rsidRPr="00F51D9E" w:rsidRDefault="00B61F7F" w:rsidP="00B61F7F">
            <w:pPr>
              <w:jc w:val="both"/>
            </w:pPr>
            <w:r w:rsidRPr="00F51D9E">
              <w:t>Ministru kabineta noteikumu projekts neti</w:t>
            </w:r>
            <w:r w:rsidR="00B24D4C" w:rsidRPr="00F51D9E">
              <w:t>ek</w:t>
            </w:r>
            <w:r w:rsidRPr="00F51D9E">
              <w:t xml:space="preserve"> publicēts pirms izsludināšanas Valsts sekretāru sanāksmē, jo tas i</w:t>
            </w:r>
            <w:r w:rsidR="00B24D4C" w:rsidRPr="00F51D9E">
              <w:t>z</w:t>
            </w:r>
            <w:r w:rsidRPr="00F51D9E">
              <w:t>riet no Latvijas starptautiskajām saistībām un ir saistīts ar vienas izglītības iestādes darbību.</w:t>
            </w:r>
          </w:p>
          <w:p w14:paraId="06291074" w14:textId="065C8678" w:rsidR="00B61F7F" w:rsidRPr="00F51D9E" w:rsidRDefault="00B61F7F" w:rsidP="00B61F7F">
            <w:pPr>
              <w:jc w:val="both"/>
            </w:pPr>
            <w:r w:rsidRPr="00F51D9E">
              <w:t>Iespēja sniegt komentārus par Ministru kabineta noteikumu projektu būs pēc tā izsludināšanas Valsts sekretāru sanāksmē.</w:t>
            </w:r>
          </w:p>
        </w:tc>
      </w:tr>
      <w:tr w:rsidR="00F51D9E" w:rsidRPr="00F51D9E" w14:paraId="670336BB" w14:textId="77777777" w:rsidTr="009E0502">
        <w:trPr>
          <w:cantSplit/>
        </w:trPr>
        <w:tc>
          <w:tcPr>
            <w:tcW w:w="311" w:type="pct"/>
            <w:hideMark/>
          </w:tcPr>
          <w:p w14:paraId="0420C5DC" w14:textId="16A4A216" w:rsidR="00BD5588" w:rsidRPr="00F51D9E" w:rsidRDefault="00BD5588" w:rsidP="002C6E9A">
            <w:pPr>
              <w:jc w:val="center"/>
            </w:pPr>
            <w:r w:rsidRPr="00F51D9E">
              <w:t>2.</w:t>
            </w:r>
          </w:p>
        </w:tc>
        <w:tc>
          <w:tcPr>
            <w:tcW w:w="1479" w:type="pct"/>
            <w:hideMark/>
          </w:tcPr>
          <w:p w14:paraId="7853295D" w14:textId="77777777" w:rsidR="00BD5588" w:rsidRPr="00F51D9E" w:rsidRDefault="00BD5588" w:rsidP="002C6E9A">
            <w:r w:rsidRPr="00F51D9E">
              <w:t>Sabiedrības līdzdalība projekta izstrādē</w:t>
            </w:r>
          </w:p>
        </w:tc>
        <w:tc>
          <w:tcPr>
            <w:tcW w:w="3210" w:type="pct"/>
            <w:hideMark/>
          </w:tcPr>
          <w:p w14:paraId="2966C794" w14:textId="77777777" w:rsidR="00BD5588" w:rsidRPr="00F51D9E" w:rsidRDefault="00E027AF" w:rsidP="00546F9A">
            <w:pPr>
              <w:jc w:val="both"/>
            </w:pPr>
            <w:r w:rsidRPr="00F51D9E">
              <w:t>Nav attiecināms.</w:t>
            </w:r>
          </w:p>
        </w:tc>
      </w:tr>
      <w:tr w:rsidR="00F51D9E" w:rsidRPr="00F51D9E" w14:paraId="176E327B" w14:textId="77777777" w:rsidTr="009E0502">
        <w:trPr>
          <w:cantSplit/>
        </w:trPr>
        <w:tc>
          <w:tcPr>
            <w:tcW w:w="311" w:type="pct"/>
            <w:hideMark/>
          </w:tcPr>
          <w:p w14:paraId="01578618" w14:textId="77777777" w:rsidR="00BD5588" w:rsidRPr="00F51D9E" w:rsidRDefault="00BD5588" w:rsidP="002C6E9A">
            <w:pPr>
              <w:jc w:val="center"/>
            </w:pPr>
            <w:r w:rsidRPr="00F51D9E">
              <w:t>3.</w:t>
            </w:r>
          </w:p>
        </w:tc>
        <w:tc>
          <w:tcPr>
            <w:tcW w:w="1479" w:type="pct"/>
            <w:hideMark/>
          </w:tcPr>
          <w:p w14:paraId="15BFF840" w14:textId="77777777" w:rsidR="00BD5588" w:rsidRPr="00F51D9E" w:rsidRDefault="00BD5588" w:rsidP="002C6E9A">
            <w:r w:rsidRPr="00F51D9E">
              <w:t>Sabiedrības līdzdalības rezultāti</w:t>
            </w:r>
          </w:p>
        </w:tc>
        <w:tc>
          <w:tcPr>
            <w:tcW w:w="3210" w:type="pct"/>
            <w:hideMark/>
          </w:tcPr>
          <w:p w14:paraId="00A36534" w14:textId="77777777" w:rsidR="00BD5588" w:rsidRPr="00F51D9E" w:rsidRDefault="00E027AF" w:rsidP="00546F9A">
            <w:pPr>
              <w:jc w:val="both"/>
            </w:pPr>
            <w:r w:rsidRPr="00F51D9E">
              <w:t>Nav attiecināms.</w:t>
            </w:r>
          </w:p>
        </w:tc>
      </w:tr>
      <w:tr w:rsidR="00BD5588" w:rsidRPr="00F51D9E" w14:paraId="33633479" w14:textId="77777777" w:rsidTr="009E0502">
        <w:trPr>
          <w:cantSplit/>
        </w:trPr>
        <w:tc>
          <w:tcPr>
            <w:tcW w:w="311" w:type="pct"/>
            <w:hideMark/>
          </w:tcPr>
          <w:p w14:paraId="79934574" w14:textId="77777777" w:rsidR="00BD5588" w:rsidRPr="00F51D9E" w:rsidRDefault="00BD5588" w:rsidP="002C6E9A">
            <w:pPr>
              <w:jc w:val="center"/>
            </w:pPr>
            <w:r w:rsidRPr="00F51D9E">
              <w:t>4.</w:t>
            </w:r>
          </w:p>
        </w:tc>
        <w:tc>
          <w:tcPr>
            <w:tcW w:w="1479" w:type="pct"/>
            <w:hideMark/>
          </w:tcPr>
          <w:p w14:paraId="21DC59A5" w14:textId="77777777" w:rsidR="00BD5588" w:rsidRPr="00F51D9E" w:rsidRDefault="00BD5588" w:rsidP="002C6E9A">
            <w:r w:rsidRPr="00F51D9E">
              <w:t>Cita informācija</w:t>
            </w:r>
          </w:p>
        </w:tc>
        <w:tc>
          <w:tcPr>
            <w:tcW w:w="3210" w:type="pct"/>
            <w:hideMark/>
          </w:tcPr>
          <w:p w14:paraId="1D67D500" w14:textId="77777777" w:rsidR="00BD5588" w:rsidRPr="00F51D9E" w:rsidRDefault="00546F9A" w:rsidP="00546F9A">
            <w:pPr>
              <w:jc w:val="both"/>
            </w:pPr>
            <w:r w:rsidRPr="00F51D9E">
              <w:t>Nav.</w:t>
            </w:r>
          </w:p>
        </w:tc>
      </w:tr>
    </w:tbl>
    <w:p w14:paraId="7FE0C6C4" w14:textId="77777777" w:rsidR="00BD5588" w:rsidRPr="00F51D9E" w:rsidRDefault="00BD5588" w:rsidP="002C6E9A">
      <w:pPr>
        <w:pStyle w:val="Title"/>
        <w:ind w:firstLine="539"/>
        <w:jc w:val="both"/>
        <w:rPr>
          <w:sz w:val="24"/>
          <w:szCs w:val="24"/>
        </w:rPr>
      </w:pPr>
    </w:p>
    <w:p w14:paraId="75C112F0" w14:textId="77777777" w:rsidR="004E2E09" w:rsidRPr="00F51D9E" w:rsidRDefault="004E2E09" w:rsidP="00B24D4C">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0"/>
        <w:gridCol w:w="5817"/>
      </w:tblGrid>
      <w:tr w:rsidR="00F51D9E" w:rsidRPr="00F51D9E" w14:paraId="3BFC56F0" w14:textId="77777777" w:rsidTr="009E0502">
        <w:trPr>
          <w:cantSplit/>
        </w:trPr>
        <w:tc>
          <w:tcPr>
            <w:tcW w:w="5000" w:type="pct"/>
            <w:gridSpan w:val="3"/>
            <w:vAlign w:val="center"/>
            <w:hideMark/>
          </w:tcPr>
          <w:p w14:paraId="57F3B890" w14:textId="77777777" w:rsidR="00BD5588" w:rsidRPr="00F51D9E" w:rsidRDefault="00BD5588" w:rsidP="002C6E9A">
            <w:pPr>
              <w:jc w:val="center"/>
              <w:rPr>
                <w:b/>
                <w:bCs/>
              </w:rPr>
            </w:pPr>
            <w:r w:rsidRPr="00F51D9E">
              <w:rPr>
                <w:b/>
                <w:bCs/>
              </w:rPr>
              <w:t>VII. Tiesību akta projekta izpildes nodrošināšana un tās ietekme uz institūcijām</w:t>
            </w:r>
          </w:p>
        </w:tc>
      </w:tr>
      <w:tr w:rsidR="00F51D9E" w:rsidRPr="00F51D9E" w14:paraId="669FB831" w14:textId="77777777" w:rsidTr="009E0502">
        <w:trPr>
          <w:cantSplit/>
        </w:trPr>
        <w:tc>
          <w:tcPr>
            <w:tcW w:w="311" w:type="pct"/>
            <w:hideMark/>
          </w:tcPr>
          <w:p w14:paraId="5A9FFADF" w14:textId="77777777" w:rsidR="00BD5588" w:rsidRPr="00F51D9E" w:rsidRDefault="00BD5588" w:rsidP="002C6E9A">
            <w:pPr>
              <w:jc w:val="center"/>
            </w:pPr>
            <w:r w:rsidRPr="00F51D9E">
              <w:t>1.</w:t>
            </w:r>
          </w:p>
        </w:tc>
        <w:tc>
          <w:tcPr>
            <w:tcW w:w="1479" w:type="pct"/>
            <w:hideMark/>
          </w:tcPr>
          <w:p w14:paraId="46681401" w14:textId="77777777" w:rsidR="00BD5588" w:rsidRPr="00F51D9E" w:rsidRDefault="00BD5588" w:rsidP="002C6E9A">
            <w:r w:rsidRPr="00F51D9E">
              <w:t>Projekta izpildē iesaistītās institūcijas</w:t>
            </w:r>
          </w:p>
        </w:tc>
        <w:tc>
          <w:tcPr>
            <w:tcW w:w="3210" w:type="pct"/>
            <w:hideMark/>
          </w:tcPr>
          <w:p w14:paraId="21D43FC9" w14:textId="77777777" w:rsidR="00BD5588" w:rsidRPr="00F51D9E" w:rsidRDefault="002F5376" w:rsidP="00E027AF">
            <w:pPr>
              <w:jc w:val="both"/>
            </w:pPr>
            <w:r w:rsidRPr="00F51D9E">
              <w:t xml:space="preserve">Ministru kabineta noteikumu projekta izpildi nodrošinās Izglītības un zinātnes ministrija </w:t>
            </w:r>
            <w:r w:rsidR="00E027AF" w:rsidRPr="00F51D9E">
              <w:t>un</w:t>
            </w:r>
            <w:r w:rsidRPr="00F51D9E">
              <w:t xml:space="preserve"> Finanšu ministrij</w:t>
            </w:r>
            <w:r w:rsidR="00E027AF" w:rsidRPr="00F51D9E">
              <w:t>a</w:t>
            </w:r>
            <w:r w:rsidRPr="00F51D9E">
              <w:t>.</w:t>
            </w:r>
          </w:p>
        </w:tc>
      </w:tr>
      <w:tr w:rsidR="00F51D9E" w:rsidRPr="00F51D9E" w14:paraId="42C8F75C" w14:textId="77777777" w:rsidTr="009E0502">
        <w:trPr>
          <w:cantSplit/>
        </w:trPr>
        <w:tc>
          <w:tcPr>
            <w:tcW w:w="311" w:type="pct"/>
            <w:hideMark/>
          </w:tcPr>
          <w:p w14:paraId="186A1628" w14:textId="77777777" w:rsidR="00BD5588" w:rsidRPr="00F51D9E" w:rsidRDefault="00BD5588" w:rsidP="002C6E9A">
            <w:pPr>
              <w:jc w:val="center"/>
            </w:pPr>
            <w:r w:rsidRPr="00F51D9E">
              <w:t>2.</w:t>
            </w:r>
          </w:p>
        </w:tc>
        <w:tc>
          <w:tcPr>
            <w:tcW w:w="1479" w:type="pct"/>
            <w:hideMark/>
          </w:tcPr>
          <w:p w14:paraId="38E0B4A7" w14:textId="77777777" w:rsidR="00BD5588" w:rsidRPr="00F51D9E" w:rsidRDefault="00BD5588" w:rsidP="002C6E9A">
            <w:r w:rsidRPr="00F51D9E">
              <w:t>Projekta izpildes ietekme uz pārvaldes funkcijām un institucionālo struktūru.</w:t>
            </w:r>
            <w:r w:rsidRPr="00F51D9E">
              <w:br/>
              <w:t>Jaunu institūciju izveide, esošu institūciju likvidācija vai reorganizācija, to ietekme uz institūcijas cilvēkresursiem</w:t>
            </w:r>
          </w:p>
        </w:tc>
        <w:tc>
          <w:tcPr>
            <w:tcW w:w="3210" w:type="pct"/>
            <w:hideMark/>
          </w:tcPr>
          <w:p w14:paraId="1F7F4662" w14:textId="77777777" w:rsidR="002F5376" w:rsidRPr="00F51D9E" w:rsidRDefault="002F5376" w:rsidP="002F5376">
            <w:pPr>
              <w:jc w:val="both"/>
            </w:pPr>
            <w:r w:rsidRPr="00F51D9E">
              <w:t xml:space="preserve">Pārvaldes funkcijas un uzdevumi netiek grozīti, institucionālā struktūra netiek mainīta. Jaunas institūcijas netiek izveidotas. </w:t>
            </w:r>
          </w:p>
          <w:p w14:paraId="70BBDDAA" w14:textId="77777777" w:rsidR="002F5376" w:rsidRPr="00F51D9E" w:rsidRDefault="002F5376" w:rsidP="002F5376">
            <w:pPr>
              <w:jc w:val="both"/>
            </w:pPr>
            <w:r w:rsidRPr="00F51D9E">
              <w:t xml:space="preserve">Esošās institūcijas netiks likvidētas vai reorganizētas. </w:t>
            </w:r>
          </w:p>
          <w:p w14:paraId="7233A835" w14:textId="77777777" w:rsidR="00BD5588" w:rsidRPr="00F51D9E" w:rsidRDefault="002F5376" w:rsidP="002F5376">
            <w:pPr>
              <w:jc w:val="both"/>
            </w:pPr>
            <w:r w:rsidRPr="00F51D9E">
              <w:t>Ministru kabineta noteikumu projekta izpilde tiks nodrošināta esošo pārvaldes funkciju ietvaros.</w:t>
            </w:r>
          </w:p>
        </w:tc>
      </w:tr>
      <w:tr w:rsidR="00876AF9" w:rsidRPr="00F51D9E" w14:paraId="2D9ACC2A" w14:textId="77777777" w:rsidTr="002E3CB3">
        <w:trPr>
          <w:cantSplit/>
          <w:trHeight w:val="525"/>
        </w:trPr>
        <w:tc>
          <w:tcPr>
            <w:tcW w:w="311" w:type="pct"/>
            <w:hideMark/>
          </w:tcPr>
          <w:p w14:paraId="32C652DF" w14:textId="77777777" w:rsidR="00BD5588" w:rsidRPr="00F51D9E" w:rsidRDefault="00BD5588" w:rsidP="002C6E9A">
            <w:pPr>
              <w:jc w:val="center"/>
            </w:pPr>
            <w:r w:rsidRPr="00F51D9E">
              <w:t>3.</w:t>
            </w:r>
          </w:p>
        </w:tc>
        <w:tc>
          <w:tcPr>
            <w:tcW w:w="1479" w:type="pct"/>
            <w:hideMark/>
          </w:tcPr>
          <w:p w14:paraId="7D6615AA" w14:textId="77777777" w:rsidR="00BD5588" w:rsidRPr="00F51D9E" w:rsidRDefault="00BD5588" w:rsidP="002C6E9A">
            <w:r w:rsidRPr="00F51D9E">
              <w:t>Cita informācija</w:t>
            </w:r>
          </w:p>
        </w:tc>
        <w:tc>
          <w:tcPr>
            <w:tcW w:w="3210" w:type="pct"/>
            <w:hideMark/>
          </w:tcPr>
          <w:p w14:paraId="505A2719" w14:textId="77777777" w:rsidR="00BD5588" w:rsidRPr="00F51D9E" w:rsidRDefault="002F5376" w:rsidP="002C6E9A">
            <w:r w:rsidRPr="00F51D9E">
              <w:t>Nav.</w:t>
            </w:r>
          </w:p>
        </w:tc>
      </w:tr>
    </w:tbl>
    <w:p w14:paraId="2697382F" w14:textId="77777777" w:rsidR="00E44472" w:rsidRPr="00F51D9E" w:rsidRDefault="00E44472" w:rsidP="002C6E9A"/>
    <w:p w14:paraId="12531D26" w14:textId="77777777" w:rsidR="000F72BA" w:rsidRPr="00F51D9E" w:rsidRDefault="000F72BA" w:rsidP="002C6E9A"/>
    <w:p w14:paraId="57DC760E" w14:textId="77777777" w:rsidR="00B24D4C" w:rsidRPr="00F51D9E" w:rsidRDefault="00B24D4C" w:rsidP="002C6E9A"/>
    <w:p w14:paraId="3FA9D220" w14:textId="77777777" w:rsidR="00B24D4C" w:rsidRPr="00F51D9E" w:rsidRDefault="00B24D4C" w:rsidP="002C6E9A"/>
    <w:p w14:paraId="0D1EC0F6" w14:textId="5D4EC86C" w:rsidR="00FC7789" w:rsidRPr="00F51D9E" w:rsidRDefault="00FC7789" w:rsidP="00FC7789">
      <w:pPr>
        <w:ind w:firstLine="720"/>
        <w:jc w:val="both"/>
      </w:pPr>
      <w:r w:rsidRPr="00F51D9E">
        <w:t xml:space="preserve">Izglītības un zinātnes ministre                                       </w:t>
      </w:r>
      <w:r w:rsidR="000F72BA" w:rsidRPr="00F51D9E">
        <w:t xml:space="preserve">         </w:t>
      </w:r>
      <w:r w:rsidR="00624E57" w:rsidRPr="00F51D9E">
        <w:t>A.</w:t>
      </w:r>
      <w:r w:rsidR="00195A85" w:rsidRPr="00F51D9E">
        <w:t xml:space="preserve"> </w:t>
      </w:r>
      <w:r w:rsidR="00624E57" w:rsidRPr="00F51D9E">
        <w:t>Muižniece</w:t>
      </w:r>
    </w:p>
    <w:p w14:paraId="6FDD6632" w14:textId="77777777" w:rsidR="00FC7789" w:rsidRPr="00F51D9E" w:rsidRDefault="00FC7789" w:rsidP="00FC7789">
      <w:pPr>
        <w:jc w:val="both"/>
      </w:pPr>
    </w:p>
    <w:p w14:paraId="1BA67B49" w14:textId="77777777" w:rsidR="00FC7789" w:rsidRPr="00F51D9E" w:rsidRDefault="00FC7789" w:rsidP="00FC7789">
      <w:pPr>
        <w:jc w:val="both"/>
      </w:pPr>
    </w:p>
    <w:p w14:paraId="5CD46161" w14:textId="77777777" w:rsidR="00FC7789" w:rsidRPr="00F51D9E" w:rsidRDefault="00FC7789" w:rsidP="00FC7789">
      <w:pPr>
        <w:jc w:val="both"/>
      </w:pPr>
    </w:p>
    <w:p w14:paraId="5AA8B97A" w14:textId="77777777" w:rsidR="00902995" w:rsidRPr="00F51D9E" w:rsidRDefault="00902995" w:rsidP="00FC7789">
      <w:pPr>
        <w:jc w:val="both"/>
      </w:pPr>
    </w:p>
    <w:p w14:paraId="15E06519" w14:textId="77777777" w:rsidR="00FC7789" w:rsidRPr="00F51D9E" w:rsidRDefault="00FC7789" w:rsidP="00FC7789">
      <w:pPr>
        <w:jc w:val="both"/>
      </w:pPr>
      <w:r w:rsidRPr="00F51D9E">
        <w:tab/>
        <w:t>Vizē:</w:t>
      </w:r>
    </w:p>
    <w:p w14:paraId="5C933983" w14:textId="77777777" w:rsidR="00FC7789" w:rsidRPr="00F51D9E" w:rsidRDefault="00FC7789" w:rsidP="00FC7789">
      <w:pPr>
        <w:jc w:val="both"/>
      </w:pPr>
      <w:r w:rsidRPr="00F51D9E">
        <w:tab/>
        <w:t xml:space="preserve">Valsts sekretārs                                                              </w:t>
      </w:r>
      <w:r w:rsidR="000F72BA" w:rsidRPr="00F51D9E">
        <w:t xml:space="preserve">          </w:t>
      </w:r>
      <w:r w:rsidRPr="00F51D9E">
        <w:t>J. Volberts</w:t>
      </w:r>
    </w:p>
    <w:p w14:paraId="171230BB" w14:textId="77777777" w:rsidR="00FC7789" w:rsidRPr="00F51D9E" w:rsidRDefault="00FC7789" w:rsidP="002C6E9A"/>
    <w:p w14:paraId="2FE43D1E" w14:textId="77777777" w:rsidR="00FC7789" w:rsidRPr="00F51D9E" w:rsidRDefault="00FC7789" w:rsidP="002C6E9A"/>
    <w:p w14:paraId="620970CD" w14:textId="77777777" w:rsidR="00FC7789" w:rsidRPr="00F51D9E" w:rsidRDefault="00FC7789" w:rsidP="00FC7789">
      <w:pPr>
        <w:jc w:val="both"/>
      </w:pPr>
    </w:p>
    <w:p w14:paraId="1F395E90" w14:textId="77777777" w:rsidR="00FC7789" w:rsidRPr="00F51D9E" w:rsidRDefault="00FC7789" w:rsidP="00FC7789">
      <w:pPr>
        <w:jc w:val="both"/>
      </w:pPr>
    </w:p>
    <w:p w14:paraId="76ED77FA" w14:textId="77777777" w:rsidR="00FC7789" w:rsidRPr="00F51D9E" w:rsidRDefault="00FC7789" w:rsidP="00FC7789">
      <w:pPr>
        <w:jc w:val="both"/>
      </w:pPr>
    </w:p>
    <w:p w14:paraId="0F209E78" w14:textId="0B6A2FA0" w:rsidR="00FC7789" w:rsidRPr="00F51D9E" w:rsidRDefault="00F51D9E" w:rsidP="00FC7789">
      <w:pPr>
        <w:pStyle w:val="Subtitle"/>
        <w:spacing w:before="0" w:after="0"/>
        <w:ind w:right="0"/>
        <w:rPr>
          <w:b w:val="0"/>
          <w:sz w:val="22"/>
          <w:szCs w:val="22"/>
          <w:lang w:val="de-DE"/>
        </w:rPr>
      </w:pPr>
      <w:r>
        <w:rPr>
          <w:b w:val="0"/>
          <w:sz w:val="22"/>
          <w:szCs w:val="22"/>
          <w:lang w:val="de-DE"/>
        </w:rPr>
        <w:t>1</w:t>
      </w:r>
      <w:r w:rsidR="00624E57" w:rsidRPr="00F51D9E">
        <w:rPr>
          <w:b w:val="0"/>
          <w:sz w:val="22"/>
          <w:szCs w:val="22"/>
          <w:lang w:val="de-DE"/>
        </w:rPr>
        <w:t>9.06</w:t>
      </w:r>
      <w:r>
        <w:rPr>
          <w:b w:val="0"/>
          <w:sz w:val="22"/>
          <w:szCs w:val="22"/>
          <w:lang w:val="de-DE"/>
        </w:rPr>
        <w:t>.2021. 08</w:t>
      </w:r>
      <w:r w:rsidR="00FC7789" w:rsidRPr="00F51D9E">
        <w:rPr>
          <w:b w:val="0"/>
          <w:sz w:val="22"/>
          <w:szCs w:val="22"/>
          <w:lang w:val="de-DE"/>
        </w:rPr>
        <w:t>:</w:t>
      </w:r>
      <w:r w:rsidR="00D06B1E" w:rsidRPr="00F51D9E">
        <w:rPr>
          <w:b w:val="0"/>
          <w:sz w:val="22"/>
          <w:szCs w:val="22"/>
          <w:lang w:val="de-DE"/>
        </w:rPr>
        <w:t>46</w:t>
      </w:r>
    </w:p>
    <w:p w14:paraId="716C23C1" w14:textId="1D071D11" w:rsidR="00FC7789" w:rsidRPr="00F51D9E" w:rsidRDefault="00F51D9E" w:rsidP="00FC7789">
      <w:pPr>
        <w:pStyle w:val="Subtitle"/>
        <w:spacing w:before="0" w:after="0"/>
        <w:ind w:right="0"/>
        <w:rPr>
          <w:b w:val="0"/>
          <w:sz w:val="22"/>
          <w:szCs w:val="22"/>
          <w:lang w:val="de-DE"/>
        </w:rPr>
      </w:pPr>
      <w:r>
        <w:rPr>
          <w:b w:val="0"/>
          <w:sz w:val="22"/>
          <w:szCs w:val="22"/>
          <w:lang w:val="de-DE"/>
        </w:rPr>
        <w:t>2238</w:t>
      </w:r>
      <w:r w:rsidR="00FC7789" w:rsidRPr="00F51D9E">
        <w:rPr>
          <w:b w:val="0"/>
          <w:sz w:val="22"/>
          <w:szCs w:val="22"/>
          <w:lang w:val="de-DE"/>
        </w:rPr>
        <w:tab/>
      </w:r>
    </w:p>
    <w:p w14:paraId="5CA48BDD" w14:textId="77777777" w:rsidR="00FC7789" w:rsidRPr="00F51D9E" w:rsidRDefault="00FC7789" w:rsidP="00FC7789">
      <w:pPr>
        <w:pStyle w:val="Subtitle"/>
        <w:spacing w:before="0" w:after="0"/>
        <w:ind w:right="0"/>
        <w:rPr>
          <w:b w:val="0"/>
          <w:sz w:val="22"/>
          <w:szCs w:val="22"/>
          <w:lang w:val="de-DE"/>
        </w:rPr>
      </w:pPr>
      <w:r w:rsidRPr="00F51D9E">
        <w:rPr>
          <w:b w:val="0"/>
          <w:sz w:val="22"/>
          <w:szCs w:val="22"/>
          <w:lang w:val="de-DE"/>
        </w:rPr>
        <w:t>A.Vahere-Abražune, 67947828</w:t>
      </w:r>
    </w:p>
    <w:p w14:paraId="2F9674BA" w14:textId="77777777" w:rsidR="00FC7789" w:rsidRPr="00F51D9E" w:rsidRDefault="00FC7789" w:rsidP="00FC7789">
      <w:pPr>
        <w:pStyle w:val="Subtitle"/>
        <w:spacing w:before="0" w:after="0"/>
        <w:ind w:right="0"/>
        <w:rPr>
          <w:b w:val="0"/>
          <w:sz w:val="22"/>
          <w:szCs w:val="22"/>
          <w:lang w:val="de-DE"/>
        </w:rPr>
      </w:pPr>
      <w:r w:rsidRPr="00F51D9E">
        <w:rPr>
          <w:b w:val="0"/>
          <w:sz w:val="22"/>
          <w:szCs w:val="22"/>
          <w:lang w:val="de-DE"/>
        </w:rPr>
        <w:t>anita.vahere-abrazune@izm.gov.lv</w:t>
      </w:r>
    </w:p>
    <w:p w14:paraId="3A08DC70" w14:textId="77777777" w:rsidR="00FC7789" w:rsidRPr="00F51D9E" w:rsidRDefault="00FC7789" w:rsidP="00FC7789">
      <w:pPr>
        <w:pStyle w:val="Subtitle"/>
        <w:spacing w:before="0" w:after="0"/>
        <w:ind w:right="0"/>
        <w:rPr>
          <w:b w:val="0"/>
          <w:sz w:val="22"/>
          <w:szCs w:val="22"/>
          <w:lang w:val="de-DE"/>
        </w:rPr>
      </w:pPr>
      <w:r w:rsidRPr="00F51D9E">
        <w:rPr>
          <w:b w:val="0"/>
          <w:sz w:val="22"/>
          <w:szCs w:val="22"/>
          <w:lang w:val="de-DE"/>
        </w:rPr>
        <w:t>A.Babiča, 67047703</w:t>
      </w:r>
    </w:p>
    <w:p w14:paraId="00FD7880" w14:textId="77777777" w:rsidR="00FC7789" w:rsidRPr="00F51D9E" w:rsidRDefault="00FC7789" w:rsidP="00FC7789">
      <w:pPr>
        <w:pStyle w:val="Subtitle"/>
        <w:spacing w:before="0" w:after="0"/>
        <w:ind w:right="0"/>
        <w:rPr>
          <w:b w:val="0"/>
          <w:sz w:val="22"/>
          <w:szCs w:val="22"/>
          <w:lang w:val="de-DE"/>
        </w:rPr>
      </w:pPr>
      <w:r w:rsidRPr="00F51D9E">
        <w:rPr>
          <w:b w:val="0"/>
          <w:sz w:val="22"/>
          <w:szCs w:val="22"/>
          <w:lang w:val="de-DE"/>
        </w:rPr>
        <w:t>alona.babica@izm.gov.lv</w:t>
      </w:r>
    </w:p>
    <w:p w14:paraId="170488BD" w14:textId="77777777" w:rsidR="00D6098C" w:rsidRPr="00F51D9E" w:rsidRDefault="00D6098C" w:rsidP="002C6E9A">
      <w:pPr>
        <w:rPr>
          <w:lang w:val="de-DE"/>
        </w:rPr>
      </w:pPr>
    </w:p>
    <w:p w14:paraId="23FE8405" w14:textId="77777777" w:rsidR="00D6098C" w:rsidRPr="00F51D9E" w:rsidRDefault="00D6098C" w:rsidP="00D6098C">
      <w:pPr>
        <w:rPr>
          <w:lang w:val="de-DE"/>
        </w:rPr>
      </w:pPr>
    </w:p>
    <w:p w14:paraId="761B6C1F" w14:textId="77777777" w:rsidR="00D6098C" w:rsidRPr="00F51D9E" w:rsidRDefault="00D6098C" w:rsidP="00D6098C">
      <w:pPr>
        <w:rPr>
          <w:lang w:val="de-DE"/>
        </w:rPr>
      </w:pPr>
    </w:p>
    <w:p w14:paraId="150FE194" w14:textId="77777777" w:rsidR="00D6098C" w:rsidRPr="00F51D9E" w:rsidRDefault="00D6098C" w:rsidP="00D6098C">
      <w:pPr>
        <w:rPr>
          <w:lang w:val="de-DE"/>
        </w:rPr>
      </w:pPr>
    </w:p>
    <w:p w14:paraId="1D4DB3D3" w14:textId="77777777" w:rsidR="00D6098C" w:rsidRPr="00F51D9E" w:rsidRDefault="00D6098C" w:rsidP="00D6098C">
      <w:pPr>
        <w:rPr>
          <w:lang w:val="de-DE"/>
        </w:rPr>
      </w:pPr>
    </w:p>
    <w:p w14:paraId="48F85CF3" w14:textId="77777777" w:rsidR="00D6098C" w:rsidRPr="00F51D9E" w:rsidRDefault="00D6098C" w:rsidP="00D6098C">
      <w:pPr>
        <w:rPr>
          <w:lang w:val="de-DE"/>
        </w:rPr>
      </w:pPr>
    </w:p>
    <w:p w14:paraId="7B12B210" w14:textId="77777777" w:rsidR="00D6098C" w:rsidRPr="00F51D9E" w:rsidRDefault="00D6098C" w:rsidP="00D6098C">
      <w:pPr>
        <w:rPr>
          <w:lang w:val="de-DE"/>
        </w:rPr>
      </w:pPr>
    </w:p>
    <w:p w14:paraId="1745FD36" w14:textId="77777777" w:rsidR="00D6098C" w:rsidRPr="00F51D9E" w:rsidRDefault="00D6098C" w:rsidP="00D6098C">
      <w:pPr>
        <w:rPr>
          <w:lang w:val="de-DE"/>
        </w:rPr>
      </w:pPr>
    </w:p>
    <w:p w14:paraId="730FBB95" w14:textId="77777777" w:rsidR="00D6098C" w:rsidRPr="00F51D9E" w:rsidRDefault="00D6098C" w:rsidP="00D6098C">
      <w:pPr>
        <w:rPr>
          <w:lang w:val="de-DE"/>
        </w:rPr>
      </w:pPr>
    </w:p>
    <w:p w14:paraId="3D9C4175" w14:textId="77777777" w:rsidR="00D6098C" w:rsidRPr="00F51D9E" w:rsidRDefault="00D6098C" w:rsidP="00D6098C">
      <w:pPr>
        <w:rPr>
          <w:lang w:val="de-DE"/>
        </w:rPr>
      </w:pPr>
    </w:p>
    <w:p w14:paraId="2E8808EF" w14:textId="77777777" w:rsidR="00D6098C" w:rsidRPr="00F51D9E" w:rsidRDefault="00D6098C" w:rsidP="00D6098C">
      <w:pPr>
        <w:rPr>
          <w:lang w:val="de-DE"/>
        </w:rPr>
      </w:pPr>
    </w:p>
    <w:p w14:paraId="33CB9417" w14:textId="77777777" w:rsidR="00D6098C" w:rsidRPr="00F51D9E" w:rsidRDefault="00D6098C" w:rsidP="00D6098C">
      <w:pPr>
        <w:rPr>
          <w:lang w:val="de-DE"/>
        </w:rPr>
      </w:pPr>
    </w:p>
    <w:p w14:paraId="23FCF2F9" w14:textId="77777777" w:rsidR="00D6098C" w:rsidRPr="00F51D9E" w:rsidRDefault="00D6098C" w:rsidP="00D6098C">
      <w:pPr>
        <w:rPr>
          <w:lang w:val="de-DE"/>
        </w:rPr>
      </w:pPr>
    </w:p>
    <w:p w14:paraId="3A021246" w14:textId="77777777" w:rsidR="00D6098C" w:rsidRPr="00F51D9E" w:rsidRDefault="00D6098C" w:rsidP="00D6098C">
      <w:pPr>
        <w:rPr>
          <w:lang w:val="de-DE"/>
        </w:rPr>
      </w:pPr>
    </w:p>
    <w:p w14:paraId="5A2C5B62" w14:textId="77777777" w:rsidR="00FC7789" w:rsidRPr="00F51D9E" w:rsidRDefault="00D6098C" w:rsidP="00D6098C">
      <w:pPr>
        <w:tabs>
          <w:tab w:val="left" w:pos="1275"/>
        </w:tabs>
        <w:rPr>
          <w:lang w:val="de-DE"/>
        </w:rPr>
      </w:pPr>
      <w:r w:rsidRPr="00F51D9E">
        <w:rPr>
          <w:lang w:val="de-DE"/>
        </w:rPr>
        <w:tab/>
      </w:r>
    </w:p>
    <w:sectPr w:rsidR="00FC7789" w:rsidRPr="00F51D9E" w:rsidSect="002C6E9A">
      <w:headerReference w:type="default" r:id="rId8"/>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797D" w14:textId="77777777" w:rsidR="00C349E5" w:rsidRDefault="00C349E5" w:rsidP="002C6E9A">
      <w:r>
        <w:separator/>
      </w:r>
    </w:p>
  </w:endnote>
  <w:endnote w:type="continuationSeparator" w:id="0">
    <w:p w14:paraId="66E8233C" w14:textId="77777777" w:rsidR="00C349E5" w:rsidRDefault="00C349E5" w:rsidP="002C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BC6E" w14:textId="5648D1AE" w:rsidR="00472D36" w:rsidRPr="00472D36" w:rsidRDefault="003914C3" w:rsidP="00472D36">
    <w:pPr>
      <w:jc w:val="both"/>
      <w:rPr>
        <w:vanish/>
      </w:rPr>
    </w:pPr>
    <w:r>
      <w:t>IZMAnot</w:t>
    </w:r>
    <w:r w:rsidR="0051358E">
      <w:t>_</w:t>
    </w:r>
    <w:r w:rsidR="00F51D9E">
      <w:t>1</w:t>
    </w:r>
    <w:r w:rsidR="00624E57">
      <w:t>906</w:t>
    </w:r>
    <w:r w:rsidR="0051358E">
      <w:t>21</w:t>
    </w:r>
    <w:r w:rsidR="00472D36">
      <w:t xml:space="preserve">_LSS; </w:t>
    </w:r>
  </w:p>
  <w:p w14:paraId="7F5389E5" w14:textId="77777777" w:rsidR="00472D36" w:rsidRDefault="00472D36">
    <w:pPr>
      <w:pStyle w:val="Footer"/>
    </w:pPr>
    <w:r>
      <w:rPr>
        <w:vanish/>
      </w:rPr>
      <w:t>32133333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7FCC8" w14:textId="366ABDB0" w:rsidR="00472D36" w:rsidRPr="00472D36" w:rsidRDefault="00472D36" w:rsidP="00472D36">
    <w:pPr>
      <w:jc w:val="both"/>
      <w:rPr>
        <w:vanish/>
      </w:rPr>
    </w:pPr>
    <w:r>
      <w:t>IZMAnot_</w:t>
    </w:r>
    <w:r w:rsidR="00F51D9E">
      <w:t>19</w:t>
    </w:r>
    <w:r w:rsidR="00624E57">
      <w:t>06</w:t>
    </w:r>
    <w:r w:rsidR="00A12514">
      <w:t>21</w:t>
    </w:r>
    <w:r>
      <w:t>_LSS</w:t>
    </w:r>
    <w:r w:rsidRPr="00472D36">
      <w:t xml:space="preserve"> </w:t>
    </w:r>
  </w:p>
  <w:p w14:paraId="05197BCC" w14:textId="77777777" w:rsidR="00472D36" w:rsidRDefault="00472D36">
    <w:pPr>
      <w:pStyle w:val="Footer"/>
    </w:pPr>
    <w:r>
      <w:rPr>
        <w:vanish/>
      </w:rPr>
      <w:t>32133333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4925F" w14:textId="77777777" w:rsidR="00C349E5" w:rsidRDefault="00C349E5" w:rsidP="002C6E9A">
      <w:r>
        <w:separator/>
      </w:r>
    </w:p>
  </w:footnote>
  <w:footnote w:type="continuationSeparator" w:id="0">
    <w:p w14:paraId="5E6C3B0A" w14:textId="77777777" w:rsidR="00C349E5" w:rsidRDefault="00C349E5" w:rsidP="002C6E9A">
      <w:r>
        <w:continuationSeparator/>
      </w:r>
    </w:p>
  </w:footnote>
  <w:footnote w:id="1">
    <w:p w14:paraId="21BACB5D" w14:textId="77777777" w:rsidR="005F360B" w:rsidRPr="00980189" w:rsidRDefault="005F360B" w:rsidP="005F360B">
      <w:pPr>
        <w:pStyle w:val="FootnoteText"/>
        <w:rPr>
          <w:rFonts w:ascii="Times New Roman" w:hAnsi="Times New Roman" w:cs="Times New Roman"/>
        </w:rPr>
      </w:pPr>
      <w:r w:rsidRPr="00980189">
        <w:rPr>
          <w:rStyle w:val="FootnoteReference"/>
          <w:rFonts w:ascii="Times New Roman" w:hAnsi="Times New Roman" w:cs="Times New Roman"/>
        </w:rPr>
        <w:footnoteRef/>
      </w:r>
      <w:r w:rsidRPr="00980189">
        <w:rPr>
          <w:rFonts w:ascii="Times New Roman" w:hAnsi="Times New Roman" w:cs="Times New Roman"/>
        </w:rPr>
        <w:t xml:space="preserve"> https://www.ibo.org/about-the-ib/the-ib-by-country/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5546"/>
      <w:docPartObj>
        <w:docPartGallery w:val="Page Numbers (Top of Page)"/>
        <w:docPartUnique/>
      </w:docPartObj>
    </w:sdtPr>
    <w:sdtEndPr>
      <w:rPr>
        <w:noProof/>
      </w:rPr>
    </w:sdtEndPr>
    <w:sdtContent>
      <w:p w14:paraId="3D801873" w14:textId="77777777" w:rsidR="002C6E9A" w:rsidRDefault="002C6E9A">
        <w:pPr>
          <w:pStyle w:val="Header"/>
          <w:jc w:val="center"/>
        </w:pPr>
        <w:r>
          <w:fldChar w:fldCharType="begin"/>
        </w:r>
        <w:r>
          <w:instrText xml:space="preserve"> PAGE   \* MERGEFORMAT </w:instrText>
        </w:r>
        <w:r>
          <w:fldChar w:fldCharType="separate"/>
        </w:r>
        <w:r w:rsidR="00F51D9E">
          <w:rPr>
            <w:noProof/>
          </w:rPr>
          <w:t>10</w:t>
        </w:r>
        <w:r>
          <w:rPr>
            <w:noProof/>
          </w:rPr>
          <w:fldChar w:fldCharType="end"/>
        </w:r>
      </w:p>
    </w:sdtContent>
  </w:sdt>
  <w:p w14:paraId="7636D16F" w14:textId="77777777" w:rsidR="002C6E9A" w:rsidRDefault="002C6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C3224"/>
    <w:multiLevelType w:val="hybridMultilevel"/>
    <w:tmpl w:val="68FE5850"/>
    <w:lvl w:ilvl="0" w:tplc="6930DE1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E564CDA"/>
    <w:multiLevelType w:val="hybridMultilevel"/>
    <w:tmpl w:val="D160D2FE"/>
    <w:lvl w:ilvl="0" w:tplc="FFFFFFFF">
      <w:start w:val="1"/>
      <w:numFmt w:val="bullet"/>
      <w:lvlText w:val="-"/>
      <w:lvlJc w:val="left"/>
      <w:pPr>
        <w:ind w:left="1080" w:hanging="360"/>
      </w:pPr>
      <w:rPr>
        <w:rFonts w:ascii="Verdana" w:eastAsia="Calibri" w:hAnsi="Verdana"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20708"/>
    <w:rsid w:val="0004256A"/>
    <w:rsid w:val="000666CD"/>
    <w:rsid w:val="00071587"/>
    <w:rsid w:val="00082488"/>
    <w:rsid w:val="000A1817"/>
    <w:rsid w:val="000E7DF1"/>
    <w:rsid w:val="000F72BA"/>
    <w:rsid w:val="0012033B"/>
    <w:rsid w:val="0012282E"/>
    <w:rsid w:val="00141A9B"/>
    <w:rsid w:val="0017356D"/>
    <w:rsid w:val="001858E6"/>
    <w:rsid w:val="00195A85"/>
    <w:rsid w:val="001B621F"/>
    <w:rsid w:val="002174C8"/>
    <w:rsid w:val="002217DA"/>
    <w:rsid w:val="00227E78"/>
    <w:rsid w:val="00233A10"/>
    <w:rsid w:val="0023565F"/>
    <w:rsid w:val="00240DEE"/>
    <w:rsid w:val="00252D46"/>
    <w:rsid w:val="00257526"/>
    <w:rsid w:val="00291366"/>
    <w:rsid w:val="00293170"/>
    <w:rsid w:val="002C46AC"/>
    <w:rsid w:val="002C6E9A"/>
    <w:rsid w:val="002E3CB3"/>
    <w:rsid w:val="002F2066"/>
    <w:rsid w:val="002F256A"/>
    <w:rsid w:val="002F5376"/>
    <w:rsid w:val="00324D4B"/>
    <w:rsid w:val="003275BD"/>
    <w:rsid w:val="00340CEA"/>
    <w:rsid w:val="00351E58"/>
    <w:rsid w:val="003914C3"/>
    <w:rsid w:val="003A422C"/>
    <w:rsid w:val="003D1CAD"/>
    <w:rsid w:val="003D5494"/>
    <w:rsid w:val="003F0A4E"/>
    <w:rsid w:val="003F73CC"/>
    <w:rsid w:val="0041581A"/>
    <w:rsid w:val="004432C7"/>
    <w:rsid w:val="00444BAD"/>
    <w:rsid w:val="0047261B"/>
    <w:rsid w:val="00472D36"/>
    <w:rsid w:val="0048152A"/>
    <w:rsid w:val="00481865"/>
    <w:rsid w:val="004950D3"/>
    <w:rsid w:val="004A7A4E"/>
    <w:rsid w:val="004E2E09"/>
    <w:rsid w:val="005034E5"/>
    <w:rsid w:val="0051358E"/>
    <w:rsid w:val="005140CA"/>
    <w:rsid w:val="00514706"/>
    <w:rsid w:val="00533F64"/>
    <w:rsid w:val="005440F4"/>
    <w:rsid w:val="00546F9A"/>
    <w:rsid w:val="00550CC5"/>
    <w:rsid w:val="00556579"/>
    <w:rsid w:val="00576E3D"/>
    <w:rsid w:val="0059031B"/>
    <w:rsid w:val="005C103B"/>
    <w:rsid w:val="005C1CB1"/>
    <w:rsid w:val="005D436D"/>
    <w:rsid w:val="005D78A2"/>
    <w:rsid w:val="005F360B"/>
    <w:rsid w:val="00624E57"/>
    <w:rsid w:val="00634CF9"/>
    <w:rsid w:val="00637252"/>
    <w:rsid w:val="006447EC"/>
    <w:rsid w:val="00647623"/>
    <w:rsid w:val="0067338F"/>
    <w:rsid w:val="006C2FDB"/>
    <w:rsid w:val="00721FAB"/>
    <w:rsid w:val="00723157"/>
    <w:rsid w:val="0073176C"/>
    <w:rsid w:val="00746F8D"/>
    <w:rsid w:val="00755AEA"/>
    <w:rsid w:val="0078550A"/>
    <w:rsid w:val="00795754"/>
    <w:rsid w:val="007B622A"/>
    <w:rsid w:val="007D1784"/>
    <w:rsid w:val="00805B5E"/>
    <w:rsid w:val="0084167C"/>
    <w:rsid w:val="00874105"/>
    <w:rsid w:val="00876AF9"/>
    <w:rsid w:val="00892D27"/>
    <w:rsid w:val="008C7FED"/>
    <w:rsid w:val="008D0659"/>
    <w:rsid w:val="008F062B"/>
    <w:rsid w:val="0090245D"/>
    <w:rsid w:val="00902995"/>
    <w:rsid w:val="00904CD5"/>
    <w:rsid w:val="009118A5"/>
    <w:rsid w:val="009526C0"/>
    <w:rsid w:val="00963D2C"/>
    <w:rsid w:val="009A0A22"/>
    <w:rsid w:val="009A4F8D"/>
    <w:rsid w:val="009A6454"/>
    <w:rsid w:val="009D605C"/>
    <w:rsid w:val="009E1141"/>
    <w:rsid w:val="009E290A"/>
    <w:rsid w:val="009E56A5"/>
    <w:rsid w:val="00A12514"/>
    <w:rsid w:val="00A13E26"/>
    <w:rsid w:val="00A2160F"/>
    <w:rsid w:val="00A21E7C"/>
    <w:rsid w:val="00A24A62"/>
    <w:rsid w:val="00A578A1"/>
    <w:rsid w:val="00A831A2"/>
    <w:rsid w:val="00A833CB"/>
    <w:rsid w:val="00A87AD4"/>
    <w:rsid w:val="00AA14A3"/>
    <w:rsid w:val="00AC2774"/>
    <w:rsid w:val="00AC6FAF"/>
    <w:rsid w:val="00AE2100"/>
    <w:rsid w:val="00AF7387"/>
    <w:rsid w:val="00B00127"/>
    <w:rsid w:val="00B22EFE"/>
    <w:rsid w:val="00B237CC"/>
    <w:rsid w:val="00B24D4C"/>
    <w:rsid w:val="00B31022"/>
    <w:rsid w:val="00B413FC"/>
    <w:rsid w:val="00B45C62"/>
    <w:rsid w:val="00B546BB"/>
    <w:rsid w:val="00B61F7F"/>
    <w:rsid w:val="00B74839"/>
    <w:rsid w:val="00B83655"/>
    <w:rsid w:val="00B94112"/>
    <w:rsid w:val="00BA25AA"/>
    <w:rsid w:val="00BD4C83"/>
    <w:rsid w:val="00BD5588"/>
    <w:rsid w:val="00BE32CE"/>
    <w:rsid w:val="00C349E5"/>
    <w:rsid w:val="00C96DE1"/>
    <w:rsid w:val="00CA4FA2"/>
    <w:rsid w:val="00D01927"/>
    <w:rsid w:val="00D0238F"/>
    <w:rsid w:val="00D0314E"/>
    <w:rsid w:val="00D04F4C"/>
    <w:rsid w:val="00D0538C"/>
    <w:rsid w:val="00D06B1E"/>
    <w:rsid w:val="00D07CA3"/>
    <w:rsid w:val="00D30272"/>
    <w:rsid w:val="00D30BDD"/>
    <w:rsid w:val="00D32E81"/>
    <w:rsid w:val="00D53D0F"/>
    <w:rsid w:val="00D6098C"/>
    <w:rsid w:val="00D630BF"/>
    <w:rsid w:val="00D6789A"/>
    <w:rsid w:val="00DA2971"/>
    <w:rsid w:val="00DA2F99"/>
    <w:rsid w:val="00DA6751"/>
    <w:rsid w:val="00DD1C2B"/>
    <w:rsid w:val="00DF058D"/>
    <w:rsid w:val="00DF766E"/>
    <w:rsid w:val="00E027AF"/>
    <w:rsid w:val="00E13135"/>
    <w:rsid w:val="00E21932"/>
    <w:rsid w:val="00E34445"/>
    <w:rsid w:val="00E42904"/>
    <w:rsid w:val="00E44472"/>
    <w:rsid w:val="00E5136A"/>
    <w:rsid w:val="00E572B3"/>
    <w:rsid w:val="00E75CCC"/>
    <w:rsid w:val="00E83CCA"/>
    <w:rsid w:val="00E91DF4"/>
    <w:rsid w:val="00E95AF6"/>
    <w:rsid w:val="00EB2D59"/>
    <w:rsid w:val="00EC5FE4"/>
    <w:rsid w:val="00ED6AE2"/>
    <w:rsid w:val="00F059BB"/>
    <w:rsid w:val="00F10D28"/>
    <w:rsid w:val="00F11F01"/>
    <w:rsid w:val="00F13D5F"/>
    <w:rsid w:val="00F362B0"/>
    <w:rsid w:val="00F4240E"/>
    <w:rsid w:val="00F4435B"/>
    <w:rsid w:val="00F51D9E"/>
    <w:rsid w:val="00F5492B"/>
    <w:rsid w:val="00F6064A"/>
    <w:rsid w:val="00F71107"/>
    <w:rsid w:val="00F82092"/>
    <w:rsid w:val="00FA6D19"/>
    <w:rsid w:val="00FC7019"/>
    <w:rsid w:val="00FC7789"/>
    <w:rsid w:val="00FE283F"/>
    <w:rsid w:val="00FF059D"/>
    <w:rsid w:val="00FF098E"/>
    <w:rsid w:val="00FF4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E715"/>
  <w15:docId w15:val="{4C7BEA71-004C-477A-871C-979ED62E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2C6E9A"/>
    <w:pPr>
      <w:tabs>
        <w:tab w:val="center" w:pos="4677"/>
        <w:tab w:val="right" w:pos="9355"/>
      </w:tabs>
    </w:pPr>
  </w:style>
  <w:style w:type="character" w:customStyle="1" w:styleId="HeaderChar">
    <w:name w:val="Header Char"/>
    <w:basedOn w:val="DefaultParagraphFont"/>
    <w:link w:val="Header"/>
    <w:uiPriority w:val="99"/>
    <w:rsid w:val="002C6E9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C6E9A"/>
    <w:pPr>
      <w:tabs>
        <w:tab w:val="center" w:pos="4677"/>
        <w:tab w:val="right" w:pos="9355"/>
      </w:tabs>
    </w:pPr>
  </w:style>
  <w:style w:type="character" w:customStyle="1" w:styleId="FooterChar">
    <w:name w:val="Footer Char"/>
    <w:basedOn w:val="DefaultParagraphFont"/>
    <w:link w:val="Footer"/>
    <w:uiPriority w:val="99"/>
    <w:rsid w:val="002C6E9A"/>
    <w:rPr>
      <w:rFonts w:ascii="Times New Roman" w:eastAsia="Times New Roman" w:hAnsi="Times New Roman" w:cs="Times New Roman"/>
      <w:sz w:val="24"/>
      <w:szCs w:val="24"/>
      <w:lang w:eastAsia="lv-LV"/>
    </w:rPr>
  </w:style>
  <w:style w:type="paragraph" w:styleId="Subtitle">
    <w:name w:val="Subtitle"/>
    <w:basedOn w:val="Normal"/>
    <w:next w:val="Normal"/>
    <w:link w:val="SubtitleChar"/>
    <w:uiPriority w:val="99"/>
    <w:qFormat/>
    <w:rsid w:val="00FC778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FC7789"/>
    <w:rPr>
      <w:rFonts w:ascii="Times New Roman" w:eastAsia="Times New Roman" w:hAnsi="Times New Roman" w:cs="Times New Roman"/>
      <w:b/>
      <w:sz w:val="26"/>
      <w:szCs w:val="20"/>
      <w:lang w:val="en-AU"/>
    </w:rPr>
  </w:style>
  <w:style w:type="paragraph" w:customStyle="1" w:styleId="tv213">
    <w:name w:val="tv213"/>
    <w:basedOn w:val="Normal"/>
    <w:rsid w:val="00DA2971"/>
    <w:pPr>
      <w:spacing w:before="100" w:beforeAutospacing="1" w:after="100" w:afterAutospacing="1"/>
    </w:pPr>
  </w:style>
  <w:style w:type="character" w:styleId="CommentReference">
    <w:name w:val="annotation reference"/>
    <w:basedOn w:val="DefaultParagraphFont"/>
    <w:uiPriority w:val="99"/>
    <w:semiHidden/>
    <w:unhideWhenUsed/>
    <w:rsid w:val="00DA2971"/>
    <w:rPr>
      <w:sz w:val="16"/>
      <w:szCs w:val="16"/>
    </w:rPr>
  </w:style>
  <w:style w:type="paragraph" w:styleId="CommentText">
    <w:name w:val="annotation text"/>
    <w:basedOn w:val="Normal"/>
    <w:link w:val="CommentTextChar"/>
    <w:uiPriority w:val="99"/>
    <w:unhideWhenUsed/>
    <w:rsid w:val="00DA2971"/>
    <w:rPr>
      <w:sz w:val="20"/>
      <w:szCs w:val="20"/>
    </w:rPr>
  </w:style>
  <w:style w:type="character" w:customStyle="1" w:styleId="CommentTextChar">
    <w:name w:val="Comment Text Char"/>
    <w:basedOn w:val="DefaultParagraphFont"/>
    <w:link w:val="CommentText"/>
    <w:uiPriority w:val="99"/>
    <w:rsid w:val="00DA297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A2971"/>
    <w:rPr>
      <w:b/>
      <w:bCs/>
    </w:rPr>
  </w:style>
  <w:style w:type="character" w:customStyle="1" w:styleId="CommentSubjectChar">
    <w:name w:val="Comment Subject Char"/>
    <w:basedOn w:val="CommentTextChar"/>
    <w:link w:val="CommentSubject"/>
    <w:uiPriority w:val="99"/>
    <w:semiHidden/>
    <w:rsid w:val="00DA297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A2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71"/>
    <w:rPr>
      <w:rFonts w:ascii="Segoe UI" w:eastAsia="Times New Roman" w:hAnsi="Segoe UI" w:cs="Segoe UI"/>
      <w:sz w:val="18"/>
      <w:szCs w:val="18"/>
      <w:lang w:eastAsia="lv-LV"/>
    </w:rPr>
  </w:style>
  <w:style w:type="character" w:customStyle="1" w:styleId="Bodytext">
    <w:name w:val="Body text_"/>
    <w:basedOn w:val="DefaultParagraphFont"/>
    <w:link w:val="BodyText1"/>
    <w:rsid w:val="00472D36"/>
    <w:rPr>
      <w:sz w:val="26"/>
      <w:szCs w:val="26"/>
      <w:shd w:val="clear" w:color="auto" w:fill="FFFFFF"/>
    </w:rPr>
  </w:style>
  <w:style w:type="paragraph" w:customStyle="1" w:styleId="BodyText1">
    <w:name w:val="Body Text1"/>
    <w:basedOn w:val="Normal"/>
    <w:link w:val="Bodytext"/>
    <w:rsid w:val="00472D36"/>
    <w:pPr>
      <w:widowControl w:val="0"/>
      <w:shd w:val="clear" w:color="auto" w:fill="FFFFFF"/>
      <w:spacing w:before="420" w:after="420" w:line="0" w:lineRule="atLeast"/>
      <w:ind w:hanging="360"/>
    </w:pPr>
    <w:rPr>
      <w:rFonts w:asciiTheme="minorHAnsi" w:eastAsiaTheme="minorHAnsi" w:hAnsiTheme="minorHAnsi" w:cstheme="minorBidi"/>
      <w:sz w:val="26"/>
      <w:szCs w:val="26"/>
      <w:lang w:eastAsia="en-US"/>
    </w:rPr>
  </w:style>
  <w:style w:type="paragraph" w:customStyle="1" w:styleId="tvhtml">
    <w:name w:val="tv_html"/>
    <w:basedOn w:val="Normal"/>
    <w:rsid w:val="00472D36"/>
    <w:pPr>
      <w:spacing w:before="100" w:beforeAutospacing="1" w:after="100" w:afterAutospacing="1"/>
    </w:pPr>
  </w:style>
  <w:style w:type="character" w:customStyle="1" w:styleId="apple-converted-space">
    <w:name w:val="apple-converted-space"/>
    <w:basedOn w:val="DefaultParagraphFont"/>
    <w:rsid w:val="00556579"/>
  </w:style>
  <w:style w:type="character" w:styleId="Emphasis">
    <w:name w:val="Emphasis"/>
    <w:basedOn w:val="DefaultParagraphFont"/>
    <w:uiPriority w:val="20"/>
    <w:qFormat/>
    <w:rsid w:val="00556579"/>
    <w:rPr>
      <w:i/>
      <w:iCs/>
    </w:rPr>
  </w:style>
  <w:style w:type="paragraph" w:styleId="ListParagraph">
    <w:name w:val="List Paragraph"/>
    <w:basedOn w:val="Normal"/>
    <w:uiPriority w:val="34"/>
    <w:qFormat/>
    <w:rsid w:val="00576E3D"/>
    <w:pPr>
      <w:ind w:left="720"/>
      <w:contextualSpacing/>
    </w:pPr>
  </w:style>
  <w:style w:type="paragraph" w:styleId="FootnoteText">
    <w:name w:val="footnote text"/>
    <w:basedOn w:val="Normal"/>
    <w:link w:val="FootnoteTextChar"/>
    <w:uiPriority w:val="99"/>
    <w:semiHidden/>
    <w:unhideWhenUsed/>
    <w:rsid w:val="005F360B"/>
    <w:pPr>
      <w:jc w:val="both"/>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5F360B"/>
    <w:rPr>
      <w:sz w:val="20"/>
      <w:szCs w:val="20"/>
      <w:lang w:val="en-US"/>
    </w:rPr>
  </w:style>
  <w:style w:type="character" w:styleId="FootnoteReference">
    <w:name w:val="footnote reference"/>
    <w:basedOn w:val="DefaultParagraphFont"/>
    <w:uiPriority w:val="99"/>
    <w:semiHidden/>
    <w:unhideWhenUsed/>
    <w:rsid w:val="005F360B"/>
    <w:rPr>
      <w:vertAlign w:val="superscript"/>
    </w:rPr>
  </w:style>
  <w:style w:type="character" w:styleId="FollowedHyperlink">
    <w:name w:val="FollowedHyperlink"/>
    <w:basedOn w:val="DefaultParagraphFont"/>
    <w:uiPriority w:val="99"/>
    <w:semiHidden/>
    <w:unhideWhenUsed/>
    <w:rsid w:val="00340CEA"/>
    <w:rPr>
      <w:color w:val="800080" w:themeColor="followedHyperlink"/>
      <w:u w:val="single"/>
    </w:rPr>
  </w:style>
  <w:style w:type="paragraph" w:customStyle="1" w:styleId="wordsection1">
    <w:name w:val="wordsection1"/>
    <w:basedOn w:val="Normal"/>
    <w:uiPriority w:val="99"/>
    <w:rsid w:val="009E56A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80799">
      <w:bodyDiv w:val="1"/>
      <w:marLeft w:val="0"/>
      <w:marRight w:val="0"/>
      <w:marTop w:val="0"/>
      <w:marBottom w:val="0"/>
      <w:divBdr>
        <w:top w:val="none" w:sz="0" w:space="0" w:color="auto"/>
        <w:left w:val="none" w:sz="0" w:space="0" w:color="auto"/>
        <w:bottom w:val="none" w:sz="0" w:space="0" w:color="auto"/>
        <w:right w:val="none" w:sz="0" w:space="0" w:color="auto"/>
      </w:divBdr>
    </w:div>
    <w:div w:id="1482380063">
      <w:bodyDiv w:val="1"/>
      <w:marLeft w:val="0"/>
      <w:marRight w:val="0"/>
      <w:marTop w:val="0"/>
      <w:marBottom w:val="0"/>
      <w:divBdr>
        <w:top w:val="none" w:sz="0" w:space="0" w:color="auto"/>
        <w:left w:val="none" w:sz="0" w:space="0" w:color="auto"/>
        <w:bottom w:val="none" w:sz="0" w:space="0" w:color="auto"/>
        <w:right w:val="none" w:sz="0" w:space="0" w:color="auto"/>
      </w:divBdr>
    </w:div>
    <w:div w:id="17381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91C9-98CA-4E25-A0DC-A3AA8C14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11129</Words>
  <Characters>6345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IZMAnot_090621_LSS</vt:lpstr>
    </vt:vector>
  </TitlesOfParts>
  <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IZMAnot_190621_LSS</dc:title>
  <dc:creator>IZM</dc:creator>
  <cp:lastModifiedBy>Aļona Babiča</cp:lastModifiedBy>
  <cp:revision>66</cp:revision>
  <dcterms:created xsi:type="dcterms:W3CDTF">2021-04-15T10:34:00Z</dcterms:created>
  <dcterms:modified xsi:type="dcterms:W3CDTF">2021-06-18T10:27:00Z</dcterms:modified>
</cp:coreProperties>
</file>