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7FD5" w14:textId="77777777" w:rsidR="00E51198" w:rsidRPr="00AB25C4" w:rsidRDefault="00E51198" w:rsidP="00E51198">
      <w:pPr>
        <w:suppressAutoHyphens/>
        <w:autoSpaceDN w:val="0"/>
        <w:spacing w:after="0" w:line="240" w:lineRule="auto"/>
        <w:ind w:left="1440"/>
        <w:jc w:val="center"/>
        <w:textAlignment w:val="baseline"/>
        <w:rPr>
          <w:rFonts w:ascii="Times New Roman" w:eastAsia="Times New Roman" w:hAnsi="Times New Roman" w:cs="Times New Roman"/>
          <w:lang w:eastAsia="lv-LV"/>
        </w:rPr>
      </w:pPr>
      <w:bookmarkStart w:id="0" w:name="_GoBack"/>
      <w:bookmarkEnd w:id="0"/>
      <w:r w:rsidRPr="00AB25C4">
        <w:rPr>
          <w:rFonts w:ascii="Times New Roman" w:eastAsia="Times New Roman" w:hAnsi="Times New Roman" w:cs="Times New Roman"/>
          <w:b/>
          <w:bCs/>
          <w:lang w:eastAsia="lv-LV"/>
        </w:rPr>
        <w:t>Izziņa par atzinumos sniegtajiem iebildumiem</w:t>
      </w:r>
    </w:p>
    <w:tbl>
      <w:tblPr>
        <w:tblW w:w="10188" w:type="dxa"/>
        <w:jc w:val="center"/>
        <w:tblCellMar>
          <w:left w:w="10" w:type="dxa"/>
          <w:right w:w="10" w:type="dxa"/>
        </w:tblCellMar>
        <w:tblLook w:val="04A0" w:firstRow="1" w:lastRow="0" w:firstColumn="1" w:lastColumn="0" w:noHBand="0" w:noVBand="1"/>
      </w:tblPr>
      <w:tblGrid>
        <w:gridCol w:w="10188"/>
      </w:tblGrid>
      <w:tr w:rsidR="00E51198" w:rsidRPr="00AB25C4" w14:paraId="17BC058C" w14:textId="77777777" w:rsidTr="007512BC">
        <w:trPr>
          <w:jc w:val="center"/>
        </w:trPr>
        <w:tc>
          <w:tcPr>
            <w:tcW w:w="10188" w:type="dxa"/>
            <w:tcBorders>
              <w:bottom w:val="single" w:sz="6" w:space="0" w:color="000000"/>
            </w:tcBorders>
            <w:shd w:val="clear" w:color="auto" w:fill="auto"/>
            <w:tcMar>
              <w:top w:w="0" w:type="dxa"/>
              <w:left w:w="108" w:type="dxa"/>
              <w:bottom w:w="0" w:type="dxa"/>
              <w:right w:w="108" w:type="dxa"/>
            </w:tcMar>
          </w:tcPr>
          <w:p w14:paraId="04AD05E5" w14:textId="77777777" w:rsidR="00E51198" w:rsidRPr="00AB25C4" w:rsidRDefault="00E51198" w:rsidP="007512BC">
            <w:pPr>
              <w:suppressAutoHyphens/>
              <w:autoSpaceDN w:val="0"/>
              <w:spacing w:after="0" w:line="240" w:lineRule="auto"/>
              <w:jc w:val="center"/>
              <w:textAlignment w:val="baseline"/>
              <w:rPr>
                <w:rFonts w:ascii="Times New Roman" w:eastAsia="Times New Roman" w:hAnsi="Times New Roman" w:cs="Times New Roman"/>
                <w:b/>
                <w:lang w:eastAsia="lv-LV"/>
              </w:rPr>
            </w:pPr>
            <w:r w:rsidRPr="00AB25C4">
              <w:rPr>
                <w:rFonts w:ascii="Times New Roman" w:eastAsia="Times New Roman" w:hAnsi="Times New Roman" w:cs="Times New Roman"/>
                <w:b/>
                <w:lang w:eastAsia="lv-LV"/>
              </w:rPr>
              <w:t>Ministru kabineta noteikumu projektam “Grozījumi Ministru kabineta 2015.gada 26.maija noteikumos Nr.259 “Atbalsta piešķiršanas kārtība dalībai starptautiskās sadarbības programmās pētniecības un tehnoloģiju jomā””</w:t>
            </w:r>
          </w:p>
          <w:p w14:paraId="7CC7CACD" w14:textId="77777777" w:rsidR="00E51198" w:rsidRPr="00AB25C4" w:rsidRDefault="00E51198" w:rsidP="007512BC">
            <w:pPr>
              <w:suppressAutoHyphens/>
              <w:autoSpaceDN w:val="0"/>
              <w:spacing w:after="0" w:line="240" w:lineRule="auto"/>
              <w:jc w:val="center"/>
              <w:textAlignment w:val="baseline"/>
              <w:rPr>
                <w:rFonts w:ascii="Times New Roman" w:eastAsia="Times New Roman" w:hAnsi="Times New Roman" w:cs="Times New Roman"/>
                <w:b/>
                <w:lang w:eastAsia="lv-LV"/>
              </w:rPr>
            </w:pPr>
          </w:p>
        </w:tc>
      </w:tr>
    </w:tbl>
    <w:p w14:paraId="232D9511" w14:textId="77777777" w:rsidR="00E51198" w:rsidRPr="00AB25C4" w:rsidRDefault="00E51198" w:rsidP="00E51198">
      <w:pPr>
        <w:suppressAutoHyphens/>
        <w:autoSpaceDN w:val="0"/>
        <w:spacing w:after="0" w:line="240" w:lineRule="auto"/>
        <w:jc w:val="center"/>
        <w:textAlignment w:val="baseline"/>
        <w:rPr>
          <w:rFonts w:ascii="Times New Roman" w:eastAsia="Calibri" w:hAnsi="Times New Roman" w:cs="Times New Roman"/>
        </w:rPr>
      </w:pPr>
      <w:r w:rsidRPr="00AB25C4">
        <w:rPr>
          <w:rFonts w:ascii="Times New Roman" w:eastAsia="Times New Roman" w:hAnsi="Times New Roman" w:cs="Times New Roman"/>
          <w:lang w:eastAsia="lv-LV"/>
        </w:rPr>
        <w:t>(dokumenta veids un nosaukums)</w:t>
      </w:r>
    </w:p>
    <w:p w14:paraId="26BC7269" w14:textId="77777777" w:rsidR="00E51198" w:rsidRPr="00AB25C4" w:rsidRDefault="00E51198" w:rsidP="00E51198">
      <w:pPr>
        <w:suppressAutoHyphens/>
        <w:autoSpaceDN w:val="0"/>
        <w:spacing w:after="0" w:line="240" w:lineRule="auto"/>
        <w:ind w:firstLine="720"/>
        <w:jc w:val="both"/>
        <w:textAlignment w:val="baseline"/>
        <w:rPr>
          <w:rFonts w:ascii="Times New Roman" w:eastAsia="Times New Roman" w:hAnsi="Times New Roman" w:cs="Times New Roman"/>
          <w:lang w:eastAsia="lv-LV"/>
        </w:rPr>
      </w:pPr>
    </w:p>
    <w:p w14:paraId="267DF9B1" w14:textId="77777777" w:rsidR="00E51198" w:rsidRPr="00AB25C4" w:rsidRDefault="00E51198" w:rsidP="00E51198">
      <w:pPr>
        <w:suppressAutoHyphens/>
        <w:autoSpaceDN w:val="0"/>
        <w:spacing w:after="0" w:line="240" w:lineRule="auto"/>
        <w:jc w:val="both"/>
        <w:textAlignment w:val="baseline"/>
        <w:rPr>
          <w:rFonts w:ascii="Times New Roman" w:eastAsia="Times New Roman" w:hAnsi="Times New Roman" w:cs="Times New Roman"/>
          <w:b/>
          <w:lang w:eastAsia="lv-LV"/>
        </w:rPr>
      </w:pPr>
    </w:p>
    <w:p w14:paraId="49E0C315" w14:textId="77777777" w:rsidR="00E51198" w:rsidRPr="00AB25C4" w:rsidRDefault="00E51198" w:rsidP="00E51198">
      <w:pPr>
        <w:suppressAutoHyphens/>
        <w:autoSpaceDN w:val="0"/>
        <w:spacing w:after="0" w:line="240" w:lineRule="auto"/>
        <w:jc w:val="both"/>
        <w:textAlignment w:val="baseline"/>
        <w:rPr>
          <w:rFonts w:ascii="Times New Roman" w:eastAsia="Times New Roman" w:hAnsi="Times New Roman" w:cs="Times New Roman"/>
          <w:b/>
          <w:lang w:eastAsia="lv-LV"/>
        </w:rPr>
      </w:pPr>
      <w:r w:rsidRPr="00AB25C4">
        <w:rPr>
          <w:rFonts w:ascii="Times New Roman" w:eastAsia="Times New Roman" w:hAnsi="Times New Roman" w:cs="Times New Roman"/>
          <w:b/>
          <w:lang w:eastAsia="lv-LV"/>
        </w:rPr>
        <w:t>Informācija par starpministriju (starpinstitūciju) sanāksmi vai elektronisko saskaņošanu</w:t>
      </w:r>
    </w:p>
    <w:p w14:paraId="4EA8D6EB" w14:textId="77777777" w:rsidR="00E51198" w:rsidRPr="00AB25C4" w:rsidRDefault="00E51198" w:rsidP="00E51198">
      <w:pPr>
        <w:suppressAutoHyphens/>
        <w:autoSpaceDN w:val="0"/>
        <w:spacing w:after="0" w:line="240" w:lineRule="auto"/>
        <w:jc w:val="both"/>
        <w:textAlignment w:val="baseline"/>
        <w:rPr>
          <w:rFonts w:ascii="Times New Roman" w:eastAsia="Times New Roman" w:hAnsi="Times New Roman" w:cs="Times New Roman"/>
          <w:b/>
          <w:lang w:eastAsia="lv-LV"/>
        </w:rPr>
      </w:pPr>
    </w:p>
    <w:tbl>
      <w:tblPr>
        <w:tblW w:w="12122" w:type="dxa"/>
        <w:tblCellMar>
          <w:left w:w="10" w:type="dxa"/>
          <w:right w:w="10" w:type="dxa"/>
        </w:tblCellMar>
        <w:tblLook w:val="04A0" w:firstRow="1" w:lastRow="0" w:firstColumn="1" w:lastColumn="0" w:noHBand="0" w:noVBand="1"/>
      </w:tblPr>
      <w:tblGrid>
        <w:gridCol w:w="6345"/>
        <w:gridCol w:w="363"/>
        <w:gridCol w:w="380"/>
        <w:gridCol w:w="5034"/>
      </w:tblGrid>
      <w:tr w:rsidR="00E51198" w:rsidRPr="00AB25C4" w14:paraId="3FB90D29" w14:textId="77777777" w:rsidTr="007512BC">
        <w:tc>
          <w:tcPr>
            <w:tcW w:w="6345" w:type="dxa"/>
            <w:shd w:val="clear" w:color="auto" w:fill="auto"/>
            <w:tcMar>
              <w:top w:w="0" w:type="dxa"/>
              <w:left w:w="108" w:type="dxa"/>
              <w:bottom w:w="0" w:type="dxa"/>
              <w:right w:w="108" w:type="dxa"/>
            </w:tcMar>
          </w:tcPr>
          <w:p w14:paraId="3E49CA7D"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Datums</w:t>
            </w:r>
          </w:p>
        </w:tc>
        <w:tc>
          <w:tcPr>
            <w:tcW w:w="5775" w:type="dxa"/>
            <w:gridSpan w:val="3"/>
            <w:tcBorders>
              <w:bottom w:val="single" w:sz="4" w:space="0" w:color="000000"/>
            </w:tcBorders>
            <w:shd w:val="clear" w:color="auto" w:fill="auto"/>
            <w:tcMar>
              <w:top w:w="0" w:type="dxa"/>
              <w:left w:w="108" w:type="dxa"/>
              <w:bottom w:w="0" w:type="dxa"/>
              <w:right w:w="108" w:type="dxa"/>
            </w:tcMar>
          </w:tcPr>
          <w:p w14:paraId="2FEA0470" w14:textId="77777777" w:rsidR="00E51198" w:rsidRPr="00AB25C4" w:rsidRDefault="00E51198" w:rsidP="007512BC">
            <w:pPr>
              <w:suppressAutoHyphens/>
              <w:autoSpaceDN w:val="0"/>
              <w:spacing w:after="0" w:line="240" w:lineRule="auto"/>
              <w:ind w:firstLine="72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27.05.2021.</w:t>
            </w:r>
            <w:r>
              <w:rPr>
                <w:rFonts w:ascii="Times New Roman" w:eastAsia="Times New Roman" w:hAnsi="Times New Roman" w:cs="Times New Roman"/>
                <w:lang w:eastAsia="lv-LV"/>
              </w:rPr>
              <w:t>, 11</w:t>
            </w:r>
            <w:r w:rsidRPr="00AB25C4">
              <w:rPr>
                <w:rFonts w:ascii="Times New Roman" w:eastAsia="Times New Roman" w:hAnsi="Times New Roman" w:cs="Times New Roman"/>
                <w:lang w:eastAsia="lv-LV"/>
              </w:rPr>
              <w:t>.06.2021.</w:t>
            </w:r>
          </w:p>
        </w:tc>
      </w:tr>
      <w:tr w:rsidR="00E51198" w:rsidRPr="00AB25C4" w14:paraId="7765FAE3" w14:textId="77777777" w:rsidTr="007512BC">
        <w:tc>
          <w:tcPr>
            <w:tcW w:w="6345" w:type="dxa"/>
            <w:shd w:val="clear" w:color="auto" w:fill="auto"/>
            <w:tcMar>
              <w:top w:w="0" w:type="dxa"/>
              <w:left w:w="108" w:type="dxa"/>
              <w:bottom w:w="0" w:type="dxa"/>
              <w:right w:w="108" w:type="dxa"/>
            </w:tcMar>
          </w:tcPr>
          <w:p w14:paraId="393ABAE2"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p>
        </w:tc>
        <w:tc>
          <w:tcPr>
            <w:tcW w:w="5775" w:type="dxa"/>
            <w:gridSpan w:val="3"/>
            <w:tcBorders>
              <w:top w:val="single" w:sz="4" w:space="0" w:color="000000"/>
            </w:tcBorders>
            <w:shd w:val="clear" w:color="auto" w:fill="auto"/>
            <w:tcMar>
              <w:top w:w="0" w:type="dxa"/>
              <w:left w:w="108" w:type="dxa"/>
              <w:bottom w:w="0" w:type="dxa"/>
              <w:right w:w="108" w:type="dxa"/>
            </w:tcMar>
          </w:tcPr>
          <w:p w14:paraId="1D20338A" w14:textId="77777777" w:rsidR="00E51198" w:rsidRPr="00AB25C4" w:rsidRDefault="00E51198" w:rsidP="007512BC">
            <w:pPr>
              <w:suppressAutoHyphens/>
              <w:autoSpaceDN w:val="0"/>
              <w:spacing w:after="0" w:line="240" w:lineRule="auto"/>
              <w:ind w:firstLine="720"/>
              <w:jc w:val="both"/>
              <w:textAlignment w:val="baseline"/>
              <w:rPr>
                <w:rFonts w:ascii="Times New Roman" w:eastAsia="Times New Roman" w:hAnsi="Times New Roman" w:cs="Times New Roman"/>
                <w:lang w:eastAsia="lv-LV"/>
              </w:rPr>
            </w:pPr>
          </w:p>
        </w:tc>
      </w:tr>
      <w:tr w:rsidR="00E51198" w:rsidRPr="00AB25C4" w14:paraId="27DD33C7" w14:textId="77777777" w:rsidTr="007512BC">
        <w:tc>
          <w:tcPr>
            <w:tcW w:w="6345" w:type="dxa"/>
            <w:shd w:val="clear" w:color="auto" w:fill="auto"/>
            <w:tcMar>
              <w:top w:w="0" w:type="dxa"/>
              <w:left w:w="108" w:type="dxa"/>
              <w:bottom w:w="0" w:type="dxa"/>
              <w:right w:w="108" w:type="dxa"/>
            </w:tcMar>
          </w:tcPr>
          <w:p w14:paraId="1E56DACA"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Saskaņošanas dalībnieki</w:t>
            </w:r>
          </w:p>
        </w:tc>
        <w:tc>
          <w:tcPr>
            <w:tcW w:w="5775" w:type="dxa"/>
            <w:gridSpan w:val="3"/>
            <w:shd w:val="clear" w:color="auto" w:fill="auto"/>
            <w:tcMar>
              <w:top w:w="0" w:type="dxa"/>
              <w:left w:w="108" w:type="dxa"/>
              <w:bottom w:w="0" w:type="dxa"/>
              <w:right w:w="108" w:type="dxa"/>
            </w:tcMar>
          </w:tcPr>
          <w:p w14:paraId="051448D5" w14:textId="77777777" w:rsidR="00E51198" w:rsidRPr="00AB25C4" w:rsidRDefault="00E51198" w:rsidP="007512BC">
            <w:pPr>
              <w:suppressAutoHyphens/>
              <w:autoSpaceDN w:val="0"/>
              <w:spacing w:after="0" w:line="240" w:lineRule="auto"/>
              <w:ind w:firstLine="72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Tieslietu ministrija</w:t>
            </w:r>
          </w:p>
          <w:p w14:paraId="763AD7DC" w14:textId="77777777" w:rsidR="00E51198" w:rsidRPr="00AB25C4" w:rsidRDefault="00E51198" w:rsidP="007512BC">
            <w:pPr>
              <w:tabs>
                <w:tab w:val="center" w:pos="3370"/>
              </w:tabs>
              <w:suppressAutoHyphens/>
              <w:autoSpaceDN w:val="0"/>
              <w:spacing w:after="0" w:line="240" w:lineRule="auto"/>
              <w:ind w:firstLine="72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Finanšu ministrija </w:t>
            </w:r>
            <w:r w:rsidRPr="00AB25C4">
              <w:rPr>
                <w:rFonts w:ascii="Times New Roman" w:eastAsia="Times New Roman" w:hAnsi="Times New Roman" w:cs="Times New Roman"/>
                <w:lang w:eastAsia="lv-LV"/>
              </w:rPr>
              <w:tab/>
            </w:r>
          </w:p>
          <w:p w14:paraId="4A7813E0" w14:textId="77777777" w:rsidR="00E51198" w:rsidRPr="00AB25C4" w:rsidRDefault="00E51198" w:rsidP="007512BC">
            <w:pPr>
              <w:suppressAutoHyphens/>
              <w:autoSpaceDN w:val="0"/>
              <w:spacing w:after="0" w:line="240" w:lineRule="auto"/>
              <w:ind w:firstLine="72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Ekonomikas ministrija</w:t>
            </w:r>
          </w:p>
          <w:p w14:paraId="7B9F4313" w14:textId="77777777" w:rsidR="00E51198" w:rsidRPr="00AB25C4" w:rsidRDefault="00E51198" w:rsidP="007512BC">
            <w:pPr>
              <w:suppressAutoHyphens/>
              <w:autoSpaceDN w:val="0"/>
              <w:spacing w:after="0" w:line="240" w:lineRule="auto"/>
              <w:ind w:firstLine="720"/>
              <w:jc w:val="both"/>
              <w:textAlignment w:val="baseline"/>
              <w:rPr>
                <w:rFonts w:ascii="Times New Roman" w:eastAsia="Times New Roman" w:hAnsi="Times New Roman" w:cs="Times New Roman"/>
                <w:lang w:eastAsia="lv-LV"/>
              </w:rPr>
            </w:pPr>
          </w:p>
        </w:tc>
      </w:tr>
      <w:tr w:rsidR="00E51198" w:rsidRPr="00AB25C4" w14:paraId="07F26AA4" w14:textId="77777777" w:rsidTr="007512BC">
        <w:trPr>
          <w:trHeight w:val="285"/>
        </w:trPr>
        <w:tc>
          <w:tcPr>
            <w:tcW w:w="6345" w:type="dxa"/>
            <w:shd w:val="clear" w:color="auto" w:fill="auto"/>
            <w:tcMar>
              <w:top w:w="0" w:type="dxa"/>
              <w:left w:w="108" w:type="dxa"/>
              <w:bottom w:w="0" w:type="dxa"/>
              <w:right w:w="108" w:type="dxa"/>
            </w:tcMar>
          </w:tcPr>
          <w:p w14:paraId="6C182724"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p>
        </w:tc>
        <w:tc>
          <w:tcPr>
            <w:tcW w:w="743" w:type="dxa"/>
            <w:gridSpan w:val="2"/>
            <w:shd w:val="clear" w:color="auto" w:fill="auto"/>
            <w:tcMar>
              <w:top w:w="0" w:type="dxa"/>
              <w:left w:w="108" w:type="dxa"/>
              <w:bottom w:w="0" w:type="dxa"/>
              <w:right w:w="108" w:type="dxa"/>
            </w:tcMar>
          </w:tcPr>
          <w:p w14:paraId="75A285B6" w14:textId="77777777" w:rsidR="00E51198" w:rsidRPr="00AB25C4" w:rsidRDefault="00E51198" w:rsidP="007512BC">
            <w:pPr>
              <w:suppressAutoHyphens/>
              <w:autoSpaceDN w:val="0"/>
              <w:spacing w:after="0" w:line="240" w:lineRule="auto"/>
              <w:ind w:firstLine="720"/>
              <w:jc w:val="both"/>
              <w:textAlignment w:val="baseline"/>
              <w:rPr>
                <w:rFonts w:ascii="Times New Roman" w:eastAsia="Times New Roman" w:hAnsi="Times New Roman" w:cs="Times New Roman"/>
                <w:lang w:eastAsia="lv-LV"/>
              </w:rPr>
            </w:pPr>
          </w:p>
        </w:tc>
        <w:tc>
          <w:tcPr>
            <w:tcW w:w="5034" w:type="dxa"/>
            <w:shd w:val="clear" w:color="auto" w:fill="auto"/>
            <w:tcMar>
              <w:top w:w="0" w:type="dxa"/>
              <w:left w:w="108" w:type="dxa"/>
              <w:bottom w:w="0" w:type="dxa"/>
              <w:right w:w="108" w:type="dxa"/>
            </w:tcMar>
          </w:tcPr>
          <w:p w14:paraId="76F09E36" w14:textId="77777777" w:rsidR="00E51198" w:rsidRPr="00AB25C4" w:rsidRDefault="00E51198" w:rsidP="007512BC">
            <w:pPr>
              <w:suppressAutoHyphens/>
              <w:autoSpaceDN w:val="0"/>
              <w:spacing w:after="0" w:line="240" w:lineRule="auto"/>
              <w:ind w:firstLine="12"/>
              <w:jc w:val="both"/>
              <w:textAlignment w:val="baseline"/>
              <w:rPr>
                <w:rFonts w:ascii="Times New Roman" w:eastAsia="Times New Roman" w:hAnsi="Times New Roman" w:cs="Times New Roman"/>
                <w:lang w:eastAsia="lv-LV"/>
              </w:rPr>
            </w:pPr>
          </w:p>
        </w:tc>
      </w:tr>
      <w:tr w:rsidR="00E51198" w:rsidRPr="00AB25C4" w14:paraId="20E76B86" w14:textId="77777777" w:rsidTr="007512BC">
        <w:trPr>
          <w:trHeight w:val="285"/>
        </w:trPr>
        <w:tc>
          <w:tcPr>
            <w:tcW w:w="6708" w:type="dxa"/>
            <w:gridSpan w:val="2"/>
            <w:shd w:val="clear" w:color="auto" w:fill="auto"/>
            <w:tcMar>
              <w:top w:w="0" w:type="dxa"/>
              <w:left w:w="108" w:type="dxa"/>
              <w:bottom w:w="0" w:type="dxa"/>
              <w:right w:w="108" w:type="dxa"/>
            </w:tcMar>
          </w:tcPr>
          <w:p w14:paraId="79F1D424" w14:textId="77777777" w:rsidR="00E51198" w:rsidRPr="00AB25C4" w:rsidRDefault="00E51198" w:rsidP="007512BC">
            <w:pPr>
              <w:suppressAutoHyphens/>
              <w:autoSpaceDN w:val="0"/>
              <w:spacing w:line="256" w:lineRule="auto"/>
              <w:jc w:val="both"/>
              <w:textAlignment w:val="baseline"/>
              <w:rPr>
                <w:rFonts w:ascii="Times New Roman" w:eastAsia="Times New Roman" w:hAnsi="Times New Roman" w:cs="Times New Roman"/>
                <w:color w:val="5A5A5A"/>
                <w:spacing w:val="15"/>
                <w:lang w:eastAsia="lv-LV"/>
              </w:rPr>
            </w:pPr>
            <w:r w:rsidRPr="00AB25C4">
              <w:rPr>
                <w:rFonts w:ascii="Times New Roman" w:eastAsia="Times New Roman" w:hAnsi="Times New Roman" w:cs="Times New Roman"/>
                <w:spacing w:val="15"/>
                <w:lang w:eastAsia="lv-LV"/>
              </w:rPr>
              <w:t>Saskaņošanas dalībnieki izskatīja šādu ministriju (citu institūciju) iebildumus</w:t>
            </w:r>
          </w:p>
        </w:tc>
        <w:tc>
          <w:tcPr>
            <w:tcW w:w="380" w:type="dxa"/>
            <w:shd w:val="clear" w:color="auto" w:fill="auto"/>
            <w:tcMar>
              <w:top w:w="0" w:type="dxa"/>
              <w:left w:w="108" w:type="dxa"/>
              <w:bottom w:w="0" w:type="dxa"/>
              <w:right w:w="108" w:type="dxa"/>
            </w:tcMar>
          </w:tcPr>
          <w:p w14:paraId="4D645C9E" w14:textId="77777777" w:rsidR="00E51198" w:rsidRPr="00AB25C4" w:rsidRDefault="00E51198" w:rsidP="007512BC">
            <w:pPr>
              <w:suppressAutoHyphens/>
              <w:autoSpaceDN w:val="0"/>
              <w:spacing w:after="0" w:line="240" w:lineRule="auto"/>
              <w:ind w:firstLine="720"/>
              <w:jc w:val="both"/>
              <w:textAlignment w:val="baseline"/>
              <w:rPr>
                <w:rFonts w:ascii="Times New Roman" w:eastAsia="Times New Roman" w:hAnsi="Times New Roman" w:cs="Times New Roman"/>
                <w:lang w:eastAsia="lv-LV"/>
              </w:rPr>
            </w:pPr>
          </w:p>
        </w:tc>
        <w:tc>
          <w:tcPr>
            <w:tcW w:w="5034" w:type="dxa"/>
            <w:shd w:val="clear" w:color="auto" w:fill="auto"/>
            <w:tcMar>
              <w:top w:w="0" w:type="dxa"/>
              <w:left w:w="108" w:type="dxa"/>
              <w:bottom w:w="0" w:type="dxa"/>
              <w:right w:w="108" w:type="dxa"/>
            </w:tcMar>
          </w:tcPr>
          <w:p w14:paraId="1E41F6D6"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Tieslietu ministrija </w:t>
            </w:r>
          </w:p>
          <w:p w14:paraId="63A7369F"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Finanšu ministrija</w:t>
            </w:r>
          </w:p>
        </w:tc>
      </w:tr>
      <w:tr w:rsidR="00E51198" w:rsidRPr="00AB25C4" w14:paraId="5951D036" w14:textId="77777777" w:rsidTr="007512BC">
        <w:trPr>
          <w:trHeight w:val="465"/>
        </w:trPr>
        <w:tc>
          <w:tcPr>
            <w:tcW w:w="12120" w:type="dxa"/>
            <w:gridSpan w:val="4"/>
            <w:shd w:val="clear" w:color="auto" w:fill="auto"/>
            <w:tcMar>
              <w:top w:w="0" w:type="dxa"/>
              <w:left w:w="108" w:type="dxa"/>
              <w:bottom w:w="0" w:type="dxa"/>
              <w:right w:w="108" w:type="dxa"/>
            </w:tcMar>
          </w:tcPr>
          <w:p w14:paraId="6914AD86" w14:textId="77777777" w:rsidR="00E51198" w:rsidRPr="00AB25C4" w:rsidRDefault="00E51198" w:rsidP="007512BC">
            <w:pPr>
              <w:suppressAutoHyphens/>
              <w:autoSpaceDN w:val="0"/>
              <w:spacing w:after="0" w:line="240" w:lineRule="auto"/>
              <w:ind w:left="4820" w:firstLine="720"/>
              <w:jc w:val="both"/>
              <w:textAlignment w:val="baseline"/>
              <w:rPr>
                <w:rFonts w:ascii="Times New Roman" w:eastAsia="Times New Roman" w:hAnsi="Times New Roman" w:cs="Times New Roman"/>
                <w:lang w:eastAsia="lv-LV"/>
              </w:rPr>
            </w:pPr>
          </w:p>
        </w:tc>
      </w:tr>
      <w:tr w:rsidR="00E51198" w:rsidRPr="00AB25C4" w14:paraId="25D960B8" w14:textId="77777777" w:rsidTr="007512BC">
        <w:tc>
          <w:tcPr>
            <w:tcW w:w="6708" w:type="dxa"/>
            <w:gridSpan w:val="2"/>
            <w:shd w:val="clear" w:color="auto" w:fill="auto"/>
            <w:tcMar>
              <w:top w:w="0" w:type="dxa"/>
              <w:left w:w="108" w:type="dxa"/>
              <w:bottom w:w="0" w:type="dxa"/>
              <w:right w:w="108" w:type="dxa"/>
            </w:tcMar>
          </w:tcPr>
          <w:p w14:paraId="32AD7BFD"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5412" w:type="dxa"/>
            <w:gridSpan w:val="2"/>
            <w:shd w:val="clear" w:color="auto" w:fill="auto"/>
            <w:tcMar>
              <w:top w:w="0" w:type="dxa"/>
              <w:left w:w="108" w:type="dxa"/>
              <w:bottom w:w="0" w:type="dxa"/>
              <w:right w:w="108" w:type="dxa"/>
            </w:tcMar>
          </w:tcPr>
          <w:p w14:paraId="447A609E" w14:textId="77777777" w:rsidR="00E51198" w:rsidRPr="00AB25C4" w:rsidRDefault="00E51198" w:rsidP="007512BC">
            <w:pPr>
              <w:suppressAutoHyphens/>
              <w:autoSpaceDN w:val="0"/>
              <w:spacing w:after="0" w:line="240" w:lineRule="auto"/>
              <w:ind w:firstLine="268"/>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 Nav</w:t>
            </w:r>
          </w:p>
        </w:tc>
      </w:tr>
    </w:tbl>
    <w:p w14:paraId="1F604C16" w14:textId="77777777" w:rsidR="00E51198" w:rsidRPr="00AB25C4" w:rsidRDefault="00E51198" w:rsidP="00E51198">
      <w:pPr>
        <w:suppressAutoHyphens/>
        <w:autoSpaceDN w:val="0"/>
        <w:spacing w:after="0" w:line="240" w:lineRule="auto"/>
        <w:jc w:val="both"/>
        <w:textAlignment w:val="baseline"/>
        <w:rPr>
          <w:rFonts w:ascii="Times New Roman" w:eastAsia="Times New Roman" w:hAnsi="Times New Roman" w:cs="Times New Roman"/>
          <w:b/>
          <w:lang w:eastAsia="lv-LV"/>
        </w:rPr>
      </w:pPr>
    </w:p>
    <w:p w14:paraId="4C53A848" w14:textId="77777777" w:rsidR="00E51198" w:rsidRPr="00AB25C4" w:rsidRDefault="00E51198" w:rsidP="00E51198">
      <w:pPr>
        <w:suppressAutoHyphens/>
        <w:autoSpaceDN w:val="0"/>
        <w:spacing w:after="0" w:line="240" w:lineRule="auto"/>
        <w:jc w:val="both"/>
        <w:textAlignment w:val="baseline"/>
        <w:rPr>
          <w:rFonts w:ascii="Times New Roman" w:eastAsia="Times New Roman" w:hAnsi="Times New Roman" w:cs="Times New Roman"/>
          <w:b/>
          <w:lang w:eastAsia="lv-LV"/>
        </w:rPr>
      </w:pPr>
    </w:p>
    <w:p w14:paraId="406BA627" w14:textId="77777777" w:rsidR="00E51198" w:rsidRPr="00AB25C4" w:rsidRDefault="00E51198" w:rsidP="00E51198">
      <w:pPr>
        <w:suppressAutoHyphens/>
        <w:autoSpaceDN w:val="0"/>
        <w:spacing w:after="0" w:line="240" w:lineRule="auto"/>
        <w:jc w:val="both"/>
        <w:textAlignment w:val="baseline"/>
        <w:rPr>
          <w:rFonts w:ascii="Times New Roman" w:eastAsia="Times New Roman" w:hAnsi="Times New Roman" w:cs="Times New Roman"/>
          <w:b/>
          <w:lang w:eastAsia="lv-LV"/>
        </w:rPr>
      </w:pPr>
      <w:r w:rsidRPr="00AB25C4">
        <w:rPr>
          <w:rFonts w:ascii="Times New Roman" w:eastAsia="Times New Roman" w:hAnsi="Times New Roman" w:cs="Times New Roman"/>
          <w:b/>
          <w:lang w:eastAsia="lv-LV"/>
        </w:rPr>
        <w:t>II. Jautājumi, par kuriem saskaņošanā vienošanās ir panākta</w:t>
      </w:r>
    </w:p>
    <w:p w14:paraId="7CD1F165" w14:textId="77777777" w:rsidR="00E51198" w:rsidRPr="00AB25C4" w:rsidRDefault="00E51198" w:rsidP="00E51198">
      <w:pPr>
        <w:suppressAutoHyphens/>
        <w:autoSpaceDN w:val="0"/>
        <w:spacing w:after="0" w:line="240" w:lineRule="auto"/>
        <w:ind w:firstLine="720"/>
        <w:jc w:val="both"/>
        <w:textAlignment w:val="baseline"/>
        <w:rPr>
          <w:rFonts w:ascii="Times New Roman" w:eastAsia="Times New Roman" w:hAnsi="Times New Roman" w:cs="Times New Roman"/>
          <w:lang w:eastAsia="lv-LV"/>
        </w:rPr>
      </w:pPr>
    </w:p>
    <w:tbl>
      <w:tblPr>
        <w:tblStyle w:val="TableGrid"/>
        <w:tblW w:w="16054" w:type="dxa"/>
        <w:tblInd w:w="-856" w:type="dxa"/>
        <w:tblLook w:val="04A0" w:firstRow="1" w:lastRow="0" w:firstColumn="1" w:lastColumn="0" w:noHBand="0" w:noVBand="1"/>
      </w:tblPr>
      <w:tblGrid>
        <w:gridCol w:w="767"/>
        <w:gridCol w:w="3203"/>
        <w:gridCol w:w="4111"/>
        <w:gridCol w:w="3871"/>
        <w:gridCol w:w="4102"/>
      </w:tblGrid>
      <w:tr w:rsidR="00E51198" w:rsidRPr="00AB25C4" w14:paraId="37C2D558" w14:textId="77777777" w:rsidTr="007512BC">
        <w:tc>
          <w:tcPr>
            <w:tcW w:w="767" w:type="dxa"/>
            <w:vAlign w:val="center"/>
          </w:tcPr>
          <w:p w14:paraId="1D26979F"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Nr. p.k.</w:t>
            </w:r>
          </w:p>
        </w:tc>
        <w:tc>
          <w:tcPr>
            <w:tcW w:w="3203" w:type="dxa"/>
            <w:vAlign w:val="center"/>
          </w:tcPr>
          <w:p w14:paraId="6C935FD6"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Saskaņošanai nosūtītā projekta redakcija (konkrēta punkta (panta) redakcija)</w:t>
            </w:r>
          </w:p>
        </w:tc>
        <w:tc>
          <w:tcPr>
            <w:tcW w:w="4111" w:type="dxa"/>
            <w:vAlign w:val="center"/>
          </w:tcPr>
          <w:p w14:paraId="6CD093F8"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871" w:type="dxa"/>
            <w:vAlign w:val="center"/>
          </w:tcPr>
          <w:p w14:paraId="18C97B6B"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4102" w:type="dxa"/>
            <w:vAlign w:val="center"/>
          </w:tcPr>
          <w:p w14:paraId="04908820"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Projekta attiecīgā punkta (panta) galīgā redakcija</w:t>
            </w:r>
          </w:p>
        </w:tc>
      </w:tr>
      <w:tr w:rsidR="00E51198" w:rsidRPr="00AB25C4" w14:paraId="4FECD52D" w14:textId="77777777" w:rsidTr="007512BC">
        <w:tc>
          <w:tcPr>
            <w:tcW w:w="767" w:type="dxa"/>
          </w:tcPr>
          <w:p w14:paraId="487F60C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w:t>
            </w:r>
          </w:p>
        </w:tc>
        <w:tc>
          <w:tcPr>
            <w:tcW w:w="3203" w:type="dxa"/>
          </w:tcPr>
          <w:p w14:paraId="59B02A33"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2</w:t>
            </w:r>
          </w:p>
        </w:tc>
        <w:tc>
          <w:tcPr>
            <w:tcW w:w="4111" w:type="dxa"/>
          </w:tcPr>
          <w:p w14:paraId="564FCF0D"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3</w:t>
            </w:r>
          </w:p>
        </w:tc>
        <w:tc>
          <w:tcPr>
            <w:tcW w:w="3871" w:type="dxa"/>
          </w:tcPr>
          <w:p w14:paraId="4EC70E79"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4</w:t>
            </w:r>
          </w:p>
        </w:tc>
        <w:tc>
          <w:tcPr>
            <w:tcW w:w="4102" w:type="dxa"/>
          </w:tcPr>
          <w:p w14:paraId="45830F40"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5</w:t>
            </w:r>
          </w:p>
        </w:tc>
      </w:tr>
      <w:tr w:rsidR="00E51198" w:rsidRPr="00AB25C4" w14:paraId="062695DC" w14:textId="77777777" w:rsidTr="007512BC">
        <w:tc>
          <w:tcPr>
            <w:tcW w:w="767" w:type="dxa"/>
          </w:tcPr>
          <w:p w14:paraId="4BBB11C3"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1.</w:t>
            </w:r>
          </w:p>
        </w:tc>
        <w:tc>
          <w:tcPr>
            <w:tcW w:w="3203" w:type="dxa"/>
          </w:tcPr>
          <w:p w14:paraId="62A54DB0"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6. Izteikt 10. punktu šādā redakcijā: </w:t>
            </w:r>
          </w:p>
          <w:p w14:paraId="7AA24FB2"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3FD85C0C"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“10. Nepamatoti piešķirts atbalsts ir atskaitāms no projekta kopējām attiecināmajām izmaksām un </w:t>
            </w:r>
            <w:r w:rsidRPr="00AB25C4">
              <w:rPr>
                <w:rFonts w:ascii="Times New Roman" w:eastAsia="Times New Roman" w:hAnsi="Times New Roman" w:cs="Times New Roman"/>
                <w:lang w:eastAsia="lv-LV"/>
              </w:rPr>
              <w:lastRenderedPageBreak/>
              <w:t>atmaksājams valsts budžetā. Par nepamatotu atbalstu uzskata finansējumu, kas piešķirts šādos gadījumos:</w:t>
            </w:r>
          </w:p>
          <w:p w14:paraId="6A4FFFEA"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10.1. ar saimniecisku darbību saistītam projektam:</w:t>
            </w:r>
          </w:p>
          <w:p w14:paraId="1A199FC2"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10.1.1. ja projekta īstenošana ir uzsākta pirms pieteikuma iesniegšanas aģentūrā, ievērojot regulas Nr.651/2014 6.panata 2.punktā noteikto;</w:t>
            </w:r>
          </w:p>
          <w:p w14:paraId="64129098"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10.1.2. ja nav ievēroti šo noteikumu 8. un 9. punkta nosacījumi;</w:t>
            </w:r>
          </w:p>
          <w:p w14:paraId="3741FD1F"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10.2. ja projekts neatbilst šo noteikumu 3.4.apakšpunktā noteiktajam atbalsta pretendentam ir pienākums aģentūrai atmaksāt visu projekta ietvaros saņemto valsts atbalstu kopā ar procentiem, kuru likmi publicē Eiropas Komisija saskaņā ar Komisijas 2004. gada 21. aprīļa regulas Nr. 794/2004, ar ko īsteno Padomes Regulu (ES) 2015/1589, ar ko nosaka sīki izstrādātus noteikumus Līguma par Eiropas Savienības darbību 108. panta piemērošanai, 10. pantu, tiem pieskaitot 100 bāzes punktus, no dienas, kad valsts atbalsts tika izmaksāts atbalsta pretendentam, līdz tā atgūšanas dienai, ievērojot Komisijas regulas Nr. 794/2004, ar ko īsteno Padomes Regulu (ES) 2015/1589, ar ko nosaka sīki izstrādātus noteikumus Līguma </w:t>
            </w:r>
            <w:r w:rsidRPr="00AB25C4">
              <w:rPr>
                <w:rFonts w:ascii="Times New Roman" w:eastAsia="Times New Roman" w:hAnsi="Times New Roman" w:cs="Times New Roman"/>
                <w:lang w:eastAsia="lv-LV"/>
              </w:rPr>
              <w:lastRenderedPageBreak/>
              <w:t>par Eiropas Savienības darbību 108. panta piemērošanai, 11. pantā noteikto procentu likmes piemērošanas metodi.”</w:t>
            </w:r>
          </w:p>
        </w:tc>
        <w:tc>
          <w:tcPr>
            <w:tcW w:w="4111" w:type="dxa"/>
          </w:tcPr>
          <w:p w14:paraId="7998694C" w14:textId="77777777" w:rsidR="00E51198" w:rsidRPr="00AB25C4" w:rsidRDefault="00E51198" w:rsidP="007512BC">
            <w:pPr>
              <w:suppressAutoHyphens/>
              <w:autoSpaceDN w:val="0"/>
              <w:jc w:val="center"/>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 xml:space="preserve">Tieslietu ministrija </w:t>
            </w:r>
          </w:p>
          <w:p w14:paraId="670C7D0C" w14:textId="77777777" w:rsidR="00E51198" w:rsidRPr="00AB25C4" w:rsidRDefault="00E51198" w:rsidP="007512BC">
            <w:pPr>
              <w:suppressAutoHyphens/>
              <w:autoSpaceDN w:val="0"/>
              <w:jc w:val="center"/>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(24.05.2021. atzinums)</w:t>
            </w:r>
          </w:p>
          <w:p w14:paraId="652619B0"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01B45719"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“Projekta 6. punktā izteiktais 10. punkts paredz noteikt pienākumu personai atmaksāt saņemto valsts atbalstu, ja pati persona vai </w:t>
            </w:r>
            <w:r w:rsidRPr="00AB25C4">
              <w:rPr>
                <w:rFonts w:ascii="Times New Roman" w:eastAsia="Times New Roman" w:hAnsi="Times New Roman" w:cs="Times New Roman"/>
                <w:lang w:eastAsia="lv-LV"/>
              </w:rPr>
              <w:lastRenderedPageBreak/>
              <w:t>atbalsta sniedzējs ir pārkāpuši noteikumu vai regulu prasības.</w:t>
            </w:r>
          </w:p>
          <w:p w14:paraId="7E7E0B9B"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Lūdzam atkārtoti izvērtēt projekta 6. punkta atbilstību spēkā esošo noteikumu 1. punktam un projekta tiesiskajam izdošanas pamatam (Zinātniskās darbības likumā noteiktajam pilnvarojumam), kā arī likumprojektā "Grozījumi Komercdarbības atbalsta kontroles likumā" (turpmāk - likumprojekts) paredzētajam regulējumam.</w:t>
            </w:r>
            <w:r w:rsidRPr="00AB25C4">
              <w:rPr>
                <w:rFonts w:ascii="Times New Roman" w:hAnsi="Times New Roman" w:cs="Times New Roman"/>
              </w:rPr>
              <w:t xml:space="preserve"> </w:t>
            </w:r>
            <w:r w:rsidRPr="00AB25C4">
              <w:rPr>
                <w:rFonts w:ascii="Times New Roman" w:eastAsia="Times New Roman" w:hAnsi="Times New Roman" w:cs="Times New Roman"/>
                <w:lang w:eastAsia="lv-LV"/>
              </w:rPr>
              <w:t>Likumprojektā paredzēta IV nodaļa "Nelikumīga un nesaderīga komercdarbības atbalsta atgūšana saskaņā ar Eiropas Komisijas pieņemtu lēmumu" un V nodaļa "Nelikumīga komercdarbības atbalsta atgūšana, ja nav pieņemts Eiropas Komisijas lēmums par nelikumīga un nesaderīga komercdarbības atbalsta atgūšanu".</w:t>
            </w:r>
          </w:p>
          <w:p w14:paraId="44903BFC"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Likumprojektā izteiktā 19. panta otrā daļa paredz: "Komercsabiedrībai, kura ir saņēmusi šā panta pirmajā daļā minēto nelikumīgo komercdarbības atbalstu, ir pienākums atmaksāt šo atbalstu kopā ar procentiem, kādus publicē Eiropas Komisija saskaņā ar Komisijas regulas Nr. 794/2004 10. pantu, tiem pieskaitot 100 bāzes punktus, no dienas, kad nelikumīgs komercdarbības atbalsts tika nodots komercdarbības atbalsta saņēmējarīcībā, līdz tā atgūšanas dienai, ievērojot Komisijas regulas Nr. 794/2004 11. pantā noteikto procentu likmes piemērošanas metodi."  Vēršam uzmanību, ka projekta 6. punktā paredzētais regulējums paredz būtisku atkāpi no tiesiskās paļāvības principa. Šāda atkāpe ir nosakāma tikai likumā (ar pamatojumu), nevis Ministru kabineta noteikumos. </w:t>
            </w:r>
          </w:p>
          <w:p w14:paraId="6C5A1B12"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lastRenderedPageBreak/>
              <w:t>Vēršam arī uzmanību, ka Ministru kabineta noteikumos neiekļauj regulējumu, kas ir noteikts likumā, kā arī noteikumos neiekļauj tādu regulējumu, kas ir pretrunā likumam.</w:t>
            </w:r>
          </w:p>
          <w:p w14:paraId="57CD6A4A"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7E737052"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Tādējādi lūdzam izvērtēt iespēju svītrot projekta 6.punktu un piemērot Komercdarbības atbalsta kontroles likumā paredzēto regulējumu par komercdarbības atbalsta atgūšanu, kad tas tiks pieņemts Saeimā.  ”</w:t>
            </w:r>
          </w:p>
        </w:tc>
        <w:tc>
          <w:tcPr>
            <w:tcW w:w="3871" w:type="dxa"/>
          </w:tcPr>
          <w:p w14:paraId="2DA8F90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b/>
                <w:bCs/>
                <w:lang w:eastAsia="lv-LV"/>
              </w:rPr>
              <w:lastRenderedPageBreak/>
              <w:t>Ņemts vērā.</w:t>
            </w:r>
            <w:r w:rsidRPr="00AB25C4">
              <w:rPr>
                <w:rFonts w:ascii="Times New Roman" w:eastAsia="Times New Roman" w:hAnsi="Times New Roman" w:cs="Times New Roman"/>
                <w:lang w:eastAsia="lv-LV"/>
              </w:rPr>
              <w:t xml:space="preserve"> </w:t>
            </w:r>
          </w:p>
          <w:p w14:paraId="4665F8C7"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5105BA77"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02" w:type="dxa"/>
          </w:tcPr>
          <w:p w14:paraId="63CF4EB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4. Papildināt noteikumu 10.punktu ar otru teikumu šādā redakcijā: </w:t>
            </w:r>
          </w:p>
          <w:p w14:paraId="230B49AD"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0316361D"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“Nelikumīgu komercdarbības atbalstu aģentūra atgūst saskaņā ar Komercdarbības atbalsta kontroles likumā noteikto kārtību.”</w:t>
            </w:r>
          </w:p>
        </w:tc>
      </w:tr>
      <w:tr w:rsidR="00E51198" w:rsidRPr="00AB25C4" w14:paraId="42E8F71B" w14:textId="77777777" w:rsidTr="007512BC">
        <w:tc>
          <w:tcPr>
            <w:tcW w:w="767" w:type="dxa"/>
          </w:tcPr>
          <w:p w14:paraId="114FC98E"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1,a</w:t>
            </w:r>
          </w:p>
        </w:tc>
        <w:tc>
          <w:tcPr>
            <w:tcW w:w="3203" w:type="dxa"/>
          </w:tcPr>
          <w:p w14:paraId="3CF412A3" w14:textId="77777777" w:rsidR="00E51198" w:rsidRPr="00AB25C4" w:rsidRDefault="00E51198" w:rsidP="007512BC">
            <w:pPr>
              <w:ind w:firstLine="720"/>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5. Papildināt noteikumus ar 12.16.apakšpunktu šādā redakcijā:</w:t>
            </w:r>
          </w:p>
          <w:p w14:paraId="7A7BBB6F" w14:textId="77777777" w:rsidR="00E51198" w:rsidRPr="00AB25C4" w:rsidRDefault="00E51198" w:rsidP="007512BC">
            <w:pPr>
              <w:ind w:firstLine="720"/>
              <w:jc w:val="both"/>
              <w:rPr>
                <w:rFonts w:ascii="Times New Roman" w:eastAsia="Times New Roman" w:hAnsi="Times New Roman" w:cs="Times New Roman"/>
                <w:lang w:eastAsia="lv-LV"/>
              </w:rPr>
            </w:pPr>
          </w:p>
          <w:p w14:paraId="77D28D1A" w14:textId="77777777" w:rsidR="00E51198" w:rsidRPr="00AB25C4" w:rsidRDefault="00E51198" w:rsidP="007512BC">
            <w:pPr>
              <w:ind w:firstLine="720"/>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“12.16. slēdz atbalsta līgumu par valsts atbalsta piešķiršanu, ja atbalsta pretendents uz šī līguma slēgšanas brīdi atbilst visiem regulā Nr.651/2014 noteiktajiem saimnieciskās darbības atbalsta regulējuma noteikumiem.” </w:t>
            </w:r>
          </w:p>
          <w:p w14:paraId="637C2158"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11" w:type="dxa"/>
          </w:tcPr>
          <w:p w14:paraId="2C181366" w14:textId="77777777" w:rsidR="00E51198" w:rsidRPr="00AB25C4" w:rsidRDefault="00E51198" w:rsidP="007512BC">
            <w:pPr>
              <w:suppressAutoHyphens/>
              <w:autoSpaceDN w:val="0"/>
              <w:jc w:val="center"/>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 xml:space="preserve">Tieslietu ministrija </w:t>
            </w:r>
          </w:p>
          <w:p w14:paraId="32ACEF25" w14:textId="77777777" w:rsidR="00E51198" w:rsidRPr="00AB25C4" w:rsidRDefault="00E51198" w:rsidP="007512BC">
            <w:pPr>
              <w:shd w:val="clear" w:color="auto" w:fill="FFFFFF"/>
              <w:jc w:val="both"/>
              <w:rPr>
                <w:rFonts w:ascii="Times New Roman" w:eastAsia="Times New Roman" w:hAnsi="Times New Roman" w:cs="Times New Roman"/>
                <w:color w:val="000000"/>
                <w:lang w:eastAsia="en-GB"/>
              </w:rPr>
            </w:pPr>
            <w:r w:rsidRPr="00AB25C4">
              <w:rPr>
                <w:rFonts w:ascii="Times New Roman" w:eastAsia="Times New Roman" w:hAnsi="Times New Roman" w:cs="Times New Roman"/>
                <w:b/>
                <w:bCs/>
                <w:lang w:eastAsia="lv-LV"/>
              </w:rPr>
              <w:t>(</w:t>
            </w:r>
            <w:r w:rsidRPr="00AB25C4">
              <w:rPr>
                <w:rFonts w:ascii="Times New Roman" w:eastAsia="Times New Roman" w:hAnsi="Times New Roman" w:cs="Times New Roman"/>
                <w:color w:val="000000"/>
                <w:lang w:eastAsia="en-GB"/>
              </w:rPr>
              <w:t xml:space="preserve">priekšlikums </w:t>
            </w:r>
            <w:r w:rsidRPr="00AB25C4">
              <w:rPr>
                <w:rFonts w:ascii="Times New Roman" w:eastAsia="Times New Roman" w:hAnsi="Times New Roman" w:cs="Times New Roman"/>
                <w:b/>
                <w:bCs/>
                <w:lang w:eastAsia="lv-LV"/>
              </w:rPr>
              <w:t>04.06..2021. atzinumā – e-pasts)</w:t>
            </w:r>
          </w:p>
          <w:p w14:paraId="2F5F3609" w14:textId="77777777" w:rsidR="00E51198" w:rsidRPr="00AB25C4" w:rsidRDefault="00E51198" w:rsidP="007512BC">
            <w:pPr>
              <w:shd w:val="clear" w:color="auto" w:fill="FFFFFF"/>
              <w:jc w:val="both"/>
              <w:rPr>
                <w:rFonts w:ascii="Times New Roman" w:eastAsia="Times New Roman" w:hAnsi="Times New Roman" w:cs="Times New Roman"/>
                <w:color w:val="000000"/>
                <w:lang w:eastAsia="en-GB"/>
              </w:rPr>
            </w:pPr>
            <w:r w:rsidRPr="00AB25C4">
              <w:rPr>
                <w:rFonts w:ascii="Times New Roman" w:eastAsia="Times New Roman" w:hAnsi="Times New Roman" w:cs="Times New Roman"/>
                <w:color w:val="000000"/>
                <w:lang w:eastAsia="en-GB"/>
              </w:rPr>
              <w:t>Aicinām atkārtoti izvērtēt projekta 5. punktā izteikto 12.16.apakšpunkta nosacījumus, izvērtējot iespēju aizstāt norādi "regulā Nr.651/2014 noteiktajiem saimnieciskās darbības atbalsta regulējuma noteikumiem” ar norādi uz </w:t>
            </w:r>
            <w:r w:rsidRPr="00AB25C4">
              <w:rPr>
                <w:rFonts w:ascii="Times New Roman" w:eastAsia="Times New Roman" w:hAnsi="Times New Roman" w:cs="Times New Roman"/>
                <w:color w:val="000000"/>
                <w:u w:val="single"/>
                <w:lang w:eastAsia="en-GB"/>
              </w:rPr>
              <w:t>spēkā esošo noteikumu 7.punktā noteiktajām prasībām atbalsta pretendentam</w:t>
            </w:r>
            <w:r w:rsidRPr="00AB25C4">
              <w:rPr>
                <w:rFonts w:ascii="Times New Roman" w:eastAsia="Times New Roman" w:hAnsi="Times New Roman" w:cs="Times New Roman"/>
                <w:color w:val="000000"/>
                <w:lang w:eastAsia="en-GB"/>
              </w:rPr>
              <w:t>. </w:t>
            </w:r>
            <w:r w:rsidRPr="00AB25C4">
              <w:rPr>
                <w:rFonts w:ascii="Times New Roman" w:eastAsia="Times New Roman" w:hAnsi="Times New Roman" w:cs="Times New Roman"/>
                <w:color w:val="000000"/>
                <w:lang w:eastAsia="en-GB"/>
              </w:rPr>
              <w:br/>
              <w:t>Gadījumā, ja nepieciešams iekļaut norādi tieši uz regulas Nr.651/2014 prasībām, lūdzam norādīt konkrētas regulas normas.</w:t>
            </w:r>
          </w:p>
          <w:p w14:paraId="72A8B7B5" w14:textId="77777777" w:rsidR="00E51198" w:rsidRPr="00AB25C4" w:rsidRDefault="00E51198" w:rsidP="007512BC">
            <w:pPr>
              <w:shd w:val="clear" w:color="auto" w:fill="FFFFFF"/>
              <w:jc w:val="both"/>
              <w:rPr>
                <w:rFonts w:ascii="Times New Roman" w:eastAsia="Times New Roman" w:hAnsi="Times New Roman" w:cs="Times New Roman"/>
                <w:color w:val="000000"/>
                <w:lang w:eastAsia="en-GB"/>
              </w:rPr>
            </w:pPr>
          </w:p>
        </w:tc>
        <w:tc>
          <w:tcPr>
            <w:tcW w:w="3871" w:type="dxa"/>
          </w:tcPr>
          <w:p w14:paraId="4D9C7CAF"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Ņemts vērā.</w:t>
            </w:r>
          </w:p>
          <w:p w14:paraId="07682F01" w14:textId="77777777" w:rsidR="00E51198" w:rsidRPr="00AB25C4" w:rsidRDefault="00E51198" w:rsidP="007512BC">
            <w:pPr>
              <w:jc w:val="both"/>
              <w:rPr>
                <w:rFonts w:ascii="Times New Roman" w:eastAsia="Times New Roman" w:hAnsi="Times New Roman" w:cs="Times New Roman"/>
                <w:sz w:val="28"/>
                <w:szCs w:val="28"/>
                <w:lang w:eastAsia="lv-LV"/>
              </w:rPr>
            </w:pPr>
          </w:p>
          <w:p w14:paraId="42DFDC48"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Priekšlikums ir iekļauts izziņā ar mērķi, lai atspoguļotu pilnvērtīgi visus grozījumus, kas ir veikti projektā.</w:t>
            </w:r>
          </w:p>
          <w:p w14:paraId="2112825C" w14:textId="77777777" w:rsidR="00E51198" w:rsidRPr="00AB25C4" w:rsidRDefault="00E51198" w:rsidP="007512BC">
            <w:pPr>
              <w:jc w:val="both"/>
              <w:rPr>
                <w:rFonts w:ascii="Times New Roman" w:eastAsia="Times New Roman" w:hAnsi="Times New Roman" w:cs="Times New Roman"/>
                <w:b/>
                <w:bCs/>
                <w:lang w:eastAsia="lv-LV"/>
              </w:rPr>
            </w:pPr>
            <w:r w:rsidRPr="00AB25C4">
              <w:rPr>
                <w:rFonts w:ascii="Times New Roman" w:eastAsia="Times New Roman" w:hAnsi="Times New Roman" w:cs="Times New Roman"/>
                <w:lang w:eastAsia="lv-LV"/>
              </w:rPr>
              <w:t>TM priekšlikums ir ņemts vērā, jo nepieciešams precizēt, ka runa iet par MKN Nr.259 ietvaros noteiktajām  regulas Nr.651/20214 normām, bez norādes uz konkrētām normām, bet ievērojot to, ka atbalsta pretendentam ir jāizpilda visas MKN Nr.259 regulas Nr.651/2014 normas, lai iegūtu tiesības uz atbalsta līguma slēgšanu.</w:t>
            </w:r>
          </w:p>
        </w:tc>
        <w:tc>
          <w:tcPr>
            <w:tcW w:w="4102" w:type="dxa"/>
          </w:tcPr>
          <w:p w14:paraId="5E1FD2D8" w14:textId="77777777" w:rsidR="00E51198" w:rsidRPr="00AB25C4" w:rsidRDefault="00E51198" w:rsidP="007512BC">
            <w:pPr>
              <w:ind w:firstLine="720"/>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5. Papildināt noteikumus ar 12.16.apakšpunktu šādā redakcijā:</w:t>
            </w:r>
          </w:p>
          <w:p w14:paraId="05E896FE" w14:textId="77777777" w:rsidR="00E51198" w:rsidRPr="00AB25C4" w:rsidRDefault="00E51198" w:rsidP="007512BC">
            <w:pPr>
              <w:ind w:firstLine="720"/>
              <w:jc w:val="both"/>
              <w:rPr>
                <w:rFonts w:ascii="Times New Roman" w:eastAsia="Times New Roman" w:hAnsi="Times New Roman" w:cs="Times New Roman"/>
                <w:lang w:eastAsia="lv-LV"/>
              </w:rPr>
            </w:pPr>
          </w:p>
          <w:p w14:paraId="46F53EAD" w14:textId="77777777" w:rsidR="00E51198" w:rsidRPr="00AB25C4" w:rsidRDefault="00E51198" w:rsidP="007512BC">
            <w:pPr>
              <w:ind w:firstLine="720"/>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“12.16. slēdz atbalsta līgumu par valsts atbalsta piešķiršanu, ja uz šī līguma slēgšanas dienu atbalsta pretendents atbilst </w:t>
            </w:r>
            <w:r>
              <w:rPr>
                <w:rFonts w:ascii="Times New Roman" w:eastAsia="Times New Roman" w:hAnsi="Times New Roman" w:cs="Times New Roman"/>
                <w:lang w:eastAsia="lv-LV"/>
              </w:rPr>
              <w:t xml:space="preserve">visiem </w:t>
            </w:r>
            <w:r w:rsidRPr="00AB25C4">
              <w:rPr>
                <w:rFonts w:ascii="Times New Roman" w:eastAsia="Times New Roman" w:hAnsi="Times New Roman" w:cs="Times New Roman"/>
                <w:lang w:eastAsia="lv-LV"/>
              </w:rPr>
              <w:t>šajos noteikumos</w:t>
            </w:r>
            <w:r>
              <w:rPr>
                <w:rFonts w:ascii="Times New Roman" w:eastAsia="Times New Roman" w:hAnsi="Times New Roman" w:cs="Times New Roman"/>
                <w:lang w:eastAsia="lv-LV"/>
              </w:rPr>
              <w:t xml:space="preserve"> ietvertajiem</w:t>
            </w:r>
            <w:r w:rsidRPr="00AB25C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regulas</w:t>
            </w:r>
            <w:r w:rsidRPr="00AB25C4">
              <w:rPr>
                <w:rFonts w:ascii="Times New Roman" w:eastAsia="Times New Roman" w:hAnsi="Times New Roman" w:cs="Times New Roman"/>
                <w:lang w:eastAsia="lv-LV"/>
              </w:rPr>
              <w:t xml:space="preserve"> Nr.651/</w:t>
            </w:r>
            <w:r>
              <w:rPr>
                <w:rFonts w:ascii="Times New Roman" w:eastAsia="Times New Roman" w:hAnsi="Times New Roman" w:cs="Times New Roman"/>
                <w:lang w:eastAsia="lv-LV"/>
              </w:rPr>
              <w:t>nosacījumiem</w:t>
            </w:r>
            <w:r w:rsidRPr="00AB25C4">
              <w:rPr>
                <w:rFonts w:ascii="Times New Roman" w:eastAsia="Times New Roman" w:hAnsi="Times New Roman" w:cs="Times New Roman"/>
                <w:lang w:eastAsia="lv-LV"/>
              </w:rPr>
              <w:t xml:space="preserve">.” </w:t>
            </w:r>
          </w:p>
          <w:p w14:paraId="497259B9"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r>
      <w:tr w:rsidR="00E51198" w:rsidRPr="00AB25C4" w14:paraId="3048A933" w14:textId="77777777" w:rsidTr="007512BC">
        <w:tc>
          <w:tcPr>
            <w:tcW w:w="767" w:type="dxa"/>
          </w:tcPr>
          <w:p w14:paraId="7E5CAC09"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1.b</w:t>
            </w:r>
          </w:p>
        </w:tc>
        <w:tc>
          <w:tcPr>
            <w:tcW w:w="3203" w:type="dxa"/>
          </w:tcPr>
          <w:p w14:paraId="4440BE52" w14:textId="77777777" w:rsidR="00E51198" w:rsidRPr="00AB25C4" w:rsidRDefault="00E51198" w:rsidP="007512BC">
            <w:pPr>
              <w:ind w:firstLine="720"/>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4. Papildināt noteikumu 10.punktu ar otru teikumu šādā redakcijā: </w:t>
            </w:r>
          </w:p>
          <w:p w14:paraId="02D21CBF" w14:textId="77777777" w:rsidR="00E51198" w:rsidRPr="00AB25C4" w:rsidRDefault="00E51198" w:rsidP="007512BC">
            <w:pPr>
              <w:ind w:firstLine="720"/>
              <w:jc w:val="both"/>
              <w:rPr>
                <w:rFonts w:ascii="Times New Roman" w:eastAsia="Times New Roman" w:hAnsi="Times New Roman" w:cs="Times New Roman"/>
                <w:lang w:eastAsia="lv-LV"/>
              </w:rPr>
            </w:pPr>
          </w:p>
          <w:p w14:paraId="51A56D67"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w:t>
            </w:r>
            <w:r w:rsidRPr="00AB25C4">
              <w:rPr>
                <w:rFonts w:ascii="Times New Roman" w:hAnsi="Times New Roman" w:cs="Times New Roman"/>
                <w:bCs/>
                <w:shd w:val="clear" w:color="auto" w:fill="FFFFFF"/>
              </w:rPr>
              <w:t xml:space="preserve">Nelikumīgu komercdarbības atbalstu aģentūra </w:t>
            </w:r>
            <w:r w:rsidRPr="00AB25C4">
              <w:rPr>
                <w:rFonts w:ascii="Times New Roman" w:eastAsia="Times New Roman" w:hAnsi="Times New Roman" w:cs="Times New Roman"/>
                <w:lang w:eastAsia="lv-LV"/>
              </w:rPr>
              <w:t>atgūst saskaņā ar Komercdarbības atbalsta kontroles likumā noteikto kārtību.”</w:t>
            </w:r>
          </w:p>
          <w:p w14:paraId="5262F417" w14:textId="77777777" w:rsidR="00E51198" w:rsidRPr="00AB25C4" w:rsidRDefault="00E51198" w:rsidP="007512BC">
            <w:pPr>
              <w:ind w:firstLine="720"/>
              <w:jc w:val="both"/>
              <w:rPr>
                <w:rFonts w:ascii="Times New Roman" w:eastAsia="Times New Roman" w:hAnsi="Times New Roman" w:cs="Times New Roman"/>
                <w:lang w:eastAsia="lv-LV"/>
              </w:rPr>
            </w:pPr>
          </w:p>
        </w:tc>
        <w:tc>
          <w:tcPr>
            <w:tcW w:w="4111" w:type="dxa"/>
          </w:tcPr>
          <w:p w14:paraId="393B07DF" w14:textId="77777777" w:rsidR="00E51198" w:rsidRPr="00AB25C4" w:rsidRDefault="00E51198" w:rsidP="007512BC">
            <w:pPr>
              <w:suppressAutoHyphens/>
              <w:autoSpaceDN w:val="0"/>
              <w:jc w:val="center"/>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 xml:space="preserve">Tieslietu ministrija </w:t>
            </w:r>
          </w:p>
          <w:p w14:paraId="28A9D6F8" w14:textId="77777777" w:rsidR="00E51198" w:rsidRPr="00AB25C4" w:rsidRDefault="00E51198" w:rsidP="007512BC">
            <w:pPr>
              <w:suppressAutoHyphens/>
              <w:autoSpaceDN w:val="0"/>
              <w:jc w:val="center"/>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(priekšlikums 04.06..2021. atzinums – e-pasts)</w:t>
            </w:r>
          </w:p>
          <w:p w14:paraId="16A8C396" w14:textId="77777777" w:rsidR="00E51198" w:rsidRPr="00AB25C4" w:rsidRDefault="00E51198" w:rsidP="007512BC">
            <w:pPr>
              <w:shd w:val="clear" w:color="auto" w:fill="FFFFFF"/>
              <w:jc w:val="both"/>
              <w:rPr>
                <w:rFonts w:ascii="Times New Roman" w:eastAsia="Times New Roman" w:hAnsi="Times New Roman" w:cs="Times New Roman"/>
                <w:color w:val="000000"/>
                <w:lang w:eastAsia="en-GB"/>
              </w:rPr>
            </w:pPr>
          </w:p>
          <w:p w14:paraId="6363FCA6" w14:textId="77777777" w:rsidR="00E51198" w:rsidRPr="00AB25C4" w:rsidRDefault="00E51198" w:rsidP="007512BC">
            <w:pPr>
              <w:shd w:val="clear" w:color="auto" w:fill="FFFFFF"/>
              <w:jc w:val="both"/>
              <w:rPr>
                <w:rFonts w:ascii="Times New Roman" w:eastAsia="Times New Roman" w:hAnsi="Times New Roman" w:cs="Times New Roman"/>
                <w:color w:val="000000"/>
                <w:lang w:eastAsia="en-GB"/>
              </w:rPr>
            </w:pPr>
            <w:r w:rsidRPr="00AB25C4">
              <w:rPr>
                <w:rFonts w:ascii="Times New Roman" w:eastAsia="Times New Roman" w:hAnsi="Times New Roman" w:cs="Times New Roman"/>
                <w:color w:val="000000"/>
                <w:lang w:eastAsia="en-GB"/>
              </w:rPr>
              <w:t>Aicinām precizēt projekta 4. punktā izteikto 10. punkta otro teikumu, izsakot to šādā redakcijā: “Nelikumīgu komercdarbības atbalstu aģentūra atgūst saskaņā ar Komercdarbības atbalsta kontroles likumu.”</w:t>
            </w:r>
          </w:p>
          <w:p w14:paraId="0DE05E20" w14:textId="77777777" w:rsidR="00E51198" w:rsidRPr="00AB25C4" w:rsidRDefault="00E51198" w:rsidP="007512BC">
            <w:pPr>
              <w:suppressAutoHyphens/>
              <w:autoSpaceDN w:val="0"/>
              <w:jc w:val="center"/>
              <w:textAlignment w:val="baseline"/>
              <w:rPr>
                <w:rFonts w:ascii="Times New Roman" w:eastAsia="Times New Roman" w:hAnsi="Times New Roman" w:cs="Times New Roman"/>
                <w:b/>
                <w:bCs/>
                <w:lang w:eastAsia="lv-LV"/>
              </w:rPr>
            </w:pPr>
          </w:p>
        </w:tc>
        <w:tc>
          <w:tcPr>
            <w:tcW w:w="3871" w:type="dxa"/>
          </w:tcPr>
          <w:p w14:paraId="7387A1BA"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Ņemts vērā.</w:t>
            </w:r>
          </w:p>
          <w:p w14:paraId="35544DF0"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7E3EC348"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Priekšlikums ir iekļauts izziņā ar mērķi, lai atspoguļotu pilnvērtīgi visus grozījumus, kas ir veikti projektā.</w:t>
            </w:r>
          </w:p>
          <w:p w14:paraId="48D68BDB"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69C01D3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Projekta 4.grozījuma punkts ir precizēts, papildināts un izveidots kā MKN Nr.259 jauns 10.¹ punkts.</w:t>
            </w:r>
          </w:p>
          <w:p w14:paraId="0A2D737E"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lastRenderedPageBreak/>
              <w:t>Lūdzam skatīt 8.iebildumu (Finanšu ministrija).</w:t>
            </w:r>
          </w:p>
          <w:p w14:paraId="0CB45835"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tc>
        <w:tc>
          <w:tcPr>
            <w:tcW w:w="4102" w:type="dxa"/>
          </w:tcPr>
          <w:p w14:paraId="7DA89BE7"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lastRenderedPageBreak/>
              <w:t xml:space="preserve">4. Papildināt noteikumus ar 10.¹ punktu šādā redakcijā: </w:t>
            </w:r>
          </w:p>
          <w:p w14:paraId="4871E507" w14:textId="77777777" w:rsidR="00E51198" w:rsidRPr="00AB25C4" w:rsidRDefault="00E51198" w:rsidP="007512BC">
            <w:pPr>
              <w:ind w:firstLine="720"/>
              <w:jc w:val="both"/>
              <w:rPr>
                <w:rFonts w:ascii="Times New Roman" w:eastAsia="Times New Roman" w:hAnsi="Times New Roman" w:cs="Times New Roman"/>
                <w:lang w:eastAsia="lv-LV"/>
              </w:rPr>
            </w:pPr>
          </w:p>
          <w:p w14:paraId="546C1DFA"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“10.¹ </w:t>
            </w:r>
            <w:r w:rsidRPr="00AB25C4">
              <w:rPr>
                <w:rFonts w:ascii="Times New Roman" w:hAnsi="Times New Roman" w:cs="Times New Roman"/>
              </w:rPr>
              <w:t xml:space="preserve">Ja konstatē, ka valsts atbalsts vai valsts līdzfinansējums ir piešķirts kā nelikumīgs komercdarbības atbalsts, projekta īstenotājam ir pienākums atmaksāt aģentūrai projekta ietvaros saņemto nelikumīgo komercdarbības atbalstu atbilstoši </w:t>
            </w:r>
            <w:r w:rsidRPr="00AB25C4">
              <w:rPr>
                <w:rFonts w:ascii="Times New Roman" w:hAnsi="Times New Roman" w:cs="Times New Roman"/>
              </w:rPr>
              <w:lastRenderedPageBreak/>
              <w:t>Komercdarbības atbalsta kontroles likuma IV. un V. nodaļas nosacījumiem.”</w:t>
            </w:r>
          </w:p>
          <w:p w14:paraId="52C6D0E4" w14:textId="77777777" w:rsidR="00E51198" w:rsidRPr="00AB25C4" w:rsidRDefault="00E51198" w:rsidP="007512BC">
            <w:pPr>
              <w:ind w:firstLine="720"/>
              <w:jc w:val="both"/>
              <w:rPr>
                <w:rFonts w:ascii="Times New Roman" w:eastAsia="Times New Roman" w:hAnsi="Times New Roman" w:cs="Times New Roman"/>
                <w:lang w:eastAsia="lv-LV"/>
              </w:rPr>
            </w:pPr>
          </w:p>
        </w:tc>
      </w:tr>
      <w:tr w:rsidR="00E51198" w:rsidRPr="00AB25C4" w14:paraId="52138694" w14:textId="77777777" w:rsidTr="007512BC">
        <w:tc>
          <w:tcPr>
            <w:tcW w:w="767" w:type="dxa"/>
          </w:tcPr>
          <w:p w14:paraId="6E8FD25B"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2.</w:t>
            </w:r>
          </w:p>
        </w:tc>
        <w:tc>
          <w:tcPr>
            <w:tcW w:w="3203" w:type="dxa"/>
          </w:tcPr>
          <w:p w14:paraId="1E85DC2E"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„4. Svītrot 6.2. apakšpunktu.”</w:t>
            </w:r>
          </w:p>
        </w:tc>
        <w:tc>
          <w:tcPr>
            <w:tcW w:w="4111" w:type="dxa"/>
          </w:tcPr>
          <w:p w14:paraId="105C9293"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Finanšu ministrija (13.05.2021. atzinums)</w:t>
            </w:r>
          </w:p>
          <w:p w14:paraId="4A6FDE47"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40AF3192"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Neatbalstām noteikumu projekta 4.punktā piedāvāto - svītrot 6.2. apakšpunktu. Ministru kabineta 2015. gada 26. maija noteikumu Nr. 259 "Atbalsta piešķiršanas kārtība dalībai starptautiskās sadarbības programmās pētniecības un tehnoloģiju jomā” (turpmāk – noteikumi Nr.259) 6.2.apakšpunkts nosaka pienākumu ievērot atbalsta stimulējošās ietekmes nosacījumu, atbalstu piešķirot saskaņā ar Komisijas 2014. gada 17. jūnija Regulu (ES) Nr.651/2014, ar ko noteiktas atbalsta kategorijas atzīst par saderīgām ar iekšējo tirgu, piemērojot Līguma 107. un 108. pantu (turpmāk – regula Nr.651/2014). Šis ir viens no saderības nosacījumiem, kas jāievēro, piešķirot komercdarbības atbalstu saskaņā ar regulu Nr.651/2014, attiecīgi, ja šo nosacījumu atbalsta piešķīrējs neievēro, šādu atbalstu piešķirt nedrīkst.</w:t>
            </w:r>
          </w:p>
        </w:tc>
        <w:tc>
          <w:tcPr>
            <w:tcW w:w="3871" w:type="dxa"/>
          </w:tcPr>
          <w:p w14:paraId="1C0D7779"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 xml:space="preserve">Ņemts vērā. </w:t>
            </w:r>
          </w:p>
          <w:p w14:paraId="4BAD10BB"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4967C37A"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Svītrots projekta 4. punkts.</w:t>
            </w:r>
          </w:p>
        </w:tc>
        <w:tc>
          <w:tcPr>
            <w:tcW w:w="4102" w:type="dxa"/>
          </w:tcPr>
          <w:p w14:paraId="2CC30E97"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r>
      <w:tr w:rsidR="00E51198" w:rsidRPr="00AB25C4" w14:paraId="560EC389" w14:textId="77777777" w:rsidTr="007512BC">
        <w:tc>
          <w:tcPr>
            <w:tcW w:w="767" w:type="dxa"/>
          </w:tcPr>
          <w:p w14:paraId="521EBFCB"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3.</w:t>
            </w:r>
          </w:p>
        </w:tc>
        <w:tc>
          <w:tcPr>
            <w:tcW w:w="3203" w:type="dxa"/>
          </w:tcPr>
          <w:p w14:paraId="00B0BB6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5. Papildināt noteikumus ar 9.¹  punktu šādā redakcijā:</w:t>
            </w:r>
          </w:p>
          <w:p w14:paraId="1711D3B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21F37B3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“9.¹  Aģentūras un atbalsta pretendenta abpusēji parakstīta atbalsta līguma datums ir uzskatāms par valsts atbalsta piešķiršanas datumu.”</w:t>
            </w:r>
          </w:p>
        </w:tc>
        <w:tc>
          <w:tcPr>
            <w:tcW w:w="4111" w:type="dxa"/>
          </w:tcPr>
          <w:p w14:paraId="14CA64EE"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Finanšu ministrija (13.05.2021. atzinums)</w:t>
            </w:r>
          </w:p>
          <w:p w14:paraId="338EB0ED"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0426479C"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Ņemot vērā, ka noteikumu projekta 5.punktā ietvertais 9.1  punkts paredz par valsts atbalsta piešķiršanas datumu noteikt aģentūras un atbalsta pretendenta abpusēji parakstīta atbalsta līguma datumu, vēršam uzmanību, ka aģentūrai ir pienākums pārliecināties, ka atbalsta pretendents arī uz atbalsta piešķiršanas brīdi (datumu) atbilst visiem piemērojamā komercdarbības </w:t>
            </w:r>
            <w:r w:rsidRPr="00AB25C4">
              <w:rPr>
                <w:rFonts w:ascii="Times New Roman" w:eastAsia="Times New Roman" w:hAnsi="Times New Roman" w:cs="Times New Roman"/>
                <w:lang w:eastAsia="lv-LV"/>
              </w:rPr>
              <w:lastRenderedPageBreak/>
              <w:t>atbalsta regulējuma (regula Nr.651/2014) nosacījumiem, jo īpaši,  vērtējot atbalsta saņēmēja statusu (atbilstoši grūtībās nonākuša uzņēmuma un mazā un vidējā komersanta definīcijai), tas ir jāfiksē atbilstoši situācijai, kāda ir uz atbalsta piešķiršanas brīdi (datumu). Ievērojot minēto, lai novērstu interpretācijas risku, lūdzam atbilstoši papildināt noteikumu projektu un ietvert atbilstošu skaidrojumu anotācijā.</w:t>
            </w:r>
          </w:p>
        </w:tc>
        <w:tc>
          <w:tcPr>
            <w:tcW w:w="3871" w:type="dxa"/>
          </w:tcPr>
          <w:p w14:paraId="4B95DCC9"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 xml:space="preserve">Ņemts vērā. </w:t>
            </w:r>
          </w:p>
          <w:p w14:paraId="4F43FA8D"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7DEFC830"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Precizēts projekta punkts un anotācijā izvērsts skaidrojums.</w:t>
            </w:r>
          </w:p>
        </w:tc>
        <w:tc>
          <w:tcPr>
            <w:tcW w:w="4102" w:type="dxa"/>
          </w:tcPr>
          <w:p w14:paraId="72DFD8E3"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3. Papildināt noteikumus ar 9.¹  punktu šādā redakcijā:</w:t>
            </w:r>
          </w:p>
          <w:p w14:paraId="10907B9F"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11E33FAE"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“9.¹  Aģentūras un atbalsta pretendenta atbalsta līguma parakstīšanas diena ir uzskatāma par valsts atbalsta piešķiršanas datumu.”</w:t>
            </w:r>
          </w:p>
        </w:tc>
      </w:tr>
      <w:tr w:rsidR="00E51198" w:rsidRPr="00AB25C4" w14:paraId="05567EEA" w14:textId="77777777" w:rsidTr="007512BC">
        <w:tc>
          <w:tcPr>
            <w:tcW w:w="767" w:type="dxa"/>
          </w:tcPr>
          <w:p w14:paraId="0F7049FF"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4.</w:t>
            </w:r>
          </w:p>
        </w:tc>
        <w:tc>
          <w:tcPr>
            <w:tcW w:w="3203" w:type="dxa"/>
          </w:tcPr>
          <w:p w14:paraId="61D36C57"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6. Izteikt 10. punktu šādā redakcijā: </w:t>
            </w:r>
          </w:p>
          <w:p w14:paraId="06F021FF"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4554E5B0"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 Nepamatoti piešķirts atbalsts ir atskaitāms no projekta kopējām attiecināmajām izmaksām un atmaksājams valsts budžetā. Par nepamatotu atbalstu uzskata finansējumu, kas piešķirts šādos gadījumos:</w:t>
            </w:r>
          </w:p>
          <w:p w14:paraId="64FC77AA"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10.1. ar saimniecisku darbību saistītam projektam:</w:t>
            </w:r>
          </w:p>
          <w:p w14:paraId="44878FB9"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10.1.1. ja projekta īstenošana ir uzsākta pirms pieteikuma iesniegšanas aģentūrā, ievērojot regulas Nr.651/2014 6.panata 2.punktā noteikto;</w:t>
            </w:r>
          </w:p>
          <w:p w14:paraId="1FA17351"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10.1.2. ja nav ievēroti šo noteikumu 8. un 9. punkta nosacījumi;</w:t>
            </w:r>
          </w:p>
          <w:p w14:paraId="0FD1AC5E"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10.2. ja projekts neatbilst šo noteikumu 3.4.apakšpunktā noteiktajam atbalsta pretendentam ir pienākums aģentūrai atmaksāt visu projekta </w:t>
            </w:r>
            <w:r w:rsidRPr="00AB25C4">
              <w:rPr>
                <w:rFonts w:ascii="Times New Roman" w:eastAsia="Times New Roman" w:hAnsi="Times New Roman" w:cs="Times New Roman"/>
                <w:lang w:eastAsia="lv-LV"/>
              </w:rPr>
              <w:lastRenderedPageBreak/>
              <w:t>ietvaros saņemto valsts atbalstu kopā ar procentiem, kuru likmi publicē Eiropas Komisija saskaņā ar Komisijas 2004. gada 21. aprīļa regulas Nr. 794/2004, ar ko īsteno Padomes Regulu (ES) 2015/1589, ar ko nosaka sīki izstrādātus noteikumus Līguma par Eiropas Savienības darbību 108. panta piemērošanai, 10. pantu, tiem pieskaitot 100 bāzes punktus, no dienas, kad valsts atbalsts tika izmaksāts atbalsta pretendentam, līdz tā atgūšanas dienai, ievērojot Komisijas regulas Nr. 794/2004, ar ko īsteno Padomes Regulu (ES) 2015/1589, ar ko nosaka sīki izstrādātus noteikumus Līguma par Eiropas Savienības darbību 108. panta piemērošanai, 11. pantā noteikto procentu likmes piemērošanas metodi.”</w:t>
            </w:r>
          </w:p>
        </w:tc>
        <w:tc>
          <w:tcPr>
            <w:tcW w:w="4111" w:type="dxa"/>
          </w:tcPr>
          <w:p w14:paraId="79CE3FA0"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Finanšu ministrija (13.05.2021. atzinums)</w:t>
            </w:r>
          </w:p>
          <w:p w14:paraId="786BE72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5E8F406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Neatbalstām noteikumu projekta 6.punktā piedāvāto - izteikt 10. punktu jaunā redakcijā. Skaidrojam, ka noteikumu Nr.259 10.punkts ietver regulas Nr.651/2014 nosacījumus, kas ir jāievēro, piešķirot komercdarbības atbalstu saskaņā ar regulu Nr.651/2014, attiecīgi, ja regulas Nr.651/2014 nosacījumus atbalsta piešķīrējs neievēro, šādu atbalstu piešķirt nedrīkst.</w:t>
            </w:r>
          </w:p>
        </w:tc>
        <w:tc>
          <w:tcPr>
            <w:tcW w:w="3871" w:type="dxa"/>
          </w:tcPr>
          <w:p w14:paraId="38A64752"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 xml:space="preserve">Ņemts vērā. </w:t>
            </w:r>
          </w:p>
          <w:p w14:paraId="5E0AEC74"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641E0BE9"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6FBBC77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11DF96DE"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02" w:type="dxa"/>
          </w:tcPr>
          <w:p w14:paraId="49AB8183"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539467A3"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5. Papildināt noteikumus ar 12.16.apakšpunktu šādā redakcijā:</w:t>
            </w:r>
          </w:p>
          <w:p w14:paraId="7F58CB60"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0C7F290D"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“12.16. slēdz atbalsta līgumu par valsts atbalsta piešķiršanu, ja uz šī līguma slēgšanas dienu atbalsta pretendents atbilst </w:t>
            </w:r>
            <w:r>
              <w:rPr>
                <w:rFonts w:ascii="Times New Roman" w:eastAsia="Times New Roman" w:hAnsi="Times New Roman" w:cs="Times New Roman"/>
                <w:lang w:eastAsia="lv-LV"/>
              </w:rPr>
              <w:t xml:space="preserve">visiem </w:t>
            </w:r>
            <w:r w:rsidRPr="00AB25C4">
              <w:rPr>
                <w:rFonts w:ascii="Times New Roman" w:eastAsia="Times New Roman" w:hAnsi="Times New Roman" w:cs="Times New Roman"/>
                <w:lang w:eastAsia="lv-LV"/>
              </w:rPr>
              <w:t>šajos noteikumos</w:t>
            </w:r>
            <w:r>
              <w:rPr>
                <w:rFonts w:ascii="Times New Roman" w:eastAsia="Times New Roman" w:hAnsi="Times New Roman" w:cs="Times New Roman"/>
                <w:lang w:eastAsia="lv-LV"/>
              </w:rPr>
              <w:t xml:space="preserve"> ietvertajiem</w:t>
            </w:r>
            <w:r w:rsidRPr="00AB25C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regulas</w:t>
            </w:r>
            <w:r w:rsidRPr="00AB25C4">
              <w:rPr>
                <w:rFonts w:ascii="Times New Roman" w:eastAsia="Times New Roman" w:hAnsi="Times New Roman" w:cs="Times New Roman"/>
                <w:lang w:eastAsia="lv-LV"/>
              </w:rPr>
              <w:t xml:space="preserve"> Nr.651/</w:t>
            </w:r>
            <w:r>
              <w:rPr>
                <w:rFonts w:ascii="Times New Roman" w:eastAsia="Times New Roman" w:hAnsi="Times New Roman" w:cs="Times New Roman"/>
                <w:lang w:eastAsia="lv-LV"/>
              </w:rPr>
              <w:t>nosacījumiem</w:t>
            </w:r>
            <w:r w:rsidRPr="00AB25C4">
              <w:rPr>
                <w:rFonts w:ascii="Times New Roman" w:eastAsia="Times New Roman" w:hAnsi="Times New Roman" w:cs="Times New Roman"/>
                <w:lang w:eastAsia="lv-LV"/>
              </w:rPr>
              <w:t>.”</w:t>
            </w:r>
          </w:p>
        </w:tc>
      </w:tr>
      <w:tr w:rsidR="00E51198" w:rsidRPr="00AB25C4" w14:paraId="64FDED5D" w14:textId="77777777" w:rsidTr="007512BC">
        <w:tc>
          <w:tcPr>
            <w:tcW w:w="767" w:type="dxa"/>
          </w:tcPr>
          <w:p w14:paraId="624F8A68"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5.</w:t>
            </w:r>
          </w:p>
        </w:tc>
        <w:tc>
          <w:tcPr>
            <w:tcW w:w="3203" w:type="dxa"/>
          </w:tcPr>
          <w:p w14:paraId="207DA8DA"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 Papildināt noteikumus ar 2.22. apakšpunktu šādā redakcijā:</w:t>
            </w:r>
          </w:p>
          <w:p w14:paraId="0FC36A59"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56D37FD1"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6. Izteikt 10. punktu šādā redakcijā: </w:t>
            </w:r>
          </w:p>
          <w:p w14:paraId="0ADB6A91"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1E93F6E6"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 Nepamatoti piešķirts atbalsts ir atskaitāms no projekta kopējām attiecināmajām izmaksām un atmaksājams valsts budžetā. Par nepamatotu atbalstu uzskata finansējumu, kas piešķirts šādos gadījumos:</w:t>
            </w:r>
          </w:p>
          <w:p w14:paraId="2D738E3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lastRenderedPageBreak/>
              <w:t>10.1. ar saimniecisku darbību saistītam projektam:</w:t>
            </w:r>
          </w:p>
          <w:p w14:paraId="452320A8"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10.1.1. ja projekta īstenošana ir uzsākta pirms pieteikuma iesniegšanas aģentūrā, ievērojot regulas Nr.651/2014 6.panata 2.punktā noteikto;</w:t>
            </w:r>
          </w:p>
          <w:p w14:paraId="6FA8969C"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10.1.2. ja nav ievēroti šo noteikumu 8. un 9. punkta nosacījumi;</w:t>
            </w:r>
          </w:p>
          <w:p w14:paraId="31A6C6C0"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10.2. ja projekts neatbilst šo noteikumu 3.4.apakšpunktā noteiktajam atbalsta pretendentam ir pienākums aģentūrai atmaksāt visu projekta ietvaros saņemto valsts atbalstu kopā ar procentiem, kuru likmi publicē Eiropas Komisija saskaņā ar Komisijas 2004. gada 21. aprīļa regulas Nr. 794/2004, ar ko īsteno Padomes Regulu (ES) 2015/1589, ar ko nosaka sīki izstrādātus noteikumus Līguma par Eiropas Savienības darbību 108. panta piemērošanai, 10. pantu, tiem pieskaitot 100 bāzes punktus, no dienas, kad valsts atbalsts tika izmaksāts atbalsta pretendentam, līdz tā atgūšanas dienai, ievērojot Komisijas regulas Nr. 794/2004, ar ko īsteno Padomes Regulu (ES) 2015/1589, ar ko nosaka sīki izstrādātus noteikumus Līguma par Eiropas Savienības darbību 108. panta piemērošanai, 11. pantā noteikto procentu likmes piemērošanas metodi.”</w:t>
            </w:r>
          </w:p>
        </w:tc>
        <w:tc>
          <w:tcPr>
            <w:tcW w:w="4111" w:type="dxa"/>
          </w:tcPr>
          <w:p w14:paraId="662372C3"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Finanšu ministrija (13.05.2021. atzinums)</w:t>
            </w:r>
          </w:p>
          <w:p w14:paraId="78F699D3"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27781E9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Uzturam Finanšu ministrijas iepriekš izteikto iebildumu, kas ietverts izziņas 6.punktā. Vēršam IZM uzmanību, ka nepamatota atbalsta atgūšana nav tas pats, kas nelikumīga komercdarbības atbalsta, kas sniegts saskaņā ar komercdarbības atbalsta kontroles regulējumu, atgūšana – šajā gadījumā atbalsta, kas sniegts saskaņā ar regulu Nr.651/2014. Attiecīgi atkārtoti aicinām IZM noteikumu projektā ietvert jaunu punktu, kas noteiktu, ka gadījumā, ja ir pārkāptas regulas Nr.651/2014, prasības, </w:t>
            </w:r>
            <w:r w:rsidRPr="00AB25C4">
              <w:rPr>
                <w:rFonts w:ascii="Times New Roman" w:eastAsia="Times New Roman" w:hAnsi="Times New Roman" w:cs="Times New Roman"/>
                <w:lang w:eastAsia="lv-LV"/>
              </w:rPr>
              <w:lastRenderedPageBreak/>
              <w:t xml:space="preserve">atbalsta sniedzējs pats pēc savas iniciatīvas veic visa nelikumīgā komercdarbības atbalsta atgūšanu un tam ir jāpieprasa no atbalsta saņēmēja procenti par visu laikposmu, kurā tas ir guvis labumu no šī atbalsta, pēc likmes, kas vienāda ar likmi, kura būtu tikusi piemērota, ja šim atbalsta saņēmējam minētajā laikposmā attiecīgā atbalsta summa būtu bijusi jāaizņemas tirgū (skat. Eiropas Savienības Tiesas 2019. gada 5. marta spriedumu lietā Nr. C-349/17 Eesti Pagar AS pret Ettevõtluse Arendamise Sihtasutus un Majandus- ja Kommunikatsiooniministeerium (ECLI:EU:C:2019:172). Piedāvājam IZM, atbilstoši noteikumu projektam pielāgot, piemēram, šādu punkta redakciju: “…Ja tiek pārkāptas regulas Nr. 651/2014 prasības, [atbalsta saņēmējam] ir pienākums atmaksāt [atbalsta sniedzējam] visu projekta ietvaros saņemto nelikumīgo komercdarbības atbalstu, kas sniegts saskaņā ar regulu Nr. 651/2014,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Nr.794/2004), 10. pantu, tiem pieskaitot 100 bāzes punktus, no dienas, kad komercdarbības atbalsts tika izmaksāts [atbalsta saņēmējam] līdz tā atgūšanas dienai, ievērojot Komisijas regulas Nr. 794/2004 11. pantā noteikto procentu likmes piemērošanas metodi.” Ar </w:t>
            </w:r>
            <w:r w:rsidRPr="00AB25C4">
              <w:rPr>
                <w:rFonts w:ascii="Times New Roman" w:eastAsia="Times New Roman" w:hAnsi="Times New Roman" w:cs="Times New Roman"/>
                <w:lang w:eastAsia="lv-LV"/>
              </w:rPr>
              <w:lastRenderedPageBreak/>
              <w:t>atbilstošu skaidrojumu lūdzam papildināt arī noteikumu projekta anotāciju.</w:t>
            </w:r>
          </w:p>
        </w:tc>
        <w:tc>
          <w:tcPr>
            <w:tcW w:w="3871" w:type="dxa"/>
          </w:tcPr>
          <w:p w14:paraId="4639CF09"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 xml:space="preserve">Ņemts vērā. </w:t>
            </w:r>
          </w:p>
          <w:p w14:paraId="32C859BF"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4B27C72F"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Sarunas laikā š.g. 24.maijā starp Finanšu ministriju, Tieslietu ministriju, Izglītības un zinātnes ministriju un Valsts izglītības aģentūru panākta vienošanās par papildināšanu ar otru teikumu norādītajā redakcijā.</w:t>
            </w:r>
          </w:p>
        </w:tc>
        <w:tc>
          <w:tcPr>
            <w:tcW w:w="4102" w:type="dxa"/>
          </w:tcPr>
          <w:p w14:paraId="501124E6"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4. Papildināt noteikumu 10.punktu ar otru teikumu šādā redakcijā: </w:t>
            </w:r>
          </w:p>
          <w:p w14:paraId="3CC168B1"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62DA1FAC"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“Nelikumīgu komercdarbības atbalstu aģentūra atgūst saskaņā ar Komercdarbības atbalsta kontroles likumā noteikto kārtību.”</w:t>
            </w:r>
          </w:p>
        </w:tc>
      </w:tr>
      <w:tr w:rsidR="00E51198" w:rsidRPr="00AB25C4" w14:paraId="284EEB7B" w14:textId="77777777" w:rsidTr="007512BC">
        <w:tc>
          <w:tcPr>
            <w:tcW w:w="767" w:type="dxa"/>
          </w:tcPr>
          <w:p w14:paraId="7C87E77E"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6.</w:t>
            </w:r>
          </w:p>
        </w:tc>
        <w:tc>
          <w:tcPr>
            <w:tcW w:w="3203" w:type="dxa"/>
          </w:tcPr>
          <w:p w14:paraId="04C8BD6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11" w:type="dxa"/>
          </w:tcPr>
          <w:p w14:paraId="24167F78"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Finanšu ministrija (13.05.2021. atzinums)</w:t>
            </w:r>
          </w:p>
          <w:p w14:paraId="0E24E5C7"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388FCC33"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Uzturam Finanšu ministrijas iepriekš izteikto iebildumu, kas ietverts izziņas 7.punktā un atkārtoti lūdzam noteikumu projektā ietvert nosacījumus kā atbalsta sniedzējs rīkosies gadījumā, ja ar saimniecisko darbību nesaistīts projekts tā īstenošanas laikā kļūst par ar saimniecisko darbību saistītu projektu. Atkārtoti vēršam uzmanību, ka šajā gadījumā ir veicama nelikumīgā komercdarbības atbalsta atgūšana. Attiecīgi aicinām precizēt noteikumu projektu un anotāciju.</w:t>
            </w:r>
          </w:p>
        </w:tc>
        <w:tc>
          <w:tcPr>
            <w:tcW w:w="3871" w:type="dxa"/>
          </w:tcPr>
          <w:p w14:paraId="7F99903F"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b/>
                <w:bCs/>
                <w:lang w:eastAsia="lv-LV"/>
              </w:rPr>
              <w:t>Ņemts vērā.</w:t>
            </w:r>
            <w:r w:rsidRPr="00AB25C4">
              <w:rPr>
                <w:rFonts w:ascii="Times New Roman" w:eastAsia="Times New Roman" w:hAnsi="Times New Roman" w:cs="Times New Roman"/>
                <w:lang w:eastAsia="lv-LV"/>
              </w:rPr>
              <w:t xml:space="preserve"> </w:t>
            </w:r>
          </w:p>
          <w:p w14:paraId="413FCB48"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47664F8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Anotācija attiecīgi papildināta ar skaidrojumu.</w:t>
            </w:r>
          </w:p>
        </w:tc>
        <w:tc>
          <w:tcPr>
            <w:tcW w:w="4102" w:type="dxa"/>
          </w:tcPr>
          <w:p w14:paraId="3B0543EF"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540BFE8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4. Papildināt noteikumu 10.punktu ar otru teikumu šādā redakcijā: </w:t>
            </w:r>
          </w:p>
          <w:p w14:paraId="6B2FEDDC"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28C4FDF2"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“Nelikumīgu komercdarbības atbalstu aģentūra atgūst saskaņā ar Komercdarbības atbalsta kontroles likumā noteikto kārtību.”</w:t>
            </w:r>
          </w:p>
        </w:tc>
      </w:tr>
      <w:tr w:rsidR="00E51198" w:rsidRPr="00AB25C4" w14:paraId="612879A6" w14:textId="77777777" w:rsidTr="007512BC">
        <w:tc>
          <w:tcPr>
            <w:tcW w:w="767" w:type="dxa"/>
          </w:tcPr>
          <w:p w14:paraId="76AC9ADB"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7.</w:t>
            </w:r>
          </w:p>
        </w:tc>
        <w:tc>
          <w:tcPr>
            <w:tcW w:w="3203" w:type="dxa"/>
          </w:tcPr>
          <w:p w14:paraId="56BDC73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11" w:type="dxa"/>
          </w:tcPr>
          <w:p w14:paraId="49901BA3"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Finanšu ministrija (13.05.2021. atzinums)</w:t>
            </w:r>
          </w:p>
          <w:p w14:paraId="38811ED2"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4C8839A0"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Lūdzam korekti aizpildīt anotācijas III sadaļu “Tiesību akta projekta ietekme uz valsts budžetu un pašvaldību budžetiem” atbilstoši Ministru kabineta 2009.gada 15.decembra instrukcijai Nr.19 “Tiesību akta projekta sākotnējās ietekmes izvērtēšanas kārtība”, uzrādot šīs sadaļas 2.-5.punktā ailēs “izmaiņas kārtējā gadā, salīdzinot ar valsts budžetu kārtējam gadam” un “izmaiņas, salīdzinot ar vidēja termiņa budžeta ietvaru n+1 gadam” arī finansējumu, kas nepieciešams dalības maksu nodrošināšanai Eiropas pētniecības infrastruktūras konsorcijā “Veselības, novecošanas un pensionēšanās apsekojums Eiropā” (SHARE ERIC). Tāpat lūdzam papildināt šīs sadaļas 8.punktu ar informāciju par minētās dalības maksas </w:t>
            </w:r>
            <w:r w:rsidRPr="00AB25C4">
              <w:rPr>
                <w:rFonts w:ascii="Times New Roman" w:eastAsia="Times New Roman" w:hAnsi="Times New Roman" w:cs="Times New Roman"/>
                <w:lang w:eastAsia="lv-LV"/>
              </w:rPr>
              <w:lastRenderedPageBreak/>
              <w:t>finansējuma apmēru un finansējuma avotu turpmākajos gados.</w:t>
            </w:r>
          </w:p>
        </w:tc>
        <w:tc>
          <w:tcPr>
            <w:tcW w:w="3871" w:type="dxa"/>
          </w:tcPr>
          <w:p w14:paraId="21179913"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 xml:space="preserve">Ņemts vērā. </w:t>
            </w:r>
          </w:p>
          <w:p w14:paraId="21584199"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51D9604D"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Anotācijas III sadaļa precizēta atbilstoši iebildumam.</w:t>
            </w:r>
          </w:p>
          <w:p w14:paraId="1B503C06"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701B61AE" w14:textId="77777777" w:rsidR="00E51198" w:rsidRPr="00AB25C4" w:rsidRDefault="00E51198" w:rsidP="007512BC">
            <w:pPr>
              <w:jc w:val="both"/>
              <w:rPr>
                <w:rFonts w:ascii="Times New Roman" w:eastAsia="Times New Roman" w:hAnsi="Times New Roman" w:cs="Times New Roman"/>
                <w:lang w:eastAsia="lv-LV"/>
              </w:rPr>
            </w:pPr>
          </w:p>
        </w:tc>
        <w:tc>
          <w:tcPr>
            <w:tcW w:w="4102" w:type="dxa"/>
          </w:tcPr>
          <w:p w14:paraId="657F568E"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r>
      <w:tr w:rsidR="00E51198" w:rsidRPr="00AB25C4" w14:paraId="71968A4F" w14:textId="77777777" w:rsidTr="007512BC">
        <w:tc>
          <w:tcPr>
            <w:tcW w:w="767" w:type="dxa"/>
          </w:tcPr>
          <w:p w14:paraId="68CFBD01"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8.</w:t>
            </w:r>
          </w:p>
        </w:tc>
        <w:tc>
          <w:tcPr>
            <w:tcW w:w="3203" w:type="dxa"/>
          </w:tcPr>
          <w:p w14:paraId="0492B831"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4. Papildināt noteikumu 10.punktu ar otru teikumu šādā redakcijā: </w:t>
            </w:r>
          </w:p>
          <w:p w14:paraId="0BB0E7B3" w14:textId="77777777" w:rsidR="00E51198" w:rsidRPr="00AB25C4" w:rsidRDefault="00E51198" w:rsidP="007512BC">
            <w:pPr>
              <w:jc w:val="both"/>
              <w:rPr>
                <w:rFonts w:ascii="Times New Roman" w:eastAsia="Times New Roman" w:hAnsi="Times New Roman" w:cs="Times New Roman"/>
                <w:lang w:eastAsia="lv-LV"/>
              </w:rPr>
            </w:pPr>
          </w:p>
          <w:p w14:paraId="1CB584D6"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w:t>
            </w:r>
            <w:r w:rsidRPr="00AB25C4">
              <w:rPr>
                <w:rFonts w:ascii="Times New Roman" w:hAnsi="Times New Roman" w:cs="Times New Roman"/>
                <w:bCs/>
                <w:shd w:val="clear" w:color="auto" w:fill="FFFFFF"/>
              </w:rPr>
              <w:t xml:space="preserve">Nelikumīgu komercdarbības atbalstu aģentūra </w:t>
            </w:r>
            <w:r w:rsidRPr="00AB25C4">
              <w:rPr>
                <w:rFonts w:ascii="Times New Roman" w:eastAsia="Times New Roman" w:hAnsi="Times New Roman" w:cs="Times New Roman"/>
                <w:lang w:eastAsia="lv-LV"/>
              </w:rPr>
              <w:t>atgūst saskaņā ar Komercdarbības atbalsta kontroles likumā noteikto kārtību.”</w:t>
            </w:r>
          </w:p>
          <w:p w14:paraId="7AB5D22A"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11" w:type="dxa"/>
          </w:tcPr>
          <w:p w14:paraId="2C4C9FF4"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Finanšu ministrija (04.06.2021. atzinums Nr.12/A-18/3126)</w:t>
            </w:r>
          </w:p>
          <w:p w14:paraId="12A10F83" w14:textId="77777777" w:rsidR="00E51198" w:rsidRPr="00AB25C4" w:rsidRDefault="00E51198" w:rsidP="007512BC">
            <w:pPr>
              <w:pStyle w:val="ListParagraph"/>
              <w:spacing w:before="0"/>
              <w:ind w:left="0" w:firstLine="31"/>
              <w:contextualSpacing w:val="0"/>
              <w:rPr>
                <w:sz w:val="22"/>
                <w:szCs w:val="22"/>
              </w:rPr>
            </w:pPr>
            <w:r w:rsidRPr="00AB25C4">
              <w:rPr>
                <w:sz w:val="22"/>
                <w:szCs w:val="22"/>
              </w:rPr>
              <w:t>Ņemot vērā to, ka nelikumīga valsts atbalsta atgūšana ir jānodrošina gan gadījumos, kad tiek konstatēti Eiropas Komisijas 2014. gada 17. jūnija Regulas (ES) Nr. 651/2014, ar ko noteiktas atbalsta kategorijas atzīst par saderīgām ar iekšējo tirgu, piemērojot Līguma 107. un 108. pantu (turpmāk – regula Nr. 651/2014) pārkāpumi, gan arī tad, ja ar saimniecisko darbību nesaistīts projekts tā īstenošanas laikā kļūst par ar saimniecisko darbību saistītu projektu, bet komercdarbības atbalsta kontroles nosacījumi tam piemēroti nav, lūdzam nodalīt nelikumīga valsts atbalsta atgūšanas normu atsevišķā noteikumu punktā, piemēram, to izsakot kā atsevišķu noteikumu  10.</w:t>
            </w:r>
            <w:r w:rsidRPr="00AB25C4">
              <w:rPr>
                <w:sz w:val="22"/>
                <w:szCs w:val="22"/>
                <w:vertAlign w:val="superscript"/>
              </w:rPr>
              <w:t>1</w:t>
            </w:r>
            <w:r w:rsidRPr="00AB25C4">
              <w:rPr>
                <w:sz w:val="22"/>
                <w:szCs w:val="22"/>
              </w:rPr>
              <w:t xml:space="preserve"> punktu. </w:t>
            </w:r>
          </w:p>
          <w:p w14:paraId="47DCCD16" w14:textId="77777777" w:rsidR="00E51198" w:rsidRPr="00AB25C4" w:rsidRDefault="00E51198" w:rsidP="007512BC">
            <w:pPr>
              <w:pStyle w:val="ListParagraph"/>
              <w:spacing w:before="0"/>
              <w:ind w:left="-109" w:firstLine="0"/>
              <w:contextualSpacing w:val="0"/>
              <w:rPr>
                <w:sz w:val="22"/>
                <w:szCs w:val="22"/>
              </w:rPr>
            </w:pPr>
            <w:r w:rsidRPr="00AB25C4">
              <w:rPr>
                <w:sz w:val="22"/>
                <w:szCs w:val="22"/>
              </w:rPr>
              <w:t>Ņemot vērā iepriekš minēto, aicinām jauno noteikumu projekta punktu izteikt, piemēram, šādā redakcijā: “</w:t>
            </w:r>
            <w:bookmarkStart w:id="1" w:name="_Hlk73971219"/>
            <w:r w:rsidRPr="00AB25C4">
              <w:rPr>
                <w:i/>
                <w:iCs/>
                <w:sz w:val="22"/>
                <w:szCs w:val="22"/>
              </w:rPr>
              <w:t>Ja tiek konstatēts, ka valsts atbalsts vai valsts līdzfinansējums ir piešķirts kā nelikumīgs komercdarbības atbalsts, [atbalsta saņēmējam] ir pienākums atmaksāt [atbalsta sniedzējam] projekta ietvaros saņemto nelikumīgo komercdarbības atbalstu atbilstoši Komercdarbības atbalsta kontroles likuma IV. un V. nodaļas nosacījumiem</w:t>
            </w:r>
            <w:r w:rsidRPr="00AB25C4">
              <w:rPr>
                <w:sz w:val="22"/>
                <w:szCs w:val="22"/>
              </w:rPr>
              <w:t>.”</w:t>
            </w:r>
            <w:bookmarkEnd w:id="1"/>
            <w:r w:rsidRPr="00AB25C4">
              <w:rPr>
                <w:sz w:val="22"/>
                <w:szCs w:val="22"/>
              </w:rPr>
              <w:t xml:space="preserve"> Redakcijā ietvertās norādes - atbalsta saņēmējs un atbalsta sniedzējs lūdzam pielāgot atbilstoši Ministru kabineta 2015.gada 26. maija Ministru kabineta noteikumos Nr.259 "Atbalsta piešķiršanas </w:t>
            </w:r>
            <w:r w:rsidRPr="00AB25C4">
              <w:rPr>
                <w:sz w:val="22"/>
                <w:szCs w:val="22"/>
              </w:rPr>
              <w:lastRenderedPageBreak/>
              <w:t>kārtība dalībai starptautiskās sadarbības programmās pētniecības un tehnoloģiju jomā" lietotajiem terminiem.</w:t>
            </w:r>
          </w:p>
          <w:p w14:paraId="7CB49D2E" w14:textId="77777777" w:rsidR="00E51198" w:rsidRPr="00AB25C4" w:rsidRDefault="00E51198" w:rsidP="007512BC">
            <w:pPr>
              <w:jc w:val="both"/>
              <w:rPr>
                <w:rFonts w:ascii="Times New Roman" w:hAnsi="Times New Roman" w:cs="Times New Roman"/>
              </w:rPr>
            </w:pPr>
          </w:p>
          <w:p w14:paraId="37FEE5E6"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tc>
        <w:tc>
          <w:tcPr>
            <w:tcW w:w="3871" w:type="dxa"/>
          </w:tcPr>
          <w:p w14:paraId="48C66984"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Ņemts vērā.</w:t>
            </w:r>
          </w:p>
          <w:p w14:paraId="7ECAD94C"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46FF2B79" w14:textId="77777777" w:rsidR="00E51198" w:rsidRPr="00AB25C4" w:rsidRDefault="00E51198" w:rsidP="007512BC">
            <w:pPr>
              <w:suppressAutoHyphens/>
              <w:autoSpaceDN w:val="0"/>
              <w:jc w:val="both"/>
              <w:textAlignment w:val="baseline"/>
              <w:rPr>
                <w:rFonts w:ascii="Times New Roman" w:hAnsi="Times New Roman" w:cs="Times New Roman"/>
              </w:rPr>
            </w:pPr>
            <w:r w:rsidRPr="00AB25C4">
              <w:rPr>
                <w:rFonts w:ascii="Times New Roman" w:eastAsia="Times New Roman" w:hAnsi="Times New Roman" w:cs="Times New Roman"/>
                <w:lang w:eastAsia="lv-LV"/>
              </w:rPr>
              <w:t xml:space="preserve">Noteikumu projekts paredz papildināt MKN 259 ar </w:t>
            </w:r>
            <w:r w:rsidRPr="00AB25C4">
              <w:rPr>
                <w:rFonts w:ascii="Times New Roman" w:hAnsi="Times New Roman" w:cs="Times New Roman"/>
              </w:rPr>
              <w:t>10.</w:t>
            </w:r>
            <w:r w:rsidRPr="00AB25C4">
              <w:rPr>
                <w:rFonts w:ascii="Times New Roman" w:hAnsi="Times New Roman" w:cs="Times New Roman"/>
                <w:vertAlign w:val="superscript"/>
              </w:rPr>
              <w:t>1</w:t>
            </w:r>
            <w:r w:rsidRPr="00AB25C4">
              <w:rPr>
                <w:rFonts w:ascii="Times New Roman" w:hAnsi="Times New Roman" w:cs="Times New Roman"/>
              </w:rPr>
              <w:t xml:space="preserve"> punktu.</w:t>
            </w:r>
          </w:p>
          <w:p w14:paraId="4633AC54"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p w14:paraId="4766F78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02" w:type="dxa"/>
          </w:tcPr>
          <w:p w14:paraId="54327D76"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4. Papildināt noteikumus ar 10.¹ punktu šādā redakcijā: </w:t>
            </w:r>
          </w:p>
          <w:p w14:paraId="3003F108" w14:textId="77777777" w:rsidR="00E51198" w:rsidRPr="00AB25C4" w:rsidRDefault="00E51198" w:rsidP="007512BC">
            <w:pPr>
              <w:ind w:firstLine="720"/>
              <w:jc w:val="both"/>
              <w:rPr>
                <w:rFonts w:ascii="Times New Roman" w:eastAsia="Times New Roman" w:hAnsi="Times New Roman" w:cs="Times New Roman"/>
                <w:lang w:eastAsia="lv-LV"/>
              </w:rPr>
            </w:pPr>
          </w:p>
          <w:p w14:paraId="22429F98" w14:textId="77777777" w:rsidR="00E51198" w:rsidRPr="00AB25C4" w:rsidRDefault="00E51198" w:rsidP="007512BC">
            <w:pPr>
              <w:jc w:val="both"/>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 xml:space="preserve">“10.¹ </w:t>
            </w:r>
            <w:r w:rsidRPr="00AB25C4">
              <w:rPr>
                <w:rFonts w:ascii="Times New Roman" w:hAnsi="Times New Roman" w:cs="Times New Roman"/>
              </w:rPr>
              <w:t>Ja konstatē, ka valsts atbalsts vai valsts līdzfinansējums ir piešķirts kā nelikumīgs komercdarbības atbalsts, projekta īstenotājam ir pienākums atmaksāt aģentūrai projekta ietvaros saņemto nelikumīgo komercdarbības atbalstu atbilstoši Komercdarbības atbalsta kontroles likuma IV. un V. nodaļas nosacījumiem.”</w:t>
            </w:r>
          </w:p>
          <w:p w14:paraId="70F13BF8"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r>
      <w:tr w:rsidR="00E51198" w:rsidRPr="00AB25C4" w14:paraId="6390425C" w14:textId="77777777" w:rsidTr="007512BC">
        <w:tc>
          <w:tcPr>
            <w:tcW w:w="767" w:type="dxa"/>
          </w:tcPr>
          <w:p w14:paraId="3744E439"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68F42B5B" w14:textId="77777777" w:rsidR="00E51198" w:rsidRPr="00AB25C4" w:rsidRDefault="00E51198" w:rsidP="007512BC">
            <w:pPr>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9.</w:t>
            </w:r>
          </w:p>
        </w:tc>
        <w:tc>
          <w:tcPr>
            <w:tcW w:w="3203" w:type="dxa"/>
          </w:tcPr>
          <w:p w14:paraId="7A303B4A"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11" w:type="dxa"/>
          </w:tcPr>
          <w:p w14:paraId="275F820A"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Finanšu ministrija (04.06.2021. atzinums Nr.12/A-18/3126)</w:t>
            </w:r>
          </w:p>
          <w:p w14:paraId="160C92BA" w14:textId="77777777" w:rsidR="00E51198" w:rsidRPr="00AB25C4" w:rsidRDefault="00E51198" w:rsidP="007512BC">
            <w:pPr>
              <w:jc w:val="both"/>
              <w:rPr>
                <w:rFonts w:ascii="Times New Roman" w:hAnsi="Times New Roman" w:cs="Times New Roman"/>
              </w:rPr>
            </w:pPr>
            <w:r w:rsidRPr="00AB25C4">
              <w:rPr>
                <w:rFonts w:ascii="Times New Roman" w:hAnsi="Times New Roman" w:cs="Times New Roman"/>
              </w:rPr>
              <w:t>Lūdzam precizēt anotācijas I. sadaļas “Tiesību akta projekta izstrādes nepieciešamība” 2.punktā ietverto skaidrojumu MK noteikumu projekta 4.punktam. Vēršam uzmanību, ka teikumā, kas sākas ar vārdiem: “Grozījumi Komercdarbības atbalsta kontroles likumā, kas stāsies spēkā 2021. gada 8.jūnijā [..]” nav nolasāma doma/skaidrojums, kuru Izglītības un zinātnes ministrija vēlas sniegt anotācijas lietotājiem. Papildus tajā pašā rindkopā zemāk lūdzam atsauces uz Komercdarbības atbalsta kontroles likuma 18. un 19. pantu aizstāt ar atsaucēm uz  Komercdarbības atbalsta kontroles likuma IV. un V. nodaļu.</w:t>
            </w:r>
          </w:p>
          <w:p w14:paraId="7B659BEB"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tc>
        <w:tc>
          <w:tcPr>
            <w:tcW w:w="3871" w:type="dxa"/>
          </w:tcPr>
          <w:p w14:paraId="041B88FA"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Ņemts vērā.</w:t>
            </w:r>
          </w:p>
          <w:p w14:paraId="2F628303"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7148D9A9" w14:textId="77777777" w:rsidR="00E51198" w:rsidRPr="00AB25C4" w:rsidRDefault="00E51198" w:rsidP="007512BC">
            <w:pPr>
              <w:suppressAutoHyphens/>
              <w:autoSpaceDN w:val="0"/>
              <w:jc w:val="both"/>
              <w:textAlignment w:val="baseline"/>
              <w:rPr>
                <w:rFonts w:ascii="Times New Roman" w:hAnsi="Times New Roman" w:cs="Times New Roman"/>
              </w:rPr>
            </w:pPr>
            <w:r w:rsidRPr="00AB25C4">
              <w:rPr>
                <w:rFonts w:ascii="Times New Roman" w:hAnsi="Times New Roman" w:cs="Times New Roman"/>
              </w:rPr>
              <w:t xml:space="preserve">Precizēts un papildināts anotācijas I. sadaļas 2.punktā ietvertais skaidrojums par projekta 4.punktu, ar kuru MKN Nr.259 tiek papildināti ar jaunu 10.¹ punktu. </w:t>
            </w:r>
          </w:p>
          <w:p w14:paraId="12D324DA"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49398DCB" w14:textId="77777777" w:rsidR="00E51198" w:rsidRPr="00AB25C4" w:rsidRDefault="00E51198" w:rsidP="007512BC">
            <w:pPr>
              <w:jc w:val="both"/>
              <w:rPr>
                <w:rFonts w:ascii="Times New Roman" w:hAnsi="Times New Roman" w:cs="Times New Roman"/>
              </w:rPr>
            </w:pPr>
            <w:r w:rsidRPr="00AB25C4">
              <w:rPr>
                <w:rFonts w:ascii="Times New Roman" w:eastAsia="Times New Roman" w:hAnsi="Times New Roman" w:cs="Times New Roman"/>
                <w:lang w:eastAsia="lv-LV"/>
              </w:rPr>
              <w:t xml:space="preserve">“3) papildināt ar jaunu10.¹ punktu par saņemtā </w:t>
            </w:r>
            <w:r w:rsidRPr="00AB25C4">
              <w:rPr>
                <w:rFonts w:ascii="Times New Roman" w:hAnsi="Times New Roman" w:cs="Times New Roman"/>
              </w:rPr>
              <w:t xml:space="preserve">atbalsta atmaksāšanu, kur projekta īstenotājam ir pienākums atmaksāt aģentūrai projekta ietvaros saņemto nelikumīgo komercdarbības atbalstu, ja konstatē, ka valsts atbalsts vai valsts līdzfinansējums ir piešķirts kā nelikumīgs komercdarbības atbalsts, atbilstoši Komercdarbības atbalsta kontroles likuma IV. un V. nodaļas nosacījumiem, ņemot vērā to, ka nelikumīga valsts atbalsta atgūšana ir jānodrošina gan gadījumos, kad tiek konstatēti Eiropas Komisijas 2014. gada 17. jūnija Regulas (ES) Nr. 651/2014, ar ko noteiktas atbalsta kategorijas atzīst par saderīgām ar iekšējo tirgu, piemērojot Līguma 107. un 108. pantu (turpmāk – regula Nr. 651/2014) pārkāpumi, gan arī tad, ja ar saimniecisko darbību nesaistīts projekts tā īstenošanas laikā kļūst par ar saimniecisko darbību saistītu projektu un </w:t>
            </w:r>
            <w:r w:rsidRPr="00AB25C4">
              <w:rPr>
                <w:rFonts w:ascii="Times New Roman" w:hAnsi="Times New Roman" w:cs="Times New Roman"/>
              </w:rPr>
              <w:lastRenderedPageBreak/>
              <w:t>nav piemērots komercdarbības atbalsta kontroles normatīvais regulējums..</w:t>
            </w:r>
          </w:p>
          <w:p w14:paraId="40019357"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hAnsi="Times New Roman" w:cs="Times New Roman"/>
                <w:shd w:val="clear" w:color="auto" w:fill="FFFFFF"/>
              </w:rPr>
              <w:t xml:space="preserve">Ievērojot minēto projekta īstenotājs zinās, ka, konstatējot nelikumīgu komercdarbības atbalstu, aģentūra atgūst atbalstu saskaņā ar Komercdarbības atbalsta kontroles likuma </w:t>
            </w:r>
            <w:r w:rsidRPr="00AB25C4">
              <w:rPr>
                <w:rFonts w:ascii="Times New Roman" w:hAnsi="Times New Roman" w:cs="Times New Roman"/>
              </w:rPr>
              <w:t xml:space="preserve">IV. un V. nodaļā </w:t>
            </w:r>
            <w:r w:rsidRPr="00AB25C4">
              <w:rPr>
                <w:rFonts w:ascii="Times New Roman" w:hAnsi="Times New Roman" w:cs="Times New Roman"/>
                <w:shd w:val="clear" w:color="auto" w:fill="FFFFFF"/>
              </w:rPr>
              <w:t>noteikto, ievērojot šī likuma 2.panta 11.punktā noteikto terminu “</w:t>
            </w:r>
            <w:r w:rsidRPr="00AB25C4">
              <w:rPr>
                <w:rFonts w:ascii="Times New Roman" w:hAnsi="Times New Roman" w:cs="Times New Roman"/>
                <w:bCs/>
                <w:shd w:val="clear" w:color="auto" w:fill="FFFFFF"/>
              </w:rPr>
              <w:t>nelikumīgs komercdarbības atbalsts”.”</w:t>
            </w:r>
          </w:p>
        </w:tc>
        <w:tc>
          <w:tcPr>
            <w:tcW w:w="4102" w:type="dxa"/>
          </w:tcPr>
          <w:p w14:paraId="177E4E58"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r>
      <w:tr w:rsidR="00E51198" w:rsidRPr="00AB25C4" w14:paraId="214F9038" w14:textId="77777777" w:rsidTr="007512BC">
        <w:tc>
          <w:tcPr>
            <w:tcW w:w="767" w:type="dxa"/>
          </w:tcPr>
          <w:p w14:paraId="304EACB3"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55440A5F" w14:textId="77777777" w:rsidR="00E51198" w:rsidRPr="00AB25C4" w:rsidRDefault="00E51198" w:rsidP="007512BC">
            <w:pPr>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10.</w:t>
            </w:r>
          </w:p>
        </w:tc>
        <w:tc>
          <w:tcPr>
            <w:tcW w:w="3203" w:type="dxa"/>
          </w:tcPr>
          <w:p w14:paraId="2E4EB2F5"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11" w:type="dxa"/>
          </w:tcPr>
          <w:p w14:paraId="1C342FAE"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Finanšu ministrija (04.06.2021. atzinums Nr.12/A-18/3126)</w:t>
            </w:r>
          </w:p>
          <w:p w14:paraId="1915F56A" w14:textId="77777777" w:rsidR="00E51198" w:rsidRPr="00AB25C4" w:rsidRDefault="00E51198" w:rsidP="007512BC">
            <w:pPr>
              <w:jc w:val="both"/>
              <w:rPr>
                <w:rFonts w:ascii="Times New Roman" w:hAnsi="Times New Roman" w:cs="Times New Roman"/>
              </w:rPr>
            </w:pPr>
            <w:r w:rsidRPr="00AB25C4">
              <w:rPr>
                <w:rFonts w:ascii="Times New Roman" w:hAnsi="Times New Roman" w:cs="Times New Roman"/>
              </w:rPr>
              <w:t>Lūdzam precizēt anotācijas I. sadaļas “Tiesību akta projekta izstrādes nepieciešamība” 2.punktā ietverto skaidrojumu MK noteikumu projekta 4.punktam, kas sākas ar vārdiem “</w:t>
            </w:r>
            <w:bookmarkStart w:id="2" w:name="_Hlk73546479"/>
            <w:r w:rsidRPr="00AB25C4">
              <w:rPr>
                <w:rFonts w:ascii="Times New Roman" w:hAnsi="Times New Roman" w:cs="Times New Roman"/>
              </w:rPr>
              <w:t xml:space="preserve">Papildinot minēto, atbilstoši pašreizējai Eiropas Savienības tiesu judikatūrai, gadījumā, ja ir pārkāptas </w:t>
            </w:r>
            <w:bookmarkEnd w:id="2"/>
            <w:r w:rsidRPr="00AB25C4">
              <w:rPr>
                <w:rFonts w:ascii="Times New Roman" w:hAnsi="Times New Roman" w:cs="Times New Roman"/>
              </w:rPr>
              <w:t>regulas Nr. 651/2014, prasības [..]”. Vēršam uzmanību, ka nelikumīga valsts atbalsta atgūšana ir jānodrošina gan gadījumos, kad tiek konstatēti regulas Nr. 651/2014 pārkāpumi, gan arī tad, ja ar saimniecisko darbību nesaistīts projekts tā īstenošanas laikā kļūst par ar saimniecisko darbību saistītu projektu, bet komercdarbības atbalsta kontroles nosacījumi tam piemēroti nav. Ievērojot minēto, lūdzam anotācijā skaidrot, ka arī attiecībā uz piešķirto valsts līdzfinansējumu, gadījumā, ja tas projekta realizācijas gaitā kļūst par valsts atbalstu, arī tiks veikta nelikumīgā komercdarbības atbalsta atgūšana.</w:t>
            </w:r>
          </w:p>
          <w:p w14:paraId="7A7496C1"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tc>
        <w:tc>
          <w:tcPr>
            <w:tcW w:w="3871" w:type="dxa"/>
          </w:tcPr>
          <w:p w14:paraId="65C8739B"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Ņemts vērā.</w:t>
            </w:r>
          </w:p>
          <w:p w14:paraId="5607E723"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083AFDCA" w14:textId="77777777" w:rsidR="00E51198" w:rsidRPr="00AB25C4" w:rsidRDefault="00E51198" w:rsidP="007512BC">
            <w:pPr>
              <w:suppressAutoHyphens/>
              <w:autoSpaceDN w:val="0"/>
              <w:jc w:val="both"/>
              <w:textAlignment w:val="baseline"/>
              <w:rPr>
                <w:rFonts w:ascii="Times New Roman" w:hAnsi="Times New Roman" w:cs="Times New Roman"/>
              </w:rPr>
            </w:pPr>
            <w:r w:rsidRPr="00AB25C4">
              <w:rPr>
                <w:rFonts w:ascii="Times New Roman" w:hAnsi="Times New Roman" w:cs="Times New Roman"/>
              </w:rPr>
              <w:t>Atbilstoši iebildumam precizēts un papildināts anotācijas I. sadaļas 2.punktā ietvertais skaidrojums par projekta 4.punktu.</w:t>
            </w:r>
          </w:p>
          <w:p w14:paraId="5A26DA37"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1F8E53CA"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w:t>
            </w:r>
            <w:r w:rsidRPr="00AB25C4">
              <w:rPr>
                <w:rFonts w:ascii="Times New Roman" w:hAnsi="Times New Roman" w:cs="Times New Roman"/>
              </w:rPr>
              <w:t>Nelikumīga valsts atbalsta atgūšana tiks veikta gan gadījumos, kad tiek konstatēti regulas Nr. 651/2014 pārkāpumi, gan arī tad, ja ar saimniecisko darbību nesaistīts projekts tā īstenošanas laikā kļūst par ar saimniecisko darbību saistītu projektu un nav piemērots komercdarbības atbalsta kontroles normatīvais regulējums.. Ievērojot minēto, arī attiecībā uz piešķirto valsts līdzfinansējumu, gadījumā, ja tas projekta realizācijas gaitā kļūst par valsts atbalstu, arī attiecibā uz to tiks veikta nelikumīgā komercdarbības atbalsta atgūšana, kur projekta īstenotājam būs pienākums atmaksāt aģentūrai projekta ietvaros saņemto nelikumīgo komercdarbības atbalstu.”</w:t>
            </w:r>
          </w:p>
        </w:tc>
        <w:tc>
          <w:tcPr>
            <w:tcW w:w="4102" w:type="dxa"/>
          </w:tcPr>
          <w:p w14:paraId="32311DC3"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r>
      <w:tr w:rsidR="00E51198" w:rsidRPr="00AB25C4" w14:paraId="1CEA912D" w14:textId="77777777" w:rsidTr="007512BC">
        <w:tc>
          <w:tcPr>
            <w:tcW w:w="767" w:type="dxa"/>
          </w:tcPr>
          <w:p w14:paraId="045C67AC"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lastRenderedPageBreak/>
              <w:t>11.</w:t>
            </w:r>
          </w:p>
        </w:tc>
        <w:tc>
          <w:tcPr>
            <w:tcW w:w="3203" w:type="dxa"/>
          </w:tcPr>
          <w:p w14:paraId="6801F538"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c>
          <w:tcPr>
            <w:tcW w:w="4111" w:type="dxa"/>
          </w:tcPr>
          <w:p w14:paraId="2E2946FA"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Finanšu ministrija (04.06.2021. atzinums Nr.12/A-18/3126)</w:t>
            </w:r>
          </w:p>
          <w:p w14:paraId="0094B24D" w14:textId="77777777" w:rsidR="00E51198" w:rsidRPr="00AB25C4" w:rsidRDefault="00E51198" w:rsidP="007512BC">
            <w:pPr>
              <w:jc w:val="both"/>
              <w:rPr>
                <w:rFonts w:ascii="Times New Roman" w:hAnsi="Times New Roman" w:cs="Times New Roman"/>
              </w:rPr>
            </w:pPr>
            <w:r w:rsidRPr="00AB25C4">
              <w:rPr>
                <w:rFonts w:ascii="Times New Roman" w:hAnsi="Times New Roman" w:cs="Times New Roman"/>
              </w:rPr>
              <w:t>Ņemot vērā, ka noteikumu projekts un Ministru kabineta  2021.gada 25.februāra sēdes protokola Nr.20 33.§ “Informatīvais ziņojums "Par atbalstu Latvijas dalībai Eiropas Augstas veiktspējas datošanas kopuzņēmuma (European High Performance Computing Joint Undertaking) projektos un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noteiktais neparedz dalības maksas nodrošināšanu Eiropas Augstas veiktspējas datošanas kopuzņēmumā (European High Performance Computing Joint Undertaking), lūdzam precizēt anotācijas I sadaļas “Tiesību akta projekta izstrādes nepieciešamība” 2.punktā (3.lp. trešā rindkopa) norādīto informāciju.</w:t>
            </w:r>
          </w:p>
          <w:p w14:paraId="6388E067" w14:textId="77777777" w:rsidR="00E51198" w:rsidRPr="00AB25C4" w:rsidRDefault="00E51198" w:rsidP="007512BC">
            <w:pPr>
              <w:jc w:val="both"/>
              <w:rPr>
                <w:rFonts w:ascii="Times New Roman" w:eastAsia="Times New Roman" w:hAnsi="Times New Roman" w:cs="Times New Roman"/>
                <w:b/>
                <w:bCs/>
                <w:lang w:eastAsia="lv-LV"/>
              </w:rPr>
            </w:pPr>
          </w:p>
        </w:tc>
        <w:tc>
          <w:tcPr>
            <w:tcW w:w="3871" w:type="dxa"/>
          </w:tcPr>
          <w:p w14:paraId="1515C49C"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r w:rsidRPr="00AB25C4">
              <w:rPr>
                <w:rFonts w:ascii="Times New Roman" w:eastAsia="Times New Roman" w:hAnsi="Times New Roman" w:cs="Times New Roman"/>
                <w:b/>
                <w:bCs/>
                <w:lang w:eastAsia="lv-LV"/>
              </w:rPr>
              <w:t>Ņemts vērā.</w:t>
            </w:r>
          </w:p>
          <w:p w14:paraId="7F2456E8"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p w14:paraId="3026F200" w14:textId="77777777" w:rsidR="00E51198" w:rsidRPr="00AB25C4" w:rsidRDefault="00E51198" w:rsidP="007512BC">
            <w:pPr>
              <w:suppressAutoHyphens/>
              <w:autoSpaceDN w:val="0"/>
              <w:jc w:val="both"/>
              <w:textAlignment w:val="baseline"/>
              <w:rPr>
                <w:rFonts w:ascii="Times New Roman" w:hAnsi="Times New Roman" w:cs="Times New Roman"/>
              </w:rPr>
            </w:pPr>
            <w:r w:rsidRPr="00AB25C4">
              <w:rPr>
                <w:rFonts w:ascii="Times New Roman" w:hAnsi="Times New Roman" w:cs="Times New Roman"/>
              </w:rPr>
              <w:t>Atbilstoši iebildumam precizēts anotācijas I. sadaļas 2.punktā ietvertais skaidrojums par to, ka tiks nodrošināts Latvijas dalībniekiem atbalsts dalībai</w:t>
            </w:r>
            <w:r w:rsidRPr="00AB25C4">
              <w:rPr>
                <w:rFonts w:ascii="Times New Roman" w:eastAsia="Calibri" w:hAnsi="Times New Roman" w:cs="Times New Roman"/>
                <w:i/>
                <w:iCs/>
              </w:rPr>
              <w:t xml:space="preserve"> EuroHPC</w:t>
            </w:r>
            <w:r w:rsidRPr="00AB25C4">
              <w:rPr>
                <w:rFonts w:ascii="Times New Roman" w:eastAsia="Calibri" w:hAnsi="Times New Roman" w:cs="Times New Roman"/>
              </w:rPr>
              <w:t xml:space="preserve"> projektos.</w:t>
            </w:r>
          </w:p>
          <w:p w14:paraId="611EBD3E" w14:textId="77777777" w:rsidR="00E51198" w:rsidRPr="00AB25C4" w:rsidRDefault="00E51198" w:rsidP="007512BC">
            <w:pPr>
              <w:jc w:val="both"/>
              <w:rPr>
                <w:rFonts w:ascii="Times New Roman" w:eastAsia="Times New Roman" w:hAnsi="Times New Roman" w:cs="Times New Roman"/>
                <w:sz w:val="28"/>
                <w:szCs w:val="28"/>
                <w:lang w:eastAsia="lv-LV"/>
              </w:rPr>
            </w:pPr>
          </w:p>
          <w:p w14:paraId="734EEC28" w14:textId="77777777" w:rsidR="00E51198" w:rsidRPr="00AB25C4" w:rsidRDefault="00E51198" w:rsidP="007512BC">
            <w:pPr>
              <w:jc w:val="both"/>
              <w:rPr>
                <w:rFonts w:ascii="Times New Roman" w:eastAsia="Times New Roman" w:hAnsi="Times New Roman" w:cs="Times New Roman"/>
                <w:lang w:eastAsia="lv-LV"/>
              </w:rPr>
            </w:pPr>
          </w:p>
          <w:p w14:paraId="35C6A54E" w14:textId="77777777" w:rsidR="00E51198" w:rsidRPr="00AB25C4" w:rsidRDefault="00E51198" w:rsidP="007512BC">
            <w:pPr>
              <w:jc w:val="both"/>
              <w:rPr>
                <w:rFonts w:ascii="Times New Roman" w:eastAsia="Calibri" w:hAnsi="Times New Roman" w:cs="Times New Roman"/>
              </w:rPr>
            </w:pPr>
            <w:r w:rsidRPr="00AB25C4">
              <w:rPr>
                <w:rFonts w:ascii="Times New Roman" w:eastAsia="Times New Roman" w:hAnsi="Times New Roman" w:cs="Times New Roman"/>
                <w:lang w:eastAsia="lv-LV"/>
              </w:rPr>
              <w:t xml:space="preserve">“Ar projektu tiks nodrošināts atbalsts Latvijas dalībniekiem, piedaloties </w:t>
            </w:r>
            <w:r w:rsidRPr="00AB25C4">
              <w:rPr>
                <w:rFonts w:ascii="Times New Roman" w:eastAsia="Calibri" w:hAnsi="Times New Roman" w:cs="Times New Roman"/>
              </w:rPr>
              <w:t xml:space="preserve">kopuzņēmuma </w:t>
            </w:r>
            <w:r w:rsidRPr="00AB25C4">
              <w:rPr>
                <w:rFonts w:ascii="Times New Roman" w:eastAsia="Calibri" w:hAnsi="Times New Roman" w:cs="Times New Roman"/>
                <w:i/>
                <w:iCs/>
              </w:rPr>
              <w:t>EuroHPC</w:t>
            </w:r>
            <w:r w:rsidRPr="00AB25C4">
              <w:rPr>
                <w:rFonts w:ascii="Times New Roman" w:eastAsia="Calibri" w:hAnsi="Times New Roman" w:cs="Times New Roman"/>
              </w:rPr>
              <w:t xml:space="preserve"> projektu īstenošanā.”</w:t>
            </w:r>
          </w:p>
          <w:p w14:paraId="20C07508" w14:textId="77777777" w:rsidR="00E51198" w:rsidRPr="00AB25C4" w:rsidRDefault="00E51198" w:rsidP="007512BC">
            <w:pPr>
              <w:suppressAutoHyphens/>
              <w:autoSpaceDN w:val="0"/>
              <w:jc w:val="both"/>
              <w:textAlignment w:val="baseline"/>
              <w:rPr>
                <w:rFonts w:ascii="Times New Roman" w:eastAsia="Times New Roman" w:hAnsi="Times New Roman" w:cs="Times New Roman"/>
                <w:b/>
                <w:bCs/>
                <w:lang w:eastAsia="lv-LV"/>
              </w:rPr>
            </w:pPr>
          </w:p>
        </w:tc>
        <w:tc>
          <w:tcPr>
            <w:tcW w:w="4102" w:type="dxa"/>
          </w:tcPr>
          <w:p w14:paraId="125689A1" w14:textId="77777777" w:rsidR="00E51198" w:rsidRPr="00AB25C4" w:rsidRDefault="00E51198" w:rsidP="007512BC">
            <w:pPr>
              <w:suppressAutoHyphens/>
              <w:autoSpaceDN w:val="0"/>
              <w:jc w:val="both"/>
              <w:textAlignment w:val="baseline"/>
              <w:rPr>
                <w:rFonts w:ascii="Times New Roman" w:eastAsia="Times New Roman" w:hAnsi="Times New Roman" w:cs="Times New Roman"/>
                <w:lang w:eastAsia="lv-LV"/>
              </w:rPr>
            </w:pPr>
          </w:p>
        </w:tc>
      </w:tr>
    </w:tbl>
    <w:p w14:paraId="6DD01ADA" w14:textId="77777777" w:rsidR="00E51198" w:rsidRPr="00AB25C4" w:rsidRDefault="00E51198" w:rsidP="00E51198">
      <w:pPr>
        <w:suppressAutoHyphens/>
        <w:autoSpaceDN w:val="0"/>
        <w:spacing w:after="0" w:line="240" w:lineRule="auto"/>
        <w:ind w:firstLine="720"/>
        <w:jc w:val="both"/>
        <w:textAlignment w:val="baseline"/>
        <w:rPr>
          <w:rFonts w:ascii="Times New Roman" w:eastAsia="Times New Roman" w:hAnsi="Times New Roman" w:cs="Times New Roman"/>
          <w:lang w:eastAsia="lv-LV"/>
        </w:rPr>
      </w:pPr>
    </w:p>
    <w:p w14:paraId="63A2FD2D" w14:textId="77777777" w:rsidR="00E51198" w:rsidRPr="00AB25C4" w:rsidRDefault="00E51198" w:rsidP="00E51198">
      <w:pPr>
        <w:suppressAutoHyphens/>
        <w:autoSpaceDN w:val="0"/>
        <w:spacing w:after="0" w:line="240" w:lineRule="auto"/>
        <w:jc w:val="both"/>
        <w:textAlignment w:val="baseline"/>
        <w:rPr>
          <w:rFonts w:ascii="Times New Roman" w:eastAsia="Times New Roman" w:hAnsi="Times New Roman" w:cs="Times New Roman"/>
          <w:b/>
          <w:lang w:eastAsia="lv-LV"/>
        </w:rPr>
      </w:pPr>
      <w:r w:rsidRPr="00AB25C4">
        <w:rPr>
          <w:rFonts w:ascii="Times New Roman" w:eastAsia="Times New Roman" w:hAnsi="Times New Roman" w:cs="Times New Roman"/>
          <w:b/>
          <w:lang w:eastAsia="lv-LV"/>
        </w:rPr>
        <w:t xml:space="preserve">                                            </w:t>
      </w:r>
    </w:p>
    <w:p w14:paraId="7ED79B68" w14:textId="77777777" w:rsidR="00E51198" w:rsidRPr="00AB25C4" w:rsidRDefault="00E51198" w:rsidP="00E51198">
      <w:pPr>
        <w:suppressAutoHyphens/>
        <w:autoSpaceDN w:val="0"/>
        <w:spacing w:after="0" w:line="240" w:lineRule="auto"/>
        <w:ind w:left="288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Aleksandrs Mārtiņš Blūms</w:t>
      </w:r>
    </w:p>
    <w:p w14:paraId="3071F2D9" w14:textId="77777777" w:rsidR="00E51198" w:rsidRPr="00AB25C4" w:rsidRDefault="00E51198" w:rsidP="00E51198">
      <w:pPr>
        <w:suppressAutoHyphens/>
        <w:autoSpaceDN w:val="0"/>
        <w:spacing w:after="0" w:line="240" w:lineRule="auto"/>
        <w:ind w:left="2880"/>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Anita Depkovska</w:t>
      </w:r>
    </w:p>
    <w:tbl>
      <w:tblPr>
        <w:tblW w:w="8508" w:type="dxa"/>
        <w:tblCellMar>
          <w:left w:w="10" w:type="dxa"/>
          <w:right w:w="10" w:type="dxa"/>
        </w:tblCellMar>
        <w:tblLook w:val="04A0" w:firstRow="1" w:lastRow="0" w:firstColumn="1" w:lastColumn="0" w:noHBand="0" w:noVBand="1"/>
      </w:tblPr>
      <w:tblGrid>
        <w:gridCol w:w="8508"/>
      </w:tblGrid>
      <w:tr w:rsidR="00E51198" w:rsidRPr="00AB25C4" w14:paraId="6A35E881" w14:textId="77777777" w:rsidTr="007512BC">
        <w:trPr>
          <w:trHeight w:val="349"/>
        </w:trPr>
        <w:tc>
          <w:tcPr>
            <w:tcW w:w="8508" w:type="dxa"/>
            <w:tcBorders>
              <w:top w:val="single" w:sz="4" w:space="0" w:color="000000"/>
            </w:tcBorders>
            <w:shd w:val="clear" w:color="auto" w:fill="auto"/>
            <w:tcMar>
              <w:top w:w="0" w:type="dxa"/>
              <w:left w:w="108" w:type="dxa"/>
              <w:bottom w:w="0" w:type="dxa"/>
              <w:right w:w="108" w:type="dxa"/>
            </w:tcMar>
          </w:tcPr>
          <w:p w14:paraId="1E7E314C" w14:textId="77777777" w:rsidR="00E51198" w:rsidRPr="00AB25C4" w:rsidRDefault="00E51198" w:rsidP="007512BC">
            <w:pPr>
              <w:suppressAutoHyphens/>
              <w:autoSpaceDN w:val="0"/>
              <w:spacing w:after="12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(par projektu atbildīgās amatpersonas vārds un uzvārds)</w:t>
            </w:r>
          </w:p>
        </w:tc>
      </w:tr>
      <w:tr w:rsidR="00E51198" w:rsidRPr="00AB25C4" w14:paraId="29EA016E" w14:textId="77777777" w:rsidTr="007512BC">
        <w:trPr>
          <w:trHeight w:val="505"/>
        </w:trPr>
        <w:tc>
          <w:tcPr>
            <w:tcW w:w="8508" w:type="dxa"/>
            <w:tcBorders>
              <w:bottom w:val="single" w:sz="4" w:space="0" w:color="000000"/>
            </w:tcBorders>
            <w:shd w:val="clear" w:color="auto" w:fill="auto"/>
            <w:tcMar>
              <w:top w:w="0" w:type="dxa"/>
              <w:left w:w="108" w:type="dxa"/>
              <w:bottom w:w="0" w:type="dxa"/>
              <w:right w:w="108" w:type="dxa"/>
            </w:tcMar>
          </w:tcPr>
          <w:p w14:paraId="31258A09"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lastRenderedPageBreak/>
              <w:t xml:space="preserve">Izglītības un zinātnes ministrijas </w:t>
            </w:r>
          </w:p>
          <w:p w14:paraId="082D47B3"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Augstākās izglītības, zinātnes un inovāciju departamenta nozares eksperts,</w:t>
            </w:r>
          </w:p>
          <w:p w14:paraId="4C245BFE"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Augstākās izglītības, zinātnes un inovāciju departamenta vecākā eksperte</w:t>
            </w:r>
          </w:p>
        </w:tc>
      </w:tr>
      <w:tr w:rsidR="00E51198" w:rsidRPr="00AB25C4" w14:paraId="399E7782" w14:textId="77777777" w:rsidTr="007512BC">
        <w:trPr>
          <w:trHeight w:val="349"/>
        </w:trPr>
        <w:tc>
          <w:tcPr>
            <w:tcW w:w="8508" w:type="dxa"/>
            <w:tcBorders>
              <w:top w:val="single" w:sz="4" w:space="0" w:color="000000"/>
            </w:tcBorders>
            <w:shd w:val="clear" w:color="auto" w:fill="auto"/>
            <w:tcMar>
              <w:top w:w="0" w:type="dxa"/>
              <w:left w:w="108" w:type="dxa"/>
              <w:bottom w:w="0" w:type="dxa"/>
              <w:right w:w="108" w:type="dxa"/>
            </w:tcMar>
          </w:tcPr>
          <w:p w14:paraId="1145B0DB" w14:textId="77777777" w:rsidR="00E51198" w:rsidRPr="00AB25C4" w:rsidRDefault="00E51198" w:rsidP="007512BC">
            <w:pPr>
              <w:suppressAutoHyphens/>
              <w:autoSpaceDN w:val="0"/>
              <w:spacing w:after="12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(amats)</w:t>
            </w:r>
          </w:p>
        </w:tc>
      </w:tr>
      <w:tr w:rsidR="00E51198" w:rsidRPr="00AB25C4" w14:paraId="4570BC55" w14:textId="77777777" w:rsidTr="007512BC">
        <w:trPr>
          <w:trHeight w:val="252"/>
        </w:trPr>
        <w:tc>
          <w:tcPr>
            <w:tcW w:w="8508" w:type="dxa"/>
            <w:tcBorders>
              <w:bottom w:val="single" w:sz="4" w:space="0" w:color="000000"/>
            </w:tcBorders>
            <w:shd w:val="clear" w:color="auto" w:fill="auto"/>
            <w:tcMar>
              <w:top w:w="0" w:type="dxa"/>
              <w:left w:w="108" w:type="dxa"/>
              <w:bottom w:w="0" w:type="dxa"/>
              <w:right w:w="108" w:type="dxa"/>
            </w:tcMar>
          </w:tcPr>
          <w:p w14:paraId="0F5B87AD" w14:textId="77777777" w:rsidR="00E51198" w:rsidRPr="00AB25C4"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67047798, 67047772</w:t>
            </w:r>
          </w:p>
        </w:tc>
      </w:tr>
      <w:tr w:rsidR="00E51198" w:rsidRPr="00AB25C4" w14:paraId="44243D39" w14:textId="77777777" w:rsidTr="007512BC">
        <w:trPr>
          <w:trHeight w:val="349"/>
        </w:trPr>
        <w:tc>
          <w:tcPr>
            <w:tcW w:w="8508" w:type="dxa"/>
            <w:tcBorders>
              <w:top w:val="single" w:sz="4" w:space="0" w:color="000000"/>
            </w:tcBorders>
            <w:shd w:val="clear" w:color="auto" w:fill="auto"/>
            <w:tcMar>
              <w:top w:w="0" w:type="dxa"/>
              <w:left w:w="108" w:type="dxa"/>
              <w:bottom w:w="0" w:type="dxa"/>
              <w:right w:w="108" w:type="dxa"/>
            </w:tcMar>
          </w:tcPr>
          <w:p w14:paraId="10F5E378" w14:textId="77777777" w:rsidR="00E51198" w:rsidRPr="00AB25C4" w:rsidRDefault="00E51198" w:rsidP="007512BC">
            <w:pPr>
              <w:suppressAutoHyphens/>
              <w:autoSpaceDN w:val="0"/>
              <w:spacing w:after="12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(tālruņa un faksa numurs)</w:t>
            </w:r>
          </w:p>
        </w:tc>
      </w:tr>
      <w:tr w:rsidR="00E51198" w:rsidRPr="00AB25C4" w14:paraId="62BD8B38" w14:textId="77777777" w:rsidTr="007512BC">
        <w:trPr>
          <w:trHeight w:val="252"/>
        </w:trPr>
        <w:tc>
          <w:tcPr>
            <w:tcW w:w="8508" w:type="dxa"/>
            <w:tcBorders>
              <w:bottom w:val="single" w:sz="4" w:space="0" w:color="000000"/>
            </w:tcBorders>
            <w:shd w:val="clear" w:color="auto" w:fill="auto"/>
            <w:tcMar>
              <w:top w:w="0" w:type="dxa"/>
              <w:left w:w="108" w:type="dxa"/>
              <w:bottom w:w="0" w:type="dxa"/>
              <w:right w:w="108" w:type="dxa"/>
            </w:tcMar>
          </w:tcPr>
          <w:p w14:paraId="3D4D8A40" w14:textId="77777777" w:rsidR="00E51198" w:rsidRPr="00AB25C4" w:rsidRDefault="00744896" w:rsidP="007512BC">
            <w:pPr>
              <w:suppressAutoHyphens/>
              <w:autoSpaceDN w:val="0"/>
              <w:spacing w:after="0" w:line="240" w:lineRule="auto"/>
              <w:jc w:val="both"/>
              <w:textAlignment w:val="baseline"/>
              <w:rPr>
                <w:rFonts w:ascii="Times New Roman" w:eastAsia="Times New Roman" w:hAnsi="Times New Roman" w:cs="Times New Roman"/>
                <w:lang w:eastAsia="lv-LV"/>
              </w:rPr>
            </w:pPr>
            <w:hyperlink r:id="rId8" w:history="1">
              <w:r w:rsidR="00E51198" w:rsidRPr="00AB25C4">
                <w:rPr>
                  <w:rStyle w:val="Hyperlink"/>
                  <w:rFonts w:ascii="Times New Roman" w:eastAsia="Times New Roman" w:hAnsi="Times New Roman" w:cs="Times New Roman"/>
                  <w:lang w:eastAsia="lv-LV"/>
                </w:rPr>
                <w:t>Aleksandrs-martins.blums@izm.gov.lv</w:t>
              </w:r>
            </w:hyperlink>
            <w:r w:rsidR="00E51198" w:rsidRPr="00AB25C4">
              <w:rPr>
                <w:rFonts w:ascii="Times New Roman" w:eastAsia="Times New Roman" w:hAnsi="Times New Roman" w:cs="Times New Roman"/>
                <w:lang w:eastAsia="lv-LV"/>
              </w:rPr>
              <w:t xml:space="preserve">, </w:t>
            </w:r>
            <w:hyperlink r:id="rId9" w:history="1">
              <w:r w:rsidR="00E51198" w:rsidRPr="00AB25C4">
                <w:rPr>
                  <w:rStyle w:val="Hyperlink"/>
                  <w:rFonts w:ascii="Times New Roman" w:eastAsia="Times New Roman" w:hAnsi="Times New Roman" w:cs="Times New Roman"/>
                  <w:lang w:eastAsia="lv-LV"/>
                </w:rPr>
                <w:t>anita.depkovska@izm.gov.lv</w:t>
              </w:r>
            </w:hyperlink>
            <w:r w:rsidR="00E51198" w:rsidRPr="00AB25C4">
              <w:rPr>
                <w:rFonts w:ascii="Times New Roman" w:eastAsia="Times New Roman" w:hAnsi="Times New Roman" w:cs="Times New Roman"/>
                <w:lang w:eastAsia="lv-LV"/>
              </w:rPr>
              <w:t xml:space="preserve"> </w:t>
            </w:r>
          </w:p>
        </w:tc>
      </w:tr>
      <w:tr w:rsidR="00E51198" w:rsidRPr="002036FB" w14:paraId="61AF4FBB" w14:textId="77777777" w:rsidTr="007512BC">
        <w:trPr>
          <w:trHeight w:val="252"/>
        </w:trPr>
        <w:tc>
          <w:tcPr>
            <w:tcW w:w="8508" w:type="dxa"/>
            <w:tcBorders>
              <w:top w:val="single" w:sz="4" w:space="0" w:color="000000"/>
            </w:tcBorders>
            <w:shd w:val="clear" w:color="auto" w:fill="auto"/>
            <w:tcMar>
              <w:top w:w="0" w:type="dxa"/>
              <w:left w:w="108" w:type="dxa"/>
              <w:bottom w:w="0" w:type="dxa"/>
              <w:right w:w="108" w:type="dxa"/>
            </w:tcMar>
          </w:tcPr>
          <w:p w14:paraId="1C92D89C" w14:textId="77777777" w:rsidR="00E51198"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r w:rsidRPr="00AB25C4">
              <w:rPr>
                <w:rFonts w:ascii="Times New Roman" w:eastAsia="Times New Roman" w:hAnsi="Times New Roman" w:cs="Times New Roman"/>
                <w:lang w:eastAsia="lv-LV"/>
              </w:rPr>
              <w:t>(e-pasta adrese)</w:t>
            </w:r>
          </w:p>
          <w:p w14:paraId="488C966A" w14:textId="77777777" w:rsidR="00E51198"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p>
          <w:p w14:paraId="54732DC2" w14:textId="77777777" w:rsidR="00E51198" w:rsidRPr="002036FB" w:rsidRDefault="00E51198" w:rsidP="007512BC">
            <w:pPr>
              <w:suppressAutoHyphens/>
              <w:autoSpaceDN w:val="0"/>
              <w:spacing w:after="0" w:line="240" w:lineRule="auto"/>
              <w:jc w:val="both"/>
              <w:textAlignment w:val="baseline"/>
              <w:rPr>
                <w:rFonts w:ascii="Times New Roman" w:eastAsia="Times New Roman" w:hAnsi="Times New Roman" w:cs="Times New Roman"/>
                <w:lang w:eastAsia="lv-LV"/>
              </w:rPr>
            </w:pPr>
          </w:p>
        </w:tc>
      </w:tr>
    </w:tbl>
    <w:p w14:paraId="1D929420" w14:textId="77777777" w:rsidR="00E51198" w:rsidRPr="002036FB" w:rsidRDefault="00E51198" w:rsidP="00E51198">
      <w:pPr>
        <w:jc w:val="both"/>
        <w:rPr>
          <w:rFonts w:ascii="Times New Roman" w:hAnsi="Times New Roman" w:cs="Times New Roman"/>
        </w:rPr>
      </w:pPr>
    </w:p>
    <w:p w14:paraId="40011BA0" w14:textId="77777777" w:rsidR="00A755C0" w:rsidRPr="00E51198" w:rsidRDefault="00A755C0" w:rsidP="00E51198"/>
    <w:sectPr w:rsidR="00A755C0" w:rsidRPr="00E51198" w:rsidSect="00EF1AE9">
      <w:headerReference w:type="default" r:id="rId10"/>
      <w:footerReference w:type="default" r:id="rId11"/>
      <w:footerReference w:type="first" r:id="rId12"/>
      <w:pgSz w:w="16838" w:h="11906" w:orient="landscape"/>
      <w:pgMar w:top="709" w:right="1387" w:bottom="1276" w:left="1440" w:header="708" w:footer="3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02FC2" w14:textId="77777777" w:rsidR="00744896" w:rsidRDefault="00744896">
      <w:pPr>
        <w:spacing w:after="0" w:line="240" w:lineRule="auto"/>
      </w:pPr>
      <w:r>
        <w:separator/>
      </w:r>
    </w:p>
  </w:endnote>
  <w:endnote w:type="continuationSeparator" w:id="0">
    <w:p w14:paraId="43B3A280" w14:textId="77777777" w:rsidR="00744896" w:rsidRDefault="00744896">
      <w:pPr>
        <w:spacing w:after="0" w:line="240" w:lineRule="auto"/>
      </w:pPr>
      <w:r>
        <w:continuationSeparator/>
      </w:r>
    </w:p>
  </w:endnote>
  <w:endnote w:type="continuationNotice" w:id="1">
    <w:p w14:paraId="5BDBB1EA" w14:textId="77777777" w:rsidR="00744896" w:rsidRDefault="00744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2EF0" w14:textId="66647D8F" w:rsidR="009D6AF4" w:rsidRPr="006F0E25" w:rsidRDefault="009D6AF4">
    <w:pPr>
      <w:pStyle w:val="Footer"/>
      <w:rPr>
        <w:sz w:val="20"/>
        <w:szCs w:val="20"/>
      </w:rPr>
    </w:pPr>
    <w:r w:rsidRPr="006F0E25">
      <w:rPr>
        <w:rFonts w:ascii="Times New Roman" w:hAnsi="Times New Roman"/>
        <w:sz w:val="20"/>
        <w:szCs w:val="20"/>
      </w:rPr>
      <w:t>IZMizz_</w:t>
    </w:r>
    <w:r w:rsidR="006F0E25" w:rsidRPr="006F0E25">
      <w:rPr>
        <w:rFonts w:ascii="Times New Roman" w:hAnsi="Times New Roman"/>
        <w:sz w:val="20"/>
        <w:szCs w:val="20"/>
      </w:rPr>
      <w:t>0806</w:t>
    </w:r>
    <w:r w:rsidRPr="006F0E25">
      <w:rPr>
        <w:rFonts w:ascii="Times New Roman" w:hAnsi="Times New Roman"/>
        <w:sz w:val="20"/>
        <w:szCs w:val="20"/>
      </w:rPr>
      <w:t>21_groz259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C4434" w14:textId="77777777" w:rsidR="006F0E25" w:rsidRDefault="006F0E25" w:rsidP="006F0E25">
    <w:pPr>
      <w:pStyle w:val="Footer"/>
      <w:rPr>
        <w:rFonts w:ascii="Times New Roman" w:hAnsi="Times New Roman"/>
        <w:sz w:val="20"/>
        <w:szCs w:val="20"/>
      </w:rPr>
    </w:pPr>
  </w:p>
  <w:p w14:paraId="38C729C9" w14:textId="77777777" w:rsidR="006F0E25" w:rsidRDefault="006F0E25" w:rsidP="006F0E25">
    <w:pPr>
      <w:pStyle w:val="Footer"/>
      <w:rPr>
        <w:rFonts w:ascii="Times New Roman" w:hAnsi="Times New Roman"/>
        <w:sz w:val="20"/>
        <w:szCs w:val="20"/>
      </w:rPr>
    </w:pPr>
  </w:p>
  <w:p w14:paraId="6DEBAA23" w14:textId="56D15C1A" w:rsidR="006F0E25" w:rsidRPr="006F0E25" w:rsidRDefault="006F0E25" w:rsidP="006F0E25">
    <w:pPr>
      <w:pStyle w:val="Footer"/>
      <w:rPr>
        <w:sz w:val="20"/>
        <w:szCs w:val="20"/>
      </w:rPr>
    </w:pPr>
    <w:r w:rsidRPr="006F0E25">
      <w:rPr>
        <w:rFonts w:ascii="Times New Roman" w:hAnsi="Times New Roman"/>
        <w:sz w:val="20"/>
        <w:szCs w:val="20"/>
      </w:rPr>
      <w:t>IZMizz_080621_groz259</w:t>
    </w:r>
  </w:p>
  <w:p w14:paraId="13DBC3AD" w14:textId="77777777" w:rsidR="002036FB" w:rsidRDefault="0020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37F3" w14:textId="77777777" w:rsidR="00744896" w:rsidRDefault="00744896">
      <w:pPr>
        <w:spacing w:after="0" w:line="240" w:lineRule="auto"/>
      </w:pPr>
      <w:r>
        <w:separator/>
      </w:r>
    </w:p>
  </w:footnote>
  <w:footnote w:type="continuationSeparator" w:id="0">
    <w:p w14:paraId="023875E7" w14:textId="77777777" w:rsidR="00744896" w:rsidRDefault="00744896">
      <w:pPr>
        <w:spacing w:after="0" w:line="240" w:lineRule="auto"/>
      </w:pPr>
      <w:r>
        <w:continuationSeparator/>
      </w:r>
    </w:p>
  </w:footnote>
  <w:footnote w:type="continuationNotice" w:id="1">
    <w:p w14:paraId="3894438A" w14:textId="77777777" w:rsidR="00744896" w:rsidRDefault="007448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720656"/>
      <w:docPartObj>
        <w:docPartGallery w:val="Page Numbers (Top of Page)"/>
        <w:docPartUnique/>
      </w:docPartObj>
    </w:sdtPr>
    <w:sdtEndPr>
      <w:rPr>
        <w:noProof/>
      </w:rPr>
    </w:sdtEndPr>
    <w:sdtContent>
      <w:p w14:paraId="109E38F9" w14:textId="0BF83628" w:rsidR="009D6AF4" w:rsidRDefault="009D6AF4">
        <w:pPr>
          <w:pStyle w:val="Header"/>
          <w:jc w:val="center"/>
        </w:pPr>
        <w:r>
          <w:fldChar w:fldCharType="begin"/>
        </w:r>
        <w:r>
          <w:instrText xml:space="preserve"> PAGE   \* MERGEFORMAT </w:instrText>
        </w:r>
        <w:r>
          <w:fldChar w:fldCharType="separate"/>
        </w:r>
        <w:r w:rsidR="00F54C83">
          <w:rPr>
            <w:noProof/>
          </w:rPr>
          <w:t>2</w:t>
        </w:r>
        <w:r>
          <w:rPr>
            <w:noProof/>
          </w:rPr>
          <w:fldChar w:fldCharType="end"/>
        </w:r>
      </w:p>
    </w:sdtContent>
  </w:sdt>
  <w:p w14:paraId="1AD7E0B4" w14:textId="77777777" w:rsidR="009D6AF4" w:rsidRDefault="009D6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AA5"/>
    <w:multiLevelType w:val="hybridMultilevel"/>
    <w:tmpl w:val="7E84F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F22991"/>
    <w:multiLevelType w:val="hybridMultilevel"/>
    <w:tmpl w:val="AD3C4D3C"/>
    <w:lvl w:ilvl="0" w:tplc="5E94B630">
      <w:start w:val="1"/>
      <w:numFmt w:val="bullet"/>
      <w:lvlText w:val="‒"/>
      <w:lvlJc w:val="left"/>
      <w:pPr>
        <w:ind w:left="720" w:hanging="360"/>
      </w:pPr>
      <w:rPr>
        <w:rFonts w:ascii="Times New Roman" w:hAnsi="Times New Roman" w:cs="Times New Roman" w:hint="default"/>
      </w:rPr>
    </w:lvl>
    <w:lvl w:ilvl="1" w:tplc="E34ED4E2">
      <w:start w:val="1"/>
      <w:numFmt w:val="bullet"/>
      <w:lvlText w:val="o"/>
      <w:lvlJc w:val="left"/>
      <w:pPr>
        <w:ind w:left="1440" w:hanging="360"/>
      </w:pPr>
      <w:rPr>
        <w:rFonts w:ascii="Courier New" w:hAnsi="Courier New" w:cs="Courier New" w:hint="default"/>
      </w:rPr>
    </w:lvl>
    <w:lvl w:ilvl="2" w:tplc="7A6620AC" w:tentative="1">
      <w:start w:val="1"/>
      <w:numFmt w:val="bullet"/>
      <w:lvlText w:val=""/>
      <w:lvlJc w:val="left"/>
      <w:pPr>
        <w:ind w:left="2160" w:hanging="360"/>
      </w:pPr>
      <w:rPr>
        <w:rFonts w:ascii="Wingdings" w:hAnsi="Wingdings" w:hint="default"/>
      </w:rPr>
    </w:lvl>
    <w:lvl w:ilvl="3" w:tplc="B2C0F714" w:tentative="1">
      <w:start w:val="1"/>
      <w:numFmt w:val="bullet"/>
      <w:lvlText w:val=""/>
      <w:lvlJc w:val="left"/>
      <w:pPr>
        <w:ind w:left="2880" w:hanging="360"/>
      </w:pPr>
      <w:rPr>
        <w:rFonts w:ascii="Symbol" w:hAnsi="Symbol" w:hint="default"/>
      </w:rPr>
    </w:lvl>
    <w:lvl w:ilvl="4" w:tplc="5AC24140" w:tentative="1">
      <w:start w:val="1"/>
      <w:numFmt w:val="bullet"/>
      <w:lvlText w:val="o"/>
      <w:lvlJc w:val="left"/>
      <w:pPr>
        <w:ind w:left="3600" w:hanging="360"/>
      </w:pPr>
      <w:rPr>
        <w:rFonts w:ascii="Courier New" w:hAnsi="Courier New" w:cs="Courier New" w:hint="default"/>
      </w:rPr>
    </w:lvl>
    <w:lvl w:ilvl="5" w:tplc="8A80D612" w:tentative="1">
      <w:start w:val="1"/>
      <w:numFmt w:val="bullet"/>
      <w:lvlText w:val=""/>
      <w:lvlJc w:val="left"/>
      <w:pPr>
        <w:ind w:left="4320" w:hanging="360"/>
      </w:pPr>
      <w:rPr>
        <w:rFonts w:ascii="Wingdings" w:hAnsi="Wingdings" w:hint="default"/>
      </w:rPr>
    </w:lvl>
    <w:lvl w:ilvl="6" w:tplc="18222BB0" w:tentative="1">
      <w:start w:val="1"/>
      <w:numFmt w:val="bullet"/>
      <w:lvlText w:val=""/>
      <w:lvlJc w:val="left"/>
      <w:pPr>
        <w:ind w:left="5040" w:hanging="360"/>
      </w:pPr>
      <w:rPr>
        <w:rFonts w:ascii="Symbol" w:hAnsi="Symbol" w:hint="default"/>
      </w:rPr>
    </w:lvl>
    <w:lvl w:ilvl="7" w:tplc="8AAC4C10" w:tentative="1">
      <w:start w:val="1"/>
      <w:numFmt w:val="bullet"/>
      <w:lvlText w:val="o"/>
      <w:lvlJc w:val="left"/>
      <w:pPr>
        <w:ind w:left="5760" w:hanging="360"/>
      </w:pPr>
      <w:rPr>
        <w:rFonts w:ascii="Courier New" w:hAnsi="Courier New" w:cs="Courier New" w:hint="default"/>
      </w:rPr>
    </w:lvl>
    <w:lvl w:ilvl="8" w:tplc="646AD3A2" w:tentative="1">
      <w:start w:val="1"/>
      <w:numFmt w:val="bullet"/>
      <w:lvlText w:val=""/>
      <w:lvlJc w:val="left"/>
      <w:pPr>
        <w:ind w:left="6480" w:hanging="360"/>
      </w:pPr>
      <w:rPr>
        <w:rFonts w:ascii="Wingdings" w:hAnsi="Wingdings" w:hint="default"/>
      </w:rPr>
    </w:lvl>
  </w:abstractNum>
  <w:abstractNum w:abstractNumId="2" w15:restartNumberingAfterBreak="0">
    <w:nsid w:val="58D94156"/>
    <w:multiLevelType w:val="hybridMultilevel"/>
    <w:tmpl w:val="744C2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11D8E"/>
    <w:multiLevelType w:val="hybridMultilevel"/>
    <w:tmpl w:val="272A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0754B"/>
    <w:multiLevelType w:val="multilevel"/>
    <w:tmpl w:val="32D6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F6"/>
    <w:rsid w:val="00000CFD"/>
    <w:rsid w:val="00025698"/>
    <w:rsid w:val="00042FF9"/>
    <w:rsid w:val="000457A8"/>
    <w:rsid w:val="00061BFB"/>
    <w:rsid w:val="00072A6F"/>
    <w:rsid w:val="00093F9B"/>
    <w:rsid w:val="00095E15"/>
    <w:rsid w:val="000B363F"/>
    <w:rsid w:val="000F46BE"/>
    <w:rsid w:val="00112A9E"/>
    <w:rsid w:val="00137260"/>
    <w:rsid w:val="00137CDF"/>
    <w:rsid w:val="00150BFC"/>
    <w:rsid w:val="001618B2"/>
    <w:rsid w:val="001672ED"/>
    <w:rsid w:val="001A0F88"/>
    <w:rsid w:val="001E171E"/>
    <w:rsid w:val="001F2C9C"/>
    <w:rsid w:val="002036FB"/>
    <w:rsid w:val="0021764F"/>
    <w:rsid w:val="00226650"/>
    <w:rsid w:val="00260401"/>
    <w:rsid w:val="002B67DC"/>
    <w:rsid w:val="002D1911"/>
    <w:rsid w:val="002E37F3"/>
    <w:rsid w:val="002E703C"/>
    <w:rsid w:val="00313F57"/>
    <w:rsid w:val="00314DBF"/>
    <w:rsid w:val="00330033"/>
    <w:rsid w:val="00385BFF"/>
    <w:rsid w:val="003C4C0C"/>
    <w:rsid w:val="003D0351"/>
    <w:rsid w:val="003E5A69"/>
    <w:rsid w:val="00403FF2"/>
    <w:rsid w:val="00407BF5"/>
    <w:rsid w:val="0041298F"/>
    <w:rsid w:val="00462A40"/>
    <w:rsid w:val="00476C04"/>
    <w:rsid w:val="004874E4"/>
    <w:rsid w:val="0049025B"/>
    <w:rsid w:val="004A373F"/>
    <w:rsid w:val="004A61D2"/>
    <w:rsid w:val="004A696F"/>
    <w:rsid w:val="004A7003"/>
    <w:rsid w:val="004B1144"/>
    <w:rsid w:val="004B4949"/>
    <w:rsid w:val="004B4B9D"/>
    <w:rsid w:val="004D4DFC"/>
    <w:rsid w:val="004E2DE4"/>
    <w:rsid w:val="004E6726"/>
    <w:rsid w:val="00506402"/>
    <w:rsid w:val="00512148"/>
    <w:rsid w:val="00512EC3"/>
    <w:rsid w:val="00521C67"/>
    <w:rsid w:val="005370C5"/>
    <w:rsid w:val="00563551"/>
    <w:rsid w:val="00567895"/>
    <w:rsid w:val="00582247"/>
    <w:rsid w:val="005A23BE"/>
    <w:rsid w:val="005B3196"/>
    <w:rsid w:val="005B62AC"/>
    <w:rsid w:val="0060529D"/>
    <w:rsid w:val="00626FC1"/>
    <w:rsid w:val="00627F64"/>
    <w:rsid w:val="006444FA"/>
    <w:rsid w:val="00684301"/>
    <w:rsid w:val="006B10FC"/>
    <w:rsid w:val="006B4E90"/>
    <w:rsid w:val="006C7A68"/>
    <w:rsid w:val="006F0E25"/>
    <w:rsid w:val="00713BF2"/>
    <w:rsid w:val="00730FBA"/>
    <w:rsid w:val="00744896"/>
    <w:rsid w:val="00744A99"/>
    <w:rsid w:val="007611D5"/>
    <w:rsid w:val="00764952"/>
    <w:rsid w:val="007656CF"/>
    <w:rsid w:val="00786027"/>
    <w:rsid w:val="00787503"/>
    <w:rsid w:val="00795FB7"/>
    <w:rsid w:val="007A0215"/>
    <w:rsid w:val="007A51E8"/>
    <w:rsid w:val="007C2951"/>
    <w:rsid w:val="007D6EEC"/>
    <w:rsid w:val="007E1A4F"/>
    <w:rsid w:val="0080546C"/>
    <w:rsid w:val="008159F5"/>
    <w:rsid w:val="00860DDA"/>
    <w:rsid w:val="008626E6"/>
    <w:rsid w:val="00875711"/>
    <w:rsid w:val="0088418A"/>
    <w:rsid w:val="008D36FE"/>
    <w:rsid w:val="008D4EFA"/>
    <w:rsid w:val="008E349D"/>
    <w:rsid w:val="008F0EB1"/>
    <w:rsid w:val="00904D3D"/>
    <w:rsid w:val="00911BC6"/>
    <w:rsid w:val="00917120"/>
    <w:rsid w:val="00947FF1"/>
    <w:rsid w:val="00956F2E"/>
    <w:rsid w:val="00967359"/>
    <w:rsid w:val="009A2F44"/>
    <w:rsid w:val="009D6AF4"/>
    <w:rsid w:val="009E5077"/>
    <w:rsid w:val="00A03210"/>
    <w:rsid w:val="00A46F17"/>
    <w:rsid w:val="00A72FD2"/>
    <w:rsid w:val="00A755C0"/>
    <w:rsid w:val="00A77715"/>
    <w:rsid w:val="00A94D90"/>
    <w:rsid w:val="00AB25C4"/>
    <w:rsid w:val="00AF3B22"/>
    <w:rsid w:val="00AF74A7"/>
    <w:rsid w:val="00B0121A"/>
    <w:rsid w:val="00B0297B"/>
    <w:rsid w:val="00B17320"/>
    <w:rsid w:val="00B52157"/>
    <w:rsid w:val="00BB6AC6"/>
    <w:rsid w:val="00C01471"/>
    <w:rsid w:val="00C0152E"/>
    <w:rsid w:val="00C2321F"/>
    <w:rsid w:val="00C37BF6"/>
    <w:rsid w:val="00C42937"/>
    <w:rsid w:val="00C46EC9"/>
    <w:rsid w:val="00C52598"/>
    <w:rsid w:val="00C56391"/>
    <w:rsid w:val="00C67596"/>
    <w:rsid w:val="00C80DDA"/>
    <w:rsid w:val="00C924AE"/>
    <w:rsid w:val="00CA0E6B"/>
    <w:rsid w:val="00CC44ED"/>
    <w:rsid w:val="00CD52D3"/>
    <w:rsid w:val="00D064FF"/>
    <w:rsid w:val="00D66619"/>
    <w:rsid w:val="00D73361"/>
    <w:rsid w:val="00D8627A"/>
    <w:rsid w:val="00DA5E52"/>
    <w:rsid w:val="00DF48EC"/>
    <w:rsid w:val="00DF57B4"/>
    <w:rsid w:val="00E149D0"/>
    <w:rsid w:val="00E156AF"/>
    <w:rsid w:val="00E20BF4"/>
    <w:rsid w:val="00E3418A"/>
    <w:rsid w:val="00E3550D"/>
    <w:rsid w:val="00E47CCA"/>
    <w:rsid w:val="00E51198"/>
    <w:rsid w:val="00E5299A"/>
    <w:rsid w:val="00E52DB9"/>
    <w:rsid w:val="00E62BB1"/>
    <w:rsid w:val="00E67C1B"/>
    <w:rsid w:val="00E72123"/>
    <w:rsid w:val="00E82F76"/>
    <w:rsid w:val="00E954A7"/>
    <w:rsid w:val="00E95AF0"/>
    <w:rsid w:val="00E96A25"/>
    <w:rsid w:val="00EA3299"/>
    <w:rsid w:val="00EB3786"/>
    <w:rsid w:val="00EC711F"/>
    <w:rsid w:val="00EE32AD"/>
    <w:rsid w:val="00EF1AE9"/>
    <w:rsid w:val="00EF3291"/>
    <w:rsid w:val="00EF614C"/>
    <w:rsid w:val="00F115C6"/>
    <w:rsid w:val="00F11A62"/>
    <w:rsid w:val="00F25740"/>
    <w:rsid w:val="00F37FE1"/>
    <w:rsid w:val="00F41A40"/>
    <w:rsid w:val="00F515CD"/>
    <w:rsid w:val="00F54C83"/>
    <w:rsid w:val="00F95378"/>
    <w:rsid w:val="00F968ED"/>
    <w:rsid w:val="00FA50B2"/>
    <w:rsid w:val="00FC0EAF"/>
    <w:rsid w:val="00FF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C945"/>
  <w15:chartTrackingRefBased/>
  <w15:docId w15:val="{8EE9FC1B-58BB-41C8-AEC7-F976C33F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98"/>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F6"/>
    <w:rPr>
      <w:lang w:val="lv-LV"/>
    </w:rPr>
  </w:style>
  <w:style w:type="paragraph" w:styleId="Header">
    <w:name w:val="header"/>
    <w:basedOn w:val="Normal"/>
    <w:link w:val="HeaderChar"/>
    <w:uiPriority w:val="99"/>
    <w:unhideWhenUsed/>
    <w:rsid w:val="00C37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BF6"/>
    <w:rPr>
      <w:lang w:val="lv-LV"/>
    </w:rPr>
  </w:style>
  <w:style w:type="paragraph" w:styleId="FootnoteText">
    <w:name w:val="footnote text"/>
    <w:basedOn w:val="Normal"/>
    <w:link w:val="FootnoteTextChar"/>
    <w:uiPriority w:val="99"/>
    <w:semiHidden/>
    <w:unhideWhenUsed/>
    <w:rsid w:val="00A46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F17"/>
    <w:rPr>
      <w:sz w:val="20"/>
      <w:szCs w:val="20"/>
      <w:lang w:val="lv-LV"/>
    </w:rPr>
  </w:style>
  <w:style w:type="character" w:styleId="FootnoteReference">
    <w:name w:val="footnote reference"/>
    <w:basedOn w:val="DefaultParagraphFont"/>
    <w:uiPriority w:val="99"/>
    <w:semiHidden/>
    <w:unhideWhenUsed/>
    <w:rsid w:val="00A46F17"/>
    <w:rPr>
      <w:vertAlign w:val="superscript"/>
    </w:rPr>
  </w:style>
  <w:style w:type="character" w:customStyle="1" w:styleId="hps">
    <w:name w:val="hps"/>
    <w:basedOn w:val="DefaultParagraphFont"/>
    <w:rsid w:val="00B17320"/>
  </w:style>
  <w:style w:type="character" w:styleId="CommentReference">
    <w:name w:val="annotation reference"/>
    <w:basedOn w:val="DefaultParagraphFont"/>
    <w:semiHidden/>
    <w:unhideWhenUsed/>
    <w:rsid w:val="00917120"/>
    <w:rPr>
      <w:sz w:val="16"/>
      <w:szCs w:val="16"/>
    </w:rPr>
  </w:style>
  <w:style w:type="paragraph" w:styleId="CommentText">
    <w:name w:val="annotation text"/>
    <w:basedOn w:val="Normal"/>
    <w:link w:val="CommentTextChar"/>
    <w:uiPriority w:val="99"/>
    <w:semiHidden/>
    <w:unhideWhenUsed/>
    <w:rsid w:val="00917120"/>
    <w:pPr>
      <w:spacing w:line="240" w:lineRule="auto"/>
    </w:pPr>
    <w:rPr>
      <w:sz w:val="20"/>
      <w:szCs w:val="20"/>
    </w:rPr>
  </w:style>
  <w:style w:type="character" w:customStyle="1" w:styleId="CommentTextChar">
    <w:name w:val="Comment Text Char"/>
    <w:basedOn w:val="DefaultParagraphFont"/>
    <w:link w:val="CommentText"/>
    <w:uiPriority w:val="99"/>
    <w:semiHidden/>
    <w:rsid w:val="00917120"/>
    <w:rPr>
      <w:sz w:val="20"/>
      <w:szCs w:val="20"/>
      <w:lang w:val="lv-LV"/>
    </w:rPr>
  </w:style>
  <w:style w:type="paragraph" w:styleId="CommentSubject">
    <w:name w:val="annotation subject"/>
    <w:basedOn w:val="CommentText"/>
    <w:next w:val="CommentText"/>
    <w:link w:val="CommentSubjectChar"/>
    <w:uiPriority w:val="99"/>
    <w:semiHidden/>
    <w:unhideWhenUsed/>
    <w:rsid w:val="00917120"/>
    <w:rPr>
      <w:b/>
      <w:bCs/>
    </w:rPr>
  </w:style>
  <w:style w:type="character" w:customStyle="1" w:styleId="CommentSubjectChar">
    <w:name w:val="Comment Subject Char"/>
    <w:basedOn w:val="CommentTextChar"/>
    <w:link w:val="CommentSubject"/>
    <w:uiPriority w:val="99"/>
    <w:semiHidden/>
    <w:rsid w:val="00917120"/>
    <w:rPr>
      <w:b/>
      <w:bCs/>
      <w:sz w:val="20"/>
      <w:szCs w:val="20"/>
      <w:lang w:val="lv-LV"/>
    </w:rPr>
  </w:style>
  <w:style w:type="paragraph" w:styleId="BalloonText">
    <w:name w:val="Balloon Text"/>
    <w:basedOn w:val="Normal"/>
    <w:link w:val="BalloonTextChar"/>
    <w:uiPriority w:val="99"/>
    <w:semiHidden/>
    <w:unhideWhenUsed/>
    <w:rsid w:val="00917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20"/>
    <w:rPr>
      <w:rFonts w:ascii="Segoe UI" w:hAnsi="Segoe UI" w:cs="Segoe UI"/>
      <w:sz w:val="18"/>
      <w:szCs w:val="18"/>
      <w:lang w:val="lv-LV"/>
    </w:rPr>
  </w:style>
  <w:style w:type="paragraph" w:styleId="ListParagraph">
    <w:name w:val="List Paragraph"/>
    <w:aliases w:val="2,H&amp;P List Paragraph,Saraksta rindkopa,Saraksta rindkopa1,Strip"/>
    <w:basedOn w:val="Normal"/>
    <w:link w:val="ListParagraphChar"/>
    <w:uiPriority w:val="34"/>
    <w:qFormat/>
    <w:rsid w:val="00DA5E52"/>
    <w:pPr>
      <w:spacing w:before="60" w:after="0" w:line="240" w:lineRule="auto"/>
      <w:ind w:left="720" w:firstLine="709"/>
      <w:contextualSpacing/>
      <w:jc w:val="both"/>
    </w:pPr>
    <w:rPr>
      <w:rFonts w:ascii="Times New Roman" w:eastAsia="Times New Roman" w:hAnsi="Times New Roman" w:cs="Times New Roman"/>
      <w:sz w:val="24"/>
      <w:szCs w:val="24"/>
    </w:rPr>
  </w:style>
  <w:style w:type="character" w:customStyle="1" w:styleId="ListParagraphChar">
    <w:name w:val="List Paragraph Char"/>
    <w:aliases w:val="2 Char,H&amp;P List Paragraph Char,Saraksta rindkopa Char,Saraksta rindkopa1 Char,Strip Char"/>
    <w:link w:val="ListParagraph"/>
    <w:uiPriority w:val="34"/>
    <w:locked/>
    <w:rsid w:val="00DA5E52"/>
    <w:rPr>
      <w:rFonts w:ascii="Times New Roman" w:eastAsia="Times New Roman" w:hAnsi="Times New Roman" w:cs="Times New Roman"/>
      <w:sz w:val="24"/>
      <w:szCs w:val="24"/>
      <w:lang w:val="lv-LV"/>
    </w:rPr>
  </w:style>
  <w:style w:type="character" w:styleId="Hyperlink">
    <w:name w:val="Hyperlink"/>
    <w:basedOn w:val="DefaultParagraphFont"/>
    <w:uiPriority w:val="99"/>
    <w:unhideWhenUsed/>
    <w:rsid w:val="00F115C6"/>
    <w:rPr>
      <w:color w:val="0563C1" w:themeColor="hyperlink"/>
      <w:u w:val="single"/>
    </w:rPr>
  </w:style>
  <w:style w:type="table" w:styleId="TableGrid">
    <w:name w:val="Table Grid"/>
    <w:basedOn w:val="TableNormal"/>
    <w:uiPriority w:val="39"/>
    <w:rsid w:val="001A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F1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1705">
      <w:bodyDiv w:val="1"/>
      <w:marLeft w:val="0"/>
      <w:marRight w:val="0"/>
      <w:marTop w:val="0"/>
      <w:marBottom w:val="0"/>
      <w:divBdr>
        <w:top w:val="none" w:sz="0" w:space="0" w:color="auto"/>
        <w:left w:val="none" w:sz="0" w:space="0" w:color="auto"/>
        <w:bottom w:val="none" w:sz="0" w:space="0" w:color="auto"/>
        <w:right w:val="none" w:sz="0" w:space="0" w:color="auto"/>
      </w:divBdr>
    </w:div>
    <w:div w:id="493690044">
      <w:bodyDiv w:val="1"/>
      <w:marLeft w:val="0"/>
      <w:marRight w:val="0"/>
      <w:marTop w:val="0"/>
      <w:marBottom w:val="0"/>
      <w:divBdr>
        <w:top w:val="none" w:sz="0" w:space="0" w:color="auto"/>
        <w:left w:val="none" w:sz="0" w:space="0" w:color="auto"/>
        <w:bottom w:val="none" w:sz="0" w:space="0" w:color="auto"/>
        <w:right w:val="none" w:sz="0" w:space="0" w:color="auto"/>
      </w:divBdr>
    </w:div>
    <w:div w:id="1086610843">
      <w:bodyDiv w:val="1"/>
      <w:marLeft w:val="0"/>
      <w:marRight w:val="0"/>
      <w:marTop w:val="0"/>
      <w:marBottom w:val="0"/>
      <w:divBdr>
        <w:top w:val="none" w:sz="0" w:space="0" w:color="auto"/>
        <w:left w:val="none" w:sz="0" w:space="0" w:color="auto"/>
        <w:bottom w:val="none" w:sz="0" w:space="0" w:color="auto"/>
        <w:right w:val="none" w:sz="0" w:space="0" w:color="auto"/>
      </w:divBdr>
    </w:div>
    <w:div w:id="1088043099">
      <w:bodyDiv w:val="1"/>
      <w:marLeft w:val="0"/>
      <w:marRight w:val="0"/>
      <w:marTop w:val="0"/>
      <w:marBottom w:val="0"/>
      <w:divBdr>
        <w:top w:val="none" w:sz="0" w:space="0" w:color="auto"/>
        <w:left w:val="none" w:sz="0" w:space="0" w:color="auto"/>
        <w:bottom w:val="none" w:sz="0" w:space="0" w:color="auto"/>
        <w:right w:val="none" w:sz="0" w:space="0" w:color="auto"/>
      </w:divBdr>
    </w:div>
    <w:div w:id="13740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s-martins.blum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0E96-A5B2-4582-A320-D07E4D2F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15971</Words>
  <Characters>9104</Characters>
  <Application>Microsoft Office Word</Application>
  <DocSecurity>0</DocSecurity>
  <Lines>75</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Sandra Obodova</cp:lastModifiedBy>
  <cp:revision>2</cp:revision>
  <dcterms:created xsi:type="dcterms:W3CDTF">2021-06-15T07:13:00Z</dcterms:created>
  <dcterms:modified xsi:type="dcterms:W3CDTF">2021-06-15T07:13:00Z</dcterms:modified>
</cp:coreProperties>
</file>