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15D8" w:rsidR="0093163B" w:rsidP="00BC6F6A" w:rsidRDefault="0093163B" w14:paraId="753E3F1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6915D8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 xml:space="preserve">Ministru kabineta rīkojuma projekta </w:t>
      </w:r>
    </w:p>
    <w:p w:rsidR="0093163B" w:rsidP="00BC6F6A" w:rsidRDefault="004818E8" w14:paraId="5EC441AC" w14:textId="090E57A8">
      <w:pPr>
        <w:pStyle w:val="Bezatstarpm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2B70EB"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lv-LV"/>
        </w:rPr>
        <w:t>„</w:t>
      </w:r>
      <w:r w:rsidRPr="000760FB" w:rsidR="000760FB">
        <w:rPr>
          <w:rFonts w:ascii="Times New Roman" w:hAnsi="Times New Roman" w:eastAsia="Times New Roman" w:cs="Times New Roman"/>
          <w:b/>
          <w:sz w:val="28"/>
          <w:szCs w:val="28"/>
        </w:rPr>
        <w:t>Par apropriācijas pārdali”</w:t>
      </w:r>
      <w:r w:rsidRPr="006915D8" w:rsidR="0093163B">
        <w:rPr>
          <w:rFonts w:ascii="Times New Roman" w:hAnsi="Times New Roman" w:eastAsia="Times New Roman" w:cs="Times New Roman"/>
          <w:b/>
          <w:sz w:val="28"/>
          <w:szCs w:val="28"/>
        </w:rPr>
        <w:t xml:space="preserve"> sākotnējās ietekmes novērtējuma </w:t>
      </w:r>
    </w:p>
    <w:p w:rsidRPr="006915D8" w:rsidR="0093163B" w:rsidP="00BC6F6A" w:rsidRDefault="0093163B" w14:paraId="2A183E39" w14:textId="77777777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6915D8">
        <w:rPr>
          <w:rFonts w:ascii="Times New Roman" w:hAnsi="Times New Roman" w:eastAsia="Times New Roman" w:cs="Times New Roman"/>
          <w:b/>
          <w:sz w:val="28"/>
          <w:szCs w:val="28"/>
        </w:rPr>
        <w:t>ziņojums (anotācija)</w:t>
      </w:r>
    </w:p>
    <w:p w:rsidRPr="00652978" w:rsidR="00385FF0" w:rsidP="00BC6F6A" w:rsidRDefault="00385FF0" w14:paraId="7F17E945" w14:textId="77777777">
      <w:pPr>
        <w:pStyle w:val="Paraststmeklis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652978" w:rsidR="00E5323B" w:rsidTr="00E5323B" w14:paraId="2F8C08BB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BC6F6A" w:rsidRDefault="00E5323B" w14:paraId="535CF0B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652978" w:rsidR="00E5323B" w:rsidTr="00E5323B" w14:paraId="4268C768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C6EDA" w:rsidR="00FC6EDA" w:rsidP="00BC6F6A" w:rsidRDefault="00665B25" w14:paraId="2A37BC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3190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Mērķis, risinājums un projekta spēkā stāšanās laiks </w:t>
            </w:r>
            <w:r w:rsidRPr="007629B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C063F" w:rsidR="00E5323B" w:rsidP="00BC6F6A" w:rsidRDefault="0093163B" w14:paraId="37513B9D" w14:textId="2D0457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75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Ministru kabineta rīkojuma projekts „</w:t>
            </w:r>
            <w:r w:rsidRPr="00D551AA" w:rsidR="00D551A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Par apropriācijas pārdali</w:t>
            </w:r>
            <w:r w:rsidRPr="00C4075B">
              <w:rPr>
                <w:rFonts w:ascii="Times New Roman" w:hAnsi="Times New Roman" w:eastAsia="Times New Roman" w:cs="Times New Roman"/>
                <w:sz w:val="28"/>
                <w:szCs w:val="28"/>
              </w:rPr>
              <w:t>”</w:t>
            </w:r>
            <w:r w:rsidRPr="00C4075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C4075B">
              <w:rPr>
                <w:rFonts w:ascii="Times New Roman" w:hAnsi="Times New Roman" w:cs="Times New Roman"/>
                <w:sz w:val="28"/>
                <w:szCs w:val="28"/>
              </w:rPr>
              <w:t>(turpmāk – Projekts)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šo jomu neskar.</w:t>
            </w:r>
          </w:p>
        </w:tc>
      </w:tr>
    </w:tbl>
    <w:p w:rsidRPr="00652978" w:rsidR="00E5323B" w:rsidP="00BC6F6A" w:rsidRDefault="00E5323B" w14:paraId="48B6C4A9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52978" w:rsidR="00E5323B" w:rsidTr="00CD74C7" w14:paraId="6590E410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BC6F6A" w:rsidRDefault="00E5323B" w14:paraId="26A366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652978" w:rsidR="002C32B5" w:rsidTr="00CD74C7" w14:paraId="52C41D77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BC6F6A" w:rsidRDefault="00E5323B" w14:paraId="028A13E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BC6F6A" w:rsidRDefault="00E5323B" w14:paraId="06295E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9C537D" w:rsidP="00BC6F6A" w:rsidRDefault="003C5459" w14:paraId="2675AE06" w14:textId="57B1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C1">
              <w:rPr>
                <w:rFonts w:ascii="Times New Roman" w:hAnsi="Times New Roman" w:cs="Times New Roman"/>
                <w:sz w:val="28"/>
                <w:szCs w:val="28"/>
              </w:rPr>
              <w:t xml:space="preserve">Projekts </w:t>
            </w:r>
            <w:r w:rsidRPr="00FC048D">
              <w:rPr>
                <w:rFonts w:ascii="Times New Roman" w:hAnsi="Times New Roman" w:cs="Times New Roman"/>
                <w:sz w:val="28"/>
                <w:szCs w:val="28"/>
              </w:rPr>
              <w:t>sagatavots</w:t>
            </w:r>
            <w:r w:rsidR="003D6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048D" w:rsidR="007C7E78">
              <w:rPr>
                <w:rFonts w:ascii="Times New Roman" w:hAnsi="Times New Roman" w:cs="Times New Roman"/>
                <w:sz w:val="28"/>
                <w:szCs w:val="28"/>
              </w:rPr>
              <w:t xml:space="preserve"> pamatojoties uz</w:t>
            </w:r>
            <w:r w:rsidR="009C53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936BFC" w:rsidR="00385FF0" w:rsidP="00936BFC" w:rsidRDefault="00533D2C" w14:paraId="127DC70C" w14:textId="000D23B8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</w:pPr>
            <w:r w:rsidRPr="00936BFC">
              <w:rPr>
                <w:rFonts w:ascii="Times New Roman" w:hAnsi="Times New Roman"/>
                <w:sz w:val="28"/>
                <w:szCs w:val="28"/>
              </w:rPr>
              <w:t xml:space="preserve">Likuma par budžetu un finanšu vadību </w:t>
            </w:r>
            <w:proofErr w:type="gramStart"/>
            <w:r w:rsidRPr="00936BFC">
              <w:rPr>
                <w:rFonts w:ascii="Times New Roman" w:hAnsi="Times New Roman"/>
                <w:sz w:val="28"/>
                <w:szCs w:val="28"/>
              </w:rPr>
              <w:t>9.panta</w:t>
            </w:r>
            <w:proofErr w:type="gramEnd"/>
            <w:r w:rsidRPr="00936BFC">
              <w:rPr>
                <w:rFonts w:ascii="Times New Roman" w:hAnsi="Times New Roman"/>
                <w:sz w:val="28"/>
                <w:szCs w:val="28"/>
              </w:rPr>
              <w:t xml:space="preserve"> trīspadsmitās daļas 1.punktu un trīspadsmit</w:t>
            </w:r>
            <w:r w:rsidRPr="00936BFC" w:rsidR="00F85F61">
              <w:rPr>
                <w:rFonts w:ascii="Times New Roman" w:hAnsi="Times New Roman"/>
                <w:sz w:val="28"/>
                <w:szCs w:val="28"/>
              </w:rPr>
              <w:t>ās</w:t>
            </w:r>
            <w:r w:rsidRPr="00936BFC">
              <w:rPr>
                <w:rFonts w:ascii="Times New Roman" w:hAnsi="Times New Roman"/>
                <w:sz w:val="28"/>
                <w:szCs w:val="28"/>
              </w:rPr>
              <w:t xml:space="preserve"> trīs </w:t>
            </w:r>
            <w:proofErr w:type="spellStart"/>
            <w:r w:rsidRPr="00936BFC">
              <w:rPr>
                <w:rFonts w:ascii="Times New Roman" w:hAnsi="Times New Roman"/>
                <w:sz w:val="28"/>
                <w:szCs w:val="28"/>
              </w:rPr>
              <w:t>prim</w:t>
            </w:r>
            <w:proofErr w:type="spellEnd"/>
            <w:r w:rsidRPr="00936BFC">
              <w:rPr>
                <w:rFonts w:ascii="Times New Roman" w:hAnsi="Times New Roman"/>
                <w:sz w:val="28"/>
                <w:szCs w:val="28"/>
              </w:rPr>
              <w:t xml:space="preserve"> daļas </w:t>
            </w:r>
            <w:r w:rsidRPr="00936BFC" w:rsidR="005D5167">
              <w:rPr>
                <w:rFonts w:ascii="Times New Roman" w:hAnsi="Times New Roman"/>
                <w:sz w:val="28"/>
                <w:szCs w:val="28"/>
              </w:rPr>
              <w:t>1.</w:t>
            </w:r>
            <w:r w:rsidRPr="00936BFC">
              <w:rPr>
                <w:rFonts w:ascii="Times New Roman" w:hAnsi="Times New Roman"/>
                <w:sz w:val="28"/>
                <w:szCs w:val="28"/>
              </w:rPr>
              <w:t>punktu</w:t>
            </w:r>
            <w:r w:rsidRPr="00936BFC" w:rsidR="009C53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18E8" w:rsidP="00936BFC" w:rsidRDefault="004818E8" w14:paraId="23E4EE30" w14:textId="77777777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</w:pPr>
            <w:r w:rsidRPr="003674B3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Valsts sociālo pabalstu likum</w:t>
            </w:r>
            <w:r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 xml:space="preserve">a </w:t>
            </w:r>
            <w:proofErr w:type="gramStart"/>
            <w:r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13.pantu</w:t>
            </w:r>
            <w:proofErr w:type="gramEnd"/>
            <w:r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;</w:t>
            </w:r>
          </w:p>
          <w:p w:rsidRPr="002B70EB" w:rsidR="004818E8" w:rsidP="00936BFC" w:rsidRDefault="004818E8" w14:paraId="5446317A" w14:textId="34D1BB6A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</w:pPr>
            <w:r w:rsidRPr="00D34902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Valsts un pašvaldību profesionālo orķestru, koru, koncertorganizāciju, teātru un cirka mākslinieku izdienas pensiju un baleta mākslinieku pabalsta par radošo darbu</w:t>
            </w:r>
            <w:r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 xml:space="preserve"> likuma </w:t>
            </w:r>
            <w:r w:rsidR="007A59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(turpmāk – Likums) </w:t>
            </w:r>
            <w:proofErr w:type="gramStart"/>
            <w:r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14.pantu</w:t>
            </w:r>
            <w:proofErr w:type="gramEnd"/>
            <w:r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;</w:t>
            </w:r>
          </w:p>
          <w:p w:rsidRPr="009C537D" w:rsidR="00533D2C" w:rsidP="00936BFC" w:rsidRDefault="00533D2C" w14:paraId="42920706" w14:textId="064585DA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</w:pPr>
            <w:r w:rsidRPr="00533D2C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proofErr w:type="gramStart"/>
            <w:r w:rsidRPr="00533D2C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2018.gada</w:t>
            </w:r>
            <w:proofErr w:type="gramEnd"/>
            <w:r w:rsidRPr="00533D2C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 xml:space="preserve"> 17.jūlija noteikumu Nr.421 „Kārtība, kādā veic gadskārtējā valsts budžeta likumā noteiktās apropriācijas izmaiņas” 1</w:t>
            </w:r>
            <w:r w:rsidR="004D411A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7</w:t>
            </w:r>
            <w:r w:rsidRPr="00533D2C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.punktu</w:t>
            </w:r>
            <w:r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;</w:t>
            </w:r>
          </w:p>
          <w:p w:rsidR="00D551AA" w:rsidP="00936BFC" w:rsidRDefault="00AB2927" w14:paraId="2287D864" w14:textId="77777777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</w:pPr>
            <w:r w:rsidRPr="00AB2927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proofErr w:type="gramStart"/>
            <w:r w:rsidRPr="00AB2927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2010.gada</w:t>
            </w:r>
            <w:proofErr w:type="gramEnd"/>
            <w:r w:rsidRPr="00AB2927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 xml:space="preserve"> 21.jūnija noteikumiem Nr.555 </w:t>
            </w:r>
            <w:r w:rsidRPr="009C537D" w:rsidR="00361F22">
              <w:rPr>
                <w:rFonts w:ascii="Times New Roman" w:hAnsi="Times New Roman"/>
                <w:sz w:val="28"/>
                <w:szCs w:val="28"/>
              </w:rPr>
              <w:t>„</w:t>
            </w:r>
            <w:r w:rsidRPr="00AB2927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Noteikumi par kārtību, kādā piešķir un izmaksā pabalstu par radošo darbu baleta māksliniekiem”</w:t>
            </w:r>
            <w:r w:rsidR="00D551AA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;</w:t>
            </w:r>
          </w:p>
          <w:p w:rsidRPr="00AB2927" w:rsidR="00AB2927" w:rsidP="00936BFC" w:rsidRDefault="00D551AA" w14:paraId="7C2C83AA" w14:textId="73BF025E">
            <w:pPr>
              <w:pStyle w:val="Sarakstarindkopa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</w:pPr>
            <w:r w:rsidRPr="00D551AA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Ministru kabineta</w:t>
            </w:r>
            <w:r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 xml:space="preserve"> </w:t>
            </w:r>
            <w:proofErr w:type="gramStart"/>
            <w:r w:rsidRPr="00D551AA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2007.gada</w:t>
            </w:r>
            <w:proofErr w:type="gramEnd"/>
            <w:r w:rsidRPr="00D551AA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 xml:space="preserve"> 21.august</w:t>
            </w:r>
            <w:r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 xml:space="preserve">a noteikumiem </w:t>
            </w:r>
            <w:r w:rsidR="004818E8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 xml:space="preserve">Nr.565 </w:t>
            </w:r>
            <w:r w:rsidRPr="00D551AA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„Kārtība, kādā aprēķina, izmaksā un sadala atlīdzību par publisko patapinājumu”</w:t>
            </w:r>
            <w:r w:rsidR="004818E8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2C32B5" w:rsidTr="00CD74C7" w14:paraId="180EC336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BC6F6A" w:rsidRDefault="00E5323B" w14:paraId="48AB2D9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859C0" w:rsidR="00E5323B" w:rsidP="00BC6F6A" w:rsidRDefault="00E5323B" w14:paraId="6A006E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F8513E" w:rsidP="00936BFC" w:rsidRDefault="00B20463" w14:paraId="2BD031DA" w14:textId="660DEA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</w:t>
            </w:r>
            <w:r w:rsidRPr="00B20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askaņā ar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Likum</w:t>
            </w:r>
            <w:r w:rsidR="007A59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14.panta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pirmo daļu b</w:t>
            </w:r>
            <w:r w:rsidRPr="00B20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aleta māksliniekiem, kuri atbrīvoti no darba baleta mākslinieka profesijā līdz 1998.gada 31.decembrim, ir tiesības papildus valsts pensijai saņemt pabalstu par veikto radošo darbu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D74C7"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(turpmāk – Pabalsts)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B20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</w:t>
            </w:r>
            <w:r w:rsidRPr="00B204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askaņā ar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Likuma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14.panta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otro daļu 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Pabalstu izmaksā </w:t>
            </w:r>
            <w:r w:rsidR="003674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Kultūras ministrija</w:t>
            </w:r>
            <w:r w:rsidR="00ED36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11D6" w:rsidR="004011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no valsts budžetā kārtējam gadam paredzētajiem līdzekļiem</w:t>
            </w:r>
            <w:r w:rsidR="004011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D91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</w:t>
            </w:r>
            <w:r w:rsidRPr="00B20463"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askaņā ar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Likuma </w:t>
            </w:r>
            <w:proofErr w:type="gramStart"/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14.panta</w:t>
            </w:r>
            <w:proofErr w:type="gramEnd"/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piekto daļu</w:t>
            </w:r>
            <w:r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ņemot vērā</w:t>
            </w:r>
            <w:r w:rsidR="00E15F64">
              <w:t xml:space="preserve"> </w:t>
            </w:r>
            <w:r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</w:t>
            </w:r>
            <w:r w:rsidRPr="00E15F64"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aleta </w:t>
            </w:r>
            <w:r w:rsidRPr="00E15F64"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māksliniek</w:t>
            </w:r>
            <w:r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a </w:t>
            </w:r>
            <w:r w:rsidRPr="00E15F64"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veikt</w:t>
            </w:r>
            <w:r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ā</w:t>
            </w:r>
            <w:r w:rsidRPr="00E15F64"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radoš</w:t>
            </w:r>
            <w:r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ā</w:t>
            </w:r>
            <w:r w:rsidRPr="00E15F64"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darb</w:t>
            </w:r>
            <w:r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a izvērtējumu, </w:t>
            </w:r>
            <w:r w:rsidRPr="00E15F64"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Pabalsts </w:t>
            </w:r>
            <w:r w:rsidRPr="00E15F64"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tiek noteikts trīskāršā valsts sociālā nodrošinājuma pabalsta apmērā, ja 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baleta māksliniekam </w:t>
            </w:r>
            <w:r w:rsidRPr="00E15F64"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ir piešķirta I</w:t>
            </w:r>
            <w:r w:rsidR="00361F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15F64" w:rsidR="00E15F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kategorija, un divkāršā valsts sociālā nodrošinājuma pabalsta apmērā, ja ir piešķirta II kategorija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Saskaņā ar </w:t>
            </w:r>
            <w:r w:rsidRPr="00024DB6"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Saeima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s </w:t>
            </w:r>
            <w:proofErr w:type="gramStart"/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2020.gada</w:t>
            </w:r>
            <w:proofErr w:type="gramEnd"/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24.novembrī pieņemtajiem g</w:t>
            </w:r>
            <w:r w:rsidRPr="00251280"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rozījum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iem</w:t>
            </w:r>
            <w:r w:rsidRPr="00251280"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Valsts sociālo pabalstu likumā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513E"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no 2021.gada 1.janvāra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palielināts </w:t>
            </w:r>
            <w:r w:rsidRPr="00002877"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valsts sociālā nodrošinājuma pabalsts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no 64,03 </w:t>
            </w:r>
            <w:r w:rsidRPr="005D79DE" w:rsidR="00EF2B5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euro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uz 109,00 </w:t>
            </w:r>
            <w:r w:rsidRPr="00002877" w:rsidR="00EF2B5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euro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F851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Ņemot vērā minēto, </w:t>
            </w:r>
            <w:r w:rsidR="00F851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Kultūras ministrijai ir nepieciešams lielāks </w:t>
            </w:r>
            <w:r w:rsidRPr="00F8513E" w:rsidR="00F851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valsts budžet</w:t>
            </w:r>
            <w:r w:rsidR="00F851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</w:t>
            </w:r>
            <w:r w:rsidRPr="00F8513E" w:rsidR="00F851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līdzekļ</w:t>
            </w:r>
            <w:r w:rsidR="00F851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u apmērs, lai 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no </w:t>
            </w:r>
            <w:r w:rsidRPr="00F8513E"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2021.gada 1.janvāra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51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nodrošinātu Pabalsta izmaksu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atbilstoši pieņemtajiem g</w:t>
            </w:r>
            <w:r w:rsidRPr="00251280"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rozījum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iem</w:t>
            </w:r>
            <w:r w:rsidRPr="00251280"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Valsts sociālo pabalstu likumā</w:t>
            </w:r>
            <w:r w:rsidR="00F851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D746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Likumprojekta </w:t>
            </w:r>
            <w:r w:rsidRPr="009C537D" w:rsidR="00361F22">
              <w:rPr>
                <w:rFonts w:ascii="Times New Roman" w:hAnsi="Times New Roman"/>
                <w:sz w:val="28"/>
                <w:szCs w:val="28"/>
              </w:rPr>
              <w:t>„</w:t>
            </w:r>
            <w:r w:rsidR="00D746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Grozījumi</w:t>
            </w:r>
            <w:r w:rsidR="00D746E9">
              <w:t xml:space="preserve"> </w:t>
            </w:r>
            <w:r w:rsidRPr="00D746E9" w:rsidR="00D746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Valsts sociālo pabalstu likumā</w:t>
            </w:r>
            <w:r w:rsidR="00D746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” </w:t>
            </w:r>
            <w:r w:rsidRPr="00D746E9" w:rsidR="00D746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sākotnējās ietekmes </w:t>
            </w:r>
            <w:r w:rsidRPr="00D746E9" w:rsidR="00090F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novērtējum</w:t>
            </w:r>
            <w:r w:rsidR="00090F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a ziņojumā (anotācijā) </w:t>
            </w:r>
            <w:r w:rsidR="00D746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Kultūras ministrijai </w:t>
            </w:r>
            <w:r w:rsidR="00263D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Pabalsta izmaksai </w:t>
            </w:r>
            <w:r w:rsidR="00D746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papildu</w:t>
            </w:r>
            <w:r w:rsidR="00EF2B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</w:t>
            </w:r>
            <w:r w:rsidR="00D746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nepieciešamie budžeta līdzekļi nebija iekļauti.</w:t>
            </w:r>
          </w:p>
          <w:p w:rsidR="002B2B51" w:rsidP="00936BFC" w:rsidRDefault="00A71732" w14:paraId="034D945B" w14:textId="6F82F94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Likumā </w:t>
            </w:r>
            <w:r w:rsidRPr="009C537D" w:rsidR="00090F2D">
              <w:rPr>
                <w:rFonts w:ascii="Times New Roman" w:hAnsi="Times New Roman"/>
                <w:sz w:val="28"/>
                <w:szCs w:val="28"/>
              </w:rPr>
              <w:t>„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Par valsts budžetu </w:t>
            </w:r>
            <w:proofErr w:type="gramStart"/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2021.gadam</w:t>
            </w:r>
            <w:proofErr w:type="gramEnd"/>
            <w:r w:rsidR="000A79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un likumā </w:t>
            </w:r>
            <w:r w:rsidRPr="009C537D" w:rsidR="00090F2D">
              <w:rPr>
                <w:rFonts w:ascii="Times New Roman" w:hAnsi="Times New Roman"/>
                <w:sz w:val="28"/>
                <w:szCs w:val="28"/>
              </w:rPr>
              <w:t>„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Par vidēja termiņa budžeta ietvaru 2021., 2022. un 2023.gadam</w:t>
            </w:r>
            <w:r w:rsidR="000A79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Pabalstu izmaksai Kultūras ministrijas </w:t>
            </w:r>
            <w:r w:rsidR="006C4A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valsts 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budžeta apakšprogrammā 19.07.00 </w:t>
            </w:r>
            <w:r w:rsidRPr="00090F2D" w:rsidR="00090F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„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Mākslas un literatūra</w:t>
            </w:r>
            <w:r w:rsidR="000A79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71732" w:rsidR="002E5B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ik gadu 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plānota valsts budžeta dotācija 65</w:t>
            </w:r>
            <w:r w:rsidR="00090F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310 </w:t>
            </w:r>
            <w:r w:rsidRPr="00A71732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euro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apmērā. Pabalsts tiek izmaksāts 28 baleta māksliniekiem. Pabalsta apmērs mēnesī no </w:t>
            </w:r>
            <w:proofErr w:type="gramStart"/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2021.gada</w:t>
            </w:r>
            <w:proofErr w:type="gramEnd"/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1.janvāra </w:t>
            </w:r>
            <w:r w:rsidR="00090F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sešiem</w:t>
            </w:r>
            <w:r w:rsidRPr="00A71732" w:rsidR="00090F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baleta māksliniekiem ir 218 </w:t>
            </w:r>
            <w:r w:rsidRPr="00A71732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euro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bet 22 baleta māksliniekiem – 327 </w:t>
            </w:r>
            <w:r w:rsidRPr="00A71732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euro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pavisam kopā gadā Pabalstu izmaksai nepieciešama  valsts budžeta dotācija 102 024 </w:t>
            </w:r>
            <w:r w:rsidRPr="00A71732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euro</w:t>
            </w:r>
            <w:r w:rsidRPr="00A717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apmērā.</w:t>
            </w:r>
            <w:r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721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Ar</w:t>
            </w:r>
            <w:r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l</w:t>
            </w:r>
            <w:r w:rsidRPr="00BB1CC1"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ikumā </w:t>
            </w:r>
            <w:r w:rsidRPr="009C537D" w:rsidR="00090F2D">
              <w:rPr>
                <w:rFonts w:ascii="Times New Roman" w:hAnsi="Times New Roman"/>
                <w:sz w:val="28"/>
                <w:szCs w:val="28"/>
              </w:rPr>
              <w:t>„</w:t>
            </w:r>
            <w:r w:rsidRPr="00BB1CC1"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Par valsts budžetu </w:t>
            </w:r>
            <w:proofErr w:type="gramStart"/>
            <w:r w:rsidRPr="00BB1CC1"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2021.gadam</w:t>
            </w:r>
            <w:proofErr w:type="gramEnd"/>
            <w:r w:rsidRPr="00BB1CC1"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  <w:r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plānotajiem </w:t>
            </w:r>
            <w:r w:rsidR="002E5B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finanšu </w:t>
            </w:r>
            <w:r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līdzekļiem </w:t>
            </w:r>
            <w:r w:rsidRPr="00BB1CC1"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65</w:t>
            </w:r>
            <w:r w:rsidR="004D41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B1CC1"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310 </w:t>
            </w:r>
            <w:r w:rsidRPr="00BB1CC1" w:rsidR="00BB1CC1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euro</w:t>
            </w:r>
            <w:r w:rsidRPr="00BB1CC1"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apmērā</w:t>
            </w:r>
            <w:r w:rsidR="00BB1C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Pabalstu</w:t>
            </w:r>
            <w:r w:rsidR="00F7210F">
              <w:t xml:space="preserve"> </w:t>
            </w:r>
            <w:r w:rsidRPr="002E5B39" w:rsidR="002E5B39">
              <w:rPr>
                <w:rFonts w:ascii="Times New Roman" w:hAnsi="Times New Roman" w:cs="Times New Roman"/>
                <w:sz w:val="28"/>
                <w:szCs w:val="28"/>
              </w:rPr>
              <w:t>izmaksai</w:t>
            </w:r>
            <w:r w:rsidR="002E5B39">
              <w:t xml:space="preserve"> </w:t>
            </w:r>
            <w:r w:rsidRPr="00F7210F" w:rsidR="00F721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visiem baleta māksliniekiem Pabalst</w:t>
            </w:r>
            <w:r w:rsidR="002E5B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u</w:t>
            </w:r>
            <w:r w:rsidR="00F721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varēs </w:t>
            </w:r>
            <w:r w:rsidR="00A825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izmaksāt tikai līdz </w:t>
            </w:r>
            <w:r w:rsidR="00F721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2021.gada augusta</w:t>
            </w:r>
            <w:r w:rsidR="002E5B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</w:t>
            </w:r>
            <w:r w:rsidR="00A825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Pr="006C4A23" w:rsidR="006C4A23" w:rsidP="00936BFC" w:rsidRDefault="00CB76C9" w14:paraId="01E93DE2" w14:textId="7D4156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Lai nodrošinātu </w:t>
            </w:r>
            <w:r w:rsidRPr="00CB76C9">
              <w:rPr>
                <w:rFonts w:ascii="Times New Roman" w:hAnsi="Times New Roman" w:cs="Times New Roman"/>
                <w:sz w:val="28"/>
                <w:szCs w:val="28"/>
              </w:rPr>
              <w:t>Pabalstu izmaks</w:t>
            </w:r>
            <w:r w:rsidR="00B845FF">
              <w:rPr>
                <w:rFonts w:ascii="Times New Roman" w:hAnsi="Times New Roman" w:cs="Times New Roman"/>
                <w:sz w:val="28"/>
                <w:szCs w:val="28"/>
              </w:rPr>
              <w:t xml:space="preserve">u atbilstoši </w:t>
            </w:r>
            <w:r w:rsidR="00B845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</w:t>
            </w:r>
            <w:r w:rsidRPr="00251280" w:rsidR="00B845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rozījum</w:t>
            </w:r>
            <w:r w:rsidR="00B845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iem</w:t>
            </w:r>
            <w:r w:rsidRPr="00251280" w:rsidR="00B845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Valsts sociālo pabalstu likumā</w:t>
            </w:r>
            <w:r w:rsidR="00B845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513E" w:rsidR="00B845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no </w:t>
            </w:r>
            <w:proofErr w:type="gramStart"/>
            <w:r w:rsidRPr="00F8513E" w:rsidR="00B845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2021.gada</w:t>
            </w:r>
            <w:proofErr w:type="gramEnd"/>
            <w:r w:rsidRPr="00F8513E" w:rsidR="00B845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1.janvāra</w:t>
            </w:r>
            <w:r w:rsidR="00B845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 ņemot vērā</w:t>
            </w:r>
            <w:r w:rsidR="00B8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4CB" w:rsidR="001424CB">
              <w:rPr>
                <w:rFonts w:ascii="Times New Roman" w:hAnsi="Times New Roman" w:cs="Times New Roman"/>
                <w:sz w:val="28"/>
                <w:szCs w:val="28"/>
              </w:rPr>
              <w:t xml:space="preserve">valsts, pašvaldību </w:t>
            </w:r>
            <w:r w:rsidR="007A5918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Pr="001424CB" w:rsidR="007A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4CB" w:rsidR="001424CB">
              <w:rPr>
                <w:rFonts w:ascii="Times New Roman" w:hAnsi="Times New Roman" w:cs="Times New Roman"/>
                <w:sz w:val="28"/>
                <w:szCs w:val="28"/>
              </w:rPr>
              <w:t xml:space="preserve">atvasinātu publisku </w:t>
            </w:r>
            <w:r w:rsidRPr="001424CB" w:rsidR="00142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personu </w:t>
            </w:r>
            <w:r w:rsidR="00816282">
              <w:rPr>
                <w:rFonts w:ascii="Times New Roman" w:hAnsi="Times New Roman" w:cs="Times New Roman"/>
                <w:sz w:val="28"/>
                <w:szCs w:val="28"/>
              </w:rPr>
              <w:t xml:space="preserve">un privāto </w:t>
            </w:r>
            <w:r w:rsidRPr="001424CB" w:rsidR="001424CB">
              <w:rPr>
                <w:rFonts w:ascii="Times New Roman" w:hAnsi="Times New Roman" w:cs="Times New Roman"/>
                <w:sz w:val="28"/>
                <w:szCs w:val="28"/>
              </w:rPr>
              <w:t>bibliotēku iesniegto informāciju par 2019.gadā piešķirto līdzekļu apmēru bibliotēku krājumu papildināšanai un obligāto eksemplāru vērtību</w:t>
            </w:r>
            <w:r w:rsidR="0059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CEA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="00F7512F">
              <w:rPr>
                <w:rFonts w:ascii="Times New Roman" w:hAnsi="Times New Roman" w:cs="Times New Roman"/>
                <w:sz w:val="28"/>
                <w:szCs w:val="28"/>
              </w:rPr>
              <w:t xml:space="preserve">līdzekļu </w:t>
            </w:r>
            <w:r w:rsidR="00004CEA">
              <w:rPr>
                <w:rFonts w:ascii="Times New Roman" w:hAnsi="Times New Roman" w:cs="Times New Roman"/>
                <w:sz w:val="28"/>
                <w:szCs w:val="28"/>
              </w:rPr>
              <w:t xml:space="preserve">apmēru, </w:t>
            </w:r>
            <w:r w:rsidRPr="00597131" w:rsidR="00597131">
              <w:rPr>
                <w:rFonts w:ascii="Times New Roman" w:hAnsi="Times New Roman" w:cs="Times New Roman"/>
                <w:sz w:val="28"/>
                <w:szCs w:val="28"/>
              </w:rPr>
              <w:t>ko iepriekšējā gadā izmantojušas privātās bibliotēkas krājumu papildināšanai</w:t>
            </w:r>
            <w:r w:rsidR="005971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CEA">
              <w:rPr>
                <w:rFonts w:ascii="Times New Roman" w:hAnsi="Times New Roman" w:cs="Times New Roman"/>
                <w:sz w:val="28"/>
                <w:szCs w:val="28"/>
              </w:rPr>
              <w:t xml:space="preserve">izvērtēts, 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2021.gadā ir nepieciešams mazāks līdzekļu apmērs</w:t>
            </w:r>
            <w:r w:rsidR="008253F1">
              <w:rPr>
                <w:rFonts w:ascii="Times New Roman" w:hAnsi="Times New Roman" w:cs="Times New Roman"/>
                <w:sz w:val="28"/>
                <w:szCs w:val="28"/>
              </w:rPr>
              <w:t xml:space="preserve"> kā iepriekš plānots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lai nodrošinātu </w:t>
            </w:r>
            <w:r w:rsidRPr="00CB76C9">
              <w:rPr>
                <w:rFonts w:ascii="Times New Roman" w:hAnsi="Times New Roman" w:cs="Times New Roman"/>
                <w:sz w:val="28"/>
                <w:szCs w:val="28"/>
              </w:rPr>
              <w:t>atlīdzību par publisko patapinājumu</w:t>
            </w:r>
            <w:r w:rsidR="001424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435" w:rsidR="004F3435">
              <w:rPr>
                <w:rFonts w:ascii="Times New Roman" w:hAnsi="Times New Roman" w:cs="Times New Roman"/>
                <w:sz w:val="28"/>
                <w:szCs w:val="28"/>
              </w:rPr>
              <w:t>Ikgadējās atlīdzības par publisko patapinājumu lielums ir 10 % no summas</w:t>
            </w:r>
            <w:r w:rsidR="005971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3435" w:rsidR="004F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131" w:rsidR="00597131">
              <w:rPr>
                <w:rFonts w:ascii="Times New Roman" w:hAnsi="Times New Roman" w:cs="Times New Roman"/>
                <w:sz w:val="28"/>
                <w:szCs w:val="28"/>
              </w:rPr>
              <w:t>kas iepriekšējā gadā piešķirta valsts, pašvaldību vai atvasinātu publisku personu bibliotēkām krājumu papildināšanai, un no obligāto eksemplāru vērtības</w:t>
            </w:r>
            <w:r w:rsidR="00597131">
              <w:rPr>
                <w:rFonts w:ascii="Times New Roman" w:hAnsi="Times New Roman" w:cs="Times New Roman"/>
                <w:sz w:val="28"/>
                <w:szCs w:val="28"/>
              </w:rPr>
              <w:t xml:space="preserve">, un </w:t>
            </w:r>
            <w:r w:rsidR="00004CEA">
              <w:rPr>
                <w:rFonts w:ascii="Times New Roman" w:hAnsi="Times New Roman" w:cs="Times New Roman"/>
                <w:sz w:val="28"/>
                <w:szCs w:val="28"/>
              </w:rPr>
              <w:t xml:space="preserve">summas apmēra, </w:t>
            </w:r>
            <w:r w:rsidRPr="00597131" w:rsidR="00597131">
              <w:rPr>
                <w:rFonts w:ascii="Times New Roman" w:hAnsi="Times New Roman" w:cs="Times New Roman"/>
                <w:sz w:val="28"/>
                <w:szCs w:val="28"/>
              </w:rPr>
              <w:t>ko iepriekšējā gadā izmantojušas privātās bibliotēkas krājumu papildināšanai</w:t>
            </w:r>
            <w:r w:rsidR="005971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7131" w:rsidR="00597131">
              <w:rPr>
                <w:rFonts w:ascii="Times New Roman" w:hAnsi="Times New Roman" w:cs="Times New Roman"/>
                <w:sz w:val="28"/>
                <w:szCs w:val="28"/>
              </w:rPr>
              <w:t xml:space="preserve">Kultūras ministrija </w:t>
            </w:r>
            <w:r w:rsidRPr="00E51416" w:rsidR="007A5918">
              <w:rPr>
                <w:rFonts w:ascii="Times New Roman" w:hAnsi="Times New Roman" w:cs="Times New Roman"/>
                <w:sz w:val="28"/>
                <w:szCs w:val="28"/>
              </w:rPr>
              <w:t>par iepriekšējo gadu</w:t>
            </w:r>
            <w:r w:rsidRPr="00597131" w:rsidR="007A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131" w:rsidR="00597131">
              <w:rPr>
                <w:rFonts w:ascii="Times New Roman" w:hAnsi="Times New Roman" w:cs="Times New Roman"/>
                <w:sz w:val="28"/>
                <w:szCs w:val="28"/>
              </w:rPr>
              <w:t>pārskaita</w:t>
            </w:r>
            <w:r w:rsidR="00E5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16" w:rsidR="00E51416">
              <w:rPr>
                <w:rFonts w:ascii="Times New Roman" w:hAnsi="Times New Roman" w:cs="Times New Roman"/>
                <w:sz w:val="28"/>
                <w:szCs w:val="28"/>
              </w:rPr>
              <w:t xml:space="preserve">atlīdzību </w:t>
            </w:r>
            <w:r w:rsidRPr="00AE309F" w:rsidR="00AE309F">
              <w:rPr>
                <w:rFonts w:ascii="Times New Roman" w:hAnsi="Times New Roman" w:cs="Times New Roman"/>
                <w:sz w:val="28"/>
                <w:szCs w:val="28"/>
              </w:rPr>
              <w:t>viena</w:t>
            </w:r>
            <w:r w:rsidR="00974C4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E309F" w:rsidR="00AE309F">
              <w:rPr>
                <w:rFonts w:ascii="Times New Roman" w:hAnsi="Times New Roman" w:cs="Times New Roman"/>
                <w:sz w:val="28"/>
                <w:szCs w:val="28"/>
              </w:rPr>
              <w:t xml:space="preserve"> mantisko tiesību kolektīvā pārvaldījuma organizācija</w:t>
            </w:r>
            <w:r w:rsidR="00AE309F">
              <w:rPr>
                <w:rFonts w:ascii="Times New Roman" w:hAnsi="Times New Roman" w:cs="Times New Roman"/>
                <w:sz w:val="28"/>
                <w:szCs w:val="28"/>
              </w:rPr>
              <w:t>i,</w:t>
            </w:r>
            <w:r w:rsidR="00AE309F">
              <w:t xml:space="preserve"> </w:t>
            </w:r>
            <w:r w:rsidRPr="00AE309F" w:rsidR="00AE309F">
              <w:rPr>
                <w:rFonts w:ascii="Times New Roman" w:hAnsi="Times New Roman" w:cs="Times New Roman"/>
                <w:sz w:val="28"/>
                <w:szCs w:val="28"/>
              </w:rPr>
              <w:t>kas saņēmusi Kultūras ministrijas atļauju atbilstoši Autortiesību likuma 67.pantam</w:t>
            </w:r>
            <w:r w:rsidR="00A87C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411A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AE3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09F" w:rsidR="00AE309F">
              <w:rPr>
                <w:rFonts w:ascii="Times New Roman" w:hAnsi="Times New Roman" w:cs="Times New Roman"/>
                <w:sz w:val="28"/>
                <w:szCs w:val="28"/>
              </w:rPr>
              <w:t xml:space="preserve">iekasē, </w:t>
            </w:r>
            <w:r w:rsidRPr="006C4A23" w:rsidR="00AE309F">
              <w:rPr>
                <w:rFonts w:ascii="Times New Roman" w:hAnsi="Times New Roman" w:cs="Times New Roman"/>
                <w:sz w:val="28"/>
                <w:szCs w:val="28"/>
              </w:rPr>
              <w:t>sadala un izmaksā atlīdzību autortiesību un blakustiesību subjektiem.</w:t>
            </w:r>
          </w:p>
          <w:p w:rsidRPr="00C715EB" w:rsidR="00C076D7" w:rsidP="006C4A23" w:rsidRDefault="000A216E" w14:paraId="6FA13F85" w14:textId="01122F89">
            <w:pPr>
              <w:spacing w:after="0" w:line="240" w:lineRule="auto"/>
              <w:ind w:firstLine="567"/>
              <w:jc w:val="both"/>
            </w:pPr>
            <w:r w:rsidRPr="006C4A23">
              <w:rPr>
                <w:rFonts w:ascii="Times New Roman" w:hAnsi="Times New Roman" w:cs="Times New Roman"/>
                <w:sz w:val="28"/>
                <w:szCs w:val="28"/>
              </w:rPr>
              <w:t>Lai nodrošinātu apropriācijas pārdali</w:t>
            </w:r>
            <w:r w:rsidRPr="006C4A23" w:rsidR="00340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A23" w:rsidR="00B42168">
              <w:rPr>
                <w:rFonts w:ascii="Times New Roman" w:hAnsi="Times New Roman" w:cs="Times New Roman"/>
                <w:sz w:val="28"/>
                <w:szCs w:val="28"/>
              </w:rPr>
              <w:t xml:space="preserve">starp izdevumu kodiem atbilstoši ekonomiskajām kategorijām </w:t>
            </w:r>
            <w:r w:rsidRPr="006C4A23" w:rsidR="0034056B">
              <w:rPr>
                <w:rFonts w:ascii="Times New Roman" w:hAnsi="Times New Roman" w:cs="Times New Roman"/>
                <w:sz w:val="28"/>
                <w:szCs w:val="28"/>
              </w:rPr>
              <w:t>iztrūkstošās Pabalstu izmaksas summas nodrošināšanai</w:t>
            </w:r>
            <w:r w:rsidRPr="006C4A23" w:rsidR="007A59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4A23" w:rsidR="0034056B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ministrija</w:t>
            </w:r>
            <w:r w:rsidRPr="006C4A23" w:rsidR="003F6E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C4A23" w:rsidR="00340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A23">
              <w:rPr>
                <w:rFonts w:ascii="Times New Roman" w:hAnsi="Times New Roman" w:cs="Times New Roman"/>
                <w:sz w:val="28"/>
                <w:szCs w:val="28"/>
              </w:rPr>
              <w:t>nepieciešama finansējuma mērķa maiņa</w:t>
            </w:r>
            <w:r w:rsidRPr="006C4A23" w:rsidR="00604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A23">
              <w:rPr>
                <w:rFonts w:ascii="Times New Roman" w:hAnsi="Times New Roman" w:cs="Times New Roman"/>
                <w:sz w:val="28"/>
                <w:szCs w:val="28"/>
              </w:rPr>
              <w:t xml:space="preserve">valsts </w:t>
            </w:r>
            <w:r w:rsidRPr="006C4A23" w:rsidR="00B42168">
              <w:rPr>
                <w:rFonts w:ascii="Times New Roman" w:hAnsi="Times New Roman" w:cs="Times New Roman"/>
                <w:sz w:val="28"/>
                <w:szCs w:val="28"/>
              </w:rPr>
              <w:t xml:space="preserve">budžeta apakšprogrammas 19.07.00 „Mākslas un literatūra” ietvaros, samazinot izdevumus precēm un pakalpojumiem publiskā patapinājuma izmaksai 36 714 </w:t>
            </w:r>
            <w:r w:rsidRPr="006C4A23" w:rsidR="00B4216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6C4A23" w:rsidR="00B42168">
              <w:rPr>
                <w:rFonts w:ascii="Times New Roman" w:hAnsi="Times New Roman" w:cs="Times New Roman"/>
                <w:sz w:val="28"/>
                <w:szCs w:val="28"/>
              </w:rPr>
              <w:t xml:space="preserve"> apmērā un palielinot izdevumus sociālajiem pabalstiem 36</w:t>
            </w:r>
            <w:r w:rsidR="006C4A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C4A23" w:rsidR="00B42168">
              <w:rPr>
                <w:rFonts w:ascii="Times New Roman" w:hAnsi="Times New Roman" w:cs="Times New Roman"/>
                <w:sz w:val="28"/>
                <w:szCs w:val="28"/>
              </w:rPr>
              <w:t xml:space="preserve">714 </w:t>
            </w:r>
            <w:r w:rsidRPr="006C4A23" w:rsidR="00B4216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6C4A23" w:rsidR="00B42168">
              <w:rPr>
                <w:rFonts w:ascii="Times New Roman" w:hAnsi="Times New Roman" w:cs="Times New Roman"/>
                <w:sz w:val="28"/>
                <w:szCs w:val="28"/>
              </w:rPr>
              <w:t xml:space="preserve"> apmērā, lai nodrošinātu pabalstu izmaksu par veikto radošo darbu baleta māksliniekiem, kuri </w:t>
            </w:r>
            <w:r w:rsidRPr="006C4A23" w:rsidR="0060436A">
              <w:rPr>
                <w:rFonts w:ascii="Times New Roman" w:hAnsi="Times New Roman" w:cs="Times New Roman"/>
                <w:sz w:val="28"/>
                <w:szCs w:val="28"/>
              </w:rPr>
              <w:t>atbrīvoti no darba baleta mākslinieka profesijā līdz 1998.gada 31.decembrim</w:t>
            </w:r>
            <w:r w:rsidRPr="006C4A23" w:rsidR="00340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0684">
              <w:t xml:space="preserve"> </w:t>
            </w:r>
          </w:p>
        </w:tc>
      </w:tr>
      <w:tr w:rsidRPr="00652978" w:rsidR="002C32B5" w:rsidTr="00CD74C7" w14:paraId="33D92FCE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BC6F6A" w:rsidRDefault="00E5323B" w14:paraId="0963A5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BC6F6A" w:rsidRDefault="00E5323B" w14:paraId="4ED83E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BC6F6A" w:rsidRDefault="00385FF0" w14:paraId="58D66478" w14:textId="361854D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23784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2C32B5" w:rsidTr="00CD74C7" w14:paraId="55124DAF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BC6F6A" w:rsidRDefault="00E5323B" w14:paraId="2E0BAE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BC6F6A" w:rsidRDefault="00E5323B" w14:paraId="111F30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BC6F6A" w:rsidRDefault="007E1517" w14:paraId="749D6400" w14:textId="0DAFC6D6">
            <w:pPr>
              <w:pStyle w:val="xxparasts1"/>
              <w:jc w:val="both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Nav</w:t>
            </w:r>
          </w:p>
        </w:tc>
      </w:tr>
    </w:tbl>
    <w:p w:rsidR="004D411A" w:rsidP="00BC6F6A" w:rsidRDefault="00E5323B" w14:paraId="042AF35C" w14:textId="31B63F30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  <w:r w:rsidRPr="00652978"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52978" w:rsidR="00B61C9C" w:rsidTr="00D52063" w14:paraId="093E3EFB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B61C9C" w:rsidP="00BC6F6A" w:rsidRDefault="00B61C9C" w14:paraId="0641113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652978" w:rsidR="00B61C9C" w:rsidTr="00D52063" w14:paraId="68195D5C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C6F6A" w:rsidRDefault="00B61C9C" w14:paraId="3402C80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C6F6A" w:rsidRDefault="00B61C9C" w14:paraId="69C15C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</w:t>
            </w:r>
            <w:proofErr w:type="gramStart"/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C6F6A" w:rsidRDefault="00B61C9C" w14:paraId="39FE33E3" w14:textId="6B36D40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Pr="00D52063" w:rsidR="00D5206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baleta mākslinieki, kuri atbrīvoti no darba baleta mākslinieka profesijā līdz </w:t>
            </w:r>
            <w:proofErr w:type="gramStart"/>
            <w:r w:rsidRPr="00D52063" w:rsidR="00D5206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1998.gada</w:t>
            </w:r>
            <w:proofErr w:type="gramEnd"/>
            <w:r w:rsidRPr="00D52063" w:rsidR="00D5206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31.decembrim</w:t>
            </w:r>
            <w:r w:rsidR="001E74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un kuriem piešķirts Pabalsts</w:t>
            </w:r>
            <w:r w:rsidR="008A4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1C9C" w:rsidTr="00D52063" w14:paraId="36F93844" w14:textId="77777777">
        <w:trPr>
          <w:trHeight w:val="133"/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C6F6A" w:rsidRDefault="00B61C9C" w14:paraId="301F80B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B61C9C" w:rsidP="00BC6F6A" w:rsidRDefault="00FC048D" w14:paraId="4399D4B5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B61C9C" w:rsidP="00BC6F6A" w:rsidRDefault="00B61C9C" w14:paraId="7F81F0A0" w14:textId="77777777">
            <w:pPr>
              <w:spacing w:after="0" w:line="240" w:lineRule="auto"/>
            </w:pPr>
            <w:r w:rsidRPr="007F5E3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B61C9C" w:rsidTr="00D52063" w14:paraId="6A70741C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C6F6A" w:rsidRDefault="00B61C9C" w14:paraId="11F052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C6F6A" w:rsidRDefault="00B61C9C" w14:paraId="4B8E9C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52978" w:rsidR="00B61C9C" w:rsidP="00BC6F6A" w:rsidRDefault="00B61C9C" w14:paraId="39115ED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B61C9C" w:rsidTr="00D52063" w14:paraId="1E37E693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C6F6A" w:rsidRDefault="00B61C9C" w14:paraId="772348B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C6F6A" w:rsidRDefault="00B61C9C" w14:paraId="1FAA4A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52978" w:rsidR="00B61C9C" w:rsidP="00BC6F6A" w:rsidRDefault="00B61C9C" w14:paraId="62E8F6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B61C9C" w:rsidTr="00D52063" w14:paraId="3A58F347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C6F6A" w:rsidRDefault="00B61C9C" w14:paraId="619555E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C6F6A" w:rsidRDefault="00B61C9C" w14:paraId="390DDA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C6F6A" w:rsidRDefault="00B61C9C" w14:paraId="6393DB82" w14:textId="2B6BBD1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872484" w:rsidP="00BC6F6A" w:rsidRDefault="00872484" w14:paraId="35852307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8"/>
        <w:gridCol w:w="1016"/>
        <w:gridCol w:w="1116"/>
        <w:gridCol w:w="916"/>
        <w:gridCol w:w="1116"/>
        <w:gridCol w:w="916"/>
        <w:gridCol w:w="1116"/>
        <w:gridCol w:w="1131"/>
      </w:tblGrid>
      <w:tr w:rsidRPr="00652978" w:rsidR="00577735" w:rsidTr="00285E8B" w14:paraId="6AD42AF2" w14:textId="77777777">
        <w:trPr>
          <w:tblCellSpacing w:w="15" w:type="dxa"/>
        </w:trPr>
        <w:tc>
          <w:tcPr>
            <w:tcW w:w="4967" w:type="pct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F9D911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Pr="00652978" w:rsidR="003256CE" w:rsidTr="00285E8B" w14:paraId="1DA14F51" w14:textId="77777777">
        <w:trPr>
          <w:tblCellSpacing w:w="15" w:type="dxa"/>
        </w:trPr>
        <w:tc>
          <w:tcPr>
            <w:tcW w:w="93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8806E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161" w:type="pct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BC6F6A" w:rsidRDefault="00577735" w14:paraId="222DC6AF" w14:textId="5F42ABF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23784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</w:t>
            </w: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844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BC6F6A" w:rsidRDefault="00577735" w14:paraId="512BEFF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Turpmākie trīs gadi (</w:t>
            </w:r>
            <w:r w:rsidRPr="00665B25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Pr="00652978" w:rsidR="00255DD7" w:rsidTr="00285E8B" w14:paraId="514471CC" w14:textId="77777777">
        <w:trPr>
          <w:tblCellSpacing w:w="15" w:type="dxa"/>
        </w:trPr>
        <w:tc>
          <w:tcPr>
            <w:tcW w:w="93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06C8A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61" w:type="pct"/>
            <w:gridSpan w:val="2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BC6F6A" w:rsidRDefault="00577735" w14:paraId="6F0D13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0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BC6F6A" w:rsidRDefault="00577735" w14:paraId="63AF1742" w14:textId="072F9A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23784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0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BC6F6A" w:rsidRDefault="00577735" w14:paraId="4F1C3716" w14:textId="483FF3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23784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BC6F6A" w:rsidRDefault="00577735" w14:paraId="087A275B" w14:textId="587FED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23784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</w:t>
            </w: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812E3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:rsidRPr="00652978" w:rsidR="006406D8" w:rsidTr="00285E8B" w14:paraId="5E71081A" w14:textId="77777777">
        <w:trPr>
          <w:tblCellSpacing w:w="15" w:type="dxa"/>
        </w:trPr>
        <w:tc>
          <w:tcPr>
            <w:tcW w:w="93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9CE91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4B489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D0800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70F83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9239A8F" w14:textId="747B6E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812E3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5ED3E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972A4AF" w14:textId="4F6E38D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812E3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E24A23D" w14:textId="680FCC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812E3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17592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g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adam</w:t>
            </w:r>
          </w:p>
        </w:tc>
      </w:tr>
      <w:tr w:rsidRPr="00652978" w:rsidR="006406D8" w:rsidTr="00285E8B" w14:paraId="5422C6EE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150B6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07E928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2C8FFA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40511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18899D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081828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3783C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6AFDF9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Pr="00652978" w:rsidR="006406D8" w:rsidTr="00285E8B" w14:paraId="0640EB58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55366F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43393C" w14:paraId="24530B14" w14:textId="41912B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8A45F0" w14:paraId="20DCC4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07B7696" w14:textId="45FDFAEE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43393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B8145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9435839" w14:textId="2E1A395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43393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79C3B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F9AF1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6406D8" w:rsidTr="00285E8B" w14:paraId="3E4CBE6C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039150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1.1. valsts pamatbudžets, tai skaitā 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ieņēmumi no maksas pakalpojumiem un citi pašu ieņēmumi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43393C" w14:paraId="78C2A928" w14:textId="396865C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8A45F0" w14:paraId="5EE068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2088D7D" w14:textId="6A8FBCE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43393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D28CE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1915E05" w14:textId="1037E38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43393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0D0A2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EF454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6406D8" w:rsidTr="00285E8B" w14:paraId="2FCAF445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21320A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7D544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BC2D6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C9983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8534E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EEDD7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57C92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70116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6406D8" w:rsidTr="00285E8B" w14:paraId="20D85310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1809B4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76871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CD48B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1093D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A7B8E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12250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C8750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E2D74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6406D8" w:rsidTr="00285E8B" w14:paraId="205C92EE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25F762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43393C" w14:paraId="1E77AE5C" w14:textId="0F8ADF21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43393C" w14:paraId="7068CBC5" w14:textId="2C441CC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F5E4849" w14:textId="10C16FB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24533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970684" w14:paraId="5F08254F" w14:textId="392BF0A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68C2D3A" w14:textId="18ABD46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24533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AAFE8A1" w14:textId="05A672F4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97C4B2C" w14:textId="2B222F7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Pr="00652978" w:rsidR="006406D8" w:rsidTr="00285E8B" w14:paraId="531B4203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1A7D73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245339" w14:paraId="59D51F2A" w14:textId="3203D11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245339" w14:paraId="601986D1" w14:textId="73546CD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E55E3BB" w14:textId="40439C4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24533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00E54AD" w14:textId="6EAEC8B2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0D33F39" w14:textId="396E115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24533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970684" w14:paraId="532D4765" w14:textId="59447432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970684" w14:paraId="0B18D7CB" w14:textId="22B3263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Pr="00652978" w:rsidR="006406D8" w:rsidTr="00285E8B" w14:paraId="5A79ABF3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57C060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A535D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B2D7B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AF344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19BE6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4D517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E01CB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5D8D5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6406D8" w:rsidTr="00285E8B" w14:paraId="28D0B2A9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08C66F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FBDF1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4E9D6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9E3DD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5BB51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E21ED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6A584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6CE06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6406D8" w:rsidTr="00285E8B" w14:paraId="63036695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6962D8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02A07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43393C" w14:paraId="376E5A78" w14:textId="56231D6E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F9184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C92842C" w14:textId="0AA41C2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BE54A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970684" w14:paraId="766410A8" w14:textId="41262CC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7DFE28E" w14:textId="2D9F560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Pr="00652978" w:rsidR="006406D8" w:rsidTr="00285E8B" w14:paraId="1D53088A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14834B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C01CF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43393C" w14:paraId="3C7C6B6A" w14:textId="22F6C6B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C3192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4CB6664" w14:textId="3CA50C8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A2401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2648437" w14:textId="12AFE51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970684" w14:paraId="6530D472" w14:textId="7631CE81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Pr="00652978" w:rsidR="006406D8" w:rsidTr="00285E8B" w14:paraId="1CD9FE3D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157B48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59B79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883B9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07F28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94D63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8FE01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39576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7E8E6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6406D8" w:rsidTr="00285E8B" w14:paraId="69563AA2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71FB21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A3101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5242F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84B91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60AC8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6C41E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CD6E4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AFFFB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6406D8" w:rsidTr="00285E8B" w14:paraId="752DAC46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2C1453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 Finanšu līdzekļi papildu izdevumu finansēšanai (kompensējošu izdevumu samazinājum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u norāda ar "+" zīmi)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2C629F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43393C" w14:paraId="27452181" w14:textId="0A10FDE4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22328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9E32EFA" w14:textId="40C14C6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A422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B8E09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309CE68" w14:textId="37FD227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285E8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A4070A1" w14:textId="2077436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285E8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Pr="00652978" w:rsidR="006406D8" w:rsidTr="00285E8B" w14:paraId="3596FE7C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7436E6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54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9420D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61F54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AFCE8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970684" w14:paraId="437C6A2D" w14:textId="02784CB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170208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40A33C2" w14:textId="1C285682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6708479" w14:textId="49F8858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Pr="00652978" w:rsidR="006406D8" w:rsidTr="00285E8B" w14:paraId="55E38C45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7CAD9D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B7D82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908B2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DB0EC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76B686A" w14:textId="6D6273C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E91A1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63F30996" w14:textId="2766EA8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7DC3A6D1" w14:textId="0FC2BD8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706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Pr="00652978" w:rsidR="006406D8" w:rsidTr="00285E8B" w14:paraId="2AB53E67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158926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986C6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279F2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B5100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D83DC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69F18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075FE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9BCCA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6406D8" w:rsidTr="00285E8B" w14:paraId="36375387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0627C1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E3EA0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038F23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255123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4BFCB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3CF9FF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5DBA09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BC6F6A" w:rsidRDefault="00577735" w14:paraId="451448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B04C84" w:rsidR="00190914" w:rsidTr="00285E8B" w14:paraId="30223DBD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BC6F6A" w:rsidRDefault="00577735" w14:paraId="038C25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bookmarkStart w:name="_Hlk64552716" w:id="0"/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21" w:type="pct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FF2C18" w:rsidR="004533C4" w:rsidP="00ED1446" w:rsidRDefault="00BD77DB" w14:paraId="053728BB" w14:textId="37A2D28E">
            <w:pPr>
              <w:pStyle w:val="Sarakstarindkopa"/>
              <w:spacing w:after="0" w:line="240" w:lineRule="auto"/>
              <w:ind w:left="43" w:firstLine="39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Pabalsts tiek izmaksāts 28 </w:t>
            </w:r>
            <w:r w:rsidRPr="00F27790">
              <w:rPr>
                <w:rFonts w:ascii="Times New Roman" w:hAnsi="Times New Roman"/>
                <w:sz w:val="28"/>
                <w:szCs w:val="28"/>
              </w:rPr>
              <w:t xml:space="preserve">baleta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māksliniekiem. Pabalsta apmērs mēnesī no </w:t>
            </w:r>
            <w:proofErr w:type="gramStart"/>
            <w:r w:rsidRPr="00190914">
              <w:rPr>
                <w:rFonts w:ascii="Times New Roman" w:hAnsi="Times New Roman"/>
                <w:sz w:val="28"/>
                <w:szCs w:val="28"/>
              </w:rPr>
              <w:t>2021.gada</w:t>
            </w:r>
            <w:proofErr w:type="gramEnd"/>
            <w:r w:rsidRPr="00190914">
              <w:rPr>
                <w:rFonts w:ascii="Times New Roman" w:hAnsi="Times New Roman"/>
                <w:sz w:val="28"/>
                <w:szCs w:val="28"/>
              </w:rPr>
              <w:t xml:space="preserve"> 1.janvāra </w:t>
            </w:r>
            <w:r w:rsidR="007A5918">
              <w:rPr>
                <w:rFonts w:ascii="Times New Roman" w:hAnsi="Times New Roman"/>
                <w:sz w:val="28"/>
                <w:szCs w:val="28"/>
              </w:rPr>
              <w:t xml:space="preserve">sešiem </w:t>
            </w:r>
            <w:r w:rsidRPr="00190914">
              <w:rPr>
                <w:rFonts w:ascii="Times New Roman" w:hAnsi="Times New Roman"/>
                <w:sz w:val="28"/>
                <w:szCs w:val="28"/>
              </w:rPr>
              <w:t>baleta māksliniekiem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ir 218 </w:t>
            </w:r>
            <w:r w:rsidRPr="00190914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bet 22 </w:t>
            </w:r>
            <w:r w:rsidRPr="00190914">
              <w:rPr>
                <w:rFonts w:ascii="Times New Roman" w:hAnsi="Times New Roman"/>
                <w:sz w:val="28"/>
                <w:szCs w:val="28"/>
              </w:rPr>
              <w:t>baleta māksliniekiem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327</w:t>
            </w:r>
            <w:r w:rsidR="007A5918">
              <w:rPr>
                <w:rFonts w:ascii="Times New Roman" w:hAnsi="Times New Roman"/>
                <w:sz w:val="28"/>
                <w:szCs w:val="28"/>
              </w:rPr>
              <w:t> </w:t>
            </w:r>
            <w:r w:rsidRPr="00EF1D11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A5918">
              <w:rPr>
                <w:rFonts w:ascii="Times New Roman" w:hAnsi="Times New Roman"/>
                <w:sz w:val="28"/>
                <w:szCs w:val="28"/>
              </w:rPr>
              <w:t xml:space="preserve">līdz ar to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kopā </w:t>
            </w:r>
            <w:r w:rsidR="007A5918">
              <w:rPr>
                <w:rFonts w:ascii="Times New Roman" w:hAnsi="Times New Roman"/>
                <w:sz w:val="28"/>
                <w:szCs w:val="28"/>
              </w:rPr>
              <w:t>2021.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gadā Pabalstu izmaksai nepieciešama </w:t>
            </w:r>
            <w:r w:rsidRPr="00F34870">
              <w:rPr>
                <w:rFonts w:ascii="Times New Roman" w:hAnsi="Times New Roman"/>
                <w:sz w:val="28"/>
                <w:szCs w:val="28"/>
              </w:rPr>
              <w:t>valsts budžeta dotācija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102 024 </w:t>
            </w:r>
            <w:r w:rsidRPr="00F34870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apmērā. </w:t>
            </w:r>
            <w:r w:rsidRPr="00255DD7">
              <w:rPr>
                <w:rFonts w:ascii="Times New Roman" w:hAnsi="Times New Roman"/>
                <w:sz w:val="28"/>
                <w:szCs w:val="28"/>
              </w:rPr>
              <w:t xml:space="preserve">Kultūras ministrijas </w:t>
            </w:r>
            <w:r w:rsidR="00F44656">
              <w:rPr>
                <w:rFonts w:ascii="Times New Roman" w:hAnsi="Times New Roman"/>
                <w:sz w:val="28"/>
                <w:szCs w:val="28"/>
              </w:rPr>
              <w:t xml:space="preserve">valsts </w:t>
            </w:r>
            <w:r w:rsidRPr="00255DD7">
              <w:rPr>
                <w:rFonts w:ascii="Times New Roman" w:hAnsi="Times New Roman"/>
                <w:sz w:val="28"/>
                <w:szCs w:val="28"/>
              </w:rPr>
              <w:t xml:space="preserve">budžeta apakšprogrammā 19.07.00 </w:t>
            </w:r>
            <w:r w:rsidRPr="00245339" w:rsidR="00F44656">
              <w:rPr>
                <w:rFonts w:ascii="Times New Roman" w:hAnsi="Times New Roman"/>
                <w:sz w:val="28"/>
                <w:szCs w:val="28"/>
              </w:rPr>
              <w:t>„</w:t>
            </w:r>
            <w:r w:rsidRPr="00255DD7">
              <w:rPr>
                <w:rFonts w:ascii="Times New Roman" w:hAnsi="Times New Roman"/>
                <w:sz w:val="28"/>
                <w:szCs w:val="28"/>
              </w:rPr>
              <w:t>Mākslas un literatūra</w:t>
            </w:r>
            <w:r w:rsidR="00F44656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Pabalstu izmaksai plānota </w:t>
            </w:r>
            <w:r w:rsidRPr="00255DD7">
              <w:rPr>
                <w:rFonts w:ascii="Times New Roman" w:hAnsi="Times New Roman"/>
                <w:sz w:val="28"/>
                <w:szCs w:val="28"/>
              </w:rPr>
              <w:t>valsts budžet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dotācija ir 65 310 </w:t>
            </w:r>
            <w:r w:rsidRPr="00255DD7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 w:rsidRPr="00936B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4D411A">
              <w:rPr>
                <w:rFonts w:ascii="Times New Roman" w:hAnsi="Times New Roman"/>
                <w:sz w:val="28"/>
                <w:szCs w:val="28"/>
              </w:rPr>
              <w:t>papildus nepieciešamais</w:t>
            </w:r>
            <w:r w:rsidRPr="00BD77DB" w:rsidR="004D4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finansējums </w:t>
            </w:r>
            <w:r w:rsidR="00F446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36 714 </w:t>
            </w:r>
            <w:r w:rsidRPr="00BD77DB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0"/>
      <w:tr w:rsidRPr="00B04C84" w:rsidR="00190914" w:rsidTr="00285E8B" w14:paraId="3DE230B7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04C84" w:rsidR="00577735" w:rsidP="00BC6F6A" w:rsidRDefault="00577735" w14:paraId="2CA75128" w14:textId="6FD25B2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B04C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4021" w:type="pct"/>
            <w:gridSpan w:val="7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B04C84" w:rsidR="00577735" w:rsidP="00BC6F6A" w:rsidRDefault="00577735" w14:paraId="29E128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Pr="00B04C84" w:rsidR="00190914" w:rsidTr="00285E8B" w14:paraId="4CE4F3EE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04C84" w:rsidR="00577735" w:rsidP="00BC6F6A" w:rsidRDefault="00577735" w14:paraId="2973BB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B04C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4021" w:type="pct"/>
            <w:gridSpan w:val="7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B04C84" w:rsidR="00577735" w:rsidP="00BC6F6A" w:rsidRDefault="00577735" w14:paraId="57E6D0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Pr="00B04C84" w:rsidR="00190914" w:rsidTr="00285E8B" w14:paraId="67DF79A6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04C84" w:rsidR="00577735" w:rsidP="00BC6F6A" w:rsidRDefault="00577735" w14:paraId="066ED8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B04C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4021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04C84" w:rsidR="00577735" w:rsidP="00BC6F6A" w:rsidRDefault="00577735" w14:paraId="657F835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shd w:val="clear" w:color="auto" w:fill="FFFFFF"/>
                <w:lang w:eastAsia="lv-LV"/>
              </w:rPr>
            </w:pPr>
            <w:r w:rsidRPr="00B04C8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</w:t>
            </w:r>
            <w:r w:rsidRPr="00B04C84">
              <w:rPr>
                <w:rFonts w:ascii="Times New Roman" w:hAnsi="Times New Roman" w:eastAsia="Times New Roman" w:cs="Times New Roman"/>
                <w:iCs/>
                <w:sz w:val="28"/>
                <w:szCs w:val="28"/>
                <w:shd w:val="clear" w:color="auto" w:fill="FFFFFF"/>
                <w:lang w:eastAsia="lv-LV"/>
              </w:rPr>
              <w:t xml:space="preserve">kts šo jomu neskar. </w:t>
            </w:r>
          </w:p>
        </w:tc>
      </w:tr>
      <w:tr w:rsidRPr="00652978" w:rsidR="00190914" w:rsidTr="00285E8B" w14:paraId="5277C273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04C84" w:rsidR="00577735" w:rsidP="00BC6F6A" w:rsidRDefault="00577735" w14:paraId="034AC0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lv-LV"/>
              </w:rPr>
            </w:pPr>
            <w:r w:rsidRPr="00B04C84">
              <w:rPr>
                <w:rFonts w:ascii="Times New Roman" w:hAnsi="Times New Roman" w:eastAsia="Times New Roman" w:cs="Times New Roman"/>
                <w:iCs/>
                <w:sz w:val="28"/>
                <w:szCs w:val="28"/>
                <w:shd w:val="clear" w:color="auto" w:fill="FFFFFF"/>
                <w:lang w:eastAsia="lv-LV"/>
              </w:rPr>
              <w:t>8. Cita informācija</w:t>
            </w:r>
          </w:p>
        </w:tc>
        <w:tc>
          <w:tcPr>
            <w:tcW w:w="4021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3784C" w:rsidR="00241A84" w:rsidP="00BC6F6A" w:rsidRDefault="00657560" w14:paraId="65CBB1FA" w14:textId="3739BA59">
            <w:pPr>
              <w:tabs>
                <w:tab w:val="center" w:pos="2824"/>
                <w:tab w:val="right" w:pos="5752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shd w:val="clear" w:color="auto" w:fill="FFFFFF"/>
                <w:lang w:eastAsia="lv-LV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2021.gadā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apropriācijas pārdale </w:t>
            </w:r>
            <w:r w:rsidR="00936B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</w:t>
            </w:r>
            <w:r w:rsidRPr="00B20463" w:rsidR="000D59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abalst</w:t>
            </w:r>
            <w:r w:rsidR="00936B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u</w:t>
            </w:r>
            <w:r w:rsidRPr="00B20463" w:rsidR="000D59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D59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izmaksai </w:t>
            </w:r>
            <w:r w:rsidR="004D41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normatīvajos aktos</w:t>
            </w:r>
            <w:r w:rsidR="000D59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noteiktajā apmērā īstenojama </w:t>
            </w:r>
            <w:r w:rsidRPr="00A71732" w:rsidR="000D59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Kultūras ministrijas </w:t>
            </w:r>
            <w:r w:rsidR="006C4A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valsts </w:t>
            </w:r>
            <w:r w:rsidRPr="00A71732" w:rsidR="000D59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budžeta apakšprogramm</w:t>
            </w:r>
            <w:r w:rsidR="000D59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as</w:t>
            </w:r>
            <w:r w:rsidRPr="00A71732" w:rsidR="000D59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19.07.00 </w:t>
            </w:r>
            <w:r w:rsidRPr="00090F2D" w:rsidR="000D59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„</w:t>
            </w:r>
            <w:r w:rsidRPr="00A71732" w:rsidR="000D59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Mākslas un literatūra</w:t>
            </w:r>
            <w:r w:rsidR="000D59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 ietvaros</w:t>
            </w:r>
            <w:r w:rsidR="00DD1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veicot finansējuma mērķa maiņu.</w:t>
            </w:r>
            <w:r w:rsidRPr="00EC00A2" w:rsidR="00EC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0F2D" w:rsidP="00BC6F6A" w:rsidRDefault="00090F2D" w14:paraId="2DB938E7" w14:textId="3CAEAE1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p w:rsidR="006C4A23" w:rsidP="00BC6F6A" w:rsidRDefault="006C4A23" w14:paraId="14598652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4996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8"/>
      </w:tblGrid>
      <w:tr w:rsidRPr="00D238CB" w:rsidR="00577735" w:rsidTr="00175923" w14:paraId="55C927E4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577735" w:rsidP="00BC6F6A" w:rsidRDefault="00577735" w14:paraId="57BBAC2D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IV. Tiesību akta projekta ietekme uz spēkā esošo tiesību normu sistēmu</w:t>
            </w:r>
          </w:p>
        </w:tc>
      </w:tr>
      <w:tr w:rsidRPr="00D238CB" w:rsidR="00577735" w:rsidTr="00175923" w14:paraId="6EC39FCE" w14:textId="77777777">
        <w:trPr>
          <w:trHeight w:val="304"/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BB2A39" w:rsidR="00577735" w:rsidP="00BC6F6A" w:rsidRDefault="00577735" w14:paraId="210C4519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652978" w:rsidR="00B04C84" w:rsidP="00BC6F6A" w:rsidRDefault="00B04C84" w14:paraId="61D685DD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652978" w:rsidR="00E5323B" w:rsidTr="00E5323B" w14:paraId="3D0881B5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BC6F6A" w:rsidRDefault="00E5323B" w14:paraId="7DDA5C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Pr="00652978" w:rsidR="00C565CE" w:rsidTr="00C565CE" w14:paraId="59165C10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C565CE" w:rsidP="00BC6F6A" w:rsidRDefault="00C565CE" w14:paraId="0A64D3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652978" w:rsidR="00E5323B" w:rsidP="00BC6F6A" w:rsidRDefault="00E5323B" w14:paraId="49D6B697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652978" w:rsidR="00E5323B" w:rsidTr="00E5323B" w14:paraId="04DD0209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BC6F6A" w:rsidRDefault="00E5323B" w14:paraId="4D27A47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Pr="00652978" w:rsidR="009A262D" w:rsidTr="009A262D" w14:paraId="7FC176E8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9A262D" w:rsidP="00BC6F6A" w:rsidRDefault="009A262D" w14:paraId="2DA3CB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652978" w:rsidR="00E5323B" w:rsidP="00BC6F6A" w:rsidRDefault="00E5323B" w14:paraId="3BFBAAF3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52978" w:rsidR="00E5323B" w:rsidTr="00E5323B" w14:paraId="08F569E2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BC6F6A" w:rsidRDefault="00E5323B" w14:paraId="40DA12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Pr="00652978" w:rsidR="00E5323B" w:rsidTr="00E5323B" w14:paraId="09FF77E3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BC6F6A" w:rsidRDefault="00E5323B" w14:paraId="49EBAE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BC6F6A" w:rsidRDefault="00E5323B" w14:paraId="71A2EA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BC6F6A" w:rsidRDefault="00D84C1C" w14:paraId="120FFA3C" w14:textId="7769F63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090F2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E5323B" w:rsidTr="00E5323B" w14:paraId="462C2B0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BC6F6A" w:rsidRDefault="00E5323B" w14:paraId="28A6F9C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3E0DBF" w:rsidP="00BC6F6A" w:rsidRDefault="00E5323B" w14:paraId="28C86D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Pr="00652978" w:rsidR="00E5323B" w:rsidP="00BC6F6A" w:rsidRDefault="00E5323B" w14:paraId="2C1BDD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BC6F6A" w:rsidRDefault="009A262D" w14:paraId="43FFC4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E5323B" w:rsidTr="00E5323B" w14:paraId="29D3959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BC6F6A" w:rsidRDefault="00E5323B" w14:paraId="277BA29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BC6F6A" w:rsidRDefault="00E5323B" w14:paraId="4D19DF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BC6F6A" w:rsidRDefault="009A262D" w14:paraId="74ACF22D" w14:textId="4B0E27F2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00624E" w:rsidP="00BC6F6A" w:rsidRDefault="0000624E" w14:paraId="351EBBC4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8D" w:rsidP="00BC6F6A" w:rsidRDefault="00FC048D" w14:paraId="771615FB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652978" w:rsidR="00B23E5D" w:rsidP="00BC6F6A" w:rsidRDefault="00B23E5D" w14:paraId="25563ED6" w14:textId="77777777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>Kultūras min</w:t>
      </w:r>
      <w:r w:rsidR="0028408B">
        <w:rPr>
          <w:rFonts w:ascii="Times New Roman" w:hAnsi="Times New Roman" w:eastAsia="Times New Roman" w:cs="Times New Roman"/>
          <w:sz w:val="28"/>
          <w:szCs w:val="28"/>
          <w:lang w:eastAsia="lv-LV"/>
        </w:rPr>
        <w:t>istrs</w:t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8408B">
        <w:rPr>
          <w:rFonts w:ascii="Times New Roman" w:hAnsi="Times New Roman" w:eastAsia="Times New Roman" w:cs="Times New Roman"/>
          <w:sz w:val="28"/>
          <w:szCs w:val="28"/>
          <w:lang w:eastAsia="lv-LV"/>
        </w:rPr>
        <w:t>N.Puntulis</w:t>
      </w:r>
    </w:p>
    <w:p w:rsidR="003D5CEF" w:rsidP="00BC6F6A" w:rsidRDefault="003D5CEF" w14:paraId="78B56CEF" w14:textId="77777777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652978" w:rsidR="00B23E5D" w:rsidP="00BC6F6A" w:rsidRDefault="00D24072" w14:paraId="6320FAD1" w14:textId="3E4F976D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Vīza: Valsts sekretār</w:t>
      </w:r>
      <w:r w:rsidR="006D1F56">
        <w:rPr>
          <w:rFonts w:ascii="Times New Roman" w:hAnsi="Times New Roman" w:eastAsia="Times New Roman" w:cs="Times New Roman"/>
          <w:sz w:val="28"/>
          <w:szCs w:val="28"/>
          <w:lang w:eastAsia="lv-LV"/>
        </w:rPr>
        <w:t>e</w:t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6D1F56">
        <w:rPr>
          <w:rFonts w:ascii="Times New Roman" w:hAnsi="Times New Roman" w:eastAsia="Times New Roman" w:cs="Times New Roman"/>
          <w:sz w:val="28"/>
          <w:szCs w:val="28"/>
          <w:lang w:eastAsia="lv-LV"/>
        </w:rPr>
        <w:t>D.Vilsone</w:t>
      </w:r>
    </w:p>
    <w:p w:rsidR="001B5876" w:rsidP="00BC6F6A" w:rsidRDefault="001B5876" w14:paraId="7B89F771" w14:textId="615B208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5339" w:rsidP="00BC6F6A" w:rsidRDefault="00245339" w14:paraId="7FFBA0B0" w14:textId="73507220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5339" w:rsidP="00BC6F6A" w:rsidRDefault="00245339" w14:paraId="70372EEE" w14:textId="101063AA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5339" w:rsidP="00BC6F6A" w:rsidRDefault="00245339" w14:paraId="5FCC2654" w14:textId="35E75FD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3B53" w:rsidP="00BC6F6A" w:rsidRDefault="00993B53" w14:paraId="743183DB" w14:textId="4982A2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4A23" w:rsidP="00BC6F6A" w:rsidRDefault="006C4A23" w14:paraId="33A9701F" w14:textId="063F11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4A23" w:rsidP="00BC6F6A" w:rsidRDefault="006C4A23" w14:paraId="3C97FCD0" w14:textId="5FD370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4A23" w:rsidP="00BC6F6A" w:rsidRDefault="006C4A23" w14:paraId="4D8734C0" w14:textId="7777777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6BFC" w:rsidP="00BC6F6A" w:rsidRDefault="00936BFC" w14:paraId="32F1F829" w14:textId="7777777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name="_Hlk66355016" w:id="1"/>
    </w:p>
    <w:p w:rsidRPr="007C063F" w:rsidR="007C063F" w:rsidP="00BC6F6A" w:rsidRDefault="002120FB" w14:paraId="2A9C6F5B" w14:textId="331475A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Rorbaha</w:t>
      </w:r>
      <w:r w:rsidRPr="007C063F" w:rsidR="007C063F">
        <w:rPr>
          <w:rFonts w:ascii="Times New Roman" w:hAnsi="Times New Roman" w:cs="Times New Roman"/>
          <w:color w:val="000000"/>
          <w:sz w:val="20"/>
          <w:szCs w:val="20"/>
        </w:rPr>
        <w:t xml:space="preserve"> 673302</w:t>
      </w:r>
      <w:r w:rsidR="008928FD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Pr="00894C55" w:rsidR="00894C55" w:rsidP="00BC6F6A" w:rsidRDefault="00886768" w14:paraId="4E68C735" w14:textId="4AD76D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w:history="1" r:id="rId8">
        <w:r w:rsidRPr="00D0786A" w:rsidR="00CF7BF4">
          <w:rPr>
            <w:rStyle w:val="Hipersaite"/>
            <w:rFonts w:ascii="Times New Roman" w:hAnsi="Times New Roman" w:cs="Times New Roman"/>
            <w:sz w:val="20"/>
            <w:szCs w:val="20"/>
          </w:rPr>
          <w:t>Ilze.Rorbaha@km.gov.lv</w:t>
        </w:r>
      </w:hyperlink>
      <w:bookmarkEnd w:id="1"/>
    </w:p>
    <w:sectPr w:rsidRPr="00894C55" w:rsidR="00894C55" w:rsidSect="0070032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5B34" w14:textId="77777777" w:rsidR="00E56BA6" w:rsidRDefault="00E56BA6" w:rsidP="00894C55">
      <w:pPr>
        <w:spacing w:after="0" w:line="240" w:lineRule="auto"/>
      </w:pPr>
      <w:r>
        <w:separator/>
      </w:r>
    </w:p>
  </w:endnote>
  <w:endnote w:type="continuationSeparator" w:id="0">
    <w:p w14:paraId="48CFF260" w14:textId="77777777" w:rsidR="00E56BA6" w:rsidRDefault="00E56BA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B539" w14:textId="3A747DC9" w:rsidR="00E22B27" w:rsidRPr="00B83420" w:rsidRDefault="00B83420" w:rsidP="006D1F56">
    <w:pPr>
      <w:pStyle w:val="Kjene"/>
      <w:rPr>
        <w:sz w:val="20"/>
        <w:szCs w:val="20"/>
      </w:rPr>
    </w:pPr>
    <w:r w:rsidRPr="00B83420">
      <w:rPr>
        <w:rFonts w:ascii="Times New Roman" w:hAnsi="Times New Roman" w:cs="Times New Roman"/>
        <w:sz w:val="20"/>
        <w:szCs w:val="20"/>
      </w:rPr>
      <w:fldChar w:fldCharType="begin"/>
    </w:r>
    <w:r w:rsidRPr="00B83420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B83420">
      <w:rPr>
        <w:rFonts w:ascii="Times New Roman" w:hAnsi="Times New Roman" w:cs="Times New Roman"/>
        <w:sz w:val="20"/>
        <w:szCs w:val="20"/>
      </w:rPr>
      <w:fldChar w:fldCharType="separate"/>
    </w:r>
    <w:r w:rsidRPr="00B83420">
      <w:rPr>
        <w:rFonts w:ascii="Times New Roman" w:hAnsi="Times New Roman" w:cs="Times New Roman"/>
        <w:noProof/>
        <w:sz w:val="20"/>
        <w:szCs w:val="20"/>
      </w:rPr>
      <w:t>KMAnot_100521_pardale_balets_pabalsti</w:t>
    </w:r>
    <w:r w:rsidRPr="00B8342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526E" w14:textId="4B55BC75" w:rsidR="00E22B27" w:rsidRPr="008928FD" w:rsidRDefault="006D1F56" w:rsidP="008928FD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KMAnot_100521_pardale_balets_pabalsti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8928FD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31FC3" w14:textId="77777777" w:rsidR="00E56BA6" w:rsidRDefault="00E56BA6" w:rsidP="00894C55">
      <w:pPr>
        <w:spacing w:after="0" w:line="240" w:lineRule="auto"/>
      </w:pPr>
      <w:r>
        <w:separator/>
      </w:r>
    </w:p>
  </w:footnote>
  <w:footnote w:type="continuationSeparator" w:id="0">
    <w:p w14:paraId="1F999840" w14:textId="77777777" w:rsidR="00E56BA6" w:rsidRDefault="00E56BA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Pr="002E6EA7" w:rsidR="00E22B27" w:rsidRDefault="00E22B27" w14:paraId="0485D7D7" w14:textId="7777777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E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E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6E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7B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6E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7E4"/>
    <w:multiLevelType w:val="hybridMultilevel"/>
    <w:tmpl w:val="815899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D47A0"/>
    <w:multiLevelType w:val="hybridMultilevel"/>
    <w:tmpl w:val="9B080700"/>
    <w:lvl w:ilvl="0" w:tplc="ADB68FEA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133EC4"/>
    <w:multiLevelType w:val="hybridMultilevel"/>
    <w:tmpl w:val="8BC80058"/>
    <w:lvl w:ilvl="0" w:tplc="1C4E63F0">
      <w:start w:val="1"/>
      <w:numFmt w:val="decimal"/>
      <w:lvlText w:val="%1)"/>
      <w:lvlJc w:val="left"/>
      <w:pPr>
        <w:ind w:left="840" w:hanging="48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6225"/>
    <w:multiLevelType w:val="hybridMultilevel"/>
    <w:tmpl w:val="BDE45892"/>
    <w:lvl w:ilvl="0" w:tplc="1CF4F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06831"/>
    <w:multiLevelType w:val="multilevel"/>
    <w:tmpl w:val="7FE636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6AE7"/>
    <w:multiLevelType w:val="hybridMultilevel"/>
    <w:tmpl w:val="F90CE486"/>
    <w:lvl w:ilvl="0" w:tplc="715E9B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4BEA"/>
    <w:multiLevelType w:val="hybridMultilevel"/>
    <w:tmpl w:val="428456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F61ED2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704CDB"/>
    <w:multiLevelType w:val="hybridMultilevel"/>
    <w:tmpl w:val="D95E7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0D4B"/>
    <w:multiLevelType w:val="hybridMultilevel"/>
    <w:tmpl w:val="3D9E40BA"/>
    <w:lvl w:ilvl="0" w:tplc="8E561022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 w15:restartNumberingAfterBreak="0">
    <w:nsid w:val="3DDB3C47"/>
    <w:multiLevelType w:val="hybridMultilevel"/>
    <w:tmpl w:val="86362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34AB0"/>
    <w:multiLevelType w:val="hybridMultilevel"/>
    <w:tmpl w:val="BF34BC18"/>
    <w:lvl w:ilvl="0" w:tplc="3F262676">
      <w:start w:val="2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214F1F"/>
    <w:multiLevelType w:val="hybridMultilevel"/>
    <w:tmpl w:val="2418FD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B7343"/>
    <w:multiLevelType w:val="hybridMultilevel"/>
    <w:tmpl w:val="6EB81ACE"/>
    <w:lvl w:ilvl="0" w:tplc="0FCC8298">
      <w:start w:val="202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E362420"/>
    <w:multiLevelType w:val="hybridMultilevel"/>
    <w:tmpl w:val="E67251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6DB8"/>
    <w:multiLevelType w:val="multilevel"/>
    <w:tmpl w:val="0C8E2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755D4D"/>
    <w:multiLevelType w:val="hybridMultilevel"/>
    <w:tmpl w:val="16426B3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C64C2A"/>
    <w:multiLevelType w:val="hybridMultilevel"/>
    <w:tmpl w:val="3F1A4D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2926E2"/>
    <w:multiLevelType w:val="hybridMultilevel"/>
    <w:tmpl w:val="663EC950"/>
    <w:lvl w:ilvl="0" w:tplc="2E8E7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962CE2"/>
    <w:multiLevelType w:val="hybridMultilevel"/>
    <w:tmpl w:val="27ECFD74"/>
    <w:lvl w:ilvl="0" w:tplc="85EC14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354656"/>
    <w:multiLevelType w:val="multilevel"/>
    <w:tmpl w:val="39E09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9BD3B04"/>
    <w:multiLevelType w:val="hybridMultilevel"/>
    <w:tmpl w:val="10DABC60"/>
    <w:lvl w:ilvl="0" w:tplc="A8069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01E5D"/>
    <w:multiLevelType w:val="hybridMultilevel"/>
    <w:tmpl w:val="F18AEB98"/>
    <w:lvl w:ilvl="0" w:tplc="34F06C06">
      <w:start w:val="1"/>
      <w:numFmt w:val="lowerLetter"/>
      <w:lvlText w:val="%1)"/>
      <w:lvlJc w:val="left"/>
      <w:pPr>
        <w:ind w:left="717" w:hanging="360"/>
      </w:pPr>
      <w:rPr>
        <w:rFonts w:eastAsia="Calibri" w:hint="default"/>
        <w:color w:val="auto"/>
      </w:rPr>
    </w:lvl>
    <w:lvl w:ilvl="1" w:tplc="E90C1D24">
      <w:start w:val="1"/>
      <w:numFmt w:val="decimal"/>
      <w:lvlText w:val="%2)"/>
      <w:lvlJc w:val="left"/>
      <w:pPr>
        <w:ind w:left="1707" w:hanging="63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DBF0553"/>
    <w:multiLevelType w:val="hybridMultilevel"/>
    <w:tmpl w:val="3998DD40"/>
    <w:lvl w:ilvl="0" w:tplc="92B49504">
      <w:start w:val="202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19F3D87"/>
    <w:multiLevelType w:val="hybridMultilevel"/>
    <w:tmpl w:val="71EE1EE8"/>
    <w:lvl w:ilvl="0" w:tplc="40568CF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A4D08"/>
    <w:multiLevelType w:val="hybridMultilevel"/>
    <w:tmpl w:val="D3BED1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34F55"/>
    <w:multiLevelType w:val="hybridMultilevel"/>
    <w:tmpl w:val="E0106CAC"/>
    <w:lvl w:ilvl="0" w:tplc="7A70C14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A4A61"/>
    <w:multiLevelType w:val="hybridMultilevel"/>
    <w:tmpl w:val="7DBAC150"/>
    <w:lvl w:ilvl="0" w:tplc="229ABE20">
      <w:start w:val="46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78D006FE"/>
    <w:multiLevelType w:val="hybridMultilevel"/>
    <w:tmpl w:val="263E9CA6"/>
    <w:lvl w:ilvl="0" w:tplc="20001CB8">
      <w:start w:val="1"/>
      <w:numFmt w:val="decimal"/>
      <w:lvlText w:val="%1)"/>
      <w:lvlJc w:val="left"/>
      <w:pPr>
        <w:ind w:left="43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4" w15:restartNumberingAfterBreak="0">
    <w:nsid w:val="7E221FBC"/>
    <w:multiLevelType w:val="hybridMultilevel"/>
    <w:tmpl w:val="3A3201E2"/>
    <w:lvl w:ilvl="0" w:tplc="5EF40C4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A168C"/>
    <w:multiLevelType w:val="hybridMultilevel"/>
    <w:tmpl w:val="2D988CEE"/>
    <w:lvl w:ilvl="0" w:tplc="F49CA5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4"/>
  </w:num>
  <w:num w:numId="5">
    <w:abstractNumId w:val="23"/>
  </w:num>
  <w:num w:numId="6">
    <w:abstractNumId w:val="3"/>
  </w:num>
  <w:num w:numId="7">
    <w:abstractNumId w:val="11"/>
  </w:num>
  <w:num w:numId="8">
    <w:abstractNumId w:val="32"/>
  </w:num>
  <w:num w:numId="9">
    <w:abstractNumId w:val="5"/>
  </w:num>
  <w:num w:numId="10">
    <w:abstractNumId w:val="18"/>
  </w:num>
  <w:num w:numId="11">
    <w:abstractNumId w:val="30"/>
  </w:num>
  <w:num w:numId="12">
    <w:abstractNumId w:val="9"/>
  </w:num>
  <w:num w:numId="13">
    <w:abstractNumId w:val="15"/>
  </w:num>
  <w:num w:numId="14">
    <w:abstractNumId w:val="25"/>
  </w:num>
  <w:num w:numId="15">
    <w:abstractNumId w:val="35"/>
  </w:num>
  <w:num w:numId="16">
    <w:abstractNumId w:val="2"/>
  </w:num>
  <w:num w:numId="17">
    <w:abstractNumId w:val="7"/>
  </w:num>
  <w:num w:numId="18">
    <w:abstractNumId w:val="34"/>
  </w:num>
  <w:num w:numId="19">
    <w:abstractNumId w:val="26"/>
  </w:num>
  <w:num w:numId="20">
    <w:abstractNumId w:val="13"/>
  </w:num>
  <w:num w:numId="21">
    <w:abstractNumId w:val="21"/>
  </w:num>
  <w:num w:numId="22">
    <w:abstractNumId w:val="1"/>
  </w:num>
  <w:num w:numId="23">
    <w:abstractNumId w:val="24"/>
  </w:num>
  <w:num w:numId="24">
    <w:abstractNumId w:val="14"/>
  </w:num>
  <w:num w:numId="25">
    <w:abstractNumId w:val="10"/>
  </w:num>
  <w:num w:numId="26">
    <w:abstractNumId w:val="27"/>
  </w:num>
  <w:num w:numId="27">
    <w:abstractNumId w:val="16"/>
  </w:num>
  <w:num w:numId="28">
    <w:abstractNumId w:val="28"/>
  </w:num>
  <w:num w:numId="29">
    <w:abstractNumId w:val="0"/>
  </w:num>
  <w:num w:numId="30">
    <w:abstractNumId w:val="29"/>
  </w:num>
  <w:num w:numId="31">
    <w:abstractNumId w:val="8"/>
  </w:num>
  <w:num w:numId="32">
    <w:abstractNumId w:val="19"/>
  </w:num>
  <w:num w:numId="33">
    <w:abstractNumId w:val="22"/>
  </w:num>
  <w:num w:numId="34">
    <w:abstractNumId w:val="20"/>
  </w:num>
  <w:num w:numId="35">
    <w:abstractNumId w:val="3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2877"/>
    <w:rsid w:val="00004CEA"/>
    <w:rsid w:val="0000624E"/>
    <w:rsid w:val="00013024"/>
    <w:rsid w:val="00014AB1"/>
    <w:rsid w:val="000239AE"/>
    <w:rsid w:val="00024DB6"/>
    <w:rsid w:val="0002708B"/>
    <w:rsid w:val="00033D7E"/>
    <w:rsid w:val="00036235"/>
    <w:rsid w:val="00037942"/>
    <w:rsid w:val="0004370B"/>
    <w:rsid w:val="0005473D"/>
    <w:rsid w:val="00055582"/>
    <w:rsid w:val="00065A96"/>
    <w:rsid w:val="00070754"/>
    <w:rsid w:val="000736B8"/>
    <w:rsid w:val="00075B18"/>
    <w:rsid w:val="000760FB"/>
    <w:rsid w:val="00084B10"/>
    <w:rsid w:val="00085703"/>
    <w:rsid w:val="00090F2D"/>
    <w:rsid w:val="00093490"/>
    <w:rsid w:val="00095591"/>
    <w:rsid w:val="0009630E"/>
    <w:rsid w:val="000A216E"/>
    <w:rsid w:val="000A2399"/>
    <w:rsid w:val="000A63EC"/>
    <w:rsid w:val="000A6E9C"/>
    <w:rsid w:val="000A7921"/>
    <w:rsid w:val="000B297C"/>
    <w:rsid w:val="000B46CE"/>
    <w:rsid w:val="000B7A96"/>
    <w:rsid w:val="000B7E3F"/>
    <w:rsid w:val="000C2FF0"/>
    <w:rsid w:val="000C38FB"/>
    <w:rsid w:val="000D4FAD"/>
    <w:rsid w:val="000D56BE"/>
    <w:rsid w:val="000D587E"/>
    <w:rsid w:val="000D59DD"/>
    <w:rsid w:val="000D5A4B"/>
    <w:rsid w:val="000D6FD3"/>
    <w:rsid w:val="000E2EAD"/>
    <w:rsid w:val="000E61BA"/>
    <w:rsid w:val="000F0B02"/>
    <w:rsid w:val="000F773D"/>
    <w:rsid w:val="00103C22"/>
    <w:rsid w:val="00104DB3"/>
    <w:rsid w:val="00107360"/>
    <w:rsid w:val="0011106B"/>
    <w:rsid w:val="00113AB7"/>
    <w:rsid w:val="0012352E"/>
    <w:rsid w:val="0012465D"/>
    <w:rsid w:val="00125120"/>
    <w:rsid w:val="00126B8B"/>
    <w:rsid w:val="001424CB"/>
    <w:rsid w:val="001463DA"/>
    <w:rsid w:val="001479F6"/>
    <w:rsid w:val="001536DA"/>
    <w:rsid w:val="001567BF"/>
    <w:rsid w:val="001642C8"/>
    <w:rsid w:val="00175923"/>
    <w:rsid w:val="001778B6"/>
    <w:rsid w:val="0018499E"/>
    <w:rsid w:val="0018706A"/>
    <w:rsid w:val="00190914"/>
    <w:rsid w:val="001927CA"/>
    <w:rsid w:val="001A482C"/>
    <w:rsid w:val="001B5876"/>
    <w:rsid w:val="001C1FF5"/>
    <w:rsid w:val="001C3358"/>
    <w:rsid w:val="001C59B7"/>
    <w:rsid w:val="001C5A2A"/>
    <w:rsid w:val="001D24E3"/>
    <w:rsid w:val="001E19F8"/>
    <w:rsid w:val="001E7484"/>
    <w:rsid w:val="001F4309"/>
    <w:rsid w:val="001F5667"/>
    <w:rsid w:val="001F7240"/>
    <w:rsid w:val="001F78FE"/>
    <w:rsid w:val="00207D12"/>
    <w:rsid w:val="002120FB"/>
    <w:rsid w:val="00220CB2"/>
    <w:rsid w:val="00224688"/>
    <w:rsid w:val="00226B6D"/>
    <w:rsid w:val="0023313D"/>
    <w:rsid w:val="00236670"/>
    <w:rsid w:val="0023784C"/>
    <w:rsid w:val="00241A84"/>
    <w:rsid w:val="00243426"/>
    <w:rsid w:val="0024346C"/>
    <w:rsid w:val="00245339"/>
    <w:rsid w:val="00246615"/>
    <w:rsid w:val="00247F7D"/>
    <w:rsid w:val="00251280"/>
    <w:rsid w:val="00252698"/>
    <w:rsid w:val="00255DD7"/>
    <w:rsid w:val="002603D7"/>
    <w:rsid w:val="00263D2A"/>
    <w:rsid w:val="0026588C"/>
    <w:rsid w:val="00272A0C"/>
    <w:rsid w:val="0027515C"/>
    <w:rsid w:val="0028408B"/>
    <w:rsid w:val="00285E8B"/>
    <w:rsid w:val="00286E9B"/>
    <w:rsid w:val="002915CF"/>
    <w:rsid w:val="00291DB6"/>
    <w:rsid w:val="00293C0A"/>
    <w:rsid w:val="002975AA"/>
    <w:rsid w:val="002A0D2F"/>
    <w:rsid w:val="002A524F"/>
    <w:rsid w:val="002B2B51"/>
    <w:rsid w:val="002B5C48"/>
    <w:rsid w:val="002B5C78"/>
    <w:rsid w:val="002B67F8"/>
    <w:rsid w:val="002B70EB"/>
    <w:rsid w:val="002C32B5"/>
    <w:rsid w:val="002C7BF2"/>
    <w:rsid w:val="002D085B"/>
    <w:rsid w:val="002D6045"/>
    <w:rsid w:val="002D6802"/>
    <w:rsid w:val="002E0467"/>
    <w:rsid w:val="002E058D"/>
    <w:rsid w:val="002E1C05"/>
    <w:rsid w:val="002E1F4A"/>
    <w:rsid w:val="002E2500"/>
    <w:rsid w:val="002E5B39"/>
    <w:rsid w:val="002E6EA7"/>
    <w:rsid w:val="002F3B85"/>
    <w:rsid w:val="002F6CAB"/>
    <w:rsid w:val="00303E9C"/>
    <w:rsid w:val="00305EA1"/>
    <w:rsid w:val="00312768"/>
    <w:rsid w:val="00321852"/>
    <w:rsid w:val="00321ABA"/>
    <w:rsid w:val="003256CE"/>
    <w:rsid w:val="00333C0B"/>
    <w:rsid w:val="003350FA"/>
    <w:rsid w:val="00335591"/>
    <w:rsid w:val="0034056B"/>
    <w:rsid w:val="003431EC"/>
    <w:rsid w:val="00350048"/>
    <w:rsid w:val="003546FC"/>
    <w:rsid w:val="003552CE"/>
    <w:rsid w:val="00361F22"/>
    <w:rsid w:val="0036204A"/>
    <w:rsid w:val="0036699F"/>
    <w:rsid w:val="003674B3"/>
    <w:rsid w:val="00372287"/>
    <w:rsid w:val="003729A6"/>
    <w:rsid w:val="00375025"/>
    <w:rsid w:val="0038446C"/>
    <w:rsid w:val="00385FF0"/>
    <w:rsid w:val="0039294C"/>
    <w:rsid w:val="003A1BF0"/>
    <w:rsid w:val="003A24C6"/>
    <w:rsid w:val="003A27FD"/>
    <w:rsid w:val="003A6985"/>
    <w:rsid w:val="003A72BE"/>
    <w:rsid w:val="003B0BF9"/>
    <w:rsid w:val="003B2001"/>
    <w:rsid w:val="003C0081"/>
    <w:rsid w:val="003C376F"/>
    <w:rsid w:val="003C3F10"/>
    <w:rsid w:val="003C4321"/>
    <w:rsid w:val="003C5459"/>
    <w:rsid w:val="003C671A"/>
    <w:rsid w:val="003D11DB"/>
    <w:rsid w:val="003D5CEF"/>
    <w:rsid w:val="003D6B42"/>
    <w:rsid w:val="003D7CF6"/>
    <w:rsid w:val="003E011A"/>
    <w:rsid w:val="003E0791"/>
    <w:rsid w:val="003E0DBF"/>
    <w:rsid w:val="003F28AC"/>
    <w:rsid w:val="003F3514"/>
    <w:rsid w:val="003F6EB2"/>
    <w:rsid w:val="004011D6"/>
    <w:rsid w:val="0041142F"/>
    <w:rsid w:val="004124D2"/>
    <w:rsid w:val="004205BA"/>
    <w:rsid w:val="00422797"/>
    <w:rsid w:val="00432F54"/>
    <w:rsid w:val="0043393C"/>
    <w:rsid w:val="00440A20"/>
    <w:rsid w:val="00441B79"/>
    <w:rsid w:val="004454FE"/>
    <w:rsid w:val="00450A67"/>
    <w:rsid w:val="004533C4"/>
    <w:rsid w:val="00455E0B"/>
    <w:rsid w:val="00456E40"/>
    <w:rsid w:val="00463FAF"/>
    <w:rsid w:val="00467E20"/>
    <w:rsid w:val="00471F27"/>
    <w:rsid w:val="004751AA"/>
    <w:rsid w:val="00477C8E"/>
    <w:rsid w:val="0048030D"/>
    <w:rsid w:val="00480A44"/>
    <w:rsid w:val="004818E8"/>
    <w:rsid w:val="004850C1"/>
    <w:rsid w:val="00490B96"/>
    <w:rsid w:val="004911E9"/>
    <w:rsid w:val="00491A01"/>
    <w:rsid w:val="004950B4"/>
    <w:rsid w:val="00497DA6"/>
    <w:rsid w:val="004A2BDE"/>
    <w:rsid w:val="004A7A5F"/>
    <w:rsid w:val="004B127E"/>
    <w:rsid w:val="004B2557"/>
    <w:rsid w:val="004C2EE8"/>
    <w:rsid w:val="004D1CBF"/>
    <w:rsid w:val="004D411A"/>
    <w:rsid w:val="004E1153"/>
    <w:rsid w:val="004E4E28"/>
    <w:rsid w:val="004E5758"/>
    <w:rsid w:val="004E63EE"/>
    <w:rsid w:val="004E6641"/>
    <w:rsid w:val="004E72CD"/>
    <w:rsid w:val="004F3435"/>
    <w:rsid w:val="004F4B3D"/>
    <w:rsid w:val="00500D35"/>
    <w:rsid w:val="0050178F"/>
    <w:rsid w:val="0050181C"/>
    <w:rsid w:val="005019B8"/>
    <w:rsid w:val="00501E95"/>
    <w:rsid w:val="0050375F"/>
    <w:rsid w:val="00506CE0"/>
    <w:rsid w:val="00506FDF"/>
    <w:rsid w:val="0051050D"/>
    <w:rsid w:val="005113C8"/>
    <w:rsid w:val="00511D43"/>
    <w:rsid w:val="00513CFD"/>
    <w:rsid w:val="0052591C"/>
    <w:rsid w:val="0053178E"/>
    <w:rsid w:val="00533D2C"/>
    <w:rsid w:val="00537448"/>
    <w:rsid w:val="005407B6"/>
    <w:rsid w:val="00541F8D"/>
    <w:rsid w:val="00554D59"/>
    <w:rsid w:val="00555658"/>
    <w:rsid w:val="00570619"/>
    <w:rsid w:val="00570FE3"/>
    <w:rsid w:val="00572911"/>
    <w:rsid w:val="0057322B"/>
    <w:rsid w:val="00573DF9"/>
    <w:rsid w:val="00577735"/>
    <w:rsid w:val="0058169A"/>
    <w:rsid w:val="00592143"/>
    <w:rsid w:val="00594723"/>
    <w:rsid w:val="00597131"/>
    <w:rsid w:val="005A2134"/>
    <w:rsid w:val="005A2D66"/>
    <w:rsid w:val="005B5FDD"/>
    <w:rsid w:val="005C1703"/>
    <w:rsid w:val="005C2152"/>
    <w:rsid w:val="005D44BE"/>
    <w:rsid w:val="005D5167"/>
    <w:rsid w:val="005D79DE"/>
    <w:rsid w:val="005E037F"/>
    <w:rsid w:val="005E21B4"/>
    <w:rsid w:val="005F0065"/>
    <w:rsid w:val="005F6FF5"/>
    <w:rsid w:val="0060436A"/>
    <w:rsid w:val="00614D18"/>
    <w:rsid w:val="00625AD2"/>
    <w:rsid w:val="00631A3E"/>
    <w:rsid w:val="006360B2"/>
    <w:rsid w:val="006406D8"/>
    <w:rsid w:val="00652978"/>
    <w:rsid w:val="00655F2C"/>
    <w:rsid w:val="0065719C"/>
    <w:rsid w:val="00657560"/>
    <w:rsid w:val="00660AB3"/>
    <w:rsid w:val="00665B25"/>
    <w:rsid w:val="00670C9D"/>
    <w:rsid w:val="00674931"/>
    <w:rsid w:val="006775DC"/>
    <w:rsid w:val="006953C1"/>
    <w:rsid w:val="006A0D04"/>
    <w:rsid w:val="006B0CED"/>
    <w:rsid w:val="006C4A23"/>
    <w:rsid w:val="006C5A75"/>
    <w:rsid w:val="006C66EC"/>
    <w:rsid w:val="006D1F56"/>
    <w:rsid w:val="006E1081"/>
    <w:rsid w:val="006E23A2"/>
    <w:rsid w:val="006E3CE5"/>
    <w:rsid w:val="006E6AE5"/>
    <w:rsid w:val="006E78D2"/>
    <w:rsid w:val="0070032E"/>
    <w:rsid w:val="0070677C"/>
    <w:rsid w:val="00710C82"/>
    <w:rsid w:val="00720585"/>
    <w:rsid w:val="00725D0D"/>
    <w:rsid w:val="007319C9"/>
    <w:rsid w:val="00733EB5"/>
    <w:rsid w:val="00736F69"/>
    <w:rsid w:val="00737339"/>
    <w:rsid w:val="007406F8"/>
    <w:rsid w:val="007575E7"/>
    <w:rsid w:val="0076143B"/>
    <w:rsid w:val="00764769"/>
    <w:rsid w:val="00773AF6"/>
    <w:rsid w:val="00773C3A"/>
    <w:rsid w:val="00774024"/>
    <w:rsid w:val="007748AA"/>
    <w:rsid w:val="0077497D"/>
    <w:rsid w:val="007770D5"/>
    <w:rsid w:val="00783E69"/>
    <w:rsid w:val="0078693C"/>
    <w:rsid w:val="00795F71"/>
    <w:rsid w:val="007A5918"/>
    <w:rsid w:val="007B017C"/>
    <w:rsid w:val="007B507E"/>
    <w:rsid w:val="007B5ADF"/>
    <w:rsid w:val="007B7FA9"/>
    <w:rsid w:val="007C063F"/>
    <w:rsid w:val="007C3BDF"/>
    <w:rsid w:val="007C7E78"/>
    <w:rsid w:val="007D0830"/>
    <w:rsid w:val="007D10BC"/>
    <w:rsid w:val="007E0AC2"/>
    <w:rsid w:val="007E13DC"/>
    <w:rsid w:val="007E1517"/>
    <w:rsid w:val="007E3ED8"/>
    <w:rsid w:val="007E5F7A"/>
    <w:rsid w:val="007E73AB"/>
    <w:rsid w:val="007F0ED6"/>
    <w:rsid w:val="007F32E7"/>
    <w:rsid w:val="007F6C27"/>
    <w:rsid w:val="00802BA4"/>
    <w:rsid w:val="008108A7"/>
    <w:rsid w:val="00812E36"/>
    <w:rsid w:val="008139BF"/>
    <w:rsid w:val="0081494D"/>
    <w:rsid w:val="00816282"/>
    <w:rsid w:val="008162DD"/>
    <w:rsid w:val="00816C11"/>
    <w:rsid w:val="00817EAB"/>
    <w:rsid w:val="00824093"/>
    <w:rsid w:val="008253F1"/>
    <w:rsid w:val="00826B02"/>
    <w:rsid w:val="0083323A"/>
    <w:rsid w:val="008356ED"/>
    <w:rsid w:val="00837AFE"/>
    <w:rsid w:val="00841737"/>
    <w:rsid w:val="0084251A"/>
    <w:rsid w:val="008466F2"/>
    <w:rsid w:val="008532B3"/>
    <w:rsid w:val="008624B6"/>
    <w:rsid w:val="00863F5D"/>
    <w:rsid w:val="00866D0B"/>
    <w:rsid w:val="00872484"/>
    <w:rsid w:val="0087273F"/>
    <w:rsid w:val="00882A80"/>
    <w:rsid w:val="00886768"/>
    <w:rsid w:val="008928FD"/>
    <w:rsid w:val="00893F97"/>
    <w:rsid w:val="0089414E"/>
    <w:rsid w:val="00894816"/>
    <w:rsid w:val="00894C55"/>
    <w:rsid w:val="00895BFA"/>
    <w:rsid w:val="008A03B3"/>
    <w:rsid w:val="008A242B"/>
    <w:rsid w:val="008A45F0"/>
    <w:rsid w:val="008B46C5"/>
    <w:rsid w:val="008B6FB0"/>
    <w:rsid w:val="008C021F"/>
    <w:rsid w:val="008C6391"/>
    <w:rsid w:val="008D0C3A"/>
    <w:rsid w:val="008D35C5"/>
    <w:rsid w:val="008D5093"/>
    <w:rsid w:val="008D7083"/>
    <w:rsid w:val="008E295A"/>
    <w:rsid w:val="008E3EB6"/>
    <w:rsid w:val="008E67B4"/>
    <w:rsid w:val="008F599A"/>
    <w:rsid w:val="008F7CFA"/>
    <w:rsid w:val="00900720"/>
    <w:rsid w:val="0090106B"/>
    <w:rsid w:val="0091485B"/>
    <w:rsid w:val="00916E21"/>
    <w:rsid w:val="00917617"/>
    <w:rsid w:val="00926789"/>
    <w:rsid w:val="00931369"/>
    <w:rsid w:val="0093163B"/>
    <w:rsid w:val="00936BFC"/>
    <w:rsid w:val="00937C51"/>
    <w:rsid w:val="0094079C"/>
    <w:rsid w:val="00940EB8"/>
    <w:rsid w:val="00941407"/>
    <w:rsid w:val="00941A4A"/>
    <w:rsid w:val="009470D3"/>
    <w:rsid w:val="00955250"/>
    <w:rsid w:val="00962F0F"/>
    <w:rsid w:val="00964DA4"/>
    <w:rsid w:val="00965E4A"/>
    <w:rsid w:val="00970684"/>
    <w:rsid w:val="00974C49"/>
    <w:rsid w:val="009774C7"/>
    <w:rsid w:val="0099005B"/>
    <w:rsid w:val="00992C2E"/>
    <w:rsid w:val="00993B53"/>
    <w:rsid w:val="009960D5"/>
    <w:rsid w:val="00997F8F"/>
    <w:rsid w:val="009A0741"/>
    <w:rsid w:val="009A262D"/>
    <w:rsid w:val="009A2654"/>
    <w:rsid w:val="009A4B66"/>
    <w:rsid w:val="009B2BDD"/>
    <w:rsid w:val="009B78CD"/>
    <w:rsid w:val="009C537D"/>
    <w:rsid w:val="009D1BEC"/>
    <w:rsid w:val="009D4CB0"/>
    <w:rsid w:val="009D5349"/>
    <w:rsid w:val="009E0E25"/>
    <w:rsid w:val="009F2041"/>
    <w:rsid w:val="00A00422"/>
    <w:rsid w:val="00A03AC7"/>
    <w:rsid w:val="00A07B60"/>
    <w:rsid w:val="00A10FC3"/>
    <w:rsid w:val="00A133D1"/>
    <w:rsid w:val="00A20DCC"/>
    <w:rsid w:val="00A21178"/>
    <w:rsid w:val="00A23E0A"/>
    <w:rsid w:val="00A24E09"/>
    <w:rsid w:val="00A3306C"/>
    <w:rsid w:val="00A37DB4"/>
    <w:rsid w:val="00A401FE"/>
    <w:rsid w:val="00A4033F"/>
    <w:rsid w:val="00A6073E"/>
    <w:rsid w:val="00A615B8"/>
    <w:rsid w:val="00A63E8B"/>
    <w:rsid w:val="00A6461C"/>
    <w:rsid w:val="00A70DC1"/>
    <w:rsid w:val="00A71732"/>
    <w:rsid w:val="00A72BC8"/>
    <w:rsid w:val="00A82565"/>
    <w:rsid w:val="00A859C0"/>
    <w:rsid w:val="00A87C18"/>
    <w:rsid w:val="00A9511B"/>
    <w:rsid w:val="00A97030"/>
    <w:rsid w:val="00AB2927"/>
    <w:rsid w:val="00AB440B"/>
    <w:rsid w:val="00AC6847"/>
    <w:rsid w:val="00AC7C2A"/>
    <w:rsid w:val="00AD1B5D"/>
    <w:rsid w:val="00AE309F"/>
    <w:rsid w:val="00AE485C"/>
    <w:rsid w:val="00AE5567"/>
    <w:rsid w:val="00AF1239"/>
    <w:rsid w:val="00AF49E9"/>
    <w:rsid w:val="00AF6158"/>
    <w:rsid w:val="00AF6240"/>
    <w:rsid w:val="00AF6B7B"/>
    <w:rsid w:val="00B04C84"/>
    <w:rsid w:val="00B0679F"/>
    <w:rsid w:val="00B06CF6"/>
    <w:rsid w:val="00B13B9B"/>
    <w:rsid w:val="00B16480"/>
    <w:rsid w:val="00B17A27"/>
    <w:rsid w:val="00B20463"/>
    <w:rsid w:val="00B20DAC"/>
    <w:rsid w:val="00B2165C"/>
    <w:rsid w:val="00B23E5D"/>
    <w:rsid w:val="00B2404A"/>
    <w:rsid w:val="00B24FEA"/>
    <w:rsid w:val="00B26569"/>
    <w:rsid w:val="00B27BE3"/>
    <w:rsid w:val="00B300D0"/>
    <w:rsid w:val="00B304F3"/>
    <w:rsid w:val="00B31694"/>
    <w:rsid w:val="00B318C7"/>
    <w:rsid w:val="00B40116"/>
    <w:rsid w:val="00B42168"/>
    <w:rsid w:val="00B50E42"/>
    <w:rsid w:val="00B52C9E"/>
    <w:rsid w:val="00B52E82"/>
    <w:rsid w:val="00B61C9C"/>
    <w:rsid w:val="00B628DA"/>
    <w:rsid w:val="00B64563"/>
    <w:rsid w:val="00B72D51"/>
    <w:rsid w:val="00B72EB1"/>
    <w:rsid w:val="00B75F28"/>
    <w:rsid w:val="00B81B63"/>
    <w:rsid w:val="00B83420"/>
    <w:rsid w:val="00B845FF"/>
    <w:rsid w:val="00BA20AA"/>
    <w:rsid w:val="00BA2587"/>
    <w:rsid w:val="00BA3AA5"/>
    <w:rsid w:val="00BB04E4"/>
    <w:rsid w:val="00BB194F"/>
    <w:rsid w:val="00BB1CC1"/>
    <w:rsid w:val="00BB2557"/>
    <w:rsid w:val="00BC3DF1"/>
    <w:rsid w:val="00BC6F6A"/>
    <w:rsid w:val="00BD374C"/>
    <w:rsid w:val="00BD4425"/>
    <w:rsid w:val="00BD77DB"/>
    <w:rsid w:val="00BE25A4"/>
    <w:rsid w:val="00BF1A37"/>
    <w:rsid w:val="00C0204E"/>
    <w:rsid w:val="00C076D7"/>
    <w:rsid w:val="00C07751"/>
    <w:rsid w:val="00C1190B"/>
    <w:rsid w:val="00C172DA"/>
    <w:rsid w:val="00C227D8"/>
    <w:rsid w:val="00C23CC5"/>
    <w:rsid w:val="00C241CF"/>
    <w:rsid w:val="00C2490A"/>
    <w:rsid w:val="00C25B49"/>
    <w:rsid w:val="00C3021A"/>
    <w:rsid w:val="00C35712"/>
    <w:rsid w:val="00C3601C"/>
    <w:rsid w:val="00C45F34"/>
    <w:rsid w:val="00C51489"/>
    <w:rsid w:val="00C530A9"/>
    <w:rsid w:val="00C565CE"/>
    <w:rsid w:val="00C56B92"/>
    <w:rsid w:val="00C60178"/>
    <w:rsid w:val="00C64B86"/>
    <w:rsid w:val="00C67AAB"/>
    <w:rsid w:val="00C715EB"/>
    <w:rsid w:val="00C72646"/>
    <w:rsid w:val="00C75708"/>
    <w:rsid w:val="00C87F20"/>
    <w:rsid w:val="00CA068A"/>
    <w:rsid w:val="00CB1425"/>
    <w:rsid w:val="00CB7139"/>
    <w:rsid w:val="00CB76C9"/>
    <w:rsid w:val="00CC0D2D"/>
    <w:rsid w:val="00CC32AB"/>
    <w:rsid w:val="00CC683D"/>
    <w:rsid w:val="00CD17D8"/>
    <w:rsid w:val="00CD2EFE"/>
    <w:rsid w:val="00CD7366"/>
    <w:rsid w:val="00CD74C7"/>
    <w:rsid w:val="00CD7FEA"/>
    <w:rsid w:val="00CE5657"/>
    <w:rsid w:val="00CE72DA"/>
    <w:rsid w:val="00CF3474"/>
    <w:rsid w:val="00CF5BC5"/>
    <w:rsid w:val="00CF7BF4"/>
    <w:rsid w:val="00D03196"/>
    <w:rsid w:val="00D055C0"/>
    <w:rsid w:val="00D12E3C"/>
    <w:rsid w:val="00D12FDC"/>
    <w:rsid w:val="00D133F8"/>
    <w:rsid w:val="00D14A3E"/>
    <w:rsid w:val="00D15C90"/>
    <w:rsid w:val="00D17143"/>
    <w:rsid w:val="00D22734"/>
    <w:rsid w:val="00D24072"/>
    <w:rsid w:val="00D32F95"/>
    <w:rsid w:val="00D34902"/>
    <w:rsid w:val="00D41891"/>
    <w:rsid w:val="00D45128"/>
    <w:rsid w:val="00D52063"/>
    <w:rsid w:val="00D5213F"/>
    <w:rsid w:val="00D551AA"/>
    <w:rsid w:val="00D60D0B"/>
    <w:rsid w:val="00D655A4"/>
    <w:rsid w:val="00D6766C"/>
    <w:rsid w:val="00D746E9"/>
    <w:rsid w:val="00D756FD"/>
    <w:rsid w:val="00D77E38"/>
    <w:rsid w:val="00D77F6A"/>
    <w:rsid w:val="00D80644"/>
    <w:rsid w:val="00D84943"/>
    <w:rsid w:val="00D84C1C"/>
    <w:rsid w:val="00D91E33"/>
    <w:rsid w:val="00D93283"/>
    <w:rsid w:val="00D979B9"/>
    <w:rsid w:val="00DA1F7E"/>
    <w:rsid w:val="00DA771D"/>
    <w:rsid w:val="00DB2C0F"/>
    <w:rsid w:val="00DB7B31"/>
    <w:rsid w:val="00DC4435"/>
    <w:rsid w:val="00DC6833"/>
    <w:rsid w:val="00DD1149"/>
    <w:rsid w:val="00DD3C0C"/>
    <w:rsid w:val="00DE2DFC"/>
    <w:rsid w:val="00DE509C"/>
    <w:rsid w:val="00DE5603"/>
    <w:rsid w:val="00DE5EF7"/>
    <w:rsid w:val="00DE71EA"/>
    <w:rsid w:val="00DF62E8"/>
    <w:rsid w:val="00E02D9E"/>
    <w:rsid w:val="00E1219D"/>
    <w:rsid w:val="00E12DE3"/>
    <w:rsid w:val="00E15F64"/>
    <w:rsid w:val="00E2048B"/>
    <w:rsid w:val="00E20E77"/>
    <w:rsid w:val="00E22B27"/>
    <w:rsid w:val="00E32044"/>
    <w:rsid w:val="00E3662B"/>
    <w:rsid w:val="00E3716B"/>
    <w:rsid w:val="00E40780"/>
    <w:rsid w:val="00E42764"/>
    <w:rsid w:val="00E45E36"/>
    <w:rsid w:val="00E51416"/>
    <w:rsid w:val="00E5154C"/>
    <w:rsid w:val="00E5323B"/>
    <w:rsid w:val="00E56BA6"/>
    <w:rsid w:val="00E63F2E"/>
    <w:rsid w:val="00E65583"/>
    <w:rsid w:val="00E67227"/>
    <w:rsid w:val="00E72FD2"/>
    <w:rsid w:val="00E76FE4"/>
    <w:rsid w:val="00E81393"/>
    <w:rsid w:val="00E83818"/>
    <w:rsid w:val="00E8749E"/>
    <w:rsid w:val="00E90C01"/>
    <w:rsid w:val="00E9447B"/>
    <w:rsid w:val="00E9587B"/>
    <w:rsid w:val="00EA1B4E"/>
    <w:rsid w:val="00EA486E"/>
    <w:rsid w:val="00EB6023"/>
    <w:rsid w:val="00EC00A2"/>
    <w:rsid w:val="00EC77C1"/>
    <w:rsid w:val="00ED0A7B"/>
    <w:rsid w:val="00ED1446"/>
    <w:rsid w:val="00ED3651"/>
    <w:rsid w:val="00EE2AF0"/>
    <w:rsid w:val="00EE5C8F"/>
    <w:rsid w:val="00EF0844"/>
    <w:rsid w:val="00EF087E"/>
    <w:rsid w:val="00EF13FC"/>
    <w:rsid w:val="00EF1D11"/>
    <w:rsid w:val="00EF2B5F"/>
    <w:rsid w:val="00EF596D"/>
    <w:rsid w:val="00EF6AE2"/>
    <w:rsid w:val="00EF76E1"/>
    <w:rsid w:val="00EF7E5B"/>
    <w:rsid w:val="00F00218"/>
    <w:rsid w:val="00F00390"/>
    <w:rsid w:val="00F02109"/>
    <w:rsid w:val="00F03FC1"/>
    <w:rsid w:val="00F04AFC"/>
    <w:rsid w:val="00F11290"/>
    <w:rsid w:val="00F176A9"/>
    <w:rsid w:val="00F25FDC"/>
    <w:rsid w:val="00F27790"/>
    <w:rsid w:val="00F300ED"/>
    <w:rsid w:val="00F33FBA"/>
    <w:rsid w:val="00F34870"/>
    <w:rsid w:val="00F379A0"/>
    <w:rsid w:val="00F42E68"/>
    <w:rsid w:val="00F44656"/>
    <w:rsid w:val="00F50DFD"/>
    <w:rsid w:val="00F53DAC"/>
    <w:rsid w:val="00F55DA6"/>
    <w:rsid w:val="00F57B0C"/>
    <w:rsid w:val="00F61CB5"/>
    <w:rsid w:val="00F628C6"/>
    <w:rsid w:val="00F64B97"/>
    <w:rsid w:val="00F65710"/>
    <w:rsid w:val="00F7210F"/>
    <w:rsid w:val="00F7512F"/>
    <w:rsid w:val="00F80B22"/>
    <w:rsid w:val="00F81B31"/>
    <w:rsid w:val="00F83E17"/>
    <w:rsid w:val="00F8513E"/>
    <w:rsid w:val="00F85F61"/>
    <w:rsid w:val="00F87E5F"/>
    <w:rsid w:val="00F90738"/>
    <w:rsid w:val="00FA168D"/>
    <w:rsid w:val="00FA2491"/>
    <w:rsid w:val="00FA2964"/>
    <w:rsid w:val="00FA3840"/>
    <w:rsid w:val="00FA4006"/>
    <w:rsid w:val="00FA422B"/>
    <w:rsid w:val="00FA4F6E"/>
    <w:rsid w:val="00FA4FA5"/>
    <w:rsid w:val="00FB4C1C"/>
    <w:rsid w:val="00FB67EC"/>
    <w:rsid w:val="00FC048D"/>
    <w:rsid w:val="00FC4C95"/>
    <w:rsid w:val="00FC5AD7"/>
    <w:rsid w:val="00FC613A"/>
    <w:rsid w:val="00FC6EDA"/>
    <w:rsid w:val="00FD4735"/>
    <w:rsid w:val="00FE2700"/>
    <w:rsid w:val="00FE3183"/>
    <w:rsid w:val="00FE4D5C"/>
    <w:rsid w:val="00FE73AD"/>
    <w:rsid w:val="00FE7F13"/>
    <w:rsid w:val="00FF2C18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0FED315"/>
  <w15:docId w15:val="{D7C6C7A4-980B-4FA1-B1DE-90273A8A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51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Parasts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Bezatstarpm">
    <w:name w:val="No Spacing"/>
    <w:uiPriority w:val="1"/>
    <w:qFormat/>
    <w:rsid w:val="0093163B"/>
    <w:pPr>
      <w:spacing w:after="0" w:line="240" w:lineRule="auto"/>
    </w:pPr>
  </w:style>
  <w:style w:type="paragraph" w:styleId="Prskatjums">
    <w:name w:val="Revision"/>
    <w:hidden/>
    <w:uiPriority w:val="99"/>
    <w:semiHidden/>
    <w:rsid w:val="0053178E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unhideWhenUsed/>
    <w:rsid w:val="00075B1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B18"/>
    <w:rPr>
      <w:rFonts w:ascii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B18"/>
    <w:rPr>
      <w:vertAlign w:val="superscript"/>
    </w:rPr>
  </w:style>
  <w:style w:type="paragraph" w:customStyle="1" w:styleId="Parasts1">
    <w:name w:val="Parasts1"/>
    <w:rsid w:val="000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74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744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744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74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7448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1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Rorbah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FCCB-8568-4AA1-9BB7-507BC695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5912</Words>
  <Characters>3370</Characters>
  <Application>Microsoft Office Word</Application>
  <DocSecurity>4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Iestādes nosaukums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Zakevica</dc:creator>
  <cp:lastModifiedBy>Ilze Rorbaha</cp:lastModifiedBy>
  <cp:revision>2</cp:revision>
  <cp:lastPrinted>2020-01-20T14:48:00Z</cp:lastPrinted>
  <dcterms:created xsi:type="dcterms:W3CDTF">2021-05-10T08:53:00Z</dcterms:created>
  <dcterms:modified xsi:type="dcterms:W3CDTF">2021-05-10T08:53:00Z</dcterms:modified>
</cp:coreProperties>
</file>