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C9" w:rsidRPr="002C30AA" w:rsidRDefault="008A36C9" w:rsidP="005B012D">
      <w:pPr>
        <w:pStyle w:val="naislab"/>
        <w:spacing w:before="0" w:after="0"/>
        <w:ind w:firstLine="720"/>
      </w:pPr>
      <w:r w:rsidRPr="002C30AA">
        <w:t>4.pielikums</w:t>
      </w:r>
    </w:p>
    <w:p w:rsidR="008A36C9" w:rsidRPr="002C30AA" w:rsidRDefault="008A36C9" w:rsidP="005B012D">
      <w:pPr>
        <w:pStyle w:val="naislab"/>
        <w:spacing w:before="0" w:after="0"/>
        <w:ind w:firstLine="720"/>
      </w:pPr>
      <w:r w:rsidRPr="002C30AA">
        <w:t>Ministru kabineta</w:t>
      </w:r>
    </w:p>
    <w:p w:rsidR="008A36C9" w:rsidRPr="002C30AA" w:rsidRDefault="008A36C9" w:rsidP="005B012D">
      <w:pPr>
        <w:pStyle w:val="naislab"/>
        <w:spacing w:before="0" w:after="0"/>
        <w:ind w:firstLine="720"/>
      </w:pPr>
      <w:r w:rsidRPr="002C30AA">
        <w:t>2009.</w:t>
      </w:r>
      <w:r w:rsidR="00B36CC4" w:rsidRPr="002C30AA">
        <w:t> </w:t>
      </w:r>
      <w:r w:rsidR="0077408B" w:rsidRPr="002C30AA">
        <w:t xml:space="preserve">gada </w:t>
      </w:r>
      <w:r w:rsidR="002820A7" w:rsidRPr="002C30AA">
        <w:t>7.</w:t>
      </w:r>
      <w:r w:rsidR="00B36CC4" w:rsidRPr="002C30AA">
        <w:t> </w:t>
      </w:r>
      <w:r w:rsidR="002820A7" w:rsidRPr="002C30AA">
        <w:t>aprīļa</w:t>
      </w:r>
    </w:p>
    <w:p w:rsidR="008A36C9" w:rsidRPr="002C30AA" w:rsidRDefault="008A36C9" w:rsidP="005B012D">
      <w:pPr>
        <w:pStyle w:val="naislab"/>
        <w:spacing w:before="0" w:after="0"/>
        <w:ind w:firstLine="720"/>
      </w:pPr>
      <w:r w:rsidRPr="002C30AA">
        <w:t>noteikumiem Nr.</w:t>
      </w:r>
      <w:r w:rsidR="002820A7" w:rsidRPr="002C30AA">
        <w:t>300</w:t>
      </w:r>
    </w:p>
    <w:p w:rsidR="007116C7" w:rsidRPr="002C30AA" w:rsidRDefault="007116C7" w:rsidP="005B012D">
      <w:pPr>
        <w:pStyle w:val="naislab"/>
        <w:spacing w:before="0" w:after="0"/>
        <w:ind w:firstLine="720"/>
      </w:pPr>
      <w:r w:rsidRPr="002C30AA">
        <w:t> </w:t>
      </w:r>
    </w:p>
    <w:p w:rsidR="007116C7" w:rsidRPr="002C30AA" w:rsidRDefault="007116C7" w:rsidP="005B012D">
      <w:pPr>
        <w:pStyle w:val="naisnod"/>
        <w:spacing w:before="0" w:after="0"/>
        <w:ind w:firstLine="720"/>
      </w:pPr>
      <w:r w:rsidRPr="002C30AA">
        <w:t>Izziņa par atzinumos sniegtajiem iebildumiem</w:t>
      </w:r>
    </w:p>
    <w:p w:rsidR="007116C7" w:rsidRPr="002C30AA" w:rsidRDefault="007116C7" w:rsidP="005B012D">
      <w:pPr>
        <w:pStyle w:val="naisf"/>
        <w:spacing w:before="0" w:after="0"/>
        <w:ind w:firstLine="720"/>
      </w:pPr>
    </w:p>
    <w:tbl>
      <w:tblPr>
        <w:tblW w:w="0" w:type="auto"/>
        <w:jc w:val="center"/>
        <w:tblLook w:val="00A0" w:firstRow="1" w:lastRow="0" w:firstColumn="1" w:lastColumn="0" w:noHBand="0" w:noVBand="0"/>
      </w:tblPr>
      <w:tblGrid>
        <w:gridCol w:w="12127"/>
      </w:tblGrid>
      <w:tr w:rsidR="002C30AA" w:rsidRPr="002C30AA" w:rsidTr="002B09BD">
        <w:trPr>
          <w:jc w:val="center"/>
        </w:trPr>
        <w:tc>
          <w:tcPr>
            <w:tcW w:w="12127" w:type="dxa"/>
            <w:tcBorders>
              <w:bottom w:val="single" w:sz="6" w:space="0" w:color="000000"/>
            </w:tcBorders>
          </w:tcPr>
          <w:p w:rsidR="007116C7" w:rsidRPr="002C30AA" w:rsidRDefault="00620647" w:rsidP="005B012D">
            <w:pPr>
              <w:rPr>
                <w:b/>
              </w:rPr>
            </w:pPr>
            <w:r w:rsidRPr="002C30AA">
              <w:rPr>
                <w:b/>
              </w:rPr>
              <w:t>plānošanas dokumenta projekts “</w:t>
            </w:r>
            <w:r w:rsidR="002B09BD" w:rsidRPr="002C30AA">
              <w:rPr>
                <w:b/>
              </w:rPr>
              <w:t>Eiropas Sociālā fonda plus</w:t>
            </w:r>
            <w:r w:rsidRPr="002C30AA">
              <w:rPr>
                <w:b/>
              </w:rPr>
              <w:t xml:space="preserve"> programma materiālās nenodrošinātības mazināšanai”</w:t>
            </w:r>
          </w:p>
        </w:tc>
      </w:tr>
    </w:tbl>
    <w:p w:rsidR="007116C7" w:rsidRPr="002C30AA" w:rsidRDefault="007116C7" w:rsidP="005B012D">
      <w:pPr>
        <w:pStyle w:val="naisc"/>
        <w:spacing w:before="0" w:after="0"/>
        <w:ind w:firstLine="1080"/>
      </w:pPr>
      <w:r w:rsidRPr="002C30AA">
        <w:t>(dokumenta veids un nosaukums)</w:t>
      </w:r>
    </w:p>
    <w:p w:rsidR="007B4C0F" w:rsidRPr="002C30AA" w:rsidRDefault="007B4C0F" w:rsidP="005B012D">
      <w:pPr>
        <w:pStyle w:val="naisf"/>
        <w:spacing w:before="0" w:after="0"/>
        <w:ind w:firstLine="720"/>
      </w:pPr>
    </w:p>
    <w:p w:rsidR="007B4C0F" w:rsidRPr="002C30AA" w:rsidRDefault="007B4C0F" w:rsidP="005B012D">
      <w:pPr>
        <w:pStyle w:val="naisf"/>
        <w:spacing w:before="0" w:after="0"/>
        <w:ind w:firstLine="0"/>
        <w:jc w:val="center"/>
        <w:rPr>
          <w:b/>
        </w:rPr>
      </w:pPr>
      <w:r w:rsidRPr="002C30AA">
        <w:rPr>
          <w:b/>
        </w:rPr>
        <w:t xml:space="preserve">I. Jautājumi, par kuriem saskaņošanā </w:t>
      </w:r>
      <w:r w:rsidR="00134188" w:rsidRPr="002C30AA">
        <w:rPr>
          <w:b/>
        </w:rPr>
        <w:t xml:space="preserve">vienošanās </w:t>
      </w:r>
      <w:r w:rsidRPr="002C30AA">
        <w:rPr>
          <w:b/>
        </w:rPr>
        <w:t>nav panākta</w:t>
      </w:r>
    </w:p>
    <w:p w:rsidR="007B4C0F" w:rsidRPr="002C30AA" w:rsidRDefault="007B4C0F" w:rsidP="005B012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2C30AA" w:rsidRPr="002C30AA">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2C30AA" w:rsidRDefault="005F4BFD" w:rsidP="005B012D">
            <w:pPr>
              <w:pStyle w:val="naisc"/>
              <w:spacing w:before="0" w:after="0"/>
            </w:pPr>
            <w:r w:rsidRPr="002C30AA">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2C30AA" w:rsidRDefault="005F4BFD" w:rsidP="005B012D">
            <w:pPr>
              <w:pStyle w:val="naisc"/>
              <w:spacing w:before="0" w:after="0"/>
              <w:ind w:firstLine="12"/>
            </w:pPr>
            <w:r w:rsidRPr="002C30A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2C30AA" w:rsidRDefault="005F4BFD" w:rsidP="005B012D">
            <w:pPr>
              <w:pStyle w:val="naisc"/>
              <w:spacing w:before="0" w:after="0"/>
              <w:ind w:right="3"/>
            </w:pPr>
            <w:r w:rsidRPr="002C30AA">
              <w:t>Atzinumā norādītais ministrijas (citas institūcijas) iebildums</w:t>
            </w:r>
            <w:r w:rsidR="00184479" w:rsidRPr="002C30AA">
              <w:t>,</w:t>
            </w:r>
            <w:r w:rsidR="000E5509" w:rsidRPr="002C30AA">
              <w:t xml:space="preserve"> kā arī saskaņošanā papildus izteiktais iebildums</w:t>
            </w:r>
            <w:r w:rsidRPr="002C30AA">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2C30AA" w:rsidRDefault="005F4BFD" w:rsidP="005B012D">
            <w:pPr>
              <w:pStyle w:val="naisc"/>
              <w:spacing w:before="0" w:after="0"/>
              <w:ind w:firstLine="21"/>
            </w:pPr>
            <w:r w:rsidRPr="002C30AA">
              <w:t>Atbildīgās ministrijas pamatojums</w:t>
            </w:r>
            <w:r w:rsidR="009307F2" w:rsidRPr="002C30AA">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2C30AA" w:rsidRDefault="005F4BFD" w:rsidP="005B012D">
            <w:pPr>
              <w:jc w:val="center"/>
            </w:pPr>
            <w:r w:rsidRPr="002C30A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2C30AA" w:rsidRDefault="005F4BFD" w:rsidP="005B012D">
            <w:pPr>
              <w:jc w:val="center"/>
            </w:pPr>
            <w:r w:rsidRPr="002C30AA">
              <w:t>Projekta attiecīgā punkta (panta) galīgā redakcija</w:t>
            </w:r>
          </w:p>
        </w:tc>
      </w:tr>
      <w:tr w:rsidR="002C30AA" w:rsidRPr="002C30AA">
        <w:tc>
          <w:tcPr>
            <w:tcW w:w="708" w:type="dxa"/>
            <w:tcBorders>
              <w:top w:val="single" w:sz="6" w:space="0" w:color="000000"/>
              <w:left w:val="single" w:sz="6" w:space="0" w:color="000000"/>
              <w:bottom w:val="single" w:sz="6" w:space="0" w:color="000000"/>
              <w:right w:val="single" w:sz="6" w:space="0" w:color="000000"/>
            </w:tcBorders>
          </w:tcPr>
          <w:p w:rsidR="005F4BFD" w:rsidRPr="002C30AA" w:rsidRDefault="008A36C9" w:rsidP="005B012D">
            <w:pPr>
              <w:pStyle w:val="naisc"/>
              <w:spacing w:before="0" w:after="0"/>
            </w:pPr>
            <w:r w:rsidRPr="002C30AA">
              <w:t>1</w:t>
            </w:r>
          </w:p>
        </w:tc>
        <w:tc>
          <w:tcPr>
            <w:tcW w:w="3086" w:type="dxa"/>
            <w:tcBorders>
              <w:top w:val="single" w:sz="6" w:space="0" w:color="000000"/>
              <w:left w:val="single" w:sz="6" w:space="0" w:color="000000"/>
              <w:bottom w:val="single" w:sz="6" w:space="0" w:color="000000"/>
              <w:right w:val="single" w:sz="6" w:space="0" w:color="000000"/>
            </w:tcBorders>
          </w:tcPr>
          <w:p w:rsidR="005F4BFD" w:rsidRPr="002C30AA" w:rsidRDefault="008A36C9" w:rsidP="005B012D">
            <w:pPr>
              <w:pStyle w:val="naisc"/>
              <w:spacing w:before="0" w:after="0"/>
              <w:ind w:firstLine="720"/>
            </w:pPr>
            <w:r w:rsidRPr="002C30AA">
              <w:t>2</w:t>
            </w:r>
          </w:p>
        </w:tc>
        <w:tc>
          <w:tcPr>
            <w:tcW w:w="3118" w:type="dxa"/>
            <w:tcBorders>
              <w:top w:val="single" w:sz="6" w:space="0" w:color="000000"/>
              <w:left w:val="single" w:sz="6" w:space="0" w:color="000000"/>
              <w:bottom w:val="single" w:sz="6" w:space="0" w:color="000000"/>
              <w:right w:val="single" w:sz="6" w:space="0" w:color="000000"/>
            </w:tcBorders>
          </w:tcPr>
          <w:p w:rsidR="005F4BFD" w:rsidRPr="002C30AA" w:rsidRDefault="008A36C9" w:rsidP="005B012D">
            <w:pPr>
              <w:pStyle w:val="naisc"/>
              <w:spacing w:before="0" w:after="0"/>
              <w:ind w:firstLine="720"/>
            </w:pPr>
            <w:r w:rsidRPr="002C30AA">
              <w:t>3</w:t>
            </w:r>
          </w:p>
        </w:tc>
        <w:tc>
          <w:tcPr>
            <w:tcW w:w="2977" w:type="dxa"/>
            <w:tcBorders>
              <w:top w:val="single" w:sz="6" w:space="0" w:color="000000"/>
              <w:left w:val="single" w:sz="6" w:space="0" w:color="000000"/>
              <w:bottom w:val="single" w:sz="6" w:space="0" w:color="000000"/>
              <w:right w:val="single" w:sz="6" w:space="0" w:color="000000"/>
            </w:tcBorders>
          </w:tcPr>
          <w:p w:rsidR="005F4BFD" w:rsidRPr="002C30AA" w:rsidRDefault="008A36C9" w:rsidP="005B012D">
            <w:pPr>
              <w:pStyle w:val="naisc"/>
              <w:spacing w:before="0" w:after="0"/>
              <w:ind w:firstLine="720"/>
            </w:pPr>
            <w:r w:rsidRPr="002C30AA">
              <w:t>4</w:t>
            </w:r>
          </w:p>
        </w:tc>
        <w:tc>
          <w:tcPr>
            <w:tcW w:w="2459" w:type="dxa"/>
            <w:tcBorders>
              <w:top w:val="single" w:sz="4" w:space="0" w:color="auto"/>
              <w:left w:val="single" w:sz="4" w:space="0" w:color="auto"/>
              <w:bottom w:val="single" w:sz="4" w:space="0" w:color="auto"/>
              <w:right w:val="single" w:sz="4" w:space="0" w:color="auto"/>
            </w:tcBorders>
          </w:tcPr>
          <w:p w:rsidR="005F4BFD" w:rsidRPr="002C30AA" w:rsidRDefault="008A36C9" w:rsidP="005B012D">
            <w:pPr>
              <w:jc w:val="center"/>
            </w:pPr>
            <w:r w:rsidRPr="002C30AA">
              <w:t>5</w:t>
            </w:r>
          </w:p>
        </w:tc>
        <w:tc>
          <w:tcPr>
            <w:tcW w:w="1920" w:type="dxa"/>
            <w:tcBorders>
              <w:top w:val="single" w:sz="4" w:space="0" w:color="auto"/>
              <w:left w:val="single" w:sz="4" w:space="0" w:color="auto"/>
              <w:bottom w:val="single" w:sz="4" w:space="0" w:color="auto"/>
            </w:tcBorders>
          </w:tcPr>
          <w:p w:rsidR="005F4BFD" w:rsidRPr="002C30AA" w:rsidRDefault="008A36C9" w:rsidP="005B012D">
            <w:pPr>
              <w:jc w:val="center"/>
            </w:pPr>
            <w:r w:rsidRPr="002C30AA">
              <w:t>6</w:t>
            </w:r>
          </w:p>
        </w:tc>
      </w:tr>
      <w:tr w:rsidR="002C30AA" w:rsidRPr="002C30AA">
        <w:tc>
          <w:tcPr>
            <w:tcW w:w="708" w:type="dxa"/>
            <w:tcBorders>
              <w:left w:val="single" w:sz="6" w:space="0" w:color="000000"/>
              <w:bottom w:val="single" w:sz="4" w:space="0" w:color="auto"/>
              <w:right w:val="single" w:sz="6" w:space="0" w:color="000000"/>
            </w:tcBorders>
          </w:tcPr>
          <w:p w:rsidR="005F4BFD" w:rsidRPr="002C30AA" w:rsidRDefault="005F4BFD" w:rsidP="005B012D">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2C30AA" w:rsidRDefault="005F4BFD" w:rsidP="005B012D">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2C30AA" w:rsidRDefault="005F4BFD" w:rsidP="005B012D">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2C30AA" w:rsidRDefault="005F4BFD" w:rsidP="005B012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2C30AA" w:rsidRDefault="005F4BFD" w:rsidP="005B012D"/>
        </w:tc>
        <w:tc>
          <w:tcPr>
            <w:tcW w:w="1920" w:type="dxa"/>
            <w:tcBorders>
              <w:top w:val="single" w:sz="4" w:space="0" w:color="auto"/>
              <w:left w:val="single" w:sz="4" w:space="0" w:color="auto"/>
              <w:bottom w:val="single" w:sz="4" w:space="0" w:color="auto"/>
            </w:tcBorders>
          </w:tcPr>
          <w:p w:rsidR="005F4BFD" w:rsidRPr="002C30AA" w:rsidRDefault="005F4BFD" w:rsidP="005B012D"/>
        </w:tc>
      </w:tr>
      <w:tr w:rsidR="008A36C9" w:rsidRPr="002C30AA">
        <w:tc>
          <w:tcPr>
            <w:tcW w:w="708" w:type="dxa"/>
            <w:tcBorders>
              <w:left w:val="single" w:sz="6" w:space="0" w:color="000000"/>
              <w:bottom w:val="single" w:sz="4" w:space="0" w:color="auto"/>
              <w:right w:val="single" w:sz="6" w:space="0" w:color="000000"/>
            </w:tcBorders>
          </w:tcPr>
          <w:p w:rsidR="008A36C9" w:rsidRPr="002C30AA" w:rsidRDefault="008A36C9" w:rsidP="005B012D">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2C30AA" w:rsidRDefault="008A36C9" w:rsidP="005B012D">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2C30AA" w:rsidRDefault="008A36C9" w:rsidP="005B012D">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2C30AA" w:rsidRDefault="008A36C9" w:rsidP="005B012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2C30AA" w:rsidRDefault="008A36C9" w:rsidP="005B012D"/>
        </w:tc>
        <w:tc>
          <w:tcPr>
            <w:tcW w:w="1920" w:type="dxa"/>
            <w:tcBorders>
              <w:top w:val="single" w:sz="4" w:space="0" w:color="auto"/>
              <w:left w:val="single" w:sz="4" w:space="0" w:color="auto"/>
              <w:bottom w:val="single" w:sz="4" w:space="0" w:color="auto"/>
              <w:right w:val="single" w:sz="4" w:space="0" w:color="auto"/>
            </w:tcBorders>
          </w:tcPr>
          <w:p w:rsidR="008A36C9" w:rsidRPr="002C30AA" w:rsidRDefault="008A36C9" w:rsidP="005B012D"/>
        </w:tc>
      </w:tr>
    </w:tbl>
    <w:p w:rsidR="007B4C0F" w:rsidRPr="002C30AA" w:rsidRDefault="007B4C0F" w:rsidP="005B012D">
      <w:pPr>
        <w:pStyle w:val="naisf"/>
        <w:spacing w:before="0" w:after="0"/>
        <w:ind w:firstLine="0"/>
      </w:pPr>
    </w:p>
    <w:p w:rsidR="005D67F7" w:rsidRPr="002C30AA" w:rsidRDefault="005D67F7" w:rsidP="005B012D">
      <w:pPr>
        <w:pStyle w:val="naisf"/>
        <w:spacing w:before="0" w:after="0"/>
        <w:ind w:firstLine="0"/>
        <w:rPr>
          <w:b/>
        </w:rPr>
      </w:pPr>
      <w:r w:rsidRPr="002C30AA">
        <w:rPr>
          <w:b/>
        </w:rPr>
        <w:t>Informācija par starpministriju (starpinstitūciju) sanāksmi vai elektronisko saskaņošanu</w:t>
      </w:r>
    </w:p>
    <w:p w:rsidR="005D67F7" w:rsidRPr="002C30AA" w:rsidRDefault="005D67F7" w:rsidP="005B012D">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2C30AA" w:rsidRPr="002C30AA">
        <w:tc>
          <w:tcPr>
            <w:tcW w:w="6345" w:type="dxa"/>
          </w:tcPr>
          <w:p w:rsidR="007B4C0F" w:rsidRPr="002C30AA" w:rsidRDefault="005D67F7" w:rsidP="005B012D">
            <w:pPr>
              <w:pStyle w:val="naisf"/>
              <w:spacing w:before="0" w:after="0"/>
              <w:ind w:firstLine="0"/>
            </w:pPr>
            <w:r w:rsidRPr="002C30AA">
              <w:t>D</w:t>
            </w:r>
            <w:r w:rsidR="007B4C0F" w:rsidRPr="002C30AA">
              <w:t>atums</w:t>
            </w:r>
          </w:p>
        </w:tc>
        <w:tc>
          <w:tcPr>
            <w:tcW w:w="6237" w:type="dxa"/>
            <w:gridSpan w:val="2"/>
            <w:tcBorders>
              <w:bottom w:val="single" w:sz="4" w:space="0" w:color="auto"/>
            </w:tcBorders>
          </w:tcPr>
          <w:p w:rsidR="007B4C0F" w:rsidRPr="002C30AA" w:rsidRDefault="007B4C0F" w:rsidP="005B012D">
            <w:pPr>
              <w:pStyle w:val="NormalWeb"/>
              <w:spacing w:before="0" w:beforeAutospacing="0" w:after="0" w:afterAutospacing="0"/>
              <w:ind w:firstLine="720"/>
            </w:pPr>
          </w:p>
        </w:tc>
      </w:tr>
      <w:tr w:rsidR="002C30AA" w:rsidRPr="002C30AA">
        <w:tc>
          <w:tcPr>
            <w:tcW w:w="6345" w:type="dxa"/>
          </w:tcPr>
          <w:p w:rsidR="003C27A2" w:rsidRPr="002C30AA" w:rsidRDefault="003C27A2" w:rsidP="005B012D">
            <w:pPr>
              <w:pStyle w:val="naisf"/>
              <w:spacing w:before="0" w:after="0"/>
              <w:ind w:firstLine="0"/>
            </w:pPr>
          </w:p>
        </w:tc>
        <w:tc>
          <w:tcPr>
            <w:tcW w:w="6237" w:type="dxa"/>
            <w:gridSpan w:val="2"/>
            <w:tcBorders>
              <w:top w:val="single" w:sz="4" w:space="0" w:color="auto"/>
            </w:tcBorders>
          </w:tcPr>
          <w:p w:rsidR="003C27A2" w:rsidRPr="002C30AA" w:rsidRDefault="003C27A2" w:rsidP="005B012D">
            <w:pPr>
              <w:pStyle w:val="NormalWeb"/>
              <w:spacing w:before="0" w:beforeAutospacing="0" w:after="0" w:afterAutospacing="0"/>
              <w:ind w:firstLine="720"/>
            </w:pPr>
          </w:p>
        </w:tc>
      </w:tr>
      <w:tr w:rsidR="002C30AA" w:rsidRPr="002C30AA">
        <w:tc>
          <w:tcPr>
            <w:tcW w:w="6345" w:type="dxa"/>
          </w:tcPr>
          <w:p w:rsidR="007B4C0F" w:rsidRPr="002C30AA" w:rsidRDefault="00365CC0" w:rsidP="005B012D">
            <w:pPr>
              <w:pStyle w:val="naiskr"/>
              <w:spacing w:before="0" w:after="0"/>
            </w:pPr>
            <w:r w:rsidRPr="002C30AA">
              <w:t>Saskaņošanas dalībnieki</w:t>
            </w:r>
          </w:p>
        </w:tc>
        <w:tc>
          <w:tcPr>
            <w:tcW w:w="6237" w:type="dxa"/>
            <w:gridSpan w:val="2"/>
          </w:tcPr>
          <w:p w:rsidR="007B4C0F" w:rsidRPr="002C30AA" w:rsidRDefault="007B4C0F" w:rsidP="005B012D">
            <w:pPr>
              <w:pStyle w:val="NormalWeb"/>
              <w:spacing w:before="0" w:beforeAutospacing="0" w:after="0" w:afterAutospacing="0"/>
              <w:ind w:firstLine="720"/>
            </w:pPr>
          </w:p>
        </w:tc>
      </w:tr>
      <w:tr w:rsidR="002C30AA" w:rsidRPr="002C30AA">
        <w:tc>
          <w:tcPr>
            <w:tcW w:w="6345" w:type="dxa"/>
          </w:tcPr>
          <w:p w:rsidR="007B4C0F" w:rsidRPr="002C30AA" w:rsidRDefault="007B4C0F" w:rsidP="005B012D">
            <w:pPr>
              <w:pStyle w:val="naiskr"/>
              <w:spacing w:before="0" w:after="0"/>
              <w:ind w:firstLine="720"/>
            </w:pPr>
            <w:r w:rsidRPr="002C30AA">
              <w:t>  </w:t>
            </w:r>
          </w:p>
        </w:tc>
        <w:tc>
          <w:tcPr>
            <w:tcW w:w="6237" w:type="dxa"/>
            <w:gridSpan w:val="2"/>
            <w:tcBorders>
              <w:top w:val="single" w:sz="6" w:space="0" w:color="000000"/>
              <w:bottom w:val="single" w:sz="6" w:space="0" w:color="000000"/>
            </w:tcBorders>
          </w:tcPr>
          <w:p w:rsidR="007B4C0F" w:rsidRPr="002C30AA" w:rsidRDefault="007B4C0F" w:rsidP="005B012D">
            <w:pPr>
              <w:pStyle w:val="naiskr"/>
              <w:spacing w:before="0" w:after="0"/>
              <w:ind w:firstLine="720"/>
            </w:pPr>
          </w:p>
        </w:tc>
      </w:tr>
      <w:tr w:rsidR="002C30AA" w:rsidRPr="002C30AA">
        <w:trPr>
          <w:trHeight w:val="285"/>
        </w:trPr>
        <w:tc>
          <w:tcPr>
            <w:tcW w:w="6345" w:type="dxa"/>
          </w:tcPr>
          <w:p w:rsidR="000D0AED" w:rsidRPr="002C30AA" w:rsidRDefault="000D0AED" w:rsidP="005B012D">
            <w:pPr>
              <w:pStyle w:val="naiskr"/>
              <w:spacing w:before="0" w:after="0"/>
            </w:pPr>
          </w:p>
        </w:tc>
        <w:tc>
          <w:tcPr>
            <w:tcW w:w="1203" w:type="dxa"/>
          </w:tcPr>
          <w:p w:rsidR="000D0AED" w:rsidRPr="002C30AA" w:rsidRDefault="000D0AED" w:rsidP="005B012D">
            <w:pPr>
              <w:pStyle w:val="naiskr"/>
              <w:spacing w:before="0" w:after="0"/>
              <w:ind w:firstLine="720"/>
            </w:pPr>
          </w:p>
        </w:tc>
        <w:tc>
          <w:tcPr>
            <w:tcW w:w="5034" w:type="dxa"/>
          </w:tcPr>
          <w:p w:rsidR="000D0AED" w:rsidRPr="002C30AA" w:rsidRDefault="000D0AED" w:rsidP="005B012D">
            <w:pPr>
              <w:pStyle w:val="naiskr"/>
              <w:spacing w:before="0" w:after="0"/>
              <w:ind w:firstLine="12"/>
            </w:pPr>
          </w:p>
        </w:tc>
      </w:tr>
    </w:tbl>
    <w:p w:rsidR="008A36C9" w:rsidRPr="002C30AA" w:rsidRDefault="008A36C9" w:rsidP="005B012D">
      <w:r w:rsidRPr="002C30AA">
        <w:br w:type="page"/>
      </w:r>
    </w:p>
    <w:tbl>
      <w:tblPr>
        <w:tblW w:w="12582" w:type="dxa"/>
        <w:tblLook w:val="00A0" w:firstRow="1" w:lastRow="0" w:firstColumn="1" w:lastColumn="0" w:noHBand="0" w:noVBand="0"/>
      </w:tblPr>
      <w:tblGrid>
        <w:gridCol w:w="6708"/>
        <w:gridCol w:w="840"/>
        <w:gridCol w:w="5034"/>
      </w:tblGrid>
      <w:tr w:rsidR="002C30AA" w:rsidRPr="002C30AA">
        <w:trPr>
          <w:trHeight w:val="285"/>
        </w:trPr>
        <w:tc>
          <w:tcPr>
            <w:tcW w:w="6708" w:type="dxa"/>
          </w:tcPr>
          <w:p w:rsidR="007B4C0F" w:rsidRPr="002C30AA" w:rsidRDefault="00365CC0" w:rsidP="005B012D">
            <w:pPr>
              <w:pStyle w:val="naiskr"/>
              <w:spacing w:before="0" w:after="0"/>
            </w:pPr>
            <w:r w:rsidRPr="002C30AA">
              <w:lastRenderedPageBreak/>
              <w:t xml:space="preserve">Saskaņošanas dalībnieki </w:t>
            </w:r>
            <w:r w:rsidR="007B4C0F" w:rsidRPr="002C30AA">
              <w:t>izskatīja</w:t>
            </w:r>
            <w:r w:rsidR="005D67F7" w:rsidRPr="002C30AA">
              <w:t xml:space="preserve"> šādu ministriju </w:t>
            </w:r>
            <w:r w:rsidR="003E4C3F" w:rsidRPr="002C30AA">
              <w:t>(c</w:t>
            </w:r>
            <w:r w:rsidR="005D67F7" w:rsidRPr="002C30AA">
              <w:t>itu institūciju</w:t>
            </w:r>
            <w:r w:rsidR="003E4C3F" w:rsidRPr="002C30AA">
              <w:t>)</w:t>
            </w:r>
            <w:r w:rsidR="005D67F7" w:rsidRPr="002C30AA">
              <w:t xml:space="preserve"> iebildumus</w:t>
            </w:r>
          </w:p>
        </w:tc>
        <w:tc>
          <w:tcPr>
            <w:tcW w:w="840" w:type="dxa"/>
          </w:tcPr>
          <w:p w:rsidR="007B4C0F" w:rsidRPr="002C30AA" w:rsidRDefault="007B4C0F" w:rsidP="005B012D">
            <w:pPr>
              <w:pStyle w:val="naiskr"/>
              <w:spacing w:before="0" w:after="0"/>
              <w:ind w:firstLine="720"/>
            </w:pPr>
          </w:p>
        </w:tc>
        <w:tc>
          <w:tcPr>
            <w:tcW w:w="5034" w:type="dxa"/>
          </w:tcPr>
          <w:p w:rsidR="007B4C0F" w:rsidRPr="002C30AA" w:rsidRDefault="007B4C0F" w:rsidP="005B012D">
            <w:pPr>
              <w:pStyle w:val="naiskr"/>
              <w:spacing w:before="0" w:after="0"/>
              <w:ind w:firstLine="12"/>
            </w:pPr>
          </w:p>
        </w:tc>
      </w:tr>
      <w:tr w:rsidR="002C30AA" w:rsidRPr="002C30AA">
        <w:trPr>
          <w:trHeight w:val="465"/>
        </w:trPr>
        <w:tc>
          <w:tcPr>
            <w:tcW w:w="6708" w:type="dxa"/>
          </w:tcPr>
          <w:p w:rsidR="003C27A2" w:rsidRPr="002C30AA" w:rsidRDefault="003C27A2" w:rsidP="005B012D">
            <w:pPr>
              <w:pStyle w:val="naiskr"/>
              <w:spacing w:before="0" w:after="0"/>
              <w:ind w:firstLine="720"/>
            </w:pPr>
            <w:r w:rsidRPr="002C30AA">
              <w:t>  </w:t>
            </w:r>
          </w:p>
        </w:tc>
        <w:tc>
          <w:tcPr>
            <w:tcW w:w="5874" w:type="dxa"/>
            <w:gridSpan w:val="2"/>
            <w:tcBorders>
              <w:top w:val="single" w:sz="6" w:space="0" w:color="000000"/>
              <w:bottom w:val="single" w:sz="6" w:space="0" w:color="000000"/>
            </w:tcBorders>
          </w:tcPr>
          <w:p w:rsidR="003C27A2" w:rsidRPr="002C30AA" w:rsidRDefault="003C27A2" w:rsidP="005B012D">
            <w:pPr>
              <w:pStyle w:val="NormalWeb"/>
              <w:spacing w:before="0" w:beforeAutospacing="0" w:after="0" w:afterAutospacing="0"/>
              <w:ind w:firstLine="720"/>
            </w:pPr>
          </w:p>
        </w:tc>
      </w:tr>
      <w:tr w:rsidR="002C30AA" w:rsidRPr="002C30AA">
        <w:trPr>
          <w:trHeight w:val="465"/>
        </w:trPr>
        <w:tc>
          <w:tcPr>
            <w:tcW w:w="12582" w:type="dxa"/>
            <w:gridSpan w:val="3"/>
          </w:tcPr>
          <w:p w:rsidR="007B4C0F" w:rsidRPr="002C30AA" w:rsidRDefault="007B4C0F" w:rsidP="005B012D">
            <w:pPr>
              <w:pStyle w:val="naisc"/>
              <w:spacing w:before="0" w:after="0"/>
              <w:ind w:left="4820" w:firstLine="720"/>
            </w:pPr>
          </w:p>
        </w:tc>
      </w:tr>
      <w:tr w:rsidR="002C30AA" w:rsidRPr="002C30AA">
        <w:tc>
          <w:tcPr>
            <w:tcW w:w="6708" w:type="dxa"/>
          </w:tcPr>
          <w:p w:rsidR="007B4C0F" w:rsidRPr="002C30AA" w:rsidRDefault="007B4C0F" w:rsidP="005B012D">
            <w:pPr>
              <w:pStyle w:val="naiskr"/>
              <w:spacing w:before="0" w:after="0"/>
            </w:pPr>
            <w:r w:rsidRPr="002C30AA">
              <w:t>Ministrijas (citas institūcijas), kuras nav ieradušās uz sanāksmi vai kuras nav atbildējušas uz uzaicinājumu piedalīties elektroniskajā saskaņošanā</w:t>
            </w:r>
          </w:p>
        </w:tc>
        <w:tc>
          <w:tcPr>
            <w:tcW w:w="5874" w:type="dxa"/>
            <w:gridSpan w:val="2"/>
          </w:tcPr>
          <w:p w:rsidR="007B4C0F" w:rsidRPr="002C30AA" w:rsidRDefault="007B4C0F" w:rsidP="005B012D">
            <w:pPr>
              <w:pStyle w:val="naiskr"/>
              <w:spacing w:before="0" w:after="0"/>
              <w:ind w:firstLine="720"/>
            </w:pPr>
          </w:p>
        </w:tc>
      </w:tr>
      <w:tr w:rsidR="002C30AA" w:rsidRPr="002C30AA">
        <w:tc>
          <w:tcPr>
            <w:tcW w:w="6708" w:type="dxa"/>
          </w:tcPr>
          <w:p w:rsidR="007B4C0F" w:rsidRPr="002C30AA" w:rsidRDefault="007B4C0F" w:rsidP="005B012D">
            <w:pPr>
              <w:pStyle w:val="naiskr"/>
              <w:spacing w:before="0" w:after="0"/>
              <w:ind w:firstLine="720"/>
            </w:pPr>
            <w:r w:rsidRPr="002C30AA">
              <w:t>  </w:t>
            </w:r>
          </w:p>
        </w:tc>
        <w:tc>
          <w:tcPr>
            <w:tcW w:w="5874" w:type="dxa"/>
            <w:gridSpan w:val="2"/>
            <w:tcBorders>
              <w:top w:val="single" w:sz="6" w:space="0" w:color="000000"/>
              <w:bottom w:val="single" w:sz="6" w:space="0" w:color="000000"/>
            </w:tcBorders>
          </w:tcPr>
          <w:p w:rsidR="007B4C0F" w:rsidRPr="002C30AA" w:rsidRDefault="007B4C0F" w:rsidP="005B012D">
            <w:pPr>
              <w:pStyle w:val="naiskr"/>
              <w:spacing w:before="0" w:after="0"/>
              <w:ind w:firstLine="720"/>
            </w:pPr>
          </w:p>
        </w:tc>
      </w:tr>
      <w:tr w:rsidR="007B4C0F" w:rsidRPr="002C30AA">
        <w:tc>
          <w:tcPr>
            <w:tcW w:w="6708" w:type="dxa"/>
          </w:tcPr>
          <w:p w:rsidR="007B4C0F" w:rsidRPr="002C30AA" w:rsidRDefault="007B4C0F" w:rsidP="005B012D">
            <w:pPr>
              <w:pStyle w:val="naiskr"/>
              <w:spacing w:before="0" w:after="0"/>
              <w:ind w:firstLine="720"/>
            </w:pPr>
            <w:r w:rsidRPr="002C30AA">
              <w:t>  </w:t>
            </w:r>
          </w:p>
        </w:tc>
        <w:tc>
          <w:tcPr>
            <w:tcW w:w="5874" w:type="dxa"/>
            <w:gridSpan w:val="2"/>
            <w:tcBorders>
              <w:bottom w:val="single" w:sz="6" w:space="0" w:color="000000"/>
            </w:tcBorders>
          </w:tcPr>
          <w:p w:rsidR="007B4C0F" w:rsidRPr="002C30AA" w:rsidRDefault="007B4C0F" w:rsidP="005B012D">
            <w:pPr>
              <w:pStyle w:val="naiskr"/>
              <w:spacing w:before="0" w:after="0"/>
              <w:ind w:firstLine="720"/>
            </w:pPr>
          </w:p>
        </w:tc>
      </w:tr>
    </w:tbl>
    <w:p w:rsidR="00683081" w:rsidRPr="002C30AA" w:rsidRDefault="00683081" w:rsidP="005B012D">
      <w:pPr>
        <w:pStyle w:val="naisf"/>
        <w:spacing w:before="0" w:after="0"/>
        <w:ind w:firstLine="720"/>
      </w:pPr>
    </w:p>
    <w:p w:rsidR="007B4C0F" w:rsidRPr="002C30AA" w:rsidRDefault="007B4C0F" w:rsidP="005B012D">
      <w:pPr>
        <w:pStyle w:val="naisf"/>
        <w:spacing w:before="0" w:after="0"/>
        <w:ind w:firstLine="0"/>
        <w:jc w:val="center"/>
        <w:rPr>
          <w:b/>
        </w:rPr>
      </w:pPr>
      <w:r w:rsidRPr="002C30AA">
        <w:rPr>
          <w:b/>
        </w:rPr>
        <w:t>II. </w:t>
      </w:r>
      <w:r w:rsidR="00134188" w:rsidRPr="002C30AA">
        <w:rPr>
          <w:b/>
        </w:rPr>
        <w:t>Jautājumi, par kuriem saskaņošanā vienošan</w:t>
      </w:r>
      <w:r w:rsidR="00144622" w:rsidRPr="002C30AA">
        <w:rPr>
          <w:b/>
        </w:rPr>
        <w:t>ā</w:t>
      </w:r>
      <w:r w:rsidR="00134188" w:rsidRPr="002C30AA">
        <w:rPr>
          <w:b/>
        </w:rPr>
        <w:t>s ir panākta</w:t>
      </w:r>
    </w:p>
    <w:p w:rsidR="007B4C0F" w:rsidRPr="002C30AA" w:rsidRDefault="007B4C0F" w:rsidP="005B012D">
      <w:pPr>
        <w:pStyle w:val="naisf"/>
        <w:spacing w:before="0" w:after="0"/>
        <w:ind w:firstLine="720"/>
      </w:pPr>
    </w:p>
    <w:tbl>
      <w:tblPr>
        <w:tblW w:w="15026"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00"/>
        <w:gridCol w:w="686"/>
        <w:gridCol w:w="4394"/>
        <w:gridCol w:w="1099"/>
        <w:gridCol w:w="2929"/>
        <w:gridCol w:w="2809"/>
      </w:tblGrid>
      <w:tr w:rsidR="002C30AA" w:rsidRPr="002C30AA" w:rsidTr="00C650DB">
        <w:tc>
          <w:tcPr>
            <w:tcW w:w="709" w:type="dxa"/>
            <w:tcBorders>
              <w:top w:val="single" w:sz="6" w:space="0" w:color="000000"/>
              <w:left w:val="single" w:sz="6" w:space="0" w:color="000000"/>
              <w:bottom w:val="single" w:sz="6" w:space="0" w:color="000000"/>
              <w:right w:val="single" w:sz="6" w:space="0" w:color="000000"/>
            </w:tcBorders>
            <w:vAlign w:val="center"/>
          </w:tcPr>
          <w:p w:rsidR="00134188" w:rsidRPr="002C30AA" w:rsidRDefault="00134188" w:rsidP="000E557A">
            <w:pPr>
              <w:pStyle w:val="naisc"/>
              <w:spacing w:before="0" w:after="0"/>
              <w:ind w:right="33"/>
              <w:jc w:val="left"/>
            </w:pPr>
            <w:r w:rsidRPr="002C30AA">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2C30AA" w:rsidRDefault="00134188" w:rsidP="005B012D">
            <w:pPr>
              <w:pStyle w:val="naisc"/>
              <w:spacing w:before="0" w:after="0"/>
              <w:ind w:firstLine="12"/>
            </w:pPr>
            <w:r w:rsidRPr="002C30AA">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2C30AA" w:rsidRDefault="00134188" w:rsidP="005B012D">
            <w:pPr>
              <w:pStyle w:val="naisc"/>
              <w:spacing w:before="0" w:after="0"/>
              <w:ind w:right="3"/>
            </w:pPr>
            <w:r w:rsidRPr="002C30AA">
              <w:t>Atzinumā norādītais ministrijas (citas institūcijas) iebildums, kā arī saskaņošanā papildus izteiktais iebildums par projekta konkrēto punktu (pantu)</w:t>
            </w:r>
          </w:p>
        </w:tc>
        <w:tc>
          <w:tcPr>
            <w:tcW w:w="4028" w:type="dxa"/>
            <w:gridSpan w:val="2"/>
            <w:tcBorders>
              <w:top w:val="single" w:sz="6" w:space="0" w:color="000000"/>
              <w:left w:val="single" w:sz="6" w:space="0" w:color="000000"/>
              <w:bottom w:val="single" w:sz="6" w:space="0" w:color="000000"/>
              <w:right w:val="single" w:sz="6" w:space="0" w:color="000000"/>
            </w:tcBorders>
            <w:vAlign w:val="center"/>
          </w:tcPr>
          <w:p w:rsidR="00134188" w:rsidRPr="002C30AA" w:rsidRDefault="00134188" w:rsidP="005B012D">
            <w:pPr>
              <w:pStyle w:val="naisc"/>
              <w:spacing w:before="0" w:after="0"/>
              <w:ind w:firstLine="21"/>
            </w:pPr>
            <w:r w:rsidRPr="002C30AA">
              <w:t>Atbildīgās ministrijas norāde</w:t>
            </w:r>
            <w:r w:rsidR="006C1C48" w:rsidRPr="002C30AA">
              <w:t xml:space="preserve"> par to, ka </w:t>
            </w:r>
            <w:r w:rsidRPr="002C30AA">
              <w:t>iebildums ir ņemts vērā</w:t>
            </w:r>
            <w:r w:rsidR="006455E7" w:rsidRPr="002C30AA">
              <w:t>,</w:t>
            </w:r>
            <w:r w:rsidRPr="002C30AA">
              <w:t xml:space="preserve"> vai </w:t>
            </w:r>
            <w:r w:rsidR="006C1C48" w:rsidRPr="002C30AA">
              <w:t xml:space="preserve">informācija par saskaņošanā </w:t>
            </w:r>
            <w:r w:rsidR="00022B0F" w:rsidRPr="002C30AA">
              <w:t>panākto alternatīvo risinājumu</w:t>
            </w:r>
          </w:p>
        </w:tc>
        <w:tc>
          <w:tcPr>
            <w:tcW w:w="2809" w:type="dxa"/>
            <w:tcBorders>
              <w:top w:val="single" w:sz="4" w:space="0" w:color="auto"/>
              <w:left w:val="single" w:sz="4" w:space="0" w:color="auto"/>
              <w:bottom w:val="single" w:sz="4" w:space="0" w:color="auto"/>
            </w:tcBorders>
            <w:vAlign w:val="center"/>
          </w:tcPr>
          <w:p w:rsidR="00134188" w:rsidRPr="002C30AA" w:rsidRDefault="00134188" w:rsidP="005B012D">
            <w:pPr>
              <w:jc w:val="center"/>
            </w:pPr>
            <w:r w:rsidRPr="002C30AA">
              <w:t>Projekta attiecīgā punkta (panta) galīgā redakcija</w:t>
            </w:r>
          </w:p>
        </w:tc>
      </w:tr>
      <w:tr w:rsidR="002C30AA" w:rsidRPr="002C30AA" w:rsidTr="00C650DB">
        <w:tc>
          <w:tcPr>
            <w:tcW w:w="709" w:type="dxa"/>
            <w:tcBorders>
              <w:top w:val="single" w:sz="6" w:space="0" w:color="000000"/>
              <w:left w:val="single" w:sz="6" w:space="0" w:color="000000"/>
              <w:bottom w:val="single" w:sz="6" w:space="0" w:color="000000"/>
              <w:right w:val="single" w:sz="6" w:space="0" w:color="000000"/>
            </w:tcBorders>
          </w:tcPr>
          <w:p w:rsidR="00134188" w:rsidRPr="002C30AA" w:rsidRDefault="003B71E0" w:rsidP="000E557A">
            <w:pPr>
              <w:pStyle w:val="naisc"/>
              <w:spacing w:before="0" w:after="0"/>
              <w:ind w:right="33"/>
              <w:rPr>
                <w:i/>
              </w:rPr>
            </w:pPr>
            <w:r w:rsidRPr="002C30AA">
              <w:rPr>
                <w:i/>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2C30AA" w:rsidRDefault="00F34AAB" w:rsidP="000E557A">
            <w:pPr>
              <w:pStyle w:val="naisc"/>
              <w:spacing w:before="0" w:after="0"/>
              <w:ind w:firstLine="720"/>
              <w:rPr>
                <w:i/>
              </w:rPr>
            </w:pPr>
            <w:r w:rsidRPr="002C30AA">
              <w:rPr>
                <w:i/>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2C30AA" w:rsidRDefault="003B71E0" w:rsidP="000E557A">
            <w:pPr>
              <w:pStyle w:val="naisc"/>
              <w:spacing w:before="0" w:after="0"/>
              <w:ind w:firstLine="720"/>
              <w:rPr>
                <w:i/>
              </w:rPr>
            </w:pPr>
            <w:r w:rsidRPr="002C30AA">
              <w:rPr>
                <w:i/>
              </w:rPr>
              <w:t>3</w:t>
            </w:r>
          </w:p>
        </w:tc>
        <w:tc>
          <w:tcPr>
            <w:tcW w:w="4028" w:type="dxa"/>
            <w:gridSpan w:val="2"/>
            <w:tcBorders>
              <w:top w:val="single" w:sz="6" w:space="0" w:color="000000"/>
              <w:left w:val="single" w:sz="6" w:space="0" w:color="000000"/>
              <w:bottom w:val="single" w:sz="6" w:space="0" w:color="000000"/>
              <w:right w:val="single" w:sz="6" w:space="0" w:color="000000"/>
            </w:tcBorders>
          </w:tcPr>
          <w:p w:rsidR="00134188" w:rsidRPr="002C30AA" w:rsidRDefault="003B71E0" w:rsidP="000E557A">
            <w:pPr>
              <w:pStyle w:val="naisc"/>
              <w:spacing w:before="0" w:after="0"/>
              <w:ind w:firstLine="720"/>
              <w:rPr>
                <w:i/>
              </w:rPr>
            </w:pPr>
            <w:r w:rsidRPr="002C30AA">
              <w:rPr>
                <w:i/>
              </w:rPr>
              <w:t>4</w:t>
            </w:r>
          </w:p>
        </w:tc>
        <w:tc>
          <w:tcPr>
            <w:tcW w:w="2809" w:type="dxa"/>
            <w:tcBorders>
              <w:top w:val="single" w:sz="4" w:space="0" w:color="auto"/>
              <w:left w:val="single" w:sz="4" w:space="0" w:color="auto"/>
              <w:bottom w:val="single" w:sz="4" w:space="0" w:color="auto"/>
            </w:tcBorders>
          </w:tcPr>
          <w:p w:rsidR="00134188" w:rsidRPr="002C30AA" w:rsidRDefault="003B71E0" w:rsidP="000E557A">
            <w:pPr>
              <w:jc w:val="center"/>
              <w:rPr>
                <w:i/>
              </w:rPr>
            </w:pPr>
            <w:r w:rsidRPr="002C30AA">
              <w:rPr>
                <w:i/>
              </w:rPr>
              <w:t>5</w:t>
            </w:r>
          </w:p>
        </w:tc>
      </w:tr>
      <w:tr w:rsidR="002C30AA" w:rsidRPr="002C30AA" w:rsidTr="00C650DB">
        <w:tc>
          <w:tcPr>
            <w:tcW w:w="709" w:type="dxa"/>
            <w:tcBorders>
              <w:left w:val="single" w:sz="6" w:space="0" w:color="000000"/>
              <w:bottom w:val="single" w:sz="4" w:space="0" w:color="auto"/>
              <w:right w:val="single" w:sz="6" w:space="0" w:color="000000"/>
            </w:tcBorders>
          </w:tcPr>
          <w:p w:rsidR="000D6949" w:rsidRPr="002C30AA" w:rsidRDefault="000D6949" w:rsidP="000E557A">
            <w:pPr>
              <w:pStyle w:val="naisc"/>
              <w:numPr>
                <w:ilvl w:val="0"/>
                <w:numId w:val="8"/>
              </w:numPr>
              <w:tabs>
                <w:tab w:val="center" w:pos="492"/>
              </w:tabs>
              <w:spacing w:before="0" w:after="0"/>
              <w:ind w:right="33"/>
              <w:jc w:val="left"/>
            </w:pPr>
          </w:p>
        </w:tc>
        <w:tc>
          <w:tcPr>
            <w:tcW w:w="3086" w:type="dxa"/>
            <w:gridSpan w:val="2"/>
            <w:tcBorders>
              <w:left w:val="single" w:sz="6" w:space="0" w:color="000000"/>
              <w:bottom w:val="single" w:sz="4" w:space="0" w:color="auto"/>
              <w:right w:val="single" w:sz="6" w:space="0" w:color="000000"/>
            </w:tcBorders>
          </w:tcPr>
          <w:p w:rsidR="000D6949" w:rsidRPr="002C30AA" w:rsidRDefault="008D7187" w:rsidP="005B012D">
            <w:pPr>
              <w:pStyle w:val="naisc"/>
              <w:spacing w:before="0" w:after="0"/>
              <w:jc w:val="both"/>
            </w:pPr>
            <w:r w:rsidRPr="002C30AA">
              <w:t xml:space="preserve">ESF+ </w:t>
            </w:r>
            <w:r w:rsidR="00C4719A" w:rsidRPr="002C30AA">
              <w:t>p</w:t>
            </w:r>
            <w:r w:rsidR="005E7354" w:rsidRPr="002C30AA">
              <w:t>rogrammas</w:t>
            </w:r>
            <w:r w:rsidR="00C4719A" w:rsidRPr="002C30AA">
              <w:t xml:space="preserve"> materiālās nenodrošinātības mazināšanai</w:t>
            </w:r>
            <w:r w:rsidR="005E7354" w:rsidRPr="002C30AA">
              <w:t xml:space="preserve"> projekta 1.1. un 1.2. sadaļa.</w:t>
            </w:r>
          </w:p>
        </w:tc>
        <w:tc>
          <w:tcPr>
            <w:tcW w:w="4394" w:type="dxa"/>
            <w:tcBorders>
              <w:left w:val="single" w:sz="6" w:space="0" w:color="000000"/>
              <w:bottom w:val="single" w:sz="4" w:space="0" w:color="auto"/>
              <w:right w:val="single" w:sz="6" w:space="0" w:color="000000"/>
            </w:tcBorders>
          </w:tcPr>
          <w:p w:rsidR="00D92122" w:rsidRPr="002C30AA" w:rsidRDefault="00D92122" w:rsidP="005B012D">
            <w:pPr>
              <w:pStyle w:val="naisc"/>
              <w:spacing w:before="0" w:after="0"/>
              <w:jc w:val="both"/>
              <w:rPr>
                <w:b/>
              </w:rPr>
            </w:pPr>
            <w:r w:rsidRPr="002C30AA">
              <w:rPr>
                <w:b/>
              </w:rPr>
              <w:t>Latvijas Darba devēju konfederācija</w:t>
            </w:r>
          </w:p>
          <w:p w:rsidR="000D6949" w:rsidRPr="002C30AA" w:rsidRDefault="00937E0D" w:rsidP="005B012D">
            <w:pPr>
              <w:pStyle w:val="naisc"/>
              <w:spacing w:before="0" w:after="0"/>
              <w:jc w:val="both"/>
              <w:rPr>
                <w:b/>
              </w:rPr>
            </w:pPr>
            <w:r w:rsidRPr="002C30AA">
              <w:rPr>
                <w:b/>
              </w:rPr>
              <w:t>Iebildums</w:t>
            </w:r>
          </w:p>
          <w:p w:rsidR="000D6949" w:rsidRPr="002C30AA" w:rsidRDefault="000D6949" w:rsidP="005B012D">
            <w:pPr>
              <w:pStyle w:val="naisc"/>
              <w:spacing w:before="0" w:after="0"/>
              <w:jc w:val="both"/>
            </w:pPr>
            <w:r w:rsidRPr="002C30AA">
              <w:t xml:space="preserve">Ņemot vērā, ka projekta “Eiropas Sociālā fonda plus programma materiālās nenodrošinātības mazināšana” īstenošana ir vērsta uz konkrētām mājsaimniecībām, izvērtējot to aktuālo nepieciešamību pēc atbalsta, Projektā nav nepieciešams dažādu sociālo grupu nabadzības risku un nabadzības dziļuma rādītāju izvērsts salīdzinājums, LDDK ieskatā tas Projektā nav jāizvērš. Savukārt, ja LM ieskatā tāds tomēr ir nepieciešams, tad to vajadzētu veidot, piemērojot Latvijas mājsaimniecību </w:t>
            </w:r>
            <w:r w:rsidRPr="002C30AA">
              <w:lastRenderedPageBreak/>
              <w:t>izdevumu struktūrai atbilstīgāku ekvivalences skalu.</w:t>
            </w:r>
          </w:p>
        </w:tc>
        <w:tc>
          <w:tcPr>
            <w:tcW w:w="4028" w:type="dxa"/>
            <w:gridSpan w:val="2"/>
            <w:tcBorders>
              <w:left w:val="single" w:sz="6" w:space="0" w:color="000000"/>
              <w:bottom w:val="single" w:sz="4" w:space="0" w:color="auto"/>
              <w:right w:val="single" w:sz="6" w:space="0" w:color="000000"/>
            </w:tcBorders>
          </w:tcPr>
          <w:p w:rsidR="000D6949" w:rsidRPr="002C30AA" w:rsidRDefault="00605D34" w:rsidP="005B012D">
            <w:pPr>
              <w:pStyle w:val="naisc"/>
              <w:spacing w:before="0" w:after="0"/>
              <w:ind w:firstLine="34"/>
              <w:jc w:val="both"/>
              <w:rPr>
                <w:b/>
              </w:rPr>
            </w:pPr>
            <w:r w:rsidRPr="002C30AA">
              <w:rPr>
                <w:b/>
              </w:rPr>
              <w:lastRenderedPageBreak/>
              <w:t>Ņ</w:t>
            </w:r>
            <w:r w:rsidR="00A523D9" w:rsidRPr="002C30AA">
              <w:rPr>
                <w:b/>
              </w:rPr>
              <w:t>emts vērā.</w:t>
            </w:r>
          </w:p>
          <w:p w:rsidR="00344B44" w:rsidRPr="002C30AA" w:rsidRDefault="00AF6B57" w:rsidP="005B012D">
            <w:pPr>
              <w:pStyle w:val="naisc"/>
              <w:spacing w:before="0" w:after="0"/>
              <w:ind w:firstLine="34"/>
              <w:jc w:val="both"/>
            </w:pPr>
            <w:r w:rsidRPr="002C30AA">
              <w:t>LM skaidro</w:t>
            </w:r>
            <w:r w:rsidR="00273023" w:rsidRPr="002C30AA">
              <w:t>, ka ESF</w:t>
            </w:r>
            <w:r w:rsidR="00C4719A" w:rsidRPr="002C30AA">
              <w:t>+ p</w:t>
            </w:r>
            <w:r w:rsidR="00273023" w:rsidRPr="002C30AA">
              <w:t>rogrammas materiālās nenodrošinātības mazināšanai projekts balstās uz 02.07.2020. Saeimā apstiprināto plānošanas dokumentu NAP2027, kas paredz pasākumus materiālās nenodrošinātības mazināšanai v</w:t>
            </w:r>
            <w:r w:rsidR="00344B44" w:rsidRPr="002C30AA">
              <w:t>alstī nākamajos septiņos gados.</w:t>
            </w:r>
          </w:p>
          <w:p w:rsidR="001E116B" w:rsidRPr="002C30AA" w:rsidRDefault="00273023" w:rsidP="005B012D">
            <w:pPr>
              <w:pStyle w:val="naisc"/>
              <w:spacing w:before="0" w:after="0"/>
              <w:ind w:firstLine="34"/>
              <w:jc w:val="both"/>
            </w:pPr>
            <w:r w:rsidRPr="002C30AA">
              <w:t xml:space="preserve">NAP2027 </w:t>
            </w:r>
            <w:r w:rsidR="007A5107" w:rsidRPr="002C30AA">
              <w:t xml:space="preserve">citu starpā </w:t>
            </w:r>
            <w:r w:rsidRPr="002C30AA">
              <w:t>norādītie p</w:t>
            </w:r>
            <w:r w:rsidR="001E116B" w:rsidRPr="002C30AA">
              <w:t xml:space="preserve">rogresa rādītāji </w:t>
            </w:r>
            <w:r w:rsidR="00244769" w:rsidRPr="002C30AA">
              <w:t>(ar bāzes vērtību 2018. gadā)</w:t>
            </w:r>
            <w:r w:rsidRPr="002C30AA">
              <w:t xml:space="preserve"> ir šādi:</w:t>
            </w:r>
          </w:p>
          <w:p w:rsidR="001E116B" w:rsidRPr="002C30AA" w:rsidRDefault="001E116B" w:rsidP="005B012D">
            <w:pPr>
              <w:pStyle w:val="naisc"/>
              <w:numPr>
                <w:ilvl w:val="0"/>
                <w:numId w:val="6"/>
              </w:numPr>
              <w:spacing w:before="0" w:after="0"/>
              <w:ind w:left="176" w:hanging="142"/>
              <w:jc w:val="both"/>
            </w:pPr>
            <w:r w:rsidRPr="002C30AA">
              <w:t>Nabadzības riska indekss pensionāriem vecumā 65+ gadi</w:t>
            </w:r>
          </w:p>
          <w:p w:rsidR="001E116B" w:rsidRPr="002C30AA" w:rsidRDefault="001E116B" w:rsidP="005B012D">
            <w:pPr>
              <w:pStyle w:val="naisc"/>
              <w:numPr>
                <w:ilvl w:val="0"/>
                <w:numId w:val="6"/>
              </w:numPr>
              <w:spacing w:before="0" w:after="0"/>
              <w:ind w:left="176" w:hanging="142"/>
              <w:jc w:val="both"/>
            </w:pPr>
            <w:r w:rsidRPr="002C30AA">
              <w:lastRenderedPageBreak/>
              <w:t>Nabadzības riska indekss ģimenēm, kurās bērnus audzina viens pieaugušais</w:t>
            </w:r>
          </w:p>
          <w:p w:rsidR="001E116B" w:rsidRPr="002C30AA" w:rsidRDefault="001E116B" w:rsidP="005B012D">
            <w:pPr>
              <w:pStyle w:val="naisc"/>
              <w:numPr>
                <w:ilvl w:val="0"/>
                <w:numId w:val="6"/>
              </w:numPr>
              <w:spacing w:before="0" w:after="0"/>
              <w:ind w:left="176" w:hanging="142"/>
              <w:jc w:val="both"/>
            </w:pPr>
            <w:r w:rsidRPr="002C30AA">
              <w:t>Nabadzības riska indekss mājsaimniecībām, ko veido divi pieaugušie un trīs un vairāk apgādībā esoši bērni</w:t>
            </w:r>
            <w:r w:rsidR="00937E0D" w:rsidRPr="002C30AA">
              <w:t>.</w:t>
            </w:r>
          </w:p>
          <w:p w:rsidR="00C0725F" w:rsidRPr="002C30AA" w:rsidRDefault="00344B44" w:rsidP="005B012D">
            <w:pPr>
              <w:pStyle w:val="naisc"/>
              <w:spacing w:before="0" w:after="0"/>
              <w:ind w:left="34"/>
              <w:jc w:val="both"/>
            </w:pPr>
            <w:r w:rsidRPr="002C30AA">
              <w:t xml:space="preserve">NAP2027 iekļautie rādītāji balstās LR CSP datos, </w:t>
            </w:r>
            <w:r w:rsidR="00537ECF" w:rsidRPr="002C30AA">
              <w:t>kuru aprēķināšanai ir izmantots apsekojums “</w:t>
            </w:r>
            <w:r w:rsidR="00F93D6D" w:rsidRPr="002C30AA">
              <w:t xml:space="preserve">ES </w:t>
            </w:r>
            <w:r w:rsidR="00537ECF" w:rsidRPr="002C30AA">
              <w:t xml:space="preserve">Statistika par ienākumiem un dzīves apstākļiem” (angļu valodā </w:t>
            </w:r>
            <w:r w:rsidR="00537ECF" w:rsidRPr="002C30AA">
              <w:rPr>
                <w:i/>
                <w:iCs/>
              </w:rPr>
              <w:t xml:space="preserve">European Union Statistics on Income and Living Conditions </w:t>
            </w:r>
            <w:r w:rsidR="00537ECF" w:rsidRPr="002C30AA">
              <w:t>– saīsināti EU-SILC). Šis apsekojums katru gadu pēc vienotas metodoloģijas tiek veikts visās ES dalībvalstīs.</w:t>
            </w:r>
          </w:p>
          <w:p w:rsidR="00344B44" w:rsidRPr="002C30AA" w:rsidRDefault="00344B44" w:rsidP="00D84726">
            <w:pPr>
              <w:pStyle w:val="naisc"/>
              <w:spacing w:before="0" w:after="0"/>
              <w:ind w:left="34"/>
              <w:jc w:val="both"/>
            </w:pPr>
            <w:r w:rsidRPr="002C30AA">
              <w:t xml:space="preserve">Šie </w:t>
            </w:r>
            <w:r w:rsidR="00C0725F" w:rsidRPr="002C30AA">
              <w:t>indikatori</w:t>
            </w:r>
            <w:r w:rsidRPr="002C30AA">
              <w:t xml:space="preserve"> tiek izmantoti kā mērķa rādītāji nabadzības un sociālās atstumtības mazināšanai dažādos starptautiskos un Latvijas dokumentos: stratēģija „Eiropa 2020”, ANO Ilgtspējīgas attīstības mērķi, Latvijas Nacionālās attīstīb</w:t>
            </w:r>
            <w:r w:rsidR="00C0725F" w:rsidRPr="002C30AA">
              <w:t>as plāns</w:t>
            </w:r>
            <w:r w:rsidRPr="002C30AA">
              <w:t>, Latvijas nacionālā reformu programma „E</w:t>
            </w:r>
            <w:r w:rsidR="00C0725F" w:rsidRPr="002C30AA">
              <w:t xml:space="preserve">S 2020” stratēģijas īstenošanai </w:t>
            </w:r>
            <w:r w:rsidRPr="002C30AA">
              <w:t>un Latvijas ilgtspējīgas attīstīb</w:t>
            </w:r>
            <w:r w:rsidR="00D84726" w:rsidRPr="002C30AA">
              <w:t>as stratēģija līdz 2030. gadam.</w:t>
            </w:r>
          </w:p>
          <w:p w:rsidR="000E2450" w:rsidRPr="002C30AA" w:rsidRDefault="00F93D6D" w:rsidP="005B012D">
            <w:pPr>
              <w:pStyle w:val="naisc"/>
              <w:spacing w:before="0" w:after="0"/>
              <w:ind w:left="34"/>
              <w:jc w:val="both"/>
            </w:pPr>
            <w:r w:rsidRPr="002C30AA">
              <w:t xml:space="preserve">ESF+ programmas materiālās nenodrošinātības mazināšanai </w:t>
            </w:r>
            <w:r w:rsidR="001E116B" w:rsidRPr="002C30AA">
              <w:t>projektā analizētie rādītāji</w:t>
            </w:r>
            <w:r w:rsidR="005108D9" w:rsidRPr="002C30AA">
              <w:t xml:space="preserve"> sakrīt ar NAP2027 progresa rādītājiem.</w:t>
            </w:r>
          </w:p>
          <w:p w:rsidR="001E116B" w:rsidRPr="002C30AA" w:rsidRDefault="005108D9" w:rsidP="005B012D">
            <w:pPr>
              <w:pStyle w:val="naisc"/>
              <w:spacing w:before="0" w:after="0"/>
              <w:ind w:left="34"/>
              <w:jc w:val="both"/>
            </w:pPr>
            <w:r w:rsidRPr="002C30AA">
              <w:lastRenderedPageBreak/>
              <w:t xml:space="preserve">Papildus </w:t>
            </w:r>
            <w:r w:rsidR="00F93D6D" w:rsidRPr="002C30AA">
              <w:t>ESF+ programmas materiālās nenodrošinātības mazināšanai</w:t>
            </w:r>
            <w:r w:rsidRPr="002C30AA">
              <w:t xml:space="preserve"> projektā apskatīts dziļas materiālās nenodrošinātības rādītājs.</w:t>
            </w:r>
          </w:p>
          <w:p w:rsidR="00A219CF" w:rsidRPr="002C30AA" w:rsidRDefault="000E2450" w:rsidP="00D84726">
            <w:pPr>
              <w:pStyle w:val="naisc"/>
              <w:spacing w:before="0" w:after="0"/>
              <w:ind w:left="34"/>
              <w:jc w:val="both"/>
            </w:pPr>
            <w:r w:rsidRPr="002C30AA">
              <w:t xml:space="preserve">Vienlaikus Latvijas situācija salīdzināta ar citu ES dalībvalstu situāciju, kas ir iespējams, piemērojot vienoto </w:t>
            </w:r>
            <w:r w:rsidR="00F455D7" w:rsidRPr="002C30AA">
              <w:t>metodoloģiju.</w:t>
            </w:r>
          </w:p>
          <w:p w:rsidR="001871A5" w:rsidRPr="002C30AA" w:rsidRDefault="00605D34" w:rsidP="00A8175D">
            <w:pPr>
              <w:pStyle w:val="naisc"/>
              <w:spacing w:before="0" w:after="0"/>
              <w:ind w:left="34"/>
              <w:jc w:val="both"/>
            </w:pPr>
            <w:r w:rsidRPr="002C30AA">
              <w:t xml:space="preserve">LM </w:t>
            </w:r>
            <w:r w:rsidR="002309AB" w:rsidRPr="002C30AA">
              <w:t>piekrīt LDDK</w:t>
            </w:r>
            <w:r w:rsidR="00A8175D" w:rsidRPr="002C30AA">
              <w:t xml:space="preserve"> ieteikumiem </w:t>
            </w:r>
            <w:r w:rsidR="002309AB" w:rsidRPr="002C30AA">
              <w:t xml:space="preserve">un </w:t>
            </w:r>
            <w:r w:rsidR="00043DBE" w:rsidRPr="002C30AA">
              <w:t>papildin</w:t>
            </w:r>
            <w:r w:rsidR="002309AB" w:rsidRPr="002C30AA">
              <w:t>āja</w:t>
            </w:r>
            <w:r w:rsidR="00043DBE" w:rsidRPr="002C30AA">
              <w:t xml:space="preserve"> ESF+ programmas materiālās nenodrošinātības mazināšanai projekta 1.1. sadaļu ar situācijas raksturojumu grupai “Mājsaimniecību īpatsvars zem minimālā ienākuma līmeņa pēc mājsaimniecības tipa un darba intensitātes”.</w:t>
            </w:r>
          </w:p>
        </w:tc>
        <w:tc>
          <w:tcPr>
            <w:tcW w:w="2809" w:type="dxa"/>
            <w:tcBorders>
              <w:top w:val="single" w:sz="4" w:space="0" w:color="auto"/>
              <w:left w:val="single" w:sz="4" w:space="0" w:color="auto"/>
              <w:bottom w:val="single" w:sz="4" w:space="0" w:color="auto"/>
            </w:tcBorders>
          </w:tcPr>
          <w:p w:rsidR="000D6949" w:rsidRPr="002C30AA" w:rsidRDefault="008D7187" w:rsidP="00A8175D">
            <w:pPr>
              <w:jc w:val="both"/>
            </w:pPr>
            <w:r w:rsidRPr="002C30AA">
              <w:lastRenderedPageBreak/>
              <w:t xml:space="preserve">ESF+ </w:t>
            </w:r>
            <w:r w:rsidR="00C4719A" w:rsidRPr="002C30AA">
              <w:t>p</w:t>
            </w:r>
            <w:r w:rsidRPr="002C30AA">
              <w:t>rogrammas</w:t>
            </w:r>
            <w:r w:rsidR="00C4719A" w:rsidRPr="002C30AA">
              <w:t xml:space="preserve"> materiālās nenodrošinātības mazināšanai</w:t>
            </w:r>
            <w:r w:rsidR="00A8175D" w:rsidRPr="002C30AA">
              <w:t xml:space="preserve"> projekta 1.1. sadaļas (3) rindkopa papildināta ar tekstu šādā redakcijā: </w:t>
            </w:r>
          </w:p>
          <w:p w:rsidR="00043DBE" w:rsidRPr="002C30AA" w:rsidRDefault="00A8175D" w:rsidP="00A8175D">
            <w:pPr>
              <w:jc w:val="both"/>
            </w:pPr>
            <w:r w:rsidRPr="002C30AA">
              <w:t>“</w:t>
            </w:r>
            <w:r w:rsidRPr="002C30AA">
              <w:rPr>
                <w:bCs/>
                <w:lang w:bidi="lv-LV"/>
              </w:rPr>
              <w:t>Savukārt vērtējot situāciju grupā “Mājsaimniecību īpatsvars zem minimālā ienākuma līmeņa pēc mājsaimniecības tipa un darba intensitātes”</w:t>
            </w:r>
            <w:r w:rsidRPr="002C30AA">
              <w:rPr>
                <w:bCs/>
                <w:vertAlign w:val="superscript"/>
                <w:lang w:bidi="lv-LV"/>
              </w:rPr>
              <w:footnoteReference w:id="1"/>
            </w:r>
            <w:r w:rsidRPr="002C30AA">
              <w:rPr>
                <w:bCs/>
                <w:lang w:bidi="lv-LV"/>
              </w:rPr>
              <w:t xml:space="preserve"> </w:t>
            </w:r>
            <w:r w:rsidRPr="002C30AA">
              <w:rPr>
                <w:bCs/>
                <w:lang w:bidi="lv-LV"/>
              </w:rPr>
              <w:lastRenderedPageBreak/>
              <w:t>secināts, ka  vienas personas mājsaimniecībām vecumā 65 gadi un vecākas ienākumu īpatsvars zem minimālā ienākuma līmeņa 2019. gadā ir bijis 7,1 % gadījumu, bet mājsaimniecībām ar diviem pieaugušajiem un diviem apgādībā esoši bērniem šis lielums bija 8,5 %, mājsaimniecībām ar diviem pieaugušajiem un trijiem apgādībā esoši bērniem – 10,1 % un viena pieaugušā mājsaimniecībām ar bērniem – 17,3 %. Viena pieaugušā mājsaimniecībām ar bērniem ir arī augstākais risks naudas trūkuma dēļ nespēt segt komunālo pakalpojumu rēķinus, īri vai atmaksāt kredītu</w:t>
            </w:r>
            <w:r w:rsidRPr="002C30AA">
              <w:rPr>
                <w:bCs/>
                <w:vertAlign w:val="superscript"/>
                <w:lang w:bidi="lv-LV"/>
              </w:rPr>
              <w:footnoteReference w:id="2"/>
            </w:r>
            <w:r w:rsidRPr="002C30AA">
              <w:rPr>
                <w:bCs/>
                <w:lang w:bidi="lv-LV"/>
              </w:rPr>
              <w:t>.</w:t>
            </w:r>
            <w:r w:rsidRPr="002C30AA">
              <w:t>”</w:t>
            </w:r>
          </w:p>
          <w:p w:rsidR="00043DBE" w:rsidRPr="002C30AA" w:rsidRDefault="00043DBE" w:rsidP="00A8175D">
            <w:pPr>
              <w:jc w:val="both"/>
            </w:pPr>
          </w:p>
        </w:tc>
      </w:tr>
      <w:tr w:rsidR="002C30AA" w:rsidRPr="002C30AA" w:rsidTr="00C650DB">
        <w:tc>
          <w:tcPr>
            <w:tcW w:w="709" w:type="dxa"/>
            <w:tcBorders>
              <w:left w:val="single" w:sz="6" w:space="0" w:color="000000"/>
              <w:bottom w:val="single" w:sz="4" w:space="0" w:color="auto"/>
              <w:right w:val="single" w:sz="6" w:space="0" w:color="000000"/>
            </w:tcBorders>
          </w:tcPr>
          <w:p w:rsidR="000D6949" w:rsidRPr="002C30AA" w:rsidRDefault="000D6949" w:rsidP="000E557A">
            <w:pPr>
              <w:pStyle w:val="naisc"/>
              <w:numPr>
                <w:ilvl w:val="0"/>
                <w:numId w:val="8"/>
              </w:numPr>
              <w:spacing w:before="0" w:after="0"/>
              <w:ind w:right="33"/>
              <w:jc w:val="left"/>
            </w:pPr>
          </w:p>
        </w:tc>
        <w:tc>
          <w:tcPr>
            <w:tcW w:w="3086" w:type="dxa"/>
            <w:gridSpan w:val="2"/>
            <w:tcBorders>
              <w:left w:val="single" w:sz="6" w:space="0" w:color="000000"/>
              <w:bottom w:val="single" w:sz="4" w:space="0" w:color="auto"/>
              <w:right w:val="single" w:sz="6" w:space="0" w:color="000000"/>
            </w:tcBorders>
          </w:tcPr>
          <w:p w:rsidR="000D6949" w:rsidRPr="002C30AA" w:rsidRDefault="000D6949"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jc w:val="both"/>
              <w:rPr>
                <w:b/>
              </w:rPr>
            </w:pPr>
            <w:r w:rsidRPr="002C30AA">
              <w:rPr>
                <w:b/>
              </w:rPr>
              <w:t>Pārresoru koordinācijas centrs</w:t>
            </w:r>
          </w:p>
          <w:p w:rsidR="00194953" w:rsidRPr="002C30AA" w:rsidRDefault="00194953" w:rsidP="005B012D">
            <w:pPr>
              <w:pStyle w:val="naisc"/>
              <w:spacing w:before="0" w:after="0"/>
              <w:jc w:val="both"/>
              <w:rPr>
                <w:b/>
              </w:rPr>
            </w:pPr>
            <w:r w:rsidRPr="002C30AA">
              <w:rPr>
                <w:b/>
              </w:rPr>
              <w:t>Priekšlikums</w:t>
            </w:r>
          </w:p>
          <w:p w:rsidR="000D6949" w:rsidRPr="002C30AA" w:rsidRDefault="00194953" w:rsidP="005B012D">
            <w:pPr>
              <w:pStyle w:val="naisc"/>
              <w:spacing w:before="0" w:after="0"/>
              <w:jc w:val="both"/>
            </w:pPr>
            <w:r w:rsidRPr="002C30AA">
              <w:t xml:space="preserve">Aicinām (2) </w:t>
            </w:r>
            <w:r w:rsidR="0049704B" w:rsidRPr="002C30AA">
              <w:t>paragrāfā</w:t>
            </w:r>
            <w:r w:rsidRPr="002C30AA">
              <w:t xml:space="preserve"> par nabadzības risku atsaukties uz 2019. gada datiem.</w:t>
            </w:r>
          </w:p>
        </w:tc>
        <w:tc>
          <w:tcPr>
            <w:tcW w:w="4028" w:type="dxa"/>
            <w:gridSpan w:val="2"/>
            <w:tcBorders>
              <w:left w:val="single" w:sz="6" w:space="0" w:color="000000"/>
              <w:bottom w:val="single" w:sz="4" w:space="0" w:color="auto"/>
              <w:right w:val="single" w:sz="6" w:space="0" w:color="000000"/>
            </w:tcBorders>
          </w:tcPr>
          <w:p w:rsidR="00E20842" w:rsidRPr="002C30AA" w:rsidRDefault="000A4D0A" w:rsidP="005B012D">
            <w:pPr>
              <w:pStyle w:val="naisc"/>
              <w:spacing w:before="0" w:after="0"/>
              <w:jc w:val="both"/>
              <w:rPr>
                <w:b/>
              </w:rPr>
            </w:pPr>
            <w:r w:rsidRPr="002C30AA">
              <w:rPr>
                <w:b/>
              </w:rPr>
              <w:t>Ņ</w:t>
            </w:r>
            <w:r w:rsidR="00E20842" w:rsidRPr="002C30AA">
              <w:rPr>
                <w:b/>
              </w:rPr>
              <w:t>emts vērā.</w:t>
            </w:r>
          </w:p>
          <w:p w:rsidR="000D6949" w:rsidRPr="002C30AA" w:rsidRDefault="000A4D0A" w:rsidP="008927BD">
            <w:pPr>
              <w:pStyle w:val="naisc"/>
              <w:spacing w:before="0" w:after="0"/>
              <w:jc w:val="both"/>
            </w:pPr>
            <w:r w:rsidRPr="002C30AA">
              <w:t>LM papildināja ESF+ programmas materiālās nenodrošinātības mazināšanai projekta 1.1. sadaļu ar nabadzību raksturojo</w:t>
            </w:r>
            <w:r w:rsidR="009E6678" w:rsidRPr="002C30AA">
              <w:t>šo</w:t>
            </w:r>
            <w:r w:rsidRPr="002C30AA">
              <w:t xml:space="preserve"> rādītāju analīzi par 2019. gadu.</w:t>
            </w:r>
          </w:p>
        </w:tc>
        <w:tc>
          <w:tcPr>
            <w:tcW w:w="2809" w:type="dxa"/>
            <w:tcBorders>
              <w:top w:val="single" w:sz="4" w:space="0" w:color="auto"/>
              <w:left w:val="single" w:sz="4" w:space="0" w:color="auto"/>
              <w:bottom w:val="single" w:sz="4" w:space="0" w:color="auto"/>
            </w:tcBorders>
          </w:tcPr>
          <w:p w:rsidR="00AD1A5E" w:rsidRPr="002C30AA" w:rsidRDefault="001E6112" w:rsidP="000A4D0A">
            <w:pPr>
              <w:jc w:val="both"/>
            </w:pPr>
            <w:r w:rsidRPr="002C30AA">
              <w:t xml:space="preserve">ESF+ programmas materiālās nenodrošinātības mazināšanai </w:t>
            </w:r>
            <w:r w:rsidR="000A4D0A" w:rsidRPr="002C30AA">
              <w:t>1.1. sadaļa</w:t>
            </w:r>
            <w:r w:rsidR="005D2315" w:rsidRPr="002C30AA">
              <w:t>s (1) un (2) rindkopa</w:t>
            </w:r>
            <w:r w:rsidR="000A4D0A" w:rsidRPr="002C30AA">
              <w:t xml:space="preserve"> izteikta papildinātā redakcijā (skat. programmas 5. lpp.).</w:t>
            </w:r>
          </w:p>
        </w:tc>
      </w:tr>
      <w:tr w:rsidR="002C30AA" w:rsidRPr="002C30AA" w:rsidTr="00C650DB">
        <w:tc>
          <w:tcPr>
            <w:tcW w:w="709" w:type="dxa"/>
            <w:tcBorders>
              <w:left w:val="single" w:sz="6" w:space="0" w:color="000000"/>
              <w:bottom w:val="single" w:sz="4" w:space="0" w:color="auto"/>
              <w:right w:val="single" w:sz="6" w:space="0" w:color="000000"/>
            </w:tcBorders>
          </w:tcPr>
          <w:p w:rsidR="00194953" w:rsidRPr="002C30AA" w:rsidRDefault="00194953" w:rsidP="000E557A">
            <w:pPr>
              <w:pStyle w:val="naisc"/>
              <w:numPr>
                <w:ilvl w:val="0"/>
                <w:numId w:val="8"/>
              </w:numPr>
              <w:spacing w:before="0" w:after="0"/>
              <w:ind w:right="33"/>
              <w:jc w:val="left"/>
            </w:pPr>
          </w:p>
        </w:tc>
        <w:tc>
          <w:tcPr>
            <w:tcW w:w="3086" w:type="dxa"/>
            <w:gridSpan w:val="2"/>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jc w:val="both"/>
              <w:rPr>
                <w:b/>
              </w:rPr>
            </w:pPr>
            <w:r w:rsidRPr="002C30AA">
              <w:rPr>
                <w:b/>
              </w:rPr>
              <w:t>Pārresoru koordinācijas centrs</w:t>
            </w:r>
          </w:p>
          <w:p w:rsidR="00194953" w:rsidRPr="002C30AA" w:rsidRDefault="00194953" w:rsidP="005B012D">
            <w:pPr>
              <w:pStyle w:val="naisc"/>
              <w:spacing w:before="0" w:after="0"/>
              <w:jc w:val="both"/>
              <w:rPr>
                <w:b/>
              </w:rPr>
            </w:pPr>
            <w:r w:rsidRPr="002C30AA">
              <w:rPr>
                <w:b/>
              </w:rPr>
              <w:t>Priekšlikums</w:t>
            </w:r>
          </w:p>
          <w:p w:rsidR="00194953" w:rsidRPr="002C30AA" w:rsidRDefault="00194953" w:rsidP="005B012D">
            <w:pPr>
              <w:pStyle w:val="naisc"/>
              <w:spacing w:before="0" w:after="0"/>
              <w:jc w:val="both"/>
            </w:pPr>
            <w:r w:rsidRPr="002C30AA">
              <w:t>Ņemot vērā to, ka Latvijā nav šobrīd aplēšams, kādas būs COVID-19 seku un ekonomikas transformācijas un atveseļošanās ietekme uz nabadzības risku, aicinām iekļaut atrunu, ka situācija nākotnē varētu prasīt korekcijas mērķgrupu skaitā.</w:t>
            </w:r>
          </w:p>
          <w:p w:rsidR="00FC73A8" w:rsidRPr="002C30AA" w:rsidRDefault="00FC73A8" w:rsidP="005B012D">
            <w:pPr>
              <w:pStyle w:val="naisc"/>
              <w:spacing w:before="0" w:after="0"/>
              <w:jc w:val="both"/>
            </w:pPr>
          </w:p>
        </w:tc>
        <w:tc>
          <w:tcPr>
            <w:tcW w:w="4028" w:type="dxa"/>
            <w:gridSpan w:val="2"/>
            <w:tcBorders>
              <w:left w:val="single" w:sz="6" w:space="0" w:color="000000"/>
              <w:bottom w:val="single" w:sz="4" w:space="0" w:color="auto"/>
              <w:right w:val="single" w:sz="6" w:space="0" w:color="000000"/>
            </w:tcBorders>
          </w:tcPr>
          <w:p w:rsidR="00E20842" w:rsidRPr="002C30AA" w:rsidRDefault="00E20842" w:rsidP="004337E1">
            <w:pPr>
              <w:pStyle w:val="naisc"/>
              <w:spacing w:before="0" w:after="0"/>
              <w:jc w:val="both"/>
              <w:rPr>
                <w:b/>
              </w:rPr>
            </w:pPr>
            <w:r w:rsidRPr="002C30AA">
              <w:rPr>
                <w:b/>
              </w:rPr>
              <w:t>Ņemts vērā.</w:t>
            </w:r>
          </w:p>
          <w:p w:rsidR="004337E1" w:rsidRPr="002C30AA" w:rsidRDefault="000C0A09" w:rsidP="004337E1">
            <w:pPr>
              <w:pStyle w:val="naisc"/>
              <w:spacing w:before="0" w:after="0"/>
              <w:jc w:val="both"/>
            </w:pPr>
            <w:r w:rsidRPr="002C30AA">
              <w:t xml:space="preserve">LM skaidro, ka </w:t>
            </w:r>
            <w:r w:rsidR="007F1A4C" w:rsidRPr="002C30AA">
              <w:t>ESF+ programmas materiālās nenodrošinātības mazināšanai</w:t>
            </w:r>
            <w:r w:rsidR="00E3013E" w:rsidRPr="002C30AA">
              <w:t xml:space="preserve"> projektā pēc būtības ir norādīta inform</w:t>
            </w:r>
            <w:r w:rsidR="004337E1" w:rsidRPr="002C30AA">
              <w:t xml:space="preserve">ācija, ka </w:t>
            </w:r>
            <w:r w:rsidR="00E3013E" w:rsidRPr="002C30AA">
              <w:t>mēr</w:t>
            </w:r>
            <w:r w:rsidR="004337E1" w:rsidRPr="002C30AA">
              <w:t xml:space="preserve">ķgrupas identificēšanas nosacījumi, plānotā atbalsta veidi un to </w:t>
            </w:r>
            <w:r w:rsidR="00E3013E" w:rsidRPr="002C30AA">
              <w:t>apjoms</w:t>
            </w:r>
            <w:r w:rsidR="004337E1" w:rsidRPr="002C30AA">
              <w:t xml:space="preserve"> plānošanas periodā var mainīties atkarībā no dažādu faktoru kopuma (skat. informāciju ESF+ programmas materiālās nenodrošinātības mazināšanai projekta (19</w:t>
            </w:r>
            <w:r w:rsidR="00FA5C98" w:rsidRPr="002C30AA">
              <w:t xml:space="preserve">), (25), </w:t>
            </w:r>
            <w:r w:rsidR="00984622" w:rsidRPr="002C30AA">
              <w:t xml:space="preserve">(26), </w:t>
            </w:r>
            <w:r w:rsidR="00ED2DD9" w:rsidRPr="002C30AA">
              <w:t>(43)</w:t>
            </w:r>
            <w:r w:rsidR="00A521AF" w:rsidRPr="002C30AA">
              <w:t xml:space="preserve"> un</w:t>
            </w:r>
            <w:r w:rsidR="00ED2DD9" w:rsidRPr="002C30AA">
              <w:t xml:space="preserve"> </w:t>
            </w:r>
            <w:r w:rsidR="0079356B" w:rsidRPr="002C30AA">
              <w:t>(44)</w:t>
            </w:r>
            <w:r w:rsidR="00410AEA" w:rsidRPr="002C30AA">
              <w:t xml:space="preserve"> rindkopā).</w:t>
            </w:r>
          </w:p>
          <w:p w:rsidR="00CF619E" w:rsidRPr="002C30AA" w:rsidRDefault="00CF619E" w:rsidP="004337E1">
            <w:pPr>
              <w:pStyle w:val="naisc"/>
              <w:spacing w:before="0" w:after="0"/>
              <w:jc w:val="both"/>
            </w:pPr>
            <w:r w:rsidRPr="002C30AA">
              <w:t xml:space="preserve">LM ieskatā </w:t>
            </w:r>
            <w:r w:rsidR="00867B3C" w:rsidRPr="002C30AA">
              <w:t xml:space="preserve">dokumenta projektā </w:t>
            </w:r>
            <w:r w:rsidRPr="002C30AA">
              <w:t>nav nepieciešam</w:t>
            </w:r>
            <w:r w:rsidR="00867B3C" w:rsidRPr="002C30AA">
              <w:t>s iekļaut</w:t>
            </w:r>
            <w:r w:rsidRPr="002C30AA">
              <w:t xml:space="preserve"> piedāvāt</w:t>
            </w:r>
            <w:r w:rsidR="00867B3C" w:rsidRPr="002C30AA">
              <w:t>o</w:t>
            </w:r>
            <w:r w:rsidRPr="002C30AA">
              <w:t xml:space="preserve"> papildus </w:t>
            </w:r>
            <w:r w:rsidR="00867B3C" w:rsidRPr="002C30AA">
              <w:t>atrunu.</w:t>
            </w:r>
            <w:r w:rsidRPr="002C30AA">
              <w:t xml:space="preserve"> </w:t>
            </w:r>
          </w:p>
        </w:tc>
        <w:tc>
          <w:tcPr>
            <w:tcW w:w="2809" w:type="dxa"/>
            <w:tcBorders>
              <w:top w:val="single" w:sz="4" w:space="0" w:color="auto"/>
              <w:left w:val="single" w:sz="4" w:space="0" w:color="auto"/>
              <w:bottom w:val="single" w:sz="4" w:space="0" w:color="auto"/>
            </w:tcBorders>
          </w:tcPr>
          <w:p w:rsidR="00194953" w:rsidRPr="002C30AA" w:rsidRDefault="00194953" w:rsidP="005B012D"/>
        </w:tc>
      </w:tr>
      <w:tr w:rsidR="002C30AA" w:rsidRPr="002C30AA" w:rsidTr="00C650DB">
        <w:tc>
          <w:tcPr>
            <w:tcW w:w="709" w:type="dxa"/>
            <w:tcBorders>
              <w:left w:val="single" w:sz="6" w:space="0" w:color="000000"/>
              <w:bottom w:val="single" w:sz="4" w:space="0" w:color="auto"/>
              <w:right w:val="single" w:sz="6" w:space="0" w:color="000000"/>
            </w:tcBorders>
          </w:tcPr>
          <w:p w:rsidR="00194953" w:rsidRPr="002C30AA" w:rsidRDefault="00194953" w:rsidP="00C5214A">
            <w:pPr>
              <w:pStyle w:val="naisc"/>
              <w:numPr>
                <w:ilvl w:val="0"/>
                <w:numId w:val="8"/>
              </w:numPr>
              <w:spacing w:before="0" w:after="0"/>
              <w:ind w:right="33"/>
              <w:jc w:val="left"/>
            </w:pPr>
          </w:p>
        </w:tc>
        <w:tc>
          <w:tcPr>
            <w:tcW w:w="3086" w:type="dxa"/>
            <w:gridSpan w:val="2"/>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jc w:val="both"/>
              <w:rPr>
                <w:b/>
              </w:rPr>
            </w:pPr>
            <w:r w:rsidRPr="002C30AA">
              <w:rPr>
                <w:b/>
              </w:rPr>
              <w:t>Pārresoru koordinācijas centrs</w:t>
            </w:r>
          </w:p>
          <w:p w:rsidR="00194953" w:rsidRPr="002C30AA" w:rsidRDefault="00194953" w:rsidP="005B012D">
            <w:pPr>
              <w:pStyle w:val="naisc"/>
              <w:spacing w:before="0" w:after="0"/>
              <w:jc w:val="both"/>
              <w:rPr>
                <w:b/>
              </w:rPr>
            </w:pPr>
            <w:r w:rsidRPr="002C30AA">
              <w:rPr>
                <w:b/>
              </w:rPr>
              <w:t>Priekšlikums</w:t>
            </w:r>
          </w:p>
          <w:p w:rsidR="00194953" w:rsidRPr="002C30AA" w:rsidRDefault="00194953" w:rsidP="005B012D">
            <w:pPr>
              <w:pStyle w:val="naisc"/>
              <w:spacing w:before="0" w:after="0"/>
              <w:jc w:val="both"/>
            </w:pPr>
            <w:r w:rsidRPr="002C30AA">
              <w:t>Ierosinām 1.2 sadaļu par ieguldījumu pamatojumu papildināt ar informāciju, ka programma ir vērsta uz Nacionālā attīstības plāna 2021.-2027. gadam Rīcības virziena "Sociālā iekļaušana" [121] uzdevumu par Nabadzības, materiālas nenodrošinātības un ienākumu nevienlīdzības mazināšanu.</w:t>
            </w:r>
          </w:p>
          <w:p w:rsidR="00194953" w:rsidRPr="002C30AA" w:rsidRDefault="00194953" w:rsidP="005B012D">
            <w:pPr>
              <w:pStyle w:val="naisc"/>
              <w:spacing w:before="0" w:after="0"/>
              <w:jc w:val="both"/>
              <w:rPr>
                <w:b/>
              </w:rPr>
            </w:pPr>
          </w:p>
          <w:p w:rsidR="00194953" w:rsidRPr="002C30AA" w:rsidRDefault="00194953" w:rsidP="005B012D">
            <w:pPr>
              <w:pStyle w:val="naisc"/>
              <w:spacing w:before="0" w:after="0"/>
              <w:jc w:val="both"/>
              <w:rPr>
                <w:b/>
              </w:rPr>
            </w:pPr>
          </w:p>
        </w:tc>
        <w:tc>
          <w:tcPr>
            <w:tcW w:w="4028" w:type="dxa"/>
            <w:gridSpan w:val="2"/>
            <w:tcBorders>
              <w:left w:val="single" w:sz="6" w:space="0" w:color="000000"/>
              <w:bottom w:val="single" w:sz="4" w:space="0" w:color="auto"/>
              <w:right w:val="single" w:sz="6" w:space="0" w:color="000000"/>
            </w:tcBorders>
          </w:tcPr>
          <w:p w:rsidR="00194953" w:rsidRPr="002C30AA" w:rsidRDefault="00E20842" w:rsidP="00BE24D4">
            <w:pPr>
              <w:pStyle w:val="naisc"/>
              <w:spacing w:before="0" w:after="0"/>
              <w:jc w:val="both"/>
              <w:rPr>
                <w:b/>
              </w:rPr>
            </w:pPr>
            <w:r w:rsidRPr="002C30AA">
              <w:rPr>
                <w:b/>
              </w:rPr>
              <w:t>Ņemts vērā.</w:t>
            </w:r>
          </w:p>
          <w:p w:rsidR="00E20842" w:rsidRPr="002C30AA" w:rsidRDefault="00AD19AB" w:rsidP="00BE24D4">
            <w:pPr>
              <w:pStyle w:val="naisc"/>
              <w:spacing w:before="0" w:after="0"/>
              <w:jc w:val="both"/>
            </w:pPr>
            <w:r w:rsidRPr="002C30AA">
              <w:t>ESF+ programmas materiālās nenodrošinātības mazināšanai projekta 1.2. sadaļa</w:t>
            </w:r>
            <w:r w:rsidR="00D8756F" w:rsidRPr="002C30AA">
              <w:t>s (11) rindkopa</w:t>
            </w:r>
            <w:r w:rsidRPr="002C30AA">
              <w:t xml:space="preserve"> papildināta ar informāciju ar atsauci uz NAP2027.</w:t>
            </w:r>
          </w:p>
        </w:tc>
        <w:tc>
          <w:tcPr>
            <w:tcW w:w="2809" w:type="dxa"/>
            <w:tcBorders>
              <w:top w:val="single" w:sz="4" w:space="0" w:color="auto"/>
              <w:left w:val="single" w:sz="4" w:space="0" w:color="auto"/>
              <w:bottom w:val="single" w:sz="4" w:space="0" w:color="auto"/>
            </w:tcBorders>
          </w:tcPr>
          <w:p w:rsidR="00194953" w:rsidRPr="002C30AA" w:rsidRDefault="00D8756F" w:rsidP="00D8756F">
            <w:pPr>
              <w:jc w:val="both"/>
            </w:pPr>
            <w:r w:rsidRPr="002C30AA">
              <w:t xml:space="preserve">ESF+ programmas materiālās nenodrošinātības mazināšanai projekta 1.2. sadaļas (11) rindkopa </w:t>
            </w:r>
            <w:r w:rsidR="004F39BC" w:rsidRPr="002C30AA">
              <w:t>papildināta ar teikumu šādā</w:t>
            </w:r>
            <w:r w:rsidRPr="002C30AA">
              <w:t xml:space="preserve"> redakcija:</w:t>
            </w:r>
          </w:p>
          <w:p w:rsidR="00AD1A5E" w:rsidRPr="002C30AA" w:rsidRDefault="004F39BC" w:rsidP="00D8756F">
            <w:pPr>
              <w:jc w:val="both"/>
              <w:rPr>
                <w:bCs/>
              </w:rPr>
            </w:pPr>
            <w:r w:rsidRPr="002C30AA">
              <w:rPr>
                <w:bCs/>
              </w:rPr>
              <w:t>“Programma vērsta uz Saeimā 2020. gada 2. jūlijā apstiprinātajā NAP2027 iekļauto rīcības virziena “Stipras ģimenes paaudzēs” [101] uzdevumu un rīcības virziena “Sociālā iekļaušana” [121] uzdevumu.”</w:t>
            </w:r>
          </w:p>
        </w:tc>
      </w:tr>
      <w:tr w:rsidR="002C30AA" w:rsidRPr="002C30AA" w:rsidTr="00C650DB">
        <w:tc>
          <w:tcPr>
            <w:tcW w:w="709" w:type="dxa"/>
            <w:tcBorders>
              <w:left w:val="single" w:sz="6" w:space="0" w:color="000000"/>
              <w:bottom w:val="single" w:sz="4" w:space="0" w:color="auto"/>
              <w:right w:val="single" w:sz="6" w:space="0" w:color="000000"/>
            </w:tcBorders>
          </w:tcPr>
          <w:p w:rsidR="00194953" w:rsidRPr="002C30AA" w:rsidRDefault="00194953" w:rsidP="00C5214A">
            <w:pPr>
              <w:pStyle w:val="naisc"/>
              <w:numPr>
                <w:ilvl w:val="0"/>
                <w:numId w:val="8"/>
              </w:numPr>
              <w:spacing w:before="0" w:after="0"/>
            </w:pPr>
          </w:p>
        </w:tc>
        <w:tc>
          <w:tcPr>
            <w:tcW w:w="3086" w:type="dxa"/>
            <w:gridSpan w:val="2"/>
            <w:tcBorders>
              <w:left w:val="single" w:sz="6" w:space="0" w:color="000000"/>
              <w:bottom w:val="single" w:sz="4" w:space="0" w:color="auto"/>
              <w:right w:val="single" w:sz="6" w:space="0" w:color="000000"/>
            </w:tcBorders>
          </w:tcPr>
          <w:p w:rsidR="00194953" w:rsidRPr="002C30AA" w:rsidRDefault="00194953"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94953" w:rsidRPr="002C30AA" w:rsidRDefault="000E597B" w:rsidP="005B012D">
            <w:pPr>
              <w:pStyle w:val="naisc"/>
              <w:spacing w:before="0" w:after="0"/>
              <w:jc w:val="both"/>
              <w:rPr>
                <w:b/>
              </w:rPr>
            </w:pPr>
            <w:r w:rsidRPr="002C30AA">
              <w:rPr>
                <w:b/>
              </w:rPr>
              <w:t>Tieslietu ministrija</w:t>
            </w:r>
          </w:p>
          <w:p w:rsidR="000E597B" w:rsidRPr="002C30AA" w:rsidRDefault="000E597B" w:rsidP="005B012D">
            <w:pPr>
              <w:pStyle w:val="naisc"/>
              <w:spacing w:before="0" w:after="0"/>
              <w:jc w:val="both"/>
              <w:rPr>
                <w:b/>
              </w:rPr>
            </w:pPr>
            <w:r w:rsidRPr="002C30AA">
              <w:rPr>
                <w:b/>
              </w:rPr>
              <w:t>Iebildums</w:t>
            </w:r>
          </w:p>
          <w:p w:rsidR="000E597B" w:rsidRPr="002C30AA" w:rsidRDefault="00AD1A5E" w:rsidP="005B012D">
            <w:pPr>
              <w:pStyle w:val="naisc"/>
              <w:spacing w:before="0" w:after="0"/>
              <w:jc w:val="both"/>
            </w:pPr>
            <w:r w:rsidRPr="002C30AA">
              <w:t>Vēršam uzmanību, ka atbilstoši Eiropas Parlamenta un Padomes regulas priekšlikuma,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(turpmāk – kopīgo noteikumu regulas priekšlikums) 11. panta 2. punktam, sagatavojot programmu vai programmas grozījuma ietvaros ieviešot jaunu konkrētu mērķi, dalībvalsts novērtē, vai ir izpildīti ar izvēlēto konkrēto mērķi saistītie veicinošie nosacījumi. Veicinošais nosacījums ir izpildīts, ja ir izpildīti visi saistītie kritēriji. Dalībvalsts katrā programmā vai programmas grozījumā nosaka izpildītos un neizpildītos veicinošos nosacījumus, un, ja tā uzskata, ka veicinošais nosacījums ir izpildīts, tā sniedz pamatojumu. Uz veicinošiem nosacījumiem kā programmas elementu norādīts arī kopīgo noteikumu regulas 17. panta 3. punkta "h" apakšpunktā. Ievērojot minēto, lūdzam izvērtēt un nepieciešamības gadījumā papildināt ESF+ programmas materiālās nenodrošinātības mazināšanai 2021.–2027. gadam (turpmāk – programma) ar informāciju par veicinošo nosacījumu izpildi vai alternatīvi lūdzam sniegt pamatojumu, kādēļ attiecīga informācija programmā nav jāietver.</w:t>
            </w:r>
          </w:p>
          <w:p w:rsidR="00D84726" w:rsidRPr="002C30AA" w:rsidRDefault="00D84726" w:rsidP="005B012D">
            <w:pPr>
              <w:pStyle w:val="naisc"/>
              <w:spacing w:before="0" w:after="0"/>
              <w:jc w:val="both"/>
            </w:pPr>
          </w:p>
        </w:tc>
        <w:tc>
          <w:tcPr>
            <w:tcW w:w="4028" w:type="dxa"/>
            <w:gridSpan w:val="2"/>
            <w:tcBorders>
              <w:left w:val="single" w:sz="6" w:space="0" w:color="000000"/>
              <w:bottom w:val="single" w:sz="4" w:space="0" w:color="auto"/>
              <w:right w:val="single" w:sz="6" w:space="0" w:color="000000"/>
            </w:tcBorders>
          </w:tcPr>
          <w:p w:rsidR="00EF6D22" w:rsidRPr="002C30AA" w:rsidRDefault="00EF6D22" w:rsidP="00EF6D22">
            <w:pPr>
              <w:pStyle w:val="naisc"/>
              <w:spacing w:before="0" w:after="0"/>
              <w:jc w:val="both"/>
              <w:rPr>
                <w:b/>
              </w:rPr>
            </w:pPr>
            <w:r w:rsidRPr="002C30AA">
              <w:rPr>
                <w:b/>
              </w:rPr>
              <w:t>Nav ņemts vērā.</w:t>
            </w:r>
          </w:p>
          <w:p w:rsidR="00AD1A5E" w:rsidRPr="002C30AA" w:rsidRDefault="00B51E4C" w:rsidP="00B51E4C">
            <w:pPr>
              <w:pStyle w:val="naisc"/>
              <w:spacing w:before="0" w:after="0"/>
              <w:jc w:val="both"/>
              <w:rPr>
                <w:bCs/>
              </w:rPr>
            </w:pPr>
            <w:r w:rsidRPr="002C30AA">
              <w:t xml:space="preserve">LM skaidro, ka </w:t>
            </w:r>
            <w:r w:rsidR="007F010D" w:rsidRPr="002C30AA">
              <w:rPr>
                <w:bCs/>
              </w:rPr>
              <w:t xml:space="preserve">ESF+ </w:t>
            </w:r>
            <w:r w:rsidRPr="002C30AA">
              <w:rPr>
                <w:bCs/>
              </w:rPr>
              <w:t>priekšlikumā iekļautajam konkrētajam mērķim “</w:t>
            </w:r>
            <w:r w:rsidR="001727BE" w:rsidRPr="002C30AA">
              <w:rPr>
                <w:bCs/>
              </w:rPr>
              <w:t xml:space="preserve">mazināt materiālo nenodrošinātību, piešķirot pārtiku un/vai minimālo materiālo palīdzību vistrūcīgākajām personām, tostarp izmantojot papildpasākumus” </w:t>
            </w:r>
            <w:r w:rsidR="007F010D" w:rsidRPr="002C30AA">
              <w:rPr>
                <w:bCs/>
              </w:rPr>
              <w:t>nav noteikti ieguldījumu priekšnosacījumi (</w:t>
            </w:r>
            <w:r w:rsidR="007F010D" w:rsidRPr="002C30AA">
              <w:rPr>
                <w:bCs/>
                <w:i/>
              </w:rPr>
              <w:t>enabling conditions</w:t>
            </w:r>
            <w:r w:rsidR="007F010D" w:rsidRPr="002C30AA">
              <w:rPr>
                <w:bCs/>
              </w:rPr>
              <w:t>), kas dalībvalstīm jāizpilda, lai visā plānošanas perioda laikā veiktu un at</w:t>
            </w:r>
            <w:r w:rsidR="001727BE" w:rsidRPr="002C30AA">
              <w:rPr>
                <w:bCs/>
              </w:rPr>
              <w:t xml:space="preserve">tiecinātu ES fondu ieguldījumus (skat. KNR priekšlikuma </w:t>
            </w:r>
            <w:r w:rsidR="001727BE" w:rsidRPr="002C30AA">
              <w:t>IV pielikumu “</w:t>
            </w:r>
            <w:r w:rsidRPr="002C30AA">
              <w:t>Tematiskie veicinošie nosacījumi, ko piemēro ERAF,</w:t>
            </w:r>
            <w:r w:rsidR="00C11896" w:rsidRPr="002C30AA">
              <w:t xml:space="preserve"> ESF+ un Kohēzijas fondam – 11. panta 1. </w:t>
            </w:r>
            <w:r w:rsidRPr="002C30AA">
              <w:t>punkts</w:t>
            </w:r>
            <w:r w:rsidR="001727BE" w:rsidRPr="002C30AA">
              <w:t>”.</w:t>
            </w:r>
          </w:p>
          <w:p w:rsidR="00AD1A5E" w:rsidRPr="002C30AA" w:rsidRDefault="00AD1A5E" w:rsidP="00AD1A5E">
            <w:pPr>
              <w:pStyle w:val="naisc"/>
              <w:spacing w:before="0" w:after="0"/>
              <w:jc w:val="both"/>
            </w:pPr>
          </w:p>
        </w:tc>
        <w:tc>
          <w:tcPr>
            <w:tcW w:w="2809" w:type="dxa"/>
            <w:tcBorders>
              <w:top w:val="single" w:sz="4" w:space="0" w:color="auto"/>
              <w:left w:val="single" w:sz="4" w:space="0" w:color="auto"/>
              <w:bottom w:val="single" w:sz="4" w:space="0" w:color="auto"/>
            </w:tcBorders>
          </w:tcPr>
          <w:p w:rsidR="00194953" w:rsidRPr="002C30AA" w:rsidRDefault="00194953" w:rsidP="005B012D"/>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1D0922" w:rsidRPr="002C30AA" w:rsidRDefault="001D0922" w:rsidP="004E2F2D">
            <w:pPr>
              <w:widowControl w:val="0"/>
              <w:jc w:val="both"/>
              <w:rPr>
                <w:rFonts w:eastAsia="Calibri"/>
                <w:lang w:eastAsia="en-US"/>
              </w:rPr>
            </w:pPr>
            <w:r w:rsidRPr="002C30AA">
              <w:rPr>
                <w:rFonts w:eastAsia="Calibri"/>
                <w:lang w:eastAsia="en-US"/>
              </w:rPr>
              <w:t xml:space="preserve">Vēršam uzmanību, ka atbilstoši Eiropas Parlamenta un Padomes regulas priekšlikuma par Eiropas Sociālo fondu Plus (ESF+) (turpmāk – ESF+ fonda regulas priekšlikums) 1. pana 1. punkta 1. apakšpunktā ietvertajam termina "papildpasākumi" skaidrojumam papildpasākumi ir darbības, kas tiek īstenotas līdztekus pārtikas izdalīšanai un/vai minimālās materiālās palīdzības sniegšanai un ar kurām paredzēts </w:t>
            </w:r>
            <w:r w:rsidRPr="002C30AA">
              <w:rPr>
                <w:rFonts w:eastAsia="Calibri"/>
                <w:u w:val="single"/>
                <w:lang w:eastAsia="en-US"/>
              </w:rPr>
              <w:t>novērst</w:t>
            </w:r>
            <w:r w:rsidRPr="002C30AA">
              <w:rPr>
                <w:rFonts w:eastAsia="Calibri"/>
                <w:lang w:eastAsia="en-US"/>
              </w:rPr>
              <w:t xml:space="preserve"> sociālo atstumtību, piemēram, izmantojot un nodrošinot sociālos pakalpojumus vai sniedzot ieteikumus par mājsaimniecības budžeta pārvaldīšanu. Attiecīgi lūdzam atbilstoši precizēt programmu, jo ar papildpasākumiem paredzēts novērst sociālo atstumtību, nevis to mazināt, kā izriet no programmas (sk., piem., programmas 12. lpp.).</w:t>
            </w:r>
          </w:p>
          <w:p w:rsidR="000E597B" w:rsidRPr="002C30AA" w:rsidRDefault="000E597B" w:rsidP="005B012D">
            <w:pPr>
              <w:pStyle w:val="naisc"/>
              <w:spacing w:before="0" w:after="0"/>
              <w:jc w:val="both"/>
              <w:rPr>
                <w:b/>
              </w:rPr>
            </w:pPr>
          </w:p>
        </w:tc>
        <w:tc>
          <w:tcPr>
            <w:tcW w:w="4028" w:type="dxa"/>
            <w:gridSpan w:val="2"/>
            <w:tcBorders>
              <w:left w:val="single" w:sz="6" w:space="0" w:color="000000"/>
              <w:bottom w:val="single" w:sz="4" w:space="0" w:color="auto"/>
              <w:right w:val="single" w:sz="6" w:space="0" w:color="000000"/>
            </w:tcBorders>
          </w:tcPr>
          <w:p w:rsidR="00C44A2D" w:rsidRPr="002C30AA" w:rsidRDefault="00C44A2D" w:rsidP="00C44A2D">
            <w:pPr>
              <w:pStyle w:val="naisc"/>
              <w:jc w:val="both"/>
              <w:rPr>
                <w:b/>
              </w:rPr>
            </w:pPr>
            <w:r w:rsidRPr="002C30AA">
              <w:rPr>
                <w:b/>
              </w:rPr>
              <w:t>Nav ņemts vērā.</w:t>
            </w:r>
          </w:p>
          <w:p w:rsidR="00754D5D" w:rsidRPr="002C30AA" w:rsidRDefault="002271A2" w:rsidP="00236B8A">
            <w:pPr>
              <w:pStyle w:val="naisc"/>
              <w:spacing w:before="0" w:after="0"/>
              <w:jc w:val="both"/>
            </w:pPr>
            <w:r w:rsidRPr="002C30AA">
              <w:t>LM skaidro, ka atbilsto</w:t>
            </w:r>
            <w:r w:rsidR="006834C8" w:rsidRPr="002C30AA">
              <w:t>ši trialoga pārskatiem (</w:t>
            </w:r>
            <w:r w:rsidR="006834C8" w:rsidRPr="002C30AA">
              <w:rPr>
                <w:i/>
              </w:rPr>
              <w:t>pēdējā versija pēc tehniskās sanāksmes 19.02.2020.</w:t>
            </w:r>
            <w:r w:rsidR="00C163EC" w:rsidRPr="002C30AA">
              <w:rPr>
                <w:rStyle w:val="FootnoteReference"/>
              </w:rPr>
              <w:footnoteReference w:id="3"/>
            </w:r>
            <w:r w:rsidR="006834C8" w:rsidRPr="002C30AA">
              <w:t xml:space="preserve">) </w:t>
            </w:r>
            <w:r w:rsidRPr="002C30AA">
              <w:rPr>
                <w:rFonts w:eastAsia="Calibri"/>
                <w:lang w:eastAsia="en-US"/>
              </w:rPr>
              <w:t xml:space="preserve">ESF+ regulas priekšlikuma 4. panta </w:t>
            </w:r>
            <w:r w:rsidR="006834C8" w:rsidRPr="002C30AA">
              <w:rPr>
                <w:rFonts w:eastAsia="Calibri"/>
                <w:lang w:eastAsia="en-US"/>
              </w:rPr>
              <w:t xml:space="preserve">1. punktā </w:t>
            </w:r>
            <w:r w:rsidR="00236B8A" w:rsidRPr="002C30AA">
              <w:t xml:space="preserve">(xi) mērķis </w:t>
            </w:r>
            <w:r w:rsidR="004A3DAB" w:rsidRPr="002C30AA">
              <w:t xml:space="preserve">pēc </w:t>
            </w:r>
            <w:r w:rsidR="004A3DAB" w:rsidRPr="002C30AA">
              <w:rPr>
                <w:rFonts w:eastAsia="Calibri"/>
                <w:lang w:eastAsia="en-US"/>
              </w:rPr>
              <w:t>kompromisa panākšanas</w:t>
            </w:r>
            <w:r w:rsidR="004A3DAB" w:rsidRPr="002C30AA">
              <w:t xml:space="preserve"> izteikts </w:t>
            </w:r>
            <w:r w:rsidR="00236B8A" w:rsidRPr="002C30AA">
              <w:rPr>
                <w:rFonts w:eastAsia="Calibri"/>
                <w:lang w:eastAsia="en-US"/>
              </w:rPr>
              <w:t xml:space="preserve">šādā redakcijā: </w:t>
            </w:r>
            <w:r w:rsidR="00236B8A" w:rsidRPr="002C30AA">
              <w:rPr>
                <w:rFonts w:eastAsia="Calibri"/>
                <w:lang w:val="en-GB" w:eastAsia="en-US"/>
              </w:rPr>
              <w:t>“</w:t>
            </w:r>
            <w:r w:rsidR="006834C8" w:rsidRPr="002C30AA">
              <w:rPr>
                <w:lang w:val="en-GB"/>
              </w:rPr>
              <w:t xml:space="preserve">addressing material deprivation through food and/or basic material assistance to the most deprived, including children, and providing </w:t>
            </w:r>
            <w:r w:rsidR="006834C8" w:rsidRPr="002C30AA">
              <w:rPr>
                <w:u w:val="single"/>
                <w:lang w:val="en-GB"/>
              </w:rPr>
              <w:t>accompanying measures supporting their social inclusion</w:t>
            </w:r>
            <w:r w:rsidR="006834C8" w:rsidRPr="002C30AA">
              <w:rPr>
                <w:lang w:val="en-GB"/>
              </w:rPr>
              <w:t>.</w:t>
            </w:r>
            <w:r w:rsidR="00236B8A" w:rsidRPr="002C30AA">
              <w:rPr>
                <w:lang w:val="en-GB"/>
              </w:rPr>
              <w:t>”</w:t>
            </w:r>
          </w:p>
          <w:p w:rsidR="00754D5D" w:rsidRPr="002C30AA" w:rsidRDefault="007F7F57" w:rsidP="007F7F57">
            <w:pPr>
              <w:pStyle w:val="naisc"/>
              <w:spacing w:before="0" w:after="0"/>
              <w:jc w:val="both"/>
              <w:rPr>
                <w:rFonts w:eastAsia="Calibri"/>
                <w:lang w:eastAsia="en-US"/>
              </w:rPr>
            </w:pPr>
            <w:r w:rsidRPr="002C30AA">
              <w:rPr>
                <w:rFonts w:eastAsia="Calibri"/>
                <w:lang w:eastAsia="en-US"/>
              </w:rPr>
              <w:t>Atzīmējams, ka pirms tam Eiropas Parlamenta piedāvātā redakcija bija: “...</w:t>
            </w:r>
            <w:r w:rsidRPr="002C30AA">
              <w:rPr>
                <w:lang w:val="en-GB"/>
              </w:rPr>
              <w:t xml:space="preserve">including </w:t>
            </w:r>
            <w:r w:rsidRPr="002C30AA">
              <w:rPr>
                <w:u w:val="single"/>
                <w:lang w:val="en-GB"/>
              </w:rPr>
              <w:t>accompanying measures</w:t>
            </w:r>
            <w:r w:rsidRPr="002C30AA">
              <w:rPr>
                <w:lang w:val="en-GB"/>
              </w:rPr>
              <w:t xml:space="preserve">, </w:t>
            </w:r>
            <w:r w:rsidR="004A3DAB" w:rsidRPr="002C30AA">
              <w:rPr>
                <w:rFonts w:eastAsia="Calibri"/>
                <w:u w:val="single"/>
                <w:lang w:val="en-GB" w:eastAsia="en-US"/>
              </w:rPr>
              <w:t>aiming to ensure their social inclusion</w:t>
            </w:r>
            <w:r w:rsidR="004A3DAB" w:rsidRPr="002C30AA">
              <w:rPr>
                <w:rFonts w:eastAsia="Calibri"/>
                <w:lang w:val="en-GB" w:eastAsia="en-US"/>
              </w:rPr>
              <w:t xml:space="preserve">, </w:t>
            </w:r>
            <w:r w:rsidRPr="002C30AA">
              <w:rPr>
                <w:rFonts w:eastAsia="Calibri"/>
                <w:lang w:val="en-GB" w:eastAsia="en-US"/>
              </w:rPr>
              <w:t>…”.</w:t>
            </w:r>
          </w:p>
          <w:p w:rsidR="007F7F57" w:rsidRPr="002C30AA" w:rsidRDefault="00E72DA6" w:rsidP="00E72DA6">
            <w:pPr>
              <w:pStyle w:val="naisc"/>
              <w:jc w:val="both"/>
              <w:rPr>
                <w:rFonts w:eastAsia="Calibri"/>
                <w:lang w:eastAsia="en-US"/>
              </w:rPr>
            </w:pPr>
            <w:r w:rsidRPr="002C30AA">
              <w:rPr>
                <w:rFonts w:eastAsia="Calibri"/>
                <w:lang w:eastAsia="en-US"/>
              </w:rPr>
              <w:t>Piebilstams, ka arī sākotnējā ESF+ regulas priekšlikuma</w:t>
            </w:r>
            <w:r w:rsidRPr="002C30AA">
              <w:rPr>
                <w:rStyle w:val="FootnoteReference"/>
                <w:rFonts w:eastAsia="Calibri"/>
                <w:lang w:eastAsia="en-US"/>
              </w:rPr>
              <w:footnoteReference w:id="4"/>
            </w:r>
            <w:r w:rsidRPr="002C30AA">
              <w:rPr>
                <w:rFonts w:eastAsia="Calibri"/>
                <w:lang w:eastAsia="en-US"/>
              </w:rPr>
              <w:t xml:space="preserve"> 2. panta 1. punktā (1) apakšpunktā norādītā redakcija bija šāda: “</w:t>
            </w:r>
            <w:r w:rsidR="00F04289" w:rsidRPr="002C30AA">
              <w:rPr>
                <w:rFonts w:eastAsia="Calibri"/>
                <w:u w:val="single"/>
                <w:lang w:eastAsia="en-US"/>
              </w:rPr>
              <w:t>'</w:t>
            </w:r>
            <w:r w:rsidR="00F04289" w:rsidRPr="002C30AA">
              <w:rPr>
                <w:rFonts w:eastAsia="Calibri"/>
                <w:u w:val="single"/>
                <w:lang w:val="en-GB" w:eastAsia="en-US"/>
              </w:rPr>
              <w:t>accompanying measures'</w:t>
            </w:r>
            <w:r w:rsidR="00F04289" w:rsidRPr="002C30AA">
              <w:rPr>
                <w:rFonts w:eastAsia="Calibri"/>
                <w:lang w:val="en-GB" w:eastAsia="en-US"/>
              </w:rPr>
              <w:t xml:space="preserve"> means activities provided in addition to the distribution of food and/or basic material assistance </w:t>
            </w:r>
            <w:r w:rsidR="00F04289" w:rsidRPr="002C30AA">
              <w:rPr>
                <w:rFonts w:eastAsia="Calibri"/>
                <w:u w:val="single"/>
                <w:lang w:val="en-GB" w:eastAsia="en-US"/>
              </w:rPr>
              <w:t>with the aim of addressing social exclusion</w:t>
            </w:r>
            <w:r w:rsidR="00F04289" w:rsidRPr="002C30AA">
              <w:rPr>
                <w:rFonts w:eastAsia="Calibri"/>
                <w:lang w:val="en-GB" w:eastAsia="en-US"/>
              </w:rPr>
              <w:t xml:space="preserve"> such as referring to and providing social services or advice on </w:t>
            </w:r>
            <w:r w:rsidRPr="002C30AA">
              <w:rPr>
                <w:rFonts w:eastAsia="Calibri"/>
                <w:lang w:val="en-GB" w:eastAsia="en-US"/>
              </w:rPr>
              <w:t>managing a household budget.”</w:t>
            </w:r>
          </w:p>
          <w:p w:rsidR="00E72DA6" w:rsidRPr="002C30AA" w:rsidRDefault="00BB2687" w:rsidP="00E72DA6">
            <w:pPr>
              <w:pStyle w:val="naisc"/>
              <w:jc w:val="both"/>
              <w:rPr>
                <w:rFonts w:eastAsia="Calibri"/>
                <w:lang w:eastAsia="en-US"/>
              </w:rPr>
            </w:pPr>
            <w:r w:rsidRPr="002C30AA">
              <w:rPr>
                <w:rFonts w:eastAsia="Calibri"/>
                <w:lang w:eastAsia="en-US"/>
              </w:rPr>
              <w:t xml:space="preserve">LM </w:t>
            </w:r>
            <w:r w:rsidR="00434406" w:rsidRPr="002C30AA">
              <w:rPr>
                <w:rFonts w:eastAsia="Calibri"/>
                <w:lang w:eastAsia="en-US"/>
              </w:rPr>
              <w:t>vērš uzmanību</w:t>
            </w:r>
            <w:r w:rsidRPr="002C30AA">
              <w:rPr>
                <w:rFonts w:eastAsia="Calibri"/>
                <w:lang w:eastAsia="en-US"/>
              </w:rPr>
              <w:t>, ka visos iepriekš minētajos gadījumos nav lietots termins “</w:t>
            </w:r>
            <w:r w:rsidRPr="002C30AA">
              <w:rPr>
                <w:rFonts w:eastAsia="Calibri"/>
                <w:u w:val="single"/>
                <w:lang w:eastAsia="en-US"/>
              </w:rPr>
              <w:t>novērst</w:t>
            </w:r>
            <w:r w:rsidRPr="002C30AA">
              <w:rPr>
                <w:rFonts w:eastAsia="Calibri"/>
                <w:lang w:eastAsia="en-US"/>
              </w:rPr>
              <w:t>”</w:t>
            </w:r>
            <w:r w:rsidR="002B46A4" w:rsidRPr="002C30AA">
              <w:rPr>
                <w:rFonts w:eastAsia="Calibri"/>
                <w:lang w:eastAsia="en-US"/>
              </w:rPr>
              <w:t>.</w:t>
            </w:r>
          </w:p>
          <w:p w:rsidR="00434406" w:rsidRPr="002C30AA" w:rsidRDefault="002B46A4" w:rsidP="00E72DA6">
            <w:pPr>
              <w:pStyle w:val="naisc"/>
              <w:jc w:val="both"/>
              <w:rPr>
                <w:rFonts w:eastAsia="Calibri"/>
                <w:lang w:eastAsia="en-US"/>
              </w:rPr>
            </w:pPr>
            <w:r w:rsidRPr="002C30AA">
              <w:rPr>
                <w:rFonts w:eastAsia="Calibri"/>
                <w:lang w:eastAsia="en-US"/>
              </w:rPr>
              <w:t xml:space="preserve">LM skaidro, ka, kamēr nav </w:t>
            </w:r>
            <w:r w:rsidR="00434406" w:rsidRPr="002C30AA">
              <w:rPr>
                <w:rFonts w:eastAsia="Calibri"/>
                <w:lang w:eastAsia="en-US"/>
              </w:rPr>
              <w:t xml:space="preserve">pieejama </w:t>
            </w:r>
            <w:r w:rsidRPr="002C30AA">
              <w:rPr>
                <w:rFonts w:eastAsia="Calibri"/>
                <w:lang w:eastAsia="en-US"/>
              </w:rPr>
              <w:t xml:space="preserve">ESF+ regulas gala redakcija un tās apstiprinātie tulkojumi nacionālajās valodās, </w:t>
            </w:r>
            <w:r w:rsidR="00F93D6D" w:rsidRPr="002C30AA">
              <w:t>ESF+ programmas materiālās nenodrošinātības mazināšanai</w:t>
            </w:r>
            <w:r w:rsidRPr="002C30AA">
              <w:rPr>
                <w:rFonts w:eastAsia="Calibri"/>
                <w:lang w:eastAsia="en-US"/>
              </w:rPr>
              <w:t xml:space="preserve"> projekta izstrādei </w:t>
            </w:r>
            <w:r w:rsidR="00434406" w:rsidRPr="002C30AA">
              <w:rPr>
                <w:rFonts w:eastAsia="Calibri"/>
                <w:lang w:eastAsia="en-US"/>
              </w:rPr>
              <w:t xml:space="preserve">izmantota sākotnējās regulu redakcijas un tālākie EK un Prezidentūru darba grupu darba dokumenti angļu valodā. Attiecīgajos gadījumos terminu un darbības vārdu izvēle latviešu valodā </w:t>
            </w:r>
            <w:r w:rsidR="00B36CC4" w:rsidRPr="002C30AA">
              <w:rPr>
                <w:rFonts w:eastAsia="Calibri"/>
                <w:lang w:eastAsia="en-US"/>
              </w:rPr>
              <w:t>tiek veikta</w:t>
            </w:r>
            <w:r w:rsidR="00434406" w:rsidRPr="002C30AA">
              <w:rPr>
                <w:rFonts w:eastAsia="Calibri"/>
                <w:lang w:eastAsia="en-US"/>
              </w:rPr>
              <w:t xml:space="preserve"> pēc būtības, neizmantojot </w:t>
            </w:r>
            <w:r w:rsidR="008D73AE" w:rsidRPr="002C30AA">
              <w:rPr>
                <w:rFonts w:eastAsia="Calibri"/>
                <w:lang w:eastAsia="en-US"/>
              </w:rPr>
              <w:t xml:space="preserve">tā </w:t>
            </w:r>
            <w:r w:rsidR="00434406" w:rsidRPr="002C30AA">
              <w:rPr>
                <w:rFonts w:eastAsia="Calibri"/>
                <w:lang w:eastAsia="en-US"/>
              </w:rPr>
              <w:t>burtisko tulkojumu.</w:t>
            </w:r>
          </w:p>
        </w:tc>
        <w:tc>
          <w:tcPr>
            <w:tcW w:w="2809" w:type="dxa"/>
            <w:tcBorders>
              <w:top w:val="single" w:sz="4" w:space="0" w:color="auto"/>
              <w:left w:val="single" w:sz="4" w:space="0" w:color="auto"/>
              <w:bottom w:val="single" w:sz="4" w:space="0" w:color="auto"/>
            </w:tcBorders>
          </w:tcPr>
          <w:p w:rsidR="008C1183" w:rsidRPr="002C30AA" w:rsidRDefault="004E2F2D" w:rsidP="003855DC">
            <w:pPr>
              <w:jc w:val="both"/>
            </w:pPr>
            <w:r w:rsidRPr="002C30AA">
              <w:t>ESF+ programmas materiālās nenodrošinātības mazināšanai</w:t>
            </w:r>
            <w:r w:rsidR="003855DC" w:rsidRPr="002C30AA">
              <w:t xml:space="preserve"> projekts tiek saglabāts</w:t>
            </w:r>
            <w:r w:rsidRPr="002C30AA">
              <w:t xml:space="preserve"> sākotnējā redakcijā.</w:t>
            </w:r>
          </w:p>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0E597B" w:rsidRPr="002C30AA" w:rsidRDefault="001D0922" w:rsidP="005B012D">
            <w:pPr>
              <w:pStyle w:val="naisc"/>
              <w:spacing w:before="0" w:after="0"/>
              <w:jc w:val="both"/>
              <w:rPr>
                <w:b/>
              </w:rPr>
            </w:pPr>
            <w:r w:rsidRPr="002C30AA">
              <w:t>Lūdzam sniegt skaidrojumu, kādēļ iepretim informatīvajā ziņojumā "Par Eiropas Sociālā fonda plus programmas materiālās nenodrošinātības mazināšanai 2021.–2027. gada plānošanas periodā" pārvaldību un īstenošanu Latvijā" (pieņemts zināšanai ar Ministru kabineta 2020. gada 27. oktobra sēdes protokola Nr. 65 31.§) norādītajam kā atbalstāmā darbība programmā nav paredzēta pārtikas (tajā skaitā, gatavo maltīšu) un pamata materiālās palīdzības preču uzglabāšana.</w:t>
            </w:r>
          </w:p>
        </w:tc>
        <w:tc>
          <w:tcPr>
            <w:tcW w:w="4028" w:type="dxa"/>
            <w:gridSpan w:val="2"/>
            <w:tcBorders>
              <w:left w:val="single" w:sz="6" w:space="0" w:color="000000"/>
              <w:bottom w:val="single" w:sz="4" w:space="0" w:color="auto"/>
              <w:right w:val="single" w:sz="6" w:space="0" w:color="000000"/>
            </w:tcBorders>
          </w:tcPr>
          <w:p w:rsidR="000E597B" w:rsidRPr="002C30AA" w:rsidRDefault="008C1183" w:rsidP="00DC5A4D">
            <w:pPr>
              <w:pStyle w:val="naisc"/>
              <w:spacing w:before="0" w:after="0"/>
              <w:jc w:val="both"/>
              <w:rPr>
                <w:b/>
              </w:rPr>
            </w:pPr>
            <w:r w:rsidRPr="002C30AA">
              <w:rPr>
                <w:b/>
              </w:rPr>
              <w:t>Ņemts vērā.</w:t>
            </w:r>
          </w:p>
          <w:p w:rsidR="008C1183" w:rsidRPr="002C30AA" w:rsidRDefault="008C1183" w:rsidP="008C1183">
            <w:pPr>
              <w:pStyle w:val="naisc"/>
              <w:spacing w:before="0" w:after="0"/>
              <w:jc w:val="both"/>
            </w:pPr>
            <w:r w:rsidRPr="002C30AA">
              <w:t>LM veica papildinājumus ESF+ programmas materiālās nenodrošinātības mazināšanai projekta (52) rindkopas 2) punkt</w:t>
            </w:r>
            <w:r w:rsidR="00483C54" w:rsidRPr="002C30AA">
              <w:t>ā ar norādi par atbalsta uzglabāšanu.</w:t>
            </w:r>
          </w:p>
          <w:p w:rsidR="001A3664" w:rsidRPr="002C30AA" w:rsidRDefault="001A3664" w:rsidP="008C1183">
            <w:pPr>
              <w:pStyle w:val="naisc"/>
              <w:spacing w:before="0" w:after="0"/>
              <w:jc w:val="both"/>
            </w:pPr>
          </w:p>
        </w:tc>
        <w:tc>
          <w:tcPr>
            <w:tcW w:w="2809" w:type="dxa"/>
            <w:tcBorders>
              <w:top w:val="single" w:sz="4" w:space="0" w:color="auto"/>
              <w:left w:val="single" w:sz="4" w:space="0" w:color="auto"/>
              <w:bottom w:val="single" w:sz="4" w:space="0" w:color="auto"/>
            </w:tcBorders>
          </w:tcPr>
          <w:p w:rsidR="008C1183" w:rsidRPr="002C30AA" w:rsidRDefault="008C1183" w:rsidP="008C1183">
            <w:pPr>
              <w:jc w:val="both"/>
            </w:pPr>
            <w:r w:rsidRPr="002C30AA">
              <w:t xml:space="preserve">ESF+ programmas materiālās nenodrošinātības mazināšanai projekta (52) rindkopas 2) punkta pirmais teikums izteikts šādā redakcijā: </w:t>
            </w:r>
          </w:p>
          <w:p w:rsidR="00F93D6D" w:rsidRPr="002C30AA" w:rsidRDefault="008C1183" w:rsidP="008C1183">
            <w:pPr>
              <w:jc w:val="both"/>
              <w:rPr>
                <w:rFonts w:eastAsia="Calibri"/>
                <w:noProof/>
                <w:lang w:bidi="lv-LV"/>
              </w:rPr>
            </w:pPr>
            <w:r w:rsidRPr="002C30AA">
              <w:rPr>
                <w:rFonts w:eastAsia="Calibri"/>
                <w:noProof/>
                <w:lang w:bidi="lv-LV"/>
              </w:rPr>
              <w:t>“2) pārtikas un/vai pamata materiālās palīdzības preču uzglabāšana un izdalīšana mērķa grupai, to apvienojot ar papildpasākumu īstenošanu.”</w:t>
            </w:r>
          </w:p>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0E597B" w:rsidRPr="002C30AA" w:rsidRDefault="001D0922" w:rsidP="00F93D6D">
            <w:pPr>
              <w:widowControl w:val="0"/>
              <w:jc w:val="both"/>
              <w:rPr>
                <w:rFonts w:eastAsia="Calibri"/>
                <w:lang w:eastAsia="en-US"/>
              </w:rPr>
            </w:pPr>
            <w:r w:rsidRPr="002C30AA">
              <w:rPr>
                <w:rFonts w:eastAsia="Calibri"/>
                <w:lang w:eastAsia="en-US"/>
              </w:rPr>
              <w:t xml:space="preserve">Tāpat līdzīgi lūdzam sniegt skaidrojumu, vai atbilstoši iepriekš minētajā informatīvajā ziņojumā norādītajam nav nepieciešams paredzēt programmā sadarbību ar institūcijām, kas atbildīgas par valsts intervences pārtikas produktu uzglabāšanu un realizāciju, ņemot vērā, ka ESF+ regulas priekšlikums saglabā iespēju papildus pārtikas preču iegādi nodrošināt izmantojot iegūto peļņu no valsts intervencē esošo pārtikas produktu pārdošanas atbilstoši Eiropas Parlamenta un Padomes 2013. gada 17. decembra Regulai (ES) Nr. 1308/2013, </w:t>
            </w:r>
            <w:hyperlink r:id="rId8" w:tooltip="32013R1308" w:history="1">
              <w:r w:rsidRPr="002C30AA">
                <w:rPr>
                  <w:rFonts w:eastAsia="Calibri"/>
                  <w:lang w:eastAsia="en-US"/>
                </w:rPr>
                <w:t>ar ko izveido lauksaimniecības produktu tirgu kopīgu organizāciju un atceļ Padomes Regulas (EEK) Nr. 922/72, (EEK) Nr. 234/79, (EK) Nr. 1037/2001 un (EK) Nr. 1234/2007</w:t>
              </w:r>
            </w:hyperlink>
            <w:r w:rsidRPr="002C30AA">
              <w:rPr>
                <w:rFonts w:eastAsia="Calibri"/>
                <w:lang w:eastAsia="en-US"/>
              </w:rPr>
              <w:t>, noteiktajam, ja tas ir ekonomiski vislabākais variants.</w:t>
            </w:r>
          </w:p>
        </w:tc>
        <w:tc>
          <w:tcPr>
            <w:tcW w:w="4028" w:type="dxa"/>
            <w:gridSpan w:val="2"/>
            <w:tcBorders>
              <w:left w:val="single" w:sz="6" w:space="0" w:color="000000"/>
              <w:bottom w:val="single" w:sz="4" w:space="0" w:color="auto"/>
              <w:right w:val="single" w:sz="6" w:space="0" w:color="000000"/>
            </w:tcBorders>
          </w:tcPr>
          <w:p w:rsidR="000E597B" w:rsidRPr="002C30AA" w:rsidRDefault="004074C1" w:rsidP="004074C1">
            <w:pPr>
              <w:pStyle w:val="naisc"/>
              <w:spacing w:before="0" w:after="0"/>
              <w:jc w:val="both"/>
              <w:rPr>
                <w:b/>
              </w:rPr>
            </w:pPr>
            <w:r w:rsidRPr="002C30AA">
              <w:rPr>
                <w:b/>
              </w:rPr>
              <w:t>Nav ņemts vērā.</w:t>
            </w:r>
          </w:p>
          <w:p w:rsidR="004074C1" w:rsidRPr="002C30AA" w:rsidRDefault="004074C1" w:rsidP="00400BB2">
            <w:pPr>
              <w:pStyle w:val="naisc"/>
              <w:spacing w:before="0" w:after="0"/>
              <w:jc w:val="both"/>
            </w:pPr>
            <w:r w:rsidRPr="002C30AA">
              <w:t xml:space="preserve">LM skaidro, ka valsts intervencē esošo produktu pārdošanas rezultātā potenciāli iegūtās peļņas novirzīšana (piesaiste) esošajam ESF+ programmas materiālās nenodrošinātības mazināšanai piešķīrumam ir tikai </w:t>
            </w:r>
            <w:r w:rsidR="004650F1" w:rsidRPr="002C30AA">
              <w:rPr>
                <w:rFonts w:eastAsia="Calibri"/>
                <w:lang w:eastAsia="en-US"/>
              </w:rPr>
              <w:t xml:space="preserve">ESF+ regulas priekšlikumā noteiktais </w:t>
            </w:r>
            <w:r w:rsidRPr="002C30AA">
              <w:t xml:space="preserve">veids kā potenciāli palielināt tās kopējā finansējuma apjomu. </w:t>
            </w:r>
            <w:r w:rsidR="001D3877" w:rsidRPr="002C30AA">
              <w:t>ESF+ programmas materiālās nenodrošinātības mazināšanai projekta</w:t>
            </w:r>
            <w:r w:rsidR="00400BB2" w:rsidRPr="002C30AA">
              <w:t xml:space="preserve"> ietvarā to atsevišķi aprakstīt nav nepieciešams. Tas ir svarīgi no programmas institucionālā viedokļa, kas arī minēts informatīvajā ziņojumā “Par Eiropas Sociālā fonda plus programmas materiālās nenodrošinātības mazināšanai 2021.–2027. gada plānošanas periodā” pārvaldību un īstenošanu Latvijā”.</w:t>
            </w:r>
          </w:p>
        </w:tc>
        <w:tc>
          <w:tcPr>
            <w:tcW w:w="2809" w:type="dxa"/>
            <w:tcBorders>
              <w:top w:val="single" w:sz="4" w:space="0" w:color="auto"/>
              <w:left w:val="single" w:sz="4" w:space="0" w:color="auto"/>
              <w:bottom w:val="single" w:sz="4" w:space="0" w:color="auto"/>
            </w:tcBorders>
          </w:tcPr>
          <w:p w:rsidR="000E597B" w:rsidRPr="002C30AA" w:rsidRDefault="000E597B" w:rsidP="005B012D"/>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1D0922" w:rsidRPr="002C30AA" w:rsidRDefault="001D0922" w:rsidP="001A3664">
            <w:pPr>
              <w:widowControl w:val="0"/>
              <w:jc w:val="both"/>
              <w:rPr>
                <w:rFonts w:eastAsia="Calibri"/>
                <w:lang w:eastAsia="en-US"/>
              </w:rPr>
            </w:pPr>
            <w:r w:rsidRPr="002C30AA">
              <w:rPr>
                <w:rFonts w:eastAsia="Calibri"/>
                <w:lang w:eastAsia="en-US"/>
              </w:rPr>
              <w:t>Programmā norādīts, ka kopējo kritēriju visām atbalstāmām darbībām atbilstību kopīgo ar regulas priekšlikuma 30. un 57. pantā un ESF+ regulas priekšlikuma 14. un 20. pantā norādītajiem attiecināmības noteikumiem. Saistībā ar minēto norādām, ka:</w:t>
            </w:r>
          </w:p>
          <w:p w:rsidR="001D0922" w:rsidRPr="002C30AA" w:rsidRDefault="001D0922" w:rsidP="001D0922">
            <w:pPr>
              <w:widowControl w:val="0"/>
              <w:ind w:firstLine="567"/>
              <w:jc w:val="both"/>
              <w:rPr>
                <w:rFonts w:eastAsia="Calibri"/>
                <w:lang w:eastAsia="en-US"/>
              </w:rPr>
            </w:pPr>
            <w:r w:rsidRPr="002C30AA">
              <w:rPr>
                <w:rFonts w:eastAsia="Calibri"/>
                <w:lang w:eastAsia="en-US"/>
              </w:rPr>
              <w:t>pirmkārt, atbilstoši ESF+ regulas priekšlikuma 12. punktam II nodaļa, kurā ietverts minētā priekšlikuma 14. pants, attiecas uz ESF+ atbalstu, ievērojot 4. panta 1. punkta "i" līdz "x" apakšpunktu, ja to īsteno saskaņā ar dalītās pārvaldības principu. Attiecīgi, ņemot vērā, ka uz programmu pirmšķietami attiecināms vienīgi ESF+ regulas priekšlikuma 4. panta 1. punkta "xi" apakšpunkts, nav skaidri saprotams, kādēļ kā kopējais kritērijs programmā norādīts 14. pants;</w:t>
            </w:r>
          </w:p>
          <w:p w:rsidR="001D0922" w:rsidRPr="002C30AA" w:rsidRDefault="001D0922" w:rsidP="001D0922">
            <w:pPr>
              <w:widowControl w:val="0"/>
              <w:ind w:firstLine="567"/>
              <w:jc w:val="both"/>
              <w:rPr>
                <w:rFonts w:eastAsia="Calibri"/>
                <w:lang w:eastAsia="en-US"/>
              </w:rPr>
            </w:pPr>
            <w:r w:rsidRPr="002C30AA">
              <w:rPr>
                <w:rFonts w:eastAsia="Calibri"/>
                <w:lang w:eastAsia="en-US"/>
              </w:rPr>
              <w:t>otrkārt, attiecināmības noteikumi ietverti arī kopīgo noteikumu regulas priekšlikuma 58. pantā, kur vispārīgi norādītas izmaksas, kuras nav attiecināmas nolūkā saņemt iemaksas no fondiem.</w:t>
            </w:r>
          </w:p>
          <w:p w:rsidR="000E597B" w:rsidRPr="002C30AA" w:rsidRDefault="001D0922" w:rsidP="00D84726">
            <w:pPr>
              <w:widowControl w:val="0"/>
              <w:jc w:val="both"/>
              <w:rPr>
                <w:rFonts w:eastAsia="Calibri"/>
                <w:lang w:eastAsia="en-US"/>
              </w:rPr>
            </w:pPr>
            <w:r w:rsidRPr="002C30AA">
              <w:rPr>
                <w:rFonts w:eastAsia="Calibri"/>
                <w:lang w:eastAsia="en-US"/>
              </w:rPr>
              <w:t>Attiecīgi lūdzam sniegt atbilstošu skaidrojumu par minēto, nepieciešamības</w:t>
            </w:r>
            <w:r w:rsidR="00D84726" w:rsidRPr="002C30AA">
              <w:rPr>
                <w:rFonts w:eastAsia="Calibri"/>
                <w:lang w:eastAsia="en-US"/>
              </w:rPr>
              <w:t xml:space="preserve"> gadījumā precizējot programmu.</w:t>
            </w:r>
          </w:p>
        </w:tc>
        <w:tc>
          <w:tcPr>
            <w:tcW w:w="4028" w:type="dxa"/>
            <w:gridSpan w:val="2"/>
            <w:tcBorders>
              <w:left w:val="single" w:sz="6" w:space="0" w:color="000000"/>
              <w:bottom w:val="single" w:sz="4" w:space="0" w:color="auto"/>
              <w:right w:val="single" w:sz="6" w:space="0" w:color="000000"/>
            </w:tcBorders>
          </w:tcPr>
          <w:p w:rsidR="00BA114D" w:rsidRPr="002C30AA" w:rsidRDefault="00BA114D" w:rsidP="00BA114D">
            <w:pPr>
              <w:pStyle w:val="naisc"/>
              <w:jc w:val="both"/>
              <w:rPr>
                <w:b/>
              </w:rPr>
            </w:pPr>
            <w:r w:rsidRPr="002C30AA">
              <w:rPr>
                <w:b/>
              </w:rPr>
              <w:t>Ņemts vērā.</w:t>
            </w:r>
          </w:p>
          <w:p w:rsidR="000E597B" w:rsidRPr="002C30AA" w:rsidRDefault="00BA114D" w:rsidP="00BA114D">
            <w:pPr>
              <w:pStyle w:val="naisc"/>
              <w:spacing w:before="0" w:after="0"/>
              <w:jc w:val="both"/>
            </w:pPr>
            <w:r w:rsidRPr="002C30AA">
              <w:t>LM svītroja ESF+ programmas materiālās nenodrošinātības mazināšanai projekta (53) rindkopas 1) punktā atsauci uz ESF+ regulas priekšlikuma 14. pantu</w:t>
            </w:r>
            <w:r w:rsidR="00CA7449" w:rsidRPr="002C30AA">
              <w:t xml:space="preserve"> un papildināja ar atsauci uz KNR 58. pantu.</w:t>
            </w:r>
          </w:p>
        </w:tc>
        <w:tc>
          <w:tcPr>
            <w:tcW w:w="2809" w:type="dxa"/>
            <w:tcBorders>
              <w:top w:val="single" w:sz="4" w:space="0" w:color="auto"/>
              <w:left w:val="single" w:sz="4" w:space="0" w:color="auto"/>
              <w:bottom w:val="single" w:sz="4" w:space="0" w:color="auto"/>
            </w:tcBorders>
          </w:tcPr>
          <w:p w:rsidR="00E75B0F" w:rsidRPr="002C30AA" w:rsidRDefault="00E75B0F" w:rsidP="00E75B0F">
            <w:pPr>
              <w:jc w:val="both"/>
            </w:pPr>
            <w:r w:rsidRPr="002C30AA">
              <w:t xml:space="preserve">ESF+ programmas materiālās nenodrošinātības mazināšanai projekta (53) rindkopas 1) punkts šādā redakcijā: </w:t>
            </w:r>
          </w:p>
          <w:p w:rsidR="00E75B0F" w:rsidRPr="002C30AA" w:rsidRDefault="00E75B0F" w:rsidP="00E75B0F">
            <w:pPr>
              <w:jc w:val="both"/>
            </w:pPr>
            <w:r w:rsidRPr="002C30AA">
              <w:t>“1)</w:t>
            </w:r>
            <w:r w:rsidRPr="002C30AA">
              <w:tab/>
              <w:t>darbība atbilst KNR priekšlikuma 30.</w:t>
            </w:r>
            <w:r w:rsidR="00D81A4E" w:rsidRPr="002C30AA">
              <w:t>,</w:t>
            </w:r>
            <w:r w:rsidRPr="002C30AA">
              <w:t xml:space="preserve"> 57. </w:t>
            </w:r>
            <w:r w:rsidR="00D81A4E" w:rsidRPr="002C30AA">
              <w:t>un 58. </w:t>
            </w:r>
            <w:r w:rsidRPr="002C30AA">
              <w:t>pantā, ESF+ regulas priekšlikuma 20. pantā norādītajiem attiecināmības noteikumiem;”.</w:t>
            </w:r>
          </w:p>
          <w:p w:rsidR="000E597B" w:rsidRPr="002C30AA" w:rsidRDefault="000E597B" w:rsidP="00E75B0F">
            <w:pPr>
              <w:jc w:val="both"/>
            </w:pPr>
          </w:p>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ind w:left="459" w:hanging="283"/>
              <w:jc w:val="left"/>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0E597B" w:rsidRPr="002C30AA" w:rsidRDefault="001D0922" w:rsidP="00D84726">
            <w:pPr>
              <w:widowControl w:val="0"/>
              <w:jc w:val="both"/>
              <w:rPr>
                <w:rFonts w:eastAsia="Calibri"/>
                <w:lang w:eastAsia="en-US"/>
              </w:rPr>
            </w:pPr>
            <w:r w:rsidRPr="002C30AA">
              <w:rPr>
                <w:rFonts w:eastAsia="Calibri"/>
                <w:lang w:eastAsia="en-US"/>
              </w:rPr>
              <w:t>Lūdzam programmā, raksturojot atbalstāmās darbības (sk. programmas 6. sadaļu "Darbību atlases kritēriji) simbolu "/" aizstāt ar saikli "un" vai saikli "vai", jo no programmas nav skaidri saprotams, vai ar simbolu "/" tiek saprasts saiklis "un" vai saiklis "vai", tādējādi apdraudot programmā ietvertās informācijas uztveram</w:t>
            </w:r>
            <w:r w:rsidR="00D84726" w:rsidRPr="002C30AA">
              <w:rPr>
                <w:rFonts w:eastAsia="Calibri"/>
                <w:lang w:eastAsia="en-US"/>
              </w:rPr>
              <w:t>ību un objektīvu atspoguļojumu.</w:t>
            </w:r>
          </w:p>
        </w:tc>
        <w:tc>
          <w:tcPr>
            <w:tcW w:w="4028" w:type="dxa"/>
            <w:gridSpan w:val="2"/>
            <w:tcBorders>
              <w:left w:val="single" w:sz="6" w:space="0" w:color="000000"/>
              <w:bottom w:val="single" w:sz="4" w:space="0" w:color="auto"/>
              <w:right w:val="single" w:sz="6" w:space="0" w:color="000000"/>
            </w:tcBorders>
          </w:tcPr>
          <w:p w:rsidR="000E597B" w:rsidRPr="002C30AA" w:rsidRDefault="00837F62" w:rsidP="00827611">
            <w:pPr>
              <w:pStyle w:val="naisc"/>
              <w:spacing w:before="0" w:after="0"/>
              <w:jc w:val="both"/>
              <w:rPr>
                <w:b/>
              </w:rPr>
            </w:pPr>
            <w:r w:rsidRPr="002C30AA">
              <w:rPr>
                <w:b/>
              </w:rPr>
              <w:t>Ņemts vērā.</w:t>
            </w:r>
          </w:p>
          <w:p w:rsidR="00837F62" w:rsidRPr="002C30AA" w:rsidRDefault="00837F62" w:rsidP="00827611">
            <w:pPr>
              <w:pStyle w:val="naisc"/>
              <w:spacing w:before="0" w:after="0"/>
              <w:jc w:val="both"/>
            </w:pPr>
            <w:r w:rsidRPr="002C30AA">
              <w:t xml:space="preserve">LM skaidro, ka </w:t>
            </w:r>
            <w:r w:rsidR="00991210" w:rsidRPr="002C30AA">
              <w:t>ESF+ programmas materiālās nenodrošinātības mazināšanai projektā</w:t>
            </w:r>
            <w:r w:rsidRPr="002C30AA">
              <w:t xml:space="preserve"> saglabāta atbilstība ESF+ regulas priekšlikuma redakcijai, tomēr uztveramības uzlabošanas nolūkā atbalstām priekšlikumu par saikļa “un” lietošanu.</w:t>
            </w:r>
          </w:p>
          <w:p w:rsidR="00837F62" w:rsidRPr="002C30AA" w:rsidRDefault="00837F62" w:rsidP="00827611">
            <w:pPr>
              <w:pStyle w:val="naisc"/>
              <w:spacing w:before="0" w:after="0"/>
              <w:jc w:val="both"/>
              <w:rPr>
                <w:highlight w:val="yellow"/>
              </w:rPr>
            </w:pPr>
          </w:p>
          <w:p w:rsidR="00A72389" w:rsidRPr="002C30AA" w:rsidRDefault="00A72389" w:rsidP="00827611">
            <w:pPr>
              <w:pStyle w:val="naisc"/>
              <w:spacing w:before="0" w:after="0"/>
              <w:jc w:val="both"/>
            </w:pPr>
          </w:p>
        </w:tc>
        <w:tc>
          <w:tcPr>
            <w:tcW w:w="2809" w:type="dxa"/>
            <w:tcBorders>
              <w:top w:val="single" w:sz="4" w:space="0" w:color="auto"/>
              <w:left w:val="single" w:sz="4" w:space="0" w:color="auto"/>
              <w:bottom w:val="single" w:sz="4" w:space="0" w:color="auto"/>
            </w:tcBorders>
          </w:tcPr>
          <w:p w:rsidR="00991210" w:rsidRPr="002C30AA" w:rsidRDefault="00991210" w:rsidP="00991210">
            <w:pPr>
              <w:jc w:val="both"/>
            </w:pPr>
            <w:r w:rsidRPr="002C30AA">
              <w:t xml:space="preserve">ESF+ programmas materiālās nenodrošinātības mazināšanai projektā veiktas </w:t>
            </w:r>
            <w:r w:rsidR="00837F62" w:rsidRPr="002C30AA">
              <w:t xml:space="preserve">redakcionālās izmaiņas </w:t>
            </w:r>
            <w:r w:rsidR="000D5136" w:rsidRPr="002C30AA">
              <w:t>(52) un (60) rindkopā.</w:t>
            </w:r>
          </w:p>
          <w:p w:rsidR="000E597B" w:rsidRPr="002C30AA" w:rsidRDefault="000E597B" w:rsidP="00991210">
            <w:pPr>
              <w:jc w:val="both"/>
              <w:rPr>
                <w:highlight w:val="yellow"/>
              </w:rPr>
            </w:pPr>
          </w:p>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ind w:left="459" w:hanging="283"/>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E597B" w:rsidRPr="002C30AA" w:rsidRDefault="000E597B" w:rsidP="000E597B">
            <w:pPr>
              <w:pStyle w:val="naisc"/>
              <w:spacing w:before="0" w:after="0"/>
              <w:jc w:val="both"/>
              <w:rPr>
                <w:b/>
              </w:rPr>
            </w:pPr>
            <w:r w:rsidRPr="002C30AA">
              <w:rPr>
                <w:b/>
              </w:rPr>
              <w:t>Tieslietu ministrija</w:t>
            </w:r>
          </w:p>
          <w:p w:rsidR="000E597B" w:rsidRPr="002C30AA" w:rsidRDefault="000E597B" w:rsidP="000E597B">
            <w:pPr>
              <w:pStyle w:val="naisc"/>
              <w:spacing w:before="0" w:after="0"/>
              <w:jc w:val="both"/>
              <w:rPr>
                <w:b/>
              </w:rPr>
            </w:pPr>
            <w:r w:rsidRPr="002C30AA">
              <w:rPr>
                <w:b/>
              </w:rPr>
              <w:t>Iebildums</w:t>
            </w:r>
          </w:p>
          <w:p w:rsidR="001D0922" w:rsidRPr="002C30AA" w:rsidRDefault="001D0922" w:rsidP="00F93D6D">
            <w:pPr>
              <w:widowControl w:val="0"/>
              <w:jc w:val="both"/>
              <w:rPr>
                <w:rFonts w:eastAsia="Calibri"/>
                <w:lang w:eastAsia="en-US"/>
              </w:rPr>
            </w:pPr>
            <w:r w:rsidRPr="002C30AA">
              <w:rPr>
                <w:rFonts w:eastAsia="Calibri"/>
                <w:lang w:eastAsia="en-US"/>
              </w:rPr>
              <w:t>Vēršam uzmanību, ka atbilstoši kopīgo noteikumu regulas priekšlikuma 7. panta 2. punktam dalībvalsts partnerības nolīgumu Komisijai iesniedz pirms pirmās programmas iesniegšanas vai vienlaikus ar to. Savukārt atbilstoši minētā priekšlikuma 16. panta 2. punktam dalībvalstis Komisijai programmas iesniedz ne vēlāk kā 3 mēnešus pēc partnerības nolīguma iesniegšanas. Saistībā ar minēto lūdzam sniegt informāciju, vai, iesniedzot programmu Komisijai līdz 2021. gada 1. aprīlim atbilstoši rīkojuma projekta 2. punktam, tiks ievēroti iepriekš minētajās priekšlikuma normās minētie priekšnosacījumi attiecībā uz programmas iesniegšanu. Nepieciešamības gadījumā lūdzam precizēt rīkojuma projekta 2. punktu.</w:t>
            </w:r>
          </w:p>
        </w:tc>
        <w:tc>
          <w:tcPr>
            <w:tcW w:w="4028" w:type="dxa"/>
            <w:gridSpan w:val="2"/>
            <w:tcBorders>
              <w:left w:val="single" w:sz="6" w:space="0" w:color="000000"/>
              <w:bottom w:val="single" w:sz="4" w:space="0" w:color="auto"/>
              <w:right w:val="single" w:sz="6" w:space="0" w:color="000000"/>
            </w:tcBorders>
          </w:tcPr>
          <w:p w:rsidR="00BB6117" w:rsidRPr="002C30AA" w:rsidRDefault="00BB6117" w:rsidP="00AB1869">
            <w:pPr>
              <w:pStyle w:val="naisc"/>
              <w:spacing w:before="0" w:after="0"/>
              <w:jc w:val="both"/>
              <w:rPr>
                <w:b/>
              </w:rPr>
            </w:pPr>
            <w:r w:rsidRPr="002C30AA">
              <w:rPr>
                <w:b/>
              </w:rPr>
              <w:t>Ņemts vērā.</w:t>
            </w:r>
          </w:p>
          <w:p w:rsidR="00BB6117" w:rsidRPr="002C30AA" w:rsidRDefault="00BB6117" w:rsidP="00AB1869">
            <w:pPr>
              <w:pStyle w:val="naisc"/>
              <w:spacing w:before="0" w:after="0"/>
              <w:jc w:val="both"/>
            </w:pPr>
            <w:r w:rsidRPr="002C30AA">
              <w:t>LM veica precizējumus r</w:t>
            </w:r>
            <w:r w:rsidR="00472FB5" w:rsidRPr="002C30AA">
              <w:t>īkojuma projekta 2</w:t>
            </w:r>
            <w:r w:rsidRPr="002C30AA">
              <w:t>. punktā.</w:t>
            </w:r>
          </w:p>
        </w:tc>
        <w:tc>
          <w:tcPr>
            <w:tcW w:w="2809" w:type="dxa"/>
            <w:tcBorders>
              <w:top w:val="single" w:sz="4" w:space="0" w:color="auto"/>
              <w:left w:val="single" w:sz="4" w:space="0" w:color="auto"/>
              <w:bottom w:val="single" w:sz="4" w:space="0" w:color="auto"/>
            </w:tcBorders>
          </w:tcPr>
          <w:p w:rsidR="000E597B" w:rsidRPr="002C30AA" w:rsidRDefault="00BB6117" w:rsidP="00C17225">
            <w:pPr>
              <w:jc w:val="both"/>
            </w:pPr>
            <w:r w:rsidRPr="002C30AA">
              <w:t>R</w:t>
            </w:r>
            <w:r w:rsidR="00472FB5" w:rsidRPr="002C30AA">
              <w:t>īkojuma projekta 2</w:t>
            </w:r>
            <w:r w:rsidRPr="002C30AA">
              <w:t>. punkts izteikts šādā redakcijā:</w:t>
            </w:r>
          </w:p>
          <w:p w:rsidR="006E2B8E" w:rsidRPr="002C30AA" w:rsidRDefault="00BB6117" w:rsidP="006E2B8E">
            <w:pPr>
              <w:jc w:val="both"/>
            </w:pPr>
            <w:r w:rsidRPr="002C30AA">
              <w:t>“</w:t>
            </w:r>
            <w:r w:rsidR="006E2B8E" w:rsidRPr="002C30AA">
              <w:t>2. Labklājības ministrijai ne vēlāk kā trīs mēnešus pēc partnerības nolīguma iesniegšanas nodrošināt ESF+ programmas projekta iesniegšanu Eiropas Komisijai.”</w:t>
            </w:r>
          </w:p>
          <w:p w:rsidR="00BB6117" w:rsidRPr="002C30AA" w:rsidRDefault="00BB6117" w:rsidP="006E2B8E">
            <w:pPr>
              <w:jc w:val="both"/>
            </w:pPr>
          </w:p>
        </w:tc>
      </w:tr>
      <w:tr w:rsidR="002C30AA" w:rsidRPr="002C30AA" w:rsidTr="00C650DB">
        <w:tc>
          <w:tcPr>
            <w:tcW w:w="709" w:type="dxa"/>
            <w:tcBorders>
              <w:left w:val="single" w:sz="6" w:space="0" w:color="000000"/>
              <w:bottom w:val="single" w:sz="4" w:space="0" w:color="auto"/>
              <w:right w:val="single" w:sz="6" w:space="0" w:color="000000"/>
            </w:tcBorders>
          </w:tcPr>
          <w:p w:rsidR="000E597B" w:rsidRPr="002C30AA" w:rsidRDefault="000E597B" w:rsidP="00C5214A">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0E597B" w:rsidRPr="002C30AA" w:rsidRDefault="000E597B"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D0922" w:rsidRPr="002C30AA" w:rsidRDefault="001D0922" w:rsidP="001D0922">
            <w:pPr>
              <w:pStyle w:val="naisc"/>
              <w:spacing w:before="0" w:after="0"/>
              <w:jc w:val="both"/>
              <w:rPr>
                <w:b/>
              </w:rPr>
            </w:pPr>
            <w:r w:rsidRPr="002C30AA">
              <w:rPr>
                <w:b/>
              </w:rPr>
              <w:t>Tieslietu ministrija</w:t>
            </w:r>
          </w:p>
          <w:p w:rsidR="001D0922" w:rsidRPr="002C30AA" w:rsidRDefault="001D0922" w:rsidP="005B012D">
            <w:pPr>
              <w:pStyle w:val="naisc"/>
              <w:spacing w:before="0" w:after="0"/>
              <w:jc w:val="both"/>
              <w:rPr>
                <w:b/>
              </w:rPr>
            </w:pPr>
            <w:r w:rsidRPr="002C30AA">
              <w:rPr>
                <w:b/>
              </w:rPr>
              <w:t>Iebildums</w:t>
            </w:r>
          </w:p>
          <w:p w:rsidR="000E597B" w:rsidRPr="002C30AA" w:rsidRDefault="001D0922" w:rsidP="005B012D">
            <w:pPr>
              <w:pStyle w:val="naisc"/>
              <w:spacing w:before="0" w:after="0"/>
              <w:jc w:val="both"/>
              <w:rPr>
                <w:b/>
              </w:rPr>
            </w:pPr>
            <w:r w:rsidRPr="002C30AA">
              <w:rPr>
                <w:rFonts w:eastAsia="Calibri"/>
                <w:lang w:eastAsia="en-US"/>
              </w:rPr>
              <w:t>Tiesiskās noteiktības nolūkā lūdzam precizēt rīkojuma projekta 4. punktu, kas paredz, ja sarunu ar Eiropas Komisiju rezultātā ESF+ programmā veiktas būtiskas izmaiņas, Labklājības ministrijai iesniegt Ministru kabinetā precizēto ESF+ programmu pēc tās apstiprināšanas ar Eiropas Komisijas lēmumu, skaidrojot, kas saprotams ar būtiskām izmaiņām (nepieciešamības gadījumā rīkojuma projektā piemērveidā norādot, kas tiks uzskatīts par būtiskām izmaiņām).</w:t>
            </w:r>
          </w:p>
        </w:tc>
        <w:tc>
          <w:tcPr>
            <w:tcW w:w="4028" w:type="dxa"/>
            <w:gridSpan w:val="2"/>
            <w:tcBorders>
              <w:left w:val="single" w:sz="6" w:space="0" w:color="000000"/>
              <w:bottom w:val="single" w:sz="4" w:space="0" w:color="auto"/>
              <w:right w:val="single" w:sz="6" w:space="0" w:color="000000"/>
            </w:tcBorders>
          </w:tcPr>
          <w:p w:rsidR="000E597B" w:rsidRPr="002C30AA" w:rsidRDefault="00521325" w:rsidP="006256DF">
            <w:pPr>
              <w:pStyle w:val="naisc"/>
              <w:spacing w:before="0" w:after="0"/>
              <w:jc w:val="both"/>
              <w:rPr>
                <w:b/>
              </w:rPr>
            </w:pPr>
            <w:r w:rsidRPr="002C30AA">
              <w:rPr>
                <w:b/>
              </w:rPr>
              <w:t>Daļēji ņemts vērā.</w:t>
            </w:r>
          </w:p>
          <w:p w:rsidR="007542EF" w:rsidRPr="002C30AA" w:rsidRDefault="00521325" w:rsidP="006256DF">
            <w:pPr>
              <w:pStyle w:val="naisc"/>
              <w:spacing w:before="0" w:after="0"/>
              <w:jc w:val="both"/>
            </w:pPr>
            <w:r w:rsidRPr="002C30AA">
              <w:t xml:space="preserve">LM skaidro, ka </w:t>
            </w:r>
            <w:r w:rsidR="007542EF" w:rsidRPr="002C30AA">
              <w:t>rīkojuma tekstā pēc būtības nav nepieciešams paredzēt kritērijus izmaiņ</w:t>
            </w:r>
            <w:r w:rsidR="00B745E4" w:rsidRPr="002C30AA">
              <w:t xml:space="preserve">ām. </w:t>
            </w:r>
            <w:r w:rsidR="007542EF" w:rsidRPr="002C30AA">
              <w:t>Piedāvājam svītrot vārdu “būtiskas”</w:t>
            </w:r>
            <w:r w:rsidR="00B745E4" w:rsidRPr="002C30AA">
              <w:t>,</w:t>
            </w:r>
            <w:r w:rsidR="007542EF" w:rsidRPr="002C30AA">
              <w:t xml:space="preserve"> kā rezultātā paredzot izmaiņu gadījum</w:t>
            </w:r>
            <w:r w:rsidR="00B745E4" w:rsidRPr="002C30AA">
              <w:t xml:space="preserve">ā ESF+ programmas materiālās nenodrošinātības mazināšanai projekta </w:t>
            </w:r>
            <w:r w:rsidR="007542EF" w:rsidRPr="002C30AA">
              <w:t xml:space="preserve">iesniegšanu </w:t>
            </w:r>
            <w:r w:rsidR="00B745E4" w:rsidRPr="002C30AA">
              <w:t>Ministru kabinetā</w:t>
            </w:r>
            <w:r w:rsidR="007542EF" w:rsidRPr="002C30AA">
              <w:t xml:space="preserve"> atkārtoti. </w:t>
            </w:r>
          </w:p>
          <w:p w:rsidR="00521325" w:rsidRPr="002C30AA" w:rsidRDefault="00521325" w:rsidP="006256DF">
            <w:pPr>
              <w:pStyle w:val="naisc"/>
              <w:spacing w:before="0" w:after="0"/>
              <w:jc w:val="both"/>
              <w:rPr>
                <w:highlight w:val="yellow"/>
              </w:rPr>
            </w:pPr>
          </w:p>
          <w:p w:rsidR="00521325" w:rsidRPr="002C30AA" w:rsidRDefault="00521325" w:rsidP="006256DF">
            <w:pPr>
              <w:pStyle w:val="naisc"/>
              <w:spacing w:before="0" w:after="0"/>
              <w:jc w:val="both"/>
              <w:rPr>
                <w:highlight w:val="yellow"/>
              </w:rPr>
            </w:pPr>
          </w:p>
          <w:p w:rsidR="00521325" w:rsidRPr="002C30AA" w:rsidRDefault="00521325" w:rsidP="00B745E4">
            <w:pPr>
              <w:pStyle w:val="naisc"/>
              <w:spacing w:before="0" w:after="0"/>
              <w:jc w:val="both"/>
            </w:pPr>
          </w:p>
        </w:tc>
        <w:tc>
          <w:tcPr>
            <w:tcW w:w="2809" w:type="dxa"/>
            <w:tcBorders>
              <w:top w:val="single" w:sz="4" w:space="0" w:color="auto"/>
              <w:left w:val="single" w:sz="4" w:space="0" w:color="auto"/>
              <w:bottom w:val="single" w:sz="4" w:space="0" w:color="auto"/>
            </w:tcBorders>
          </w:tcPr>
          <w:p w:rsidR="000E597B" w:rsidRPr="002C30AA" w:rsidRDefault="00B745E4" w:rsidP="005B012D">
            <w:r w:rsidRPr="002C30AA">
              <w:t>Rīkojuma projekta 4. punkts izteikts šādā redakcijā:</w:t>
            </w:r>
          </w:p>
          <w:p w:rsidR="00B745E4" w:rsidRPr="002C30AA" w:rsidRDefault="00B745E4" w:rsidP="00B745E4">
            <w:pPr>
              <w:pStyle w:val="naisc"/>
              <w:spacing w:before="0" w:after="0"/>
              <w:jc w:val="both"/>
            </w:pPr>
            <w:r w:rsidRPr="002C30AA">
              <w:t>“4. Ja sarunu ar Eiropas Komisiju rezultātā ESF+ programmā veiktas izmaiņas, Labklājības ministrijai iesniegt Ministru kabinetā precizēto ESF+ programmu pēc tās apstiprināšanas ar Eiropas Komisijas lēmumu.”</w:t>
            </w:r>
          </w:p>
          <w:p w:rsidR="00B745E4" w:rsidRPr="002C30AA" w:rsidRDefault="00B745E4" w:rsidP="005B012D"/>
        </w:tc>
      </w:tr>
      <w:tr w:rsidR="002C30AA" w:rsidRPr="002C30AA" w:rsidTr="00C650DB">
        <w:tc>
          <w:tcPr>
            <w:tcW w:w="709" w:type="dxa"/>
            <w:tcBorders>
              <w:left w:val="single" w:sz="6" w:space="0" w:color="000000"/>
              <w:bottom w:val="single" w:sz="4" w:space="0" w:color="auto"/>
              <w:right w:val="single" w:sz="6" w:space="0" w:color="000000"/>
            </w:tcBorders>
          </w:tcPr>
          <w:p w:rsidR="001D0922" w:rsidRPr="002C30AA" w:rsidRDefault="001D0922" w:rsidP="00C5214A">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1D0922" w:rsidRPr="002C30AA" w:rsidRDefault="001D0922"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D0922" w:rsidRPr="002C30AA" w:rsidRDefault="001D0922" w:rsidP="001D0922">
            <w:pPr>
              <w:pStyle w:val="naisc"/>
              <w:spacing w:before="0" w:after="0"/>
              <w:jc w:val="both"/>
              <w:rPr>
                <w:b/>
              </w:rPr>
            </w:pPr>
            <w:r w:rsidRPr="002C30AA">
              <w:rPr>
                <w:b/>
              </w:rPr>
              <w:t>Tieslietu ministrija</w:t>
            </w:r>
          </w:p>
          <w:p w:rsidR="001D0922" w:rsidRPr="002C30AA" w:rsidRDefault="001D0922" w:rsidP="001D0922">
            <w:pPr>
              <w:pStyle w:val="naisc"/>
              <w:spacing w:before="0" w:after="0"/>
              <w:jc w:val="both"/>
              <w:rPr>
                <w:b/>
              </w:rPr>
            </w:pPr>
            <w:r w:rsidRPr="002C30AA">
              <w:rPr>
                <w:b/>
              </w:rPr>
              <w:t>Iebildums</w:t>
            </w:r>
          </w:p>
          <w:p w:rsidR="001D0922" w:rsidRPr="002C30AA" w:rsidRDefault="001D0922" w:rsidP="003A0F71">
            <w:pPr>
              <w:widowControl w:val="0"/>
              <w:jc w:val="both"/>
              <w:rPr>
                <w:rFonts w:eastAsia="Calibri"/>
                <w:lang w:eastAsia="en-US"/>
              </w:rPr>
            </w:pPr>
            <w:r w:rsidRPr="002C30AA">
              <w:rPr>
                <w:rFonts w:eastAsia="Calibri"/>
                <w:lang w:eastAsia="en-US"/>
              </w:rPr>
              <w:t>Lūdzam salāgot rīkojuma projekta 2. punktu ar Ministru kabineta 2020. gada 27. oktobra sēdes protokolu Nr. 65 31.§ "Par "Eiropas Sociālā fonda plus programmas materiālās nenodrošinātības mazināšanai 2021.-2027. gada plānošanas periodā" pārvaldību un īstenošanu Latvijā"", ietverot rīkojuma projektā punktu, kas paredz, ka iepriekš minētais protokollēmums daļā tiek at</w:t>
            </w:r>
            <w:r w:rsidR="003A0F71" w:rsidRPr="002C30AA">
              <w:rPr>
                <w:rFonts w:eastAsia="Calibri"/>
                <w:lang w:eastAsia="en-US"/>
              </w:rPr>
              <w:t>zīts par aktualitāti zaudējušu.</w:t>
            </w:r>
          </w:p>
        </w:tc>
        <w:tc>
          <w:tcPr>
            <w:tcW w:w="4028" w:type="dxa"/>
            <w:gridSpan w:val="2"/>
            <w:tcBorders>
              <w:left w:val="single" w:sz="6" w:space="0" w:color="000000"/>
              <w:bottom w:val="single" w:sz="4" w:space="0" w:color="auto"/>
              <w:right w:val="single" w:sz="6" w:space="0" w:color="000000"/>
            </w:tcBorders>
          </w:tcPr>
          <w:p w:rsidR="00A65C00" w:rsidRPr="002C30AA" w:rsidRDefault="00A65C00" w:rsidP="00AB1869">
            <w:pPr>
              <w:pStyle w:val="naisc"/>
              <w:spacing w:before="0" w:after="0"/>
              <w:jc w:val="both"/>
              <w:rPr>
                <w:b/>
              </w:rPr>
            </w:pPr>
            <w:r w:rsidRPr="002C30AA">
              <w:rPr>
                <w:b/>
              </w:rPr>
              <w:t>Nav ņemts vērā.</w:t>
            </w:r>
          </w:p>
          <w:p w:rsidR="003A0F71" w:rsidRPr="002C30AA" w:rsidRDefault="00A65C00" w:rsidP="00A65C00">
            <w:pPr>
              <w:widowControl w:val="0"/>
              <w:jc w:val="both"/>
              <w:rPr>
                <w:rFonts w:eastAsia="Calibri"/>
                <w:lang w:eastAsia="en-US"/>
              </w:rPr>
            </w:pPr>
            <w:r w:rsidRPr="002C30AA">
              <w:t xml:space="preserve">LM ieskatā </w:t>
            </w:r>
            <w:r w:rsidRPr="002C30AA">
              <w:rPr>
                <w:rFonts w:eastAsia="Calibri"/>
                <w:lang w:eastAsia="en-US"/>
              </w:rPr>
              <w:t>iepriekš minētais protokollēmums netiek atzīts par aktualitāti zaudējušu, tajā iekļautie uzdevumi joprojām ir aktuāli. Jautājums var būt atklāts tikai par tajā noteikto uzdevumu izpildes termiņu nob</w:t>
            </w:r>
            <w:r w:rsidR="00DF0A37" w:rsidRPr="002C30AA">
              <w:rPr>
                <w:rFonts w:eastAsia="Calibri"/>
                <w:lang w:eastAsia="en-US"/>
              </w:rPr>
              <w:t xml:space="preserve">īdi, proti, 4.1. apakšpunktā minētā uzdevuma izpilde </w:t>
            </w:r>
            <w:r w:rsidR="003A0F71" w:rsidRPr="002C30AA">
              <w:rPr>
                <w:rFonts w:eastAsia="Calibri"/>
                <w:lang w:eastAsia="en-US"/>
              </w:rPr>
              <w:t>var</w:t>
            </w:r>
            <w:r w:rsidR="00DF0A37" w:rsidRPr="002C30AA">
              <w:rPr>
                <w:rFonts w:eastAsia="Calibri"/>
                <w:lang w:eastAsia="en-US"/>
              </w:rPr>
              <w:t xml:space="preserve"> tikt nodrošināta</w:t>
            </w:r>
            <w:r w:rsidR="003A0F71" w:rsidRPr="002C30AA">
              <w:rPr>
                <w:rFonts w:eastAsia="Calibri"/>
                <w:lang w:eastAsia="en-US"/>
              </w:rPr>
              <w:t xml:space="preserve"> ar partnerības nolīguma iesniegšanas salāgota termiņā.</w:t>
            </w:r>
          </w:p>
          <w:p w:rsidR="001D0922" w:rsidRPr="002C30AA" w:rsidRDefault="001D0922" w:rsidP="003A0F71">
            <w:pPr>
              <w:widowControl w:val="0"/>
              <w:jc w:val="both"/>
            </w:pPr>
          </w:p>
        </w:tc>
        <w:tc>
          <w:tcPr>
            <w:tcW w:w="2809" w:type="dxa"/>
            <w:tcBorders>
              <w:top w:val="single" w:sz="4" w:space="0" w:color="auto"/>
              <w:left w:val="single" w:sz="4" w:space="0" w:color="auto"/>
              <w:bottom w:val="single" w:sz="4" w:space="0" w:color="auto"/>
            </w:tcBorders>
          </w:tcPr>
          <w:p w:rsidR="001D0922" w:rsidRPr="002C30AA" w:rsidRDefault="00195F5E" w:rsidP="005B012D">
            <w:r w:rsidRPr="002C30AA">
              <w:t>Skat. informāciju izziņas tabulas 11. punktā.</w:t>
            </w:r>
          </w:p>
        </w:tc>
      </w:tr>
      <w:tr w:rsidR="002C30AA" w:rsidRPr="002C30AA" w:rsidTr="00C650DB">
        <w:tc>
          <w:tcPr>
            <w:tcW w:w="709" w:type="dxa"/>
            <w:tcBorders>
              <w:left w:val="single" w:sz="6" w:space="0" w:color="000000"/>
              <w:bottom w:val="single" w:sz="4" w:space="0" w:color="auto"/>
              <w:right w:val="single" w:sz="6" w:space="0" w:color="000000"/>
            </w:tcBorders>
          </w:tcPr>
          <w:p w:rsidR="001D0922" w:rsidRPr="002C30AA" w:rsidRDefault="001D0922" w:rsidP="00C5214A">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1D0922" w:rsidRPr="002C30AA" w:rsidRDefault="001D0922"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D0922" w:rsidRPr="002C30AA" w:rsidRDefault="001D0922" w:rsidP="001D0922">
            <w:pPr>
              <w:pStyle w:val="naisc"/>
              <w:spacing w:before="0" w:after="0"/>
              <w:jc w:val="both"/>
              <w:rPr>
                <w:b/>
              </w:rPr>
            </w:pPr>
            <w:r w:rsidRPr="002C30AA">
              <w:rPr>
                <w:b/>
              </w:rPr>
              <w:t>Tieslietu ministrija</w:t>
            </w:r>
          </w:p>
          <w:p w:rsidR="001D0922" w:rsidRPr="002C30AA" w:rsidRDefault="001D0922" w:rsidP="001D0922">
            <w:pPr>
              <w:pStyle w:val="naisc"/>
              <w:spacing w:before="0" w:after="0"/>
              <w:jc w:val="both"/>
              <w:rPr>
                <w:b/>
              </w:rPr>
            </w:pPr>
            <w:r w:rsidRPr="002C30AA">
              <w:rPr>
                <w:b/>
              </w:rPr>
              <w:t>Priekšlikums</w:t>
            </w:r>
          </w:p>
          <w:p w:rsidR="001D0922" w:rsidRPr="002C30AA" w:rsidRDefault="00955054" w:rsidP="001D0922">
            <w:pPr>
              <w:pStyle w:val="naisc"/>
              <w:spacing w:before="0" w:after="0"/>
              <w:jc w:val="both"/>
              <w:rPr>
                <w:b/>
              </w:rPr>
            </w:pPr>
            <w:r w:rsidRPr="002C30AA">
              <w:t>Lūdzam izvērtēt, vai terminu "uzņēmums" (sk. programmas 10. lpp.) nav nepieciešams aizstāt ar terminu "saimnieciskās darbības veicējs" vai "komersants". Norādām, ka saskaņā ar Komerclikuma 18. pantu termins "uzņēmums" apzīmē organizatoriski saimniecisku vienību (objektu) un nevis komercdarbības vai saimnieciskās darbības subjektu.</w:t>
            </w:r>
          </w:p>
        </w:tc>
        <w:tc>
          <w:tcPr>
            <w:tcW w:w="4028" w:type="dxa"/>
            <w:gridSpan w:val="2"/>
            <w:tcBorders>
              <w:left w:val="single" w:sz="6" w:space="0" w:color="000000"/>
              <w:bottom w:val="single" w:sz="4" w:space="0" w:color="auto"/>
              <w:right w:val="single" w:sz="6" w:space="0" w:color="000000"/>
            </w:tcBorders>
          </w:tcPr>
          <w:p w:rsidR="0010100C" w:rsidRPr="002C30AA" w:rsidRDefault="0010100C" w:rsidP="00AB1869">
            <w:pPr>
              <w:pStyle w:val="naisc"/>
              <w:spacing w:before="0" w:after="0"/>
              <w:jc w:val="both"/>
              <w:rPr>
                <w:b/>
              </w:rPr>
            </w:pPr>
            <w:r w:rsidRPr="002C30AA">
              <w:rPr>
                <w:b/>
              </w:rPr>
              <w:t>Ņemts vērā.</w:t>
            </w:r>
          </w:p>
          <w:p w:rsidR="001D0922" w:rsidRPr="002C30AA" w:rsidRDefault="0010100C" w:rsidP="0010100C">
            <w:pPr>
              <w:pStyle w:val="naisc"/>
              <w:spacing w:before="0" w:after="0"/>
              <w:jc w:val="both"/>
            </w:pPr>
            <w:r w:rsidRPr="002C30AA">
              <w:t>LM veica precizējumu</w:t>
            </w:r>
            <w:r w:rsidR="00D020EF" w:rsidRPr="002C30AA">
              <w:t>s</w:t>
            </w:r>
            <w:r w:rsidRPr="002C30AA">
              <w:t xml:space="preserve"> </w:t>
            </w:r>
            <w:r w:rsidR="00D020EF" w:rsidRPr="002C30AA">
              <w:t xml:space="preserve">ESF+ programmas materiālās nenodrošinātības mazināšanai </w:t>
            </w:r>
            <w:r w:rsidRPr="002C30AA">
              <w:t>projekta (31) rindkopā.</w:t>
            </w:r>
          </w:p>
        </w:tc>
        <w:tc>
          <w:tcPr>
            <w:tcW w:w="2809" w:type="dxa"/>
            <w:tcBorders>
              <w:top w:val="single" w:sz="4" w:space="0" w:color="auto"/>
              <w:left w:val="single" w:sz="4" w:space="0" w:color="auto"/>
              <w:bottom w:val="single" w:sz="4" w:space="0" w:color="auto"/>
            </w:tcBorders>
          </w:tcPr>
          <w:p w:rsidR="001D0922" w:rsidRPr="002C30AA" w:rsidRDefault="00D020EF" w:rsidP="0010100C">
            <w:pPr>
              <w:jc w:val="both"/>
            </w:pPr>
            <w:r w:rsidRPr="002C30AA">
              <w:t xml:space="preserve">ESF+ programmas materiālās nenodrošinātības mazināšanai </w:t>
            </w:r>
            <w:r w:rsidR="0010100C" w:rsidRPr="002C30AA">
              <w:t>projekta (31) rindkopā veikti precizējumi, aizstājot vārdu “uzņēmumiem” ar vārdu “komersantiem”.</w:t>
            </w:r>
          </w:p>
          <w:p w:rsidR="0010100C" w:rsidRPr="002C30AA" w:rsidRDefault="0010100C" w:rsidP="0010100C">
            <w:pPr>
              <w:jc w:val="both"/>
            </w:pPr>
          </w:p>
        </w:tc>
      </w:tr>
      <w:tr w:rsidR="002C30AA" w:rsidRPr="002C30AA" w:rsidTr="00C650DB">
        <w:tc>
          <w:tcPr>
            <w:tcW w:w="709" w:type="dxa"/>
            <w:tcBorders>
              <w:left w:val="single" w:sz="6" w:space="0" w:color="000000"/>
              <w:bottom w:val="single" w:sz="4" w:space="0" w:color="auto"/>
              <w:right w:val="single" w:sz="6" w:space="0" w:color="000000"/>
            </w:tcBorders>
          </w:tcPr>
          <w:p w:rsidR="001D0922" w:rsidRPr="002C30AA" w:rsidRDefault="001D0922" w:rsidP="00C5214A">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1D0922" w:rsidRPr="002C30AA" w:rsidRDefault="001D0922" w:rsidP="005B012D">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1D0922" w:rsidRPr="002C30AA" w:rsidRDefault="001D0922" w:rsidP="001D0922">
            <w:pPr>
              <w:pStyle w:val="naisc"/>
              <w:spacing w:before="0" w:after="0"/>
              <w:jc w:val="both"/>
              <w:rPr>
                <w:b/>
              </w:rPr>
            </w:pPr>
            <w:r w:rsidRPr="002C30AA">
              <w:rPr>
                <w:b/>
              </w:rPr>
              <w:t>Tieslietu ministrija</w:t>
            </w:r>
          </w:p>
          <w:p w:rsidR="001D0922" w:rsidRPr="002C30AA" w:rsidRDefault="001D0922" w:rsidP="001D0922">
            <w:pPr>
              <w:pStyle w:val="naisc"/>
              <w:spacing w:before="0" w:after="0"/>
              <w:jc w:val="both"/>
              <w:rPr>
                <w:b/>
              </w:rPr>
            </w:pPr>
            <w:r w:rsidRPr="002C30AA">
              <w:rPr>
                <w:b/>
              </w:rPr>
              <w:t>Priekšlikums</w:t>
            </w:r>
          </w:p>
          <w:p w:rsidR="001D0922" w:rsidRPr="002C30AA" w:rsidRDefault="00955054" w:rsidP="001D0922">
            <w:pPr>
              <w:pStyle w:val="naisc"/>
              <w:spacing w:before="0" w:after="0"/>
              <w:jc w:val="both"/>
              <w:rPr>
                <w:b/>
              </w:rPr>
            </w:pPr>
            <w:r w:rsidRPr="002C30AA">
              <w:t xml:space="preserve">Lūdzam programmas sadaļā </w:t>
            </w:r>
            <w:bookmarkStart w:id="0" w:name="_Toc62557101"/>
            <w:r w:rsidRPr="002C30AA">
              <w:t>"Izmantotie saīsinājumi un termini</w:t>
            </w:r>
            <w:bookmarkEnd w:id="0"/>
            <w:r w:rsidRPr="002C30AA">
              <w:t>" konsekventi atspoguļot apzīmētos vārdus saīsinājumus latviešu valodā, tādējādi nodrošinot Valsts valodas likuma prasību ievērošanu (sk. apzīmēto nosaukumu pie saīsinājuma EU-SILC).</w:t>
            </w:r>
          </w:p>
        </w:tc>
        <w:tc>
          <w:tcPr>
            <w:tcW w:w="4028" w:type="dxa"/>
            <w:gridSpan w:val="2"/>
            <w:tcBorders>
              <w:left w:val="single" w:sz="6" w:space="0" w:color="000000"/>
              <w:bottom w:val="single" w:sz="4" w:space="0" w:color="auto"/>
              <w:right w:val="single" w:sz="6" w:space="0" w:color="000000"/>
            </w:tcBorders>
          </w:tcPr>
          <w:p w:rsidR="0049114A" w:rsidRPr="002C30AA" w:rsidRDefault="0049114A" w:rsidP="00AB1869">
            <w:pPr>
              <w:pStyle w:val="naisc"/>
              <w:spacing w:before="0" w:after="0"/>
              <w:jc w:val="both"/>
              <w:rPr>
                <w:b/>
              </w:rPr>
            </w:pPr>
            <w:r w:rsidRPr="002C30AA">
              <w:rPr>
                <w:b/>
              </w:rPr>
              <w:t>Ņemts vērā.</w:t>
            </w:r>
          </w:p>
          <w:p w:rsidR="001D0922" w:rsidRPr="002C30AA" w:rsidRDefault="0049114A" w:rsidP="0049114A">
            <w:pPr>
              <w:pStyle w:val="naisc"/>
              <w:spacing w:before="0" w:after="0"/>
              <w:jc w:val="both"/>
            </w:pPr>
            <w:r w:rsidRPr="002C30AA">
              <w:t xml:space="preserve">LM veica precizējumus </w:t>
            </w:r>
            <w:r w:rsidR="00D020EF" w:rsidRPr="002C30AA">
              <w:t xml:space="preserve">ESF+ programmas materiālās nenodrošinātības mazināšanai </w:t>
            </w:r>
            <w:r w:rsidRPr="002C30AA">
              <w:t>projekta sadaļā “Izmantotie saīsinājumi un termini”.</w:t>
            </w:r>
          </w:p>
          <w:p w:rsidR="0049114A" w:rsidRPr="002C30AA" w:rsidRDefault="0049114A" w:rsidP="0049114A">
            <w:pPr>
              <w:pStyle w:val="naisc"/>
              <w:spacing w:before="0" w:after="0"/>
              <w:jc w:val="both"/>
            </w:pPr>
          </w:p>
          <w:p w:rsidR="0049114A" w:rsidRPr="002C30AA" w:rsidRDefault="0049114A" w:rsidP="0049114A">
            <w:pPr>
              <w:pStyle w:val="naisc"/>
              <w:spacing w:before="0" w:after="0"/>
              <w:jc w:val="both"/>
            </w:pPr>
            <w:r w:rsidRPr="002C30AA">
              <w:t xml:space="preserve"> </w:t>
            </w:r>
          </w:p>
        </w:tc>
        <w:tc>
          <w:tcPr>
            <w:tcW w:w="2809" w:type="dxa"/>
            <w:tcBorders>
              <w:top w:val="single" w:sz="4" w:space="0" w:color="auto"/>
              <w:left w:val="single" w:sz="4" w:space="0" w:color="auto"/>
              <w:bottom w:val="single" w:sz="4" w:space="0" w:color="auto"/>
            </w:tcBorders>
          </w:tcPr>
          <w:p w:rsidR="001D0922" w:rsidRPr="002C30AA" w:rsidRDefault="00D020EF" w:rsidP="0049114A">
            <w:pPr>
              <w:jc w:val="both"/>
            </w:pPr>
            <w:r w:rsidRPr="002C30AA">
              <w:t xml:space="preserve">ESF+ programmas materiālās nenodrošinātības mazināšanai </w:t>
            </w:r>
            <w:r w:rsidR="0049114A" w:rsidRPr="002C30AA">
              <w:t>projekta sadaļā “Izmantotie saīsinājumi un termini” veikti precizējumi pie saīsinājuma EU-SILC:</w:t>
            </w:r>
          </w:p>
          <w:p w:rsidR="0049114A" w:rsidRPr="002C30AA" w:rsidRDefault="0049114A" w:rsidP="00D020EF">
            <w:pPr>
              <w:tabs>
                <w:tab w:val="left" w:pos="1418"/>
                <w:tab w:val="left" w:pos="1985"/>
              </w:tabs>
              <w:jc w:val="both"/>
              <w:rPr>
                <w:rFonts w:eastAsia="Calibri"/>
                <w:lang w:bidi="lv-LV"/>
              </w:rPr>
            </w:pPr>
            <w:r w:rsidRPr="002C30AA">
              <w:t>“</w:t>
            </w:r>
            <w:r w:rsidRPr="002C30AA">
              <w:rPr>
                <w:rFonts w:eastAsia="Calibri"/>
                <w:lang w:bidi="lv-LV"/>
              </w:rPr>
              <w:t xml:space="preserve">Eiropas Savienības statistika par ienākumiem un dzīves apstākļiem </w:t>
            </w:r>
            <w:r w:rsidRPr="002C30AA">
              <w:rPr>
                <w:rFonts w:eastAsia="Calibri"/>
                <w:i/>
                <w:lang w:bidi="lv-LV"/>
              </w:rPr>
              <w:t>(angļu valodā The European Union Statistics on Income and Living Conditions)</w:t>
            </w:r>
            <w:r w:rsidRPr="002C30AA">
              <w:rPr>
                <w:rFonts w:eastAsia="Calibri"/>
                <w:lang w:bidi="lv-LV"/>
              </w:rPr>
              <w:t>”.</w:t>
            </w:r>
          </w:p>
        </w:tc>
      </w:tr>
      <w:tr w:rsidR="002C30AA" w:rsidRPr="002C30AA" w:rsidTr="00C650DB">
        <w:tc>
          <w:tcPr>
            <w:tcW w:w="709" w:type="dxa"/>
            <w:tcBorders>
              <w:left w:val="single" w:sz="6" w:space="0" w:color="000000"/>
              <w:bottom w:val="single" w:sz="4" w:space="0" w:color="auto"/>
              <w:right w:val="single" w:sz="6" w:space="0" w:color="000000"/>
            </w:tcBorders>
          </w:tcPr>
          <w:p w:rsidR="00FC5916" w:rsidRPr="002C30AA" w:rsidRDefault="00FC5916" w:rsidP="00FC5916">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jc w:val="both"/>
              <w:rPr>
                <w:b/>
              </w:rPr>
            </w:pPr>
            <w:r w:rsidRPr="002C30AA">
              <w:rPr>
                <w:b/>
              </w:rPr>
              <w:t>Finanšu ministrija</w:t>
            </w:r>
          </w:p>
          <w:p w:rsidR="00FC5916" w:rsidRPr="002C30AA" w:rsidRDefault="00FC5916" w:rsidP="00FC5916">
            <w:pPr>
              <w:pStyle w:val="naisc"/>
              <w:spacing w:before="0" w:after="0"/>
              <w:jc w:val="both"/>
              <w:rPr>
                <w:b/>
              </w:rPr>
            </w:pPr>
            <w:r w:rsidRPr="002C30AA">
              <w:rPr>
                <w:b/>
              </w:rPr>
              <w:t xml:space="preserve">Iebildums </w:t>
            </w:r>
          </w:p>
          <w:p w:rsidR="00FC5916" w:rsidRPr="002C30AA" w:rsidRDefault="00FC5916" w:rsidP="00FC5916">
            <w:pPr>
              <w:pStyle w:val="ListParagraph"/>
              <w:spacing w:after="0" w:line="240" w:lineRule="auto"/>
              <w:ind w:left="0"/>
              <w:jc w:val="both"/>
              <w:rPr>
                <w:rFonts w:ascii="Times New Roman" w:hAnsi="Times New Roman"/>
                <w:sz w:val="24"/>
                <w:szCs w:val="24"/>
              </w:rPr>
            </w:pPr>
            <w:r w:rsidRPr="002C30AA">
              <w:rPr>
                <w:rFonts w:ascii="Times New Roman" w:hAnsi="Times New Roman"/>
                <w:sz w:val="24"/>
                <w:szCs w:val="24"/>
              </w:rPr>
              <w:t xml:space="preserve">Lūdzam precizēt programmas projekta 10. sadaļā “Finanšu plāns” norādīto Eiropas Sociālā fonda plus (turpmāk – ESF+) programmai materiālās nenodrošinātības mazināšanai plānoto kopējo finansējuma apmēru uz </w:t>
            </w:r>
            <w:r w:rsidRPr="002C30AA">
              <w:rPr>
                <w:rFonts w:ascii="Times New Roman" w:hAnsi="Times New Roman"/>
                <w:sz w:val="24"/>
                <w:szCs w:val="24"/>
                <w:u w:val="single"/>
              </w:rPr>
              <w:t xml:space="preserve">38 280 000 </w:t>
            </w:r>
            <w:r w:rsidRPr="002C30AA">
              <w:rPr>
                <w:rFonts w:ascii="Times New Roman" w:hAnsi="Times New Roman"/>
                <w:i/>
                <w:sz w:val="24"/>
                <w:szCs w:val="24"/>
                <w:u w:val="single"/>
              </w:rPr>
              <w:t>euro</w:t>
            </w:r>
            <w:r w:rsidRPr="002C30AA">
              <w:rPr>
                <w:rFonts w:ascii="Times New Roman" w:hAnsi="Times New Roman"/>
                <w:sz w:val="24"/>
                <w:szCs w:val="24"/>
              </w:rPr>
              <w:t xml:space="preserve"> (ESF+ un nacionālais līdzfinansējums, t.sk. elastības finansējums), ņemot vērā, ka Eiropas Savienības daudzgadu budžeta un finanšu satvara pārrunu rezultātā apstiprinātais Eiropas Savienības struktūrfondu un Kohēzijas fonda (turpmāk – ES fondi) 2021.– 2027.gada plānošanas periodam plānotais finansējums ir ticis koriģēts, proporcionāli to samazinot par 13% visiem Latvijas nacionālā attīstības plāna 2021.– 2027.gadam ES fondu pasākumiem. </w:t>
            </w:r>
          </w:p>
          <w:p w:rsidR="00FC5916" w:rsidRPr="002C30AA" w:rsidRDefault="00FC5916" w:rsidP="00FC5916">
            <w:pPr>
              <w:pStyle w:val="naisc"/>
              <w:spacing w:before="0" w:after="0"/>
              <w:jc w:val="both"/>
            </w:pPr>
            <w:r w:rsidRPr="002C30AA">
              <w:t xml:space="preserve">Skaidrojam, ka šobrīd visām ES fondu 2021.– 2027.gada plānošanas perioda programmām ir paredzama standarta līdzfinansējuma likme 15% (t.sk. valsts budžets). Attiecīgi, apzinoties, ka runa ir par kritisku un īpaši skartu mērķa grupu, </w:t>
            </w:r>
            <w:r w:rsidRPr="002C30AA">
              <w:rPr>
                <w:u w:val="single"/>
              </w:rPr>
              <w:t>aicinām plānošanas perioda vidusposmā – pēc pilna COVID-19 izraisītās krīzes ietekmes novērtējuma, atgriezties pie jautājuma par papildu nepieciešamo resursu un tā avotiem.</w:t>
            </w:r>
          </w:p>
        </w:tc>
        <w:tc>
          <w:tcPr>
            <w:tcW w:w="4028" w:type="dxa"/>
            <w:gridSpan w:val="2"/>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jc w:val="both"/>
              <w:rPr>
                <w:b/>
              </w:rPr>
            </w:pPr>
            <w:r w:rsidRPr="002C30AA">
              <w:rPr>
                <w:b/>
              </w:rPr>
              <w:t>Ņemts vērā.</w:t>
            </w: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r w:rsidRPr="002C30AA">
              <w:t>LM veica precizējumus ESF+ programmas materiālās nenodrošinātības mazināšanai projekta 10. sadaļā “Finanšu plāns”, precizējot plānoto kopējo finansējuma atbilstoši Finanšu ministrijas norādītajam.</w:t>
            </w: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pStyle w:val="naisc"/>
              <w:spacing w:before="0" w:after="0"/>
              <w:jc w:val="both"/>
            </w:pPr>
          </w:p>
          <w:p w:rsidR="00FC5916" w:rsidRPr="002C30AA" w:rsidRDefault="00FC5916" w:rsidP="00FC5916">
            <w:pPr>
              <w:jc w:val="both"/>
            </w:pPr>
          </w:p>
          <w:p w:rsidR="00FC5916" w:rsidRPr="002C30AA" w:rsidRDefault="00FC5916" w:rsidP="00FC5916">
            <w:pPr>
              <w:jc w:val="both"/>
            </w:pPr>
            <w:r w:rsidRPr="002C30AA">
              <w:t xml:space="preserve">Papildus tam LM Rīkojuma projektu papildināja </w:t>
            </w:r>
            <w:r w:rsidRPr="002C30AA">
              <w:rPr>
                <w:u w:val="single"/>
              </w:rPr>
              <w:t>ar jaunu 5. punktu</w:t>
            </w:r>
            <w:r w:rsidRPr="002C30AA">
              <w:t xml:space="preserve">, paredzot plānošanas perioda vidusposmā – pēc ESF+ programmas materiālās nenodrošinātības mazināšanai izvērtēšanas, atgriezties pie jautājuma par papildu nepieciešamo resursu un tā avotiem. </w:t>
            </w:r>
          </w:p>
          <w:p w:rsidR="00FC5916" w:rsidRPr="002C30AA" w:rsidRDefault="00FC5916" w:rsidP="00FC5916">
            <w:pPr>
              <w:pStyle w:val="naisc"/>
              <w:spacing w:before="0" w:after="0"/>
              <w:jc w:val="both"/>
            </w:pPr>
          </w:p>
          <w:p w:rsidR="00FC5916" w:rsidRPr="002C30AA" w:rsidRDefault="00FC5916" w:rsidP="00FC5916">
            <w:pPr>
              <w:jc w:val="both"/>
            </w:pPr>
          </w:p>
        </w:tc>
        <w:tc>
          <w:tcPr>
            <w:tcW w:w="2809" w:type="dxa"/>
            <w:tcBorders>
              <w:top w:val="single" w:sz="4" w:space="0" w:color="auto"/>
              <w:left w:val="single" w:sz="4" w:space="0" w:color="auto"/>
              <w:bottom w:val="single" w:sz="4" w:space="0" w:color="auto"/>
            </w:tcBorders>
          </w:tcPr>
          <w:p w:rsidR="00FC5916" w:rsidRPr="002C30AA" w:rsidRDefault="00FC5916" w:rsidP="00FC5916">
            <w:pPr>
              <w:jc w:val="both"/>
            </w:pPr>
            <w:r w:rsidRPr="002C30AA">
              <w:t xml:space="preserve">ESF+ programmas materiālās nenodrošinātības mazināšanai projekta 10. sadaļā “Finanšu plāns” veikti precizējumi, norādot plānoto kopējo finansējuma apmēru </w:t>
            </w:r>
            <w:r w:rsidRPr="002C30AA">
              <w:rPr>
                <w:u w:val="single"/>
              </w:rPr>
              <w:t>38 280 000 </w:t>
            </w:r>
            <w:r w:rsidRPr="002C30AA">
              <w:rPr>
                <w:i/>
                <w:u w:val="single"/>
              </w:rPr>
              <w:t>euro</w:t>
            </w:r>
            <w:r w:rsidRPr="002C30AA">
              <w:t xml:space="preserve"> (ESF+ un nacionālais līdzfinansējums), kā arī to sadalījumu pa gadiem (skat. precizēto ESF+ programmu materiālās nenodrošinātības mazināšanai).</w:t>
            </w:r>
          </w:p>
          <w:p w:rsidR="00FC5916" w:rsidRPr="002C30AA" w:rsidRDefault="00FC5916" w:rsidP="00FC5916">
            <w:pPr>
              <w:jc w:val="both"/>
            </w:pPr>
          </w:p>
          <w:p w:rsidR="00FC5916" w:rsidRPr="002C30AA" w:rsidRDefault="00FC5916" w:rsidP="00FC5916">
            <w:pPr>
              <w:jc w:val="both"/>
            </w:pPr>
            <w:r w:rsidRPr="002C30AA">
              <w:t>Rīkojuma projekts papildināts ar jaunu 5. punktu šādā redakcijā:</w:t>
            </w:r>
          </w:p>
          <w:p w:rsidR="00FC5916" w:rsidRPr="002C30AA" w:rsidRDefault="00CD6AE5" w:rsidP="00FC5916">
            <w:pPr>
              <w:jc w:val="both"/>
            </w:pPr>
            <w:r w:rsidRPr="002C30AA">
              <w:t>“5. </w:t>
            </w:r>
            <w:r w:rsidR="00FC5916" w:rsidRPr="002C30AA">
              <w:t>Lab</w:t>
            </w:r>
            <w:r w:rsidR="009E37FB" w:rsidRPr="002C30AA">
              <w:t>klājības ministrijai līdz 2025. gada 1. </w:t>
            </w:r>
            <w:r w:rsidR="00FC5916" w:rsidRPr="002C30AA">
              <w:t xml:space="preserve">martam, pēc ESF+ programmas vidusposma izvērtēšanas/ pārskatīšanas, </w:t>
            </w:r>
            <w:r w:rsidR="00FC5916" w:rsidRPr="002C30AA">
              <w:rPr>
                <w:u w:val="single"/>
              </w:rPr>
              <w:t>kuras ietvaros vērā ņemta sociāli ekonomiskā situācija, COVID-19 izraisītās krīzes ietekmes novērtējums</w:t>
            </w:r>
            <w:r w:rsidR="00FC5916" w:rsidRPr="002C30AA">
              <w:t xml:space="preserve"> un</w:t>
            </w:r>
            <w:r w:rsidR="009E37FB" w:rsidRPr="002C30AA">
              <w:t xml:space="preserve"> problēmas, kas apzinātas 2024. </w:t>
            </w:r>
            <w:r w:rsidR="00FC5916" w:rsidRPr="002C30AA">
              <w:t>gadā Eiropas Komisijas pieņemtajos Latvijai adresētajos ieteikumos, iesniegt Ministru kabinetā informatīvo ziņojumu “Par ESF+ programmas rezultativitāti un finanšu resursu piešķīruma pietiekamību vai papildu nepieciešamo resursu nepieciešamību”.”</w:t>
            </w:r>
          </w:p>
        </w:tc>
      </w:tr>
      <w:tr w:rsidR="002C30AA" w:rsidRPr="002C30AA" w:rsidTr="00C650DB">
        <w:tc>
          <w:tcPr>
            <w:tcW w:w="709" w:type="dxa"/>
            <w:tcBorders>
              <w:left w:val="single" w:sz="6" w:space="0" w:color="000000"/>
              <w:bottom w:val="single" w:sz="4" w:space="0" w:color="auto"/>
              <w:right w:val="single" w:sz="6" w:space="0" w:color="000000"/>
            </w:tcBorders>
          </w:tcPr>
          <w:p w:rsidR="00FC5916" w:rsidRPr="002C30AA" w:rsidRDefault="00FC5916" w:rsidP="00FC5916">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jc w:val="both"/>
              <w:rPr>
                <w:b/>
              </w:rPr>
            </w:pPr>
            <w:r w:rsidRPr="002C30AA">
              <w:rPr>
                <w:b/>
              </w:rPr>
              <w:t>Finanšu ministrija</w:t>
            </w:r>
          </w:p>
          <w:p w:rsidR="00FC5916" w:rsidRPr="002C30AA" w:rsidRDefault="00FC5916" w:rsidP="00FC5916">
            <w:pPr>
              <w:pStyle w:val="naisc"/>
              <w:spacing w:before="0" w:after="0"/>
              <w:jc w:val="both"/>
              <w:rPr>
                <w:b/>
              </w:rPr>
            </w:pPr>
            <w:r w:rsidRPr="002C30AA">
              <w:rPr>
                <w:b/>
              </w:rPr>
              <w:t xml:space="preserve">Iebildums </w:t>
            </w:r>
          </w:p>
          <w:p w:rsidR="00FC5916" w:rsidRPr="002C30AA" w:rsidRDefault="00FC5916" w:rsidP="00FC5916">
            <w:pPr>
              <w:contextualSpacing/>
              <w:jc w:val="both"/>
              <w:rPr>
                <w:lang w:eastAsia="en-US"/>
              </w:rPr>
            </w:pPr>
            <w:r w:rsidRPr="002C30AA">
              <w:rPr>
                <w:lang w:eastAsia="en-US"/>
              </w:rPr>
              <w:t xml:space="preserve">Lūdzam precizēt rīkojuma projekta 2. punktā norādīto programmas projekta iesniegšanas termiņu – līdz 2021. gada 1. aprīlim, pagarinot to, vai nosakot, ka programmas iesniegšanas notiks vienlaikus vai pēc partnerības nolīguma iesniegšanas Eiropas Komisijai (turpmāk – EK). Skaidrojam, ka </w:t>
            </w:r>
            <w:r w:rsidRPr="002C30AA">
              <w:rPr>
                <w:szCs w:val="20"/>
                <w:shd w:val="clear" w:color="auto" w:fill="FFFFFF"/>
                <w:lang w:eastAsia="en-US"/>
              </w:rPr>
              <w:t xml:space="preserve">pirms </w:t>
            </w:r>
            <w:r w:rsidRPr="002C30AA">
              <w:rPr>
                <w:lang w:eastAsia="en-US"/>
              </w:rPr>
              <w:t xml:space="preserve">dalībvalsts </w:t>
            </w:r>
            <w:r w:rsidRPr="002C30AA">
              <w:rPr>
                <w:szCs w:val="20"/>
                <w:shd w:val="clear" w:color="auto" w:fill="FFFFFF"/>
                <w:lang w:eastAsia="en-US"/>
              </w:rPr>
              <w:t>pirmās programmas iesniegšanas vai vienlaikus ar to</w:t>
            </w:r>
            <w:r w:rsidRPr="002C30AA">
              <w:rPr>
                <w:lang w:eastAsia="en-US"/>
              </w:rPr>
              <w:t xml:space="preserve"> </w:t>
            </w:r>
            <w:r w:rsidRPr="002C30AA">
              <w:rPr>
                <w:szCs w:val="20"/>
                <w:shd w:val="clear" w:color="auto" w:fill="FFFFFF"/>
                <w:lang w:eastAsia="en-US"/>
              </w:rPr>
              <w:t xml:space="preserve">EK </w:t>
            </w:r>
            <w:r w:rsidRPr="002C30AA">
              <w:rPr>
                <w:lang w:eastAsia="en-US"/>
              </w:rPr>
              <w:t xml:space="preserve">iesniedz arī </w:t>
            </w:r>
            <w:r w:rsidRPr="002C30AA">
              <w:rPr>
                <w:szCs w:val="20"/>
                <w:shd w:val="clear" w:color="auto" w:fill="FFFFFF"/>
                <w:lang w:eastAsia="en-US"/>
              </w:rPr>
              <w:t>partnerības nolīgumu, atbilstoši Kopīgo noteikumu regul</w:t>
            </w:r>
            <w:r w:rsidRPr="002C30AA">
              <w:rPr>
                <w:lang w:eastAsia="en-US"/>
              </w:rPr>
              <w:t>as</w:t>
            </w:r>
            <w:r w:rsidRPr="002C30AA">
              <w:rPr>
                <w:vertAlign w:val="superscript"/>
                <w:lang w:eastAsia="en-US"/>
              </w:rPr>
              <w:footnoteReference w:id="5"/>
            </w:r>
            <w:r w:rsidRPr="002C30AA">
              <w:rPr>
                <w:lang w:eastAsia="en-US"/>
              </w:rPr>
              <w:t xml:space="preserve"> priekšlikuma I sadaļas “Stratēģiskā pieeja” I nodaļas “Partnerības nolīgums” 7. panta “Partnerības nolīguma sagatavošana un iesniegšana” 2. punktā noteiktam.</w:t>
            </w:r>
          </w:p>
        </w:tc>
        <w:tc>
          <w:tcPr>
            <w:tcW w:w="4028" w:type="dxa"/>
            <w:gridSpan w:val="2"/>
            <w:tcBorders>
              <w:left w:val="single" w:sz="6" w:space="0" w:color="000000"/>
              <w:bottom w:val="single" w:sz="4" w:space="0" w:color="auto"/>
              <w:right w:val="single" w:sz="6" w:space="0" w:color="000000"/>
            </w:tcBorders>
          </w:tcPr>
          <w:p w:rsidR="00FC5916" w:rsidRPr="002C30AA" w:rsidRDefault="00FC5916" w:rsidP="00FC5916">
            <w:pPr>
              <w:pStyle w:val="naisc"/>
              <w:spacing w:before="0" w:after="0"/>
              <w:jc w:val="both"/>
              <w:rPr>
                <w:b/>
              </w:rPr>
            </w:pPr>
            <w:r w:rsidRPr="002C30AA">
              <w:rPr>
                <w:b/>
              </w:rPr>
              <w:t>Ņemts vērā.</w:t>
            </w:r>
          </w:p>
          <w:p w:rsidR="00FC5916" w:rsidRPr="002C30AA" w:rsidRDefault="00FC5916" w:rsidP="00FC5916">
            <w:pPr>
              <w:pStyle w:val="naisc"/>
              <w:spacing w:before="0" w:after="0"/>
              <w:jc w:val="both"/>
            </w:pPr>
            <w:r w:rsidRPr="002C30AA">
              <w:t>Skat. informāciju izziņas 11. punktā.</w:t>
            </w:r>
          </w:p>
        </w:tc>
        <w:tc>
          <w:tcPr>
            <w:tcW w:w="2809" w:type="dxa"/>
            <w:tcBorders>
              <w:top w:val="single" w:sz="4" w:space="0" w:color="auto"/>
              <w:left w:val="single" w:sz="4" w:space="0" w:color="auto"/>
              <w:bottom w:val="single" w:sz="4" w:space="0" w:color="auto"/>
            </w:tcBorders>
          </w:tcPr>
          <w:p w:rsidR="00FC5916" w:rsidRPr="002C30AA" w:rsidRDefault="00FC5916" w:rsidP="00FC5916">
            <w:pPr>
              <w:jc w:val="both"/>
            </w:pPr>
            <w:r w:rsidRPr="002C30AA">
              <w:t>Skat. informāciju izziņas 11. punktā.</w:t>
            </w:r>
          </w:p>
        </w:tc>
      </w:tr>
      <w:tr w:rsidR="002C30AA" w:rsidRPr="002C30AA" w:rsidTr="00C650DB">
        <w:tc>
          <w:tcPr>
            <w:tcW w:w="709" w:type="dxa"/>
            <w:tcBorders>
              <w:left w:val="single" w:sz="6" w:space="0" w:color="000000"/>
              <w:bottom w:val="single" w:sz="4" w:space="0" w:color="auto"/>
              <w:right w:val="single" w:sz="6" w:space="0" w:color="000000"/>
            </w:tcBorders>
          </w:tcPr>
          <w:p w:rsidR="00077464" w:rsidRPr="002C30AA" w:rsidRDefault="00077464" w:rsidP="00FC5916">
            <w:pPr>
              <w:pStyle w:val="naisc"/>
              <w:numPr>
                <w:ilvl w:val="0"/>
                <w:numId w:val="8"/>
              </w:numPr>
              <w:spacing w:before="0" w:after="0"/>
              <w:ind w:hanging="544"/>
            </w:pPr>
          </w:p>
        </w:tc>
        <w:tc>
          <w:tcPr>
            <w:tcW w:w="3086" w:type="dxa"/>
            <w:gridSpan w:val="2"/>
            <w:tcBorders>
              <w:left w:val="single" w:sz="6" w:space="0" w:color="000000"/>
              <w:bottom w:val="single" w:sz="4" w:space="0" w:color="auto"/>
              <w:right w:val="single" w:sz="6" w:space="0" w:color="000000"/>
            </w:tcBorders>
          </w:tcPr>
          <w:p w:rsidR="00077464" w:rsidRPr="002C30AA" w:rsidRDefault="003140AF" w:rsidP="003140AF">
            <w:pPr>
              <w:pStyle w:val="naisc"/>
              <w:spacing w:before="0" w:after="0"/>
              <w:jc w:val="both"/>
            </w:pPr>
            <w:r w:rsidRPr="002C30AA">
              <w:t>Rīkojuma projekta 5. punkts:</w:t>
            </w:r>
          </w:p>
          <w:p w:rsidR="003140AF" w:rsidRPr="002C30AA" w:rsidRDefault="003140AF" w:rsidP="003140AF">
            <w:pPr>
              <w:pStyle w:val="naisc"/>
              <w:spacing w:before="0" w:after="0"/>
              <w:jc w:val="both"/>
            </w:pPr>
            <w:r w:rsidRPr="002C30AA">
              <w:t>“5. Labklājības ministrijai līdz 2025. gada 1. martam, pēc ESF+ programmas vidusposma izvērtēšanas/pārskatīšanas, kuras ietvaros vērā ņemta sociāli ekonomiskā situācija, COVID-19 izraisītās krīzes ietekmes novērtējums un problēmas, kas apzinātas 2024. gadā Eiropas Komisijas pieņemtajos Latvijai adresētajos ieteikumos, iesniegt Ministru kabinetā informatīvo ziņojumu “Par ESF+ programmas rezultativitāti un finanšu resursu piešķīruma pietiekamību vai papildu nepieciešamo resursu nepieciešamību”.”</w:t>
            </w:r>
          </w:p>
        </w:tc>
        <w:tc>
          <w:tcPr>
            <w:tcW w:w="4394" w:type="dxa"/>
            <w:tcBorders>
              <w:left w:val="single" w:sz="6" w:space="0" w:color="000000"/>
              <w:bottom w:val="single" w:sz="4" w:space="0" w:color="auto"/>
              <w:right w:val="single" w:sz="6" w:space="0" w:color="000000"/>
            </w:tcBorders>
          </w:tcPr>
          <w:p w:rsidR="00077464" w:rsidRPr="002C30AA" w:rsidRDefault="00077464" w:rsidP="001B0AA4">
            <w:pPr>
              <w:jc w:val="both"/>
              <w:rPr>
                <w:b/>
              </w:rPr>
            </w:pPr>
            <w:r w:rsidRPr="002C30AA">
              <w:rPr>
                <w:b/>
              </w:rPr>
              <w:t>Tieslietu ministrija</w:t>
            </w:r>
          </w:p>
          <w:p w:rsidR="00077464" w:rsidRPr="002C30AA" w:rsidRDefault="00077464" w:rsidP="001B0AA4">
            <w:pPr>
              <w:jc w:val="both"/>
              <w:rPr>
                <w:b/>
              </w:rPr>
            </w:pPr>
            <w:r w:rsidRPr="002C30AA">
              <w:rPr>
                <w:b/>
              </w:rPr>
              <w:t>Priek</w:t>
            </w:r>
            <w:r w:rsidR="003140AF" w:rsidRPr="002C30AA">
              <w:rPr>
                <w:b/>
              </w:rPr>
              <w:t>šlikumi:</w:t>
            </w:r>
          </w:p>
          <w:p w:rsidR="001B0AA4" w:rsidRPr="002C30AA" w:rsidRDefault="00077464" w:rsidP="001B0AA4">
            <w:pPr>
              <w:pStyle w:val="ListParagraph"/>
              <w:numPr>
                <w:ilvl w:val="0"/>
                <w:numId w:val="13"/>
              </w:numPr>
              <w:spacing w:line="240" w:lineRule="auto"/>
              <w:ind w:left="235" w:hanging="235"/>
              <w:jc w:val="both"/>
              <w:rPr>
                <w:rFonts w:ascii="Times New Roman" w:hAnsi="Times New Roman"/>
                <w:sz w:val="24"/>
                <w:szCs w:val="24"/>
              </w:rPr>
            </w:pPr>
            <w:r w:rsidRPr="002C30AA">
              <w:rPr>
                <w:rFonts w:ascii="Times New Roman" w:hAnsi="Times New Roman"/>
                <w:sz w:val="24"/>
                <w:szCs w:val="24"/>
              </w:rPr>
              <w:t>Lūdzam rīkojuma projekta 5. punktā simbolu „/” aizstāt ar saikli „un” vai saikli „vai”, jo no rīkojuma projekta nav skaidrs, vai ar simbolu „/” tiek saprasts saiklis „un” vai saiklis „vai”.</w:t>
            </w:r>
          </w:p>
          <w:p w:rsidR="003140AF" w:rsidRPr="002C30AA" w:rsidRDefault="003140AF" w:rsidP="001B0AA4">
            <w:pPr>
              <w:pStyle w:val="ListParagraph"/>
              <w:numPr>
                <w:ilvl w:val="0"/>
                <w:numId w:val="13"/>
              </w:numPr>
              <w:spacing w:line="240" w:lineRule="auto"/>
              <w:ind w:left="235" w:hanging="235"/>
              <w:jc w:val="both"/>
            </w:pPr>
            <w:r w:rsidRPr="002C30AA">
              <w:rPr>
                <w:rFonts w:ascii="Times New Roman" w:hAnsi="Times New Roman"/>
                <w:sz w:val="24"/>
                <w:szCs w:val="24"/>
              </w:rPr>
              <w:t xml:space="preserve">Saskaņā ar Ministru kabineta 2009. gada 7. aprīļa noteikumu Nr. 300 "Ministru kabineta kārtības rullis" 10.  punktu ministrijas, īpašu uzdevumu ministra sekretariāta, Ministru prezidenta biedra biroja, Valsts kancelejas vai Ministru prezidenta padotībā esošas valsts pārvaldes iestādes izstrādāto </w:t>
            </w:r>
            <w:r w:rsidRPr="002C30AA">
              <w:rPr>
                <w:rFonts w:ascii="Times New Roman" w:hAnsi="Times New Roman"/>
                <w:sz w:val="24"/>
                <w:szCs w:val="24"/>
                <w:u w:val="single"/>
              </w:rPr>
              <w:t>šo noteikumu 2. punktā minēto dokumentu izskatīšanai</w:t>
            </w:r>
            <w:r w:rsidRPr="002C30AA">
              <w:rPr>
                <w:rFonts w:ascii="Times New Roman" w:hAnsi="Times New Roman"/>
                <w:sz w:val="24"/>
                <w:szCs w:val="24"/>
              </w:rPr>
              <w:t xml:space="preserve"> Ministru kabineta komitejas sēdē vai </w:t>
            </w:r>
            <w:r w:rsidRPr="002C30AA">
              <w:rPr>
                <w:rFonts w:ascii="Times New Roman" w:hAnsi="Times New Roman"/>
                <w:sz w:val="24"/>
                <w:szCs w:val="24"/>
                <w:u w:val="single"/>
              </w:rPr>
              <w:t>Ministru kabineta sēdē ir</w:t>
            </w:r>
            <w:r w:rsidRPr="002C30AA">
              <w:rPr>
                <w:rFonts w:ascii="Times New Roman" w:hAnsi="Times New Roman"/>
                <w:sz w:val="24"/>
                <w:szCs w:val="24"/>
              </w:rPr>
              <w:t xml:space="preserve"> </w:t>
            </w:r>
            <w:r w:rsidRPr="002C30AA">
              <w:rPr>
                <w:rFonts w:ascii="Times New Roman" w:hAnsi="Times New Roman"/>
                <w:sz w:val="24"/>
                <w:szCs w:val="24"/>
                <w:u w:val="single"/>
              </w:rPr>
              <w:t>tiesīgs iesniegt Ministru kabineta loceklis</w:t>
            </w:r>
            <w:r w:rsidRPr="002C30AA">
              <w:rPr>
                <w:rFonts w:ascii="Times New Roman" w:hAnsi="Times New Roman"/>
                <w:sz w:val="24"/>
                <w:szCs w:val="24"/>
              </w:rPr>
              <w:t>. Attiecīgi lūdzam atbilstoši precizēt rīkojuma projekta 5. punktu.</w:t>
            </w:r>
          </w:p>
        </w:tc>
        <w:tc>
          <w:tcPr>
            <w:tcW w:w="4028" w:type="dxa"/>
            <w:gridSpan w:val="2"/>
            <w:tcBorders>
              <w:left w:val="single" w:sz="6" w:space="0" w:color="000000"/>
              <w:bottom w:val="single" w:sz="4" w:space="0" w:color="auto"/>
              <w:right w:val="single" w:sz="6" w:space="0" w:color="000000"/>
            </w:tcBorders>
          </w:tcPr>
          <w:p w:rsidR="00077464" w:rsidRPr="002C30AA" w:rsidRDefault="003140AF" w:rsidP="00FC5916">
            <w:pPr>
              <w:pStyle w:val="naisc"/>
              <w:spacing w:before="0" w:after="0"/>
              <w:jc w:val="both"/>
              <w:rPr>
                <w:b/>
              </w:rPr>
            </w:pPr>
            <w:r w:rsidRPr="002C30AA">
              <w:rPr>
                <w:b/>
              </w:rPr>
              <w:t>Ņemts vērā.</w:t>
            </w:r>
          </w:p>
          <w:p w:rsidR="003140AF" w:rsidRPr="002C30AA" w:rsidRDefault="003140AF" w:rsidP="00CF5187">
            <w:pPr>
              <w:pStyle w:val="naisc"/>
              <w:spacing w:before="0" w:after="0"/>
              <w:jc w:val="both"/>
            </w:pPr>
            <w:r w:rsidRPr="002C30AA">
              <w:t>LM</w:t>
            </w:r>
            <w:r w:rsidR="00CF5187" w:rsidRPr="002C30AA">
              <w:t xml:space="preserve"> veica precizējumus rīkojuma projekta 5. punkta teksta redakcijā, to pārstrukturējot, vienlaikus izvairoties no simbola “/” lietošanas, kā arī precizējot un saīsinot šajā punktā minētā informatīvā ziņojuma nosaukumu.</w:t>
            </w:r>
          </w:p>
        </w:tc>
        <w:tc>
          <w:tcPr>
            <w:tcW w:w="2809" w:type="dxa"/>
            <w:tcBorders>
              <w:top w:val="single" w:sz="4" w:space="0" w:color="auto"/>
              <w:left w:val="single" w:sz="4" w:space="0" w:color="auto"/>
              <w:bottom w:val="single" w:sz="4" w:space="0" w:color="auto"/>
            </w:tcBorders>
          </w:tcPr>
          <w:p w:rsidR="00077464" w:rsidRPr="002C30AA" w:rsidRDefault="00C650DB" w:rsidP="00C650DB">
            <w:pPr>
              <w:jc w:val="both"/>
            </w:pPr>
            <w:r w:rsidRPr="002C30AA">
              <w:t xml:space="preserve">Rīkojuma projekta 5. punkts izteikts </w:t>
            </w:r>
            <w:r w:rsidR="00CD6AE5" w:rsidRPr="002C30AA">
              <w:t>šādā</w:t>
            </w:r>
            <w:r w:rsidRPr="002C30AA">
              <w:t xml:space="preserve"> redakcijā:</w:t>
            </w:r>
          </w:p>
          <w:p w:rsidR="00C650DB" w:rsidRPr="002C30AA" w:rsidRDefault="00C258E8" w:rsidP="00594477">
            <w:pPr>
              <w:ind w:right="-1"/>
              <w:jc w:val="both"/>
            </w:pPr>
            <w:r w:rsidRPr="002C30AA">
              <w:t>“</w:t>
            </w:r>
            <w:r w:rsidR="00594477" w:rsidRPr="002C30AA">
              <w:t>5. Labklājības ministrijai sagatavot ESF+ programmas vidusposma izvērtējumu, balstītu uz sociāli ekonomisko situāciju, COVID-19 izraisītās krīzes ietekmes novērtējumu un</w:t>
            </w:r>
            <w:r w:rsidR="002C30AA" w:rsidRPr="002C30AA">
              <w:t xml:space="preserve"> problēmām, kas apzinātas 2024. </w:t>
            </w:r>
            <w:r w:rsidR="00594477" w:rsidRPr="002C30AA">
              <w:t>gadā Eiropas Komisijas pieņemtajos Latvijai adresētajos ieteikumos, un l</w:t>
            </w:r>
            <w:r w:rsidRPr="002C30AA">
              <w:t>abklājības ministram līdz 2025. gada 1. </w:t>
            </w:r>
            <w:r w:rsidR="00594477" w:rsidRPr="002C30AA">
              <w:t>martam iesniegt Ministru kabinetā informatīvo ziņojumu “Par ESF+ programmas īstenošanas</w:t>
            </w:r>
            <w:r w:rsidRPr="002C30AA">
              <w:t xml:space="preserve"> f</w:t>
            </w:r>
            <w:r w:rsidR="002C30AA" w:rsidRPr="002C30AA">
              <w:t>inansēšanu 2026. – 2027. </w:t>
            </w:r>
            <w:r w:rsidRPr="002C30AA">
              <w:t>gadā</w:t>
            </w:r>
            <w:r w:rsidR="00594477" w:rsidRPr="002C30AA">
              <w:t>.</w:t>
            </w:r>
            <w:r w:rsidRPr="002C30AA">
              <w:t>”</w:t>
            </w:r>
          </w:p>
        </w:tc>
      </w:tr>
      <w:tr w:rsidR="002C30AA" w:rsidRPr="002C30AA" w:rsidTr="00B40EF6">
        <w:tblPrEx>
          <w:tblBorders>
            <w:top w:val="none" w:sz="0" w:space="0" w:color="auto"/>
            <w:left w:val="none" w:sz="0" w:space="0" w:color="auto"/>
            <w:bottom w:val="none" w:sz="0" w:space="0" w:color="auto"/>
            <w:right w:val="none" w:sz="0" w:space="0" w:color="auto"/>
          </w:tblBorders>
        </w:tblPrEx>
        <w:trPr>
          <w:gridAfter w:val="2"/>
          <w:wAfter w:w="5738" w:type="dxa"/>
        </w:trPr>
        <w:tc>
          <w:tcPr>
            <w:tcW w:w="3109" w:type="dxa"/>
            <w:gridSpan w:val="2"/>
          </w:tcPr>
          <w:p w:rsidR="00FC5916" w:rsidRPr="002C30AA" w:rsidRDefault="00FC5916" w:rsidP="00FC5916">
            <w:pPr>
              <w:pStyle w:val="naiskr"/>
              <w:spacing w:before="0" w:after="0"/>
            </w:pPr>
          </w:p>
          <w:p w:rsidR="00FC5916" w:rsidRPr="002C30AA" w:rsidRDefault="00FC5916" w:rsidP="00FC5916">
            <w:pPr>
              <w:pStyle w:val="naiskr"/>
              <w:spacing w:before="0" w:after="0"/>
            </w:pPr>
          </w:p>
          <w:p w:rsidR="00FC5916" w:rsidRPr="002C30AA" w:rsidRDefault="00FC5916" w:rsidP="00FC5916">
            <w:pPr>
              <w:pStyle w:val="naiskr"/>
              <w:spacing w:before="0" w:after="0"/>
            </w:pPr>
          </w:p>
          <w:p w:rsidR="00FC5916" w:rsidRPr="002C30AA" w:rsidRDefault="00FC5916" w:rsidP="00FC5916">
            <w:pPr>
              <w:pStyle w:val="naiskr"/>
              <w:spacing w:before="0" w:after="0"/>
            </w:pPr>
            <w:r w:rsidRPr="002C30AA">
              <w:t>Eiropas Atbalsta fonda vistrūcīgākajām personām vadošās iestādes vecākā eksperte Aurika Stratane</w:t>
            </w:r>
          </w:p>
        </w:tc>
        <w:tc>
          <w:tcPr>
            <w:tcW w:w="6179" w:type="dxa"/>
            <w:gridSpan w:val="3"/>
          </w:tcPr>
          <w:p w:rsidR="00FC5916" w:rsidRPr="002C30AA" w:rsidRDefault="00FC5916" w:rsidP="00FC5916">
            <w:pPr>
              <w:pStyle w:val="naiskr"/>
              <w:spacing w:before="0" w:after="0"/>
              <w:ind w:firstLine="720"/>
            </w:pPr>
            <w:r w:rsidRPr="002C30AA">
              <w:t>  </w:t>
            </w:r>
          </w:p>
        </w:tc>
      </w:tr>
      <w:tr w:rsidR="002C30AA" w:rsidRPr="002C30AA" w:rsidTr="00B40EF6">
        <w:tblPrEx>
          <w:tblBorders>
            <w:top w:val="none" w:sz="0" w:space="0" w:color="auto"/>
            <w:left w:val="none" w:sz="0" w:space="0" w:color="auto"/>
            <w:bottom w:val="none" w:sz="0" w:space="0" w:color="auto"/>
            <w:right w:val="none" w:sz="0" w:space="0" w:color="auto"/>
          </w:tblBorders>
        </w:tblPrEx>
        <w:trPr>
          <w:gridAfter w:val="2"/>
          <w:wAfter w:w="5738" w:type="dxa"/>
        </w:trPr>
        <w:tc>
          <w:tcPr>
            <w:tcW w:w="3109" w:type="dxa"/>
            <w:gridSpan w:val="2"/>
          </w:tcPr>
          <w:p w:rsidR="00FC5916" w:rsidRPr="002C30AA" w:rsidRDefault="00FC5916" w:rsidP="00FC5916">
            <w:pPr>
              <w:pStyle w:val="naiskr"/>
              <w:spacing w:before="0" w:after="0"/>
              <w:ind w:firstLine="720"/>
            </w:pPr>
          </w:p>
        </w:tc>
        <w:tc>
          <w:tcPr>
            <w:tcW w:w="6179" w:type="dxa"/>
            <w:gridSpan w:val="3"/>
            <w:tcBorders>
              <w:top w:val="single" w:sz="6" w:space="0" w:color="000000"/>
            </w:tcBorders>
          </w:tcPr>
          <w:p w:rsidR="00FC5916" w:rsidRPr="002C30AA" w:rsidRDefault="00FC5916" w:rsidP="00FC5916">
            <w:pPr>
              <w:pStyle w:val="naisc"/>
              <w:spacing w:before="0" w:after="0"/>
              <w:ind w:firstLine="720"/>
            </w:pPr>
            <w:r w:rsidRPr="002C30AA">
              <w:t>(paraksts)</w:t>
            </w:r>
          </w:p>
        </w:tc>
      </w:tr>
    </w:tbl>
    <w:p w:rsidR="007116C7" w:rsidRPr="002C30AA" w:rsidRDefault="007116C7" w:rsidP="005B012D">
      <w:pPr>
        <w:pStyle w:val="naisf"/>
        <w:spacing w:before="0" w:after="0"/>
        <w:ind w:firstLine="720"/>
      </w:pPr>
    </w:p>
    <w:p w:rsidR="004373E1" w:rsidRPr="002C30AA" w:rsidRDefault="004373E1" w:rsidP="005B012D">
      <w:pPr>
        <w:pStyle w:val="naisf"/>
        <w:spacing w:before="0" w:after="0"/>
        <w:ind w:firstLine="720"/>
      </w:pPr>
    </w:p>
    <w:p w:rsidR="00A47BB8" w:rsidRPr="002C30AA" w:rsidRDefault="00A47BB8" w:rsidP="005B012D">
      <w:pPr>
        <w:pStyle w:val="naisf"/>
        <w:spacing w:before="0" w:after="0"/>
        <w:ind w:firstLine="720"/>
      </w:pPr>
    </w:p>
    <w:tbl>
      <w:tblPr>
        <w:tblW w:w="0" w:type="auto"/>
        <w:tblLook w:val="00A0" w:firstRow="1" w:lastRow="0" w:firstColumn="1" w:lastColumn="0" w:noHBand="0" w:noVBand="0"/>
      </w:tblPr>
      <w:tblGrid>
        <w:gridCol w:w="8268"/>
      </w:tblGrid>
      <w:tr w:rsidR="002C30AA" w:rsidRPr="002C30AA">
        <w:tc>
          <w:tcPr>
            <w:tcW w:w="8268" w:type="dxa"/>
            <w:tcBorders>
              <w:top w:val="single" w:sz="4" w:space="0" w:color="000000"/>
            </w:tcBorders>
          </w:tcPr>
          <w:p w:rsidR="008655A2" w:rsidRPr="002C30AA" w:rsidRDefault="00184479" w:rsidP="005B012D">
            <w:pPr>
              <w:jc w:val="center"/>
            </w:pPr>
            <w:r w:rsidRPr="002C30AA">
              <w:t>(</w:t>
            </w:r>
            <w:r w:rsidR="008655A2" w:rsidRPr="002C30AA">
              <w:t xml:space="preserve">par projektu atbildīgās amatpersonas </w:t>
            </w:r>
            <w:r w:rsidRPr="002C30AA">
              <w:t xml:space="preserve">vārds un </w:t>
            </w:r>
            <w:r w:rsidR="008655A2" w:rsidRPr="002C30AA">
              <w:t>uzvārds</w:t>
            </w:r>
            <w:r w:rsidRPr="002C30AA">
              <w:t>)</w:t>
            </w:r>
          </w:p>
        </w:tc>
      </w:tr>
      <w:tr w:rsidR="002C30AA" w:rsidRPr="002C30AA">
        <w:tc>
          <w:tcPr>
            <w:tcW w:w="8268" w:type="dxa"/>
            <w:tcBorders>
              <w:bottom w:val="single" w:sz="4" w:space="0" w:color="000000"/>
            </w:tcBorders>
          </w:tcPr>
          <w:p w:rsidR="008655A2" w:rsidRPr="002C30AA" w:rsidRDefault="008655A2" w:rsidP="005B012D"/>
        </w:tc>
      </w:tr>
      <w:tr w:rsidR="002C30AA" w:rsidRPr="002C30AA">
        <w:tc>
          <w:tcPr>
            <w:tcW w:w="8268" w:type="dxa"/>
            <w:tcBorders>
              <w:top w:val="single" w:sz="4" w:space="0" w:color="000000"/>
            </w:tcBorders>
          </w:tcPr>
          <w:p w:rsidR="008655A2" w:rsidRPr="002C30AA" w:rsidRDefault="00184479" w:rsidP="005B012D">
            <w:pPr>
              <w:jc w:val="center"/>
            </w:pPr>
            <w:r w:rsidRPr="002C30AA">
              <w:t>(</w:t>
            </w:r>
            <w:r w:rsidR="008655A2" w:rsidRPr="002C30AA">
              <w:t>amats</w:t>
            </w:r>
            <w:r w:rsidRPr="002C30AA">
              <w:t>)</w:t>
            </w:r>
          </w:p>
        </w:tc>
      </w:tr>
      <w:tr w:rsidR="002C30AA" w:rsidRPr="002C30AA">
        <w:tc>
          <w:tcPr>
            <w:tcW w:w="8268" w:type="dxa"/>
            <w:tcBorders>
              <w:bottom w:val="single" w:sz="4" w:space="0" w:color="000000"/>
            </w:tcBorders>
          </w:tcPr>
          <w:p w:rsidR="008655A2" w:rsidRPr="002C30AA" w:rsidRDefault="008655A2" w:rsidP="005B012D"/>
        </w:tc>
      </w:tr>
      <w:tr w:rsidR="002C30AA" w:rsidRPr="002C30AA">
        <w:tc>
          <w:tcPr>
            <w:tcW w:w="8268" w:type="dxa"/>
            <w:tcBorders>
              <w:top w:val="single" w:sz="4" w:space="0" w:color="000000"/>
            </w:tcBorders>
          </w:tcPr>
          <w:p w:rsidR="008655A2" w:rsidRPr="002C30AA" w:rsidRDefault="00184479" w:rsidP="005B012D">
            <w:pPr>
              <w:jc w:val="center"/>
            </w:pPr>
            <w:r w:rsidRPr="002C30AA">
              <w:t>(</w:t>
            </w:r>
            <w:r w:rsidR="008655A2" w:rsidRPr="002C30AA">
              <w:t>tālruņa un faksa numurs</w:t>
            </w:r>
            <w:r w:rsidRPr="002C30AA">
              <w:t>)</w:t>
            </w:r>
          </w:p>
        </w:tc>
      </w:tr>
      <w:tr w:rsidR="002C30AA" w:rsidRPr="002C30AA">
        <w:tc>
          <w:tcPr>
            <w:tcW w:w="8268" w:type="dxa"/>
            <w:tcBorders>
              <w:bottom w:val="single" w:sz="4" w:space="0" w:color="000000"/>
            </w:tcBorders>
          </w:tcPr>
          <w:p w:rsidR="008655A2" w:rsidRPr="002C30AA" w:rsidRDefault="008655A2" w:rsidP="005B012D"/>
        </w:tc>
      </w:tr>
      <w:tr w:rsidR="008655A2" w:rsidRPr="002C30AA">
        <w:tc>
          <w:tcPr>
            <w:tcW w:w="8268" w:type="dxa"/>
            <w:tcBorders>
              <w:top w:val="single" w:sz="4" w:space="0" w:color="000000"/>
            </w:tcBorders>
          </w:tcPr>
          <w:p w:rsidR="008655A2" w:rsidRPr="002C30AA" w:rsidRDefault="00184479" w:rsidP="005B012D">
            <w:pPr>
              <w:jc w:val="center"/>
            </w:pPr>
            <w:r w:rsidRPr="002C30AA">
              <w:t>(</w:t>
            </w:r>
            <w:r w:rsidR="008655A2" w:rsidRPr="002C30AA">
              <w:t>e-pasta adrese</w:t>
            </w:r>
            <w:r w:rsidRPr="002C30AA">
              <w:t>)</w:t>
            </w:r>
          </w:p>
        </w:tc>
      </w:tr>
    </w:tbl>
    <w:p w:rsidR="007116C7" w:rsidRPr="002C30AA" w:rsidRDefault="007116C7" w:rsidP="005B012D">
      <w:pPr>
        <w:pStyle w:val="naisf"/>
        <w:spacing w:before="0" w:after="0"/>
        <w:ind w:firstLine="0"/>
        <w:jc w:val="left"/>
      </w:pPr>
    </w:p>
    <w:p w:rsidR="009623BC" w:rsidRPr="002C30AA" w:rsidRDefault="009623BC" w:rsidP="005B012D">
      <w:pPr>
        <w:pStyle w:val="naisf"/>
        <w:spacing w:before="0" w:after="0"/>
        <w:ind w:firstLine="0"/>
        <w:jc w:val="left"/>
      </w:pPr>
    </w:p>
    <w:p w:rsidR="003B71E0" w:rsidRPr="002C30AA" w:rsidRDefault="003B71E0" w:rsidP="005B012D">
      <w:pPr>
        <w:pStyle w:val="naisf"/>
        <w:spacing w:before="0" w:after="0"/>
        <w:ind w:firstLine="0"/>
        <w:jc w:val="left"/>
      </w:pPr>
    </w:p>
    <w:sectPr w:rsidR="003B71E0" w:rsidRPr="002C30AA" w:rsidSect="00B3134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50" w:rsidRDefault="00556F50">
      <w:r>
        <w:separator/>
      </w:r>
    </w:p>
  </w:endnote>
  <w:endnote w:type="continuationSeparator" w:id="0">
    <w:p w:rsidR="00556F50" w:rsidRDefault="0055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39" w:rsidRDefault="00C75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p w:rsidR="00CD15B1" w:rsidRPr="00C75A39" w:rsidRDefault="00C75A39" w:rsidP="00C75A39">
    <w:pPr>
      <w:pStyle w:val="Footer"/>
      <w:rPr>
        <w:sz w:val="20"/>
        <w:szCs w:val="20"/>
      </w:rPr>
    </w:pPr>
    <w:r w:rsidRPr="00C75A39">
      <w:rPr>
        <w:sz w:val="20"/>
        <w:szCs w:val="20"/>
      </w:rPr>
      <w:fldChar w:fldCharType="begin"/>
    </w:r>
    <w:r w:rsidRPr="00C75A39">
      <w:rPr>
        <w:sz w:val="20"/>
        <w:szCs w:val="20"/>
      </w:rPr>
      <w:instrText xml:space="preserve"> FILENAME \* MERGEFORMAT </w:instrText>
    </w:r>
    <w:r w:rsidRPr="00C75A39">
      <w:rPr>
        <w:sz w:val="20"/>
        <w:szCs w:val="20"/>
      </w:rPr>
      <w:fldChar w:fldCharType="separate"/>
    </w:r>
    <w:r w:rsidRPr="00C75A39">
      <w:rPr>
        <w:noProof/>
        <w:sz w:val="20"/>
        <w:szCs w:val="20"/>
      </w:rPr>
      <w:t>LMIzz_270421_ESF+_MNM21_27</w:t>
    </w:r>
    <w:r w:rsidRPr="00C75A39">
      <w:rPr>
        <w:sz w:val="20"/>
        <w:szCs w:val="20"/>
      </w:rP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46" w:rsidRPr="00A523D9" w:rsidRDefault="00BA0D46">
    <w:pPr>
      <w:pStyle w:val="Footer"/>
      <w:rPr>
        <w:sz w:val="20"/>
        <w:szCs w:val="20"/>
      </w:rPr>
    </w:pPr>
    <w:r w:rsidRPr="00A523D9">
      <w:rPr>
        <w:sz w:val="20"/>
        <w:szCs w:val="20"/>
      </w:rPr>
      <w:fldChar w:fldCharType="begin"/>
    </w:r>
    <w:r w:rsidRPr="00A523D9">
      <w:rPr>
        <w:sz w:val="20"/>
        <w:szCs w:val="20"/>
        <w:lang w:val="en-GB"/>
      </w:rPr>
      <w:instrText xml:space="preserve"> FILENAME \* MERGEFORMAT </w:instrText>
    </w:r>
    <w:r w:rsidRPr="00A523D9">
      <w:rPr>
        <w:sz w:val="20"/>
        <w:szCs w:val="20"/>
      </w:rPr>
      <w:fldChar w:fldCharType="separate"/>
    </w:r>
    <w:r w:rsidR="000C0CBD">
      <w:rPr>
        <w:noProof/>
        <w:sz w:val="20"/>
        <w:szCs w:val="20"/>
        <w:lang w:val="en-GB"/>
      </w:rPr>
      <w:t>LMIzz_270421_ESF+_MNM21_27</w:t>
    </w:r>
    <w:r w:rsidRPr="00A523D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50" w:rsidRDefault="00556F50">
      <w:r>
        <w:separator/>
      </w:r>
    </w:p>
  </w:footnote>
  <w:footnote w:type="continuationSeparator" w:id="0">
    <w:p w:rsidR="00556F50" w:rsidRDefault="00556F50">
      <w:r>
        <w:continuationSeparator/>
      </w:r>
    </w:p>
  </w:footnote>
  <w:footnote w:id="1">
    <w:p w:rsidR="00A8175D" w:rsidRPr="00A63174" w:rsidRDefault="00A8175D" w:rsidP="00A8175D">
      <w:pPr>
        <w:pStyle w:val="FootnoteText"/>
        <w:rPr>
          <w:sz w:val="16"/>
          <w:szCs w:val="16"/>
        </w:rPr>
      </w:pPr>
      <w:r w:rsidRPr="00A63174">
        <w:rPr>
          <w:rStyle w:val="FootnoteReference"/>
          <w:sz w:val="16"/>
          <w:szCs w:val="16"/>
        </w:rPr>
        <w:footnoteRef/>
      </w:r>
      <w:r>
        <w:rPr>
          <w:bCs/>
          <w:color w:val="222222"/>
          <w:sz w:val="16"/>
          <w:szCs w:val="16"/>
          <w:shd w:val="clear" w:color="auto" w:fill="FFFFFF"/>
        </w:rPr>
        <w:t xml:space="preserve"> </w:t>
      </w:r>
      <w:r w:rsidRPr="00A63174">
        <w:rPr>
          <w:bCs/>
          <w:color w:val="222222"/>
          <w:sz w:val="16"/>
          <w:szCs w:val="16"/>
          <w:shd w:val="clear" w:color="auto" w:fill="FFFFFF"/>
        </w:rPr>
        <w:t>CSP, MIG070</w:t>
      </w:r>
      <w:r>
        <w:rPr>
          <w:bCs/>
          <w:color w:val="222222"/>
          <w:sz w:val="16"/>
          <w:szCs w:val="16"/>
          <w:shd w:val="clear" w:color="auto" w:fill="FFFFFF"/>
        </w:rPr>
        <w:t xml:space="preserve">: </w:t>
      </w:r>
      <w:r w:rsidRPr="00A63174">
        <w:rPr>
          <w:bCs/>
          <w:color w:val="222222"/>
          <w:sz w:val="16"/>
          <w:szCs w:val="16"/>
          <w:shd w:val="clear" w:color="auto" w:fill="FFFFFF"/>
        </w:rPr>
        <w:t>https://data.csb.gov.lv/pxweb/lv/sociala/sociala__nabadz_nevienl__min_ien/MIG070.px/table/tableViewLayout1/</w:t>
      </w:r>
    </w:p>
  </w:footnote>
  <w:footnote w:id="2">
    <w:p w:rsidR="00A8175D" w:rsidRPr="00A63174" w:rsidRDefault="00A8175D" w:rsidP="00A8175D">
      <w:pPr>
        <w:pStyle w:val="FootnoteText"/>
        <w:rPr>
          <w:sz w:val="16"/>
          <w:szCs w:val="16"/>
        </w:rPr>
      </w:pPr>
      <w:r w:rsidRPr="00A63174">
        <w:rPr>
          <w:rStyle w:val="FootnoteReference"/>
          <w:sz w:val="16"/>
          <w:szCs w:val="16"/>
        </w:rPr>
        <w:footnoteRef/>
      </w:r>
      <w:r w:rsidRPr="00A63174">
        <w:rPr>
          <w:bCs/>
          <w:color w:val="222222"/>
          <w:sz w:val="16"/>
          <w:szCs w:val="16"/>
          <w:shd w:val="clear" w:color="auto" w:fill="FFFFFF"/>
        </w:rPr>
        <w:t xml:space="preserve">CSP, </w:t>
      </w:r>
      <w:r>
        <w:rPr>
          <w:bCs/>
          <w:color w:val="222222"/>
          <w:sz w:val="16"/>
          <w:szCs w:val="16"/>
          <w:shd w:val="clear" w:color="auto" w:fill="FFFFFF"/>
        </w:rPr>
        <w:t>MNG010:</w:t>
      </w:r>
      <w:r w:rsidRPr="00A63174">
        <w:rPr>
          <w:bCs/>
          <w:color w:val="222222"/>
          <w:sz w:val="16"/>
          <w:szCs w:val="16"/>
          <w:shd w:val="clear" w:color="auto" w:fill="FFFFFF"/>
        </w:rPr>
        <w:t> https://data.csb.gov.lv/pxweb/lv/sociala/sociala__nabadz_nevienl__matnenodr/MNG010.px/table/tableViewLayout1/</w:t>
      </w:r>
    </w:p>
  </w:footnote>
  <w:footnote w:id="3">
    <w:p w:rsidR="00C163EC" w:rsidRPr="00C163EC" w:rsidRDefault="00C163EC" w:rsidP="00C163EC">
      <w:pPr>
        <w:pStyle w:val="FootnoteText"/>
      </w:pPr>
      <w:r>
        <w:rPr>
          <w:rStyle w:val="FootnoteReference"/>
        </w:rPr>
        <w:footnoteRef/>
      </w:r>
      <w:r>
        <w:t xml:space="preserve"> 28.02.2020. WK 2254/2020 INIT</w:t>
      </w:r>
    </w:p>
  </w:footnote>
  <w:footnote w:id="4">
    <w:p w:rsidR="00E72DA6" w:rsidRPr="00E72DA6" w:rsidRDefault="00E72DA6">
      <w:pPr>
        <w:pStyle w:val="FootnoteText"/>
        <w:rPr>
          <w:lang w:val="en-GB"/>
        </w:rPr>
      </w:pPr>
      <w:r>
        <w:rPr>
          <w:rStyle w:val="FootnoteReference"/>
        </w:rPr>
        <w:footnoteRef/>
      </w:r>
      <w:r>
        <w:t xml:space="preserve"> </w:t>
      </w:r>
      <w:r w:rsidRPr="00E72DA6">
        <w:t>30.05.2018. COM(2018) 382 final 2018/0206 (COD)</w:t>
      </w:r>
    </w:p>
  </w:footnote>
  <w:footnote w:id="5">
    <w:p w:rsidR="00FC5916" w:rsidRPr="0084741F" w:rsidRDefault="00FC5916" w:rsidP="0084741F">
      <w:pPr>
        <w:pStyle w:val="FootnoteText"/>
        <w:jc w:val="both"/>
        <w:rPr>
          <w:sz w:val="16"/>
          <w:szCs w:val="16"/>
        </w:rPr>
      </w:pPr>
      <w:r w:rsidRPr="0084741F">
        <w:rPr>
          <w:rStyle w:val="FootnoteReference"/>
          <w:sz w:val="16"/>
          <w:szCs w:val="16"/>
        </w:rPr>
        <w:footnoteRef/>
      </w:r>
      <w:r w:rsidRPr="0084741F">
        <w:rPr>
          <w:sz w:val="16"/>
          <w:szCs w:val="16"/>
        </w:rPr>
        <w:t xml:space="preserve"> EIROPAS PARLAMENTA UN PADOMES REGULA (ES) Nr.2018/0196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A39">
      <w:rPr>
        <w:rStyle w:val="PageNumber"/>
        <w:noProof/>
      </w:rPr>
      <w:t>15</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39" w:rsidRDefault="00C75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1E7"/>
    <w:multiLevelType w:val="hybridMultilevel"/>
    <w:tmpl w:val="4872B5C6"/>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C57F6"/>
    <w:multiLevelType w:val="hybridMultilevel"/>
    <w:tmpl w:val="FAA67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A52AB0"/>
    <w:multiLevelType w:val="hybridMultilevel"/>
    <w:tmpl w:val="9C285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820D7B"/>
    <w:multiLevelType w:val="hybridMultilevel"/>
    <w:tmpl w:val="B2E21E8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63B3166E"/>
    <w:multiLevelType w:val="hybridMultilevel"/>
    <w:tmpl w:val="772C74A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CB708B"/>
    <w:multiLevelType w:val="hybridMultilevel"/>
    <w:tmpl w:val="17F2E23E"/>
    <w:lvl w:ilvl="0" w:tplc="52B6AA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6"/>
  </w:num>
  <w:num w:numId="5">
    <w:abstractNumId w:val="4"/>
  </w:num>
  <w:num w:numId="6">
    <w:abstractNumId w:val="0"/>
  </w:num>
  <w:num w:numId="7">
    <w:abstractNumId w:val="5"/>
  </w:num>
  <w:num w:numId="8">
    <w:abstractNumId w:val="3"/>
  </w:num>
  <w:num w:numId="9">
    <w:abstractNumId w:val="10"/>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3DBE"/>
    <w:rsid w:val="00044026"/>
    <w:rsid w:val="00046075"/>
    <w:rsid w:val="00046CAD"/>
    <w:rsid w:val="00046F5C"/>
    <w:rsid w:val="00047385"/>
    <w:rsid w:val="00050554"/>
    <w:rsid w:val="00053706"/>
    <w:rsid w:val="00053AB5"/>
    <w:rsid w:val="00053E04"/>
    <w:rsid w:val="000579E6"/>
    <w:rsid w:val="00060E03"/>
    <w:rsid w:val="000641CE"/>
    <w:rsid w:val="00065013"/>
    <w:rsid w:val="00065271"/>
    <w:rsid w:val="00066176"/>
    <w:rsid w:val="0006618D"/>
    <w:rsid w:val="00066885"/>
    <w:rsid w:val="0006694E"/>
    <w:rsid w:val="00066A37"/>
    <w:rsid w:val="00066F05"/>
    <w:rsid w:val="00072628"/>
    <w:rsid w:val="000728ED"/>
    <w:rsid w:val="000733F5"/>
    <w:rsid w:val="000733FF"/>
    <w:rsid w:val="0007577A"/>
    <w:rsid w:val="00077464"/>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4D0A"/>
    <w:rsid w:val="000A55D2"/>
    <w:rsid w:val="000A64D3"/>
    <w:rsid w:val="000A77B9"/>
    <w:rsid w:val="000A7EA7"/>
    <w:rsid w:val="000B0403"/>
    <w:rsid w:val="000B057B"/>
    <w:rsid w:val="000B06E7"/>
    <w:rsid w:val="000B0C94"/>
    <w:rsid w:val="000B15E5"/>
    <w:rsid w:val="000B2382"/>
    <w:rsid w:val="000B3171"/>
    <w:rsid w:val="000B34A5"/>
    <w:rsid w:val="000B4746"/>
    <w:rsid w:val="000B7726"/>
    <w:rsid w:val="000B7966"/>
    <w:rsid w:val="000B7CB1"/>
    <w:rsid w:val="000C0A09"/>
    <w:rsid w:val="000C0AE6"/>
    <w:rsid w:val="000C0CBD"/>
    <w:rsid w:val="000C0D0D"/>
    <w:rsid w:val="000C2555"/>
    <w:rsid w:val="000C3545"/>
    <w:rsid w:val="000C44DB"/>
    <w:rsid w:val="000C498A"/>
    <w:rsid w:val="000C4C16"/>
    <w:rsid w:val="000C56FC"/>
    <w:rsid w:val="000C7907"/>
    <w:rsid w:val="000C79D7"/>
    <w:rsid w:val="000C7A11"/>
    <w:rsid w:val="000C7F5E"/>
    <w:rsid w:val="000D00AC"/>
    <w:rsid w:val="000D0AED"/>
    <w:rsid w:val="000D3602"/>
    <w:rsid w:val="000D4D89"/>
    <w:rsid w:val="000D5136"/>
    <w:rsid w:val="000D6949"/>
    <w:rsid w:val="000D6BBD"/>
    <w:rsid w:val="000D7751"/>
    <w:rsid w:val="000D7C23"/>
    <w:rsid w:val="000E0A16"/>
    <w:rsid w:val="000E1BFA"/>
    <w:rsid w:val="000E2142"/>
    <w:rsid w:val="000E21D0"/>
    <w:rsid w:val="000E2450"/>
    <w:rsid w:val="000E2A38"/>
    <w:rsid w:val="000E2ACC"/>
    <w:rsid w:val="000E5509"/>
    <w:rsid w:val="000E557A"/>
    <w:rsid w:val="000E585F"/>
    <w:rsid w:val="000E597B"/>
    <w:rsid w:val="000E6232"/>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00C"/>
    <w:rsid w:val="001012E3"/>
    <w:rsid w:val="00101EEB"/>
    <w:rsid w:val="0010375A"/>
    <w:rsid w:val="001038ED"/>
    <w:rsid w:val="001042B0"/>
    <w:rsid w:val="00106F4F"/>
    <w:rsid w:val="001071D3"/>
    <w:rsid w:val="001075A8"/>
    <w:rsid w:val="00107698"/>
    <w:rsid w:val="00110259"/>
    <w:rsid w:val="00110AA9"/>
    <w:rsid w:val="0011254D"/>
    <w:rsid w:val="001139C2"/>
    <w:rsid w:val="00114559"/>
    <w:rsid w:val="00114EA9"/>
    <w:rsid w:val="00115ED0"/>
    <w:rsid w:val="0011683C"/>
    <w:rsid w:val="001179E8"/>
    <w:rsid w:val="0012021B"/>
    <w:rsid w:val="0012222D"/>
    <w:rsid w:val="00124BC6"/>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16E"/>
    <w:rsid w:val="00153F12"/>
    <w:rsid w:val="001543DB"/>
    <w:rsid w:val="00155473"/>
    <w:rsid w:val="00155DC2"/>
    <w:rsid w:val="001562F1"/>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7BE"/>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6C8"/>
    <w:rsid w:val="00185755"/>
    <w:rsid w:val="001871A5"/>
    <w:rsid w:val="00187398"/>
    <w:rsid w:val="00187F73"/>
    <w:rsid w:val="00187FB0"/>
    <w:rsid w:val="001902E9"/>
    <w:rsid w:val="00190327"/>
    <w:rsid w:val="00190A0A"/>
    <w:rsid w:val="001926F2"/>
    <w:rsid w:val="00193BCE"/>
    <w:rsid w:val="00194953"/>
    <w:rsid w:val="00194B87"/>
    <w:rsid w:val="0019569A"/>
    <w:rsid w:val="00195962"/>
    <w:rsid w:val="00195F5E"/>
    <w:rsid w:val="00197533"/>
    <w:rsid w:val="001977E7"/>
    <w:rsid w:val="00197CCA"/>
    <w:rsid w:val="001A0D8A"/>
    <w:rsid w:val="001A192D"/>
    <w:rsid w:val="001A3664"/>
    <w:rsid w:val="001A7C72"/>
    <w:rsid w:val="001B084B"/>
    <w:rsid w:val="001B0AA4"/>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922"/>
    <w:rsid w:val="001D1CB1"/>
    <w:rsid w:val="001D2AC0"/>
    <w:rsid w:val="001D2DBA"/>
    <w:rsid w:val="001D2FD0"/>
    <w:rsid w:val="001D3830"/>
    <w:rsid w:val="001D3877"/>
    <w:rsid w:val="001D3BA6"/>
    <w:rsid w:val="001D5294"/>
    <w:rsid w:val="001D5564"/>
    <w:rsid w:val="001D6FAA"/>
    <w:rsid w:val="001D70FA"/>
    <w:rsid w:val="001D7BA9"/>
    <w:rsid w:val="001E039D"/>
    <w:rsid w:val="001E116B"/>
    <w:rsid w:val="001E22E7"/>
    <w:rsid w:val="001E2714"/>
    <w:rsid w:val="001E3268"/>
    <w:rsid w:val="001E398C"/>
    <w:rsid w:val="001E4456"/>
    <w:rsid w:val="001E4DDC"/>
    <w:rsid w:val="001E6112"/>
    <w:rsid w:val="001E6B5B"/>
    <w:rsid w:val="001E774F"/>
    <w:rsid w:val="001E7C1D"/>
    <w:rsid w:val="001F073F"/>
    <w:rsid w:val="001F238C"/>
    <w:rsid w:val="001F2777"/>
    <w:rsid w:val="001F3009"/>
    <w:rsid w:val="001F3358"/>
    <w:rsid w:val="001F35CB"/>
    <w:rsid w:val="001F390F"/>
    <w:rsid w:val="001F5CD1"/>
    <w:rsid w:val="001F7257"/>
    <w:rsid w:val="001F7739"/>
    <w:rsid w:val="0020011B"/>
    <w:rsid w:val="0020187E"/>
    <w:rsid w:val="00201DC6"/>
    <w:rsid w:val="002020D4"/>
    <w:rsid w:val="00202375"/>
    <w:rsid w:val="002025EA"/>
    <w:rsid w:val="00202884"/>
    <w:rsid w:val="00202E44"/>
    <w:rsid w:val="00203556"/>
    <w:rsid w:val="00204D0F"/>
    <w:rsid w:val="00204DB6"/>
    <w:rsid w:val="002056ED"/>
    <w:rsid w:val="00205C3A"/>
    <w:rsid w:val="00211793"/>
    <w:rsid w:val="00211C11"/>
    <w:rsid w:val="00212345"/>
    <w:rsid w:val="0021306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1A2"/>
    <w:rsid w:val="0022785E"/>
    <w:rsid w:val="00227BDE"/>
    <w:rsid w:val="00230045"/>
    <w:rsid w:val="0023014E"/>
    <w:rsid w:val="002308FA"/>
    <w:rsid w:val="002309AB"/>
    <w:rsid w:val="0023132F"/>
    <w:rsid w:val="00231AA5"/>
    <w:rsid w:val="00232F90"/>
    <w:rsid w:val="0023339B"/>
    <w:rsid w:val="0023469C"/>
    <w:rsid w:val="00234C71"/>
    <w:rsid w:val="00235511"/>
    <w:rsid w:val="002366E0"/>
    <w:rsid w:val="00236B8A"/>
    <w:rsid w:val="00236DE1"/>
    <w:rsid w:val="002372EE"/>
    <w:rsid w:val="002372FD"/>
    <w:rsid w:val="0023764D"/>
    <w:rsid w:val="002415BC"/>
    <w:rsid w:val="002434B2"/>
    <w:rsid w:val="002442F4"/>
    <w:rsid w:val="002445EA"/>
    <w:rsid w:val="00244769"/>
    <w:rsid w:val="00244ECE"/>
    <w:rsid w:val="00244FC5"/>
    <w:rsid w:val="00245D1D"/>
    <w:rsid w:val="00246F4B"/>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1FC6"/>
    <w:rsid w:val="0026217B"/>
    <w:rsid w:val="002629E4"/>
    <w:rsid w:val="00263FE3"/>
    <w:rsid w:val="00265593"/>
    <w:rsid w:val="002675EA"/>
    <w:rsid w:val="00267BC5"/>
    <w:rsid w:val="00267CBE"/>
    <w:rsid w:val="00267E0B"/>
    <w:rsid w:val="00270680"/>
    <w:rsid w:val="00270CB5"/>
    <w:rsid w:val="00271103"/>
    <w:rsid w:val="002721FA"/>
    <w:rsid w:val="0027230C"/>
    <w:rsid w:val="00272B99"/>
    <w:rsid w:val="00273023"/>
    <w:rsid w:val="0027380D"/>
    <w:rsid w:val="0027468E"/>
    <w:rsid w:val="00274826"/>
    <w:rsid w:val="00275005"/>
    <w:rsid w:val="002752AB"/>
    <w:rsid w:val="002756D6"/>
    <w:rsid w:val="0027573C"/>
    <w:rsid w:val="002815D0"/>
    <w:rsid w:val="002820A7"/>
    <w:rsid w:val="00282361"/>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BD"/>
    <w:rsid w:val="002B09C0"/>
    <w:rsid w:val="002B13B3"/>
    <w:rsid w:val="002B183D"/>
    <w:rsid w:val="002B1DBF"/>
    <w:rsid w:val="002B207F"/>
    <w:rsid w:val="002B2A48"/>
    <w:rsid w:val="002B2BEE"/>
    <w:rsid w:val="002B31AD"/>
    <w:rsid w:val="002B3EA7"/>
    <w:rsid w:val="002B46A4"/>
    <w:rsid w:val="002B4BAE"/>
    <w:rsid w:val="002B538B"/>
    <w:rsid w:val="002B581B"/>
    <w:rsid w:val="002C2886"/>
    <w:rsid w:val="002C2892"/>
    <w:rsid w:val="002C30AA"/>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188"/>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0AF"/>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2476"/>
    <w:rsid w:val="003443DD"/>
    <w:rsid w:val="00344B4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A60"/>
    <w:rsid w:val="00370CCA"/>
    <w:rsid w:val="00372221"/>
    <w:rsid w:val="00372CF2"/>
    <w:rsid w:val="00374C7E"/>
    <w:rsid w:val="00377353"/>
    <w:rsid w:val="0037736B"/>
    <w:rsid w:val="00381F57"/>
    <w:rsid w:val="0038216E"/>
    <w:rsid w:val="003822E5"/>
    <w:rsid w:val="003830B8"/>
    <w:rsid w:val="00383262"/>
    <w:rsid w:val="003855DC"/>
    <w:rsid w:val="003A0F71"/>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0E2"/>
    <w:rsid w:val="003B71E0"/>
    <w:rsid w:val="003B78A4"/>
    <w:rsid w:val="003C144E"/>
    <w:rsid w:val="003C1A07"/>
    <w:rsid w:val="003C1E74"/>
    <w:rsid w:val="003C20A2"/>
    <w:rsid w:val="003C2673"/>
    <w:rsid w:val="003C27A2"/>
    <w:rsid w:val="003C567C"/>
    <w:rsid w:val="003C59B8"/>
    <w:rsid w:val="003C6809"/>
    <w:rsid w:val="003C6FC4"/>
    <w:rsid w:val="003C7897"/>
    <w:rsid w:val="003D0937"/>
    <w:rsid w:val="003D17E6"/>
    <w:rsid w:val="003D1A20"/>
    <w:rsid w:val="003D1AC9"/>
    <w:rsid w:val="003D2AC9"/>
    <w:rsid w:val="003D2CD8"/>
    <w:rsid w:val="003D3724"/>
    <w:rsid w:val="003D422F"/>
    <w:rsid w:val="003D46A7"/>
    <w:rsid w:val="003D6376"/>
    <w:rsid w:val="003D765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0BB2"/>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C1"/>
    <w:rsid w:val="004075A3"/>
    <w:rsid w:val="00410AEA"/>
    <w:rsid w:val="00410C48"/>
    <w:rsid w:val="00416277"/>
    <w:rsid w:val="00416E24"/>
    <w:rsid w:val="0042063D"/>
    <w:rsid w:val="00422B23"/>
    <w:rsid w:val="00423A60"/>
    <w:rsid w:val="0042651C"/>
    <w:rsid w:val="00426E9B"/>
    <w:rsid w:val="00427D55"/>
    <w:rsid w:val="00431311"/>
    <w:rsid w:val="0043233C"/>
    <w:rsid w:val="004337E1"/>
    <w:rsid w:val="00434406"/>
    <w:rsid w:val="004345A6"/>
    <w:rsid w:val="00435594"/>
    <w:rsid w:val="00435B2F"/>
    <w:rsid w:val="00435E03"/>
    <w:rsid w:val="00435EB8"/>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25"/>
    <w:rsid w:val="00450380"/>
    <w:rsid w:val="0045052F"/>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57F85"/>
    <w:rsid w:val="004603D0"/>
    <w:rsid w:val="004624AE"/>
    <w:rsid w:val="0046250E"/>
    <w:rsid w:val="00462E9C"/>
    <w:rsid w:val="00464B48"/>
    <w:rsid w:val="004650F1"/>
    <w:rsid w:val="00465231"/>
    <w:rsid w:val="004662AD"/>
    <w:rsid w:val="00466516"/>
    <w:rsid w:val="00467B65"/>
    <w:rsid w:val="004707CE"/>
    <w:rsid w:val="00471EA5"/>
    <w:rsid w:val="004720C9"/>
    <w:rsid w:val="00472257"/>
    <w:rsid w:val="00472E49"/>
    <w:rsid w:val="00472FB5"/>
    <w:rsid w:val="004732BB"/>
    <w:rsid w:val="00473B36"/>
    <w:rsid w:val="00474C60"/>
    <w:rsid w:val="00475944"/>
    <w:rsid w:val="00475DF0"/>
    <w:rsid w:val="00476525"/>
    <w:rsid w:val="004772E2"/>
    <w:rsid w:val="0047739F"/>
    <w:rsid w:val="00477F97"/>
    <w:rsid w:val="00480A2D"/>
    <w:rsid w:val="00480AFB"/>
    <w:rsid w:val="00481247"/>
    <w:rsid w:val="004828DC"/>
    <w:rsid w:val="00482FF7"/>
    <w:rsid w:val="00483098"/>
    <w:rsid w:val="00483350"/>
    <w:rsid w:val="00483AFB"/>
    <w:rsid w:val="00483C54"/>
    <w:rsid w:val="0048402B"/>
    <w:rsid w:val="0048414A"/>
    <w:rsid w:val="00485C56"/>
    <w:rsid w:val="00486B79"/>
    <w:rsid w:val="00486CA2"/>
    <w:rsid w:val="00490B25"/>
    <w:rsid w:val="00490FD6"/>
    <w:rsid w:val="0049114A"/>
    <w:rsid w:val="004911C4"/>
    <w:rsid w:val="00494CC8"/>
    <w:rsid w:val="004955E7"/>
    <w:rsid w:val="0049589C"/>
    <w:rsid w:val="00495EF1"/>
    <w:rsid w:val="00496ED4"/>
    <w:rsid w:val="0049704B"/>
    <w:rsid w:val="00497D4A"/>
    <w:rsid w:val="004A0441"/>
    <w:rsid w:val="004A075B"/>
    <w:rsid w:val="004A084C"/>
    <w:rsid w:val="004A15B3"/>
    <w:rsid w:val="004A1D01"/>
    <w:rsid w:val="004A2A54"/>
    <w:rsid w:val="004A2EF3"/>
    <w:rsid w:val="004A3B0D"/>
    <w:rsid w:val="004A3DAB"/>
    <w:rsid w:val="004A52F5"/>
    <w:rsid w:val="004A5D3A"/>
    <w:rsid w:val="004A6897"/>
    <w:rsid w:val="004A692B"/>
    <w:rsid w:val="004A6E3A"/>
    <w:rsid w:val="004A6EB6"/>
    <w:rsid w:val="004A6EDB"/>
    <w:rsid w:val="004A794C"/>
    <w:rsid w:val="004B0295"/>
    <w:rsid w:val="004B2869"/>
    <w:rsid w:val="004B3EC7"/>
    <w:rsid w:val="004B5664"/>
    <w:rsid w:val="004C098C"/>
    <w:rsid w:val="004C2107"/>
    <w:rsid w:val="004C2C3E"/>
    <w:rsid w:val="004C5FC6"/>
    <w:rsid w:val="004C6435"/>
    <w:rsid w:val="004C649B"/>
    <w:rsid w:val="004C7659"/>
    <w:rsid w:val="004C7B9C"/>
    <w:rsid w:val="004C7D55"/>
    <w:rsid w:val="004D089A"/>
    <w:rsid w:val="004D3184"/>
    <w:rsid w:val="004D5030"/>
    <w:rsid w:val="004D6045"/>
    <w:rsid w:val="004D618A"/>
    <w:rsid w:val="004D7546"/>
    <w:rsid w:val="004D7EC5"/>
    <w:rsid w:val="004E02B0"/>
    <w:rsid w:val="004E0B29"/>
    <w:rsid w:val="004E0E11"/>
    <w:rsid w:val="004E0F08"/>
    <w:rsid w:val="004E1546"/>
    <w:rsid w:val="004E19DC"/>
    <w:rsid w:val="004E2F2D"/>
    <w:rsid w:val="004E35E8"/>
    <w:rsid w:val="004E50F0"/>
    <w:rsid w:val="004E6A03"/>
    <w:rsid w:val="004F0070"/>
    <w:rsid w:val="004F0468"/>
    <w:rsid w:val="004F0C51"/>
    <w:rsid w:val="004F263C"/>
    <w:rsid w:val="004F2BB1"/>
    <w:rsid w:val="004F2EC7"/>
    <w:rsid w:val="004F39BC"/>
    <w:rsid w:val="004F3CE8"/>
    <w:rsid w:val="004F6BFB"/>
    <w:rsid w:val="004F7E4A"/>
    <w:rsid w:val="0050147C"/>
    <w:rsid w:val="0050182B"/>
    <w:rsid w:val="00502579"/>
    <w:rsid w:val="005029F7"/>
    <w:rsid w:val="005031D4"/>
    <w:rsid w:val="00503D4C"/>
    <w:rsid w:val="00504C0C"/>
    <w:rsid w:val="00504E48"/>
    <w:rsid w:val="005070FF"/>
    <w:rsid w:val="005108D9"/>
    <w:rsid w:val="00512BBC"/>
    <w:rsid w:val="005134FB"/>
    <w:rsid w:val="005135FD"/>
    <w:rsid w:val="0051366C"/>
    <w:rsid w:val="0051684F"/>
    <w:rsid w:val="00516A92"/>
    <w:rsid w:val="00516B9F"/>
    <w:rsid w:val="00517693"/>
    <w:rsid w:val="005205AB"/>
    <w:rsid w:val="00521325"/>
    <w:rsid w:val="00523378"/>
    <w:rsid w:val="0052550F"/>
    <w:rsid w:val="00526C0F"/>
    <w:rsid w:val="0052702A"/>
    <w:rsid w:val="00530397"/>
    <w:rsid w:val="00530F73"/>
    <w:rsid w:val="00533B8E"/>
    <w:rsid w:val="00535417"/>
    <w:rsid w:val="00535833"/>
    <w:rsid w:val="00536D28"/>
    <w:rsid w:val="005372C5"/>
    <w:rsid w:val="00537A26"/>
    <w:rsid w:val="00537ECF"/>
    <w:rsid w:val="00540E47"/>
    <w:rsid w:val="00543283"/>
    <w:rsid w:val="0054364C"/>
    <w:rsid w:val="005440EB"/>
    <w:rsid w:val="00546747"/>
    <w:rsid w:val="00547510"/>
    <w:rsid w:val="00547ECC"/>
    <w:rsid w:val="00551D5A"/>
    <w:rsid w:val="00551EC3"/>
    <w:rsid w:val="00554A44"/>
    <w:rsid w:val="00554C53"/>
    <w:rsid w:val="00554F18"/>
    <w:rsid w:val="00555220"/>
    <w:rsid w:val="005555F0"/>
    <w:rsid w:val="00555739"/>
    <w:rsid w:val="00556E75"/>
    <w:rsid w:val="00556F50"/>
    <w:rsid w:val="0056069A"/>
    <w:rsid w:val="00560C3B"/>
    <w:rsid w:val="00561EA1"/>
    <w:rsid w:val="00562799"/>
    <w:rsid w:val="00564804"/>
    <w:rsid w:val="00565598"/>
    <w:rsid w:val="00565B5A"/>
    <w:rsid w:val="00567E8F"/>
    <w:rsid w:val="005702D6"/>
    <w:rsid w:val="0057140A"/>
    <w:rsid w:val="00572588"/>
    <w:rsid w:val="00573A50"/>
    <w:rsid w:val="005746D2"/>
    <w:rsid w:val="00574E8A"/>
    <w:rsid w:val="00577116"/>
    <w:rsid w:val="00577775"/>
    <w:rsid w:val="0058121A"/>
    <w:rsid w:val="00581863"/>
    <w:rsid w:val="00581C60"/>
    <w:rsid w:val="00581EA3"/>
    <w:rsid w:val="0058205A"/>
    <w:rsid w:val="0058260B"/>
    <w:rsid w:val="005830B1"/>
    <w:rsid w:val="00584D1E"/>
    <w:rsid w:val="00586795"/>
    <w:rsid w:val="00586B82"/>
    <w:rsid w:val="00587E13"/>
    <w:rsid w:val="005933AA"/>
    <w:rsid w:val="005940AA"/>
    <w:rsid w:val="00594477"/>
    <w:rsid w:val="00594614"/>
    <w:rsid w:val="00594E10"/>
    <w:rsid w:val="00596059"/>
    <w:rsid w:val="00596306"/>
    <w:rsid w:val="00596487"/>
    <w:rsid w:val="005A0809"/>
    <w:rsid w:val="005A0B91"/>
    <w:rsid w:val="005A109B"/>
    <w:rsid w:val="005A1494"/>
    <w:rsid w:val="005A3590"/>
    <w:rsid w:val="005A4A1C"/>
    <w:rsid w:val="005A5BD8"/>
    <w:rsid w:val="005A692A"/>
    <w:rsid w:val="005A6AB8"/>
    <w:rsid w:val="005B012D"/>
    <w:rsid w:val="005B11C2"/>
    <w:rsid w:val="005B17B3"/>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15"/>
    <w:rsid w:val="005D237C"/>
    <w:rsid w:val="005D25E2"/>
    <w:rsid w:val="005D25FF"/>
    <w:rsid w:val="005D2632"/>
    <w:rsid w:val="005D38E0"/>
    <w:rsid w:val="005D39AC"/>
    <w:rsid w:val="005D3F32"/>
    <w:rsid w:val="005D4E3E"/>
    <w:rsid w:val="005D67F7"/>
    <w:rsid w:val="005D7D7E"/>
    <w:rsid w:val="005E0323"/>
    <w:rsid w:val="005E0A03"/>
    <w:rsid w:val="005E0B59"/>
    <w:rsid w:val="005E1105"/>
    <w:rsid w:val="005E162F"/>
    <w:rsid w:val="005E281D"/>
    <w:rsid w:val="005E2C60"/>
    <w:rsid w:val="005E31F6"/>
    <w:rsid w:val="005E3622"/>
    <w:rsid w:val="005E60B3"/>
    <w:rsid w:val="005E676C"/>
    <w:rsid w:val="005E6CB9"/>
    <w:rsid w:val="005E7354"/>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5D34"/>
    <w:rsid w:val="00606C66"/>
    <w:rsid w:val="00610145"/>
    <w:rsid w:val="00610D1F"/>
    <w:rsid w:val="006123C6"/>
    <w:rsid w:val="00612C02"/>
    <w:rsid w:val="00612CDD"/>
    <w:rsid w:val="0061562E"/>
    <w:rsid w:val="00616D41"/>
    <w:rsid w:val="00617292"/>
    <w:rsid w:val="006200A9"/>
    <w:rsid w:val="00620647"/>
    <w:rsid w:val="00622225"/>
    <w:rsid w:val="00622D03"/>
    <w:rsid w:val="00622DCD"/>
    <w:rsid w:val="00622F57"/>
    <w:rsid w:val="00623DD5"/>
    <w:rsid w:val="00624269"/>
    <w:rsid w:val="0062431C"/>
    <w:rsid w:val="00624A34"/>
    <w:rsid w:val="0062568D"/>
    <w:rsid w:val="006256D3"/>
    <w:rsid w:val="006256DF"/>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15D"/>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4C8"/>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5FBB"/>
    <w:rsid w:val="006A67CB"/>
    <w:rsid w:val="006A7EE7"/>
    <w:rsid w:val="006B0368"/>
    <w:rsid w:val="006B0F6E"/>
    <w:rsid w:val="006B1D7B"/>
    <w:rsid w:val="006B27D4"/>
    <w:rsid w:val="006B2C9C"/>
    <w:rsid w:val="006B48EB"/>
    <w:rsid w:val="006B4AD0"/>
    <w:rsid w:val="006B4C00"/>
    <w:rsid w:val="006B56FC"/>
    <w:rsid w:val="006B6DDA"/>
    <w:rsid w:val="006B73D9"/>
    <w:rsid w:val="006B7DF0"/>
    <w:rsid w:val="006B7E74"/>
    <w:rsid w:val="006C0D75"/>
    <w:rsid w:val="006C1C48"/>
    <w:rsid w:val="006C3C1D"/>
    <w:rsid w:val="006C41FF"/>
    <w:rsid w:val="006C5145"/>
    <w:rsid w:val="006C6124"/>
    <w:rsid w:val="006C65A8"/>
    <w:rsid w:val="006D05AD"/>
    <w:rsid w:val="006D0EC1"/>
    <w:rsid w:val="006D16F8"/>
    <w:rsid w:val="006D1813"/>
    <w:rsid w:val="006D24A9"/>
    <w:rsid w:val="006D2AF3"/>
    <w:rsid w:val="006D4D79"/>
    <w:rsid w:val="006D4FBD"/>
    <w:rsid w:val="006D50B8"/>
    <w:rsid w:val="006D5879"/>
    <w:rsid w:val="006D5E8B"/>
    <w:rsid w:val="006D63FD"/>
    <w:rsid w:val="006D65B4"/>
    <w:rsid w:val="006D754A"/>
    <w:rsid w:val="006D7B9C"/>
    <w:rsid w:val="006E04C6"/>
    <w:rsid w:val="006E0A65"/>
    <w:rsid w:val="006E1B01"/>
    <w:rsid w:val="006E2B8E"/>
    <w:rsid w:val="006E3E3D"/>
    <w:rsid w:val="006E4836"/>
    <w:rsid w:val="006E5DDD"/>
    <w:rsid w:val="006E74F0"/>
    <w:rsid w:val="006E7811"/>
    <w:rsid w:val="006F04DA"/>
    <w:rsid w:val="006F0557"/>
    <w:rsid w:val="006F0EA3"/>
    <w:rsid w:val="006F1B5D"/>
    <w:rsid w:val="006F212B"/>
    <w:rsid w:val="006F2363"/>
    <w:rsid w:val="006F37F7"/>
    <w:rsid w:val="006F4A61"/>
    <w:rsid w:val="006F4ADC"/>
    <w:rsid w:val="006F643D"/>
    <w:rsid w:val="006F675C"/>
    <w:rsid w:val="006F6D13"/>
    <w:rsid w:val="006F7759"/>
    <w:rsid w:val="006F7D95"/>
    <w:rsid w:val="00700D41"/>
    <w:rsid w:val="00701809"/>
    <w:rsid w:val="00701B21"/>
    <w:rsid w:val="00702384"/>
    <w:rsid w:val="00702481"/>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2EF"/>
    <w:rsid w:val="00754D5D"/>
    <w:rsid w:val="00756551"/>
    <w:rsid w:val="00757769"/>
    <w:rsid w:val="0076067E"/>
    <w:rsid w:val="00761BFD"/>
    <w:rsid w:val="00761D5C"/>
    <w:rsid w:val="00761FE5"/>
    <w:rsid w:val="00762476"/>
    <w:rsid w:val="00762A18"/>
    <w:rsid w:val="00763AE2"/>
    <w:rsid w:val="007644F9"/>
    <w:rsid w:val="0076467D"/>
    <w:rsid w:val="007654B8"/>
    <w:rsid w:val="00766D90"/>
    <w:rsid w:val="00767C19"/>
    <w:rsid w:val="00767D4E"/>
    <w:rsid w:val="00770366"/>
    <w:rsid w:val="00771067"/>
    <w:rsid w:val="007722DE"/>
    <w:rsid w:val="007722ED"/>
    <w:rsid w:val="0077408B"/>
    <w:rsid w:val="00774AF6"/>
    <w:rsid w:val="00774EC8"/>
    <w:rsid w:val="00776781"/>
    <w:rsid w:val="007776CC"/>
    <w:rsid w:val="00777A5A"/>
    <w:rsid w:val="00777CE9"/>
    <w:rsid w:val="00780D05"/>
    <w:rsid w:val="00782E14"/>
    <w:rsid w:val="00782ED1"/>
    <w:rsid w:val="00783C7B"/>
    <w:rsid w:val="0078556C"/>
    <w:rsid w:val="007855C5"/>
    <w:rsid w:val="007856D3"/>
    <w:rsid w:val="00785ABD"/>
    <w:rsid w:val="007860C6"/>
    <w:rsid w:val="00786254"/>
    <w:rsid w:val="00786DB0"/>
    <w:rsid w:val="00787D47"/>
    <w:rsid w:val="0079014E"/>
    <w:rsid w:val="0079148B"/>
    <w:rsid w:val="00792971"/>
    <w:rsid w:val="0079356B"/>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07"/>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B7422"/>
    <w:rsid w:val="007C27FB"/>
    <w:rsid w:val="007C2CBB"/>
    <w:rsid w:val="007C309C"/>
    <w:rsid w:val="007C4209"/>
    <w:rsid w:val="007C5EB9"/>
    <w:rsid w:val="007C7449"/>
    <w:rsid w:val="007C7EA5"/>
    <w:rsid w:val="007D1A95"/>
    <w:rsid w:val="007D245E"/>
    <w:rsid w:val="007D3764"/>
    <w:rsid w:val="007D485A"/>
    <w:rsid w:val="007D4C23"/>
    <w:rsid w:val="007D54FF"/>
    <w:rsid w:val="007D57D4"/>
    <w:rsid w:val="007D6315"/>
    <w:rsid w:val="007D724A"/>
    <w:rsid w:val="007D75A3"/>
    <w:rsid w:val="007E16E2"/>
    <w:rsid w:val="007E19FE"/>
    <w:rsid w:val="007E1AAC"/>
    <w:rsid w:val="007E3B9C"/>
    <w:rsid w:val="007E3D64"/>
    <w:rsid w:val="007E4A2F"/>
    <w:rsid w:val="007E4D66"/>
    <w:rsid w:val="007E52FF"/>
    <w:rsid w:val="007E5C4A"/>
    <w:rsid w:val="007E6915"/>
    <w:rsid w:val="007E74CA"/>
    <w:rsid w:val="007E7AD3"/>
    <w:rsid w:val="007F0070"/>
    <w:rsid w:val="007F010D"/>
    <w:rsid w:val="007F0441"/>
    <w:rsid w:val="007F0E99"/>
    <w:rsid w:val="007F1A4C"/>
    <w:rsid w:val="007F20F1"/>
    <w:rsid w:val="007F4224"/>
    <w:rsid w:val="007F4DD2"/>
    <w:rsid w:val="007F4FB9"/>
    <w:rsid w:val="007F7022"/>
    <w:rsid w:val="007F7690"/>
    <w:rsid w:val="007F7F57"/>
    <w:rsid w:val="008011CC"/>
    <w:rsid w:val="00801404"/>
    <w:rsid w:val="008017AA"/>
    <w:rsid w:val="00801CBA"/>
    <w:rsid w:val="00801D92"/>
    <w:rsid w:val="00804BCF"/>
    <w:rsid w:val="00804FA4"/>
    <w:rsid w:val="00805275"/>
    <w:rsid w:val="00806A62"/>
    <w:rsid w:val="00806E55"/>
    <w:rsid w:val="008075AF"/>
    <w:rsid w:val="008075CE"/>
    <w:rsid w:val="00811311"/>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611"/>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F62"/>
    <w:rsid w:val="0084093F"/>
    <w:rsid w:val="0084098A"/>
    <w:rsid w:val="00840DB0"/>
    <w:rsid w:val="00840EDE"/>
    <w:rsid w:val="00840FD7"/>
    <w:rsid w:val="008418A5"/>
    <w:rsid w:val="00842871"/>
    <w:rsid w:val="00843548"/>
    <w:rsid w:val="0084383C"/>
    <w:rsid w:val="00843CC0"/>
    <w:rsid w:val="00844ADD"/>
    <w:rsid w:val="0084534E"/>
    <w:rsid w:val="00846062"/>
    <w:rsid w:val="0084741F"/>
    <w:rsid w:val="008474C1"/>
    <w:rsid w:val="00847C1C"/>
    <w:rsid w:val="0085055E"/>
    <w:rsid w:val="00850C3B"/>
    <w:rsid w:val="00851605"/>
    <w:rsid w:val="00852CA0"/>
    <w:rsid w:val="00852D85"/>
    <w:rsid w:val="00852F6C"/>
    <w:rsid w:val="00853CD1"/>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B3C"/>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87E34"/>
    <w:rsid w:val="00890277"/>
    <w:rsid w:val="0089061A"/>
    <w:rsid w:val="008915C6"/>
    <w:rsid w:val="00891677"/>
    <w:rsid w:val="008927BD"/>
    <w:rsid w:val="00892DB5"/>
    <w:rsid w:val="00894B61"/>
    <w:rsid w:val="00895255"/>
    <w:rsid w:val="008955D6"/>
    <w:rsid w:val="00895DF1"/>
    <w:rsid w:val="00896645"/>
    <w:rsid w:val="008975D2"/>
    <w:rsid w:val="008A035B"/>
    <w:rsid w:val="008A0459"/>
    <w:rsid w:val="008A1218"/>
    <w:rsid w:val="008A15B6"/>
    <w:rsid w:val="008A1A6E"/>
    <w:rsid w:val="008A202A"/>
    <w:rsid w:val="008A36C9"/>
    <w:rsid w:val="008A5AF9"/>
    <w:rsid w:val="008A7E79"/>
    <w:rsid w:val="008B16DE"/>
    <w:rsid w:val="008B1CB9"/>
    <w:rsid w:val="008B251F"/>
    <w:rsid w:val="008B2602"/>
    <w:rsid w:val="008B2727"/>
    <w:rsid w:val="008B2E5E"/>
    <w:rsid w:val="008B316B"/>
    <w:rsid w:val="008B5059"/>
    <w:rsid w:val="008B5BF2"/>
    <w:rsid w:val="008B6934"/>
    <w:rsid w:val="008B6CF8"/>
    <w:rsid w:val="008B72F6"/>
    <w:rsid w:val="008C1183"/>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8D"/>
    <w:rsid w:val="008D33C8"/>
    <w:rsid w:val="008D3893"/>
    <w:rsid w:val="008D45CD"/>
    <w:rsid w:val="008D55F1"/>
    <w:rsid w:val="008D5CD7"/>
    <w:rsid w:val="008D7187"/>
    <w:rsid w:val="008D718E"/>
    <w:rsid w:val="008D73AE"/>
    <w:rsid w:val="008E051B"/>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628"/>
    <w:rsid w:val="008F7800"/>
    <w:rsid w:val="008F7BCA"/>
    <w:rsid w:val="00900F4D"/>
    <w:rsid w:val="0090167B"/>
    <w:rsid w:val="00902DEC"/>
    <w:rsid w:val="0090342B"/>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E0D"/>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EC3"/>
    <w:rsid w:val="00954596"/>
    <w:rsid w:val="00955054"/>
    <w:rsid w:val="00955851"/>
    <w:rsid w:val="00957E23"/>
    <w:rsid w:val="00961487"/>
    <w:rsid w:val="00961BA7"/>
    <w:rsid w:val="00961F01"/>
    <w:rsid w:val="00962162"/>
    <w:rsid w:val="009623BC"/>
    <w:rsid w:val="009628BE"/>
    <w:rsid w:val="009631C8"/>
    <w:rsid w:val="00963AE4"/>
    <w:rsid w:val="00963C14"/>
    <w:rsid w:val="009645CD"/>
    <w:rsid w:val="00965232"/>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0C70"/>
    <w:rsid w:val="009810E9"/>
    <w:rsid w:val="00981308"/>
    <w:rsid w:val="0098141C"/>
    <w:rsid w:val="00981AA9"/>
    <w:rsid w:val="00981C91"/>
    <w:rsid w:val="00983132"/>
    <w:rsid w:val="00983314"/>
    <w:rsid w:val="00983DF2"/>
    <w:rsid w:val="0098433A"/>
    <w:rsid w:val="00984622"/>
    <w:rsid w:val="00985675"/>
    <w:rsid w:val="00985939"/>
    <w:rsid w:val="0098637F"/>
    <w:rsid w:val="00986A9B"/>
    <w:rsid w:val="00986B9C"/>
    <w:rsid w:val="00987BAB"/>
    <w:rsid w:val="009906BF"/>
    <w:rsid w:val="00991210"/>
    <w:rsid w:val="009913F3"/>
    <w:rsid w:val="00991DA1"/>
    <w:rsid w:val="009927F1"/>
    <w:rsid w:val="009936C4"/>
    <w:rsid w:val="009948ED"/>
    <w:rsid w:val="00995ADA"/>
    <w:rsid w:val="0099643A"/>
    <w:rsid w:val="00997959"/>
    <w:rsid w:val="009A0BAF"/>
    <w:rsid w:val="009A1431"/>
    <w:rsid w:val="009A153D"/>
    <w:rsid w:val="009A1634"/>
    <w:rsid w:val="009A35B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7FB"/>
    <w:rsid w:val="009E49AE"/>
    <w:rsid w:val="009E4DC7"/>
    <w:rsid w:val="009E660A"/>
    <w:rsid w:val="009E6678"/>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9CF"/>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7BB8"/>
    <w:rsid w:val="00A509FB"/>
    <w:rsid w:val="00A51C19"/>
    <w:rsid w:val="00A51E04"/>
    <w:rsid w:val="00A521AF"/>
    <w:rsid w:val="00A522B5"/>
    <w:rsid w:val="00A523D9"/>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8E1"/>
    <w:rsid w:val="00A60E72"/>
    <w:rsid w:val="00A61F0C"/>
    <w:rsid w:val="00A61FF0"/>
    <w:rsid w:val="00A62580"/>
    <w:rsid w:val="00A63AC9"/>
    <w:rsid w:val="00A64502"/>
    <w:rsid w:val="00A64B5F"/>
    <w:rsid w:val="00A65C00"/>
    <w:rsid w:val="00A65EA0"/>
    <w:rsid w:val="00A66517"/>
    <w:rsid w:val="00A67B0E"/>
    <w:rsid w:val="00A718EF"/>
    <w:rsid w:val="00A72134"/>
    <w:rsid w:val="00A72389"/>
    <w:rsid w:val="00A726A8"/>
    <w:rsid w:val="00A72951"/>
    <w:rsid w:val="00A73505"/>
    <w:rsid w:val="00A74851"/>
    <w:rsid w:val="00A75E02"/>
    <w:rsid w:val="00A76E79"/>
    <w:rsid w:val="00A7771B"/>
    <w:rsid w:val="00A77B53"/>
    <w:rsid w:val="00A811F1"/>
    <w:rsid w:val="00A8175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D80"/>
    <w:rsid w:val="00AA6E05"/>
    <w:rsid w:val="00AB0262"/>
    <w:rsid w:val="00AB14A1"/>
    <w:rsid w:val="00AB1869"/>
    <w:rsid w:val="00AB202A"/>
    <w:rsid w:val="00AB3655"/>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AB"/>
    <w:rsid w:val="00AD19E8"/>
    <w:rsid w:val="00AD1A5E"/>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3D8F"/>
    <w:rsid w:val="00AE4189"/>
    <w:rsid w:val="00AE503A"/>
    <w:rsid w:val="00AE68E2"/>
    <w:rsid w:val="00AF0157"/>
    <w:rsid w:val="00AF2EC7"/>
    <w:rsid w:val="00AF3549"/>
    <w:rsid w:val="00AF3AC0"/>
    <w:rsid w:val="00AF4981"/>
    <w:rsid w:val="00AF4F4A"/>
    <w:rsid w:val="00AF6B57"/>
    <w:rsid w:val="00B00C24"/>
    <w:rsid w:val="00B00F93"/>
    <w:rsid w:val="00B01BBE"/>
    <w:rsid w:val="00B03F92"/>
    <w:rsid w:val="00B055D8"/>
    <w:rsid w:val="00B06CD6"/>
    <w:rsid w:val="00B06EBC"/>
    <w:rsid w:val="00B11D2D"/>
    <w:rsid w:val="00B123F0"/>
    <w:rsid w:val="00B12891"/>
    <w:rsid w:val="00B13E90"/>
    <w:rsid w:val="00B146C1"/>
    <w:rsid w:val="00B146E7"/>
    <w:rsid w:val="00B156DF"/>
    <w:rsid w:val="00B15ABB"/>
    <w:rsid w:val="00B16973"/>
    <w:rsid w:val="00B2036A"/>
    <w:rsid w:val="00B21057"/>
    <w:rsid w:val="00B2202B"/>
    <w:rsid w:val="00B23422"/>
    <w:rsid w:val="00B24948"/>
    <w:rsid w:val="00B24CBD"/>
    <w:rsid w:val="00B25CA3"/>
    <w:rsid w:val="00B30028"/>
    <w:rsid w:val="00B31343"/>
    <w:rsid w:val="00B31E8D"/>
    <w:rsid w:val="00B3313B"/>
    <w:rsid w:val="00B331E8"/>
    <w:rsid w:val="00B331EA"/>
    <w:rsid w:val="00B34732"/>
    <w:rsid w:val="00B353B8"/>
    <w:rsid w:val="00B35C56"/>
    <w:rsid w:val="00B36CC4"/>
    <w:rsid w:val="00B36F17"/>
    <w:rsid w:val="00B372ED"/>
    <w:rsid w:val="00B37741"/>
    <w:rsid w:val="00B40603"/>
    <w:rsid w:val="00B40AF6"/>
    <w:rsid w:val="00B40EF6"/>
    <w:rsid w:val="00B41071"/>
    <w:rsid w:val="00B425C0"/>
    <w:rsid w:val="00B42DB6"/>
    <w:rsid w:val="00B43770"/>
    <w:rsid w:val="00B46957"/>
    <w:rsid w:val="00B47B54"/>
    <w:rsid w:val="00B50E99"/>
    <w:rsid w:val="00B51926"/>
    <w:rsid w:val="00B51E4C"/>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5E4"/>
    <w:rsid w:val="00B765A0"/>
    <w:rsid w:val="00B76C02"/>
    <w:rsid w:val="00B76FE0"/>
    <w:rsid w:val="00B77BD2"/>
    <w:rsid w:val="00B814CB"/>
    <w:rsid w:val="00B81B6A"/>
    <w:rsid w:val="00B820F4"/>
    <w:rsid w:val="00B835E0"/>
    <w:rsid w:val="00B8396D"/>
    <w:rsid w:val="00B90331"/>
    <w:rsid w:val="00B903ED"/>
    <w:rsid w:val="00B90B2D"/>
    <w:rsid w:val="00B935A1"/>
    <w:rsid w:val="00B947C6"/>
    <w:rsid w:val="00B95DAD"/>
    <w:rsid w:val="00B96C0C"/>
    <w:rsid w:val="00B9734D"/>
    <w:rsid w:val="00B97732"/>
    <w:rsid w:val="00BA0D46"/>
    <w:rsid w:val="00BA114D"/>
    <w:rsid w:val="00BA27F4"/>
    <w:rsid w:val="00BA2E40"/>
    <w:rsid w:val="00BA3CB7"/>
    <w:rsid w:val="00BA41DE"/>
    <w:rsid w:val="00BA556C"/>
    <w:rsid w:val="00BB03B3"/>
    <w:rsid w:val="00BB0F31"/>
    <w:rsid w:val="00BB15AB"/>
    <w:rsid w:val="00BB189B"/>
    <w:rsid w:val="00BB1D21"/>
    <w:rsid w:val="00BB2687"/>
    <w:rsid w:val="00BB2E51"/>
    <w:rsid w:val="00BB4BEA"/>
    <w:rsid w:val="00BB4C1A"/>
    <w:rsid w:val="00BB50AB"/>
    <w:rsid w:val="00BB6117"/>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4D4"/>
    <w:rsid w:val="00BE2702"/>
    <w:rsid w:val="00BE4326"/>
    <w:rsid w:val="00BE5F4F"/>
    <w:rsid w:val="00BE60DB"/>
    <w:rsid w:val="00BF0191"/>
    <w:rsid w:val="00BF13EC"/>
    <w:rsid w:val="00BF1B4F"/>
    <w:rsid w:val="00BF1C07"/>
    <w:rsid w:val="00BF3DEE"/>
    <w:rsid w:val="00BF3F4D"/>
    <w:rsid w:val="00BF54AC"/>
    <w:rsid w:val="00BF54BD"/>
    <w:rsid w:val="00BF6B8E"/>
    <w:rsid w:val="00C025A5"/>
    <w:rsid w:val="00C03C78"/>
    <w:rsid w:val="00C04FD3"/>
    <w:rsid w:val="00C065A2"/>
    <w:rsid w:val="00C0725F"/>
    <w:rsid w:val="00C07919"/>
    <w:rsid w:val="00C07FCC"/>
    <w:rsid w:val="00C103F9"/>
    <w:rsid w:val="00C104AC"/>
    <w:rsid w:val="00C110E1"/>
    <w:rsid w:val="00C11896"/>
    <w:rsid w:val="00C1198F"/>
    <w:rsid w:val="00C11FA1"/>
    <w:rsid w:val="00C12E21"/>
    <w:rsid w:val="00C12E65"/>
    <w:rsid w:val="00C13C20"/>
    <w:rsid w:val="00C13F74"/>
    <w:rsid w:val="00C146D3"/>
    <w:rsid w:val="00C163EC"/>
    <w:rsid w:val="00C16BE0"/>
    <w:rsid w:val="00C17225"/>
    <w:rsid w:val="00C21C39"/>
    <w:rsid w:val="00C2325C"/>
    <w:rsid w:val="00C239ED"/>
    <w:rsid w:val="00C24D9D"/>
    <w:rsid w:val="00C258E8"/>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A2D"/>
    <w:rsid w:val="00C45CE8"/>
    <w:rsid w:val="00C46F06"/>
    <w:rsid w:val="00C4719A"/>
    <w:rsid w:val="00C47DA6"/>
    <w:rsid w:val="00C50986"/>
    <w:rsid w:val="00C50ABF"/>
    <w:rsid w:val="00C50EF2"/>
    <w:rsid w:val="00C51256"/>
    <w:rsid w:val="00C51566"/>
    <w:rsid w:val="00C516B7"/>
    <w:rsid w:val="00C516C4"/>
    <w:rsid w:val="00C51C1F"/>
    <w:rsid w:val="00C51DB2"/>
    <w:rsid w:val="00C5214A"/>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2E7C"/>
    <w:rsid w:val="00C650DB"/>
    <w:rsid w:val="00C657B5"/>
    <w:rsid w:val="00C661E1"/>
    <w:rsid w:val="00C66686"/>
    <w:rsid w:val="00C678C4"/>
    <w:rsid w:val="00C71215"/>
    <w:rsid w:val="00C7216B"/>
    <w:rsid w:val="00C727BE"/>
    <w:rsid w:val="00C732A9"/>
    <w:rsid w:val="00C73448"/>
    <w:rsid w:val="00C73E2E"/>
    <w:rsid w:val="00C74546"/>
    <w:rsid w:val="00C748E2"/>
    <w:rsid w:val="00C75A39"/>
    <w:rsid w:val="00C7776C"/>
    <w:rsid w:val="00C77F97"/>
    <w:rsid w:val="00C8398D"/>
    <w:rsid w:val="00C84BC2"/>
    <w:rsid w:val="00C85139"/>
    <w:rsid w:val="00C853D5"/>
    <w:rsid w:val="00C85657"/>
    <w:rsid w:val="00C91C88"/>
    <w:rsid w:val="00C939C3"/>
    <w:rsid w:val="00C94228"/>
    <w:rsid w:val="00C96D56"/>
    <w:rsid w:val="00C977E6"/>
    <w:rsid w:val="00CA0020"/>
    <w:rsid w:val="00CA0B2E"/>
    <w:rsid w:val="00CA0CE2"/>
    <w:rsid w:val="00CA18CA"/>
    <w:rsid w:val="00CA2557"/>
    <w:rsid w:val="00CA378C"/>
    <w:rsid w:val="00CA5413"/>
    <w:rsid w:val="00CA5674"/>
    <w:rsid w:val="00CA5BDA"/>
    <w:rsid w:val="00CA5C1A"/>
    <w:rsid w:val="00CA633F"/>
    <w:rsid w:val="00CA641E"/>
    <w:rsid w:val="00CA7449"/>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15B1"/>
    <w:rsid w:val="00CD23AE"/>
    <w:rsid w:val="00CD27DF"/>
    <w:rsid w:val="00CD2D8A"/>
    <w:rsid w:val="00CD3BAC"/>
    <w:rsid w:val="00CD3FF2"/>
    <w:rsid w:val="00CD4A65"/>
    <w:rsid w:val="00CD531F"/>
    <w:rsid w:val="00CD6AE5"/>
    <w:rsid w:val="00CD6FA3"/>
    <w:rsid w:val="00CE2184"/>
    <w:rsid w:val="00CE3B7F"/>
    <w:rsid w:val="00CE3FA2"/>
    <w:rsid w:val="00CE41A0"/>
    <w:rsid w:val="00CE4958"/>
    <w:rsid w:val="00CE68AA"/>
    <w:rsid w:val="00CE68E2"/>
    <w:rsid w:val="00CE706E"/>
    <w:rsid w:val="00CE70B1"/>
    <w:rsid w:val="00CE7AE4"/>
    <w:rsid w:val="00CF0A4C"/>
    <w:rsid w:val="00CF150A"/>
    <w:rsid w:val="00CF2225"/>
    <w:rsid w:val="00CF25E7"/>
    <w:rsid w:val="00CF3C77"/>
    <w:rsid w:val="00CF45A2"/>
    <w:rsid w:val="00CF5187"/>
    <w:rsid w:val="00CF52E7"/>
    <w:rsid w:val="00CF619E"/>
    <w:rsid w:val="00CF64B5"/>
    <w:rsid w:val="00CF7853"/>
    <w:rsid w:val="00D004ED"/>
    <w:rsid w:val="00D01ACE"/>
    <w:rsid w:val="00D020EF"/>
    <w:rsid w:val="00D0260F"/>
    <w:rsid w:val="00D03708"/>
    <w:rsid w:val="00D04F7F"/>
    <w:rsid w:val="00D06776"/>
    <w:rsid w:val="00D06E46"/>
    <w:rsid w:val="00D06F95"/>
    <w:rsid w:val="00D1158C"/>
    <w:rsid w:val="00D11600"/>
    <w:rsid w:val="00D119A2"/>
    <w:rsid w:val="00D12E31"/>
    <w:rsid w:val="00D137F9"/>
    <w:rsid w:val="00D1437A"/>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F9A"/>
    <w:rsid w:val="00D301FF"/>
    <w:rsid w:val="00D3257F"/>
    <w:rsid w:val="00D340E2"/>
    <w:rsid w:val="00D36887"/>
    <w:rsid w:val="00D37563"/>
    <w:rsid w:val="00D379EB"/>
    <w:rsid w:val="00D400B8"/>
    <w:rsid w:val="00D4022C"/>
    <w:rsid w:val="00D41023"/>
    <w:rsid w:val="00D41A10"/>
    <w:rsid w:val="00D41C6C"/>
    <w:rsid w:val="00D42465"/>
    <w:rsid w:val="00D42E5B"/>
    <w:rsid w:val="00D439D1"/>
    <w:rsid w:val="00D43C68"/>
    <w:rsid w:val="00D444B2"/>
    <w:rsid w:val="00D453E4"/>
    <w:rsid w:val="00D46FA0"/>
    <w:rsid w:val="00D47226"/>
    <w:rsid w:val="00D50B21"/>
    <w:rsid w:val="00D51349"/>
    <w:rsid w:val="00D527AF"/>
    <w:rsid w:val="00D529E1"/>
    <w:rsid w:val="00D534C2"/>
    <w:rsid w:val="00D5410F"/>
    <w:rsid w:val="00D564DF"/>
    <w:rsid w:val="00D56E54"/>
    <w:rsid w:val="00D576DD"/>
    <w:rsid w:val="00D57CB4"/>
    <w:rsid w:val="00D61477"/>
    <w:rsid w:val="00D619E2"/>
    <w:rsid w:val="00D61E26"/>
    <w:rsid w:val="00D62036"/>
    <w:rsid w:val="00D620CC"/>
    <w:rsid w:val="00D634B8"/>
    <w:rsid w:val="00D63EF3"/>
    <w:rsid w:val="00D64441"/>
    <w:rsid w:val="00D65497"/>
    <w:rsid w:val="00D654DA"/>
    <w:rsid w:val="00D6609E"/>
    <w:rsid w:val="00D667A9"/>
    <w:rsid w:val="00D67A9F"/>
    <w:rsid w:val="00D67C20"/>
    <w:rsid w:val="00D70C1B"/>
    <w:rsid w:val="00D70E5C"/>
    <w:rsid w:val="00D7146C"/>
    <w:rsid w:val="00D718CD"/>
    <w:rsid w:val="00D7416F"/>
    <w:rsid w:val="00D755F2"/>
    <w:rsid w:val="00D762AC"/>
    <w:rsid w:val="00D76C45"/>
    <w:rsid w:val="00D775E7"/>
    <w:rsid w:val="00D77B9E"/>
    <w:rsid w:val="00D81A4E"/>
    <w:rsid w:val="00D81CA9"/>
    <w:rsid w:val="00D839D8"/>
    <w:rsid w:val="00D83F9E"/>
    <w:rsid w:val="00D840C2"/>
    <w:rsid w:val="00D84562"/>
    <w:rsid w:val="00D84726"/>
    <w:rsid w:val="00D85C16"/>
    <w:rsid w:val="00D86169"/>
    <w:rsid w:val="00D8732E"/>
    <w:rsid w:val="00D8756F"/>
    <w:rsid w:val="00D91294"/>
    <w:rsid w:val="00D9186A"/>
    <w:rsid w:val="00D92122"/>
    <w:rsid w:val="00D92D47"/>
    <w:rsid w:val="00D93B18"/>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A4D"/>
    <w:rsid w:val="00DC6DF6"/>
    <w:rsid w:val="00DC7BFE"/>
    <w:rsid w:val="00DD08C7"/>
    <w:rsid w:val="00DD1A10"/>
    <w:rsid w:val="00DD200D"/>
    <w:rsid w:val="00DD2983"/>
    <w:rsid w:val="00DD2990"/>
    <w:rsid w:val="00DD2FE9"/>
    <w:rsid w:val="00DD3A7E"/>
    <w:rsid w:val="00DD434E"/>
    <w:rsid w:val="00DD4402"/>
    <w:rsid w:val="00DD60D0"/>
    <w:rsid w:val="00DD6200"/>
    <w:rsid w:val="00DD686C"/>
    <w:rsid w:val="00DD6E86"/>
    <w:rsid w:val="00DE0E5D"/>
    <w:rsid w:val="00DE3CDF"/>
    <w:rsid w:val="00DE447F"/>
    <w:rsid w:val="00DE48F0"/>
    <w:rsid w:val="00DE4A77"/>
    <w:rsid w:val="00DE68EE"/>
    <w:rsid w:val="00DE6D24"/>
    <w:rsid w:val="00DE7285"/>
    <w:rsid w:val="00DE7C40"/>
    <w:rsid w:val="00DF0A37"/>
    <w:rsid w:val="00DF0EA5"/>
    <w:rsid w:val="00DF1F1D"/>
    <w:rsid w:val="00DF23A5"/>
    <w:rsid w:val="00DF4C6E"/>
    <w:rsid w:val="00DF6666"/>
    <w:rsid w:val="00DF745E"/>
    <w:rsid w:val="00DF762E"/>
    <w:rsid w:val="00E0044E"/>
    <w:rsid w:val="00E00816"/>
    <w:rsid w:val="00E0239F"/>
    <w:rsid w:val="00E0267B"/>
    <w:rsid w:val="00E02FE4"/>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842"/>
    <w:rsid w:val="00E24287"/>
    <w:rsid w:val="00E3013E"/>
    <w:rsid w:val="00E31367"/>
    <w:rsid w:val="00E3181C"/>
    <w:rsid w:val="00E31901"/>
    <w:rsid w:val="00E32EF3"/>
    <w:rsid w:val="00E33E21"/>
    <w:rsid w:val="00E34BC4"/>
    <w:rsid w:val="00E3540C"/>
    <w:rsid w:val="00E36187"/>
    <w:rsid w:val="00E36332"/>
    <w:rsid w:val="00E36C9B"/>
    <w:rsid w:val="00E37638"/>
    <w:rsid w:val="00E37E9D"/>
    <w:rsid w:val="00E41B71"/>
    <w:rsid w:val="00E42569"/>
    <w:rsid w:val="00E434A0"/>
    <w:rsid w:val="00E44392"/>
    <w:rsid w:val="00E44D30"/>
    <w:rsid w:val="00E4597F"/>
    <w:rsid w:val="00E46CB7"/>
    <w:rsid w:val="00E4723D"/>
    <w:rsid w:val="00E5077C"/>
    <w:rsid w:val="00E50EC8"/>
    <w:rsid w:val="00E50FFE"/>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DA6"/>
    <w:rsid w:val="00E73FC2"/>
    <w:rsid w:val="00E74481"/>
    <w:rsid w:val="00E74517"/>
    <w:rsid w:val="00E755D7"/>
    <w:rsid w:val="00E7566D"/>
    <w:rsid w:val="00E75B0F"/>
    <w:rsid w:val="00E76E91"/>
    <w:rsid w:val="00E774B4"/>
    <w:rsid w:val="00E778F5"/>
    <w:rsid w:val="00E80E7C"/>
    <w:rsid w:val="00E81779"/>
    <w:rsid w:val="00E8205B"/>
    <w:rsid w:val="00E82444"/>
    <w:rsid w:val="00E8341C"/>
    <w:rsid w:val="00E8602B"/>
    <w:rsid w:val="00E86315"/>
    <w:rsid w:val="00E86B5F"/>
    <w:rsid w:val="00E87D05"/>
    <w:rsid w:val="00E91F96"/>
    <w:rsid w:val="00E92E99"/>
    <w:rsid w:val="00E947C2"/>
    <w:rsid w:val="00E968FD"/>
    <w:rsid w:val="00E96C84"/>
    <w:rsid w:val="00E96D55"/>
    <w:rsid w:val="00E97993"/>
    <w:rsid w:val="00EA0D5D"/>
    <w:rsid w:val="00EA1192"/>
    <w:rsid w:val="00EA153F"/>
    <w:rsid w:val="00EA2788"/>
    <w:rsid w:val="00EA2C6E"/>
    <w:rsid w:val="00EA4964"/>
    <w:rsid w:val="00EA4F1A"/>
    <w:rsid w:val="00EA7F7F"/>
    <w:rsid w:val="00EB02DE"/>
    <w:rsid w:val="00EB0A07"/>
    <w:rsid w:val="00EB0A74"/>
    <w:rsid w:val="00EB1B69"/>
    <w:rsid w:val="00EB1C78"/>
    <w:rsid w:val="00EB2824"/>
    <w:rsid w:val="00EB3B46"/>
    <w:rsid w:val="00EB4F08"/>
    <w:rsid w:val="00EC0FD6"/>
    <w:rsid w:val="00EC2E07"/>
    <w:rsid w:val="00EC43C7"/>
    <w:rsid w:val="00EC465D"/>
    <w:rsid w:val="00EC5C89"/>
    <w:rsid w:val="00EC66D2"/>
    <w:rsid w:val="00EC67E7"/>
    <w:rsid w:val="00ED0A1B"/>
    <w:rsid w:val="00ED21BC"/>
    <w:rsid w:val="00ED2DD9"/>
    <w:rsid w:val="00ED2FEC"/>
    <w:rsid w:val="00ED3F67"/>
    <w:rsid w:val="00ED440A"/>
    <w:rsid w:val="00ED571D"/>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6D22"/>
    <w:rsid w:val="00EF7A15"/>
    <w:rsid w:val="00F01F8C"/>
    <w:rsid w:val="00F035A6"/>
    <w:rsid w:val="00F04289"/>
    <w:rsid w:val="00F04AD0"/>
    <w:rsid w:val="00F10033"/>
    <w:rsid w:val="00F10848"/>
    <w:rsid w:val="00F10B68"/>
    <w:rsid w:val="00F11F55"/>
    <w:rsid w:val="00F12DEC"/>
    <w:rsid w:val="00F13151"/>
    <w:rsid w:val="00F15001"/>
    <w:rsid w:val="00F15523"/>
    <w:rsid w:val="00F155C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62D9"/>
    <w:rsid w:val="00F37004"/>
    <w:rsid w:val="00F376A1"/>
    <w:rsid w:val="00F37B8E"/>
    <w:rsid w:val="00F41746"/>
    <w:rsid w:val="00F41E79"/>
    <w:rsid w:val="00F4315F"/>
    <w:rsid w:val="00F445F6"/>
    <w:rsid w:val="00F44CF6"/>
    <w:rsid w:val="00F4512F"/>
    <w:rsid w:val="00F455D7"/>
    <w:rsid w:val="00F45763"/>
    <w:rsid w:val="00F45BCF"/>
    <w:rsid w:val="00F45BEA"/>
    <w:rsid w:val="00F45CFE"/>
    <w:rsid w:val="00F46877"/>
    <w:rsid w:val="00F47F3E"/>
    <w:rsid w:val="00F5301D"/>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09C1"/>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3D6D"/>
    <w:rsid w:val="00F96389"/>
    <w:rsid w:val="00F9650E"/>
    <w:rsid w:val="00F96B73"/>
    <w:rsid w:val="00F977C7"/>
    <w:rsid w:val="00FA0890"/>
    <w:rsid w:val="00FA164A"/>
    <w:rsid w:val="00FA3F3E"/>
    <w:rsid w:val="00FA4272"/>
    <w:rsid w:val="00FA4855"/>
    <w:rsid w:val="00FA4ACD"/>
    <w:rsid w:val="00FA5C98"/>
    <w:rsid w:val="00FA6428"/>
    <w:rsid w:val="00FA7144"/>
    <w:rsid w:val="00FA7184"/>
    <w:rsid w:val="00FB1D9D"/>
    <w:rsid w:val="00FB2CC6"/>
    <w:rsid w:val="00FB3304"/>
    <w:rsid w:val="00FB42E1"/>
    <w:rsid w:val="00FB46B8"/>
    <w:rsid w:val="00FB4B38"/>
    <w:rsid w:val="00FB534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5916"/>
    <w:rsid w:val="00FC6356"/>
    <w:rsid w:val="00FC73A8"/>
    <w:rsid w:val="00FC7D01"/>
    <w:rsid w:val="00FD0130"/>
    <w:rsid w:val="00FD0373"/>
    <w:rsid w:val="00FD0582"/>
    <w:rsid w:val="00FD09FB"/>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66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4B713-02DE-4506-A18E-CE1F4EF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6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C"/>
    <w:basedOn w:val="Normal"/>
    <w:link w:val="FootnoteTextChar"/>
    <w:uiPriority w:val="99"/>
    <w:unhideWhenUsed/>
    <w:qFormat/>
    <w:rsid w:val="00C163EC"/>
    <w:rPr>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C163EC"/>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C163EC"/>
    <w:rPr>
      <w:vertAlign w:val="superscript"/>
    </w:rPr>
  </w:style>
  <w:style w:type="paragraph" w:customStyle="1" w:styleId="Default">
    <w:name w:val="Default"/>
    <w:rsid w:val="007F7F57"/>
    <w:pPr>
      <w:autoSpaceDE w:val="0"/>
      <w:autoSpaceDN w:val="0"/>
      <w:adjustRightInd w:val="0"/>
    </w:pPr>
    <w:rPr>
      <w:color w:val="000000"/>
      <w:sz w:val="24"/>
      <w:szCs w:val="24"/>
    </w:rPr>
  </w:style>
  <w:style w:type="character" w:customStyle="1" w:styleId="hps">
    <w:name w:val="hps"/>
    <w:uiPriority w:val="99"/>
    <w:rsid w:val="0010769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05D34"/>
    <w:pPr>
      <w:spacing w:after="160" w:line="240" w:lineRule="exact"/>
      <w:jc w:val="both"/>
    </w:pPr>
    <w:rPr>
      <w:sz w:val="20"/>
      <w:szCs w:val="20"/>
      <w:vertAlign w:val="superscript"/>
    </w:rPr>
  </w:style>
  <w:style w:type="character" w:customStyle="1" w:styleId="ListParagraphChar">
    <w:name w:val="List Paragraph Char"/>
    <w:basedOn w:val="DefaultParagraphFont"/>
    <w:link w:val="ListParagraph"/>
    <w:uiPriority w:val="34"/>
    <w:rsid w:val="008F762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3712099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32013R130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ED21-D990-4AA9-BEBF-8A1A58AA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3154</Words>
  <Characters>22609</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25712</CharactersWithSpaces>
  <SharedDoc>false</SharedDoc>
  <HLinks>
    <vt:vector size="6" baseType="variant">
      <vt:variant>
        <vt:i4>5636181</vt:i4>
      </vt:variant>
      <vt:variant>
        <vt:i4>0</vt:i4>
      </vt:variant>
      <vt:variant>
        <vt:i4>0</vt:i4>
      </vt:variant>
      <vt:variant>
        <vt:i4>5</vt:i4>
      </vt:variant>
      <vt:variant>
        <vt:lpwstr>https://eur-lex.europa.eu/legal-content/LV/AUTO/?uri=celex:32013R1308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Aurika Stratane</cp:lastModifiedBy>
  <cp:revision>56</cp:revision>
  <cp:lastPrinted>2009-04-08T09:39:00Z</cp:lastPrinted>
  <dcterms:created xsi:type="dcterms:W3CDTF">2021-03-05T13:07:00Z</dcterms:created>
  <dcterms:modified xsi:type="dcterms:W3CDTF">2021-04-27T07:22:00Z</dcterms:modified>
</cp:coreProperties>
</file>