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79A99"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37D79A9A"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7D79A9C" w14:textId="77777777">
        <w:trPr>
          <w:jc w:val="center"/>
        </w:trPr>
        <w:tc>
          <w:tcPr>
            <w:tcW w:w="10188" w:type="dxa"/>
            <w:tcBorders>
              <w:bottom w:val="single" w:sz="6" w:space="0" w:color="000000"/>
            </w:tcBorders>
          </w:tcPr>
          <w:p w14:paraId="37D79A9B" w14:textId="27EE7297" w:rsidR="007116C7" w:rsidRPr="00712B66" w:rsidRDefault="00341D06" w:rsidP="00341D06">
            <w:pPr>
              <w:ind w:firstLine="720"/>
            </w:pPr>
            <w:r>
              <w:t>Par informatīvo ziņojumu “Par ietekmes izvērtēšanas sistēmas pilnveidi”</w:t>
            </w:r>
          </w:p>
        </w:tc>
      </w:tr>
    </w:tbl>
    <w:p w14:paraId="37D79A9D" w14:textId="77777777" w:rsidR="007116C7" w:rsidRPr="00712B66" w:rsidRDefault="007116C7" w:rsidP="009623BC">
      <w:pPr>
        <w:pStyle w:val="naisc"/>
        <w:spacing w:before="0" w:after="0"/>
        <w:ind w:firstLine="1080"/>
      </w:pPr>
      <w:r w:rsidRPr="00712B66">
        <w:t>(dokumenta veids un nosaukums)</w:t>
      </w:r>
    </w:p>
    <w:p w14:paraId="37D79A9E" w14:textId="77777777" w:rsidR="007B4C0F" w:rsidRPr="00712B66" w:rsidRDefault="007B4C0F" w:rsidP="00DB7395">
      <w:pPr>
        <w:pStyle w:val="naisf"/>
        <w:spacing w:before="0" w:after="0"/>
        <w:ind w:firstLine="720"/>
      </w:pPr>
    </w:p>
    <w:p w14:paraId="37D79A9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7D79AA0"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37D79AA7"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7D79AA1"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7D79AA2"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7D79AA3"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7D79AA4"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7D79AA5"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7D79AA6" w14:textId="77777777" w:rsidR="005F4BFD" w:rsidRPr="00712B66" w:rsidRDefault="005F4BFD" w:rsidP="00364BB6">
            <w:pPr>
              <w:jc w:val="center"/>
            </w:pPr>
            <w:r w:rsidRPr="00712B66">
              <w:t>Projekta attiecīgā punkta (panta) galīgā redakcija</w:t>
            </w:r>
          </w:p>
        </w:tc>
      </w:tr>
      <w:tr w:rsidR="005F4BFD" w:rsidRPr="008A36C9" w14:paraId="37D79AAE" w14:textId="77777777">
        <w:tc>
          <w:tcPr>
            <w:tcW w:w="708" w:type="dxa"/>
            <w:tcBorders>
              <w:top w:val="single" w:sz="6" w:space="0" w:color="000000"/>
              <w:left w:val="single" w:sz="6" w:space="0" w:color="000000"/>
              <w:bottom w:val="single" w:sz="6" w:space="0" w:color="000000"/>
              <w:right w:val="single" w:sz="6" w:space="0" w:color="000000"/>
            </w:tcBorders>
          </w:tcPr>
          <w:p w14:paraId="37D79AA8"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7D79AA9"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7D79AAA"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7D79AAB"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7D79AAC"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37D79AAD" w14:textId="77777777" w:rsidR="005F4BFD" w:rsidRPr="008A36C9" w:rsidRDefault="008A36C9" w:rsidP="008A36C9">
            <w:pPr>
              <w:jc w:val="center"/>
              <w:rPr>
                <w:sz w:val="20"/>
                <w:szCs w:val="20"/>
              </w:rPr>
            </w:pPr>
            <w:r w:rsidRPr="008A36C9">
              <w:rPr>
                <w:sz w:val="20"/>
                <w:szCs w:val="20"/>
              </w:rPr>
              <w:t>6</w:t>
            </w:r>
          </w:p>
        </w:tc>
      </w:tr>
      <w:tr w:rsidR="005F4BFD" w:rsidRPr="00712B66" w14:paraId="37D79AB5" w14:textId="77777777">
        <w:tc>
          <w:tcPr>
            <w:tcW w:w="708" w:type="dxa"/>
            <w:tcBorders>
              <w:left w:val="single" w:sz="6" w:space="0" w:color="000000"/>
              <w:bottom w:val="single" w:sz="4" w:space="0" w:color="auto"/>
              <w:right w:val="single" w:sz="6" w:space="0" w:color="000000"/>
            </w:tcBorders>
          </w:tcPr>
          <w:p w14:paraId="37D79AAF"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37D79AB0"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7D79AB1"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37D79AB2"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37D79AB3"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37D79AB4" w14:textId="77777777" w:rsidR="005F4BFD" w:rsidRPr="00712B66" w:rsidRDefault="005F4BFD" w:rsidP="0036160E"/>
        </w:tc>
      </w:tr>
      <w:tr w:rsidR="008A36C9" w:rsidRPr="00712B66" w14:paraId="37D79ABC" w14:textId="77777777">
        <w:tc>
          <w:tcPr>
            <w:tcW w:w="708" w:type="dxa"/>
            <w:tcBorders>
              <w:left w:val="single" w:sz="6" w:space="0" w:color="000000"/>
              <w:bottom w:val="single" w:sz="4" w:space="0" w:color="auto"/>
              <w:right w:val="single" w:sz="6" w:space="0" w:color="000000"/>
            </w:tcBorders>
          </w:tcPr>
          <w:p w14:paraId="37D79AB6"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37D79AB7"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7D79AB8"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37D79AB9"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37D79ABA"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37D79ABB" w14:textId="77777777" w:rsidR="008A36C9" w:rsidRPr="00712B66" w:rsidRDefault="008A36C9" w:rsidP="008A36C9"/>
        </w:tc>
      </w:tr>
    </w:tbl>
    <w:p w14:paraId="37D79ABD" w14:textId="77777777" w:rsidR="007B4C0F" w:rsidRPr="00712B66" w:rsidRDefault="007B4C0F" w:rsidP="007B4C0F">
      <w:pPr>
        <w:pStyle w:val="naisf"/>
        <w:spacing w:before="0" w:after="0"/>
        <w:ind w:firstLine="0"/>
      </w:pPr>
    </w:p>
    <w:p w14:paraId="37D79ABE"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37D79ABF"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37D79AC2" w14:textId="77777777">
        <w:tc>
          <w:tcPr>
            <w:tcW w:w="6345" w:type="dxa"/>
          </w:tcPr>
          <w:p w14:paraId="37D79AC0"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37D79AC1" w14:textId="77777777" w:rsidR="007B4C0F" w:rsidRPr="00712B66" w:rsidRDefault="007B4C0F" w:rsidP="0036160E">
            <w:pPr>
              <w:pStyle w:val="NormalWeb"/>
              <w:spacing w:before="0" w:beforeAutospacing="0" w:after="0" w:afterAutospacing="0"/>
              <w:ind w:firstLine="720"/>
            </w:pPr>
          </w:p>
        </w:tc>
      </w:tr>
      <w:tr w:rsidR="003C27A2" w:rsidRPr="00712B66" w14:paraId="37D79AC5" w14:textId="77777777">
        <w:tc>
          <w:tcPr>
            <w:tcW w:w="6345" w:type="dxa"/>
          </w:tcPr>
          <w:p w14:paraId="37D79AC3"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37D79AC4" w14:textId="77777777" w:rsidR="003C27A2" w:rsidRPr="00712B66" w:rsidRDefault="003C27A2" w:rsidP="0036160E">
            <w:pPr>
              <w:pStyle w:val="NormalWeb"/>
              <w:spacing w:before="0" w:beforeAutospacing="0" w:after="0" w:afterAutospacing="0"/>
              <w:ind w:firstLine="720"/>
            </w:pPr>
          </w:p>
        </w:tc>
      </w:tr>
      <w:tr w:rsidR="007B4C0F" w:rsidRPr="00712B66" w14:paraId="37D79AC8" w14:textId="77777777">
        <w:tc>
          <w:tcPr>
            <w:tcW w:w="6345" w:type="dxa"/>
          </w:tcPr>
          <w:p w14:paraId="37D79AC6"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37D79AC7" w14:textId="572BF1AC" w:rsidR="007B4C0F" w:rsidRPr="00712B66" w:rsidRDefault="00204649" w:rsidP="00204649">
            <w:pPr>
              <w:pStyle w:val="NormalWeb"/>
              <w:spacing w:before="0" w:beforeAutospacing="0" w:after="0" w:afterAutospacing="0"/>
              <w:jc w:val="both"/>
            </w:pPr>
            <w:r>
              <w:t>Tieslietu ministrija</w:t>
            </w:r>
            <w:r w:rsidRPr="00204649">
              <w:t>, Finanšu ministrij</w:t>
            </w:r>
            <w:r>
              <w:t>a</w:t>
            </w:r>
            <w:r w:rsidRPr="00204649">
              <w:t>, Aizsardzības ministrij</w:t>
            </w:r>
            <w:r>
              <w:t>a, Ārlietu ministrija</w:t>
            </w:r>
            <w:r w:rsidRPr="00204649">
              <w:t>, Ekonomikas ministrij</w:t>
            </w:r>
            <w:r>
              <w:t>a</w:t>
            </w:r>
            <w:r w:rsidRPr="00204649">
              <w:t xml:space="preserve">, </w:t>
            </w:r>
            <w:proofErr w:type="spellStart"/>
            <w:r w:rsidRPr="00204649">
              <w:t>Iekšlietu</w:t>
            </w:r>
            <w:proofErr w:type="spellEnd"/>
            <w:r w:rsidRPr="00204649">
              <w:t xml:space="preserve"> ministrij</w:t>
            </w:r>
            <w:r>
              <w:t>a</w:t>
            </w:r>
            <w:r w:rsidRPr="00204649">
              <w:t>, I</w:t>
            </w:r>
            <w:r>
              <w:t>zglītības un zinātnes ministrija</w:t>
            </w:r>
            <w:r w:rsidRPr="00204649">
              <w:t>, Kultūras ministrij</w:t>
            </w:r>
            <w:r>
              <w:t>a, Labklājības ministrija</w:t>
            </w:r>
            <w:r w:rsidRPr="00204649">
              <w:t>, Satiksmes ministrij</w:t>
            </w:r>
            <w:r>
              <w:t>a</w:t>
            </w:r>
            <w:r w:rsidRPr="00204649">
              <w:t xml:space="preserve">, Vides aizsardzības un </w:t>
            </w:r>
            <w:r>
              <w:t xml:space="preserve">reģionālās attīstības ministrija, Zemkopības ministrija, </w:t>
            </w:r>
            <w:proofErr w:type="spellStart"/>
            <w:r>
              <w:t>Pārresoru</w:t>
            </w:r>
            <w:proofErr w:type="spellEnd"/>
            <w:r>
              <w:t xml:space="preserve"> koordinācijas centrs, Latvijas Pašvaldību savienība</w:t>
            </w:r>
            <w:r w:rsidRPr="00204649">
              <w:t xml:space="preserve">, Korupcijas </w:t>
            </w:r>
            <w:r>
              <w:t>novēršanas un apkarošanas birojs</w:t>
            </w:r>
            <w:r w:rsidRPr="00204649">
              <w:t>, Latvijas Brīvo arodbiedrību savienīb</w:t>
            </w:r>
            <w:r>
              <w:t xml:space="preserve">a, </w:t>
            </w:r>
            <w:r w:rsidRPr="00204649">
              <w:t>Lat</w:t>
            </w:r>
            <w:r>
              <w:t>vijas Darba devēju konfederācija</w:t>
            </w:r>
            <w:r w:rsidR="005A74CC">
              <w:t xml:space="preserve">, Latvijas </w:t>
            </w:r>
            <w:proofErr w:type="spellStart"/>
            <w:r w:rsidR="005A74CC">
              <w:t>izvērtētāju</w:t>
            </w:r>
            <w:proofErr w:type="spellEnd"/>
            <w:r w:rsidR="005A74CC">
              <w:t xml:space="preserve"> asociācija</w:t>
            </w:r>
          </w:p>
        </w:tc>
      </w:tr>
      <w:tr w:rsidR="007B4C0F" w:rsidRPr="00712B66" w14:paraId="37D79ACB" w14:textId="77777777">
        <w:tc>
          <w:tcPr>
            <w:tcW w:w="6345" w:type="dxa"/>
          </w:tcPr>
          <w:p w14:paraId="37D79AC9"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37D79ACA" w14:textId="77777777" w:rsidR="007B4C0F" w:rsidRPr="00712B66" w:rsidRDefault="007B4C0F" w:rsidP="0036160E">
            <w:pPr>
              <w:pStyle w:val="naiskr"/>
              <w:spacing w:before="0" w:after="0"/>
              <w:ind w:firstLine="720"/>
            </w:pPr>
          </w:p>
        </w:tc>
      </w:tr>
      <w:tr w:rsidR="000D0AED" w:rsidRPr="00712B66" w14:paraId="37D79ACF" w14:textId="77777777">
        <w:trPr>
          <w:trHeight w:val="285"/>
        </w:trPr>
        <w:tc>
          <w:tcPr>
            <w:tcW w:w="6345" w:type="dxa"/>
          </w:tcPr>
          <w:p w14:paraId="37D79ACC" w14:textId="77777777" w:rsidR="000D0AED" w:rsidRPr="00712B66" w:rsidRDefault="000D0AED" w:rsidP="000D0AED">
            <w:pPr>
              <w:pStyle w:val="naiskr"/>
              <w:spacing w:before="0" w:after="0"/>
            </w:pPr>
          </w:p>
        </w:tc>
        <w:tc>
          <w:tcPr>
            <w:tcW w:w="1203" w:type="dxa"/>
          </w:tcPr>
          <w:p w14:paraId="37D79ACD" w14:textId="77777777" w:rsidR="000D0AED" w:rsidRPr="00712B66" w:rsidRDefault="000D0AED" w:rsidP="0036160E">
            <w:pPr>
              <w:pStyle w:val="naiskr"/>
              <w:spacing w:before="0" w:after="0"/>
              <w:ind w:firstLine="720"/>
            </w:pPr>
          </w:p>
        </w:tc>
        <w:tc>
          <w:tcPr>
            <w:tcW w:w="5034" w:type="dxa"/>
          </w:tcPr>
          <w:p w14:paraId="37D79ACE" w14:textId="77777777" w:rsidR="000D0AED" w:rsidRPr="00712B66" w:rsidRDefault="000D0AED" w:rsidP="0036160E">
            <w:pPr>
              <w:pStyle w:val="naiskr"/>
              <w:spacing w:before="0" w:after="0"/>
              <w:ind w:firstLine="12"/>
            </w:pPr>
          </w:p>
        </w:tc>
      </w:tr>
    </w:tbl>
    <w:p w14:paraId="37D79AD0" w14:textId="77777777" w:rsidR="008A36C9" w:rsidRDefault="008A36C9">
      <w:r>
        <w:br w:type="page"/>
      </w:r>
    </w:p>
    <w:tbl>
      <w:tblPr>
        <w:tblW w:w="11980" w:type="dxa"/>
        <w:tblLook w:val="00A0" w:firstRow="1" w:lastRow="0" w:firstColumn="1" w:lastColumn="0" w:noHBand="0" w:noVBand="0"/>
      </w:tblPr>
      <w:tblGrid>
        <w:gridCol w:w="6708"/>
        <w:gridCol w:w="238"/>
        <w:gridCol w:w="5034"/>
      </w:tblGrid>
      <w:tr w:rsidR="00204649" w:rsidRPr="00712B66" w14:paraId="37D79AD5" w14:textId="77777777" w:rsidTr="0CFDBB31">
        <w:trPr>
          <w:trHeight w:val="561"/>
        </w:trPr>
        <w:tc>
          <w:tcPr>
            <w:tcW w:w="6708" w:type="dxa"/>
          </w:tcPr>
          <w:p w14:paraId="37D79AD1" w14:textId="77777777" w:rsidR="00204649" w:rsidRPr="00712B66" w:rsidRDefault="00204649" w:rsidP="00204649">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238" w:type="dxa"/>
          </w:tcPr>
          <w:p w14:paraId="37D79AD2" w14:textId="77777777" w:rsidR="00204649" w:rsidRPr="00712B66" w:rsidRDefault="00204649" w:rsidP="00204649">
            <w:pPr>
              <w:pStyle w:val="naiskr"/>
              <w:spacing w:before="0" w:after="0"/>
              <w:ind w:firstLine="720"/>
            </w:pPr>
          </w:p>
        </w:tc>
        <w:tc>
          <w:tcPr>
            <w:tcW w:w="5034" w:type="dxa"/>
          </w:tcPr>
          <w:p w14:paraId="37D79AD4" w14:textId="3EE22061" w:rsidR="00DE1BC4" w:rsidRPr="00712B66" w:rsidRDefault="005A74CC" w:rsidP="00DE1BC4">
            <w:pPr>
              <w:pStyle w:val="NormalWeb"/>
              <w:spacing w:before="0" w:beforeAutospacing="0" w:after="0" w:afterAutospacing="0"/>
              <w:jc w:val="both"/>
            </w:pPr>
            <w:r>
              <w:t xml:space="preserve">Iebildumi: </w:t>
            </w:r>
            <w:r w:rsidR="00204649" w:rsidRPr="00204649">
              <w:t>Finanšu ministrij</w:t>
            </w:r>
            <w:r w:rsidR="00204649">
              <w:t>a</w:t>
            </w:r>
            <w:r w:rsidR="00204649" w:rsidRPr="00204649">
              <w:t xml:space="preserve">, </w:t>
            </w:r>
            <w:r w:rsidR="00204649">
              <w:t>Labklājības ministrija</w:t>
            </w:r>
            <w:r w:rsidR="00204649" w:rsidRPr="00204649">
              <w:t xml:space="preserve">, </w:t>
            </w:r>
            <w:proofErr w:type="spellStart"/>
            <w:r w:rsidR="00DE1BC4">
              <w:t>Pārresoru</w:t>
            </w:r>
            <w:proofErr w:type="spellEnd"/>
            <w:r w:rsidR="00DE1BC4">
              <w:t xml:space="preserve"> koordinācijas centrs</w:t>
            </w:r>
          </w:p>
        </w:tc>
      </w:tr>
      <w:tr w:rsidR="00DE1BC4" w:rsidRPr="00712B66" w14:paraId="37D79AD8" w14:textId="77777777" w:rsidTr="0CFDBB31">
        <w:trPr>
          <w:trHeight w:val="465"/>
        </w:trPr>
        <w:tc>
          <w:tcPr>
            <w:tcW w:w="6708" w:type="dxa"/>
          </w:tcPr>
          <w:p w14:paraId="37D79AD6" w14:textId="77777777" w:rsidR="00DE1BC4" w:rsidRPr="00712B66" w:rsidRDefault="00DE1BC4" w:rsidP="00DE1BC4">
            <w:pPr>
              <w:pStyle w:val="naiskr"/>
              <w:spacing w:before="0" w:after="0"/>
              <w:ind w:firstLine="720"/>
            </w:pPr>
            <w:r w:rsidRPr="00712B66">
              <w:t>  </w:t>
            </w:r>
          </w:p>
        </w:tc>
        <w:tc>
          <w:tcPr>
            <w:tcW w:w="5272" w:type="dxa"/>
            <w:gridSpan w:val="2"/>
            <w:tcBorders>
              <w:top w:val="single" w:sz="6" w:space="0" w:color="000000" w:themeColor="text1"/>
              <w:bottom w:val="single" w:sz="6" w:space="0" w:color="000000" w:themeColor="text1"/>
            </w:tcBorders>
          </w:tcPr>
          <w:p w14:paraId="37D79AD7" w14:textId="4369A046" w:rsidR="00DE1BC4" w:rsidRPr="005A74CC" w:rsidRDefault="00DE1BC4" w:rsidP="005A74CC">
            <w:pPr>
              <w:pStyle w:val="NormalWeb"/>
              <w:spacing w:before="0" w:beforeAutospacing="0" w:after="0" w:afterAutospacing="0"/>
              <w:jc w:val="both"/>
            </w:pPr>
            <w:r w:rsidRPr="005A74CC">
              <w:t xml:space="preserve">Priekšlikumi: Finanšu ministrija, </w:t>
            </w:r>
            <w:r w:rsidR="005A74CC" w:rsidRPr="005A74CC">
              <w:t xml:space="preserve">Tieslietu ministrija, </w:t>
            </w:r>
            <w:proofErr w:type="spellStart"/>
            <w:r w:rsidRPr="005A74CC">
              <w:t>Iekšlietu</w:t>
            </w:r>
            <w:proofErr w:type="spellEnd"/>
            <w:r w:rsidRPr="005A74CC">
              <w:t xml:space="preserve"> ministrija, Izglītības un zinātnes ministrija, Labklājības ministrija, </w:t>
            </w:r>
            <w:r w:rsidR="61D34C0E" w:rsidRPr="005A74CC">
              <w:t xml:space="preserve">Ekonomikas ministrija, </w:t>
            </w:r>
            <w:r w:rsidR="006B6A40">
              <w:t xml:space="preserve">Latvijas Pašvaldību savienība, </w:t>
            </w:r>
            <w:r w:rsidR="005A74CC" w:rsidRPr="005A74CC">
              <w:t xml:space="preserve">sabiedriskās politikas centrs </w:t>
            </w:r>
            <w:r w:rsidRPr="005A74CC">
              <w:t>PROVIDUS</w:t>
            </w:r>
            <w:r w:rsidR="005A74CC" w:rsidRPr="005A74CC">
              <w:t xml:space="preserve">, Latvijas </w:t>
            </w:r>
            <w:proofErr w:type="spellStart"/>
            <w:r w:rsidR="005A74CC" w:rsidRPr="005A74CC">
              <w:t>izvērtētāju</w:t>
            </w:r>
            <w:proofErr w:type="spellEnd"/>
            <w:r w:rsidR="005A74CC" w:rsidRPr="005A74CC">
              <w:t xml:space="preserve"> asociācija</w:t>
            </w:r>
          </w:p>
        </w:tc>
      </w:tr>
      <w:tr w:rsidR="00DE1BC4" w:rsidRPr="00712B66" w14:paraId="37D79ADA" w14:textId="77777777" w:rsidTr="0CFDBB31">
        <w:trPr>
          <w:trHeight w:val="465"/>
        </w:trPr>
        <w:tc>
          <w:tcPr>
            <w:tcW w:w="11980" w:type="dxa"/>
            <w:gridSpan w:val="3"/>
          </w:tcPr>
          <w:p w14:paraId="37D79AD9" w14:textId="77777777" w:rsidR="00DE1BC4" w:rsidRPr="00712B66" w:rsidRDefault="00DE1BC4" w:rsidP="00DE1BC4">
            <w:pPr>
              <w:pStyle w:val="naisc"/>
              <w:spacing w:before="0" w:after="0"/>
              <w:ind w:left="4820" w:firstLine="720"/>
            </w:pPr>
          </w:p>
        </w:tc>
      </w:tr>
      <w:tr w:rsidR="00DE1BC4" w:rsidRPr="00712B66" w14:paraId="37D79ADD" w14:textId="77777777" w:rsidTr="0CFDBB31">
        <w:tc>
          <w:tcPr>
            <w:tcW w:w="6708" w:type="dxa"/>
          </w:tcPr>
          <w:p w14:paraId="37D79ADB" w14:textId="77777777" w:rsidR="00DE1BC4" w:rsidRPr="00712B66" w:rsidRDefault="00DE1BC4" w:rsidP="00DE1BC4">
            <w:pPr>
              <w:pStyle w:val="naiskr"/>
              <w:spacing w:before="0" w:after="0"/>
            </w:pPr>
            <w:r w:rsidRPr="00712B66">
              <w:t>Ministrijas (citas institūcijas), kuras nav ieradušās uz sanāksmi vai kuras nav atbildējušas uz uzaicinājumu piedalīties elektroniskajā saskaņošanā</w:t>
            </w:r>
          </w:p>
        </w:tc>
        <w:tc>
          <w:tcPr>
            <w:tcW w:w="5272" w:type="dxa"/>
            <w:gridSpan w:val="2"/>
          </w:tcPr>
          <w:p w14:paraId="37D79ADC" w14:textId="77777777" w:rsidR="00DE1BC4" w:rsidRPr="00712B66" w:rsidRDefault="00DE1BC4" w:rsidP="00DE1BC4">
            <w:pPr>
              <w:pStyle w:val="naiskr"/>
              <w:spacing w:before="0" w:after="0"/>
              <w:ind w:firstLine="720"/>
            </w:pPr>
          </w:p>
        </w:tc>
      </w:tr>
      <w:tr w:rsidR="00DE1BC4" w:rsidRPr="00712B66" w14:paraId="37D79AE0" w14:textId="77777777" w:rsidTr="0CFDBB31">
        <w:tc>
          <w:tcPr>
            <w:tcW w:w="6708" w:type="dxa"/>
          </w:tcPr>
          <w:p w14:paraId="37D79ADE" w14:textId="77777777" w:rsidR="00DE1BC4" w:rsidRPr="00712B66" w:rsidRDefault="00DE1BC4" w:rsidP="00DE1BC4">
            <w:pPr>
              <w:pStyle w:val="naiskr"/>
              <w:spacing w:before="0" w:after="0"/>
              <w:ind w:firstLine="720"/>
            </w:pPr>
            <w:r w:rsidRPr="00712B66">
              <w:t>  </w:t>
            </w:r>
          </w:p>
        </w:tc>
        <w:tc>
          <w:tcPr>
            <w:tcW w:w="5272" w:type="dxa"/>
            <w:gridSpan w:val="2"/>
            <w:tcBorders>
              <w:top w:val="single" w:sz="6" w:space="0" w:color="000000" w:themeColor="text1"/>
              <w:bottom w:val="single" w:sz="6" w:space="0" w:color="000000" w:themeColor="text1"/>
            </w:tcBorders>
          </w:tcPr>
          <w:p w14:paraId="37D79ADF" w14:textId="77777777" w:rsidR="00DE1BC4" w:rsidRPr="00712B66" w:rsidRDefault="00DE1BC4" w:rsidP="00DE1BC4">
            <w:pPr>
              <w:pStyle w:val="naiskr"/>
              <w:spacing w:before="0" w:after="0"/>
              <w:ind w:firstLine="720"/>
            </w:pPr>
          </w:p>
        </w:tc>
      </w:tr>
      <w:tr w:rsidR="00DE1BC4" w:rsidRPr="00712B66" w14:paraId="37D79AE3" w14:textId="77777777" w:rsidTr="0CFDBB31">
        <w:tc>
          <w:tcPr>
            <w:tcW w:w="6708" w:type="dxa"/>
          </w:tcPr>
          <w:p w14:paraId="37D79AE1" w14:textId="77777777" w:rsidR="00DE1BC4" w:rsidRPr="00712B66" w:rsidRDefault="00DE1BC4" w:rsidP="00DE1BC4">
            <w:pPr>
              <w:pStyle w:val="naiskr"/>
              <w:spacing w:before="0" w:after="0"/>
              <w:ind w:firstLine="720"/>
            </w:pPr>
            <w:r w:rsidRPr="00712B66">
              <w:t>  </w:t>
            </w:r>
          </w:p>
        </w:tc>
        <w:tc>
          <w:tcPr>
            <w:tcW w:w="5272" w:type="dxa"/>
            <w:gridSpan w:val="2"/>
            <w:tcBorders>
              <w:bottom w:val="single" w:sz="6" w:space="0" w:color="000000" w:themeColor="text1"/>
            </w:tcBorders>
          </w:tcPr>
          <w:p w14:paraId="37D79AE2" w14:textId="77777777" w:rsidR="00DE1BC4" w:rsidRPr="00712B66" w:rsidRDefault="00DE1BC4" w:rsidP="00DE1BC4">
            <w:pPr>
              <w:pStyle w:val="naiskr"/>
              <w:spacing w:before="0" w:after="0"/>
              <w:ind w:firstLine="720"/>
            </w:pPr>
          </w:p>
        </w:tc>
      </w:tr>
    </w:tbl>
    <w:p w14:paraId="37D79AE4" w14:textId="77777777" w:rsidR="00683081" w:rsidRPr="00712B66" w:rsidRDefault="00683081" w:rsidP="00683081">
      <w:pPr>
        <w:pStyle w:val="naisf"/>
        <w:spacing w:before="0" w:after="0"/>
        <w:ind w:firstLine="720"/>
      </w:pPr>
    </w:p>
    <w:p w14:paraId="37D79AE5" w14:textId="77777777" w:rsidR="00190F38" w:rsidRPr="00712B66" w:rsidRDefault="00190F38" w:rsidP="00190F38">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37D79AE6" w14:textId="77777777" w:rsidR="00190F38" w:rsidRPr="00712B66" w:rsidRDefault="00190F38" w:rsidP="00190F38">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4678"/>
        <w:gridCol w:w="3402"/>
        <w:gridCol w:w="3260"/>
      </w:tblGrid>
      <w:tr w:rsidR="00190F38" w:rsidRPr="00712B66" w14:paraId="37D79AEC"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D79AE7" w14:textId="77777777" w:rsidR="00190F38" w:rsidRPr="00712B66" w:rsidRDefault="00190F38" w:rsidP="00BF1D1F">
            <w:pPr>
              <w:pStyle w:val="naisc"/>
              <w:spacing w:before="0" w:after="0"/>
            </w:pPr>
            <w:r w:rsidRPr="00712B66">
              <w:t>Nr. p.</w:t>
            </w:r>
            <w:r>
              <w:t> </w:t>
            </w:r>
            <w:r w:rsidRPr="00712B66">
              <w:t>k.</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D79AE8" w14:textId="77777777" w:rsidR="00190F38" w:rsidRPr="00712B66" w:rsidRDefault="00190F38" w:rsidP="00BF1D1F">
            <w:pPr>
              <w:pStyle w:val="naisc"/>
              <w:spacing w:before="0" w:after="0"/>
              <w:ind w:firstLine="12"/>
            </w:pPr>
            <w:r w:rsidRPr="00712B66">
              <w:t>Saskaņošanai nosūtītā projekta redakcija (konkrēta punkta (panta) redakcija)</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D79AE9" w14:textId="77777777" w:rsidR="00190F38" w:rsidRPr="00712B66" w:rsidRDefault="00190F38" w:rsidP="00BF1D1F">
            <w:pPr>
              <w:pStyle w:val="naisc"/>
              <w:spacing w:before="0" w:after="0"/>
              <w:ind w:right="3"/>
            </w:pPr>
            <w:r w:rsidRPr="00712B66">
              <w:t>Atzinumā norādītais ministrijas (citas institūcijas) iebildums, kā arī saskaņošanā papildus izteiktais iebildums par projekta konkrēto punktu (pantu)</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D79AEA" w14:textId="77777777" w:rsidR="00190F38" w:rsidRPr="00712B66" w:rsidRDefault="00190F38" w:rsidP="00BF1D1F">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37D79AEB" w14:textId="77777777" w:rsidR="00190F38" w:rsidRPr="00712B66" w:rsidRDefault="00190F38" w:rsidP="00BF1D1F">
            <w:pPr>
              <w:jc w:val="center"/>
            </w:pPr>
            <w:r w:rsidRPr="00712B66">
              <w:t>Projekta attiecīgā punkta (panta) galīgā redakcija</w:t>
            </w:r>
          </w:p>
        </w:tc>
      </w:tr>
      <w:tr w:rsidR="00190F38" w:rsidRPr="003B71E0" w14:paraId="37D79AF2"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AED" w14:textId="77777777" w:rsidR="00190F38" w:rsidRPr="003B71E0" w:rsidRDefault="00190F38" w:rsidP="00BF1D1F">
            <w:pPr>
              <w:pStyle w:val="naisc"/>
              <w:spacing w:before="0" w:after="0"/>
              <w:rPr>
                <w:sz w:val="20"/>
                <w:szCs w:val="20"/>
              </w:rPr>
            </w:pPr>
            <w:r w:rsidRPr="003B71E0">
              <w:rPr>
                <w:sz w:val="20"/>
                <w:szCs w:val="20"/>
              </w:rPr>
              <w:t>1</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AEE" w14:textId="77777777" w:rsidR="00190F38" w:rsidRPr="003B71E0" w:rsidRDefault="00190F38" w:rsidP="00BF1D1F">
            <w:pPr>
              <w:pStyle w:val="naisc"/>
              <w:spacing w:before="0" w:after="0"/>
              <w:ind w:firstLine="720"/>
              <w:rPr>
                <w:sz w:val="20"/>
                <w:szCs w:val="20"/>
              </w:rPr>
            </w:pPr>
            <w:r>
              <w:rPr>
                <w:sz w:val="20"/>
                <w:szCs w:val="20"/>
              </w:rPr>
              <w:t>2</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AEF" w14:textId="77777777" w:rsidR="00190F38" w:rsidRPr="003B71E0" w:rsidRDefault="00190F38" w:rsidP="00BF1D1F">
            <w:pPr>
              <w:pStyle w:val="naisc"/>
              <w:spacing w:before="0" w:after="0"/>
              <w:ind w:firstLine="720"/>
              <w:rPr>
                <w:sz w:val="20"/>
                <w:szCs w:val="20"/>
              </w:rPr>
            </w:pPr>
            <w:r w:rsidRPr="003B71E0">
              <w:rPr>
                <w:sz w:val="20"/>
                <w:szCs w:val="20"/>
              </w:rPr>
              <w:t>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AF0" w14:textId="77777777" w:rsidR="00190F38" w:rsidRPr="003B71E0" w:rsidRDefault="00190F38" w:rsidP="00BF1D1F">
            <w:pPr>
              <w:pStyle w:val="naisc"/>
              <w:spacing w:before="0" w:after="0"/>
              <w:ind w:firstLine="720"/>
              <w:rPr>
                <w:sz w:val="20"/>
                <w:szCs w:val="20"/>
              </w:rPr>
            </w:pPr>
            <w:r w:rsidRPr="003B71E0">
              <w:rPr>
                <w:sz w:val="20"/>
                <w:szCs w:val="20"/>
              </w:rPr>
              <w:t>4</w:t>
            </w:r>
          </w:p>
        </w:tc>
        <w:tc>
          <w:tcPr>
            <w:tcW w:w="3260" w:type="dxa"/>
            <w:tcBorders>
              <w:top w:val="single" w:sz="4" w:space="0" w:color="auto"/>
              <w:left w:val="single" w:sz="4" w:space="0" w:color="auto"/>
              <w:bottom w:val="single" w:sz="4" w:space="0" w:color="auto"/>
            </w:tcBorders>
          </w:tcPr>
          <w:p w14:paraId="37D79AF1" w14:textId="77777777" w:rsidR="00190F38" w:rsidRPr="003B71E0" w:rsidRDefault="00190F38" w:rsidP="00BF1D1F">
            <w:pPr>
              <w:jc w:val="center"/>
              <w:rPr>
                <w:sz w:val="20"/>
                <w:szCs w:val="20"/>
              </w:rPr>
            </w:pPr>
            <w:r w:rsidRPr="003B71E0">
              <w:rPr>
                <w:sz w:val="20"/>
                <w:szCs w:val="20"/>
              </w:rPr>
              <w:t>5</w:t>
            </w:r>
          </w:p>
        </w:tc>
      </w:tr>
      <w:tr w:rsidR="00547BD3" w:rsidRPr="003B71E0" w14:paraId="37D79AFB"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AF3" w14:textId="035625EC" w:rsidR="00547BD3" w:rsidRPr="003B71E0" w:rsidRDefault="7B207876" w:rsidP="6AB3EBF0">
            <w:pPr>
              <w:pStyle w:val="naisc"/>
              <w:spacing w:before="0" w:after="0"/>
            </w:pPr>
            <w:r w:rsidRPr="6AB3EBF0">
              <w:t>1.</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AF4" w14:textId="77777777" w:rsidR="00547BD3" w:rsidRDefault="00547BD3"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AF5" w14:textId="77777777" w:rsidR="00547BD3" w:rsidRPr="000451BF" w:rsidRDefault="00547BD3" w:rsidP="00DE1BC4">
            <w:pPr>
              <w:pStyle w:val="naisc"/>
              <w:spacing w:before="0" w:after="0"/>
              <w:jc w:val="both"/>
              <w:rPr>
                <w:b/>
              </w:rPr>
            </w:pPr>
            <w:r w:rsidRPr="000451BF">
              <w:rPr>
                <w:b/>
              </w:rPr>
              <w:t xml:space="preserve">Finanšu ministrija: </w:t>
            </w:r>
          </w:p>
          <w:p w14:paraId="37D79AF6" w14:textId="77777777" w:rsidR="00547BD3" w:rsidRPr="000451BF" w:rsidRDefault="00547BD3" w:rsidP="00DE1BC4">
            <w:pPr>
              <w:tabs>
                <w:tab w:val="left" w:pos="993"/>
              </w:tabs>
              <w:jc w:val="both"/>
              <w:rPr>
                <w:rFonts w:eastAsia="Calibri"/>
                <w:color w:val="201F1E"/>
                <w:shd w:val="clear" w:color="auto" w:fill="FFFFFF"/>
              </w:rPr>
            </w:pPr>
            <w:r w:rsidRPr="000451BF">
              <w:rPr>
                <w:rFonts w:eastAsia="Calibri"/>
                <w:color w:val="201F1E"/>
                <w:shd w:val="clear" w:color="auto" w:fill="FFFFFF"/>
              </w:rPr>
              <w:t xml:space="preserve">Informatīvā ziņojuma 2.sadaļā “Risinājumu virzieni un turpmākā rīcība” 1.risinājuma virzienā paredzēts pārskatīt ietekmes novērtējuma sistēmu, ievērojot vairākus aspektus, t.sk. ieviešot novērtējumu līmeņus un jaunajā ietekmes novērtēšanas regulējumā paredzot, ka padziļinātus sākotnējās ietekmes un ietekmes pēcpārbaudes novērtējumus veiks kā ārēju uzdevumu (publisks iepirkumus), kā </w:t>
            </w:r>
            <w:r w:rsidRPr="000451BF">
              <w:rPr>
                <w:rFonts w:eastAsia="Calibri"/>
                <w:color w:val="201F1E"/>
                <w:shd w:val="clear" w:color="auto" w:fill="FFFFFF"/>
              </w:rPr>
              <w:lastRenderedPageBreak/>
              <w:t>arī tiks noteikti vispārīgi kritēriji tiesību aktu atlasei, kuriem būs jāveic padziļināti ārējie ietekmes novērtējumi.</w:t>
            </w:r>
          </w:p>
          <w:p w14:paraId="2DBE17C0" w14:textId="4CAE9592" w:rsidR="00547BD3" w:rsidRPr="000451BF" w:rsidRDefault="00547BD3" w:rsidP="5A2754AE">
            <w:pPr>
              <w:tabs>
                <w:tab w:val="left" w:pos="993"/>
              </w:tabs>
              <w:jc w:val="both"/>
              <w:rPr>
                <w:rFonts w:eastAsia="Calibri"/>
                <w:color w:val="201F1E"/>
              </w:rPr>
            </w:pPr>
            <w:r w:rsidRPr="00735CED">
              <w:rPr>
                <w:rFonts w:eastAsia="Calibri"/>
                <w:color w:val="201F1E"/>
                <w:shd w:val="clear" w:color="auto" w:fill="FFFFFF"/>
              </w:rPr>
              <w:t xml:space="preserve">Ņemot vērā informatīvajam ziņojumam pievienotā Ministru kabineta sēdes </w:t>
            </w:r>
            <w:proofErr w:type="spellStart"/>
            <w:r w:rsidRPr="00735CED">
              <w:rPr>
                <w:rFonts w:eastAsia="Calibri"/>
                <w:color w:val="201F1E"/>
                <w:shd w:val="clear" w:color="auto" w:fill="FFFFFF"/>
              </w:rPr>
              <w:t>protokollēmuma</w:t>
            </w:r>
            <w:proofErr w:type="spellEnd"/>
            <w:r w:rsidRPr="00735CED">
              <w:rPr>
                <w:rFonts w:eastAsia="Calibri"/>
                <w:color w:val="201F1E"/>
                <w:shd w:val="clear" w:color="auto" w:fill="FFFFFF"/>
              </w:rPr>
              <w:t xml:space="preserve"> projekta 2.punktā noteikto uzdevumu izstrādāt jaunu ietekmes novērtējuma kārtību, ievērojot informatīvajā ziņojumā noteiktos risinājumu variantus un principus, lūdzam papildināt informatīvo ziņojumu ar detalizētu </w:t>
            </w:r>
            <w:proofErr w:type="spellStart"/>
            <w:r w:rsidRPr="00735CED">
              <w:rPr>
                <w:rFonts w:eastAsia="Calibri"/>
                <w:color w:val="201F1E"/>
                <w:shd w:val="clear" w:color="auto" w:fill="FFFFFF"/>
              </w:rPr>
              <w:t>izvērtējumu</w:t>
            </w:r>
            <w:proofErr w:type="spellEnd"/>
            <w:r w:rsidRPr="00735CED">
              <w:rPr>
                <w:rFonts w:eastAsia="Calibri"/>
                <w:color w:val="201F1E"/>
                <w:shd w:val="clear" w:color="auto" w:fill="FFFFFF"/>
              </w:rPr>
              <w:t xml:space="preserve"> par 1.risinājuma virzienā </w:t>
            </w:r>
          </w:p>
          <w:p w14:paraId="37D79AF7" w14:textId="77777777" w:rsidR="00547BD3" w:rsidRPr="000451BF" w:rsidRDefault="00547BD3" w:rsidP="00DE1BC4">
            <w:pPr>
              <w:tabs>
                <w:tab w:val="left" w:pos="993"/>
              </w:tabs>
              <w:jc w:val="both"/>
              <w:rPr>
                <w:rFonts w:eastAsia="Calibri"/>
                <w:color w:val="201F1E"/>
                <w:shd w:val="clear" w:color="auto" w:fill="FFFFFF"/>
              </w:rPr>
            </w:pPr>
            <w:r w:rsidRPr="00735CED">
              <w:rPr>
                <w:rFonts w:eastAsia="Calibri"/>
                <w:color w:val="201F1E"/>
                <w:shd w:val="clear" w:color="auto" w:fill="FFFFFF"/>
              </w:rPr>
              <w:t xml:space="preserve">ietverto aspektu pamatotību. Vēršam uzmanību, ka no informatīvajā ziņojumā norādītās informācijas nav secināms, </w:t>
            </w:r>
            <w:r w:rsidRPr="00A31C00">
              <w:rPr>
                <w:rFonts w:eastAsia="Calibri"/>
                <w:color w:val="201F1E"/>
                <w:u w:val="single"/>
                <w:shd w:val="clear" w:color="auto" w:fill="FFFFFF"/>
              </w:rPr>
              <w:t>vai ir izvērtēta šo aspektu ietekme, t.sk. iespējamais administratīvais slogs</w:t>
            </w:r>
            <w:r w:rsidRPr="00735CED">
              <w:rPr>
                <w:rFonts w:eastAsia="Calibri"/>
                <w:color w:val="201F1E"/>
                <w:shd w:val="clear" w:color="auto" w:fill="FFFFFF"/>
              </w:rPr>
              <w:t xml:space="preserve"> (piemēram, veicot padziļinātu sākotnējās ietekmes un ietekmes pēcpārbaudes novērtējumu), ko radītu šādu aspektu iestrādāšana jaunajā ietekmes novērtējuma kārtībā. Ievērojot iepriekš minēto, lūdzam papildināt informatīvo ziņojumu.</w:t>
            </w:r>
            <w:r>
              <w:rPr>
                <w:rFonts w:eastAsia="Calibri"/>
                <w:color w:val="201F1E"/>
                <w:shd w:val="clear" w:color="auto" w:fill="FFFFFF"/>
              </w:rPr>
              <w:t xml:space="preserve"> </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CB3374" w14:textId="6174EF2F" w:rsidR="4D4CEB60" w:rsidRDefault="4D4CEB60" w:rsidP="0F0996BD">
            <w:pPr>
              <w:pStyle w:val="naisc"/>
              <w:spacing w:before="0" w:after="0"/>
              <w:rPr>
                <w:b/>
                <w:bCs/>
              </w:rPr>
            </w:pPr>
            <w:r w:rsidRPr="0F0996BD">
              <w:rPr>
                <w:b/>
                <w:bCs/>
              </w:rPr>
              <w:lastRenderedPageBreak/>
              <w:t>Ņemts vērā</w:t>
            </w:r>
          </w:p>
          <w:p w14:paraId="12D827C5" w14:textId="32AA2B8D" w:rsidR="00547BD3" w:rsidRPr="00712B66" w:rsidRDefault="00547BD3" w:rsidP="00547BD3">
            <w:pPr>
              <w:pStyle w:val="naisc"/>
              <w:spacing w:before="0" w:after="0"/>
              <w:jc w:val="both"/>
            </w:pPr>
            <w:r>
              <w:t>Ņemot vērā, ka piedāvātie izmaiņu virzieni šajā stadijā ir tikai indikatīvi</w:t>
            </w:r>
            <w:r w:rsidR="59716EB8">
              <w:t xml:space="preserve">, </w:t>
            </w:r>
            <w:r w:rsidRPr="6AB3EBF0">
              <w:rPr>
                <w:color w:val="000000" w:themeColor="text1"/>
              </w:rPr>
              <w:t xml:space="preserve">balstās uz OECD indikatoriem/ieteikumiem un Valsts kancelejas </w:t>
            </w:r>
            <w:r w:rsidR="5F1446B7" w:rsidRPr="6AB3EBF0">
              <w:rPr>
                <w:color w:val="000000" w:themeColor="text1"/>
              </w:rPr>
              <w:t xml:space="preserve">(turpmāk - VK) </w:t>
            </w:r>
            <w:r w:rsidRPr="6AB3EBF0">
              <w:rPr>
                <w:color w:val="000000" w:themeColor="text1"/>
              </w:rPr>
              <w:t>veiktā tiesību aktu projektu kvalitātes monitoringa secinājumiem</w:t>
            </w:r>
            <w:r>
              <w:t xml:space="preserve">, </w:t>
            </w:r>
            <w:r w:rsidR="0CC05410">
              <w:t>tie</w:t>
            </w:r>
            <w:r>
              <w:t xml:space="preserve"> tiks vērtēti </w:t>
            </w:r>
            <w:r w:rsidR="01AC67A9">
              <w:t>ietekmes novērtējuma pārstr</w:t>
            </w:r>
            <w:r>
              <w:t xml:space="preserve">ādes </w:t>
            </w:r>
            <w:r>
              <w:lastRenderedPageBreak/>
              <w:t>procesā,</w:t>
            </w:r>
            <w:r w:rsidR="7E099B98">
              <w:t xml:space="preserve"> līdz ar to</w:t>
            </w:r>
            <w:r>
              <w:t xml:space="preserve"> info</w:t>
            </w:r>
            <w:r w:rsidR="686265E1">
              <w:t xml:space="preserve">rmatīvais ziņojums </w:t>
            </w:r>
            <w:r w:rsidR="335045B9">
              <w:t>ir precizēts</w:t>
            </w:r>
            <w:r>
              <w:t xml:space="preserve">, šo </w:t>
            </w:r>
            <w:r w:rsidR="51479D83">
              <w:t xml:space="preserve">attiecīgi </w:t>
            </w:r>
            <w:r>
              <w:t>atspoguļojot.</w:t>
            </w:r>
          </w:p>
          <w:p w14:paraId="6AB25268" w14:textId="39613018" w:rsidR="1876B7B5" w:rsidRDefault="4D5639AC" w:rsidP="0CFDBB31">
            <w:pPr>
              <w:pStyle w:val="naisc"/>
              <w:spacing w:before="0" w:after="0"/>
              <w:jc w:val="both"/>
            </w:pPr>
            <w:r>
              <w:t>Saistībā ar</w:t>
            </w:r>
            <w:r w:rsidR="1876B7B5">
              <w:t xml:space="preserve"> administratīvo slogu vēlamies norādīt, ka </w:t>
            </w:r>
            <w:r w:rsidR="37815444">
              <w:t xml:space="preserve">jau </w:t>
            </w:r>
            <w:r w:rsidR="1BFCD06D">
              <w:t xml:space="preserve">esošajā </w:t>
            </w:r>
            <w:r w:rsidR="1876B7B5">
              <w:t>regulējumā ir iekļauta prasība veikt ietekmes novērtējumu (</w:t>
            </w:r>
            <w:r w:rsidR="55F6ABF4">
              <w:t>Ministru kabineta 2009.gada 7.aprīļa noteikumu Nr.300</w:t>
            </w:r>
            <w:r w:rsidR="1876B7B5">
              <w:br/>
            </w:r>
            <w:r w:rsidR="55F6ABF4">
              <w:t xml:space="preserve">"Ministru kabineta kārtības rullis" 3.punkts, </w:t>
            </w:r>
            <w:r w:rsidR="0EEFDE77">
              <w:t>Attīstības plānošanas sistēmas likuma 4.pants, 5.panta otrās daļas 7.punkts)</w:t>
            </w:r>
            <w:r w:rsidR="733F0BD4">
              <w:t xml:space="preserve">. Šobrīd ietekmes novērtējums, īpaši tiesību aktu projektiem, ir unificēts, </w:t>
            </w:r>
            <w:r w:rsidR="4E58BAF8">
              <w:t>un nav atkarīgs no tā satura/būtības, izmaiņu apjoma u.c. faktoriem. U</w:t>
            </w:r>
            <w:r w:rsidR="733F0BD4">
              <w:t xml:space="preserve">z šo kā problēmu norāda arī </w:t>
            </w:r>
            <w:r w:rsidR="3DBE2302">
              <w:t>OECD un citi eksperti. V</w:t>
            </w:r>
            <w:r w:rsidR="172DB493">
              <w:t>alsts kanceleja</w:t>
            </w:r>
            <w:r w:rsidR="3DBE2302">
              <w:t xml:space="preserve"> </w:t>
            </w:r>
            <w:r w:rsidR="57F288BD">
              <w:t xml:space="preserve">uzskata, ka, ieviešot </w:t>
            </w:r>
            <w:r w:rsidR="0594887A">
              <w:t xml:space="preserve">diferencētus </w:t>
            </w:r>
            <w:r w:rsidR="57F288BD">
              <w:t xml:space="preserve">kritērijus ietekmes novērtējumos, administratīvais slogs valsts pārvaldes iestādēm </w:t>
            </w:r>
            <w:r w:rsidR="39F42837">
              <w:t xml:space="preserve">varētu </w:t>
            </w:r>
            <w:r w:rsidR="57F288BD">
              <w:t>mazinā</w:t>
            </w:r>
            <w:r w:rsidR="3C613589">
              <w:t>t</w:t>
            </w:r>
            <w:r w:rsidR="57F288BD">
              <w:t>ies, taču to apmēru varēs no</w:t>
            </w:r>
            <w:r w:rsidR="26C64803">
              <w:t>vērtēt tad</w:t>
            </w:r>
            <w:r w:rsidR="57F288BD">
              <w:t>, kad</w:t>
            </w:r>
            <w:r w:rsidR="0A4E7349">
              <w:t xml:space="preserve"> tiks panākta vienošanās par </w:t>
            </w:r>
            <w:r w:rsidR="48E51F60">
              <w:t xml:space="preserve">konkrētām </w:t>
            </w:r>
            <w:r w:rsidR="0A4E7349">
              <w:t xml:space="preserve">izmaiņām. </w:t>
            </w:r>
          </w:p>
          <w:p w14:paraId="37D79AF8" w14:textId="29268902" w:rsidR="00547BD3" w:rsidRPr="00712B66" w:rsidRDefault="7DBC39EA" w:rsidP="6AB3EBF0">
            <w:pPr>
              <w:pStyle w:val="naisc"/>
              <w:spacing w:before="0" w:after="0"/>
              <w:jc w:val="both"/>
            </w:pPr>
            <w:r w:rsidRPr="6AB3EBF0">
              <w:t xml:space="preserve">Papildus aicinām Finanšu ministriju iesaistītes </w:t>
            </w:r>
            <w:r w:rsidR="0158F9FD" w:rsidRPr="6AB3EBF0">
              <w:t>pā</w:t>
            </w:r>
            <w:r w:rsidR="28CD5741" w:rsidRPr="6AB3EBF0">
              <w:t>r</w:t>
            </w:r>
            <w:r w:rsidR="0158F9FD" w:rsidRPr="6AB3EBF0">
              <w:t xml:space="preserve">strādes </w:t>
            </w:r>
            <w:r w:rsidRPr="6AB3EBF0">
              <w:t>darba grup</w:t>
            </w:r>
            <w:r w:rsidR="6344D9E7" w:rsidRPr="6AB3EBF0">
              <w:t>ā</w:t>
            </w:r>
            <w:r w:rsidRPr="6AB3EBF0">
              <w:t xml:space="preserve"> </w:t>
            </w:r>
            <w:r w:rsidR="0AE48EA8" w:rsidRPr="6AB3EBF0">
              <w:t xml:space="preserve">un informēt, vai </w:t>
            </w:r>
            <w:r w:rsidR="3D0BD5B3" w:rsidRPr="6AB3EBF0">
              <w:t>piekrīt, ka</w:t>
            </w:r>
            <w:r w:rsidR="0AE48EA8" w:rsidRPr="6AB3EBF0">
              <w:t xml:space="preserve"> </w:t>
            </w:r>
            <w:r w:rsidR="4322DD75" w:rsidRPr="6AB3EBF0">
              <w:t xml:space="preserve">informatīvais </w:t>
            </w:r>
            <w:r w:rsidR="4322DD75" w:rsidRPr="6AB3EBF0">
              <w:lastRenderedPageBreak/>
              <w:t>ziņojums u</w:t>
            </w:r>
            <w:r w:rsidR="0CC29A8C" w:rsidRPr="6AB3EBF0">
              <w:t xml:space="preserve">n </w:t>
            </w:r>
            <w:proofErr w:type="spellStart"/>
            <w:r w:rsidR="0CC29A8C" w:rsidRPr="6AB3EBF0">
              <w:t>pr</w:t>
            </w:r>
            <w:r w:rsidR="1A406E5E" w:rsidRPr="6AB3EBF0">
              <w:t>o</w:t>
            </w:r>
            <w:r w:rsidR="0CC29A8C" w:rsidRPr="6AB3EBF0">
              <w:t>tokollēmum</w:t>
            </w:r>
            <w:r w:rsidR="1715BAA6" w:rsidRPr="6AB3EBF0">
              <w:t>s</w:t>
            </w:r>
            <w:proofErr w:type="spellEnd"/>
            <w:r w:rsidR="1715BAA6" w:rsidRPr="6AB3EBF0">
              <w:t xml:space="preserve"> tiek </w:t>
            </w:r>
            <w:r w:rsidR="52D05F98" w:rsidRPr="6AB3EBF0">
              <w:t xml:space="preserve">attiecīgi </w:t>
            </w:r>
            <w:r w:rsidR="110E45C5" w:rsidRPr="6AB3EBF0">
              <w:t>papildināti</w:t>
            </w:r>
            <w:r w:rsidR="01721DCD" w:rsidRPr="6AB3EBF0">
              <w:t>.</w:t>
            </w:r>
          </w:p>
        </w:tc>
        <w:tc>
          <w:tcPr>
            <w:tcW w:w="3260" w:type="dxa"/>
            <w:tcBorders>
              <w:top w:val="single" w:sz="4" w:space="0" w:color="auto"/>
              <w:left w:val="single" w:sz="4" w:space="0" w:color="auto"/>
              <w:bottom w:val="single" w:sz="4" w:space="0" w:color="auto"/>
            </w:tcBorders>
          </w:tcPr>
          <w:p w14:paraId="37D79AFA" w14:textId="4B62CF5C" w:rsidR="00547BD3" w:rsidRPr="00712B66" w:rsidRDefault="38BFF936" w:rsidP="0F0996BD">
            <w:pPr>
              <w:jc w:val="both"/>
            </w:pPr>
            <w:r w:rsidRPr="6AB3EBF0">
              <w:lastRenderedPageBreak/>
              <w:t>I</w:t>
            </w:r>
            <w:r w:rsidR="5E56DDB4" w:rsidRPr="6AB3EBF0">
              <w:t>nformatīvais ziņojums</w:t>
            </w:r>
            <w:r w:rsidR="115465F8" w:rsidRPr="6AB3EBF0">
              <w:t xml:space="preserve"> </w:t>
            </w:r>
            <w:r w:rsidR="0A89A70D" w:rsidRPr="6AB3EBF0">
              <w:t>p</w:t>
            </w:r>
            <w:r w:rsidR="115465F8" w:rsidRPr="6AB3EBF0">
              <w:t>recizēts</w:t>
            </w:r>
            <w:r w:rsidR="43A4EAC8" w:rsidRPr="6AB3EBF0">
              <w:t xml:space="preserve">: </w:t>
            </w:r>
            <w:r w:rsidR="4D1281EB" w:rsidRPr="6AB3EBF0">
              <w:t>2.</w:t>
            </w:r>
            <w:r w:rsidR="1C5742B1" w:rsidRPr="6AB3EBF0">
              <w:t>no</w:t>
            </w:r>
            <w:r w:rsidR="4D1281EB" w:rsidRPr="6AB3EBF0">
              <w:t>daļas “</w:t>
            </w:r>
            <w:r w:rsidR="05DB9FAF" w:rsidRPr="6AB3EBF0">
              <w:t>Pārmaiņu</w:t>
            </w:r>
            <w:r w:rsidR="4D1281EB" w:rsidRPr="6AB3EBF0">
              <w:rPr>
                <w:rFonts w:eastAsia="Calibri"/>
              </w:rPr>
              <w:t xml:space="preserve"> virzieni un turpmākā rīcība</w:t>
            </w:r>
            <w:r w:rsidR="4D1281EB" w:rsidRPr="6AB3EBF0">
              <w:t>” 1.</w:t>
            </w:r>
            <w:r w:rsidR="786EC383" w:rsidRPr="6AB3EBF0">
              <w:t xml:space="preserve"> </w:t>
            </w:r>
            <w:r w:rsidR="4D1281EB" w:rsidRPr="6AB3EBF0">
              <w:t>r</w:t>
            </w:r>
            <w:r w:rsidR="16739B12" w:rsidRPr="6AB3EBF0">
              <w:t>īcības virziena</w:t>
            </w:r>
            <w:r w:rsidR="4D1281EB" w:rsidRPr="6AB3EBF0">
              <w:t xml:space="preserve"> apraksts</w:t>
            </w:r>
            <w:r w:rsidR="34151E01" w:rsidRPr="6AB3EBF0">
              <w:t>.</w:t>
            </w:r>
          </w:p>
        </w:tc>
      </w:tr>
      <w:tr w:rsidR="00547BD3" w:rsidRPr="003B71E0" w14:paraId="37D79B02" w14:textId="77777777" w:rsidTr="6AB3EBF0">
        <w:trPr>
          <w:trHeight w:val="2814"/>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AFC" w14:textId="76323A9D" w:rsidR="00547BD3" w:rsidRPr="003B71E0" w:rsidRDefault="265C7604" w:rsidP="6AB3EBF0">
            <w:pPr>
              <w:pStyle w:val="naisc"/>
              <w:spacing w:before="0" w:after="0"/>
            </w:pPr>
            <w:r w:rsidRPr="6AB3EBF0">
              <w:lastRenderedPageBreak/>
              <w:t>2.</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AFD" w14:textId="77777777" w:rsidR="00547BD3" w:rsidRDefault="00547BD3"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AFE" w14:textId="04596495" w:rsidR="00547BD3" w:rsidRPr="00735CED" w:rsidRDefault="00547BD3" w:rsidP="00DE1BC4">
            <w:pPr>
              <w:jc w:val="both"/>
              <w:rPr>
                <w:rFonts w:eastAsia="Calibri"/>
              </w:rPr>
            </w:pPr>
            <w:r w:rsidRPr="00735CED">
              <w:rPr>
                <w:rFonts w:eastAsia="Calibri"/>
                <w:color w:val="201F1E"/>
                <w:shd w:val="clear" w:color="auto" w:fill="FFFFFF"/>
              </w:rPr>
              <w:t>Informatīvā ziņojuma pielikumā (“</w:t>
            </w:r>
            <w:r w:rsidRPr="6AB3EBF0">
              <w:rPr>
                <w:rFonts w:eastAsia="Calibri"/>
                <w:i/>
                <w:iCs/>
                <w:color w:val="201F1E"/>
                <w:shd w:val="clear" w:color="auto" w:fill="FFFFFF"/>
              </w:rPr>
              <w:t xml:space="preserve">Informatīvais ziņojums par </w:t>
            </w:r>
            <w:proofErr w:type="spellStart"/>
            <w:r w:rsidRPr="6AB3EBF0">
              <w:rPr>
                <w:rFonts w:eastAsia="Calibri"/>
                <w:i/>
                <w:iCs/>
                <w:color w:val="201F1E"/>
                <w:shd w:val="clear" w:color="auto" w:fill="FFFFFF"/>
              </w:rPr>
              <w:t>izmēģinājumprojektu</w:t>
            </w:r>
            <w:proofErr w:type="spellEnd"/>
            <w:r w:rsidRPr="6AB3EBF0">
              <w:rPr>
                <w:rFonts w:eastAsia="Calibri"/>
                <w:i/>
                <w:iCs/>
                <w:color w:val="201F1E"/>
                <w:shd w:val="clear" w:color="auto" w:fill="FFFFFF"/>
              </w:rPr>
              <w:t xml:space="preserve"> (pilotprojektu) īstenošanas rezultātiem un turpmāko rīcību ietekmes </w:t>
            </w:r>
            <w:proofErr w:type="spellStart"/>
            <w:r w:rsidRPr="6AB3EBF0">
              <w:rPr>
                <w:rFonts w:eastAsia="Calibri"/>
                <w:i/>
                <w:iCs/>
                <w:color w:val="201F1E"/>
                <w:shd w:val="clear" w:color="auto" w:fill="FFFFFF"/>
              </w:rPr>
              <w:t>pēcpārbaude</w:t>
            </w:r>
            <w:r w:rsidR="5E88FB7C" w:rsidRPr="6AB3EBF0">
              <w:rPr>
                <w:rFonts w:eastAsia="Calibri"/>
                <w:i/>
                <w:iCs/>
                <w:color w:val="201F1E"/>
                <w:shd w:val="clear" w:color="auto" w:fill="FFFFFF"/>
              </w:rPr>
              <w:t>Ņemt</w:t>
            </w:r>
            <w:r w:rsidRPr="6AB3EBF0">
              <w:rPr>
                <w:rFonts w:eastAsia="Calibri"/>
                <w:i/>
                <w:iCs/>
                <w:color w:val="201F1E"/>
                <w:shd w:val="clear" w:color="auto" w:fill="FFFFFF"/>
              </w:rPr>
              <w:t>s</w:t>
            </w:r>
            <w:proofErr w:type="spellEnd"/>
            <w:r w:rsidRPr="6AB3EBF0">
              <w:rPr>
                <w:rFonts w:eastAsia="Calibri"/>
                <w:i/>
                <w:iCs/>
                <w:color w:val="201F1E"/>
                <w:shd w:val="clear" w:color="auto" w:fill="FFFFFF"/>
              </w:rPr>
              <w:t xml:space="preserve"> ieviešanā”</w:t>
            </w:r>
            <w:r w:rsidRPr="00735CED">
              <w:rPr>
                <w:rFonts w:eastAsia="Calibri"/>
                <w:color w:val="201F1E"/>
                <w:shd w:val="clear" w:color="auto" w:fill="FFFFFF"/>
              </w:rPr>
              <w:t xml:space="preserve">) </w:t>
            </w:r>
            <w:r w:rsidRPr="00735CED">
              <w:rPr>
                <w:rFonts w:eastAsia="Calibri"/>
              </w:rPr>
              <w:t xml:space="preserve">Valsts kancelejas veiktais </w:t>
            </w:r>
            <w:r w:rsidRPr="00735CED">
              <w:rPr>
                <w:rFonts w:eastAsia="Calibri" w:cs="Calibri"/>
                <w:shd w:val="clear" w:color="auto" w:fill="FFFFFF"/>
              </w:rPr>
              <w:t xml:space="preserve">ietekmes pēcpārbaudes novērtējums (turpmāk – Novērtējums) Ministru kabineta 2012. gada </w:t>
            </w:r>
            <w:r w:rsidRPr="00735CED">
              <w:rPr>
                <w:rFonts w:eastAsia="Calibri"/>
              </w:rPr>
              <w:t>10. jūlija noteikumiem Nr. 494 “Noteikumi par valsts tiešās pārvaldes iestādēs nodarbināto darba izpildes novērtēšanu” (turpmāk – Noteikumi) neatspoguļo visas vērtējamā jomā pastāvošās problēmas, jo ir nepilnīgs vai virspusējs, tostarp:</w:t>
            </w:r>
          </w:p>
          <w:p w14:paraId="37D79AFF" w14:textId="77777777" w:rsidR="00547BD3" w:rsidRPr="003B71E0" w:rsidRDefault="00547BD3" w:rsidP="00DE1BC4">
            <w:pPr>
              <w:contextualSpacing/>
              <w:jc w:val="both"/>
              <w:rPr>
                <w:sz w:val="20"/>
                <w:szCs w:val="20"/>
              </w:rPr>
            </w:pPr>
            <w:r w:rsidRPr="00735CED">
              <w:rPr>
                <w:rFonts w:eastAsia="Calibri"/>
              </w:rPr>
              <w:t>Novērtējumā norādīts, ka tika izmantotas gan kvalitatīvās, gan kvantitatīvās analīzes metodes, tostarp, aptaujas anketas un fokusa grupu diskusijas. Sniegta informācija, ka par kvantitatīvās analīzes metodi tika izmantota aptaujas anketa valsts tiešajā pārvaldē nodarbinātajiem  (</w:t>
            </w:r>
            <w:hyperlink r:id="rId10" w:history="1">
              <w:r w:rsidRPr="00735CED">
                <w:rPr>
                  <w:rFonts w:eastAsia="Calibri"/>
                  <w:color w:val="0563C1"/>
                  <w:u w:val="single"/>
                </w:rPr>
                <w:t>http://www.mk.gov.lv/sites/default/files/editor/valsts_parvaldes_darbinieku_iesaistisanas_aptauja_2018.pdf</w:t>
              </w:r>
            </w:hyperlink>
            <w:r w:rsidRPr="00735CED">
              <w:rPr>
                <w:rFonts w:eastAsia="Calibri"/>
                <w:color w:val="0563C1"/>
                <w:u w:val="single"/>
              </w:rPr>
              <w:t xml:space="preserve"> </w:t>
            </w:r>
            <w:r w:rsidRPr="00735CED">
              <w:rPr>
                <w:rFonts w:eastAsia="Calibri"/>
              </w:rPr>
              <w:t xml:space="preserve">), ka aptaujas anketas rezultāti sniedza plašu skatījumu uz darba izpildes novērtēšanas sistēmas praktisko darbību un ietekmi iestādes plānošanas un novērtēšanas procesā, ka kopumā anketu aizpildīja 3962 respondenti, kas ir 6,6 % no kopējā valsts tiešajā pārvaldē nodarbināto skaita. Salīdzinot publikāciju iepriekš norādītajā saitē un tos </w:t>
            </w:r>
            <w:r w:rsidRPr="00735CED">
              <w:rPr>
                <w:rFonts w:eastAsia="Calibri"/>
              </w:rPr>
              <w:lastRenderedPageBreak/>
              <w:t xml:space="preserve">Novērtējuma secinājumus, kuri pamatoti ar atsauci uz aptaujas anketu, publikācijā nav atrodams pamatojums vairākiem apgalvojumiem/jautājumiem, piemēram, attiecībā uz novērtēšanas kritēriju skaidrību, amatam noteikto vērtējamo kompetenču atbilstību, vērtējamo kompetenču aprakstu saprotamību un pamatotību.  </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B7E00D" w14:textId="51BF5CC6" w:rsidR="00547BD3" w:rsidRPr="003B71E0" w:rsidRDefault="53105EE0" w:rsidP="0F0996BD">
            <w:pPr>
              <w:pStyle w:val="naisc"/>
              <w:spacing w:before="0" w:after="0"/>
              <w:rPr>
                <w:b/>
                <w:bCs/>
              </w:rPr>
            </w:pPr>
            <w:r w:rsidRPr="0F0996BD">
              <w:rPr>
                <w:b/>
                <w:bCs/>
              </w:rPr>
              <w:lastRenderedPageBreak/>
              <w:t>Ņemts vērā</w:t>
            </w:r>
          </w:p>
          <w:p w14:paraId="0CC86464" w14:textId="21938BAE" w:rsidR="00547BD3" w:rsidRPr="003B71E0" w:rsidRDefault="46954672" w:rsidP="0CFDBB31">
            <w:pPr>
              <w:pStyle w:val="naisc"/>
              <w:spacing w:before="0" w:after="0"/>
              <w:jc w:val="both"/>
              <w:rPr>
                <w:rFonts w:eastAsia="Calibri"/>
              </w:rPr>
            </w:pPr>
            <w:r w:rsidRPr="6AB3EBF0">
              <w:rPr>
                <w:rFonts w:eastAsia="Calibri"/>
              </w:rPr>
              <w:t xml:space="preserve">Piekrītam, ka veiktais </w:t>
            </w:r>
            <w:proofErr w:type="spellStart"/>
            <w:r w:rsidRPr="6AB3EBF0">
              <w:rPr>
                <w:rFonts w:eastAsia="Calibri"/>
              </w:rPr>
              <w:t>ex</w:t>
            </w:r>
            <w:proofErr w:type="spellEnd"/>
            <w:r w:rsidRPr="6AB3EBF0">
              <w:rPr>
                <w:rFonts w:eastAsia="Calibri"/>
              </w:rPr>
              <w:t>-post novērtējums nav pilnīgs, taču šī ziņojuma mērķis</w:t>
            </w:r>
            <w:r w:rsidR="16A831E6" w:rsidRPr="6AB3EBF0">
              <w:rPr>
                <w:rFonts w:eastAsia="Calibri"/>
              </w:rPr>
              <w:t xml:space="preserve"> </w:t>
            </w:r>
            <w:r w:rsidR="580573F8" w:rsidRPr="6AB3EBF0">
              <w:rPr>
                <w:rFonts w:eastAsia="Calibri"/>
              </w:rPr>
              <w:t xml:space="preserve">nav </w:t>
            </w:r>
            <w:r w:rsidR="3441D42E" w:rsidRPr="6AB3EBF0">
              <w:rPr>
                <w:rFonts w:eastAsia="Calibri"/>
              </w:rPr>
              <w:t xml:space="preserve">veiktos </w:t>
            </w:r>
            <w:proofErr w:type="spellStart"/>
            <w:r w:rsidR="3441D42E" w:rsidRPr="6AB3EBF0">
              <w:rPr>
                <w:rFonts w:eastAsia="Calibri"/>
              </w:rPr>
              <w:t>ex</w:t>
            </w:r>
            <w:proofErr w:type="spellEnd"/>
            <w:r w:rsidR="3441D42E" w:rsidRPr="6AB3EBF0">
              <w:rPr>
                <w:rFonts w:eastAsia="Calibri"/>
              </w:rPr>
              <w:t xml:space="preserve">-post novērtējumus </w:t>
            </w:r>
            <w:r w:rsidR="580573F8" w:rsidRPr="6AB3EBF0">
              <w:rPr>
                <w:rFonts w:eastAsia="Calibri"/>
              </w:rPr>
              <w:t xml:space="preserve">apstiprināt, </w:t>
            </w:r>
            <w:r w:rsidR="2DFD2DF1" w:rsidRPr="6AB3EBF0">
              <w:rPr>
                <w:rFonts w:eastAsia="Calibri"/>
              </w:rPr>
              <w:t>bet demonstrēt, ka pašu iestāžu veiktaj</w:t>
            </w:r>
            <w:r w:rsidR="6D4835A3" w:rsidRPr="6AB3EBF0">
              <w:rPr>
                <w:rFonts w:eastAsia="Calibri"/>
              </w:rPr>
              <w:t>iem</w:t>
            </w:r>
            <w:r w:rsidR="580573F8" w:rsidRPr="6AB3EBF0">
              <w:rPr>
                <w:rFonts w:eastAsia="Calibri"/>
              </w:rPr>
              <w:t xml:space="preserve"> </w:t>
            </w:r>
            <w:r w:rsidR="79209996" w:rsidRPr="6AB3EBF0">
              <w:rPr>
                <w:rFonts w:eastAsia="Calibri"/>
              </w:rPr>
              <w:t>novērtējum</w:t>
            </w:r>
            <w:r w:rsidR="46DF3DDB" w:rsidRPr="6AB3EBF0">
              <w:rPr>
                <w:rFonts w:eastAsia="Calibri"/>
              </w:rPr>
              <w:t>ie</w:t>
            </w:r>
            <w:r w:rsidR="79209996" w:rsidRPr="6AB3EBF0">
              <w:rPr>
                <w:rFonts w:eastAsia="Calibri"/>
              </w:rPr>
              <w:t>m ir vairāki riski</w:t>
            </w:r>
            <w:r w:rsidR="6112D66C" w:rsidRPr="6AB3EBF0">
              <w:rPr>
                <w:rFonts w:eastAsia="Calibri"/>
              </w:rPr>
              <w:t xml:space="preserve"> nesasniegt nosprausto</w:t>
            </w:r>
            <w:r w:rsidR="4B63CCEA" w:rsidRPr="6AB3EBF0">
              <w:rPr>
                <w:rFonts w:eastAsia="Calibri"/>
              </w:rPr>
              <w:t>s</w:t>
            </w:r>
            <w:r w:rsidR="6112D66C" w:rsidRPr="6AB3EBF0">
              <w:rPr>
                <w:rFonts w:eastAsia="Calibri"/>
              </w:rPr>
              <w:t xml:space="preserve"> mērķ</w:t>
            </w:r>
            <w:r w:rsidR="3D4A1418" w:rsidRPr="6AB3EBF0">
              <w:rPr>
                <w:rFonts w:eastAsia="Calibri"/>
              </w:rPr>
              <w:t>us</w:t>
            </w:r>
            <w:r w:rsidR="6112D66C" w:rsidRPr="6AB3EBF0">
              <w:rPr>
                <w:rFonts w:eastAsia="Calibri"/>
              </w:rPr>
              <w:t>.</w:t>
            </w:r>
            <w:r w:rsidR="02BD1C8B" w:rsidRPr="6AB3EBF0">
              <w:rPr>
                <w:rFonts w:eastAsia="Calibri"/>
              </w:rPr>
              <w:t xml:space="preserve"> </w:t>
            </w:r>
            <w:r w:rsidR="6490B209" w:rsidRPr="6AB3EBF0">
              <w:rPr>
                <w:rFonts w:eastAsia="Calibri"/>
              </w:rPr>
              <w:t>V</w:t>
            </w:r>
            <w:r w:rsidR="2A18015A" w:rsidRPr="6AB3EBF0">
              <w:rPr>
                <w:rFonts w:eastAsia="Calibri"/>
              </w:rPr>
              <w:t>K</w:t>
            </w:r>
            <w:r w:rsidR="6490B209" w:rsidRPr="6AB3EBF0">
              <w:rPr>
                <w:rFonts w:eastAsia="Calibri"/>
              </w:rPr>
              <w:t xml:space="preserve"> ieskatā </w:t>
            </w:r>
            <w:r w:rsidR="789355B8" w:rsidRPr="6AB3EBF0">
              <w:rPr>
                <w:rFonts w:eastAsia="Calibri"/>
              </w:rPr>
              <w:t>regulējuma</w:t>
            </w:r>
            <w:r w:rsidR="6490B209" w:rsidRPr="6AB3EBF0">
              <w:rPr>
                <w:rFonts w:eastAsia="Calibri"/>
              </w:rPr>
              <w:t xml:space="preserve"> izstrāde, īstenošana un novērtēšana nebūtu jāveic vienai un tai paša</w:t>
            </w:r>
            <w:r w:rsidR="0E4CD258" w:rsidRPr="6AB3EBF0">
              <w:rPr>
                <w:rFonts w:eastAsia="Calibri"/>
              </w:rPr>
              <w:t>i personai/iestādei</w:t>
            </w:r>
            <w:r w:rsidR="19949918" w:rsidRPr="6AB3EBF0">
              <w:rPr>
                <w:rFonts w:eastAsia="Calibri"/>
              </w:rPr>
              <w:t>, jo tas ir saistīts ar subjektivitātes, efektivitātes u.c.  riskiem</w:t>
            </w:r>
            <w:r w:rsidR="0E4CD258" w:rsidRPr="6AB3EBF0">
              <w:rPr>
                <w:rFonts w:eastAsia="Calibri"/>
              </w:rPr>
              <w:t>.</w:t>
            </w:r>
            <w:r w:rsidR="6490B209" w:rsidRPr="6AB3EBF0">
              <w:rPr>
                <w:rFonts w:eastAsia="Calibri"/>
              </w:rPr>
              <w:t xml:space="preserve"> </w:t>
            </w:r>
          </w:p>
          <w:p w14:paraId="37D79B00" w14:textId="4D6DC21A" w:rsidR="00547BD3" w:rsidRPr="003B71E0" w:rsidRDefault="0CBEE7B9" w:rsidP="6AB3EBF0">
            <w:pPr>
              <w:pStyle w:val="naisc"/>
              <w:spacing w:before="0" w:after="0"/>
              <w:jc w:val="both"/>
              <w:rPr>
                <w:rFonts w:eastAsia="Calibri"/>
              </w:rPr>
            </w:pPr>
            <w:r w:rsidRPr="6AB3EBF0">
              <w:rPr>
                <w:rFonts w:eastAsia="Calibri"/>
              </w:rPr>
              <w:t>Papildus vēlamies atzīmēt, ka n</w:t>
            </w:r>
            <w:r w:rsidR="01947F99" w:rsidRPr="6AB3EBF0">
              <w:rPr>
                <w:rFonts w:eastAsia="Calibri"/>
              </w:rPr>
              <w:t>ovērtēšanas sistēmas izpēte nebalstījās uz iesaistīšanās pētījumu, kas norādīts saitē, bet uz citu pētījumu</w:t>
            </w:r>
            <w:r w:rsidR="38445229" w:rsidRPr="6AB3EBF0">
              <w:rPr>
                <w:rFonts w:eastAsia="Calibri"/>
              </w:rPr>
              <w:t>.</w:t>
            </w:r>
          </w:p>
        </w:tc>
        <w:tc>
          <w:tcPr>
            <w:tcW w:w="3260" w:type="dxa"/>
            <w:tcBorders>
              <w:top w:val="single" w:sz="4" w:space="0" w:color="auto"/>
              <w:left w:val="single" w:sz="4" w:space="0" w:color="auto"/>
              <w:bottom w:val="single" w:sz="4" w:space="0" w:color="auto"/>
            </w:tcBorders>
          </w:tcPr>
          <w:p w14:paraId="37D79B01" w14:textId="78644217" w:rsidR="00547BD3" w:rsidRPr="003B71E0" w:rsidRDefault="00547BD3" w:rsidP="00547BD3">
            <w:pPr>
              <w:jc w:val="center"/>
              <w:rPr>
                <w:sz w:val="20"/>
                <w:szCs w:val="20"/>
              </w:rPr>
            </w:pPr>
          </w:p>
        </w:tc>
      </w:tr>
      <w:tr w:rsidR="00547BD3" w:rsidRPr="003B71E0" w14:paraId="37D79B08"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03" w14:textId="6C70F2ED" w:rsidR="00547BD3" w:rsidRPr="003B71E0" w:rsidRDefault="4B29AE11" w:rsidP="6AB3EBF0">
            <w:pPr>
              <w:pStyle w:val="naisc"/>
              <w:spacing w:before="0" w:after="0"/>
            </w:pPr>
            <w:r w:rsidRPr="6AB3EBF0">
              <w:t>3.</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04" w14:textId="77777777" w:rsidR="00547BD3" w:rsidRDefault="00547BD3"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05" w14:textId="39A4DAB1" w:rsidR="00547BD3" w:rsidRPr="003B71E0" w:rsidRDefault="00547BD3" w:rsidP="00DE1BC4">
            <w:pPr>
              <w:pStyle w:val="naisc"/>
              <w:spacing w:before="0" w:after="0"/>
              <w:jc w:val="both"/>
              <w:rPr>
                <w:sz w:val="20"/>
                <w:szCs w:val="20"/>
              </w:rPr>
            </w:pPr>
            <w:r w:rsidRPr="6AB3EBF0">
              <w:rPr>
                <w:rFonts w:eastAsia="Calibri"/>
              </w:rPr>
              <w:t xml:space="preserve">Novērtējumā noradīts, ka lielākā daļa aptaujas anketas respondentu piekrīt vai daļēji piekrīt tam, ka viņu amatam ir noteiktas atbilstošas vērtējamās kompetences, un secināts, ka Noteikumos izvirzītais tiešais mērķis tika sasniegts. Novērtējumā nav sniegta tālāka analīze par neatbilstošām vērtējamām kompetencēm, kā arī nav veiktas fokusa diskusijas ar valsts pārvaldes iekšējā audita politikas veidotājiem, līdz ar to Novērtējums neatspoguļo sistēmiski iebūvētu problēmu attiecībā uz iekšējā audita amatu saimi, kurai vērtējamās kompetences noteiktas neatbilstoši darba būtībai. Ievērojot, ka iekšējie auditori ietverti atbalsta funkciju veicēju grupā, pakārtoti tai tiek noteiktas arī vērtējamās kompetences. Iekšējo auditoru darba saturs un kompetences pēc būtības ir tuvākas vadības vai pamatdarbības funkciju veicējiem, bet faktiski (t.i., kā atbalsta funkciju veicējiem) vērtējamās kompetences tikai daļēji atbilst šai profesijai izvirzāmajām prasībām un sagaidāmo darba rezultātu kvalitātei. Ņemot vērā iekšējā audita </w:t>
            </w:r>
            <w:r w:rsidRPr="6AB3EBF0">
              <w:rPr>
                <w:rFonts w:eastAsia="Calibri"/>
              </w:rPr>
              <w:lastRenderedPageBreak/>
              <w:t>starptautisko profesionālo organizāciju standartus un viedokļus, kā arī faktisko situāciju Latvijas valsts pārvaldē, iekšējais audits nevis tikai sniedz atbalstu pamatfunkciju sekmīgai ieviešanai (atbalsta funkcijas veicēju mērķis), bet galvenokārt palīdz iestādei sasniegt tās mērķus, novērtējot iestādes pārvaldības, risku vadības un kontroles procesus (iekšējās kontroles sistēmas darbību) un sekmējot visu iestādēs esošo funkciju, procesu pilnveidošanu un valsts pārvaldes efektivitāti. Salīdzinot ar atbalsta funkciju veicējiem, iekšējiem auditoriem ir lielākas pilnvaras un atbildība, darba sarežģītība, plašāks sadarbības mērogs un jādemonstrē vispusīgākas kompetences, līdz ar to iekšējā audita profesijas pārstāvjiem izvirzītās kompetences pārsniedz atbalsta funkciju veicējiem izvirzītās kompetences un pašos pamatos ir nepareizi iekšējo auditu klasificēt atbalsta funkciju grupā. Lai nodrošinātu pilnvērtīgu nodarbināto darba rezultātu vērtēšanu, kā arī novērstu neatbilstošu normu radītās nelabvēlīgās sekas, ir būtiski valsts pārvaldes iekšējiem auditoriem noteikt mūsdienu prasībām atbilstošu kompetenču ietvaru, lai stiprinātu iekšējā audita funkciju un virzītos uz augstāku profesionalitāti iekšējo auditoru darba sniegumā un rezultātos. (</w:t>
            </w:r>
            <w:r w:rsidRPr="6AB3EBF0">
              <w:rPr>
                <w:rFonts w:eastAsia="Calibri"/>
                <w:i/>
                <w:iCs/>
              </w:rPr>
              <w:t xml:space="preserve">Papildus vēršam uzmanību, ka saskaņā ar Ministru kabineta 2010.gada 14.decembra ieteikumiem Nr.2 “Valsts pārvaldes iestādes struktūras </w:t>
            </w:r>
            <w:r w:rsidRPr="6AB3EBF0">
              <w:rPr>
                <w:rFonts w:eastAsia="Calibri"/>
                <w:i/>
                <w:iCs/>
              </w:rPr>
              <w:lastRenderedPageBreak/>
              <w:t>izveidošanas kārtība” iekšējais audits ir klasificēts atbalsta funkciju amatu grupā, un šim iedalījumam ir konsekvences citos ar valsts pārvaldes cilvēkresursu vadību saistītos jautājumos attiecībā uz iekšējo auditu, piemēram kompetenču definēšanā, novērtēšanā un attīstīšanā)</w:t>
            </w:r>
            <w:r w:rsidRPr="6AB3EBF0">
              <w:rPr>
                <w:rFonts w:eastAsia="Calibri"/>
              </w:rPr>
              <w:t>.</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89103A" w14:textId="65113F7E" w:rsidR="00547BD3" w:rsidRPr="003B71E0" w:rsidRDefault="4D58E808" w:rsidP="0CFDBB31">
            <w:pPr>
              <w:jc w:val="center"/>
              <w:rPr>
                <w:rFonts w:eastAsia="Calibri"/>
                <w:b/>
                <w:bCs/>
              </w:rPr>
            </w:pPr>
            <w:r w:rsidRPr="0CFDBB31">
              <w:rPr>
                <w:rFonts w:eastAsia="Calibri"/>
                <w:b/>
                <w:bCs/>
              </w:rPr>
              <w:lastRenderedPageBreak/>
              <w:t>Ņemts vērā</w:t>
            </w:r>
          </w:p>
          <w:p w14:paraId="65396F99" w14:textId="06FF4537" w:rsidR="00547BD3" w:rsidRPr="003B71E0" w:rsidRDefault="4D58E808" w:rsidP="0CFDBB31">
            <w:pPr>
              <w:jc w:val="both"/>
              <w:rPr>
                <w:rFonts w:eastAsia="Calibri"/>
              </w:rPr>
            </w:pPr>
            <w:r w:rsidRPr="0CFDBB31">
              <w:rPr>
                <w:rFonts w:eastAsia="Calibri"/>
              </w:rPr>
              <w:t>Iebildumā norādītā problēma neizriet no M</w:t>
            </w:r>
            <w:r w:rsidR="35D6EF2B" w:rsidRPr="0CFDBB31">
              <w:rPr>
                <w:rFonts w:eastAsia="Calibri"/>
              </w:rPr>
              <w:t xml:space="preserve">inistru kabineta </w:t>
            </w:r>
            <w:r w:rsidRPr="0CFDBB31">
              <w:rPr>
                <w:rFonts w:eastAsia="Calibri"/>
              </w:rPr>
              <w:t xml:space="preserve">2012. gada 10. jūlija noteikumiem Nr. 494 “Noteikumi par valsts tiešās pārvaldes iestādēs nodarbināto darba izpildes novērtēšanu”, bet gan  no to piemērošanas prakses. To, kurā amatu grupā amatu iekļaut, lemj institūcija, balstoties uz amatu pienākumu saturu (“34. Amatu dalījumu amatu grupās un amatu grupām obligāti vērtējamās kompetences nosaka iestādes vadītājs vai viņa deleģēta persona. Visām amatu grupām obligāti vērtējamā kompetence ir "ētiskums".) Turklāt veiktā aptauja nesniedza norādes uz to, ka tieši iekšējā audita funkcijas veicējiem ir nepareizi noteiktas kompetences, </w:t>
            </w:r>
            <w:r w:rsidRPr="0CFDBB31">
              <w:rPr>
                <w:rFonts w:eastAsia="Calibri"/>
              </w:rPr>
              <w:lastRenderedPageBreak/>
              <w:t xml:space="preserve">tādējādi nebija iespējams izdarīt šādu secinājumu, lai to iekļautu </w:t>
            </w:r>
            <w:proofErr w:type="spellStart"/>
            <w:r w:rsidRPr="0CFDBB31">
              <w:rPr>
                <w:rFonts w:eastAsia="Calibri"/>
              </w:rPr>
              <w:t>izvērtējumā</w:t>
            </w:r>
            <w:proofErr w:type="spellEnd"/>
            <w:r w:rsidRPr="0CFDBB31">
              <w:rPr>
                <w:rFonts w:eastAsia="Calibri"/>
              </w:rPr>
              <w:t xml:space="preserve">. Uz šādu problēmu nenorādīja arī organizētās </w:t>
            </w:r>
            <w:proofErr w:type="spellStart"/>
            <w:r w:rsidRPr="0CFDBB31">
              <w:rPr>
                <w:rFonts w:eastAsia="Calibri"/>
              </w:rPr>
              <w:t>fokusgrupu</w:t>
            </w:r>
            <w:proofErr w:type="spellEnd"/>
            <w:r w:rsidRPr="0CFDBB31">
              <w:rPr>
                <w:rFonts w:eastAsia="Calibri"/>
              </w:rPr>
              <w:t xml:space="preserve"> diskusijas. </w:t>
            </w:r>
          </w:p>
          <w:p w14:paraId="56A14156" w14:textId="0A7BE89A" w:rsidR="00547BD3" w:rsidRPr="003B71E0" w:rsidRDefault="4D58E808" w:rsidP="0CFDBB31">
            <w:pPr>
              <w:jc w:val="both"/>
            </w:pPr>
            <w:r w:rsidRPr="6AB3EBF0">
              <w:rPr>
                <w:rFonts w:eastAsia="Calibri"/>
              </w:rPr>
              <w:t>2017. gad</w:t>
            </w:r>
            <w:r w:rsidR="70673555" w:rsidRPr="6AB3EBF0">
              <w:rPr>
                <w:rFonts w:eastAsia="Calibri"/>
              </w:rPr>
              <w:t>ā</w:t>
            </w:r>
            <w:r w:rsidRPr="6AB3EBF0">
              <w:rPr>
                <w:rFonts w:eastAsia="Calibri"/>
              </w:rPr>
              <w:t>,</w:t>
            </w:r>
            <w:r w:rsidR="360C5DC2" w:rsidRPr="6AB3EBF0">
              <w:rPr>
                <w:rFonts w:eastAsia="Calibri"/>
              </w:rPr>
              <w:t xml:space="preserve"> laika posmā,</w:t>
            </w:r>
            <w:r w:rsidRPr="6AB3EBF0">
              <w:rPr>
                <w:rFonts w:eastAsia="Calibri"/>
              </w:rPr>
              <w:t xml:space="preserve"> kad tika veikta aptauja, V</w:t>
            </w:r>
            <w:r w:rsidR="1953B247" w:rsidRPr="6AB3EBF0">
              <w:rPr>
                <w:rFonts w:eastAsia="Calibri"/>
              </w:rPr>
              <w:t>K</w:t>
            </w:r>
            <w:r w:rsidRPr="6AB3EBF0">
              <w:rPr>
                <w:rFonts w:eastAsia="Calibri"/>
              </w:rPr>
              <w:t xml:space="preserve"> ir izstrādājusi vairākas iniciatīvas, kuras </w:t>
            </w:r>
            <w:r w:rsidR="167A253B" w:rsidRPr="6AB3EBF0">
              <w:rPr>
                <w:rFonts w:eastAsia="Calibri"/>
              </w:rPr>
              <w:t xml:space="preserve">vērstas uz </w:t>
            </w:r>
            <w:r w:rsidRPr="6AB3EBF0">
              <w:rPr>
                <w:rFonts w:eastAsia="Calibri"/>
              </w:rPr>
              <w:t>sistēmisk</w:t>
            </w:r>
            <w:r w:rsidR="2B62EA1E" w:rsidRPr="6AB3EBF0">
              <w:rPr>
                <w:rFonts w:eastAsia="Calibri"/>
              </w:rPr>
              <w:t>ām</w:t>
            </w:r>
            <w:r w:rsidRPr="6AB3EBF0">
              <w:rPr>
                <w:rFonts w:eastAsia="Calibri"/>
              </w:rPr>
              <w:t xml:space="preserve"> esoš</w:t>
            </w:r>
            <w:r w:rsidR="191875C8" w:rsidRPr="6AB3EBF0">
              <w:rPr>
                <w:rFonts w:eastAsia="Calibri"/>
              </w:rPr>
              <w:t>ās</w:t>
            </w:r>
            <w:r w:rsidRPr="6AB3EBF0">
              <w:rPr>
                <w:rFonts w:eastAsia="Calibri"/>
              </w:rPr>
              <w:t xml:space="preserve"> pieej</w:t>
            </w:r>
            <w:r w:rsidR="435C0ACF" w:rsidRPr="6AB3EBF0">
              <w:rPr>
                <w:rFonts w:eastAsia="Calibri"/>
              </w:rPr>
              <w:t>as</w:t>
            </w:r>
            <w:r w:rsidRPr="6AB3EBF0">
              <w:rPr>
                <w:rFonts w:eastAsia="Calibri"/>
              </w:rPr>
              <w:t xml:space="preserve"> darba snieguma novērtēšanai</w:t>
            </w:r>
            <w:r w:rsidR="6B77CBDF" w:rsidRPr="6AB3EBF0">
              <w:rPr>
                <w:rFonts w:eastAsia="Calibri"/>
              </w:rPr>
              <w:t xml:space="preserve"> pārmaiņām</w:t>
            </w:r>
            <w:r w:rsidRPr="6AB3EBF0">
              <w:rPr>
                <w:rFonts w:eastAsia="Calibri"/>
              </w:rPr>
              <w:t>: atlīdzības likumprojekt</w:t>
            </w:r>
            <w:r w:rsidR="585FACBF" w:rsidRPr="6AB3EBF0">
              <w:rPr>
                <w:rFonts w:eastAsia="Calibri"/>
              </w:rPr>
              <w:t>s</w:t>
            </w:r>
            <w:r w:rsidRPr="6AB3EBF0">
              <w:rPr>
                <w:rFonts w:eastAsia="Calibri"/>
              </w:rPr>
              <w:t>, jaun</w:t>
            </w:r>
            <w:r w:rsidR="108B29D1" w:rsidRPr="6AB3EBF0">
              <w:rPr>
                <w:rFonts w:eastAsia="Calibri"/>
              </w:rPr>
              <w:t>s</w:t>
            </w:r>
            <w:r w:rsidRPr="6AB3EBF0">
              <w:rPr>
                <w:rFonts w:eastAsia="Calibri"/>
              </w:rPr>
              <w:t xml:space="preserve"> amatu kataloga projekt</w:t>
            </w:r>
            <w:r w:rsidR="4B746154" w:rsidRPr="6AB3EBF0">
              <w:rPr>
                <w:rFonts w:eastAsia="Calibri"/>
              </w:rPr>
              <w:t>s</w:t>
            </w:r>
            <w:r w:rsidRPr="6AB3EBF0">
              <w:rPr>
                <w:rFonts w:eastAsia="Calibri"/>
              </w:rPr>
              <w:t>, Mācīšanās un attīstības stratēģijas projekt</w:t>
            </w:r>
            <w:r w:rsidR="2F3E3660" w:rsidRPr="6AB3EBF0">
              <w:rPr>
                <w:rFonts w:eastAsia="Calibri"/>
              </w:rPr>
              <w:t>s</w:t>
            </w:r>
            <w:r w:rsidRPr="6AB3EBF0">
              <w:rPr>
                <w:rFonts w:eastAsia="Calibri"/>
              </w:rPr>
              <w:t>, jau</w:t>
            </w:r>
            <w:r w:rsidR="59265B8F" w:rsidRPr="6AB3EBF0">
              <w:rPr>
                <w:rFonts w:eastAsia="Calibri"/>
              </w:rPr>
              <w:t>ns</w:t>
            </w:r>
            <w:r w:rsidRPr="6AB3EBF0">
              <w:rPr>
                <w:rFonts w:eastAsia="Calibri"/>
              </w:rPr>
              <w:t xml:space="preserve"> institūciju darbības stratēģijas instrukcijas projekt</w:t>
            </w:r>
            <w:r w:rsidR="0299C49C" w:rsidRPr="6AB3EBF0">
              <w:rPr>
                <w:rFonts w:eastAsia="Calibri"/>
              </w:rPr>
              <w:t>s</w:t>
            </w:r>
            <w:r w:rsidRPr="6AB3EBF0">
              <w:rPr>
                <w:rFonts w:eastAsia="Calibri"/>
              </w:rPr>
              <w:t>,</w:t>
            </w:r>
            <w:r w:rsidR="51F2DBC7" w:rsidRPr="6AB3EBF0">
              <w:rPr>
                <w:rFonts w:eastAsia="Calibri"/>
              </w:rPr>
              <w:t xml:space="preserve"> tāpat</w:t>
            </w:r>
            <w:r w:rsidRPr="6AB3EBF0">
              <w:rPr>
                <w:rFonts w:eastAsia="Calibri"/>
              </w:rPr>
              <w:t xml:space="preserve"> Valsts administrācijas skolas vadībā notiek darbs pie attīstības potenciāla novērtēšanas metodikas un jauniem profesionālajiem kompetenču modeļiem, kas veidos pamatu jaunām mācību programmām. Paredzams, ka visi šie procesi kopumā veidos jaunu pieeju darba snieguma vadīšanai un nodarbināto attīstībai, kas būs ar lielāku pievienoto vērtību un risinās esošo sistēmu problēmas. Lai šīs iniciatīvas izstrādātu, V</w:t>
            </w:r>
            <w:r w:rsidR="464E0432" w:rsidRPr="6AB3EBF0">
              <w:rPr>
                <w:rFonts w:eastAsia="Calibri"/>
              </w:rPr>
              <w:t>K</w:t>
            </w:r>
            <w:r w:rsidRPr="6AB3EBF0">
              <w:rPr>
                <w:rFonts w:eastAsia="Calibri"/>
              </w:rPr>
              <w:t xml:space="preserve"> balstījās gan uz 2017. gada pētījumu, gan uz citiem tieši un netieši saistītiem pierādījumiem </w:t>
            </w:r>
            <w:r w:rsidRPr="6AB3EBF0">
              <w:rPr>
                <w:rFonts w:eastAsia="Calibri"/>
              </w:rPr>
              <w:lastRenderedPageBreak/>
              <w:t>par esošās sistēmas trūkumiem (tajā skaitā Inovācijas laboratorijā izstrādātā prototipa) un aktuālajiem aptauju datiem.</w:t>
            </w:r>
          </w:p>
          <w:p w14:paraId="37D79B06" w14:textId="12C531CA" w:rsidR="00547BD3" w:rsidRPr="003B71E0" w:rsidRDefault="10780604" w:rsidP="6AB3EBF0">
            <w:pPr>
              <w:jc w:val="both"/>
              <w:rPr>
                <w:rFonts w:eastAsia="Calibri"/>
                <w:i/>
                <w:iCs/>
              </w:rPr>
            </w:pPr>
            <w:r w:rsidRPr="6AB3EBF0">
              <w:rPr>
                <w:rFonts w:eastAsia="Calibri"/>
                <w:i/>
                <w:iCs/>
              </w:rPr>
              <w:t xml:space="preserve">Sk. </w:t>
            </w:r>
            <w:r w:rsidR="1CC6311D" w:rsidRPr="6AB3EBF0">
              <w:rPr>
                <w:rFonts w:eastAsia="Calibri"/>
                <w:i/>
                <w:iCs/>
              </w:rPr>
              <w:t>a</w:t>
            </w:r>
            <w:r w:rsidR="3451C210" w:rsidRPr="6AB3EBF0">
              <w:rPr>
                <w:rFonts w:eastAsia="Calibri"/>
                <w:i/>
                <w:iCs/>
              </w:rPr>
              <w:t xml:space="preserve">rī </w:t>
            </w:r>
            <w:r w:rsidRPr="6AB3EBF0">
              <w:rPr>
                <w:rFonts w:eastAsia="Calibri"/>
                <w:i/>
                <w:iCs/>
              </w:rPr>
              <w:t>VK skaidrojum</w:t>
            </w:r>
            <w:r w:rsidR="35F54A17" w:rsidRPr="6AB3EBF0">
              <w:rPr>
                <w:rFonts w:eastAsia="Calibri"/>
                <w:i/>
                <w:iCs/>
              </w:rPr>
              <w:t>a</w:t>
            </w:r>
            <w:r w:rsidRPr="6AB3EBF0">
              <w:rPr>
                <w:rFonts w:eastAsia="Calibri"/>
                <w:i/>
                <w:iCs/>
              </w:rPr>
              <w:t xml:space="preserve"> par 2.iebildumu</w:t>
            </w:r>
            <w:r w:rsidR="385588BF" w:rsidRPr="6AB3EBF0">
              <w:rPr>
                <w:rFonts w:eastAsia="Calibri"/>
                <w:i/>
                <w:iCs/>
              </w:rPr>
              <w:t xml:space="preserve"> pirmo rindkopu</w:t>
            </w:r>
            <w:r w:rsidRPr="6AB3EBF0">
              <w:rPr>
                <w:rFonts w:eastAsia="Calibri"/>
                <w:i/>
                <w:iCs/>
              </w:rPr>
              <w:t xml:space="preserve">. </w:t>
            </w:r>
          </w:p>
        </w:tc>
        <w:tc>
          <w:tcPr>
            <w:tcW w:w="3260" w:type="dxa"/>
            <w:tcBorders>
              <w:top w:val="single" w:sz="4" w:space="0" w:color="auto"/>
              <w:left w:val="single" w:sz="4" w:space="0" w:color="auto"/>
              <w:bottom w:val="single" w:sz="4" w:space="0" w:color="auto"/>
            </w:tcBorders>
          </w:tcPr>
          <w:p w14:paraId="37D79B07" w14:textId="229ADE39" w:rsidR="00547BD3" w:rsidRPr="003B71E0" w:rsidRDefault="00547BD3" w:rsidP="0CFDBB31">
            <w:pPr>
              <w:jc w:val="center"/>
              <w:rPr>
                <w:sz w:val="20"/>
                <w:szCs w:val="20"/>
              </w:rPr>
            </w:pPr>
          </w:p>
        </w:tc>
      </w:tr>
      <w:tr w:rsidR="00547BD3" w:rsidRPr="003B71E0" w14:paraId="37D79B0E" w14:textId="77777777" w:rsidTr="6AB3EBF0">
        <w:trPr>
          <w:trHeight w:val="688"/>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09" w14:textId="12EA9203" w:rsidR="00547BD3" w:rsidRPr="003B71E0" w:rsidRDefault="44524DDB" w:rsidP="6AB3EBF0">
            <w:pPr>
              <w:pStyle w:val="naisc"/>
              <w:spacing w:before="0" w:after="0"/>
            </w:pPr>
            <w:r w:rsidRPr="6AB3EBF0">
              <w:lastRenderedPageBreak/>
              <w:t>4.</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0A" w14:textId="77777777" w:rsidR="00547BD3" w:rsidRDefault="00547BD3"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0B" w14:textId="04667F7D" w:rsidR="00547BD3" w:rsidRPr="00E044A0" w:rsidRDefault="00547BD3" w:rsidP="00E044A0">
            <w:pPr>
              <w:spacing w:line="259" w:lineRule="auto"/>
              <w:contextualSpacing/>
              <w:jc w:val="both"/>
              <w:rPr>
                <w:rFonts w:eastAsia="Calibri"/>
              </w:rPr>
            </w:pPr>
            <w:r w:rsidRPr="6AB3EBF0">
              <w:rPr>
                <w:rFonts w:eastAsia="Calibri"/>
              </w:rPr>
              <w:t xml:space="preserve">Novērtējumā konstatēts, ka nodarbināto ikgadējās darba izpildes novērtēšanas ietvaros tiek noteiktas mācību un attīstības vajadzības, un secināts, ka Noteikumos izvirzītais tiešais mērķis tika sasniegts, neskatoties uz to, ka lielākā daļa aptaujas anketas respondentu nav varējuši vai viņiem nav bijusi iespēja apmeklēt plānotās apmācības, kuras bija definētas. Novērtējuma ietvaros nav sniegta tālāka analīze par minēto problēmu, proti, netika apzināti cēloņi konstatētajai problēmai un sniegti priekšlikumi, lai novērstu situācijas, ka plānotās mācības nevar īstenot un darbinieku profesionālā pilnveidošanās pilnvērtīgi nenotiek. Piemēram, iekšējā audita jomā ir minami šādi iemesli: iestādēm ir ierobežots finansējums, lai īstenotu apmācības, kā arī ne vienmēr ir pieejamas pēc satura atbilstošas mācības, lai celtu profesionālo kvalifikāciju. Nodarbināto mācību un attīstības vajadzību īstenošana ir būtiska ne vien, lai nodrošinātu loģisku ciklu un novērtēšanā ieguldīto resursu lietderību, bet arī    kopumā nodrošinātu valsts </w:t>
            </w:r>
            <w:r w:rsidRPr="6AB3EBF0">
              <w:rPr>
                <w:rFonts w:eastAsia="Calibri"/>
              </w:rPr>
              <w:lastRenderedPageBreak/>
              <w:t>pārvaldē nodarbināto darba snieguma kvalitātes un efektivitātes paaugstināšanos.</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302AA" w14:textId="71353AC1" w:rsidR="00547BD3" w:rsidRPr="003B71E0" w:rsidRDefault="5D478EB9" w:rsidP="0CFDBB31">
            <w:pPr>
              <w:jc w:val="center"/>
              <w:rPr>
                <w:b/>
                <w:bCs/>
              </w:rPr>
            </w:pPr>
            <w:r w:rsidRPr="0CFDBB31">
              <w:rPr>
                <w:b/>
                <w:bCs/>
              </w:rPr>
              <w:lastRenderedPageBreak/>
              <w:t>Ņemts vērā</w:t>
            </w:r>
          </w:p>
          <w:p w14:paraId="00A3B7A2" w14:textId="44579CC5" w:rsidR="00547BD3" w:rsidRPr="003B71E0" w:rsidRDefault="61BAC48D" w:rsidP="0CFDBB31">
            <w:pPr>
              <w:jc w:val="both"/>
            </w:pPr>
            <w:r w:rsidRPr="6AB3EBF0">
              <w:t>No</w:t>
            </w:r>
            <w:r w:rsidR="5D478EB9" w:rsidRPr="6AB3EBF0">
              <w:t>vērtējumam netika izvirzīts mērķis noskaidrot iemeslus, kāpēc nodarbinātajiem nav pieejamas mācīšanās iespējas. Pētījuma mērķis un jautājumi bija šādi:</w:t>
            </w:r>
          </w:p>
          <w:p w14:paraId="10526638" w14:textId="2A2E2B25" w:rsidR="00547BD3" w:rsidRPr="003B71E0" w:rsidRDefault="5D478EB9" w:rsidP="0CFDBB31">
            <w:pPr>
              <w:jc w:val="both"/>
            </w:pPr>
            <w:r w:rsidRPr="0CFDBB31">
              <w:t>Pētījuma mērķis:</w:t>
            </w:r>
          </w:p>
          <w:p w14:paraId="349CB03A" w14:textId="48F97E9C" w:rsidR="00547BD3" w:rsidRPr="003B71E0" w:rsidRDefault="5D478EB9" w:rsidP="0CFDBB31">
            <w:pPr>
              <w:jc w:val="both"/>
            </w:pPr>
            <w:r w:rsidRPr="0CFDBB31">
              <w:t>Noteikt, kāda ir darba izpildes vadības sistēmas faktoru ietekme uz organizācijas mērķu sasniegšanu un vai darba izpildes vadības sistēma sasniedz savu mērķi – veicināt darba snieguma uzlabošanu.</w:t>
            </w:r>
          </w:p>
          <w:p w14:paraId="54949E1E" w14:textId="3A525C61" w:rsidR="00547BD3" w:rsidRPr="003B71E0" w:rsidRDefault="5D478EB9" w:rsidP="0CFDBB31">
            <w:pPr>
              <w:jc w:val="both"/>
            </w:pPr>
            <w:r w:rsidRPr="0CFDBB31">
              <w:t>Pētījuma jautājumi:</w:t>
            </w:r>
          </w:p>
          <w:p w14:paraId="0DDB40FD" w14:textId="34BD8A74" w:rsidR="00547BD3" w:rsidRPr="003B71E0" w:rsidRDefault="5D478EB9" w:rsidP="0CFDBB31">
            <w:pPr>
              <w:jc w:val="both"/>
            </w:pPr>
            <w:r w:rsidRPr="0CFDBB31">
              <w:t xml:space="preserve">RQ1: Kuri faktori vislabāk paredz (prognozē) darba izpildes vadības sistēmas vērtību darbiniekiem? </w:t>
            </w:r>
          </w:p>
          <w:p w14:paraId="5A86468A" w14:textId="7D0B9868" w:rsidR="00547BD3" w:rsidRPr="003B71E0" w:rsidRDefault="5D478EB9" w:rsidP="0CFDBB31">
            <w:pPr>
              <w:jc w:val="both"/>
            </w:pPr>
            <w:r w:rsidRPr="0CFDBB31">
              <w:t xml:space="preserve">RQ2: Kuri faktori vislabāk paredz (prognozē) darba izpildes vadības sistēmas vērtību organizācijai? </w:t>
            </w:r>
          </w:p>
          <w:p w14:paraId="4883FA62" w14:textId="3A5FC9FC" w:rsidR="00547BD3" w:rsidRPr="003B71E0" w:rsidRDefault="5D478EB9" w:rsidP="0CFDBB31">
            <w:pPr>
              <w:jc w:val="both"/>
            </w:pPr>
            <w:r w:rsidRPr="0CFDBB31">
              <w:lastRenderedPageBreak/>
              <w:t xml:space="preserve">RQ3: Vai faktori ir vienlīdz svarīgi dažādu amatu grupu darbiniekiem? </w:t>
            </w:r>
          </w:p>
          <w:p w14:paraId="7242AF9B" w14:textId="59091EA3" w:rsidR="00547BD3" w:rsidRPr="003B71E0" w:rsidRDefault="5D478EB9" w:rsidP="0CFDBB31">
            <w:pPr>
              <w:jc w:val="both"/>
            </w:pPr>
            <w:r w:rsidRPr="0CFDBB31">
              <w:t xml:space="preserve">RQ4: Vai darba izpildes vadības sistēma rada pievienoto vērtību organizācijai? </w:t>
            </w:r>
          </w:p>
          <w:p w14:paraId="37D79B0C" w14:textId="1339024D" w:rsidR="00547BD3" w:rsidRPr="003B71E0" w:rsidRDefault="5D478EB9" w:rsidP="0CFDBB31">
            <w:pPr>
              <w:jc w:val="both"/>
            </w:pPr>
            <w:r w:rsidRPr="0CFDBB31">
              <w:t>RQ5: Kādi sistēmas elementi (faktori) būtu jāuzlabo un kādā veidā, lai uzlabotu sistēmas efektivitāti (=tās spēju sasniegt mērķi/-</w:t>
            </w:r>
            <w:proofErr w:type="spellStart"/>
            <w:r w:rsidRPr="0CFDBB31">
              <w:t>us</w:t>
            </w:r>
            <w:proofErr w:type="spellEnd"/>
            <w:r w:rsidRPr="0CFDBB31">
              <w:t>)?</w:t>
            </w:r>
          </w:p>
        </w:tc>
        <w:tc>
          <w:tcPr>
            <w:tcW w:w="3260" w:type="dxa"/>
            <w:tcBorders>
              <w:top w:val="single" w:sz="4" w:space="0" w:color="auto"/>
              <w:left w:val="single" w:sz="4" w:space="0" w:color="auto"/>
              <w:bottom w:val="single" w:sz="4" w:space="0" w:color="auto"/>
            </w:tcBorders>
          </w:tcPr>
          <w:p w14:paraId="37D79B0D" w14:textId="77777777" w:rsidR="00547BD3" w:rsidRPr="003B71E0" w:rsidRDefault="00547BD3" w:rsidP="00547BD3">
            <w:pPr>
              <w:jc w:val="center"/>
              <w:rPr>
                <w:sz w:val="20"/>
                <w:szCs w:val="20"/>
              </w:rPr>
            </w:pPr>
          </w:p>
        </w:tc>
      </w:tr>
      <w:tr w:rsidR="00547BD3" w:rsidRPr="003B71E0" w14:paraId="37D79B15"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0F" w14:textId="14EC8742" w:rsidR="00547BD3" w:rsidRPr="003B71E0" w:rsidRDefault="4A163840" w:rsidP="6AB3EBF0">
            <w:pPr>
              <w:pStyle w:val="naisc"/>
              <w:spacing w:before="0" w:after="0"/>
            </w:pPr>
            <w:r w:rsidRPr="6AB3EBF0">
              <w:t>5.</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10" w14:textId="77777777" w:rsidR="00547BD3" w:rsidRDefault="00547BD3"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11" w14:textId="77777777" w:rsidR="00E044A0" w:rsidRPr="00E044A0" w:rsidRDefault="00E044A0" w:rsidP="00E044A0">
            <w:pPr>
              <w:pStyle w:val="naisc"/>
              <w:spacing w:before="0" w:after="0"/>
              <w:jc w:val="both"/>
            </w:pPr>
            <w:r w:rsidRPr="00E044A0">
              <w:rPr>
                <w:b/>
              </w:rPr>
              <w:t>Labklājības ministrija:</w:t>
            </w:r>
            <w:r w:rsidRPr="00E044A0">
              <w:t xml:space="preserve"> </w:t>
            </w:r>
          </w:p>
          <w:p w14:paraId="37D79B12" w14:textId="0427A56D" w:rsidR="00547BD3" w:rsidRPr="00E044A0" w:rsidRDefault="00E044A0" w:rsidP="00E044A0">
            <w:pPr>
              <w:pStyle w:val="naisc"/>
              <w:spacing w:before="0" w:after="0"/>
              <w:jc w:val="both"/>
            </w:pPr>
            <w:proofErr w:type="spellStart"/>
            <w:r w:rsidRPr="00E044A0">
              <w:rPr>
                <w:color w:val="000000"/>
              </w:rPr>
              <w:t>Pārresoru</w:t>
            </w:r>
            <w:proofErr w:type="spellEnd"/>
            <w:r w:rsidRPr="00E044A0">
              <w:rPr>
                <w:color w:val="000000"/>
              </w:rPr>
              <w:t xml:space="preserve"> koordinācijas centrs (turpmāk - PKC) 2020. gada 4. ceturksnī paralēli Valsts kancelejas darbam ir uzsācis diskusiju un veicis politikas plānotāju aptauju  par plānošanas sistēmas pārskatīšanu, skarot arī jautājumus par ietekmes novērtēšanas sistēmas pilnveidošanu, tāpēc lūdzam savstarpēji </w:t>
            </w:r>
            <w:r w:rsidRPr="00E044A0">
              <w:rPr>
                <w:color w:val="000000"/>
                <w:shd w:val="clear" w:color="auto" w:fill="FFFFFF"/>
              </w:rPr>
              <w:t>vienoties </w:t>
            </w:r>
            <w:r w:rsidRPr="00E044A0">
              <w:rPr>
                <w:color w:val="000000"/>
              </w:rPr>
              <w:t>par abu institūciju turpmāku darba koordināciju un iekļaut Informatīvā ziņojuma projektā uzsākto iniciatīvu un to koordinācijas aprakstu. Tādējādi tiktu nodrošināta VK un PKC darbību saskaņotība un laika resursu efektīvāka izmantošana valsts pārvaldes institūcijās.</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F6DE32" w14:textId="64917CEB" w:rsidR="00547BD3" w:rsidRPr="003B71E0" w:rsidRDefault="55B00ABB" w:rsidP="0CFDBB31">
            <w:pPr>
              <w:pStyle w:val="naisc"/>
              <w:spacing w:before="0" w:after="0"/>
              <w:rPr>
                <w:b/>
                <w:bCs/>
              </w:rPr>
            </w:pPr>
            <w:r w:rsidRPr="0CFDBB31">
              <w:rPr>
                <w:b/>
                <w:bCs/>
              </w:rPr>
              <w:t>Ņemts vērā</w:t>
            </w:r>
          </w:p>
          <w:p w14:paraId="37D79B13" w14:textId="6C86FA41" w:rsidR="00547BD3" w:rsidRPr="003B71E0" w:rsidRDefault="22AA954A" w:rsidP="0CFDBB31">
            <w:pPr>
              <w:pStyle w:val="naisc"/>
              <w:spacing w:before="0" w:after="0"/>
              <w:jc w:val="both"/>
            </w:pPr>
            <w:r w:rsidRPr="6AB3EBF0">
              <w:t>Ietekmes novērtējuma pārstrādes darb</w:t>
            </w:r>
            <w:r w:rsidR="55B00ABB" w:rsidRPr="6AB3EBF0">
              <w:t xml:space="preserve">a grupā </w:t>
            </w:r>
            <w:r w:rsidR="08F9CBDA" w:rsidRPr="6AB3EBF0">
              <w:t xml:space="preserve"> </w:t>
            </w:r>
            <w:r w:rsidR="34D5F432" w:rsidRPr="6AB3EBF0">
              <w:rPr>
                <w:color w:val="000000" w:themeColor="text1"/>
              </w:rPr>
              <w:t>P</w:t>
            </w:r>
            <w:r w:rsidR="35C8EEFE" w:rsidRPr="6AB3EBF0">
              <w:rPr>
                <w:color w:val="000000" w:themeColor="text1"/>
              </w:rPr>
              <w:t>KC</w:t>
            </w:r>
            <w:r w:rsidR="34D5F432" w:rsidRPr="6AB3EBF0">
              <w:rPr>
                <w:color w:val="000000" w:themeColor="text1"/>
              </w:rPr>
              <w:t xml:space="preserve"> dalība</w:t>
            </w:r>
            <w:r w:rsidR="3ABF88D2" w:rsidRPr="6AB3EBF0">
              <w:t xml:space="preserve"> tiek paredzēta</w:t>
            </w:r>
            <w:r w:rsidR="29112BAE" w:rsidRPr="6AB3EBF0">
              <w:rPr>
                <w:color w:val="000000" w:themeColor="text1"/>
              </w:rPr>
              <w:t>. V</w:t>
            </w:r>
            <w:r w:rsidR="69F469DD" w:rsidRPr="6AB3EBF0">
              <w:rPr>
                <w:color w:val="000000" w:themeColor="text1"/>
              </w:rPr>
              <w:t>K</w:t>
            </w:r>
            <w:r w:rsidR="29112BAE" w:rsidRPr="6AB3EBF0">
              <w:rPr>
                <w:color w:val="000000" w:themeColor="text1"/>
              </w:rPr>
              <w:t xml:space="preserve"> ir informēta </w:t>
            </w:r>
            <w:r w:rsidR="40A1ED14" w:rsidRPr="6AB3EBF0">
              <w:rPr>
                <w:color w:val="000000" w:themeColor="text1"/>
              </w:rPr>
              <w:t xml:space="preserve">un tikusi iesaistīta </w:t>
            </w:r>
            <w:r w:rsidR="29112BAE" w:rsidRPr="6AB3EBF0">
              <w:rPr>
                <w:color w:val="000000" w:themeColor="text1"/>
              </w:rPr>
              <w:t xml:space="preserve"> </w:t>
            </w:r>
            <w:r w:rsidR="1AA290A8" w:rsidRPr="6AB3EBF0">
              <w:rPr>
                <w:color w:val="000000" w:themeColor="text1"/>
              </w:rPr>
              <w:t xml:space="preserve">PKC </w:t>
            </w:r>
            <w:r w:rsidR="150ED766" w:rsidRPr="6AB3EBF0">
              <w:rPr>
                <w:color w:val="000000" w:themeColor="text1"/>
              </w:rPr>
              <w:t>plānošanas sistēmas pārskatīšanas iniciatīvā, līdz ar to</w:t>
            </w:r>
            <w:r w:rsidR="6A751CAB" w:rsidRPr="6AB3EBF0">
              <w:rPr>
                <w:color w:val="000000" w:themeColor="text1"/>
              </w:rPr>
              <w:t xml:space="preserve"> </w:t>
            </w:r>
            <w:r w:rsidR="59606B82" w:rsidRPr="6AB3EBF0">
              <w:t xml:space="preserve">koordinācija starp abiem </w:t>
            </w:r>
            <w:r w:rsidR="16D793AC" w:rsidRPr="6AB3EBF0">
              <w:t xml:space="preserve">minētajiem </w:t>
            </w:r>
            <w:r w:rsidR="59606B82" w:rsidRPr="6AB3EBF0">
              <w:t>projektiem tiks nodrošināta</w:t>
            </w:r>
            <w:r w:rsidR="297356F6" w:rsidRPr="6AB3EBF0">
              <w:t>.</w:t>
            </w:r>
          </w:p>
        </w:tc>
        <w:tc>
          <w:tcPr>
            <w:tcW w:w="3260" w:type="dxa"/>
            <w:tcBorders>
              <w:top w:val="single" w:sz="4" w:space="0" w:color="auto"/>
              <w:left w:val="single" w:sz="4" w:space="0" w:color="auto"/>
              <w:bottom w:val="single" w:sz="4" w:space="0" w:color="auto"/>
            </w:tcBorders>
          </w:tcPr>
          <w:p w14:paraId="37D79B14" w14:textId="77777777" w:rsidR="00547BD3" w:rsidRPr="003B71E0" w:rsidRDefault="00547BD3" w:rsidP="00547BD3">
            <w:pPr>
              <w:jc w:val="center"/>
              <w:rPr>
                <w:sz w:val="20"/>
                <w:szCs w:val="20"/>
              </w:rPr>
            </w:pPr>
          </w:p>
        </w:tc>
      </w:tr>
      <w:tr w:rsidR="00547BD3" w:rsidRPr="003B71E0" w14:paraId="37D79B1B"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16" w14:textId="1E91B689" w:rsidR="00547BD3" w:rsidRPr="003B71E0" w:rsidRDefault="460ACDB3" w:rsidP="6AB3EBF0">
            <w:pPr>
              <w:pStyle w:val="naisc"/>
              <w:spacing w:before="0" w:after="0"/>
            </w:pPr>
            <w:r w:rsidRPr="6AB3EBF0">
              <w:t>6.</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17" w14:textId="77777777" w:rsidR="00547BD3" w:rsidRDefault="00547BD3"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18" w14:textId="77777777" w:rsidR="00547BD3" w:rsidRPr="00E044A0" w:rsidRDefault="00E044A0" w:rsidP="00E044A0">
            <w:pPr>
              <w:pStyle w:val="NormalWeb"/>
              <w:spacing w:before="60" w:beforeAutospacing="0" w:after="0" w:afterAutospacing="0"/>
              <w:jc w:val="both"/>
              <w:rPr>
                <w:color w:val="000000"/>
              </w:rPr>
            </w:pPr>
            <w:r w:rsidRPr="00E044A0">
              <w:rPr>
                <w:color w:val="000000"/>
              </w:rPr>
              <w:t xml:space="preserve">Lūdzam papildināt Informatīvā ziņojuma 3. lpp. pēdējās rindkopas pirmo teikumu ar norādi uz </w:t>
            </w:r>
            <w:r w:rsidRPr="00E044A0">
              <w:rPr>
                <w:color w:val="000000"/>
                <w:u w:val="single"/>
              </w:rPr>
              <w:t>nepilnīgu tiesību aktu projektu ietekmes uz sabiedrību novērtējumu</w:t>
            </w:r>
            <w:r w:rsidRPr="00E044A0">
              <w:rPr>
                <w:color w:val="000000"/>
              </w:rPr>
              <w:t xml:space="preserve">. LM dzimumu līdztiesības eksperti regulāri seko Valsts sekretāru sanāksmēm pieteiktajiem tiesību aktu projektiem un izlases kārtībā </w:t>
            </w:r>
            <w:r w:rsidRPr="00E044A0">
              <w:rPr>
                <w:color w:val="000000"/>
              </w:rPr>
              <w:lastRenderedPageBreak/>
              <w:t xml:space="preserve">iepazīstas arī ar to sākotnējās ietekmes novērtējuma ziņojumiem (turpmāk – anotācija), vērtējot, vai un cik lielā mērā anotācijas II sadaļas 1. punktā atspoguļota tiesību akta ietekme uz sabiedrību un dažādām </w:t>
            </w:r>
            <w:proofErr w:type="spellStart"/>
            <w:r w:rsidRPr="00E044A0">
              <w:rPr>
                <w:color w:val="000000"/>
              </w:rPr>
              <w:t>mērķgrupām</w:t>
            </w:r>
            <w:proofErr w:type="spellEnd"/>
            <w:r w:rsidRPr="00E044A0">
              <w:rPr>
                <w:color w:val="000000"/>
              </w:rPr>
              <w:t>. Līdzšinējie novērojumi liecina, ka tikai retos gadījumos tiesību aktu projekta sagatavotāji vērtējuši tā ietekmi uz sievietēm un vīriešiem, lai gan virkne šķietami neitrālu izmaiņu sievietes un vīriešus ietekmē atšķirīgi. Papildus informējam, ka arī LM sagatavotā Plāna sieviešu un vīriešu vienlīdzīgu tiesību un iespēju veicināšanas 2021.-2023. gadam projektā sadarbībā ar VK un PKC iekļauts pasākums, kas vērsts uz sieviešu un vīriešu vienlīdzīgu tiesību un iespēju sekmējošu tiesību aktu un nozaru politiku veicināšanu, izvērtējot iespēju ieviest kārtību tiesību aktu un attīstības plānošanas dokumentu sākotnējās ietekmes uz dzimumu līdztiesību novērtēšanai.</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BFDAB2" w14:textId="4B89663F" w:rsidR="00547BD3" w:rsidRPr="003B71E0" w:rsidRDefault="12588E98" w:rsidP="0CFDBB31">
            <w:pPr>
              <w:pStyle w:val="naisc"/>
              <w:spacing w:before="0" w:after="0"/>
              <w:rPr>
                <w:b/>
                <w:bCs/>
              </w:rPr>
            </w:pPr>
            <w:r w:rsidRPr="0CFDBB31">
              <w:rPr>
                <w:b/>
                <w:bCs/>
              </w:rPr>
              <w:lastRenderedPageBreak/>
              <w:t>Ņemts vērā</w:t>
            </w:r>
          </w:p>
          <w:p w14:paraId="37D79B19" w14:textId="0AC643D4" w:rsidR="00547BD3" w:rsidRPr="003B71E0" w:rsidRDefault="00547BD3" w:rsidP="0CFDBB31">
            <w:pPr>
              <w:pStyle w:val="naisc"/>
              <w:spacing w:before="0" w:after="0"/>
            </w:pPr>
          </w:p>
        </w:tc>
        <w:tc>
          <w:tcPr>
            <w:tcW w:w="3260" w:type="dxa"/>
            <w:tcBorders>
              <w:top w:val="single" w:sz="4" w:space="0" w:color="auto"/>
              <w:left w:val="single" w:sz="4" w:space="0" w:color="auto"/>
              <w:bottom w:val="single" w:sz="4" w:space="0" w:color="auto"/>
            </w:tcBorders>
          </w:tcPr>
          <w:p w14:paraId="6FD21CD3" w14:textId="6B8E46C8" w:rsidR="333A1E4A" w:rsidRDefault="578F5804" w:rsidP="0CFDBB31">
            <w:pPr>
              <w:pStyle w:val="naisc"/>
              <w:spacing w:before="0" w:after="0"/>
              <w:jc w:val="both"/>
            </w:pPr>
            <w:r w:rsidRPr="6AB3EBF0">
              <w:t>I</w:t>
            </w:r>
            <w:r w:rsidR="333A1E4A" w:rsidRPr="6AB3EBF0">
              <w:t>nformatīvais</w:t>
            </w:r>
            <w:r w:rsidR="18126BCF" w:rsidRPr="6AB3EBF0">
              <w:t xml:space="preserve"> </w:t>
            </w:r>
            <w:r w:rsidR="333A1E4A" w:rsidRPr="6AB3EBF0">
              <w:t>ziņojums</w:t>
            </w:r>
            <w:r w:rsidR="39F0EDF9" w:rsidRPr="6AB3EBF0">
              <w:t xml:space="preserve"> </w:t>
            </w:r>
            <w:r w:rsidR="60494FAB" w:rsidRPr="6AB3EBF0">
              <w:t>p</w:t>
            </w:r>
            <w:r w:rsidR="39F0EDF9" w:rsidRPr="6AB3EBF0">
              <w:t>recizēts</w:t>
            </w:r>
            <w:r w:rsidR="333A1E4A" w:rsidRPr="6AB3EBF0">
              <w:t>:</w:t>
            </w:r>
          </w:p>
          <w:p w14:paraId="37D79B1A" w14:textId="4ECE0ABB" w:rsidR="00547BD3" w:rsidRPr="003B71E0" w:rsidRDefault="333A1E4A" w:rsidP="0F0996BD">
            <w:pPr>
              <w:jc w:val="both"/>
            </w:pPr>
            <w:r w:rsidRPr="0F0996BD">
              <w:t>“</w:t>
            </w:r>
            <w:r w:rsidR="03032B67" w:rsidRPr="0F0996BD">
              <w:t xml:space="preserve">Regulāri veicot sākotnējās ietekmes novērtējumu ziņojumu (anotāciju) analīzi, tika konstatēts, ka bieži vien ietekmes novērtējumi ir veikti </w:t>
            </w:r>
            <w:r w:rsidR="03032B67" w:rsidRPr="0F0996BD">
              <w:lastRenderedPageBreak/>
              <w:t xml:space="preserve">formāli, neveicot alternatīvu risinājumu izpēti, izmaksu-ieguvumu vai izmaksu lietderības analīzi, </w:t>
            </w:r>
            <w:r w:rsidR="03032B67" w:rsidRPr="0F0996BD">
              <w:rPr>
                <w:b/>
                <w:bCs/>
              </w:rPr>
              <w:t>ietekmes uz sabiedrību novērtējumu</w:t>
            </w:r>
            <w:r w:rsidR="03032B67" w:rsidRPr="0F0996BD">
              <w:t>, kā arī kopumā neveicot jēgpilnu sabiedrības iesaisti.</w:t>
            </w:r>
            <w:r w:rsidR="47AC93A5" w:rsidRPr="0F0996BD">
              <w:t>”</w:t>
            </w:r>
          </w:p>
        </w:tc>
      </w:tr>
      <w:tr w:rsidR="00E044A0" w:rsidRPr="003B71E0" w14:paraId="37D79B21"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1C" w14:textId="45BDCC2B" w:rsidR="00E044A0" w:rsidRPr="003B71E0" w:rsidRDefault="53D746EF" w:rsidP="6AB3EBF0">
            <w:pPr>
              <w:pStyle w:val="naisc"/>
              <w:spacing w:before="0" w:after="0"/>
            </w:pPr>
            <w:r w:rsidRPr="6AB3EBF0">
              <w:lastRenderedPageBreak/>
              <w:t>7.</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1D" w14:textId="77777777" w:rsidR="00E044A0" w:rsidRDefault="00E044A0"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1E" w14:textId="77777777" w:rsidR="00E044A0" w:rsidRPr="00E044A0" w:rsidRDefault="00E044A0" w:rsidP="00E044A0">
            <w:pPr>
              <w:pStyle w:val="ListParagraph"/>
              <w:spacing w:before="60" w:after="0" w:line="240" w:lineRule="auto"/>
              <w:ind w:left="0"/>
              <w:jc w:val="both"/>
              <w:rPr>
                <w:rFonts w:ascii="Times New Roman" w:hAnsi="Times New Roman"/>
                <w:sz w:val="24"/>
                <w:szCs w:val="24"/>
              </w:rPr>
            </w:pPr>
            <w:r w:rsidRPr="00E044A0">
              <w:rPr>
                <w:rFonts w:ascii="Times New Roman" w:hAnsi="Times New Roman"/>
                <w:color w:val="000000"/>
                <w:sz w:val="24"/>
                <w:szCs w:val="24"/>
                <w:lang w:eastAsia="lv-LV"/>
              </w:rPr>
              <w:t>Informatīvā ziņojuma 4. lpp. uzskaitītas ietekmes novērtējumu sistēmas nepilnības, no kurām viena ir “nekonsekventa un trūcīga ietekmes novērtējuma rezultātu izmantošana,” savukārt Informatīvā ziņojuma 5.</w:t>
            </w:r>
            <w:r w:rsidRPr="00E044A0">
              <w:rPr>
                <w:sz w:val="24"/>
                <w:szCs w:val="24"/>
              </w:rPr>
              <w:t> </w:t>
            </w:r>
            <w:r w:rsidRPr="00E044A0">
              <w:rPr>
                <w:rFonts w:ascii="Times New Roman" w:hAnsi="Times New Roman"/>
                <w:color w:val="000000"/>
                <w:sz w:val="24"/>
                <w:szCs w:val="24"/>
                <w:lang w:eastAsia="lv-LV"/>
              </w:rPr>
              <w:t xml:space="preserve">lpp. minēts, ka šīs un citu nepilnību sekas ir “nekonsekventa vai trūcīga ietekmes novērtējuma rezultātu izmantošana”. No Informatīvā ziņojuma teksta nav skaidrs, vai VK ieskatā nekonsekventa un trūcīga ietekmes novērtējuma rezultātu izmantošana vērtējama kā sistēmas nepilnības, kas traucē veidot uz pierādījumiem balstītu politiku, vai tās ir </w:t>
            </w:r>
            <w:r w:rsidRPr="00E044A0">
              <w:rPr>
                <w:rFonts w:ascii="Times New Roman" w:hAnsi="Times New Roman"/>
                <w:color w:val="000000"/>
                <w:sz w:val="24"/>
                <w:szCs w:val="24"/>
                <w:lang w:eastAsia="lv-LV"/>
              </w:rPr>
              <w:lastRenderedPageBreak/>
              <w:t>sekas, kas rodas no citām sistēmas nepilnībām. Ņemot vērā minēto, lūdzam precizēt Informatīvā ziņojuma tekstu, skaidri norādot, kādas problēmas VK ir identificējusi un kādus riskus tās rada vai varētu radīt</w:t>
            </w:r>
            <w:r w:rsidRPr="00E044A0">
              <w:rPr>
                <w:rFonts w:ascii="Times New Roman" w:hAnsi="Times New Roman"/>
                <w:sz w:val="24"/>
                <w:szCs w:val="24"/>
              </w:rPr>
              <w:t>.</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719C69" w14:textId="25BBD323" w:rsidR="00E044A0" w:rsidRPr="003B71E0" w:rsidRDefault="21028124" w:rsidP="0CFDBB31">
            <w:pPr>
              <w:pStyle w:val="naisc"/>
              <w:spacing w:before="0" w:after="0"/>
            </w:pPr>
            <w:r w:rsidRPr="6AB3EBF0">
              <w:rPr>
                <w:b/>
                <w:bCs/>
              </w:rPr>
              <w:lastRenderedPageBreak/>
              <w:t>Ņemts vērā</w:t>
            </w:r>
          </w:p>
          <w:p w14:paraId="37D79B1F" w14:textId="438A9744" w:rsidR="00E044A0" w:rsidRPr="003B71E0" w:rsidRDefault="04C75B6F" w:rsidP="5A2754AE">
            <w:pPr>
              <w:pStyle w:val="naisc"/>
              <w:spacing w:before="0" w:after="0"/>
              <w:jc w:val="both"/>
              <w:rPr>
                <w:color w:val="FF0000"/>
              </w:rPr>
            </w:pPr>
            <w:r w:rsidRPr="0CFDBB31">
              <w:t>Ņ</w:t>
            </w:r>
            <w:r w:rsidR="21028124" w:rsidRPr="0CFDBB31">
              <w:t>emot vērā politikas izstrādes ciklu, kas ir apļveidīgs, konstatētas nepilnības ir gan esošās ietekmes novērtējuma sistēmas nepilnības, gan sekas</w:t>
            </w:r>
            <w:r w:rsidR="1B3FAD8E" w:rsidRPr="0CFDBB31">
              <w:t>, kā arī citu problēmu (sliktās regulējuma kvalitātes) un trūkumu</w:t>
            </w:r>
            <w:r w:rsidR="715BC06F" w:rsidRPr="0CFDBB31">
              <w:t xml:space="preserve"> </w:t>
            </w:r>
            <w:r w:rsidR="1B3FAD8E" w:rsidRPr="0CFDBB31">
              <w:t>priekšnosacījumi/</w:t>
            </w:r>
            <w:r w:rsidR="3A9717F6" w:rsidRPr="0CFDBB31">
              <w:t xml:space="preserve"> </w:t>
            </w:r>
            <w:r w:rsidR="1B3FAD8E" w:rsidRPr="0CFDBB31">
              <w:t>i</w:t>
            </w:r>
            <w:r w:rsidR="1E8E5779" w:rsidRPr="0CFDBB31">
              <w:t>e</w:t>
            </w:r>
            <w:r w:rsidR="1B3FAD8E" w:rsidRPr="0CFDBB31">
              <w:t>mesli</w:t>
            </w:r>
            <w:r w:rsidR="1B3FAD8E" w:rsidRPr="0CFDBB31">
              <w:rPr>
                <w:color w:val="FF0000"/>
              </w:rPr>
              <w:t xml:space="preserve">. </w:t>
            </w:r>
          </w:p>
        </w:tc>
        <w:tc>
          <w:tcPr>
            <w:tcW w:w="3260" w:type="dxa"/>
            <w:tcBorders>
              <w:top w:val="single" w:sz="4" w:space="0" w:color="auto"/>
              <w:left w:val="single" w:sz="4" w:space="0" w:color="auto"/>
              <w:bottom w:val="single" w:sz="4" w:space="0" w:color="auto"/>
            </w:tcBorders>
          </w:tcPr>
          <w:p w14:paraId="37D79B20" w14:textId="047A925B" w:rsidR="00E044A0" w:rsidRPr="003B71E0" w:rsidRDefault="56B75100" w:rsidP="6AB3EBF0">
            <w:pPr>
              <w:jc w:val="both"/>
              <w:rPr>
                <w:color w:val="000000" w:themeColor="text1"/>
              </w:rPr>
            </w:pPr>
            <w:r w:rsidRPr="6AB3EBF0">
              <w:t>I</w:t>
            </w:r>
            <w:r w:rsidR="597720B2" w:rsidRPr="6AB3EBF0">
              <w:t>nformatīvais ziņojums</w:t>
            </w:r>
            <w:r w:rsidR="458D25FE" w:rsidRPr="6AB3EBF0">
              <w:t xml:space="preserve"> </w:t>
            </w:r>
            <w:r w:rsidR="58DD08E4" w:rsidRPr="6AB3EBF0">
              <w:t>p</w:t>
            </w:r>
            <w:r w:rsidR="458D25FE" w:rsidRPr="6AB3EBF0">
              <w:t>recizēts</w:t>
            </w:r>
            <w:r w:rsidR="48B954A3" w:rsidRPr="6AB3EBF0">
              <w:t>, izsvītrojot 4.</w:t>
            </w:r>
            <w:r w:rsidR="1C1DDA32" w:rsidRPr="6AB3EBF0">
              <w:t xml:space="preserve"> </w:t>
            </w:r>
            <w:r w:rsidR="17A46A29" w:rsidRPr="6AB3EBF0">
              <w:t>punktu</w:t>
            </w:r>
            <w:r w:rsidR="48B954A3" w:rsidRPr="6AB3EBF0">
              <w:t>.</w:t>
            </w:r>
          </w:p>
        </w:tc>
      </w:tr>
      <w:tr w:rsidR="00E044A0" w:rsidRPr="003B71E0" w14:paraId="37D79B27"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22" w14:textId="23D59804" w:rsidR="00E044A0" w:rsidRPr="003B71E0" w:rsidRDefault="48B954A3" w:rsidP="6AB3EBF0">
            <w:pPr>
              <w:pStyle w:val="naisc"/>
              <w:spacing w:before="0" w:after="0"/>
            </w:pPr>
            <w:r w:rsidRPr="6AB3EBF0">
              <w:t>8.</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23" w14:textId="77777777" w:rsidR="00E044A0" w:rsidRDefault="00E044A0"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24" w14:textId="77777777" w:rsidR="00E044A0" w:rsidRPr="00E044A0" w:rsidRDefault="00E044A0" w:rsidP="00E044A0">
            <w:pPr>
              <w:pStyle w:val="NormalWeb"/>
              <w:spacing w:before="60" w:beforeAutospacing="0" w:after="0" w:afterAutospacing="0"/>
              <w:jc w:val="both"/>
              <w:rPr>
                <w:color w:val="000000"/>
              </w:rPr>
            </w:pPr>
            <w:r w:rsidRPr="00E044A0">
              <w:rPr>
                <w:color w:val="000000"/>
              </w:rPr>
              <w:t xml:space="preserve">Lūdzam skaidrot, attiecīgi papildinot Informatīvā ziņojuma projekta 2. nodaļu, cik lielā mērā piedāvātie rīcības virzieni un konkrētie pasākumi uzskatāmi par diskutējamiem ar iesaistītajām institūcijām. Pašreizējā redakcija nerada viennozīmīgu priekšstatu, vai iesaistītajām institūcijām, uz kurām attieksies  ietekmes novērtēšanas regulējums, būs iespēja vēl diskutēt un sniegt savus priekšlikumus par ietekmes </w:t>
            </w:r>
            <w:proofErr w:type="spellStart"/>
            <w:r w:rsidRPr="00E044A0">
              <w:rPr>
                <w:color w:val="000000"/>
              </w:rPr>
              <w:t>izvērtējuma</w:t>
            </w:r>
            <w:proofErr w:type="spellEnd"/>
            <w:r w:rsidRPr="00E044A0">
              <w:rPr>
                <w:color w:val="000000"/>
              </w:rPr>
              <w:t xml:space="preserve"> sistēmas pilnveidošanu, vai citas institūcijas ir bijušas iesaistītas šo priekšlikumu izstrādāšanā, cik iespējama ir sagatavoto priekšlikumu precizēšana un izmaiņas.</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77952" w14:textId="0C9B12BD" w:rsidR="00E044A0" w:rsidRPr="003B71E0" w:rsidRDefault="54EAA714" w:rsidP="0CFDBB31">
            <w:pPr>
              <w:pStyle w:val="naisc"/>
              <w:spacing w:before="0" w:after="0"/>
              <w:rPr>
                <w:b/>
                <w:bCs/>
              </w:rPr>
            </w:pPr>
            <w:r w:rsidRPr="6AB3EBF0">
              <w:rPr>
                <w:b/>
                <w:bCs/>
              </w:rPr>
              <w:t>Ņemts vērā</w:t>
            </w:r>
          </w:p>
          <w:p w14:paraId="306DA7DA" w14:textId="459CB47E" w:rsidR="00E044A0" w:rsidRPr="003B71E0" w:rsidRDefault="0E44C4A7" w:rsidP="6AB3EBF0">
            <w:pPr>
              <w:pStyle w:val="naisc"/>
              <w:spacing w:before="0" w:after="0"/>
              <w:jc w:val="both"/>
              <w:rPr>
                <w:rFonts w:eastAsia="Calibri"/>
                <w:i/>
                <w:iCs/>
              </w:rPr>
            </w:pPr>
            <w:r w:rsidRPr="6AB3EBF0">
              <w:rPr>
                <w:rFonts w:eastAsia="Calibri"/>
                <w:i/>
                <w:iCs/>
              </w:rPr>
              <w:t>Sk. VK skaidrojum</w:t>
            </w:r>
            <w:r w:rsidR="6441921E" w:rsidRPr="6AB3EBF0">
              <w:rPr>
                <w:rFonts w:eastAsia="Calibri"/>
                <w:i/>
                <w:iCs/>
              </w:rPr>
              <w:t>a</w:t>
            </w:r>
            <w:r w:rsidRPr="6AB3EBF0">
              <w:rPr>
                <w:rFonts w:eastAsia="Calibri"/>
                <w:i/>
                <w:iCs/>
              </w:rPr>
              <w:t xml:space="preserve"> par 1.iebildum</w:t>
            </w:r>
            <w:r w:rsidR="20E95DD2" w:rsidRPr="6AB3EBF0">
              <w:rPr>
                <w:rFonts w:eastAsia="Calibri"/>
                <w:i/>
                <w:iCs/>
              </w:rPr>
              <w:t>a pirmo rindkopu</w:t>
            </w:r>
            <w:r w:rsidRPr="6AB3EBF0">
              <w:rPr>
                <w:rFonts w:eastAsia="Calibri"/>
                <w:i/>
                <w:iCs/>
              </w:rPr>
              <w:t xml:space="preserve">. </w:t>
            </w:r>
          </w:p>
          <w:p w14:paraId="45205083" w14:textId="7284DC07" w:rsidR="00E044A0" w:rsidRPr="003B71E0" w:rsidRDefault="20A47CDD" w:rsidP="6AB3EBF0">
            <w:pPr>
              <w:pStyle w:val="naisc"/>
              <w:spacing w:before="0" w:after="0"/>
              <w:jc w:val="both"/>
            </w:pPr>
            <w:r w:rsidRPr="6AB3EBF0">
              <w:t>Informatīvais ziņojums paredz, ka izmaiņas ietekmes novērtējuma sistēmā tiks izstrādātas sadarbībā ar iesaistītajām pusēm</w:t>
            </w:r>
            <w:r w:rsidR="1787B0DC" w:rsidRPr="6AB3EBF0">
              <w:t xml:space="preserve"> (</w:t>
            </w:r>
            <w:r w:rsidR="4638C12C" w:rsidRPr="6AB3EBF0">
              <w:t>informatīvā ziņojuma 2.</w:t>
            </w:r>
            <w:r w:rsidR="1B20CC20" w:rsidRPr="6AB3EBF0">
              <w:t>no</w:t>
            </w:r>
            <w:r w:rsidR="4638C12C" w:rsidRPr="6AB3EBF0">
              <w:t>daļas 1.</w:t>
            </w:r>
            <w:r w:rsidR="2CFB5854" w:rsidRPr="6AB3EBF0">
              <w:t>virziens</w:t>
            </w:r>
            <w:r w:rsidR="4638C12C" w:rsidRPr="6AB3EBF0">
              <w:t xml:space="preserve"> un </w:t>
            </w:r>
            <w:proofErr w:type="spellStart"/>
            <w:r w:rsidR="4638C12C" w:rsidRPr="6AB3EBF0">
              <w:t>protokollēmuma</w:t>
            </w:r>
            <w:proofErr w:type="spellEnd"/>
            <w:r w:rsidR="4638C12C" w:rsidRPr="6AB3EBF0">
              <w:t xml:space="preserve"> projekta 2.punkts)</w:t>
            </w:r>
            <w:r w:rsidRPr="6AB3EBF0">
              <w:t xml:space="preserve">. </w:t>
            </w:r>
            <w:r w:rsidR="4FD7C595" w:rsidRPr="6AB3EBF0">
              <w:t xml:space="preserve">Tāpat </w:t>
            </w:r>
            <w:r w:rsidRPr="6AB3EBF0">
              <w:t>norādām, ka</w:t>
            </w:r>
            <w:r w:rsidR="2F13E091" w:rsidRPr="6AB3EBF0">
              <w:t xml:space="preserve"> ietekmes novērtējuma</w:t>
            </w:r>
            <w:r w:rsidRPr="6AB3EBF0">
              <w:t xml:space="preserve"> regu</w:t>
            </w:r>
            <w:r w:rsidR="4C99D104" w:rsidRPr="6AB3EBF0">
              <w:t>lējuma izmaiņu gadījumā visiem</w:t>
            </w:r>
            <w:r w:rsidR="32D3C833" w:rsidRPr="6AB3EBF0">
              <w:t xml:space="preserve"> – jebkurai sabiedrības daļai -</w:t>
            </w:r>
            <w:r w:rsidR="4C99D104" w:rsidRPr="6AB3EBF0">
              <w:t xml:space="preserve"> būs iespēja sniegt viedokli, rakstot atzinumu. </w:t>
            </w:r>
          </w:p>
          <w:p w14:paraId="37D79B25" w14:textId="10374805" w:rsidR="00E044A0" w:rsidRPr="003B71E0" w:rsidRDefault="0AC00AA0" w:rsidP="00BA3428">
            <w:pPr>
              <w:pStyle w:val="naisc"/>
              <w:spacing w:before="0" w:after="0"/>
              <w:jc w:val="both"/>
            </w:pPr>
            <w:r w:rsidRPr="6AB3EBF0">
              <w:t>Papildus vēršam uzmanību, ka izstrādājot izmaiņas esošajā ietekmes novērtējuma sistēmā h</w:t>
            </w:r>
            <w:r w:rsidR="286D9C6D" w:rsidRPr="6AB3EBF0">
              <w:t>orizontā</w:t>
            </w:r>
            <w:r w:rsidR="04C98287" w:rsidRPr="6AB3EBF0">
              <w:t xml:space="preserve">lie </w:t>
            </w:r>
            <w:r w:rsidR="286D9C6D" w:rsidRPr="6AB3EBF0">
              <w:t>principi būs - administratīv</w:t>
            </w:r>
            <w:r w:rsidR="4EF58C52" w:rsidRPr="6AB3EBF0">
              <w:t>ā</w:t>
            </w:r>
            <w:r w:rsidR="00BA3428">
              <w:t xml:space="preserve"> sloga mazinā</w:t>
            </w:r>
            <w:r w:rsidR="630EAC62" w:rsidRPr="6AB3EBF0">
              <w:t>šana</w:t>
            </w:r>
            <w:r w:rsidR="286D9C6D" w:rsidRPr="6AB3EBF0">
              <w:t xml:space="preserve">, </w:t>
            </w:r>
            <w:r w:rsidR="12BE5697" w:rsidRPr="6AB3EBF0">
              <w:t xml:space="preserve">lietderība, </w:t>
            </w:r>
            <w:r w:rsidR="77F77145" w:rsidRPr="6AB3EBF0">
              <w:t xml:space="preserve">efektivitāte, </w:t>
            </w:r>
            <w:r w:rsidR="286D9C6D" w:rsidRPr="6AB3EBF0">
              <w:t>samērī</w:t>
            </w:r>
            <w:r w:rsidR="7B08002A" w:rsidRPr="6AB3EBF0">
              <w:t>gums</w:t>
            </w:r>
            <w:r w:rsidR="286D9C6D" w:rsidRPr="6AB3EBF0">
              <w:t xml:space="preserve"> un </w:t>
            </w:r>
            <w:r w:rsidR="043AA611" w:rsidRPr="6AB3EBF0">
              <w:t xml:space="preserve">visu pušu iesaiste. </w:t>
            </w:r>
          </w:p>
        </w:tc>
        <w:tc>
          <w:tcPr>
            <w:tcW w:w="3260" w:type="dxa"/>
            <w:tcBorders>
              <w:top w:val="single" w:sz="4" w:space="0" w:color="auto"/>
              <w:left w:val="single" w:sz="4" w:space="0" w:color="auto"/>
              <w:bottom w:val="single" w:sz="4" w:space="0" w:color="auto"/>
            </w:tcBorders>
          </w:tcPr>
          <w:p w14:paraId="37D79B26" w14:textId="77777777" w:rsidR="00E044A0" w:rsidRPr="003B71E0" w:rsidRDefault="00E044A0" w:rsidP="00547BD3">
            <w:pPr>
              <w:jc w:val="center"/>
              <w:rPr>
                <w:sz w:val="20"/>
                <w:szCs w:val="20"/>
              </w:rPr>
            </w:pPr>
          </w:p>
        </w:tc>
      </w:tr>
      <w:tr w:rsidR="00E044A0" w:rsidRPr="003B71E0" w14:paraId="37D79B2D"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28" w14:textId="5716553B" w:rsidR="00E044A0" w:rsidRPr="003B71E0" w:rsidRDefault="2DFC8C3A" w:rsidP="6AB3EBF0">
            <w:pPr>
              <w:pStyle w:val="naisc"/>
              <w:spacing w:before="0" w:after="0"/>
            </w:pPr>
            <w:r w:rsidRPr="6AB3EBF0">
              <w:t>9.</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29" w14:textId="77777777" w:rsidR="00E044A0" w:rsidRDefault="00E044A0"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2A" w14:textId="77777777" w:rsidR="00E044A0" w:rsidRPr="003B71E0" w:rsidRDefault="00E044A0" w:rsidP="00DE1BC4">
            <w:pPr>
              <w:pStyle w:val="NormalWeb"/>
              <w:spacing w:before="60" w:beforeAutospacing="0" w:after="0" w:afterAutospacing="0"/>
              <w:jc w:val="both"/>
              <w:rPr>
                <w:sz w:val="20"/>
                <w:szCs w:val="20"/>
              </w:rPr>
            </w:pPr>
            <w:r w:rsidRPr="00E044A0">
              <w:rPr>
                <w:color w:val="000000"/>
              </w:rPr>
              <w:t xml:space="preserve">Informatīvā ziņojuma projekta 2. nodaļā ir noteikts, ka “jaunajā ietekmes novērtēšanas regulējumā tiks paredzēti atbilstoši resursi un ietekmes novērtējuma sistēmas uzraudzība. </w:t>
            </w:r>
            <w:r w:rsidRPr="00E044A0">
              <w:rPr>
                <w:rStyle w:val="Emphasis"/>
                <w:color w:val="000000"/>
              </w:rPr>
              <w:lastRenderedPageBreak/>
              <w:t xml:space="preserve">Pašlaik institūcijas var pasūtīt pētījumus (tostarp ietekmes pēcpārbaudes), ievērojot Publiskas personas finanšu līdzekļu un mantas izšķērdēšanas novēršanas likumā un Ministru kabineta 2013. gada 3.janvāra noteikumos Nr. 1 “Kārtība, kādā publiska persona </w:t>
            </w:r>
            <w:proofErr w:type="spellStart"/>
            <w:r w:rsidRPr="00E044A0">
              <w:rPr>
                <w:rStyle w:val="Emphasis"/>
                <w:color w:val="000000"/>
              </w:rPr>
              <w:t>pasūta</w:t>
            </w:r>
            <w:proofErr w:type="spellEnd"/>
            <w:r w:rsidRPr="00E044A0">
              <w:rPr>
                <w:rStyle w:val="Emphasis"/>
                <w:color w:val="000000"/>
              </w:rPr>
              <w:t xml:space="preserve"> pētījumus” noteikto. Tomēr, lai šī iespēja tiktu pilnvērtīgi izmantota, veicot tieši ietekmes novērtējumus (gan </w:t>
            </w:r>
            <w:proofErr w:type="spellStart"/>
            <w:r w:rsidRPr="00E044A0">
              <w:rPr>
                <w:rStyle w:val="Emphasis"/>
                <w:color w:val="000000"/>
              </w:rPr>
              <w:t>ex-ante</w:t>
            </w:r>
            <w:proofErr w:type="spellEnd"/>
            <w:r w:rsidRPr="00E044A0">
              <w:rPr>
                <w:rStyle w:val="Emphasis"/>
                <w:color w:val="000000"/>
              </w:rPr>
              <w:t xml:space="preserve">, gan </w:t>
            </w:r>
            <w:proofErr w:type="spellStart"/>
            <w:r w:rsidRPr="00E044A0">
              <w:rPr>
                <w:rStyle w:val="Emphasis"/>
                <w:color w:val="000000"/>
              </w:rPr>
              <w:t>ex</w:t>
            </w:r>
            <w:proofErr w:type="spellEnd"/>
            <w:r w:rsidRPr="00E044A0">
              <w:rPr>
                <w:rStyle w:val="Emphasis"/>
                <w:color w:val="000000"/>
              </w:rPr>
              <w:t>-post), jāparedz ministrijām pastāvīgi pieejamo finansējumu.”</w:t>
            </w:r>
            <w:r w:rsidRPr="00E044A0">
              <w:rPr>
                <w:color w:val="000000"/>
              </w:rPr>
              <w:t xml:space="preserve"> Lūdzam papildināt Informatīvā ziņojuma tekstu, sniedzot skaidrojumu, kādā veidā VK plāno nodrošināt atbilstošu finanšu resursu piesaisti un pastāvīgi pieejamu finansējumu, lai obligātu padziļinātu ārējas ietekmes novērtējumu veikšanai institūcijām tiktu nodrošināti pilnā apmērā nepieciešamie valsts budžeta līdze</w:t>
            </w:r>
            <w:r w:rsidR="00DE1BC4">
              <w:rPr>
                <w:color w:val="000000"/>
              </w:rPr>
              <w:t>kļi.</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37D734" w14:textId="799E7B8F" w:rsidR="00E044A0" w:rsidRPr="003B71E0" w:rsidRDefault="2304B591" w:rsidP="0CFDBB31">
            <w:pPr>
              <w:pStyle w:val="naisc"/>
              <w:spacing w:before="0" w:after="0"/>
              <w:rPr>
                <w:b/>
                <w:bCs/>
              </w:rPr>
            </w:pPr>
            <w:r w:rsidRPr="6AB3EBF0">
              <w:rPr>
                <w:b/>
                <w:bCs/>
              </w:rPr>
              <w:lastRenderedPageBreak/>
              <w:t>Ņemts vērā</w:t>
            </w:r>
          </w:p>
          <w:p w14:paraId="59D8417D" w14:textId="5820F0AC" w:rsidR="0CFDBB31" w:rsidRDefault="0CFDBB31" w:rsidP="6AB3EBF0">
            <w:pPr>
              <w:pStyle w:val="naisc"/>
              <w:spacing w:before="0" w:after="0"/>
              <w:jc w:val="both"/>
            </w:pPr>
          </w:p>
          <w:p w14:paraId="37D79B2B" w14:textId="6F6802C0" w:rsidR="00E044A0" w:rsidRPr="003B71E0" w:rsidRDefault="2304B591" w:rsidP="6AB3EBF0">
            <w:pPr>
              <w:pStyle w:val="naisc"/>
              <w:spacing w:before="0" w:after="0"/>
              <w:jc w:val="both"/>
            </w:pPr>
            <w:r w:rsidRPr="6AB3EBF0">
              <w:t>Nepieciešamā fi</w:t>
            </w:r>
            <w:r w:rsidR="1A2BC4D0" w:rsidRPr="6AB3EBF0">
              <w:t>nan</w:t>
            </w:r>
            <w:r w:rsidRPr="6AB3EBF0">
              <w:t>sējuma nodrošināšana izstrād</w:t>
            </w:r>
            <w:r w:rsidR="1DB5BAC2" w:rsidRPr="6AB3EBF0">
              <w:t>āto</w:t>
            </w:r>
            <w:r w:rsidR="5A2754AE" w:rsidRPr="6AB3EBF0">
              <w:t xml:space="preserve"> </w:t>
            </w:r>
            <w:r w:rsidRPr="6AB3EBF0">
              <w:t xml:space="preserve">izmaiņu </w:t>
            </w:r>
            <w:r w:rsidRPr="6AB3EBF0">
              <w:lastRenderedPageBreak/>
              <w:t xml:space="preserve">ieviešanai </w:t>
            </w:r>
            <w:r w:rsidR="4D3A5345" w:rsidRPr="6AB3EBF0">
              <w:t xml:space="preserve">būs viens no </w:t>
            </w:r>
            <w:r w:rsidR="1536E77B" w:rsidRPr="6AB3EBF0">
              <w:t xml:space="preserve">darba grupas </w:t>
            </w:r>
            <w:r w:rsidR="6DC4BEC3" w:rsidRPr="6AB3EBF0">
              <w:t>apspriežamajiem jautājumiem, meklējot iespējamos</w:t>
            </w:r>
            <w:r w:rsidR="2054149A" w:rsidRPr="6AB3EBF0">
              <w:t xml:space="preserve"> finansējuma</w:t>
            </w:r>
            <w:r w:rsidR="6DC4BEC3" w:rsidRPr="6AB3EBF0">
              <w:t xml:space="preserve"> avotus budžetā</w:t>
            </w:r>
            <w:r w:rsidR="711EC40D" w:rsidRPr="6AB3EBF0">
              <w:t xml:space="preserve">. </w:t>
            </w:r>
            <w:r w:rsidR="1A63773E" w:rsidRPr="6AB3EBF0">
              <w:t>V</w:t>
            </w:r>
            <w:r w:rsidR="0728535F" w:rsidRPr="6AB3EBF0">
              <w:t>K</w:t>
            </w:r>
            <w:r w:rsidR="1A63773E" w:rsidRPr="6AB3EBF0">
              <w:t xml:space="preserve"> skatījumā</w:t>
            </w:r>
            <w:r w:rsidR="0830E7F8" w:rsidRPr="6AB3EBF0">
              <w:t xml:space="preserve"> </w:t>
            </w:r>
            <w:r w:rsidR="74508758" w:rsidRPr="6AB3EBF0">
              <w:t>padziļināto</w:t>
            </w:r>
            <w:r w:rsidR="0830E7F8" w:rsidRPr="6AB3EBF0">
              <w:t xml:space="preserve"> ietekmes novērtējumu plānošana vairākus gadus uz priekšu, kā arī </w:t>
            </w:r>
            <w:r w:rsidR="033C029C" w:rsidRPr="6AB3EBF0">
              <w:t>ra</w:t>
            </w:r>
            <w:r w:rsidR="45585EFB" w:rsidRPr="6AB3EBF0">
              <w:t>cionāla un pamatota tiesību aktu izvēle, par kuriem šāda apjoma novērtējums būtu jāveic, ļau</w:t>
            </w:r>
            <w:r w:rsidR="3E11C9FD" w:rsidRPr="6AB3EBF0">
              <w:t>s</w:t>
            </w:r>
            <w:r w:rsidR="6E8FFEBB" w:rsidRPr="6AB3EBF0">
              <w:t xml:space="preserve"> piesaistīt nepieciešamo finansējumu</w:t>
            </w:r>
            <w:r w:rsidR="3317482F" w:rsidRPr="6AB3EBF0">
              <w:t xml:space="preserve"> un </w:t>
            </w:r>
            <w:r w:rsidR="3E11C9FD" w:rsidRPr="6AB3EBF0">
              <w:t xml:space="preserve">izmantot </w:t>
            </w:r>
            <w:r w:rsidR="2E093024" w:rsidRPr="6AB3EBF0">
              <w:t>to</w:t>
            </w:r>
            <w:r w:rsidR="3E11C9FD" w:rsidRPr="6AB3EBF0">
              <w:t xml:space="preserve"> lietderīg</w:t>
            </w:r>
            <w:r w:rsidR="7E69B37A" w:rsidRPr="6AB3EBF0">
              <w:t xml:space="preserve">i. </w:t>
            </w:r>
          </w:p>
        </w:tc>
        <w:tc>
          <w:tcPr>
            <w:tcW w:w="3260" w:type="dxa"/>
            <w:tcBorders>
              <w:top w:val="single" w:sz="4" w:space="0" w:color="auto"/>
              <w:left w:val="single" w:sz="4" w:space="0" w:color="auto"/>
              <w:bottom w:val="single" w:sz="4" w:space="0" w:color="auto"/>
            </w:tcBorders>
          </w:tcPr>
          <w:p w14:paraId="45CC887C" w14:textId="5EF1AF3E" w:rsidR="00E044A0" w:rsidRPr="003B71E0" w:rsidRDefault="6D59B03C" w:rsidP="0CFDBB31">
            <w:pPr>
              <w:jc w:val="both"/>
            </w:pPr>
            <w:r w:rsidRPr="6AB3EBF0">
              <w:lastRenderedPageBreak/>
              <w:t>I</w:t>
            </w:r>
            <w:r w:rsidR="7F29F831" w:rsidRPr="6AB3EBF0">
              <w:t>nformatīvais ziņojums</w:t>
            </w:r>
            <w:r w:rsidR="0AC7A398" w:rsidRPr="6AB3EBF0">
              <w:t xml:space="preserve"> </w:t>
            </w:r>
            <w:r w:rsidR="419AA83D" w:rsidRPr="6AB3EBF0">
              <w:t>p</w:t>
            </w:r>
            <w:r w:rsidR="0AC7A398" w:rsidRPr="6AB3EBF0">
              <w:t>recizēts</w:t>
            </w:r>
            <w:r w:rsidR="6070383E" w:rsidRPr="6AB3EBF0">
              <w:t xml:space="preserve">: </w:t>
            </w:r>
            <w:r w:rsidR="7F29F831" w:rsidRPr="6AB3EBF0">
              <w:t>2.</w:t>
            </w:r>
            <w:r w:rsidR="00E11BD3">
              <w:t> </w:t>
            </w:r>
            <w:r w:rsidR="21D88E8B" w:rsidRPr="6AB3EBF0">
              <w:t>no</w:t>
            </w:r>
            <w:r w:rsidR="7F29F831" w:rsidRPr="6AB3EBF0">
              <w:t>daļas “</w:t>
            </w:r>
            <w:r w:rsidR="25654B91" w:rsidRPr="6AB3EBF0">
              <w:t>Pārmaiņu</w:t>
            </w:r>
            <w:r w:rsidR="7F29F831" w:rsidRPr="6AB3EBF0">
              <w:rPr>
                <w:rFonts w:eastAsia="Calibri"/>
              </w:rPr>
              <w:t xml:space="preserve"> virzieni un turpmākā rīcība</w:t>
            </w:r>
            <w:r w:rsidR="7F29F831" w:rsidRPr="6AB3EBF0">
              <w:t>” 1.</w:t>
            </w:r>
            <w:r w:rsidR="00E11BD3">
              <w:t> </w:t>
            </w:r>
            <w:r w:rsidR="2C270879" w:rsidRPr="6AB3EBF0">
              <w:t xml:space="preserve">rīcības </w:t>
            </w:r>
            <w:r w:rsidR="4C0734DC" w:rsidRPr="6AB3EBF0">
              <w:t>virziena</w:t>
            </w:r>
            <w:r w:rsidR="7F29F831" w:rsidRPr="6AB3EBF0">
              <w:t xml:space="preserve"> apraksts</w:t>
            </w:r>
            <w:r w:rsidR="54EB5A9F" w:rsidRPr="6AB3EBF0">
              <w:t>.</w:t>
            </w:r>
          </w:p>
          <w:p w14:paraId="37D79B2C" w14:textId="41F14C98" w:rsidR="00E044A0" w:rsidRPr="003B71E0" w:rsidRDefault="00E044A0" w:rsidP="0CFDBB31">
            <w:pPr>
              <w:jc w:val="center"/>
              <w:rPr>
                <w:sz w:val="20"/>
                <w:szCs w:val="20"/>
              </w:rPr>
            </w:pPr>
          </w:p>
        </w:tc>
      </w:tr>
      <w:tr w:rsidR="00E044A0" w:rsidRPr="003B71E0" w14:paraId="37D79B33"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2E" w14:textId="743E6FDC" w:rsidR="00E044A0" w:rsidRPr="003B71E0" w:rsidRDefault="20D5D3A1" w:rsidP="6AB3EBF0">
            <w:pPr>
              <w:pStyle w:val="naisc"/>
              <w:spacing w:before="0" w:after="0"/>
            </w:pPr>
            <w:r w:rsidRPr="6AB3EBF0">
              <w:lastRenderedPageBreak/>
              <w:t>10.</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2F" w14:textId="77777777" w:rsidR="00E044A0" w:rsidRDefault="00E044A0"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30" w14:textId="77777777" w:rsidR="00E044A0" w:rsidRPr="00E044A0" w:rsidRDefault="00E044A0" w:rsidP="6AB3EBF0">
            <w:pPr>
              <w:pStyle w:val="NormalWeb"/>
              <w:spacing w:before="60" w:beforeAutospacing="0" w:after="0" w:afterAutospacing="0"/>
              <w:jc w:val="both"/>
              <w:rPr>
                <w:color w:val="000000"/>
              </w:rPr>
            </w:pPr>
            <w:r w:rsidRPr="6AB3EBF0">
              <w:rPr>
                <w:color w:val="000000" w:themeColor="text1"/>
              </w:rPr>
              <w:t>Lūdzam papildināt Informatīvā ziņojuma pielikumā “Informatīvais ziņojums par </w:t>
            </w:r>
            <w:proofErr w:type="spellStart"/>
            <w:r w:rsidRPr="6AB3EBF0">
              <w:rPr>
                <w:color w:val="000000" w:themeColor="text1"/>
              </w:rPr>
              <w:t>izmēģinājumprojektu</w:t>
            </w:r>
            <w:proofErr w:type="spellEnd"/>
            <w:r w:rsidRPr="6AB3EBF0">
              <w:rPr>
                <w:color w:val="000000" w:themeColor="text1"/>
              </w:rPr>
              <w:t xml:space="preserve"> (pilotprojektu) īstenošanas rezultātiem un turpmāko rīcību ietekmes pēcpārbaudes ieviešanā​” aprakstu ar skaidrojumu/metodoloģiskiem apsvērumiem, kāds respondentu īpatsvars tiek izmantots kā atskaites punkts, lai apgalvotu, ka tiešie mērķi ir sasniegti. Tā kā atsevišķos gadījumos 50-60 % respondentu pozitīvas atbildes ir kalpojušas par pamatu pozitīvam mērķa sasniegšanas novērtējumam, nav skaidrs, kāpēc piektās vai trešās daļas respondentu negatīvo atbilžu īpatsvari netiek uzskatīti par būtiskiem mērķa sasniegšanas vērtējumā.</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74E2A6" w14:textId="57A05FBD" w:rsidR="00E044A0" w:rsidRPr="003B71E0" w:rsidRDefault="6F39C71D" w:rsidP="0CFDBB31">
            <w:pPr>
              <w:pStyle w:val="naisc"/>
              <w:spacing w:before="0" w:after="0"/>
              <w:rPr>
                <w:b/>
                <w:bCs/>
                <w:color w:val="000000" w:themeColor="text1"/>
              </w:rPr>
            </w:pPr>
            <w:r w:rsidRPr="0CFDBB31">
              <w:rPr>
                <w:b/>
                <w:bCs/>
                <w:color w:val="000000" w:themeColor="text1"/>
              </w:rPr>
              <w:t>Ņemts vērā</w:t>
            </w:r>
          </w:p>
          <w:p w14:paraId="3A1FDB2F" w14:textId="084AED28" w:rsidR="00E044A0" w:rsidRPr="003B71E0" w:rsidRDefault="6F39C71D" w:rsidP="0CFDBB31">
            <w:pPr>
              <w:pStyle w:val="naisc"/>
              <w:spacing w:before="0" w:after="0"/>
              <w:jc w:val="both"/>
              <w:rPr>
                <w:color w:val="000000" w:themeColor="text1"/>
              </w:rPr>
            </w:pPr>
            <w:r w:rsidRPr="6AB3EBF0">
              <w:rPr>
                <w:color w:val="000000" w:themeColor="text1"/>
              </w:rPr>
              <w:t>Pētījuma ietvaros tika veikta faktoru analīze, nosakot dažādu faktoru savstarpējās ietekmes nozīmību. Faktoru analīzes rezultāti balstījās uz statistiski nozīmīgo ietekmju analīzi, nevis atbilžu procentuālajiem īpatsvariem.</w:t>
            </w:r>
          </w:p>
          <w:p w14:paraId="6CDF43A5" w14:textId="773EA973" w:rsidR="39E6ADEE" w:rsidRDefault="39E6ADEE" w:rsidP="6AB3EBF0">
            <w:pPr>
              <w:jc w:val="both"/>
              <w:rPr>
                <w:rFonts w:eastAsia="Calibri"/>
                <w:i/>
                <w:iCs/>
                <w:color w:val="FF0000"/>
              </w:rPr>
            </w:pPr>
            <w:r w:rsidRPr="6AB3EBF0">
              <w:rPr>
                <w:rFonts w:eastAsia="Calibri"/>
                <w:i/>
                <w:iCs/>
              </w:rPr>
              <w:t xml:space="preserve">Sk. </w:t>
            </w:r>
            <w:r w:rsidR="1C7FE0EC" w:rsidRPr="6AB3EBF0">
              <w:rPr>
                <w:rFonts w:eastAsia="Calibri"/>
                <w:i/>
                <w:iCs/>
              </w:rPr>
              <w:t>a</w:t>
            </w:r>
            <w:r w:rsidRPr="6AB3EBF0">
              <w:rPr>
                <w:rFonts w:eastAsia="Calibri"/>
                <w:i/>
                <w:iCs/>
              </w:rPr>
              <w:t>rī VK skaidrojum</w:t>
            </w:r>
            <w:r w:rsidR="128A56B5" w:rsidRPr="6AB3EBF0">
              <w:rPr>
                <w:rFonts w:eastAsia="Calibri"/>
                <w:i/>
                <w:iCs/>
              </w:rPr>
              <w:t>a</w:t>
            </w:r>
            <w:r w:rsidRPr="6AB3EBF0">
              <w:rPr>
                <w:rFonts w:eastAsia="Calibri"/>
                <w:i/>
                <w:iCs/>
              </w:rPr>
              <w:t xml:space="preserve"> par 2.iebildumu</w:t>
            </w:r>
            <w:r w:rsidR="12BE128E" w:rsidRPr="6AB3EBF0">
              <w:rPr>
                <w:rFonts w:eastAsia="Calibri"/>
                <w:i/>
                <w:iCs/>
              </w:rPr>
              <w:t xml:space="preserve"> pirmo rindkopu</w:t>
            </w:r>
            <w:r w:rsidRPr="6AB3EBF0">
              <w:rPr>
                <w:rFonts w:eastAsia="Calibri"/>
                <w:i/>
                <w:iCs/>
              </w:rPr>
              <w:t>.</w:t>
            </w:r>
            <w:r w:rsidRPr="6AB3EBF0">
              <w:rPr>
                <w:rFonts w:eastAsia="Calibri"/>
                <w:i/>
                <w:iCs/>
                <w:color w:val="FF0000"/>
              </w:rPr>
              <w:t xml:space="preserve"> </w:t>
            </w:r>
          </w:p>
          <w:p w14:paraId="37D79B31" w14:textId="46846D99" w:rsidR="00E044A0" w:rsidRPr="003B71E0" w:rsidRDefault="00E044A0" w:rsidP="0CFDBB31">
            <w:pPr>
              <w:pStyle w:val="naisc"/>
              <w:spacing w:before="0" w:after="0"/>
              <w:jc w:val="both"/>
              <w:rPr>
                <w:color w:val="000000" w:themeColor="text1"/>
              </w:rPr>
            </w:pPr>
          </w:p>
        </w:tc>
        <w:tc>
          <w:tcPr>
            <w:tcW w:w="3260" w:type="dxa"/>
            <w:tcBorders>
              <w:top w:val="single" w:sz="4" w:space="0" w:color="auto"/>
              <w:left w:val="single" w:sz="4" w:space="0" w:color="auto"/>
              <w:bottom w:val="single" w:sz="4" w:space="0" w:color="auto"/>
            </w:tcBorders>
          </w:tcPr>
          <w:p w14:paraId="37D79B32" w14:textId="77777777" w:rsidR="00E044A0" w:rsidRPr="003B71E0" w:rsidRDefault="00E044A0" w:rsidP="00547BD3">
            <w:pPr>
              <w:jc w:val="center"/>
              <w:rPr>
                <w:sz w:val="20"/>
                <w:szCs w:val="20"/>
              </w:rPr>
            </w:pPr>
          </w:p>
        </w:tc>
      </w:tr>
      <w:tr w:rsidR="00E044A0" w:rsidRPr="003B71E0" w14:paraId="37D79B39"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34" w14:textId="2D5887D0" w:rsidR="00E044A0" w:rsidRPr="003B71E0" w:rsidRDefault="3012E5D5" w:rsidP="6AB3EBF0">
            <w:pPr>
              <w:pStyle w:val="naisc"/>
              <w:spacing w:before="0" w:after="0"/>
            </w:pPr>
            <w:r w:rsidRPr="6AB3EBF0">
              <w:lastRenderedPageBreak/>
              <w:t>11.</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35" w14:textId="77777777" w:rsidR="00E044A0" w:rsidRDefault="00E044A0"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36" w14:textId="77777777" w:rsidR="00E044A0" w:rsidRPr="00E044A0" w:rsidRDefault="00E044A0" w:rsidP="6AB3EBF0">
            <w:pPr>
              <w:pStyle w:val="NormalWeb"/>
              <w:spacing w:before="60" w:beforeAutospacing="0" w:after="0" w:afterAutospacing="0"/>
              <w:jc w:val="both"/>
              <w:rPr>
                <w:color w:val="000000"/>
              </w:rPr>
            </w:pPr>
            <w:r w:rsidRPr="6AB3EBF0">
              <w:rPr>
                <w:color w:val="000000" w:themeColor="text1"/>
              </w:rPr>
              <w:t>Aicinām papildināt 5. secinājumu Informatīvā ziņojuma pielikuma 6. lpp., koncentrējoties ne tikai uz iestāžu mācību plānošanas pilnveidošanu, bet arī  pieejamo resursu  un Valsts administrācijas skolas iespēju nodrošināt specifiskas mācības analīzi.</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F28F44" w14:textId="1BA9BB9C" w:rsidR="00E044A0" w:rsidRPr="003B71E0" w:rsidRDefault="3673C1D0" w:rsidP="0CFDBB31">
            <w:pPr>
              <w:pStyle w:val="naisc"/>
              <w:spacing w:before="0" w:after="0"/>
              <w:rPr>
                <w:b/>
                <w:bCs/>
                <w:color w:val="000000" w:themeColor="text1"/>
              </w:rPr>
            </w:pPr>
            <w:r w:rsidRPr="0CFDBB31">
              <w:rPr>
                <w:b/>
                <w:bCs/>
                <w:color w:val="000000" w:themeColor="text1"/>
              </w:rPr>
              <w:t>Ņemts vērā</w:t>
            </w:r>
          </w:p>
          <w:p w14:paraId="5C32F299" w14:textId="094100A5" w:rsidR="00E044A0" w:rsidRPr="003B71E0" w:rsidRDefault="3673C1D0" w:rsidP="6AB3EBF0">
            <w:pPr>
              <w:pStyle w:val="naisc"/>
              <w:spacing w:before="0" w:after="0"/>
              <w:jc w:val="both"/>
              <w:rPr>
                <w:color w:val="000000" w:themeColor="text1"/>
              </w:rPr>
            </w:pPr>
            <w:r w:rsidRPr="6AB3EBF0">
              <w:rPr>
                <w:color w:val="000000" w:themeColor="text1"/>
              </w:rPr>
              <w:t xml:space="preserve">Veiktā </w:t>
            </w:r>
            <w:proofErr w:type="spellStart"/>
            <w:r w:rsidRPr="6AB3EBF0">
              <w:rPr>
                <w:color w:val="000000" w:themeColor="text1"/>
              </w:rPr>
              <w:t>ex</w:t>
            </w:r>
            <w:proofErr w:type="spellEnd"/>
            <w:r w:rsidRPr="6AB3EBF0">
              <w:rPr>
                <w:color w:val="000000" w:themeColor="text1"/>
              </w:rPr>
              <w:t xml:space="preserve">-post </w:t>
            </w:r>
            <w:r w:rsidR="36D2DB6B" w:rsidRPr="6AB3EBF0">
              <w:rPr>
                <w:color w:val="000000" w:themeColor="text1"/>
              </w:rPr>
              <w:t>no</w:t>
            </w:r>
            <w:r w:rsidRPr="6AB3EBF0">
              <w:rPr>
                <w:color w:val="000000" w:themeColor="text1"/>
              </w:rPr>
              <w:t>vērtējuma satura pilnveide nav lietderīga, ņemot vērā, ka sistēmiskas izmaiņas mācīšanās un attīstības sistēmā paredz Mācīšanās un attīstības stratēģija, kura pašlaik tiek saskaņota ar iestādēm.</w:t>
            </w:r>
          </w:p>
          <w:p w14:paraId="37D79B37" w14:textId="082A1CCA" w:rsidR="00E044A0" w:rsidRPr="003B71E0" w:rsidRDefault="516B57A4" w:rsidP="6AB3EBF0">
            <w:pPr>
              <w:jc w:val="both"/>
              <w:rPr>
                <w:rFonts w:eastAsia="Calibri"/>
                <w:i/>
                <w:iCs/>
                <w:color w:val="000000" w:themeColor="text1"/>
              </w:rPr>
            </w:pPr>
            <w:r w:rsidRPr="6AB3EBF0">
              <w:rPr>
                <w:rFonts w:eastAsia="Calibri"/>
                <w:i/>
                <w:iCs/>
              </w:rPr>
              <w:t xml:space="preserve">Sk. </w:t>
            </w:r>
            <w:r w:rsidR="7AF342C4" w:rsidRPr="6AB3EBF0">
              <w:rPr>
                <w:rFonts w:eastAsia="Calibri"/>
                <w:i/>
                <w:iCs/>
              </w:rPr>
              <w:t>a</w:t>
            </w:r>
            <w:r w:rsidRPr="6AB3EBF0">
              <w:rPr>
                <w:rFonts w:eastAsia="Calibri"/>
                <w:i/>
                <w:iCs/>
              </w:rPr>
              <w:t>rī VK skaidrojuma par 2.iebildumu pirmo rindkopu.</w:t>
            </w:r>
          </w:p>
        </w:tc>
        <w:tc>
          <w:tcPr>
            <w:tcW w:w="3260" w:type="dxa"/>
            <w:tcBorders>
              <w:top w:val="single" w:sz="4" w:space="0" w:color="auto"/>
              <w:left w:val="single" w:sz="4" w:space="0" w:color="auto"/>
              <w:bottom w:val="single" w:sz="4" w:space="0" w:color="auto"/>
            </w:tcBorders>
          </w:tcPr>
          <w:p w14:paraId="37D79B38" w14:textId="77777777" w:rsidR="00E044A0" w:rsidRPr="003B71E0" w:rsidRDefault="00E044A0" w:rsidP="00547BD3">
            <w:pPr>
              <w:jc w:val="center"/>
              <w:rPr>
                <w:sz w:val="20"/>
                <w:szCs w:val="20"/>
              </w:rPr>
            </w:pPr>
          </w:p>
        </w:tc>
      </w:tr>
      <w:tr w:rsidR="00E044A0" w:rsidRPr="003B71E0" w14:paraId="37D79B3F"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3A" w14:textId="2A127F91" w:rsidR="00E044A0" w:rsidRPr="003B71E0" w:rsidRDefault="516B57A4" w:rsidP="6AB3EBF0">
            <w:pPr>
              <w:pStyle w:val="naisc"/>
              <w:spacing w:before="0" w:after="0"/>
            </w:pPr>
            <w:r w:rsidRPr="6AB3EBF0">
              <w:t>12.</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3B" w14:textId="77777777" w:rsidR="00E044A0" w:rsidRDefault="00E044A0"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3C" w14:textId="77777777" w:rsidR="00E044A0" w:rsidRPr="003B71E0" w:rsidRDefault="00E044A0" w:rsidP="00E044A0">
            <w:pPr>
              <w:pStyle w:val="naisc"/>
              <w:spacing w:before="0" w:after="0"/>
              <w:jc w:val="both"/>
              <w:rPr>
                <w:sz w:val="20"/>
                <w:szCs w:val="20"/>
              </w:rPr>
            </w:pPr>
            <w:r w:rsidRPr="00E044A0">
              <w:rPr>
                <w:color w:val="000000"/>
              </w:rPr>
              <w:t>Atbilstoši normatīvajos aktos noteiktajam, LM nodrošina politiku horizontālās prioritātes – vienlīdzīgas iespējas vīriešiem un sievietēm, personām ar invaliditāti, bērniem un vecāka gadagājuma iedzīvotājiem un citām sociāli nelabvēlīgākā situācijā esošām iedzīvotāju grupām – īstenošanas koordināciju un uzraudzību. Ņemot vērā minēto, lūdzam iekļaut LM kā vienu no iesaistītajām institūcijām Informatīvā ziņojuma pirmā rīcības virziena pasākumu ieviešanā. Uzskatām, ka LM varētu sniegt nozīmīgu pienesumu esošās ietekmes novērtējuma sistēmas pārskatīšanā un jauna ietekmes novērtēšanas regulējuma izstrādē. Vēršam uzmanību, ka uz nepieciešamību veikt tiesību aktu (un politikas plānošanas dokumentu) ietekmes uz sievietēm un vīriešiem, novērtējumu ilgstoši norāda arī Eiropas Savienība un Ekonomiskās sadarbības un attīstības organizācija.</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3A5D61" w14:textId="4E7DFD1B" w:rsidR="00E044A0" w:rsidRPr="003B71E0" w:rsidRDefault="23DEC287" w:rsidP="0CFDBB31">
            <w:pPr>
              <w:pStyle w:val="naisc"/>
              <w:spacing w:before="0" w:after="0"/>
              <w:rPr>
                <w:b/>
                <w:bCs/>
              </w:rPr>
            </w:pPr>
            <w:r w:rsidRPr="0CFDBB31">
              <w:rPr>
                <w:b/>
                <w:bCs/>
              </w:rPr>
              <w:t>Ņemts vērā</w:t>
            </w:r>
          </w:p>
          <w:p w14:paraId="37D79B3D" w14:textId="79B94A1B" w:rsidR="00E044A0" w:rsidRPr="003B71E0" w:rsidRDefault="23DEC287" w:rsidP="0CFDBB31">
            <w:pPr>
              <w:pStyle w:val="naisc"/>
              <w:spacing w:before="0" w:after="0"/>
              <w:jc w:val="both"/>
              <w:rPr>
                <w:sz w:val="20"/>
                <w:szCs w:val="20"/>
              </w:rPr>
            </w:pPr>
            <w:r w:rsidRPr="0CFDBB31">
              <w:t>Nozaru ministrij</w:t>
            </w:r>
            <w:r w:rsidR="7F92B972" w:rsidRPr="0CFDBB31">
              <w:t xml:space="preserve">as tiks iesaistītas ietekmes </w:t>
            </w:r>
            <w:r w:rsidR="3068140F" w:rsidRPr="0CFDBB31">
              <w:t>novērtējuma sistēmas pārveides projektā atbilstoši to kompetencei.</w:t>
            </w:r>
            <w:r w:rsidR="3068140F" w:rsidRPr="0CFDBB31">
              <w:rPr>
                <w:sz w:val="20"/>
                <w:szCs w:val="20"/>
              </w:rPr>
              <w:t xml:space="preserve"> </w:t>
            </w:r>
            <w:r w:rsidRPr="0CFDBB31">
              <w:rPr>
                <w:sz w:val="20"/>
                <w:szCs w:val="20"/>
              </w:rPr>
              <w:t xml:space="preserve"> </w:t>
            </w:r>
          </w:p>
        </w:tc>
        <w:tc>
          <w:tcPr>
            <w:tcW w:w="3260" w:type="dxa"/>
            <w:tcBorders>
              <w:top w:val="single" w:sz="4" w:space="0" w:color="auto"/>
              <w:left w:val="single" w:sz="4" w:space="0" w:color="auto"/>
              <w:bottom w:val="single" w:sz="4" w:space="0" w:color="auto"/>
            </w:tcBorders>
          </w:tcPr>
          <w:p w14:paraId="37D79B3E" w14:textId="77777777" w:rsidR="00E044A0" w:rsidRPr="003B71E0" w:rsidRDefault="00E044A0" w:rsidP="00547BD3">
            <w:pPr>
              <w:jc w:val="center"/>
              <w:rPr>
                <w:sz w:val="20"/>
                <w:szCs w:val="20"/>
              </w:rPr>
            </w:pPr>
          </w:p>
        </w:tc>
      </w:tr>
      <w:tr w:rsidR="00E044A0" w:rsidRPr="003B71E0" w14:paraId="37D79B45" w14:textId="77777777" w:rsidTr="6AB3EB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40" w14:textId="2A4038A3" w:rsidR="00E044A0" w:rsidRPr="003B71E0" w:rsidRDefault="333F147A" w:rsidP="6AB3EBF0">
            <w:pPr>
              <w:pStyle w:val="naisc"/>
              <w:spacing w:before="0" w:after="0"/>
            </w:pPr>
            <w:r w:rsidRPr="6AB3EBF0">
              <w:t>13.</w:t>
            </w:r>
          </w:p>
        </w:tc>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41" w14:textId="77777777" w:rsidR="00E044A0" w:rsidRDefault="00E044A0" w:rsidP="00547BD3">
            <w:pPr>
              <w:pStyle w:val="naisc"/>
              <w:spacing w:before="0" w:after="0"/>
              <w:ind w:firstLine="720"/>
              <w:rPr>
                <w:sz w:val="20"/>
                <w:szCs w:val="20"/>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42" w14:textId="77777777" w:rsidR="00E044A0" w:rsidRPr="003B71E0" w:rsidRDefault="00136151" w:rsidP="00136151">
            <w:pPr>
              <w:pStyle w:val="naisc"/>
              <w:spacing w:before="0" w:after="0"/>
              <w:jc w:val="both"/>
              <w:rPr>
                <w:sz w:val="20"/>
                <w:szCs w:val="20"/>
              </w:rPr>
            </w:pPr>
            <w:proofErr w:type="spellStart"/>
            <w:r w:rsidRPr="6AB3EBF0">
              <w:rPr>
                <w:b/>
                <w:bCs/>
              </w:rPr>
              <w:t>Pārresoru</w:t>
            </w:r>
            <w:proofErr w:type="spellEnd"/>
            <w:r w:rsidRPr="6AB3EBF0">
              <w:rPr>
                <w:b/>
                <w:bCs/>
              </w:rPr>
              <w:t xml:space="preserve"> koordinācijas centrs:</w:t>
            </w:r>
            <w:r>
              <w:t xml:space="preserve"> Aicinām izvērtēt iespēju precizēt otro rindkopu </w:t>
            </w:r>
            <w:r>
              <w:lastRenderedPageBreak/>
              <w:t>ziņojuma otrajā lappusē attiecībā uz secinājumu, ka pēdējos gados Latvijā ir vērojama arvien lielāka pieņemto regulējumu negatīvā ietekme uz sabiedrību. Secinājumi no pētījumiem par uzņēmējdarbības vidi un ēnu ekonomiku nav pietiekams pamats secināt, ka visu pieņemto regulējumu ietekme uz sabiedrību ir negatīva, un šāds vispārinājums attiecībā uz normatīvajiem aktiem valstī kopumā nav pamatots ar atbilstošu pētījumu datiem un secinājumiem citās jomās. Vienlaikus pamatots secinājums būtu, ka negatīvie piemēri iepriekšminētajās jomās norāda uz iespējamu risku, ka arī citās jomās regulējums teorētiski var radīt negatīvu ietekmi uz sabiedrības labklājību un valsts attīstību.</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CCDD55" w14:textId="15C6C7D4" w:rsidR="00E044A0" w:rsidRPr="003B71E0" w:rsidRDefault="61D8342C" w:rsidP="0CFDBB31">
            <w:pPr>
              <w:pStyle w:val="naisc"/>
              <w:spacing w:before="0" w:after="0"/>
              <w:rPr>
                <w:b/>
                <w:bCs/>
              </w:rPr>
            </w:pPr>
            <w:r w:rsidRPr="0CFDBB31">
              <w:rPr>
                <w:b/>
                <w:bCs/>
              </w:rPr>
              <w:lastRenderedPageBreak/>
              <w:t>Ņemts vērā</w:t>
            </w:r>
          </w:p>
          <w:p w14:paraId="4C96B98C" w14:textId="0DBF432B" w:rsidR="0CFDBB31" w:rsidRDefault="0CFDBB31" w:rsidP="0CFDBB31">
            <w:pPr>
              <w:pStyle w:val="naisc"/>
              <w:spacing w:before="0" w:after="0"/>
              <w:jc w:val="both"/>
              <w:rPr>
                <w:color w:val="FF0000"/>
              </w:rPr>
            </w:pPr>
          </w:p>
          <w:p w14:paraId="37D79B43" w14:textId="43175C01" w:rsidR="00E044A0" w:rsidRPr="003B71E0" w:rsidRDefault="00E044A0" w:rsidP="5A2754AE">
            <w:pPr>
              <w:pStyle w:val="naisc"/>
              <w:spacing w:before="0" w:after="0"/>
              <w:jc w:val="both"/>
              <w:rPr>
                <w:color w:val="FF0000"/>
              </w:rPr>
            </w:pPr>
          </w:p>
        </w:tc>
        <w:tc>
          <w:tcPr>
            <w:tcW w:w="3260" w:type="dxa"/>
            <w:tcBorders>
              <w:top w:val="single" w:sz="4" w:space="0" w:color="auto"/>
              <w:left w:val="single" w:sz="4" w:space="0" w:color="auto"/>
              <w:bottom w:val="single" w:sz="4" w:space="0" w:color="auto"/>
            </w:tcBorders>
          </w:tcPr>
          <w:p w14:paraId="54476651" w14:textId="072A7843" w:rsidR="00E044A0" w:rsidRPr="003B71E0" w:rsidRDefault="50B23A22" w:rsidP="6AB3EBF0">
            <w:pPr>
              <w:jc w:val="both"/>
            </w:pPr>
            <w:r w:rsidRPr="6AB3EBF0">
              <w:lastRenderedPageBreak/>
              <w:t>I</w:t>
            </w:r>
            <w:r w:rsidR="37896AA8" w:rsidRPr="6AB3EBF0">
              <w:t>nformatīvais ziņojums</w:t>
            </w:r>
            <w:r w:rsidR="09878D3C" w:rsidRPr="6AB3EBF0">
              <w:t xml:space="preserve"> </w:t>
            </w:r>
            <w:r w:rsidR="7145EDB7" w:rsidRPr="6AB3EBF0">
              <w:t>p</w:t>
            </w:r>
            <w:r w:rsidR="09878D3C" w:rsidRPr="6AB3EBF0">
              <w:t>recizēts</w:t>
            </w:r>
            <w:r w:rsidR="60C465D6" w:rsidRPr="6AB3EBF0">
              <w:t>:</w:t>
            </w:r>
          </w:p>
          <w:p w14:paraId="37D79B44" w14:textId="2A488658" w:rsidR="00E044A0" w:rsidRPr="003B71E0" w:rsidRDefault="60C465D6" w:rsidP="0F0996BD">
            <w:pPr>
              <w:jc w:val="both"/>
            </w:pPr>
            <w:r w:rsidRPr="6AB3EBF0">
              <w:lastRenderedPageBreak/>
              <w:t xml:space="preserve">“Diemžēl jāsecina, ka pēdējos gados Latvijā ir vērojama lielāka pieņemto regulējumu negatīvā ietekme uz uzņēmējdarbības vidi, par ko liecina pētījumu un uzņēmēju aptauju rezultāti. </w:t>
            </w:r>
            <w:r w:rsidRPr="00712E1E">
              <w:rPr>
                <w:bCs/>
                <w:u w:val="single"/>
              </w:rPr>
              <w:t>Šie piemēri norāda uz iespējamu risku, ka arī citās jomās var tikt radīta negatīva ietekme uz sabiedrības labklājību un valsts attīstību.</w:t>
            </w:r>
            <w:r w:rsidRPr="00712E1E">
              <w:rPr>
                <w:u w:val="single"/>
              </w:rPr>
              <w:t>”.</w:t>
            </w:r>
          </w:p>
        </w:tc>
      </w:tr>
      <w:tr w:rsidR="00547BD3" w:rsidRPr="00712B66" w14:paraId="37D79B4B" w14:textId="77777777" w:rsidTr="6AB3EBF0">
        <w:tc>
          <w:tcPr>
            <w:tcW w:w="708" w:type="dxa"/>
            <w:tcBorders>
              <w:left w:val="single" w:sz="6" w:space="0" w:color="000000" w:themeColor="text1"/>
              <w:bottom w:val="single" w:sz="4" w:space="0" w:color="auto"/>
              <w:right w:val="single" w:sz="6" w:space="0" w:color="000000" w:themeColor="text1"/>
            </w:tcBorders>
          </w:tcPr>
          <w:p w14:paraId="37D79B46" w14:textId="67F786A9" w:rsidR="00547BD3" w:rsidRPr="00712B66" w:rsidRDefault="6EA991EC" w:rsidP="6AB3EBF0">
            <w:pPr>
              <w:pStyle w:val="naisc"/>
              <w:spacing w:before="0" w:after="0"/>
            </w:pPr>
            <w:r>
              <w:lastRenderedPageBreak/>
              <w:t>14.</w:t>
            </w:r>
          </w:p>
        </w:tc>
        <w:tc>
          <w:tcPr>
            <w:tcW w:w="2119" w:type="dxa"/>
            <w:tcBorders>
              <w:left w:val="single" w:sz="6" w:space="0" w:color="000000" w:themeColor="text1"/>
              <w:bottom w:val="single" w:sz="4" w:space="0" w:color="auto"/>
              <w:right w:val="single" w:sz="6" w:space="0" w:color="000000" w:themeColor="text1"/>
            </w:tcBorders>
          </w:tcPr>
          <w:p w14:paraId="37D79B47" w14:textId="77777777" w:rsidR="00547BD3" w:rsidRPr="00712B66" w:rsidRDefault="00547BD3" w:rsidP="00547BD3">
            <w:pPr>
              <w:pStyle w:val="naisc"/>
              <w:spacing w:before="0" w:after="0"/>
              <w:ind w:firstLine="720"/>
            </w:pPr>
          </w:p>
        </w:tc>
        <w:tc>
          <w:tcPr>
            <w:tcW w:w="4678" w:type="dxa"/>
            <w:tcBorders>
              <w:left w:val="single" w:sz="6" w:space="0" w:color="000000" w:themeColor="text1"/>
              <w:bottom w:val="single" w:sz="4" w:space="0" w:color="auto"/>
              <w:right w:val="single" w:sz="6" w:space="0" w:color="000000" w:themeColor="text1"/>
            </w:tcBorders>
          </w:tcPr>
          <w:p w14:paraId="37D79B48" w14:textId="77777777" w:rsidR="00547BD3" w:rsidRPr="000451BF" w:rsidRDefault="00136151" w:rsidP="00547BD3">
            <w:pPr>
              <w:tabs>
                <w:tab w:val="left" w:pos="993"/>
              </w:tabs>
              <w:jc w:val="both"/>
              <w:rPr>
                <w:rFonts w:eastAsia="Calibri"/>
                <w:color w:val="201F1E"/>
                <w:shd w:val="clear" w:color="auto" w:fill="FFFFFF"/>
              </w:rPr>
            </w:pPr>
            <w:r>
              <w:t xml:space="preserve">PKC piekrīt ziņojuma projekta trešajā lappusē norādītajam, ka  bieži vien ietekmes novērtējumi ir veikti formāli, neveicot alternatīvu risinājumu izpēti, izmaksu-ieguvumu vai izmaksu lietderības analīzi, kā arī kopumā neveicot jēgpilnu </w:t>
            </w:r>
            <w:r w:rsidRPr="00350824">
              <w:rPr>
                <w:bCs/>
              </w:rPr>
              <w:t>sabiedrīb</w:t>
            </w:r>
            <w:r w:rsidRPr="00350824">
              <w:t>as</w:t>
            </w:r>
            <w:r>
              <w:t xml:space="preserve"> iesaisti. Vienlaikus vēlamies norādīt, ka, nenoliedzot šo aspektu svarīgumu,  svarīgi arī pēc būtības analizēt un sekojoši ietekmes novērtējumā ietvert plānotā regulējuma ietekmi uz tam izvirzīto politikas mērķu sasniegšanu.</w:t>
            </w:r>
          </w:p>
        </w:tc>
        <w:tc>
          <w:tcPr>
            <w:tcW w:w="3402" w:type="dxa"/>
            <w:tcBorders>
              <w:left w:val="single" w:sz="6" w:space="0" w:color="000000" w:themeColor="text1"/>
              <w:bottom w:val="single" w:sz="4" w:space="0" w:color="auto"/>
              <w:right w:val="single" w:sz="6" w:space="0" w:color="000000" w:themeColor="text1"/>
            </w:tcBorders>
          </w:tcPr>
          <w:p w14:paraId="76BBB524" w14:textId="2A5B9023" w:rsidR="00547BD3" w:rsidRPr="00712B66" w:rsidRDefault="49C6AE3D" w:rsidP="0CFDBB31">
            <w:pPr>
              <w:pStyle w:val="naisc"/>
              <w:spacing w:before="0" w:after="0"/>
              <w:rPr>
                <w:b/>
                <w:bCs/>
              </w:rPr>
            </w:pPr>
            <w:r w:rsidRPr="0CFDBB31">
              <w:rPr>
                <w:b/>
                <w:bCs/>
              </w:rPr>
              <w:t>Ņemts vērā</w:t>
            </w:r>
          </w:p>
          <w:p w14:paraId="6C04F267" w14:textId="2CC77465" w:rsidR="00547BD3" w:rsidRPr="00712B66" w:rsidRDefault="0F160513" w:rsidP="00547BD3">
            <w:pPr>
              <w:pStyle w:val="naisc"/>
              <w:spacing w:before="0" w:after="0"/>
              <w:jc w:val="both"/>
            </w:pPr>
            <w:r>
              <w:t>Piekrītam, ka regulējuma ietekme uz izvirzīto politikas mērķu sasniegšanu ir svarīgs ietekmes novērtēšanas aspekts, un t</w:t>
            </w:r>
            <w:r w:rsidR="0BE65210">
              <w:t>āpēc jau paš</w:t>
            </w:r>
            <w:r w:rsidR="7ADC5FBB">
              <w:t xml:space="preserve">laik </w:t>
            </w:r>
            <w:r w:rsidR="6BF298F0">
              <w:t>V</w:t>
            </w:r>
            <w:r w:rsidR="1406D81B">
              <w:t xml:space="preserve">ienotajā </w:t>
            </w:r>
            <w:r w:rsidR="7ADC5FBB">
              <w:t>t</w:t>
            </w:r>
            <w:r w:rsidR="11BE973C">
              <w:t xml:space="preserve">iesību aktu </w:t>
            </w:r>
            <w:r w:rsidR="0BE65210">
              <w:t xml:space="preserve"> </w:t>
            </w:r>
            <w:r w:rsidR="6BB2420E">
              <w:t xml:space="preserve">izstrādes portālā  </w:t>
            </w:r>
            <w:r w:rsidR="0BE65210">
              <w:t xml:space="preserve">sākotnējās ietekmes novērtēšanas sistēmā ir </w:t>
            </w:r>
            <w:r w:rsidR="5005CF20">
              <w:t xml:space="preserve">ticis iekļauts punkts, kas paredz atzīmēt, vai tiks veikts </w:t>
            </w:r>
            <w:proofErr w:type="spellStart"/>
            <w:r w:rsidR="5005CF20">
              <w:t>ex</w:t>
            </w:r>
            <w:proofErr w:type="spellEnd"/>
            <w:r w:rsidR="5005CF20">
              <w:t xml:space="preserve">-post un rādītāji, saskaņā ar kuriem tiks </w:t>
            </w:r>
            <w:r w:rsidR="5CE18393">
              <w:t xml:space="preserve">vērtēta regulējuma mērķu sasniegšana. </w:t>
            </w:r>
          </w:p>
          <w:p w14:paraId="37D79B49" w14:textId="77428F3C" w:rsidR="00547BD3" w:rsidRPr="00712B66" w:rsidRDefault="75102850" w:rsidP="00547BD3">
            <w:pPr>
              <w:pStyle w:val="naisc"/>
              <w:spacing w:before="0" w:after="0"/>
              <w:jc w:val="both"/>
            </w:pPr>
            <w:r>
              <w:t>R</w:t>
            </w:r>
            <w:r w:rsidR="3F758E49">
              <w:t>egulējuma ietekme uz tam izvirzīto politikas mērķu sasniegšanu būs</w:t>
            </w:r>
            <w:r w:rsidR="213A5B3F">
              <w:t xml:space="preserve"> regulējuma </w:t>
            </w:r>
            <w:r w:rsidR="213A5B3F">
              <w:lastRenderedPageBreak/>
              <w:t xml:space="preserve">pēcpārbaudes ietekmes novērtējuma </w:t>
            </w:r>
            <w:r w:rsidR="1BD17463">
              <w:t>neatņemama sastāvdaļa.</w:t>
            </w:r>
          </w:p>
        </w:tc>
        <w:tc>
          <w:tcPr>
            <w:tcW w:w="3260" w:type="dxa"/>
            <w:tcBorders>
              <w:top w:val="single" w:sz="4" w:space="0" w:color="auto"/>
              <w:left w:val="single" w:sz="4" w:space="0" w:color="auto"/>
              <w:bottom w:val="single" w:sz="4" w:space="0" w:color="auto"/>
            </w:tcBorders>
          </w:tcPr>
          <w:p w14:paraId="37D79B4A" w14:textId="77777777" w:rsidR="00547BD3" w:rsidRPr="00712B66" w:rsidRDefault="00547BD3" w:rsidP="00547BD3"/>
        </w:tc>
      </w:tr>
      <w:tr w:rsidR="00136151" w:rsidRPr="00712B66" w14:paraId="37D79B51" w14:textId="77777777" w:rsidTr="6AB3EBF0">
        <w:tc>
          <w:tcPr>
            <w:tcW w:w="708" w:type="dxa"/>
            <w:tcBorders>
              <w:left w:val="single" w:sz="6" w:space="0" w:color="000000" w:themeColor="text1"/>
              <w:bottom w:val="single" w:sz="4" w:space="0" w:color="auto"/>
              <w:right w:val="single" w:sz="6" w:space="0" w:color="000000" w:themeColor="text1"/>
            </w:tcBorders>
          </w:tcPr>
          <w:p w14:paraId="37D79B4C" w14:textId="66920F8D" w:rsidR="00136151" w:rsidRPr="00712B66" w:rsidRDefault="4819A043" w:rsidP="6AB3EBF0">
            <w:pPr>
              <w:pStyle w:val="naisc"/>
              <w:spacing w:before="0" w:after="0"/>
            </w:pPr>
            <w:r>
              <w:t>15.</w:t>
            </w:r>
          </w:p>
        </w:tc>
        <w:tc>
          <w:tcPr>
            <w:tcW w:w="2119" w:type="dxa"/>
            <w:tcBorders>
              <w:left w:val="single" w:sz="6" w:space="0" w:color="000000" w:themeColor="text1"/>
              <w:bottom w:val="single" w:sz="4" w:space="0" w:color="auto"/>
              <w:right w:val="single" w:sz="6" w:space="0" w:color="000000" w:themeColor="text1"/>
            </w:tcBorders>
          </w:tcPr>
          <w:p w14:paraId="37D79B4D" w14:textId="77777777" w:rsidR="00136151" w:rsidRPr="00712B66" w:rsidRDefault="00136151" w:rsidP="00547BD3">
            <w:pPr>
              <w:pStyle w:val="naisc"/>
              <w:spacing w:before="0" w:after="0"/>
              <w:ind w:firstLine="720"/>
            </w:pPr>
          </w:p>
        </w:tc>
        <w:tc>
          <w:tcPr>
            <w:tcW w:w="4678" w:type="dxa"/>
            <w:tcBorders>
              <w:left w:val="single" w:sz="6" w:space="0" w:color="000000" w:themeColor="text1"/>
              <w:bottom w:val="single" w:sz="4" w:space="0" w:color="auto"/>
              <w:right w:val="single" w:sz="6" w:space="0" w:color="000000" w:themeColor="text1"/>
            </w:tcBorders>
          </w:tcPr>
          <w:p w14:paraId="37D79B4E" w14:textId="77777777" w:rsidR="00136151" w:rsidRPr="000451BF" w:rsidRDefault="00136151" w:rsidP="00547BD3">
            <w:pPr>
              <w:tabs>
                <w:tab w:val="left" w:pos="993"/>
              </w:tabs>
              <w:jc w:val="both"/>
              <w:rPr>
                <w:rFonts w:eastAsia="Calibri"/>
                <w:color w:val="201F1E"/>
                <w:shd w:val="clear" w:color="auto" w:fill="FFFFFF"/>
              </w:rPr>
            </w:pPr>
            <w:r>
              <w:t xml:space="preserve">Attiecībā uz ziņojuma projektā norādīto pirmo rīcības virzienu aicinām izvērtēt iespēju norādīt, ka tas attiecināms uz tiesību aktu projektu ietekmes novērtēšanu. Tāpat aicinām izvērtēt iespēju atspoguļot problemātiku, kas saistīta ar Ministru kabineta Saeimai iesniegto likumprojektu virzības un pieņemšanas procesu Saeimā, kas nereti rada situāciju, ka Ministru kabineta iesniegtie likumprojekti tiek būtiski mainīti, tādējādi būtiski ietekmējot arī izstrādātā ietekmes novērtējuma aktualitāti un atbilstību Saeimas lēmumiem, bet normatīvajos aktos nav paredzēts ietekmes </w:t>
            </w:r>
            <w:proofErr w:type="spellStart"/>
            <w:r>
              <w:t>izvērtējuma</w:t>
            </w:r>
            <w:proofErr w:type="spellEnd"/>
            <w:r>
              <w:t xml:space="preserve"> pārskatīšanas mehānisms Saeimas pieņemtajiem tiesību aktiem, kuros Saeima veikusi būtiskas izmaiņas salīdzinājumā ar Ministru kabineta iesniegtajiem tiesību aktu projektiem.</w:t>
            </w:r>
          </w:p>
        </w:tc>
        <w:tc>
          <w:tcPr>
            <w:tcW w:w="3402" w:type="dxa"/>
            <w:tcBorders>
              <w:left w:val="single" w:sz="6" w:space="0" w:color="000000" w:themeColor="text1"/>
              <w:bottom w:val="single" w:sz="4" w:space="0" w:color="auto"/>
              <w:right w:val="single" w:sz="6" w:space="0" w:color="000000" w:themeColor="text1"/>
            </w:tcBorders>
          </w:tcPr>
          <w:p w14:paraId="5EEEF859" w14:textId="6A483B65" w:rsidR="00136151" w:rsidRPr="00712B66" w:rsidRDefault="217AB221" w:rsidP="0CFDBB31">
            <w:pPr>
              <w:pStyle w:val="naisc"/>
              <w:spacing w:before="0" w:after="0"/>
              <w:rPr>
                <w:b/>
                <w:bCs/>
              </w:rPr>
            </w:pPr>
            <w:r w:rsidRPr="0CFDBB31">
              <w:rPr>
                <w:b/>
                <w:bCs/>
              </w:rPr>
              <w:t>Ņemts vērā</w:t>
            </w:r>
          </w:p>
          <w:p w14:paraId="745A6B6C" w14:textId="12589B32" w:rsidR="00136151" w:rsidRPr="00712B66" w:rsidRDefault="0B34C04B" w:rsidP="6AB3EBF0">
            <w:pPr>
              <w:pStyle w:val="naisc"/>
              <w:spacing w:before="0" w:after="0"/>
              <w:jc w:val="both"/>
              <w:rPr>
                <w:color w:val="FF0000"/>
              </w:rPr>
            </w:pPr>
            <w:r w:rsidRPr="6AB3EBF0">
              <w:rPr>
                <w:color w:val="000000" w:themeColor="text1"/>
              </w:rPr>
              <w:t>Pi</w:t>
            </w:r>
            <w:r w:rsidR="57D882D1" w:rsidRPr="6AB3EBF0">
              <w:rPr>
                <w:color w:val="000000" w:themeColor="text1"/>
              </w:rPr>
              <w:t xml:space="preserve">edāvājam pirmo </w:t>
            </w:r>
            <w:r w:rsidRPr="6AB3EBF0">
              <w:rPr>
                <w:color w:val="000000" w:themeColor="text1"/>
              </w:rPr>
              <w:t>rīcības vi</w:t>
            </w:r>
            <w:r w:rsidR="75CB95FE" w:rsidRPr="6AB3EBF0">
              <w:rPr>
                <w:color w:val="000000" w:themeColor="text1"/>
              </w:rPr>
              <w:t>rzien</w:t>
            </w:r>
            <w:r w:rsidR="3D02B990" w:rsidRPr="6AB3EBF0">
              <w:rPr>
                <w:color w:val="000000" w:themeColor="text1"/>
              </w:rPr>
              <w:t xml:space="preserve">u </w:t>
            </w:r>
            <w:r w:rsidR="0F7660F1" w:rsidRPr="6AB3EBF0">
              <w:rPr>
                <w:color w:val="000000" w:themeColor="text1"/>
              </w:rPr>
              <w:t xml:space="preserve"> </w:t>
            </w:r>
            <w:r w:rsidR="70AB3567" w:rsidRPr="6AB3EBF0">
              <w:rPr>
                <w:color w:val="000000" w:themeColor="text1"/>
              </w:rPr>
              <w:t>izteikt</w:t>
            </w:r>
            <w:r w:rsidR="0BA469ED" w:rsidRPr="6AB3EBF0">
              <w:rPr>
                <w:color w:val="000000" w:themeColor="text1"/>
              </w:rPr>
              <w:t xml:space="preserve"> vispārīgi,</w:t>
            </w:r>
            <w:r w:rsidR="7C05E05D" w:rsidRPr="6AB3EBF0">
              <w:rPr>
                <w:color w:val="000000" w:themeColor="text1"/>
              </w:rPr>
              <w:t xml:space="preserve"> </w:t>
            </w:r>
            <w:r w:rsidR="44A522E4" w:rsidRPr="6AB3EBF0">
              <w:rPr>
                <w:color w:val="000000" w:themeColor="text1"/>
              </w:rPr>
              <w:t xml:space="preserve">uzsverot, ka tiks vērtēta visas ietekmes novērtējuma sistēmas </w:t>
            </w:r>
            <w:r w:rsidR="19FD3828" w:rsidRPr="6AB3EBF0">
              <w:rPr>
                <w:color w:val="000000" w:themeColor="text1"/>
              </w:rPr>
              <w:t xml:space="preserve">efektivitāte, samērība un pārskatāmība. Gadījumā, ja pārstrādes laikā parādīsies priekšlikumi attīstības plānošanas dokumentu ietekmes novērtējuma </w:t>
            </w:r>
            <w:r w:rsidR="58A21D59" w:rsidRPr="6AB3EBF0">
              <w:rPr>
                <w:color w:val="000000" w:themeColor="text1"/>
              </w:rPr>
              <w:t xml:space="preserve">uzlabojumiem, </w:t>
            </w:r>
            <w:r w:rsidR="4DD04FA1" w:rsidRPr="6AB3EBF0">
              <w:rPr>
                <w:color w:val="000000" w:themeColor="text1"/>
              </w:rPr>
              <w:t xml:space="preserve">par to virzību </w:t>
            </w:r>
            <w:r w:rsidR="0797D55F" w:rsidRPr="6AB3EBF0">
              <w:rPr>
                <w:color w:val="000000" w:themeColor="text1"/>
              </w:rPr>
              <w:t xml:space="preserve">tiks lemts </w:t>
            </w:r>
            <w:r w:rsidR="4DD04FA1" w:rsidRPr="6AB3EBF0">
              <w:rPr>
                <w:color w:val="000000" w:themeColor="text1"/>
              </w:rPr>
              <w:t>atbilstoši kompetencei</w:t>
            </w:r>
            <w:r w:rsidR="7460414A" w:rsidRPr="6AB3EBF0">
              <w:rPr>
                <w:color w:val="000000" w:themeColor="text1"/>
              </w:rPr>
              <w:t>.</w:t>
            </w:r>
            <w:r w:rsidR="19FD3828" w:rsidRPr="6AB3EBF0">
              <w:rPr>
                <w:b/>
                <w:bCs/>
                <w:color w:val="000000" w:themeColor="text1"/>
                <w:sz w:val="22"/>
                <w:szCs w:val="22"/>
              </w:rPr>
              <w:t xml:space="preserve"> </w:t>
            </w:r>
          </w:p>
          <w:p w14:paraId="37D79B4F" w14:textId="53929F6A" w:rsidR="00136151" w:rsidRPr="00712B66" w:rsidRDefault="0EA75FF0" w:rsidP="00ED7850">
            <w:pPr>
              <w:pStyle w:val="naisc"/>
              <w:spacing w:before="0" w:after="0"/>
              <w:jc w:val="both"/>
              <w:rPr>
                <w:color w:val="FF0000"/>
              </w:rPr>
            </w:pPr>
            <w:r w:rsidRPr="6AB3EBF0">
              <w:rPr>
                <w:color w:val="000000" w:themeColor="text1"/>
              </w:rPr>
              <w:t>Attiecībā uz</w:t>
            </w:r>
            <w:r w:rsidR="0BA54AE5" w:rsidRPr="6AB3EBF0">
              <w:rPr>
                <w:color w:val="000000" w:themeColor="text1"/>
              </w:rPr>
              <w:t xml:space="preserve"> problemātiku </w:t>
            </w:r>
            <w:r w:rsidR="22244D77" w:rsidRPr="6AB3EBF0">
              <w:rPr>
                <w:color w:val="000000" w:themeColor="text1"/>
              </w:rPr>
              <w:t xml:space="preserve">saistībā ar </w:t>
            </w:r>
            <w:r w:rsidR="0BA54AE5" w:rsidRPr="6AB3EBF0">
              <w:rPr>
                <w:color w:val="000000" w:themeColor="text1"/>
              </w:rPr>
              <w:t>izm</w:t>
            </w:r>
            <w:r w:rsidR="167E48FB" w:rsidRPr="6AB3EBF0">
              <w:rPr>
                <w:color w:val="000000" w:themeColor="text1"/>
              </w:rPr>
              <w:t xml:space="preserve">aiņām </w:t>
            </w:r>
            <w:r w:rsidR="0FA893D6" w:rsidRPr="6AB3EBF0">
              <w:rPr>
                <w:color w:val="000000" w:themeColor="text1"/>
              </w:rPr>
              <w:t>likumprojektos Saeimas līmenī</w:t>
            </w:r>
            <w:r w:rsidR="1BE35562" w:rsidRPr="6AB3EBF0">
              <w:rPr>
                <w:color w:val="000000" w:themeColor="text1"/>
              </w:rPr>
              <w:t xml:space="preserve"> un ar tām saistīto sākotnējās ietekmes novērtējuma pārskatīšanas nepieciešamību</w:t>
            </w:r>
            <w:r w:rsidR="0FA893D6" w:rsidRPr="6AB3EBF0">
              <w:rPr>
                <w:color w:val="000000" w:themeColor="text1"/>
              </w:rPr>
              <w:t xml:space="preserve">, </w:t>
            </w:r>
            <w:r w:rsidR="2D9FEBA0" w:rsidRPr="6AB3EBF0">
              <w:rPr>
                <w:color w:val="000000" w:themeColor="text1"/>
              </w:rPr>
              <w:t xml:space="preserve">esam paredzējuši iesaistīt darbā arī </w:t>
            </w:r>
            <w:r w:rsidR="35B834A5" w:rsidRPr="6AB3EBF0">
              <w:rPr>
                <w:color w:val="000000" w:themeColor="text1"/>
              </w:rPr>
              <w:t>Saeimas Analītisko dienestu</w:t>
            </w:r>
            <w:r w:rsidR="59642A99" w:rsidRPr="6AB3EBF0">
              <w:rPr>
                <w:color w:val="000000" w:themeColor="text1"/>
              </w:rPr>
              <w:t xml:space="preserve"> un izvērtēt šo </w:t>
            </w:r>
            <w:r w:rsidR="732E1FD8" w:rsidRPr="6AB3EBF0">
              <w:rPr>
                <w:color w:val="000000" w:themeColor="text1"/>
              </w:rPr>
              <w:t xml:space="preserve">jautājumu. </w:t>
            </w:r>
            <w:r w:rsidR="2135715D" w:rsidRPr="6AB3EBF0">
              <w:t>M</w:t>
            </w:r>
            <w:r w:rsidR="2C9625F3" w:rsidRPr="6AB3EBF0">
              <w:t>ē</w:t>
            </w:r>
            <w:r w:rsidR="3B0A1B58" w:rsidRPr="6AB3EBF0">
              <w:t>rķ</w:t>
            </w:r>
            <w:r w:rsidR="2C9625F3" w:rsidRPr="6AB3EBF0">
              <w:t xml:space="preserve">is ir </w:t>
            </w:r>
            <w:r w:rsidR="55648DA8" w:rsidRPr="6AB3EBF0">
              <w:t xml:space="preserve">veikt vispusīgus </w:t>
            </w:r>
            <w:r w:rsidR="2C9625F3" w:rsidRPr="6AB3EBF0">
              <w:t>ietekmes novērtējuma sistēm</w:t>
            </w:r>
            <w:r w:rsidR="1C250AF5" w:rsidRPr="6AB3EBF0">
              <w:t>as uzlabojumus</w:t>
            </w:r>
            <w:r w:rsidR="2C9625F3" w:rsidRPr="6AB3EBF0">
              <w:t xml:space="preserve">, </w:t>
            </w:r>
            <w:r w:rsidR="5D7A1B09" w:rsidRPr="6AB3EBF0">
              <w:t xml:space="preserve">līdz ar to, </w:t>
            </w:r>
            <w:r w:rsidR="4C409149" w:rsidRPr="6AB3EBF0">
              <w:t xml:space="preserve">visu iesaistīto pušu </w:t>
            </w:r>
            <w:r w:rsidR="2C9625F3" w:rsidRPr="6AB3EBF0">
              <w:t>secinājum</w:t>
            </w:r>
            <w:r w:rsidR="31E17D27" w:rsidRPr="6AB3EBF0">
              <w:t>i</w:t>
            </w:r>
            <w:r w:rsidR="2C9625F3" w:rsidRPr="6AB3EBF0">
              <w:t xml:space="preserve">, kas </w:t>
            </w:r>
            <w:r w:rsidR="3FA45862" w:rsidRPr="6AB3EBF0">
              <w:t>ir izdarīt</w:t>
            </w:r>
            <w:r w:rsidR="0F987C38" w:rsidRPr="6AB3EBF0">
              <w:t>i</w:t>
            </w:r>
            <w:r w:rsidR="2C9625F3" w:rsidRPr="6AB3EBF0">
              <w:t xml:space="preserve">, analizējot </w:t>
            </w:r>
            <w:r w:rsidR="0301F4DE" w:rsidRPr="6AB3EBF0">
              <w:t>šīs</w:t>
            </w:r>
            <w:r w:rsidR="2C9625F3" w:rsidRPr="6AB3EBF0">
              <w:t xml:space="preserve"> </w:t>
            </w:r>
            <w:r w:rsidR="333052B9" w:rsidRPr="6AB3EBF0">
              <w:t>sistēm</w:t>
            </w:r>
            <w:r w:rsidR="5160EAEA" w:rsidRPr="6AB3EBF0">
              <w:t>as darbību</w:t>
            </w:r>
            <w:r w:rsidR="37F61F4A" w:rsidRPr="6AB3EBF0">
              <w:t xml:space="preserve">, </w:t>
            </w:r>
            <w:r w:rsidR="13A2D1D6" w:rsidRPr="6AB3EBF0">
              <w:t xml:space="preserve">tiks </w:t>
            </w:r>
            <w:r w:rsidR="00ED7850">
              <w:t xml:space="preserve">izvērtēti </w:t>
            </w:r>
            <w:r w:rsidR="20526D80" w:rsidRPr="6AB3EBF0">
              <w:t>pārstrādes procesā.</w:t>
            </w:r>
          </w:p>
        </w:tc>
        <w:tc>
          <w:tcPr>
            <w:tcW w:w="3260" w:type="dxa"/>
            <w:tcBorders>
              <w:top w:val="single" w:sz="4" w:space="0" w:color="auto"/>
              <w:left w:val="single" w:sz="4" w:space="0" w:color="auto"/>
              <w:bottom w:val="single" w:sz="4" w:space="0" w:color="auto"/>
            </w:tcBorders>
          </w:tcPr>
          <w:p w14:paraId="0B08BE29" w14:textId="28E670A5" w:rsidR="00136151" w:rsidRPr="00712B66" w:rsidRDefault="328C0600" w:rsidP="6AB3EBF0">
            <w:pPr>
              <w:jc w:val="both"/>
            </w:pPr>
            <w:r w:rsidRPr="6AB3EBF0">
              <w:t>Informatīvais ziņojums p</w:t>
            </w:r>
            <w:r w:rsidR="577E3501" w:rsidRPr="6AB3EBF0">
              <w:t xml:space="preserve">apildināts ar jaunu rindkopu </w:t>
            </w:r>
            <w:r w:rsidR="13E9E65A" w:rsidRPr="6AB3EBF0">
              <w:t>2.nodaļas “Pārmaiņu</w:t>
            </w:r>
            <w:r w:rsidR="13E9E65A" w:rsidRPr="6AB3EBF0">
              <w:rPr>
                <w:rFonts w:eastAsia="Calibri"/>
              </w:rPr>
              <w:t xml:space="preserve"> virzieni un turpmākā rīcība</w:t>
            </w:r>
            <w:r w:rsidR="13E9E65A" w:rsidRPr="6AB3EBF0">
              <w:t>” 1. rīcības virzien</w:t>
            </w:r>
            <w:r w:rsidR="6D59F4B0" w:rsidRPr="6AB3EBF0">
              <w:t>ā</w:t>
            </w:r>
            <w:r w:rsidR="13E9E65A" w:rsidRPr="6AB3EBF0">
              <w:t xml:space="preserve">: </w:t>
            </w:r>
          </w:p>
          <w:p w14:paraId="34B1BAB4" w14:textId="2CEF0654" w:rsidR="00136151" w:rsidRPr="00712B66" w:rsidRDefault="5536C80E" w:rsidP="6AB3EBF0">
            <w:pPr>
              <w:spacing w:after="200" w:line="276" w:lineRule="auto"/>
              <w:ind w:left="284" w:hanging="284"/>
              <w:jc w:val="both"/>
            </w:pPr>
            <w:r w:rsidRPr="6AB3EBF0">
              <w:t>“</w:t>
            </w:r>
            <w:r w:rsidR="32F8ECB7" w:rsidRPr="6AB3EBF0">
              <w:t>izvērtēt risinājuma iespējas situācijai, kad likumprojektu virzības un pieņemšanas procesā Saeimā Ministru kabineta iesniegtie likumprojekti tiek būtiski mainīti, tādējādi ietekmējot arī veiktā sākotnējās ietekmes novērtējuma aktualitāti un atbilstību likuma gala redakcijā ietvertajam - sākotnējās ietekmes novērtējuma pārskatīšanas mehānisms šādos gadījumos</w:t>
            </w:r>
            <w:r w:rsidR="4EC0F64B" w:rsidRPr="6AB3EBF0">
              <w:t xml:space="preserve"> šobrīd</w:t>
            </w:r>
            <w:r w:rsidR="32F8ECB7" w:rsidRPr="6AB3EBF0">
              <w:t xml:space="preserve"> nav paredzēts</w:t>
            </w:r>
            <w:r w:rsidR="098F580B" w:rsidRPr="6AB3EBF0">
              <w:t>”</w:t>
            </w:r>
            <w:r w:rsidR="328C0600" w:rsidRPr="6AB3EBF0">
              <w:t xml:space="preserve"> </w:t>
            </w:r>
          </w:p>
          <w:p w14:paraId="504CA0D6" w14:textId="14469DDA" w:rsidR="00136151" w:rsidRPr="00712B66" w:rsidRDefault="00136151" w:rsidP="6AB3EBF0">
            <w:pPr>
              <w:jc w:val="both"/>
            </w:pPr>
          </w:p>
          <w:p w14:paraId="37D79B50" w14:textId="51EA71B0" w:rsidR="00136151" w:rsidRPr="00712B66" w:rsidRDefault="00136151" w:rsidP="0F0996BD">
            <w:pPr>
              <w:jc w:val="both"/>
            </w:pPr>
          </w:p>
        </w:tc>
      </w:tr>
      <w:tr w:rsidR="00136151" w:rsidRPr="00712B66" w14:paraId="37D79B57" w14:textId="77777777" w:rsidTr="6AB3EBF0">
        <w:tc>
          <w:tcPr>
            <w:tcW w:w="708" w:type="dxa"/>
            <w:tcBorders>
              <w:left w:val="single" w:sz="6" w:space="0" w:color="000000" w:themeColor="text1"/>
              <w:bottom w:val="single" w:sz="4" w:space="0" w:color="auto"/>
              <w:right w:val="single" w:sz="6" w:space="0" w:color="000000" w:themeColor="text1"/>
            </w:tcBorders>
          </w:tcPr>
          <w:p w14:paraId="37D79B52" w14:textId="6B91406A" w:rsidR="00136151" w:rsidRPr="00712B66" w:rsidRDefault="65487F9D" w:rsidP="6AB3EBF0">
            <w:pPr>
              <w:pStyle w:val="naisc"/>
              <w:spacing w:before="0" w:after="0"/>
            </w:pPr>
            <w:r>
              <w:lastRenderedPageBreak/>
              <w:t>16.</w:t>
            </w:r>
          </w:p>
        </w:tc>
        <w:tc>
          <w:tcPr>
            <w:tcW w:w="2119" w:type="dxa"/>
            <w:tcBorders>
              <w:left w:val="single" w:sz="6" w:space="0" w:color="000000" w:themeColor="text1"/>
              <w:bottom w:val="single" w:sz="4" w:space="0" w:color="auto"/>
              <w:right w:val="single" w:sz="6" w:space="0" w:color="000000" w:themeColor="text1"/>
            </w:tcBorders>
          </w:tcPr>
          <w:p w14:paraId="37D79B53" w14:textId="77777777" w:rsidR="00136151" w:rsidRPr="00712B66" w:rsidRDefault="00136151" w:rsidP="00547BD3">
            <w:pPr>
              <w:pStyle w:val="naisc"/>
              <w:spacing w:before="0" w:after="0"/>
              <w:ind w:firstLine="720"/>
            </w:pPr>
          </w:p>
        </w:tc>
        <w:tc>
          <w:tcPr>
            <w:tcW w:w="4678" w:type="dxa"/>
            <w:tcBorders>
              <w:left w:val="single" w:sz="6" w:space="0" w:color="000000" w:themeColor="text1"/>
              <w:bottom w:val="single" w:sz="4" w:space="0" w:color="auto"/>
              <w:right w:val="single" w:sz="6" w:space="0" w:color="000000" w:themeColor="text1"/>
            </w:tcBorders>
          </w:tcPr>
          <w:p w14:paraId="37D79B54" w14:textId="77777777" w:rsidR="00136151" w:rsidRPr="000451BF" w:rsidRDefault="00136151" w:rsidP="00547BD3">
            <w:pPr>
              <w:tabs>
                <w:tab w:val="left" w:pos="993"/>
              </w:tabs>
              <w:jc w:val="both"/>
              <w:rPr>
                <w:rFonts w:eastAsia="Calibri"/>
                <w:color w:val="201F1E"/>
                <w:shd w:val="clear" w:color="auto" w:fill="FFFFFF"/>
              </w:rPr>
            </w:pPr>
            <w:r>
              <w:t xml:space="preserve">Lūdzam papildināt ziņojuma projektā norādīto otro rīcības virzienu un līdztekus  Valsts kancelejai norādīt arī </w:t>
            </w:r>
            <w:proofErr w:type="spellStart"/>
            <w:r>
              <w:t>Pārresoru</w:t>
            </w:r>
            <w:proofErr w:type="spellEnd"/>
            <w:r>
              <w:t xml:space="preserve"> koordinācijas centru kā institūciju, kuras uzdevums būs veicināt izpratni par ietekmes novērtējuma un sabiedrības līdzdalības nozīmi politikas plānošanas un tiesību aktu izstrādes procesā un nodrošināt mūsdienīgu un ērtu metodisko atbalstu ietekmes novērtējuma un sabiedrības līdzdalības nodrošināšanai, ņemot vērā, ka </w:t>
            </w:r>
            <w:proofErr w:type="spellStart"/>
            <w:r>
              <w:t>Pārresoru</w:t>
            </w:r>
            <w:proofErr w:type="spellEnd"/>
            <w:r>
              <w:t xml:space="preserve"> koordinācijas centrs ir par attīstības plānošanas sistēmas koordināciju atbildīgā valsts institūcija</w:t>
            </w:r>
          </w:p>
        </w:tc>
        <w:tc>
          <w:tcPr>
            <w:tcW w:w="3402" w:type="dxa"/>
            <w:tcBorders>
              <w:left w:val="single" w:sz="6" w:space="0" w:color="000000" w:themeColor="text1"/>
              <w:bottom w:val="single" w:sz="4" w:space="0" w:color="auto"/>
              <w:right w:val="single" w:sz="6" w:space="0" w:color="000000" w:themeColor="text1"/>
            </w:tcBorders>
          </w:tcPr>
          <w:p w14:paraId="5F4624F9" w14:textId="3992128E" w:rsidR="00136151" w:rsidRPr="00712B66" w:rsidRDefault="0C07159F" w:rsidP="0CFDBB31">
            <w:pPr>
              <w:pStyle w:val="naisc"/>
              <w:spacing w:before="0" w:after="0"/>
              <w:rPr>
                <w:b/>
                <w:bCs/>
              </w:rPr>
            </w:pPr>
            <w:r w:rsidRPr="0CFDBB31">
              <w:rPr>
                <w:b/>
                <w:bCs/>
              </w:rPr>
              <w:t>Ņemts vērā</w:t>
            </w:r>
          </w:p>
          <w:p w14:paraId="37D79B55" w14:textId="201AC196" w:rsidR="00136151" w:rsidRPr="00712B66" w:rsidRDefault="00136151" w:rsidP="00547BD3">
            <w:pPr>
              <w:pStyle w:val="naisc"/>
              <w:spacing w:before="0" w:after="0"/>
              <w:jc w:val="both"/>
            </w:pPr>
          </w:p>
        </w:tc>
        <w:tc>
          <w:tcPr>
            <w:tcW w:w="3260" w:type="dxa"/>
            <w:tcBorders>
              <w:top w:val="single" w:sz="4" w:space="0" w:color="auto"/>
              <w:left w:val="single" w:sz="4" w:space="0" w:color="auto"/>
              <w:bottom w:val="single" w:sz="4" w:space="0" w:color="auto"/>
            </w:tcBorders>
          </w:tcPr>
          <w:p w14:paraId="00F7FE0B" w14:textId="28022453" w:rsidR="00136151" w:rsidRPr="00712B66" w:rsidRDefault="24DCDB3D" w:rsidP="6AB3EBF0">
            <w:pPr>
              <w:spacing w:line="259" w:lineRule="auto"/>
              <w:jc w:val="both"/>
            </w:pPr>
            <w:r w:rsidRPr="6AB3EBF0">
              <w:t>Informatīvais ziņojums precizēts:</w:t>
            </w:r>
          </w:p>
          <w:p w14:paraId="3F5C310D" w14:textId="24A6F61C" w:rsidR="6AB3EBF0" w:rsidRDefault="6AB3EBF0" w:rsidP="6AB3EBF0">
            <w:pPr>
              <w:jc w:val="both"/>
            </w:pPr>
          </w:p>
          <w:p w14:paraId="37D79B56" w14:textId="1D1CC08E" w:rsidR="00136151" w:rsidRPr="00712B66" w:rsidRDefault="76F43E61" w:rsidP="0CFDBB31">
            <w:pPr>
              <w:spacing w:line="259" w:lineRule="auto"/>
              <w:jc w:val="both"/>
            </w:pPr>
            <w:r>
              <w:t xml:space="preserve">“Valsts kancelejai un </w:t>
            </w:r>
            <w:proofErr w:type="spellStart"/>
            <w:r w:rsidRPr="0F0996BD">
              <w:rPr>
                <w:b/>
                <w:bCs/>
              </w:rPr>
              <w:t>Pārresoru</w:t>
            </w:r>
            <w:proofErr w:type="spellEnd"/>
            <w:r w:rsidRPr="0F0996BD">
              <w:rPr>
                <w:b/>
                <w:bCs/>
              </w:rPr>
              <w:t xml:space="preserve"> koordinācijas centram</w:t>
            </w:r>
            <w:r>
              <w:t xml:space="preserve"> veicināt izpratni par ietekmes novērtējuma un sabiedrības līdzdalības nozīmi politikas plānošanas un tiesību aktu izstrādes procesā.”.</w:t>
            </w:r>
          </w:p>
        </w:tc>
      </w:tr>
    </w:tbl>
    <w:p w14:paraId="37D79B58" w14:textId="77777777" w:rsidR="00190F38" w:rsidRDefault="00190F38" w:rsidP="00184479">
      <w:pPr>
        <w:pStyle w:val="naisf"/>
        <w:spacing w:before="0" w:after="0"/>
        <w:ind w:firstLine="0"/>
        <w:jc w:val="center"/>
        <w:rPr>
          <w:b/>
        </w:rPr>
      </w:pPr>
    </w:p>
    <w:p w14:paraId="37D79B59" w14:textId="77777777" w:rsidR="00190F38" w:rsidRDefault="00190F38" w:rsidP="00184479">
      <w:pPr>
        <w:pStyle w:val="naisf"/>
        <w:spacing w:before="0" w:after="0"/>
        <w:ind w:firstLine="0"/>
        <w:jc w:val="center"/>
        <w:rPr>
          <w:b/>
        </w:rPr>
      </w:pPr>
    </w:p>
    <w:p w14:paraId="0B7D1AE6" w14:textId="77777777" w:rsidR="00BC708B" w:rsidRDefault="00BC708B" w:rsidP="00184479">
      <w:pPr>
        <w:pStyle w:val="naisf"/>
        <w:spacing w:before="0" w:after="0"/>
        <w:ind w:firstLine="0"/>
        <w:jc w:val="center"/>
        <w:rPr>
          <w:b/>
        </w:rPr>
      </w:pPr>
    </w:p>
    <w:p w14:paraId="37D79B5A" w14:textId="77777777" w:rsidR="007B4C0F" w:rsidRPr="00712B66" w:rsidRDefault="00190F38" w:rsidP="00184479">
      <w:pPr>
        <w:pStyle w:val="naisf"/>
        <w:spacing w:before="0" w:after="0"/>
        <w:ind w:firstLine="0"/>
        <w:jc w:val="center"/>
        <w:rPr>
          <w:b/>
        </w:rPr>
      </w:pPr>
      <w:r>
        <w:rPr>
          <w:b/>
        </w:rPr>
        <w:t>I</w:t>
      </w:r>
      <w:r w:rsidR="007B4C0F" w:rsidRPr="00712B66">
        <w:rPr>
          <w:b/>
        </w:rPr>
        <w:t>II. </w:t>
      </w:r>
      <w:r>
        <w:rPr>
          <w:b/>
        </w:rPr>
        <w:t xml:space="preserve">Izteiktie priekšlikumi </w:t>
      </w:r>
    </w:p>
    <w:p w14:paraId="37D79B5B" w14:textId="77777777" w:rsidR="007B4C0F" w:rsidRPr="00712B66"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4519"/>
        <w:gridCol w:w="3419"/>
        <w:gridCol w:w="3119"/>
      </w:tblGrid>
      <w:tr w:rsidR="00134188" w:rsidRPr="00712B66" w14:paraId="37D79B61" w14:textId="77777777" w:rsidTr="00B93E39">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D79B5C" w14:textId="77777777" w:rsidR="00134188" w:rsidRPr="00712B66" w:rsidRDefault="00134188" w:rsidP="009623BC">
            <w:pPr>
              <w:pStyle w:val="naisc"/>
              <w:spacing w:before="0" w:after="0"/>
            </w:pPr>
            <w:r w:rsidRPr="00712B66">
              <w:t>Nr. p.</w:t>
            </w:r>
            <w:r w:rsidR="00D64FB0">
              <w:t> </w:t>
            </w:r>
            <w:r w:rsidRPr="00712B66">
              <w:t>k.</w:t>
            </w:r>
          </w:p>
        </w:tc>
        <w:tc>
          <w:tcPr>
            <w:tcW w:w="22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D79B5D"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5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D79B5E" w14:textId="77777777" w:rsidR="00134188" w:rsidRPr="00712B66" w:rsidRDefault="00134188" w:rsidP="00190F38">
            <w:pPr>
              <w:pStyle w:val="naisc"/>
              <w:spacing w:before="0" w:after="0"/>
              <w:ind w:right="3"/>
            </w:pPr>
            <w:r w:rsidRPr="00712B66">
              <w:t xml:space="preserve">Atzinumā norādītais ministrijas (citas institūcijas) </w:t>
            </w:r>
            <w:r w:rsidR="00190F38">
              <w:t>priekšlikums</w:t>
            </w:r>
          </w:p>
        </w:tc>
        <w:tc>
          <w:tcPr>
            <w:tcW w:w="34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D79B5F" w14:textId="77777777" w:rsidR="00134188" w:rsidRPr="00712B66" w:rsidRDefault="00134188" w:rsidP="00190F38">
            <w:pPr>
              <w:pStyle w:val="naisc"/>
              <w:spacing w:before="0" w:after="0"/>
              <w:ind w:firstLine="21"/>
            </w:pPr>
            <w:r w:rsidRPr="00712B66">
              <w:t>Atbildīgās ministrijas norāde</w:t>
            </w:r>
            <w:r w:rsidR="006C1C48" w:rsidRPr="00712B66">
              <w:t xml:space="preserve"> par to, ka </w:t>
            </w:r>
            <w:r w:rsidR="00190F38">
              <w:t xml:space="preserve">priekšlikums </w:t>
            </w:r>
            <w:r w:rsidRPr="00712B66">
              <w:t>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9" w:type="dxa"/>
            <w:tcBorders>
              <w:top w:val="single" w:sz="4" w:space="0" w:color="auto"/>
              <w:left w:val="single" w:sz="4" w:space="0" w:color="auto"/>
              <w:bottom w:val="single" w:sz="4" w:space="0" w:color="auto"/>
            </w:tcBorders>
            <w:vAlign w:val="center"/>
          </w:tcPr>
          <w:p w14:paraId="37D79B60" w14:textId="77777777" w:rsidR="00134188" w:rsidRPr="00712B66" w:rsidRDefault="00134188" w:rsidP="009623BC">
            <w:pPr>
              <w:jc w:val="center"/>
            </w:pPr>
            <w:r w:rsidRPr="00712B66">
              <w:t>Projekta attiecīgā punkta (panta) galīgā redakcija</w:t>
            </w:r>
          </w:p>
        </w:tc>
      </w:tr>
      <w:tr w:rsidR="00134188" w:rsidRPr="003B71E0" w14:paraId="37D79B67" w14:textId="77777777" w:rsidTr="00B93E39">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62" w14:textId="77777777" w:rsidR="00134188" w:rsidRPr="003B71E0" w:rsidRDefault="003B71E0" w:rsidP="003B71E0">
            <w:pPr>
              <w:pStyle w:val="naisc"/>
              <w:spacing w:before="0" w:after="0"/>
              <w:rPr>
                <w:sz w:val="20"/>
                <w:szCs w:val="20"/>
              </w:rPr>
            </w:pPr>
            <w:r w:rsidRPr="003B71E0">
              <w:rPr>
                <w:sz w:val="20"/>
                <w:szCs w:val="20"/>
              </w:rPr>
              <w:t>1</w:t>
            </w:r>
          </w:p>
        </w:tc>
        <w:tc>
          <w:tcPr>
            <w:tcW w:w="2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63" w14:textId="77777777" w:rsidR="00134188" w:rsidRPr="003B71E0" w:rsidRDefault="00F34AAB" w:rsidP="003B71E0">
            <w:pPr>
              <w:pStyle w:val="naisc"/>
              <w:spacing w:before="0" w:after="0"/>
              <w:ind w:firstLine="720"/>
              <w:rPr>
                <w:sz w:val="20"/>
                <w:szCs w:val="20"/>
              </w:rPr>
            </w:pPr>
            <w:r>
              <w:rPr>
                <w:sz w:val="20"/>
                <w:szCs w:val="20"/>
              </w:rPr>
              <w:t>2</w:t>
            </w:r>
          </w:p>
        </w:tc>
        <w:tc>
          <w:tcPr>
            <w:tcW w:w="4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64"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4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9B6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119" w:type="dxa"/>
            <w:tcBorders>
              <w:top w:val="single" w:sz="4" w:space="0" w:color="auto"/>
              <w:left w:val="single" w:sz="4" w:space="0" w:color="auto"/>
              <w:bottom w:val="single" w:sz="4" w:space="0" w:color="auto"/>
            </w:tcBorders>
          </w:tcPr>
          <w:p w14:paraId="37D79B66" w14:textId="77777777" w:rsidR="00134188" w:rsidRPr="003B71E0" w:rsidRDefault="003B71E0" w:rsidP="003B71E0">
            <w:pPr>
              <w:jc w:val="center"/>
              <w:rPr>
                <w:sz w:val="20"/>
                <w:szCs w:val="20"/>
              </w:rPr>
            </w:pPr>
            <w:r w:rsidRPr="003B71E0">
              <w:rPr>
                <w:sz w:val="20"/>
                <w:szCs w:val="20"/>
              </w:rPr>
              <w:t>5</w:t>
            </w:r>
          </w:p>
        </w:tc>
      </w:tr>
      <w:tr w:rsidR="00134188" w:rsidRPr="00712B66" w14:paraId="37D79B70" w14:textId="77777777" w:rsidTr="00BC708B">
        <w:trPr>
          <w:trHeight w:val="9477"/>
        </w:trPr>
        <w:tc>
          <w:tcPr>
            <w:tcW w:w="708" w:type="dxa"/>
            <w:tcBorders>
              <w:left w:val="single" w:sz="6" w:space="0" w:color="000000" w:themeColor="text1"/>
              <w:bottom w:val="single" w:sz="4" w:space="0" w:color="auto"/>
              <w:right w:val="single" w:sz="6" w:space="0" w:color="000000" w:themeColor="text1"/>
            </w:tcBorders>
          </w:tcPr>
          <w:p w14:paraId="37D79B68" w14:textId="1E011319" w:rsidR="00134188" w:rsidRPr="00712B66" w:rsidRDefault="4C58517C" w:rsidP="00BC708B">
            <w:pPr>
              <w:pStyle w:val="naisc"/>
              <w:spacing w:before="0" w:after="0"/>
            </w:pPr>
            <w:r>
              <w:lastRenderedPageBreak/>
              <w:t>1.</w:t>
            </w:r>
          </w:p>
        </w:tc>
        <w:tc>
          <w:tcPr>
            <w:tcW w:w="2261" w:type="dxa"/>
            <w:tcBorders>
              <w:left w:val="single" w:sz="6" w:space="0" w:color="000000" w:themeColor="text1"/>
              <w:bottom w:val="single" w:sz="4" w:space="0" w:color="auto"/>
              <w:right w:val="single" w:sz="6" w:space="0" w:color="000000" w:themeColor="text1"/>
            </w:tcBorders>
          </w:tcPr>
          <w:p w14:paraId="37D79B69" w14:textId="77777777" w:rsidR="00134188" w:rsidRPr="00712B66" w:rsidRDefault="00134188" w:rsidP="00BC708B">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6A" w14:textId="77777777" w:rsidR="00190F38" w:rsidRPr="00190F38" w:rsidRDefault="00190F38" w:rsidP="00BC708B">
            <w:pPr>
              <w:pStyle w:val="naisc"/>
              <w:spacing w:before="0" w:after="0"/>
              <w:jc w:val="both"/>
              <w:rPr>
                <w:b/>
                <w:color w:val="000000" w:themeColor="text1"/>
              </w:rPr>
            </w:pPr>
            <w:proofErr w:type="spellStart"/>
            <w:r w:rsidRPr="00190F38">
              <w:rPr>
                <w:b/>
                <w:color w:val="000000" w:themeColor="text1"/>
              </w:rPr>
              <w:t>Iekšlietu</w:t>
            </w:r>
            <w:proofErr w:type="spellEnd"/>
            <w:r w:rsidRPr="00190F38">
              <w:rPr>
                <w:b/>
                <w:color w:val="000000" w:themeColor="text1"/>
              </w:rPr>
              <w:t xml:space="preserve"> ministrija:</w:t>
            </w:r>
          </w:p>
          <w:p w14:paraId="37D79B6B" w14:textId="77777777" w:rsidR="00134188" w:rsidRPr="00190F38" w:rsidRDefault="00190F38" w:rsidP="00BC708B">
            <w:pPr>
              <w:widowControl w:val="0"/>
              <w:jc w:val="both"/>
              <w:rPr>
                <w:color w:val="000000" w:themeColor="text1"/>
              </w:rPr>
            </w:pPr>
            <w:r w:rsidRPr="00190F38">
              <w:rPr>
                <w:color w:val="000000" w:themeColor="text1"/>
              </w:rPr>
              <w:t>Papildināt informatīvo ziņojumu ar informāciju par sagaidāmajām izmaiņām valsts pārvaldes administratīvajā slogā, kā arī nepieciešamo papildu finansējuma aplēsi jaunas ietekmes novērtējuma sistēmas ieviešanai. Informatīvā ziņojuma 2. sadaļā iekļautajos priekšlikumos paredzēti jauni uzdevumi valsts pārvaldei (piemēram, padziļināti sākotnējās ietekmes pēcpārbaudes novērtējumi, pastiprināta sabiedrības līdzdalības nodrošināšana regulējuma izstrādes gaitā, apmācību saistībā ar ietekmes novērtējuma izstrādi veikšana un metodiska atbalsta nodrošināšana ietekmes novērtējuma izstrādei un sabiedrības līdzdalības nodrošināšanai), kuru īstenošanai potenciāli nepieciešami papildu cilvēkresursi, zināšanas un finansējums. Vienlaikus informatīvajā ziņojumā nav iekļauta pilnīga informācija par to, vai un kādi papildu resursi un finansējums būs nepieciešami.</w:t>
            </w:r>
          </w:p>
        </w:tc>
        <w:tc>
          <w:tcPr>
            <w:tcW w:w="3419" w:type="dxa"/>
            <w:tcBorders>
              <w:left w:val="single" w:sz="6" w:space="0" w:color="000000" w:themeColor="text1"/>
              <w:bottom w:val="single" w:sz="4" w:space="0" w:color="auto"/>
              <w:right w:val="single" w:sz="6" w:space="0" w:color="000000" w:themeColor="text1"/>
            </w:tcBorders>
          </w:tcPr>
          <w:p w14:paraId="5FD89C34" w14:textId="153C99DF" w:rsidR="00134188" w:rsidRDefault="01A78A01" w:rsidP="00BC708B">
            <w:pPr>
              <w:pStyle w:val="naisc"/>
              <w:spacing w:before="0" w:after="0"/>
              <w:rPr>
                <w:b/>
                <w:bCs/>
              </w:rPr>
            </w:pPr>
            <w:r w:rsidRPr="6AB3EBF0">
              <w:rPr>
                <w:b/>
                <w:bCs/>
              </w:rPr>
              <w:t>Ņemts vērā</w:t>
            </w:r>
          </w:p>
          <w:p w14:paraId="307D418C" w14:textId="113867B6" w:rsidR="00134188" w:rsidRDefault="1525EEB9" w:rsidP="00BC708B">
            <w:pPr>
              <w:pStyle w:val="naisc"/>
              <w:spacing w:before="0" w:after="0"/>
              <w:jc w:val="both"/>
            </w:pPr>
            <w:r>
              <w:t>Sākumā jāatzīmē, ka informatīvais ziņojums neparedz jaunu pienākumu ieviešanu valsts pārvaldes institūcijām: IeM atzinumā minētie uzdevumi jau tagad jāpilda valsts pārvaldes iestādēm (piemēram, sākotnējās ietekmes novērtējums un sabiedrības līdzdalība), runa ir par šo uzdevumu veikšanas kvalitātes uzlabošanas nepieciešamību, savukārt apmācības un metodiskais atbalsts ir V</w:t>
            </w:r>
            <w:r w:rsidR="2CB0FD59">
              <w:t>K</w:t>
            </w:r>
            <w:r>
              <w:t xml:space="preserve"> jau tagad veiktie uzdevumi. </w:t>
            </w:r>
          </w:p>
          <w:p w14:paraId="2EA84E6A" w14:textId="11B52E3C" w:rsidR="00134188" w:rsidRDefault="1525EEB9" w:rsidP="00BC708B">
            <w:pPr>
              <w:pStyle w:val="naisc"/>
              <w:spacing w:before="0" w:after="0"/>
              <w:jc w:val="both"/>
            </w:pPr>
            <w:r>
              <w:t xml:space="preserve">Viens no svarīgākajiem izmaiņu veikšanas horizontālajiem principiem būs samērība – nepieciešamo resursu pieejamība un to lietderīga izmantošana. </w:t>
            </w:r>
          </w:p>
          <w:p w14:paraId="2CCA0242" w14:textId="73B28655" w:rsidR="00134188" w:rsidRDefault="00134188" w:rsidP="00BC708B">
            <w:pPr>
              <w:pStyle w:val="naisc"/>
              <w:spacing w:before="0" w:after="0"/>
              <w:jc w:val="both"/>
            </w:pPr>
          </w:p>
          <w:p w14:paraId="6B0A5B63" w14:textId="143E8180" w:rsidR="00134188" w:rsidRDefault="17EA5D70" w:rsidP="00BC708B">
            <w:pPr>
              <w:pStyle w:val="naisc"/>
              <w:spacing w:before="0" w:after="0"/>
              <w:jc w:val="both"/>
            </w:pPr>
            <w:r>
              <w:t xml:space="preserve">Pašlaik informatīvajā ziņojumā piedāvātie izmaiņu virzieni ir indikatīvi, tie </w:t>
            </w:r>
            <w:r w:rsidRPr="6AB3EBF0">
              <w:rPr>
                <w:color w:val="000000" w:themeColor="text1"/>
              </w:rPr>
              <w:t>balstās uz OECD indikatoriem/ieteikumiem un V</w:t>
            </w:r>
            <w:r w:rsidR="66936D70" w:rsidRPr="6AB3EBF0">
              <w:rPr>
                <w:color w:val="000000" w:themeColor="text1"/>
              </w:rPr>
              <w:t>K</w:t>
            </w:r>
            <w:r w:rsidRPr="6AB3EBF0">
              <w:rPr>
                <w:color w:val="000000" w:themeColor="text1"/>
              </w:rPr>
              <w:t xml:space="preserve"> veiktā tiesību aktu projektu kvalitātes monitoringa secinājumiem (jau ziņojuma saskaņošanas stadijā tie tika papildināti ar</w:t>
            </w:r>
            <w:r w:rsidR="008167D0">
              <w:rPr>
                <w:color w:val="000000" w:themeColor="text1"/>
              </w:rPr>
              <w:t xml:space="preserve"> vairākiem jauniem</w:t>
            </w:r>
            <w:r w:rsidR="5C71A6E3" w:rsidRPr="6AB3EBF0">
              <w:rPr>
                <w:color w:val="000000" w:themeColor="text1"/>
              </w:rPr>
              <w:t>, ko ieteica</w:t>
            </w:r>
            <w:r w:rsidR="003F2EBE">
              <w:rPr>
                <w:color w:val="000000" w:themeColor="text1"/>
              </w:rPr>
              <w:t xml:space="preserve"> eksperti</w:t>
            </w:r>
            <w:r w:rsidR="5C71A6E3" w:rsidRPr="6AB3EBF0">
              <w:rPr>
                <w:color w:val="000000" w:themeColor="text1"/>
              </w:rPr>
              <w:t>)</w:t>
            </w:r>
            <w:r>
              <w:t xml:space="preserve">, tie tiks </w:t>
            </w:r>
            <w:r w:rsidR="44D2AC63">
              <w:t>iz</w:t>
            </w:r>
            <w:r>
              <w:t>vērtēti</w:t>
            </w:r>
            <w:r w:rsidR="008167D0">
              <w:t xml:space="preserve"> darba grupas ietvaros</w:t>
            </w:r>
            <w:r w:rsidR="1D4FBFEE">
              <w:t>.</w:t>
            </w:r>
            <w:r>
              <w:t xml:space="preserve"> </w:t>
            </w:r>
            <w:r w:rsidR="485A5FE7">
              <w:lastRenderedPageBreak/>
              <w:t xml:space="preserve">Priekšlikums tiks ņemts vērā, </w:t>
            </w:r>
            <w:r w:rsidR="5C67C52A" w:rsidRPr="6AB3EBF0">
              <w:t>izmaiņu izstrādes</w:t>
            </w:r>
            <w:r w:rsidR="59AD382C" w:rsidRPr="6AB3EBF0">
              <w:t xml:space="preserve"> procesa</w:t>
            </w:r>
            <w:r w:rsidR="5C67C52A" w:rsidRPr="6AB3EBF0">
              <w:t xml:space="preserve"> noslēgumā </w:t>
            </w:r>
            <w:r w:rsidR="485A5FE7" w:rsidRPr="6AB3EBF0">
              <w:t>formulējot jaunās ietekmes novērtējuma</w:t>
            </w:r>
            <w:r w:rsidR="1BCDFFDC" w:rsidRPr="6AB3EBF0">
              <w:t xml:space="preserve"> kārtības</w:t>
            </w:r>
            <w:r w:rsidR="485A5FE7" w:rsidRPr="6AB3EBF0">
              <w:t xml:space="preserve"> nosacījumus</w:t>
            </w:r>
            <w:r w:rsidR="5C67C52A" w:rsidRPr="6AB3EBF0">
              <w:t xml:space="preserve"> - tiks</w:t>
            </w:r>
            <w:r w:rsidR="485A5FE7" w:rsidRPr="6AB3EBF0">
              <w:t xml:space="preserve"> atspoguļo</w:t>
            </w:r>
            <w:r w:rsidR="5C67C52A" w:rsidRPr="6AB3EBF0">
              <w:t>tas</w:t>
            </w:r>
            <w:r w:rsidR="485A5FE7">
              <w:rPr>
                <w:szCs w:val="28"/>
              </w:rPr>
              <w:t xml:space="preserve"> </w:t>
            </w:r>
            <w:r w:rsidR="1BCDFFDC" w:rsidRPr="6AB3EBF0">
              <w:t>visu izmaiņu ieviešana</w:t>
            </w:r>
            <w:r w:rsidR="126FF870" w:rsidRPr="6AB3EBF0">
              <w:t>i</w:t>
            </w:r>
            <w:r w:rsidR="1BCDFFDC" w:rsidRPr="6AB3EBF0">
              <w:t xml:space="preserve"> un darbības nodrošināšana</w:t>
            </w:r>
            <w:r w:rsidR="126FF870" w:rsidRPr="6AB3EBF0">
              <w:t>i nepieciešamās</w:t>
            </w:r>
            <w:r w:rsidR="1BCDFFDC" w:rsidRPr="6AB3EBF0">
              <w:t xml:space="preserve"> izmaksas. </w:t>
            </w:r>
          </w:p>
          <w:p w14:paraId="37D79B6E" w14:textId="68E3FDEE" w:rsidR="00134188" w:rsidRDefault="126FF870" w:rsidP="00BC708B">
            <w:pPr>
              <w:pStyle w:val="naisc"/>
              <w:spacing w:before="0" w:after="0"/>
              <w:jc w:val="both"/>
            </w:pPr>
            <w:r w:rsidRPr="6AB3EBF0">
              <w:t>I</w:t>
            </w:r>
            <w:r w:rsidR="485A5FE7" w:rsidRPr="00D83F53">
              <w:rPr>
                <w:shd w:val="clear" w:color="auto" w:fill="FFFFFF"/>
              </w:rPr>
              <w:t xml:space="preserve">r skaidrs, ka </w:t>
            </w:r>
            <w:r w:rsidRPr="6AB3EBF0">
              <w:rPr>
                <w:rFonts w:eastAsiaTheme="minorEastAsia"/>
                <w:shd w:val="clear" w:color="auto" w:fill="FFFFFF"/>
              </w:rPr>
              <w:t xml:space="preserve">padziļinātu sākotnējās ietekmes un ietekmes </w:t>
            </w:r>
            <w:r w:rsidRPr="00D83F53">
              <w:rPr>
                <w:shd w:val="clear" w:color="auto" w:fill="FFFFFF"/>
              </w:rPr>
              <w:t xml:space="preserve">pēcpārbaudes </w:t>
            </w:r>
            <w:r>
              <w:rPr>
                <w:shd w:val="clear" w:color="auto" w:fill="FFFFFF"/>
              </w:rPr>
              <w:t xml:space="preserve">ārējo </w:t>
            </w:r>
            <w:r w:rsidRPr="6AB3EBF0">
              <w:t xml:space="preserve">novērtējumu veikšanai </w:t>
            </w:r>
            <w:r w:rsidR="485A5FE7" w:rsidRPr="6AB3EBF0">
              <w:t xml:space="preserve">būs nepieciešams </w:t>
            </w:r>
            <w:r w:rsidRPr="6AB3EBF0">
              <w:t xml:space="preserve"> finansējums, un </w:t>
            </w:r>
            <w:r w:rsidR="4B3942C7" w:rsidRPr="6AB3EBF0">
              <w:t xml:space="preserve">šo jautājumu paredzēts </w:t>
            </w:r>
            <w:r w:rsidR="41ADAE1C" w:rsidRPr="6AB3EBF0">
              <w:t xml:space="preserve">skatīt </w:t>
            </w:r>
            <w:r w:rsidR="7A665D87" w:rsidRPr="6AB3EBF0">
              <w:t>darba procesā, tas t</w:t>
            </w:r>
            <w:r w:rsidR="01819FE4" w:rsidRPr="6AB3EBF0">
              <w:t>iek minēts informatīvajā ziņojumā</w:t>
            </w:r>
            <w:r w:rsidR="5C67C52A" w:rsidRPr="000E3D71">
              <w:rPr>
                <w:szCs w:val="28"/>
              </w:rPr>
              <w:t xml:space="preserve"> (</w:t>
            </w:r>
            <w:r w:rsidR="0C3D1016">
              <w:t>2. nodaļas 1. rīcības virzienā)</w:t>
            </w:r>
            <w:r w:rsidR="485A5FE7">
              <w:t>.</w:t>
            </w:r>
          </w:p>
        </w:tc>
        <w:tc>
          <w:tcPr>
            <w:tcW w:w="3119" w:type="dxa"/>
            <w:tcBorders>
              <w:top w:val="single" w:sz="4" w:space="0" w:color="auto"/>
              <w:left w:val="single" w:sz="4" w:space="0" w:color="auto"/>
              <w:bottom w:val="single" w:sz="4" w:space="0" w:color="auto"/>
            </w:tcBorders>
          </w:tcPr>
          <w:p w14:paraId="37D79B6F" w14:textId="77777777" w:rsidR="00134188" w:rsidRPr="00712B66" w:rsidRDefault="00134188" w:rsidP="00BC708B"/>
        </w:tc>
      </w:tr>
      <w:tr w:rsidR="00190F38" w:rsidRPr="00712B66" w14:paraId="37D79B76" w14:textId="77777777" w:rsidTr="00BC708B">
        <w:trPr>
          <w:trHeight w:val="1969"/>
        </w:trPr>
        <w:tc>
          <w:tcPr>
            <w:tcW w:w="708" w:type="dxa"/>
            <w:tcBorders>
              <w:left w:val="single" w:sz="6" w:space="0" w:color="000000" w:themeColor="text1"/>
              <w:bottom w:val="single" w:sz="4" w:space="0" w:color="auto"/>
              <w:right w:val="single" w:sz="6" w:space="0" w:color="000000" w:themeColor="text1"/>
            </w:tcBorders>
          </w:tcPr>
          <w:p w14:paraId="37D79B71" w14:textId="571D7E96" w:rsidR="00190F38" w:rsidRPr="00712B66" w:rsidRDefault="7D182B8E" w:rsidP="6AB3EBF0">
            <w:pPr>
              <w:pStyle w:val="naisc"/>
              <w:spacing w:before="0" w:after="0"/>
            </w:pPr>
            <w:r>
              <w:lastRenderedPageBreak/>
              <w:t>2.</w:t>
            </w:r>
          </w:p>
        </w:tc>
        <w:tc>
          <w:tcPr>
            <w:tcW w:w="2261" w:type="dxa"/>
            <w:tcBorders>
              <w:left w:val="single" w:sz="6" w:space="0" w:color="000000" w:themeColor="text1"/>
              <w:bottom w:val="single" w:sz="4" w:space="0" w:color="auto"/>
              <w:right w:val="single" w:sz="6" w:space="0" w:color="000000" w:themeColor="text1"/>
            </w:tcBorders>
          </w:tcPr>
          <w:p w14:paraId="37D79B72" w14:textId="77777777" w:rsidR="00190F38" w:rsidRPr="00712B66" w:rsidRDefault="00190F38"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73" w14:textId="77777777" w:rsidR="00190F38" w:rsidRPr="00B7501C" w:rsidRDefault="00B7501C" w:rsidP="00B7501C">
            <w:pPr>
              <w:pStyle w:val="naisc"/>
              <w:spacing w:before="0" w:after="0"/>
              <w:jc w:val="both"/>
            </w:pPr>
            <w:r w:rsidRPr="00B7501C">
              <w:rPr>
                <w:color w:val="000000" w:themeColor="text1"/>
              </w:rPr>
              <w:t>Papildināt informatīvo ziņojumu ar mērķa grupas (tiesību aktu izstrādātāji, nevalstiskās organizācijas) viedokļiem par esošo tiesību aktu izstrādes un novērtēšanas procesu. Informatīvajā ziņojumā izdarītie secinājumi ir balstīti uz OECD indikatoriem un Valsts kancelejas veikto tiesību aktu analīzi, bet nav veikta mērķa grupas viedokļu apzināšana par esošo situāciju. Piemēram, kādēļ ietekmes novērtējumi ir formāli, kādēļ netiek veikta alternatīvu risinājumu, izmaksu lietderības vai jēgpilnas sabiedrības iesaistes izpēte.</w:t>
            </w:r>
          </w:p>
        </w:tc>
        <w:tc>
          <w:tcPr>
            <w:tcW w:w="3419" w:type="dxa"/>
            <w:tcBorders>
              <w:left w:val="single" w:sz="6" w:space="0" w:color="000000" w:themeColor="text1"/>
              <w:bottom w:val="single" w:sz="4" w:space="0" w:color="auto"/>
              <w:right w:val="single" w:sz="6" w:space="0" w:color="000000" w:themeColor="text1"/>
            </w:tcBorders>
          </w:tcPr>
          <w:p w14:paraId="414B08B3" w14:textId="153C99DF" w:rsidR="00190F38" w:rsidRPr="00712B66" w:rsidRDefault="33E04CE2" w:rsidP="6AB3EBF0">
            <w:pPr>
              <w:pStyle w:val="naisc"/>
              <w:spacing w:before="0" w:after="0"/>
              <w:rPr>
                <w:b/>
                <w:bCs/>
              </w:rPr>
            </w:pPr>
            <w:r w:rsidRPr="6AB3EBF0">
              <w:rPr>
                <w:b/>
                <w:bCs/>
              </w:rPr>
              <w:t>Ņemts vērā</w:t>
            </w:r>
          </w:p>
          <w:p w14:paraId="5F6BEEEE" w14:textId="7E064849" w:rsidR="00190F38" w:rsidRPr="00712B66" w:rsidRDefault="7D86A4F4" w:rsidP="6AB3EBF0">
            <w:pPr>
              <w:pStyle w:val="naisc"/>
              <w:spacing w:before="0" w:after="0"/>
              <w:jc w:val="left"/>
              <w:rPr>
                <w:i/>
                <w:iCs/>
              </w:rPr>
            </w:pPr>
            <w:r w:rsidRPr="6AB3EBF0">
              <w:rPr>
                <w:i/>
                <w:iCs/>
              </w:rPr>
              <w:t>Sk. VK skaidrojumu 8. un 12.</w:t>
            </w:r>
            <w:r w:rsidR="00350824">
              <w:rPr>
                <w:i/>
                <w:iCs/>
              </w:rPr>
              <w:t> </w:t>
            </w:r>
            <w:r w:rsidRPr="6AB3EBF0">
              <w:rPr>
                <w:i/>
                <w:iCs/>
              </w:rPr>
              <w:t>iebildumam.</w:t>
            </w:r>
          </w:p>
          <w:p w14:paraId="37D79B74" w14:textId="621E0BF4" w:rsidR="00190F38" w:rsidRPr="00712B66" w:rsidRDefault="632E8646" w:rsidP="003F2EBE">
            <w:pPr>
              <w:pStyle w:val="naisc"/>
              <w:spacing w:before="0" w:after="0"/>
              <w:jc w:val="both"/>
              <w:rPr>
                <w:color w:val="000000" w:themeColor="text1"/>
              </w:rPr>
            </w:pPr>
            <w:r w:rsidRPr="6AB3EBF0">
              <w:rPr>
                <w:color w:val="000000" w:themeColor="text1"/>
              </w:rPr>
              <w:t>Jau š</w:t>
            </w:r>
            <w:r w:rsidR="399C8F20" w:rsidRPr="6AB3EBF0">
              <w:rPr>
                <w:color w:val="000000" w:themeColor="text1"/>
              </w:rPr>
              <w:t xml:space="preserve">ī informatīvā ziņojuma saskaņošanas stadijā tas tika papildināts ar </w:t>
            </w:r>
            <w:r w:rsidR="003F2EBE">
              <w:rPr>
                <w:color w:val="000000" w:themeColor="text1"/>
              </w:rPr>
              <w:t>sešiem ekspertu</w:t>
            </w:r>
            <w:r w:rsidR="399C8F20" w:rsidRPr="6AB3EBF0">
              <w:rPr>
                <w:color w:val="000000" w:themeColor="text1"/>
              </w:rPr>
              <w:t xml:space="preserve"> ieteiktajiem izmaiņu virzieniem, kas </w:t>
            </w:r>
            <w:r w:rsidR="7BEAA4BA" w:rsidRPr="6AB3EBF0">
              <w:rPr>
                <w:color w:val="000000" w:themeColor="text1"/>
              </w:rPr>
              <w:t>būtu jā</w:t>
            </w:r>
            <w:r w:rsidR="399C8F20" w:rsidRPr="6AB3EBF0">
              <w:rPr>
                <w:color w:val="000000" w:themeColor="text1"/>
              </w:rPr>
              <w:t>izvērtē</w:t>
            </w:r>
            <w:r w:rsidR="1D1C6444" w:rsidRPr="6AB3EBF0">
              <w:rPr>
                <w:color w:val="000000" w:themeColor="text1"/>
              </w:rPr>
              <w:t xml:space="preserve"> pārstrādes procesā.</w:t>
            </w:r>
          </w:p>
        </w:tc>
        <w:tc>
          <w:tcPr>
            <w:tcW w:w="3119" w:type="dxa"/>
            <w:tcBorders>
              <w:top w:val="single" w:sz="4" w:space="0" w:color="auto"/>
              <w:left w:val="single" w:sz="4" w:space="0" w:color="auto"/>
              <w:bottom w:val="single" w:sz="4" w:space="0" w:color="auto"/>
            </w:tcBorders>
          </w:tcPr>
          <w:p w14:paraId="37D79B75" w14:textId="77777777" w:rsidR="00190F38" w:rsidRPr="00712B66" w:rsidRDefault="00190F38"/>
        </w:tc>
      </w:tr>
      <w:tr w:rsidR="00190F38" w:rsidRPr="00712B66" w14:paraId="37D79B7C" w14:textId="77777777" w:rsidTr="00B93E39">
        <w:tc>
          <w:tcPr>
            <w:tcW w:w="708" w:type="dxa"/>
            <w:tcBorders>
              <w:left w:val="single" w:sz="6" w:space="0" w:color="000000" w:themeColor="text1"/>
              <w:bottom w:val="single" w:sz="4" w:space="0" w:color="auto"/>
              <w:right w:val="single" w:sz="6" w:space="0" w:color="000000" w:themeColor="text1"/>
            </w:tcBorders>
          </w:tcPr>
          <w:p w14:paraId="37D79B77" w14:textId="5DB581F9" w:rsidR="00190F38" w:rsidRPr="00712B66" w:rsidRDefault="1D1C6444" w:rsidP="6AB3EBF0">
            <w:pPr>
              <w:pStyle w:val="naisc"/>
              <w:spacing w:before="0" w:after="0"/>
            </w:pPr>
            <w:r>
              <w:t>3.</w:t>
            </w:r>
          </w:p>
        </w:tc>
        <w:tc>
          <w:tcPr>
            <w:tcW w:w="2261" w:type="dxa"/>
            <w:tcBorders>
              <w:left w:val="single" w:sz="6" w:space="0" w:color="000000" w:themeColor="text1"/>
              <w:bottom w:val="single" w:sz="4" w:space="0" w:color="auto"/>
              <w:right w:val="single" w:sz="6" w:space="0" w:color="000000" w:themeColor="text1"/>
            </w:tcBorders>
          </w:tcPr>
          <w:p w14:paraId="37D79B78" w14:textId="77777777" w:rsidR="00190F38" w:rsidRPr="00712B66" w:rsidRDefault="00190F38"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79" w14:textId="77777777" w:rsidR="00190F38" w:rsidRPr="000E3D71" w:rsidRDefault="01819FE4" w:rsidP="000E3D71">
            <w:pPr>
              <w:pStyle w:val="naisc"/>
              <w:spacing w:before="0" w:after="0"/>
              <w:jc w:val="both"/>
            </w:pPr>
            <w:r w:rsidRPr="6AB3EBF0">
              <w:rPr>
                <w:color w:val="000000" w:themeColor="text1"/>
              </w:rPr>
              <w:t xml:space="preserve">Papildināt informatīvo ziņojumu vai tā pielikumu ar informāciju par to, kādi </w:t>
            </w:r>
            <w:r w:rsidR="45CA9BFD" w:rsidRPr="6AB3EBF0">
              <w:rPr>
                <w:color w:val="000000" w:themeColor="text1"/>
              </w:rPr>
              <w:t>resursi</w:t>
            </w:r>
            <w:r w:rsidRPr="6AB3EBF0">
              <w:rPr>
                <w:color w:val="000000" w:themeColor="text1"/>
              </w:rPr>
              <w:t xml:space="preserve"> bija nepieciešami ietekmes pēcpārbaudes novērtējumu sagatavošanai pielikumā aplūkotajiem izmēģinājuma projektiem. </w:t>
            </w:r>
            <w:proofErr w:type="spellStart"/>
            <w:r w:rsidRPr="6AB3EBF0">
              <w:rPr>
                <w:color w:val="000000" w:themeColor="text1"/>
              </w:rPr>
              <w:t>Iekšlietu</w:t>
            </w:r>
            <w:proofErr w:type="spellEnd"/>
            <w:r w:rsidRPr="6AB3EBF0">
              <w:rPr>
                <w:color w:val="000000" w:themeColor="text1"/>
              </w:rPr>
              <w:t xml:space="preserve"> ministrija atbalsta pierādījumos balstītas politikas īstenošanu, kas ietver politikas ieviešanas pēcpārbaudes veikšanu, bet vienlaikus vēršam uzmanību, ka svarīgi saglabāt pēc iespējas efektīvāku un lietderīgāku pieeju. Līdz ar to aicinām pielikumu papildināt ar informāciju par: 1) novērtējuma sagatavošanā iesaistīto cilvēku skaitu; 2) novērtējuma sagatavošanai patērēto laiku; 3) novērtējuma sagatavošanai nepieciešamo papildu finansējumu (piemēram, ja pasūtīts pētījums). Šāda informācija ļaus daudz labāk apzināt nepieciešamos resursus sistēmas ieviešanai.</w:t>
            </w:r>
          </w:p>
        </w:tc>
        <w:tc>
          <w:tcPr>
            <w:tcW w:w="3419" w:type="dxa"/>
            <w:tcBorders>
              <w:left w:val="single" w:sz="6" w:space="0" w:color="000000" w:themeColor="text1"/>
              <w:bottom w:val="single" w:sz="4" w:space="0" w:color="auto"/>
              <w:right w:val="single" w:sz="6" w:space="0" w:color="000000" w:themeColor="text1"/>
            </w:tcBorders>
          </w:tcPr>
          <w:p w14:paraId="222D7E30" w14:textId="0E406571" w:rsidR="00190F38" w:rsidRPr="000E3D71" w:rsidRDefault="09F3117C" w:rsidP="6AB3EBF0">
            <w:pPr>
              <w:pStyle w:val="naisc"/>
              <w:spacing w:before="0" w:after="0"/>
            </w:pPr>
            <w:r w:rsidRPr="6AB3EBF0">
              <w:rPr>
                <w:b/>
                <w:bCs/>
              </w:rPr>
              <w:t>Ņemts vērā</w:t>
            </w:r>
            <w:r w:rsidRPr="6AB3EBF0">
              <w:t xml:space="preserve"> </w:t>
            </w:r>
          </w:p>
          <w:p w14:paraId="37D79B7A" w14:textId="30B5CAAF" w:rsidR="00190F38" w:rsidRPr="000E3D71" w:rsidRDefault="1F949B3A" w:rsidP="6AB3EBF0">
            <w:pPr>
              <w:pStyle w:val="naisc"/>
              <w:spacing w:before="0" w:after="0"/>
              <w:jc w:val="both"/>
            </w:pPr>
            <w:r w:rsidRPr="6AB3EBF0">
              <w:t xml:space="preserve">Ņemot vērā, ka kopš novērtējumu veikšanas ir pagājuši jau </w:t>
            </w:r>
            <w:r w:rsidR="5274B7E7" w:rsidRPr="6AB3EBF0">
              <w:t xml:space="preserve">4 gadi, </w:t>
            </w:r>
            <w:r w:rsidRPr="6AB3EBF0">
              <w:t>precīzu</w:t>
            </w:r>
            <w:r w:rsidR="2C4C5E8A" w:rsidRPr="6AB3EBF0">
              <w:t xml:space="preserve"> </w:t>
            </w:r>
            <w:r w:rsidR="5B64F0C2" w:rsidRPr="6AB3EBF0">
              <w:t>patērēto</w:t>
            </w:r>
            <w:r w:rsidR="2C4C5E8A" w:rsidRPr="6AB3EBF0">
              <w:t xml:space="preserve"> resursu </w:t>
            </w:r>
            <w:r w:rsidR="5B834ACE" w:rsidRPr="6AB3EBF0">
              <w:t xml:space="preserve">apjomu </w:t>
            </w:r>
            <w:r w:rsidR="2C4C5E8A" w:rsidRPr="6AB3EBF0">
              <w:t xml:space="preserve">nav iespējams aprēķināt, taču zināma informācija ļauj secināt, ka katra novērtējuma sagatavošanai bija nepieciešams 2 </w:t>
            </w:r>
            <w:r w:rsidR="6DAEA9B6" w:rsidRPr="6AB3EBF0">
              <w:t>V</w:t>
            </w:r>
            <w:r w:rsidR="2EE0F9AD" w:rsidRPr="6AB3EBF0">
              <w:t>K</w:t>
            </w:r>
            <w:r w:rsidR="6DAEA9B6" w:rsidRPr="6AB3EBF0">
              <w:t xml:space="preserve"> e</w:t>
            </w:r>
            <w:r w:rsidR="2C4C5E8A" w:rsidRPr="6AB3EBF0">
              <w:t xml:space="preserve">kspertu darbs 160 </w:t>
            </w:r>
            <w:r w:rsidR="3AD33C86" w:rsidRPr="6AB3EBF0">
              <w:t xml:space="preserve">darba </w:t>
            </w:r>
            <w:r w:rsidR="2C4C5E8A" w:rsidRPr="6AB3EBF0">
              <w:t xml:space="preserve">stundu apjomā, nepiesaistot papildu finansējumu. </w:t>
            </w:r>
            <w:r w:rsidR="373B1C2F" w:rsidRPr="6AB3EBF0">
              <w:t xml:space="preserve"> </w:t>
            </w:r>
          </w:p>
        </w:tc>
        <w:tc>
          <w:tcPr>
            <w:tcW w:w="3119" w:type="dxa"/>
            <w:tcBorders>
              <w:top w:val="single" w:sz="4" w:space="0" w:color="auto"/>
              <w:left w:val="single" w:sz="4" w:space="0" w:color="auto"/>
              <w:bottom w:val="single" w:sz="4" w:space="0" w:color="auto"/>
            </w:tcBorders>
          </w:tcPr>
          <w:p w14:paraId="37D79B7B" w14:textId="77777777" w:rsidR="00190F38" w:rsidRPr="00712B66" w:rsidRDefault="00190F38"/>
        </w:tc>
      </w:tr>
      <w:tr w:rsidR="00190F38" w:rsidRPr="00712B66" w14:paraId="37D79B83" w14:textId="77777777" w:rsidTr="00B93E39">
        <w:tc>
          <w:tcPr>
            <w:tcW w:w="708" w:type="dxa"/>
            <w:tcBorders>
              <w:left w:val="single" w:sz="6" w:space="0" w:color="000000" w:themeColor="text1"/>
              <w:bottom w:val="single" w:sz="4" w:space="0" w:color="auto"/>
              <w:right w:val="single" w:sz="6" w:space="0" w:color="000000" w:themeColor="text1"/>
            </w:tcBorders>
          </w:tcPr>
          <w:p w14:paraId="37D79B7D" w14:textId="094F0606" w:rsidR="00190F38" w:rsidRPr="00712B66" w:rsidRDefault="2814AAD8" w:rsidP="6AB3EBF0">
            <w:pPr>
              <w:pStyle w:val="naisc"/>
              <w:spacing w:before="0" w:after="0"/>
            </w:pPr>
            <w:r>
              <w:t xml:space="preserve">4. </w:t>
            </w:r>
          </w:p>
        </w:tc>
        <w:tc>
          <w:tcPr>
            <w:tcW w:w="2261" w:type="dxa"/>
            <w:tcBorders>
              <w:left w:val="single" w:sz="6" w:space="0" w:color="000000" w:themeColor="text1"/>
              <w:bottom w:val="single" w:sz="4" w:space="0" w:color="auto"/>
              <w:right w:val="single" w:sz="6" w:space="0" w:color="000000" w:themeColor="text1"/>
            </w:tcBorders>
          </w:tcPr>
          <w:p w14:paraId="37D79B7E" w14:textId="77777777" w:rsidR="00190F38" w:rsidRPr="00712B66" w:rsidRDefault="00190F38"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7F" w14:textId="77777777" w:rsidR="0092015B" w:rsidRDefault="00547BD3" w:rsidP="00547BD3">
            <w:pPr>
              <w:pStyle w:val="naisc"/>
              <w:spacing w:before="0" w:after="0"/>
              <w:jc w:val="both"/>
            </w:pPr>
            <w:r w:rsidRPr="00547BD3">
              <w:rPr>
                <w:b/>
              </w:rPr>
              <w:t>Finanšu ministrija:</w:t>
            </w:r>
            <w:r>
              <w:t xml:space="preserve"> </w:t>
            </w:r>
          </w:p>
          <w:p w14:paraId="37D79B80" w14:textId="77777777" w:rsidR="00190F38" w:rsidRPr="00712B66" w:rsidRDefault="00547BD3" w:rsidP="00547BD3">
            <w:pPr>
              <w:pStyle w:val="naisc"/>
              <w:spacing w:before="0" w:after="0"/>
              <w:jc w:val="both"/>
            </w:pPr>
            <w:r>
              <w:rPr>
                <w:rFonts w:eastAsia="Calibri"/>
              </w:rPr>
              <w:lastRenderedPageBreak/>
              <w:t>Aicinām nākotnē ietekmes pēc</w:t>
            </w:r>
            <w:r w:rsidRPr="00735CED">
              <w:rPr>
                <w:rFonts w:eastAsia="Calibri"/>
              </w:rPr>
              <w:t xml:space="preserve">pārbaudes novērtējumos padziļināti un vispusīgi aplūkot konstatētās problēmas, identificētiem trūkumiem apzināt cēloņus, aprakstīt iespējamās sekas, lai pieņemtu atbilstošus risinājumus un virzītos uz kvalitatīvāku un efektīvāku valsts pārvaldi. Attiecīgi lūdzam apsvērt iespēju </w:t>
            </w:r>
            <w:r w:rsidRPr="00735CED">
              <w:rPr>
                <w:rFonts w:eastAsia="Calibri"/>
                <w:color w:val="201F1E"/>
                <w:shd w:val="clear" w:color="auto" w:fill="FFFFFF"/>
              </w:rPr>
              <w:t xml:space="preserve">informatīvā ziņojuma "Par ietekmes novērtējuma sistēmas pilnveidi" </w:t>
            </w:r>
            <w:r w:rsidRPr="00735CED">
              <w:rPr>
                <w:rFonts w:eastAsia="Calibri"/>
              </w:rPr>
              <w:t>2.nodaļas 1.punktu papildināt ar norādi, ka jaunajā ietekmes novērtēšanas regulējuma principos tiks iekļauti kritēriji, kas nosaka identificētajiem trūkumiem apzināt arī cēloņus un iespējamās sekas, lai sniegtu pamatu atbilstošu risinājumu un lēmumu pieņemšanai.</w:t>
            </w:r>
          </w:p>
        </w:tc>
        <w:tc>
          <w:tcPr>
            <w:tcW w:w="3419" w:type="dxa"/>
            <w:tcBorders>
              <w:left w:val="single" w:sz="6" w:space="0" w:color="000000" w:themeColor="text1"/>
              <w:bottom w:val="single" w:sz="4" w:space="0" w:color="auto"/>
              <w:right w:val="single" w:sz="6" w:space="0" w:color="000000" w:themeColor="text1"/>
            </w:tcBorders>
          </w:tcPr>
          <w:p w14:paraId="00CFACB0" w14:textId="419E7D23" w:rsidR="00190F38" w:rsidRPr="00712B66" w:rsidRDefault="4DC3F8D1" w:rsidP="0F0996BD">
            <w:pPr>
              <w:pStyle w:val="naisc"/>
              <w:spacing w:before="0" w:after="0"/>
            </w:pPr>
            <w:r w:rsidRPr="0F0996BD">
              <w:rPr>
                <w:b/>
                <w:bCs/>
              </w:rPr>
              <w:lastRenderedPageBreak/>
              <w:t>Ņemts vērā</w:t>
            </w:r>
          </w:p>
          <w:p w14:paraId="6D1A2253" w14:textId="41845D1A" w:rsidR="0F0996BD" w:rsidRDefault="0F0996BD" w:rsidP="0F0996BD">
            <w:pPr>
              <w:pStyle w:val="naisc"/>
              <w:spacing w:before="0" w:after="0"/>
              <w:jc w:val="both"/>
            </w:pPr>
          </w:p>
          <w:p w14:paraId="37D79B81" w14:textId="580C94E1" w:rsidR="00190F38" w:rsidRPr="00712B66" w:rsidRDefault="1FCD8623" w:rsidP="6740ADD6">
            <w:pPr>
              <w:pStyle w:val="naisc"/>
              <w:spacing w:before="0" w:after="0"/>
              <w:jc w:val="both"/>
              <w:rPr>
                <w:rFonts w:eastAsia="Calibri"/>
              </w:rPr>
            </w:pPr>
            <w:r>
              <w:lastRenderedPageBreak/>
              <w:t xml:space="preserve">Neskatoties uz to, ka jau pašlaik sākotnējas ietekmes novērtējuma regulējums paredz minēto aspektu </w:t>
            </w:r>
            <w:r w:rsidR="0AEBF19E">
              <w:t>(</w:t>
            </w:r>
            <w:r w:rsidR="0AEBF19E" w:rsidRPr="6740ADD6">
              <w:rPr>
                <w:rFonts w:eastAsia="Calibri"/>
              </w:rPr>
              <w:t xml:space="preserve">vispusīgi aplūkot konstatētās problēmas, identificētiem trūkumiem apzināt cēloņus, aprakstīt iespējamās sekas) </w:t>
            </w:r>
            <w:r>
              <w:t>izvērtēšanu, piekrītam, ka</w:t>
            </w:r>
            <w:r w:rsidR="0E1BA4A1">
              <w:t xml:space="preserve"> praksē</w:t>
            </w:r>
            <w:r>
              <w:t xml:space="preserve"> šāda analīze</w:t>
            </w:r>
            <w:r w:rsidR="4889E222">
              <w:t xml:space="preserve"> bieži</w:t>
            </w:r>
            <w:r>
              <w:t xml:space="preserve"> </w:t>
            </w:r>
            <w:r w:rsidR="1EE4B1EF">
              <w:t xml:space="preserve">vien iztrūkst vai tās kvalitāte </w:t>
            </w:r>
            <w:r>
              <w:t xml:space="preserve">būtiski jāuzlabo. </w:t>
            </w:r>
            <w:r w:rsidR="04C2061C">
              <w:t>Strādājot pie ietekmes novērtējuma sistēmas piln</w:t>
            </w:r>
            <w:r w:rsidR="7F591F3F">
              <w:t>veides, minēt</w:t>
            </w:r>
            <w:r w:rsidR="03098007">
              <w:t>o</w:t>
            </w:r>
            <w:r w:rsidR="7F591F3F">
              <w:t xml:space="preserve"> aspekt</w:t>
            </w:r>
            <w:r w:rsidR="6C1EE124">
              <w:t>u</w:t>
            </w:r>
            <w:r w:rsidR="7F591F3F">
              <w:t xml:space="preserve"> </w:t>
            </w:r>
            <w:r w:rsidR="13F54677">
              <w:t xml:space="preserve">pilnveides nepieciešamība tiks pārskatīta. </w:t>
            </w:r>
          </w:p>
        </w:tc>
        <w:tc>
          <w:tcPr>
            <w:tcW w:w="3119" w:type="dxa"/>
            <w:tcBorders>
              <w:top w:val="single" w:sz="4" w:space="0" w:color="auto"/>
              <w:left w:val="single" w:sz="4" w:space="0" w:color="auto"/>
              <w:bottom w:val="single" w:sz="4" w:space="0" w:color="auto"/>
            </w:tcBorders>
          </w:tcPr>
          <w:p w14:paraId="37D79B82" w14:textId="77777777" w:rsidR="00190F38" w:rsidRPr="00712B66" w:rsidRDefault="00190F38"/>
        </w:tc>
      </w:tr>
      <w:tr w:rsidR="00190F38" w:rsidRPr="00712B66" w14:paraId="37D79B8A" w14:textId="77777777" w:rsidTr="00B93E39">
        <w:tc>
          <w:tcPr>
            <w:tcW w:w="708" w:type="dxa"/>
            <w:tcBorders>
              <w:left w:val="single" w:sz="6" w:space="0" w:color="000000" w:themeColor="text1"/>
              <w:bottom w:val="single" w:sz="4" w:space="0" w:color="auto"/>
              <w:right w:val="single" w:sz="6" w:space="0" w:color="000000" w:themeColor="text1"/>
            </w:tcBorders>
          </w:tcPr>
          <w:p w14:paraId="37D79B84" w14:textId="32CC7BAE" w:rsidR="00190F38" w:rsidRPr="00712B66" w:rsidRDefault="180B5295" w:rsidP="6AB3EBF0">
            <w:pPr>
              <w:pStyle w:val="naisc"/>
              <w:spacing w:before="0" w:after="0"/>
            </w:pPr>
            <w:r>
              <w:t>5.</w:t>
            </w:r>
          </w:p>
        </w:tc>
        <w:tc>
          <w:tcPr>
            <w:tcW w:w="2261" w:type="dxa"/>
            <w:tcBorders>
              <w:left w:val="single" w:sz="6" w:space="0" w:color="000000" w:themeColor="text1"/>
              <w:bottom w:val="single" w:sz="4" w:space="0" w:color="auto"/>
              <w:right w:val="single" w:sz="6" w:space="0" w:color="000000" w:themeColor="text1"/>
            </w:tcBorders>
          </w:tcPr>
          <w:p w14:paraId="37D79B85" w14:textId="77777777" w:rsidR="00190F38" w:rsidRPr="00712B66" w:rsidRDefault="00190F38"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86" w14:textId="77777777" w:rsidR="0092015B" w:rsidRPr="0092015B" w:rsidRDefault="0092015B" w:rsidP="0092015B">
            <w:pPr>
              <w:pStyle w:val="naisc"/>
              <w:spacing w:before="0" w:after="0"/>
              <w:jc w:val="both"/>
              <w:rPr>
                <w:b/>
              </w:rPr>
            </w:pPr>
            <w:r w:rsidRPr="0092015B">
              <w:rPr>
                <w:b/>
              </w:rPr>
              <w:t xml:space="preserve">Izglītības un zinātnes ministrija: </w:t>
            </w:r>
          </w:p>
          <w:p w14:paraId="37D79B87" w14:textId="77777777" w:rsidR="00190F38" w:rsidRPr="0092015B" w:rsidRDefault="0092015B" w:rsidP="0092015B">
            <w:pPr>
              <w:pStyle w:val="naisc"/>
              <w:spacing w:before="0" w:after="0"/>
              <w:jc w:val="both"/>
            </w:pPr>
            <w:r w:rsidRPr="0092015B">
              <w:rPr>
                <w:color w:val="212121"/>
                <w:lang w:eastAsia="en-GB"/>
              </w:rPr>
              <w:t xml:space="preserve">Informatīvajā ziņojumā (2. </w:t>
            </w:r>
            <w:proofErr w:type="spellStart"/>
            <w:r w:rsidRPr="0092015B">
              <w:rPr>
                <w:color w:val="212121"/>
                <w:lang w:eastAsia="en-GB"/>
              </w:rPr>
              <w:t>lpp</w:t>
            </w:r>
            <w:proofErr w:type="spellEnd"/>
            <w:r w:rsidRPr="0092015B">
              <w:rPr>
                <w:color w:val="212121"/>
                <w:lang w:eastAsia="en-GB"/>
              </w:rPr>
              <w:t>) norādīts, ka “</w:t>
            </w:r>
            <w:r w:rsidRPr="0092015B">
              <w:t xml:space="preserve">Diemžēl jāsecina, ka pēdējos gados Latvijā ir vērojama arvien lielāka pieņemto regulējumu </w:t>
            </w:r>
            <w:r w:rsidRPr="0092015B">
              <w:rPr>
                <w:u w:val="single"/>
              </w:rPr>
              <w:t>negatīvā ietekme</w:t>
            </w:r>
            <w:r w:rsidRPr="0092015B">
              <w:t xml:space="preserve"> uz sabiedrību, īpaši uz uzņēmējdarbības vidi, par ko liecina pētījumu un uzņēmēju aptauju rezultāti”. Ievērojot minēto, lūdzam ietvert dažus negatīvās ietekmes piemērus no minētajiem pētījumiem.</w:t>
            </w:r>
          </w:p>
        </w:tc>
        <w:tc>
          <w:tcPr>
            <w:tcW w:w="3419" w:type="dxa"/>
            <w:tcBorders>
              <w:left w:val="single" w:sz="6" w:space="0" w:color="000000" w:themeColor="text1"/>
              <w:bottom w:val="single" w:sz="4" w:space="0" w:color="auto"/>
              <w:right w:val="single" w:sz="6" w:space="0" w:color="000000" w:themeColor="text1"/>
            </w:tcBorders>
          </w:tcPr>
          <w:p w14:paraId="74CC5FB6" w14:textId="1520AB48" w:rsidR="00190F38" w:rsidRPr="00712B66" w:rsidRDefault="72897F4B" w:rsidP="0F0996BD">
            <w:pPr>
              <w:pStyle w:val="naisc"/>
              <w:spacing w:before="0" w:after="0" w:line="259" w:lineRule="auto"/>
              <w:rPr>
                <w:b/>
                <w:bCs/>
              </w:rPr>
            </w:pPr>
            <w:r w:rsidRPr="0F0996BD">
              <w:rPr>
                <w:b/>
                <w:bCs/>
              </w:rPr>
              <w:t>Ņemts vērā</w:t>
            </w:r>
          </w:p>
          <w:p w14:paraId="6D7524CD" w14:textId="0FCFCA06" w:rsidR="7198D243" w:rsidRDefault="7198D243" w:rsidP="6AB3EBF0">
            <w:pPr>
              <w:pStyle w:val="naisc"/>
              <w:spacing w:before="0" w:after="0" w:line="259" w:lineRule="auto"/>
              <w:jc w:val="both"/>
            </w:pPr>
            <w:r>
              <w:t>Negatīvās ietekmes piemēri no informatīvajā ziņojumā minētajiem piemēriem:</w:t>
            </w:r>
          </w:p>
          <w:p w14:paraId="16681E7B" w14:textId="7D637860" w:rsidR="00190F38" w:rsidRPr="00712B66" w:rsidRDefault="240C9F51" w:rsidP="0F0996BD">
            <w:pPr>
              <w:pStyle w:val="naisc"/>
              <w:numPr>
                <w:ilvl w:val="0"/>
                <w:numId w:val="1"/>
              </w:numPr>
              <w:spacing w:before="0" w:after="0" w:line="259" w:lineRule="auto"/>
              <w:jc w:val="both"/>
            </w:pPr>
            <w:r>
              <w:t xml:space="preserve">2019.gada pētījums “Latvijas </w:t>
            </w:r>
            <w:proofErr w:type="spellStart"/>
            <w:r>
              <w:t>jaunuzņēmumu</w:t>
            </w:r>
            <w:proofErr w:type="spellEnd"/>
            <w:r>
              <w:t xml:space="preserve"> ekosistēmas novērtēšana, pašreizējā stāvokļa identificēšana un uz tās balstītu priekšlikumu izstrāde”: “</w:t>
            </w:r>
            <w:proofErr w:type="spellStart"/>
            <w:r>
              <w:t>Jaunuzņēmumi</w:t>
            </w:r>
            <w:proofErr w:type="spellEnd"/>
            <w:r>
              <w:t xml:space="preserve"> anketēšanas laikā norāda, ka valsts kopējai uzņēmējdarbības videi nenāk par labu biežās </w:t>
            </w:r>
            <w:r>
              <w:lastRenderedPageBreak/>
              <w:t xml:space="preserve">nodokļu maiņas, kas neļauj ne investoriem, ne </w:t>
            </w:r>
            <w:proofErr w:type="spellStart"/>
            <w:r>
              <w:t>jaunuzņēmumiem</w:t>
            </w:r>
            <w:proofErr w:type="spellEnd"/>
            <w:r>
              <w:t xml:space="preserve"> plānot ilgtermiņa attīstību Latvijā.”.</w:t>
            </w:r>
          </w:p>
          <w:p w14:paraId="4A4B6EBA" w14:textId="723A87B5" w:rsidR="00190F38" w:rsidRPr="00712B66" w:rsidRDefault="04C94965" w:rsidP="0F0996BD">
            <w:pPr>
              <w:pStyle w:val="naisc"/>
              <w:numPr>
                <w:ilvl w:val="0"/>
                <w:numId w:val="1"/>
              </w:numPr>
              <w:spacing w:before="0" w:after="0" w:line="259" w:lineRule="auto"/>
              <w:jc w:val="both"/>
            </w:pPr>
            <w:r>
              <w:t xml:space="preserve">2017.gada pētījums “Komersantu, nevalstisko </w:t>
            </w:r>
            <w:proofErr w:type="spellStart"/>
            <w:r>
              <w:t>organizāciju,sabiedrības</w:t>
            </w:r>
            <w:proofErr w:type="spellEnd"/>
            <w:r>
              <w:t xml:space="preserve"> salīdzinošais vērtējums uzņēmējdarbības vides uzlabošanas, administratīvā sloga mazināšanas jomā”: “Vienlaicīgi eksperti kritiski vērtē šobrīd jau esošo tiesisko regulējumu – normatīvie dokumenti, tiesību akti ir pārspīlēti detalizēti, pietrūkst ietekmes analīzes novērtējumā.”</w:t>
            </w:r>
          </w:p>
          <w:p w14:paraId="37D79B88" w14:textId="582FD07C" w:rsidR="00190F38" w:rsidRPr="00712B66" w:rsidRDefault="27B5CFBA" w:rsidP="6AB3EBF0">
            <w:pPr>
              <w:pStyle w:val="naisc"/>
              <w:numPr>
                <w:ilvl w:val="0"/>
                <w:numId w:val="1"/>
              </w:numPr>
              <w:spacing w:before="0" w:after="0" w:line="259" w:lineRule="auto"/>
              <w:jc w:val="both"/>
              <w:rPr>
                <w:i/>
                <w:iCs/>
              </w:rPr>
            </w:pPr>
            <w:proofErr w:type="spellStart"/>
            <w:r w:rsidRPr="6AB3EBF0">
              <w:rPr>
                <w:i/>
                <w:iCs/>
              </w:rPr>
              <w:t>Global</w:t>
            </w:r>
            <w:proofErr w:type="spellEnd"/>
            <w:r w:rsidRPr="6AB3EBF0">
              <w:rPr>
                <w:i/>
                <w:iCs/>
              </w:rPr>
              <w:t xml:space="preserve"> </w:t>
            </w:r>
            <w:proofErr w:type="spellStart"/>
            <w:r w:rsidRPr="6AB3EBF0">
              <w:rPr>
                <w:i/>
                <w:iCs/>
              </w:rPr>
              <w:t>Entrepreneurship</w:t>
            </w:r>
            <w:proofErr w:type="spellEnd"/>
            <w:r w:rsidRPr="6AB3EBF0">
              <w:rPr>
                <w:i/>
                <w:iCs/>
              </w:rPr>
              <w:t xml:space="preserve"> Monitor</w:t>
            </w:r>
            <w:r>
              <w:t xml:space="preserve"> (2017, </w:t>
            </w:r>
            <w:proofErr w:type="spellStart"/>
            <w:r>
              <w:t>Stockholm</w:t>
            </w:r>
            <w:proofErr w:type="spellEnd"/>
            <w:r>
              <w:t xml:space="preserve"> School </w:t>
            </w:r>
            <w:proofErr w:type="spellStart"/>
            <w:r>
              <w:t>of</w:t>
            </w:r>
            <w:proofErr w:type="spellEnd"/>
            <w:r>
              <w:t xml:space="preserve"> </w:t>
            </w:r>
            <w:proofErr w:type="spellStart"/>
            <w:r>
              <w:t>Economics</w:t>
            </w:r>
            <w:proofErr w:type="spellEnd"/>
            <w:r>
              <w:t xml:space="preserve"> </w:t>
            </w:r>
            <w:proofErr w:type="spellStart"/>
            <w:r>
              <w:t>in</w:t>
            </w:r>
            <w:proofErr w:type="spellEnd"/>
            <w:r>
              <w:t xml:space="preserve"> </w:t>
            </w:r>
            <w:proofErr w:type="spellStart"/>
            <w:r>
              <w:t>Riga</w:t>
            </w:r>
            <w:proofErr w:type="spellEnd"/>
            <w:r>
              <w:t>): “</w:t>
            </w:r>
            <w:proofErr w:type="spellStart"/>
            <w:r w:rsidRPr="6AB3EBF0">
              <w:rPr>
                <w:i/>
                <w:iCs/>
              </w:rPr>
              <w:t>Bureaucracy</w:t>
            </w:r>
            <w:proofErr w:type="spellEnd"/>
            <w:r w:rsidRPr="6AB3EBF0">
              <w:rPr>
                <w:i/>
                <w:iCs/>
              </w:rPr>
              <w:t xml:space="preserve"> </w:t>
            </w:r>
            <w:r w:rsidR="47AACF44" w:rsidRPr="6AB3EBF0">
              <w:rPr>
                <w:i/>
                <w:iCs/>
              </w:rPr>
              <w:t xml:space="preserve">[24.6%] </w:t>
            </w:r>
            <w:proofErr w:type="spellStart"/>
            <w:r w:rsidRPr="6AB3EBF0">
              <w:rPr>
                <w:i/>
                <w:iCs/>
              </w:rPr>
              <w:t>as</w:t>
            </w:r>
            <w:proofErr w:type="spellEnd"/>
            <w:r w:rsidRPr="6AB3EBF0">
              <w:rPr>
                <w:i/>
                <w:iCs/>
              </w:rPr>
              <w:t xml:space="preserve"> a </w:t>
            </w:r>
            <w:proofErr w:type="spellStart"/>
            <w:r w:rsidRPr="6AB3EBF0">
              <w:rPr>
                <w:i/>
                <w:iCs/>
              </w:rPr>
              <w:t>reason</w:t>
            </w:r>
            <w:proofErr w:type="spellEnd"/>
            <w:r w:rsidRPr="6AB3EBF0">
              <w:rPr>
                <w:i/>
                <w:iCs/>
              </w:rPr>
              <w:t xml:space="preserve"> </w:t>
            </w:r>
            <w:proofErr w:type="spellStart"/>
            <w:r w:rsidRPr="6AB3EBF0">
              <w:rPr>
                <w:i/>
                <w:iCs/>
              </w:rPr>
              <w:t>for</w:t>
            </w:r>
            <w:proofErr w:type="spellEnd"/>
            <w:r w:rsidRPr="6AB3EBF0">
              <w:rPr>
                <w:i/>
                <w:iCs/>
              </w:rPr>
              <w:t xml:space="preserve"> </w:t>
            </w:r>
            <w:proofErr w:type="spellStart"/>
            <w:r w:rsidRPr="6AB3EBF0">
              <w:rPr>
                <w:i/>
                <w:iCs/>
              </w:rPr>
              <w:t>discontinuation</w:t>
            </w:r>
            <w:proofErr w:type="spellEnd"/>
            <w:r w:rsidR="1F3589E6" w:rsidRPr="6AB3EBF0">
              <w:rPr>
                <w:i/>
                <w:iCs/>
              </w:rPr>
              <w:t xml:space="preserve"> [</w:t>
            </w:r>
            <w:proofErr w:type="spellStart"/>
            <w:r w:rsidR="1F3589E6" w:rsidRPr="6AB3EBF0">
              <w:rPr>
                <w:i/>
                <w:iCs/>
              </w:rPr>
              <w:t>of</w:t>
            </w:r>
            <w:proofErr w:type="spellEnd"/>
            <w:r w:rsidR="1F3589E6" w:rsidRPr="6AB3EBF0">
              <w:rPr>
                <w:i/>
                <w:iCs/>
              </w:rPr>
              <w:t xml:space="preserve"> </w:t>
            </w:r>
            <w:proofErr w:type="spellStart"/>
            <w:r w:rsidR="1F3589E6" w:rsidRPr="6AB3EBF0">
              <w:rPr>
                <w:i/>
                <w:iCs/>
              </w:rPr>
              <w:t>business</w:t>
            </w:r>
            <w:proofErr w:type="spellEnd"/>
            <w:r w:rsidR="1F3589E6" w:rsidRPr="6AB3EBF0">
              <w:rPr>
                <w:i/>
                <w:iCs/>
              </w:rPr>
              <w:t>]</w:t>
            </w:r>
            <w:r w:rsidRPr="6AB3EBF0">
              <w:rPr>
                <w:i/>
                <w:iCs/>
              </w:rPr>
              <w:t xml:space="preserve"> </w:t>
            </w:r>
            <w:proofErr w:type="spellStart"/>
            <w:r w:rsidRPr="6AB3EBF0">
              <w:rPr>
                <w:i/>
                <w:iCs/>
              </w:rPr>
              <w:t>in</w:t>
            </w:r>
            <w:proofErr w:type="spellEnd"/>
            <w:r w:rsidRPr="6AB3EBF0">
              <w:rPr>
                <w:i/>
                <w:iCs/>
              </w:rPr>
              <w:t xml:space="preserve"> Latvia </w:t>
            </w:r>
            <w:proofErr w:type="spellStart"/>
            <w:r w:rsidRPr="6AB3EBF0">
              <w:rPr>
                <w:i/>
                <w:iCs/>
              </w:rPr>
              <w:t>has</w:t>
            </w:r>
            <w:proofErr w:type="spellEnd"/>
            <w:r w:rsidRPr="6AB3EBF0">
              <w:rPr>
                <w:i/>
                <w:iCs/>
              </w:rPr>
              <w:t xml:space="preserve"> </w:t>
            </w:r>
            <w:proofErr w:type="spellStart"/>
            <w:r w:rsidRPr="6AB3EBF0">
              <w:rPr>
                <w:i/>
                <w:iCs/>
              </w:rPr>
              <w:t>become</w:t>
            </w:r>
            <w:proofErr w:type="spellEnd"/>
            <w:r w:rsidRPr="6AB3EBF0">
              <w:rPr>
                <w:i/>
                <w:iCs/>
              </w:rPr>
              <w:t xml:space="preserve"> </w:t>
            </w:r>
            <w:proofErr w:type="spellStart"/>
            <w:r w:rsidRPr="6AB3EBF0">
              <w:rPr>
                <w:i/>
                <w:iCs/>
              </w:rPr>
              <w:t>more</w:t>
            </w:r>
            <w:proofErr w:type="spellEnd"/>
            <w:r w:rsidRPr="6AB3EBF0">
              <w:rPr>
                <w:i/>
                <w:iCs/>
              </w:rPr>
              <w:t xml:space="preserve"> </w:t>
            </w:r>
            <w:proofErr w:type="spellStart"/>
            <w:r w:rsidRPr="6AB3EBF0">
              <w:rPr>
                <w:i/>
                <w:iCs/>
              </w:rPr>
              <w:t>important</w:t>
            </w:r>
            <w:proofErr w:type="spellEnd"/>
            <w:r w:rsidRPr="6AB3EBF0">
              <w:rPr>
                <w:i/>
                <w:iCs/>
              </w:rPr>
              <w:t xml:space="preserve"> </w:t>
            </w:r>
            <w:proofErr w:type="spellStart"/>
            <w:r w:rsidRPr="6AB3EBF0">
              <w:rPr>
                <w:i/>
                <w:iCs/>
              </w:rPr>
              <w:t>compared</w:t>
            </w:r>
            <w:proofErr w:type="spellEnd"/>
            <w:r w:rsidRPr="6AB3EBF0">
              <w:rPr>
                <w:i/>
                <w:iCs/>
              </w:rPr>
              <w:t xml:space="preserve"> to </w:t>
            </w:r>
            <w:proofErr w:type="spellStart"/>
            <w:r w:rsidRPr="6AB3EBF0">
              <w:rPr>
                <w:i/>
                <w:iCs/>
              </w:rPr>
              <w:t>previous</w:t>
            </w:r>
            <w:proofErr w:type="spellEnd"/>
            <w:r w:rsidRPr="6AB3EBF0">
              <w:rPr>
                <w:i/>
                <w:iCs/>
              </w:rPr>
              <w:t xml:space="preserve"> </w:t>
            </w:r>
            <w:proofErr w:type="spellStart"/>
            <w:r w:rsidRPr="6AB3EBF0">
              <w:rPr>
                <w:i/>
                <w:iCs/>
              </w:rPr>
              <w:lastRenderedPageBreak/>
              <w:t>years</w:t>
            </w:r>
            <w:proofErr w:type="spellEnd"/>
            <w:r w:rsidRPr="6AB3EBF0">
              <w:rPr>
                <w:i/>
                <w:iCs/>
              </w:rPr>
              <w:t xml:space="preserve"> (2015 – 12.0%, 2016 – 20.6%)</w:t>
            </w:r>
            <w:r w:rsidR="6561B32F" w:rsidRPr="6AB3EBF0">
              <w:rPr>
                <w:i/>
                <w:iCs/>
              </w:rPr>
              <w:t>.</w:t>
            </w:r>
            <w:r>
              <w:t>”</w:t>
            </w:r>
          </w:p>
        </w:tc>
        <w:tc>
          <w:tcPr>
            <w:tcW w:w="3119" w:type="dxa"/>
            <w:tcBorders>
              <w:top w:val="single" w:sz="4" w:space="0" w:color="auto"/>
              <w:left w:val="single" w:sz="4" w:space="0" w:color="auto"/>
              <w:bottom w:val="single" w:sz="4" w:space="0" w:color="auto"/>
            </w:tcBorders>
          </w:tcPr>
          <w:p w14:paraId="37D79B89" w14:textId="13BF6FD3" w:rsidR="00190F38" w:rsidRPr="00712B66" w:rsidRDefault="7D961936">
            <w:r>
              <w:lastRenderedPageBreak/>
              <w:t>Informatīvais ziņojums papildināts.</w:t>
            </w:r>
          </w:p>
        </w:tc>
      </w:tr>
      <w:tr w:rsidR="00190F38" w:rsidRPr="00712B66" w14:paraId="37D79B91" w14:textId="77777777" w:rsidTr="00B93E39">
        <w:tc>
          <w:tcPr>
            <w:tcW w:w="708" w:type="dxa"/>
            <w:tcBorders>
              <w:left w:val="single" w:sz="6" w:space="0" w:color="000000" w:themeColor="text1"/>
              <w:bottom w:val="single" w:sz="4" w:space="0" w:color="auto"/>
              <w:right w:val="single" w:sz="6" w:space="0" w:color="000000" w:themeColor="text1"/>
            </w:tcBorders>
          </w:tcPr>
          <w:p w14:paraId="37D79B8B" w14:textId="0F792911" w:rsidR="00190F38" w:rsidRPr="00712B66" w:rsidRDefault="4CBE9613" w:rsidP="6AB3EBF0">
            <w:pPr>
              <w:pStyle w:val="naisc"/>
              <w:spacing w:before="0" w:after="0"/>
            </w:pPr>
            <w:r>
              <w:lastRenderedPageBreak/>
              <w:t>5.</w:t>
            </w:r>
          </w:p>
        </w:tc>
        <w:tc>
          <w:tcPr>
            <w:tcW w:w="2261" w:type="dxa"/>
            <w:tcBorders>
              <w:left w:val="single" w:sz="6" w:space="0" w:color="000000" w:themeColor="text1"/>
              <w:bottom w:val="single" w:sz="4" w:space="0" w:color="auto"/>
              <w:right w:val="single" w:sz="6" w:space="0" w:color="000000" w:themeColor="text1"/>
            </w:tcBorders>
          </w:tcPr>
          <w:p w14:paraId="37D79B8C" w14:textId="77777777" w:rsidR="00190F38" w:rsidRPr="00712B66" w:rsidRDefault="00190F38"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8D" w14:textId="77777777" w:rsidR="00190F38" w:rsidRDefault="0092015B" w:rsidP="0092015B">
            <w:pPr>
              <w:pStyle w:val="naisc"/>
              <w:spacing w:before="0" w:after="0"/>
              <w:jc w:val="both"/>
            </w:pPr>
            <w:r w:rsidRPr="0092015B">
              <w:t xml:space="preserve">Informatīvajā ziņojumā (2. </w:t>
            </w:r>
            <w:proofErr w:type="spellStart"/>
            <w:r w:rsidRPr="0092015B">
              <w:t>lpp</w:t>
            </w:r>
            <w:proofErr w:type="spellEnd"/>
            <w:r w:rsidRPr="0092015B">
              <w:t>) minēts, ka “OECD regulējuma politikas indikatori (</w:t>
            </w:r>
            <w:proofErr w:type="spellStart"/>
            <w:r w:rsidRPr="0092015B">
              <w:rPr>
                <w:i/>
              </w:rPr>
              <w:t>Indicators</w:t>
            </w:r>
            <w:proofErr w:type="spellEnd"/>
            <w:r w:rsidRPr="0092015B">
              <w:rPr>
                <w:i/>
              </w:rPr>
              <w:t xml:space="preserve"> </w:t>
            </w:r>
            <w:proofErr w:type="spellStart"/>
            <w:r w:rsidRPr="0092015B">
              <w:rPr>
                <w:i/>
              </w:rPr>
              <w:t>of</w:t>
            </w:r>
            <w:proofErr w:type="spellEnd"/>
            <w:r w:rsidRPr="0092015B">
              <w:rPr>
                <w:i/>
              </w:rPr>
              <w:t xml:space="preserve"> </w:t>
            </w:r>
            <w:proofErr w:type="spellStart"/>
            <w:r w:rsidRPr="0092015B">
              <w:rPr>
                <w:i/>
              </w:rPr>
              <w:t>Regulatory</w:t>
            </w:r>
            <w:proofErr w:type="spellEnd"/>
            <w:r w:rsidRPr="0092015B">
              <w:rPr>
                <w:i/>
              </w:rPr>
              <w:t xml:space="preserve"> </w:t>
            </w:r>
            <w:proofErr w:type="spellStart"/>
            <w:r w:rsidRPr="0092015B">
              <w:rPr>
                <w:i/>
              </w:rPr>
              <w:t>Policy</w:t>
            </w:r>
            <w:proofErr w:type="spellEnd"/>
            <w:r w:rsidRPr="0092015B">
              <w:rPr>
                <w:i/>
              </w:rPr>
              <w:t xml:space="preserve"> </w:t>
            </w:r>
            <w:proofErr w:type="spellStart"/>
            <w:r w:rsidRPr="0092015B">
              <w:rPr>
                <w:i/>
              </w:rPr>
              <w:t>and</w:t>
            </w:r>
            <w:proofErr w:type="spellEnd"/>
            <w:r w:rsidRPr="0092015B">
              <w:rPr>
                <w:i/>
              </w:rPr>
              <w:t xml:space="preserve"> </w:t>
            </w:r>
            <w:proofErr w:type="spellStart"/>
            <w:r w:rsidRPr="0092015B">
              <w:rPr>
                <w:i/>
              </w:rPr>
              <w:t>Governance</w:t>
            </w:r>
            <w:proofErr w:type="spellEnd"/>
            <w:r w:rsidRPr="0092015B">
              <w:rPr>
                <w:i/>
              </w:rPr>
              <w:t xml:space="preserve">, </w:t>
            </w:r>
            <w:proofErr w:type="spellStart"/>
            <w:r w:rsidRPr="0092015B">
              <w:rPr>
                <w:i/>
              </w:rPr>
              <w:t>iREG</w:t>
            </w:r>
            <w:proofErr w:type="spellEnd"/>
            <w:r w:rsidRPr="0092015B">
              <w:t xml:space="preserve">) raksturo regulējuma politiku valstī un sastāv no trim dažādiem indikatoriem, kas mēra šādus regulējuma vadības aspektus: ieinteresēto pušu iesaisti, </w:t>
            </w:r>
            <w:r w:rsidRPr="0092015B">
              <w:rPr>
                <w:u w:val="single"/>
              </w:rPr>
              <w:t xml:space="preserve">regulējuma ietekmes novērtējumu </w:t>
            </w:r>
            <w:r w:rsidRPr="0092015B">
              <w:t>un ietekmes pēcpārbaudi (</w:t>
            </w:r>
            <w:proofErr w:type="spellStart"/>
            <w:r w:rsidRPr="0092015B">
              <w:t>ex</w:t>
            </w:r>
            <w:proofErr w:type="spellEnd"/>
            <w:r w:rsidRPr="0092015B">
              <w:t>-post novērtējumu)”. No konteksta saprotams, ka domāts regulējuma sākotnējais novērtējums (</w:t>
            </w:r>
            <w:proofErr w:type="spellStart"/>
            <w:r w:rsidRPr="0092015B">
              <w:t>ex-ante</w:t>
            </w:r>
            <w:proofErr w:type="spellEnd"/>
            <w:r w:rsidRPr="0092015B">
              <w:t xml:space="preserve">). Lūdzam precizēt, lai pretstatītu sekojošajam </w:t>
            </w:r>
            <w:proofErr w:type="spellStart"/>
            <w:r w:rsidRPr="0092015B">
              <w:t>ex</w:t>
            </w:r>
            <w:proofErr w:type="spellEnd"/>
            <w:r w:rsidRPr="0092015B">
              <w:t>-post novērtējumam.</w:t>
            </w:r>
          </w:p>
          <w:p w14:paraId="37D79B8E" w14:textId="77777777" w:rsidR="0092015B" w:rsidRPr="0092015B" w:rsidRDefault="0092015B" w:rsidP="0092015B">
            <w:pPr>
              <w:jc w:val="both"/>
            </w:pPr>
            <w:r w:rsidRPr="0092015B">
              <w:t>Vēršam arī uzmanību uz terminoloģijas niansēm. Atsaucoties uz angļu valodā lietotiem terminiem, “novērtējums” ir tulkojums vārdam “</w:t>
            </w:r>
            <w:proofErr w:type="spellStart"/>
            <w:r w:rsidRPr="0092015B">
              <w:t>assessment</w:t>
            </w:r>
            <w:proofErr w:type="spellEnd"/>
            <w:r w:rsidRPr="0092015B">
              <w:t>”, bet “</w:t>
            </w:r>
            <w:proofErr w:type="spellStart"/>
            <w:r w:rsidRPr="0092015B">
              <w:t>evaluation</w:t>
            </w:r>
            <w:proofErr w:type="spellEnd"/>
            <w:r w:rsidRPr="0092015B">
              <w:t>” latviski tiek tulkots kā “</w:t>
            </w:r>
            <w:proofErr w:type="spellStart"/>
            <w:r w:rsidRPr="0092015B">
              <w:t>izvērtējums</w:t>
            </w:r>
            <w:proofErr w:type="spellEnd"/>
            <w:r w:rsidRPr="0092015B">
              <w:t xml:space="preserve">”. Šī terminoloģija pagaidām vēl nav līdz galam izskaidrota un plaši akceptēta, bet Latvijas </w:t>
            </w:r>
            <w:proofErr w:type="spellStart"/>
            <w:r w:rsidRPr="0092015B">
              <w:t>Izvērtētāju</w:t>
            </w:r>
            <w:proofErr w:type="spellEnd"/>
            <w:r w:rsidRPr="0092015B">
              <w:t xml:space="preserve"> asociācija (</w:t>
            </w:r>
            <w:proofErr w:type="spellStart"/>
            <w:r w:rsidRPr="0092015B">
              <w:t>Latvian</w:t>
            </w:r>
            <w:proofErr w:type="spellEnd"/>
            <w:r w:rsidRPr="0092015B">
              <w:t xml:space="preserve"> </w:t>
            </w:r>
            <w:proofErr w:type="spellStart"/>
            <w:r w:rsidRPr="0092015B">
              <w:t>Evaluation</w:t>
            </w:r>
            <w:proofErr w:type="spellEnd"/>
            <w:r w:rsidRPr="0092015B">
              <w:t xml:space="preserve"> Association) strādā pie terminoloģijas precizēšanas un nostiprināšanas praksē. Ievērojot minēto, ierosinām apsvērt, vai “izvērtēšana” šajā dokumentā nav piemērotāks termins nekā “novērtēšana”.</w:t>
            </w:r>
          </w:p>
        </w:tc>
        <w:tc>
          <w:tcPr>
            <w:tcW w:w="3419" w:type="dxa"/>
            <w:tcBorders>
              <w:left w:val="single" w:sz="6" w:space="0" w:color="000000" w:themeColor="text1"/>
              <w:bottom w:val="single" w:sz="4" w:space="0" w:color="auto"/>
              <w:right w:val="single" w:sz="6" w:space="0" w:color="000000" w:themeColor="text1"/>
            </w:tcBorders>
          </w:tcPr>
          <w:p w14:paraId="5D297A9E" w14:textId="49A194B8" w:rsidR="00190F38" w:rsidRPr="00712B66" w:rsidRDefault="46380DBE" w:rsidP="0F0996BD">
            <w:pPr>
              <w:pStyle w:val="naisc"/>
              <w:spacing w:before="0" w:after="0"/>
              <w:rPr>
                <w:b/>
                <w:bCs/>
              </w:rPr>
            </w:pPr>
            <w:r w:rsidRPr="0F0996BD">
              <w:rPr>
                <w:b/>
                <w:bCs/>
              </w:rPr>
              <w:t>Ņemts vērā</w:t>
            </w:r>
          </w:p>
          <w:p w14:paraId="0485F426" w14:textId="0A4CDD6A" w:rsidR="0F0996BD" w:rsidRDefault="0F0996BD" w:rsidP="0F0996BD">
            <w:pPr>
              <w:pStyle w:val="naisc"/>
              <w:spacing w:before="0" w:after="0"/>
              <w:jc w:val="both"/>
            </w:pPr>
          </w:p>
          <w:p w14:paraId="37D79B8F" w14:textId="4CB97EDE" w:rsidR="00190F38" w:rsidRPr="00712B66" w:rsidRDefault="00190F38" w:rsidP="0F0996BD">
            <w:pPr>
              <w:pStyle w:val="naisc"/>
              <w:spacing w:before="0" w:after="0"/>
              <w:jc w:val="both"/>
            </w:pPr>
          </w:p>
        </w:tc>
        <w:tc>
          <w:tcPr>
            <w:tcW w:w="3119" w:type="dxa"/>
            <w:tcBorders>
              <w:top w:val="single" w:sz="4" w:space="0" w:color="auto"/>
              <w:left w:val="single" w:sz="4" w:space="0" w:color="auto"/>
              <w:bottom w:val="single" w:sz="4" w:space="0" w:color="auto"/>
            </w:tcBorders>
          </w:tcPr>
          <w:p w14:paraId="37D79B90" w14:textId="119643F3" w:rsidR="00190F38" w:rsidRPr="00712B66" w:rsidRDefault="00B21FA9" w:rsidP="00AF1853">
            <w:pPr>
              <w:rPr>
                <w:color w:val="FF0000"/>
              </w:rPr>
            </w:pPr>
            <w:r>
              <w:t xml:space="preserve">Informatīvais ziņojums ir precizēts, aizstājot terminu </w:t>
            </w:r>
            <w:r w:rsidR="00AF1853">
              <w:t>“novērtēšana” ar “izvērtēšana”.</w:t>
            </w:r>
          </w:p>
        </w:tc>
      </w:tr>
      <w:tr w:rsidR="0092015B" w:rsidRPr="00712B66" w14:paraId="37D79B97" w14:textId="77777777" w:rsidTr="00B93E39">
        <w:tc>
          <w:tcPr>
            <w:tcW w:w="708" w:type="dxa"/>
            <w:tcBorders>
              <w:left w:val="single" w:sz="6" w:space="0" w:color="000000" w:themeColor="text1"/>
              <w:bottom w:val="single" w:sz="4" w:space="0" w:color="auto"/>
              <w:right w:val="single" w:sz="6" w:space="0" w:color="000000" w:themeColor="text1"/>
            </w:tcBorders>
          </w:tcPr>
          <w:p w14:paraId="37D79B92" w14:textId="61504E09" w:rsidR="0092015B" w:rsidRPr="00712B66" w:rsidRDefault="6DA3EE27" w:rsidP="6AB3EBF0">
            <w:pPr>
              <w:pStyle w:val="naisc"/>
              <w:spacing w:before="0" w:after="0"/>
            </w:pPr>
            <w:r>
              <w:t>6.</w:t>
            </w:r>
          </w:p>
        </w:tc>
        <w:tc>
          <w:tcPr>
            <w:tcW w:w="2261" w:type="dxa"/>
            <w:tcBorders>
              <w:left w:val="single" w:sz="6" w:space="0" w:color="000000" w:themeColor="text1"/>
              <w:bottom w:val="single" w:sz="4" w:space="0" w:color="auto"/>
              <w:right w:val="single" w:sz="6" w:space="0" w:color="000000" w:themeColor="text1"/>
            </w:tcBorders>
          </w:tcPr>
          <w:p w14:paraId="37D79B93" w14:textId="77777777" w:rsidR="0092015B" w:rsidRPr="00712B66" w:rsidRDefault="0092015B"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94" w14:textId="77777777" w:rsidR="0092015B" w:rsidRPr="00712B66" w:rsidRDefault="0092015B" w:rsidP="0092015B">
            <w:pPr>
              <w:jc w:val="both"/>
            </w:pPr>
            <w:r w:rsidRPr="0092015B">
              <w:t xml:space="preserve">Informatīvajā ziņojumā (2. </w:t>
            </w:r>
            <w:proofErr w:type="spellStart"/>
            <w:r w:rsidRPr="0092015B">
              <w:t>lpp</w:t>
            </w:r>
            <w:proofErr w:type="spellEnd"/>
            <w:r w:rsidRPr="0092015B">
              <w:t xml:space="preserve">) norādīts, ka “Diemžēl 2018. gadā Latvijas regulējuma ietekmes novērtēšanas rādītāji divos aspektos (izņemot ieinteresēto pušu iesaisti) bija </w:t>
            </w:r>
            <w:r w:rsidRPr="0092015B">
              <w:rPr>
                <w:u w:val="single"/>
              </w:rPr>
              <w:lastRenderedPageBreak/>
              <w:t>kritiski zemi:</w:t>
            </w:r>
            <w:r w:rsidRPr="0092015B">
              <w:t>”. Vēlams tekstā komentēt attēlos vizualizēto informāciju. Cik zemi ir rādītāji? Kā tie salīdzinās ar citām Eiropas valstīm? Lai arī grafiki ir uzskatāmi un Latvijas rādītāji ir izcelti, ierosinām neatstāt grafiku kā atsevišķi stāvošu materiālu, bet gan tekstā atsaukties uz tā numuru un vērst uzmanību uz galvenajiem datiem.</w:t>
            </w:r>
          </w:p>
        </w:tc>
        <w:tc>
          <w:tcPr>
            <w:tcW w:w="3419" w:type="dxa"/>
            <w:tcBorders>
              <w:left w:val="single" w:sz="6" w:space="0" w:color="000000" w:themeColor="text1"/>
              <w:bottom w:val="single" w:sz="4" w:space="0" w:color="auto"/>
              <w:right w:val="single" w:sz="6" w:space="0" w:color="000000" w:themeColor="text1"/>
            </w:tcBorders>
          </w:tcPr>
          <w:p w14:paraId="37D79B95" w14:textId="0AF1BE3D" w:rsidR="0092015B" w:rsidRPr="00712B66" w:rsidRDefault="320C396F" w:rsidP="6AB3EBF0">
            <w:pPr>
              <w:pStyle w:val="naisc"/>
              <w:spacing w:before="0" w:after="0"/>
              <w:rPr>
                <w:b/>
                <w:bCs/>
              </w:rPr>
            </w:pPr>
            <w:r w:rsidRPr="6AB3EBF0">
              <w:rPr>
                <w:b/>
                <w:bCs/>
              </w:rPr>
              <w:lastRenderedPageBreak/>
              <w:t>Ņemts vērā</w:t>
            </w:r>
          </w:p>
        </w:tc>
        <w:tc>
          <w:tcPr>
            <w:tcW w:w="3119" w:type="dxa"/>
            <w:tcBorders>
              <w:top w:val="single" w:sz="4" w:space="0" w:color="auto"/>
              <w:left w:val="single" w:sz="4" w:space="0" w:color="auto"/>
              <w:bottom w:val="single" w:sz="4" w:space="0" w:color="auto"/>
            </w:tcBorders>
          </w:tcPr>
          <w:p w14:paraId="37D79B96" w14:textId="35AB0E9F" w:rsidR="0092015B" w:rsidRPr="00712B66" w:rsidRDefault="320C396F">
            <w:r>
              <w:t>Informatīvais ziņojums precizēts.</w:t>
            </w:r>
          </w:p>
        </w:tc>
      </w:tr>
      <w:tr w:rsidR="0092015B" w:rsidRPr="00712B66" w14:paraId="37D79B9D" w14:textId="77777777" w:rsidTr="00B93E39">
        <w:tc>
          <w:tcPr>
            <w:tcW w:w="708" w:type="dxa"/>
            <w:tcBorders>
              <w:left w:val="single" w:sz="6" w:space="0" w:color="000000" w:themeColor="text1"/>
              <w:bottom w:val="single" w:sz="4" w:space="0" w:color="auto"/>
              <w:right w:val="single" w:sz="6" w:space="0" w:color="000000" w:themeColor="text1"/>
            </w:tcBorders>
          </w:tcPr>
          <w:p w14:paraId="37D79B98" w14:textId="3AB98553" w:rsidR="0092015B" w:rsidRPr="00712B66" w:rsidRDefault="71D150B2" w:rsidP="6AB3EBF0">
            <w:pPr>
              <w:pStyle w:val="naisc"/>
              <w:spacing w:before="0" w:after="0"/>
            </w:pPr>
            <w:r>
              <w:t>7.</w:t>
            </w:r>
          </w:p>
        </w:tc>
        <w:tc>
          <w:tcPr>
            <w:tcW w:w="2261" w:type="dxa"/>
            <w:tcBorders>
              <w:left w:val="single" w:sz="6" w:space="0" w:color="000000" w:themeColor="text1"/>
              <w:bottom w:val="single" w:sz="4" w:space="0" w:color="auto"/>
              <w:right w:val="single" w:sz="6" w:space="0" w:color="000000" w:themeColor="text1"/>
            </w:tcBorders>
          </w:tcPr>
          <w:p w14:paraId="37D79B99" w14:textId="77777777" w:rsidR="0092015B" w:rsidRPr="00712B66" w:rsidRDefault="0092015B"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9A" w14:textId="77777777" w:rsidR="0092015B" w:rsidRPr="0092015B" w:rsidRDefault="0092015B" w:rsidP="0092015B">
            <w:pPr>
              <w:pStyle w:val="naisc"/>
              <w:spacing w:before="0" w:after="0"/>
              <w:jc w:val="both"/>
            </w:pPr>
            <w:r w:rsidRPr="0092015B">
              <w:t xml:space="preserve">Informatīvajā ziņojumā (6. </w:t>
            </w:r>
            <w:proofErr w:type="spellStart"/>
            <w:r w:rsidRPr="0092015B">
              <w:t>lpp</w:t>
            </w:r>
            <w:proofErr w:type="spellEnd"/>
            <w:r w:rsidRPr="0092015B">
              <w:t xml:space="preserve">) minēts, ka “jaunajā ietekmes novērtēšanas regulējumā tiks iekļauti tikai vispārīgi ietekmes novērtējuma principi, tai skaitā pienākums veikt novērtējumu, ietekmes novērtējuma veidi, </w:t>
            </w:r>
            <w:r w:rsidRPr="0092015B">
              <w:rPr>
                <w:u w:val="single"/>
              </w:rPr>
              <w:t>kritēriji”.</w:t>
            </w:r>
            <w:r w:rsidRPr="0092015B">
              <w:t xml:space="preserve"> Vai domāti izvērtēšanā vispārpieņemtie OECD DAC kritēriji – nozīmīgums, </w:t>
            </w:r>
            <w:proofErr w:type="spellStart"/>
            <w:r w:rsidRPr="0092015B">
              <w:t>atdeve</w:t>
            </w:r>
            <w:proofErr w:type="spellEnd"/>
            <w:r w:rsidRPr="0092015B">
              <w:t>, iznākumu efektivitāte, ietekme, ilgtspēja? Ierosinām tos ietvert.</w:t>
            </w:r>
          </w:p>
        </w:tc>
        <w:tc>
          <w:tcPr>
            <w:tcW w:w="3419" w:type="dxa"/>
            <w:tcBorders>
              <w:left w:val="single" w:sz="6" w:space="0" w:color="000000" w:themeColor="text1"/>
              <w:bottom w:val="single" w:sz="4" w:space="0" w:color="auto"/>
              <w:right w:val="single" w:sz="6" w:space="0" w:color="000000" w:themeColor="text1"/>
            </w:tcBorders>
          </w:tcPr>
          <w:p w14:paraId="72872A48" w14:textId="387BFA8F" w:rsidR="0092015B" w:rsidRPr="00712B66" w:rsidRDefault="3BC4197C" w:rsidP="00350824">
            <w:pPr>
              <w:pStyle w:val="naisc"/>
              <w:spacing w:before="0" w:after="0"/>
              <w:rPr>
                <w:b/>
                <w:bCs/>
              </w:rPr>
            </w:pPr>
            <w:r w:rsidRPr="6AB3EBF0">
              <w:rPr>
                <w:b/>
                <w:bCs/>
              </w:rPr>
              <w:t>Nav ņemts vērā</w:t>
            </w:r>
          </w:p>
          <w:p w14:paraId="37D79B9B" w14:textId="433C7ECC" w:rsidR="0092015B" w:rsidRPr="00712B66" w:rsidRDefault="089C79AA" w:rsidP="6740ADD6">
            <w:pPr>
              <w:pStyle w:val="naisc"/>
              <w:spacing w:before="0" w:after="0"/>
              <w:jc w:val="both"/>
            </w:pPr>
            <w:r>
              <w:t>OECD DAC kritēriji tiks izvērtēti darba grupas ietvaros</w:t>
            </w:r>
            <w:r w:rsidR="038CF200">
              <w:t xml:space="preserve"> kopdarba procesā</w:t>
            </w:r>
            <w:r>
              <w:t>,</w:t>
            </w:r>
            <w:r w:rsidR="323BC55C">
              <w:t xml:space="preserve"> konk</w:t>
            </w:r>
            <w:r w:rsidR="5997AB2D">
              <w:t>r</w:t>
            </w:r>
            <w:r w:rsidR="323BC55C">
              <w:t>ēto kritēriju iekļaušana</w:t>
            </w:r>
            <w:r>
              <w:t xml:space="preserve"> šajā informatīvajā ziņojumā </w:t>
            </w:r>
            <w:r w:rsidR="5B575813">
              <w:t>būtu</w:t>
            </w:r>
            <w:r>
              <w:t xml:space="preserve"> pāragra</w:t>
            </w:r>
            <w:r w:rsidR="05A52DCD">
              <w:t>, bez apspriešanas un vienošanās ar iesaistītajām pusēm.</w:t>
            </w:r>
          </w:p>
        </w:tc>
        <w:tc>
          <w:tcPr>
            <w:tcW w:w="3119" w:type="dxa"/>
            <w:tcBorders>
              <w:top w:val="single" w:sz="4" w:space="0" w:color="auto"/>
              <w:left w:val="single" w:sz="4" w:space="0" w:color="auto"/>
              <w:bottom w:val="single" w:sz="4" w:space="0" w:color="auto"/>
            </w:tcBorders>
          </w:tcPr>
          <w:p w14:paraId="37D79B9C" w14:textId="77777777" w:rsidR="0092015B" w:rsidRPr="00712B66" w:rsidRDefault="0092015B"/>
        </w:tc>
      </w:tr>
      <w:tr w:rsidR="0092015B" w:rsidRPr="00712B66" w14:paraId="37D79BA3" w14:textId="77777777" w:rsidTr="00B93E39">
        <w:tc>
          <w:tcPr>
            <w:tcW w:w="708" w:type="dxa"/>
            <w:tcBorders>
              <w:left w:val="single" w:sz="6" w:space="0" w:color="000000" w:themeColor="text1"/>
              <w:bottom w:val="single" w:sz="4" w:space="0" w:color="auto"/>
              <w:right w:val="single" w:sz="6" w:space="0" w:color="000000" w:themeColor="text1"/>
            </w:tcBorders>
          </w:tcPr>
          <w:p w14:paraId="37D79B9E" w14:textId="205CAFB1" w:rsidR="0092015B" w:rsidRPr="00712B66" w:rsidRDefault="1DC6A4DA" w:rsidP="6AB3EBF0">
            <w:pPr>
              <w:pStyle w:val="naisc"/>
              <w:spacing w:before="0" w:after="0"/>
            </w:pPr>
            <w:r>
              <w:t>8.</w:t>
            </w:r>
          </w:p>
        </w:tc>
        <w:tc>
          <w:tcPr>
            <w:tcW w:w="2261" w:type="dxa"/>
            <w:tcBorders>
              <w:left w:val="single" w:sz="6" w:space="0" w:color="000000" w:themeColor="text1"/>
              <w:bottom w:val="single" w:sz="4" w:space="0" w:color="auto"/>
              <w:right w:val="single" w:sz="6" w:space="0" w:color="000000" w:themeColor="text1"/>
            </w:tcBorders>
          </w:tcPr>
          <w:p w14:paraId="37D79B9F" w14:textId="77777777" w:rsidR="0092015B" w:rsidRPr="00712B66" w:rsidRDefault="0092015B"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A0" w14:textId="77777777" w:rsidR="0092015B" w:rsidRPr="0092015B" w:rsidRDefault="0092015B" w:rsidP="0092015B">
            <w:pPr>
              <w:pStyle w:val="naisc"/>
              <w:spacing w:before="0" w:after="0"/>
              <w:jc w:val="both"/>
            </w:pPr>
            <w:r w:rsidRPr="0092015B">
              <w:t xml:space="preserve">Lai </w:t>
            </w:r>
            <w:proofErr w:type="spellStart"/>
            <w:r w:rsidRPr="0092015B">
              <w:rPr>
                <w:color w:val="000000"/>
              </w:rPr>
              <w:t>efektivizētu</w:t>
            </w:r>
            <w:proofErr w:type="spellEnd"/>
            <w:r w:rsidRPr="0092015B">
              <w:rPr>
                <w:color w:val="000000"/>
              </w:rPr>
              <w:t xml:space="preserve"> ietekmes novērtējumu ziņojumu (anotāciju) sistēmu, būtu</w:t>
            </w:r>
            <w:r w:rsidRPr="0092015B">
              <w:rPr>
                <w:rStyle w:val="apple-converted-space"/>
                <w:color w:val="000000"/>
              </w:rPr>
              <w:t> </w:t>
            </w:r>
            <w:r w:rsidRPr="0092015B">
              <w:rPr>
                <w:color w:val="000000"/>
              </w:rPr>
              <w:t xml:space="preserve">jānodala tiesību aktu projekti, kuriem ir nepieciešama plaša analīze un situācijas izpēte (jauni plānošanas dokumenti, reformas, utt.), no tiem tiesību aktiem, kuru nepieciešamību diktē konkrēti apstākļi (piemēram, ārējā normatīvā akta izmaiņas Ministru kabineta noteikumu grozījumu kontekstā vai amatpersonu maiņa kādā institūcijā, kas rada nepieciešamību grozīt kādu normatīvo aktu). Šāda skaidri noteikta tiesību aktu anotāciju diferenciācija veicinātu arī valsts pārvaldes cilvēkresursu lietderīgu izmantošanu un mazinātu birokrātisko slogu, nemazinot sabiedrības līdzdalību. Detalizētāka </w:t>
            </w:r>
            <w:r w:rsidRPr="0092015B">
              <w:rPr>
                <w:color w:val="000000"/>
              </w:rPr>
              <w:lastRenderedPageBreak/>
              <w:t>informācija būtu nepieciešama par iniciatīvu jaunajā ietekmes novērtēšanas regulējumā paredzēt, ka</w:t>
            </w:r>
            <w:r w:rsidRPr="0092015B">
              <w:rPr>
                <w:rStyle w:val="apple-converted-space"/>
                <w:color w:val="000000"/>
              </w:rPr>
              <w:t> </w:t>
            </w:r>
            <w:r w:rsidRPr="0092015B">
              <w:rPr>
                <w:color w:val="000000"/>
              </w:rPr>
              <w:t>padziļinātus sākotnējās ietekmes un ietekmes</w:t>
            </w:r>
            <w:r w:rsidRPr="0092015B">
              <w:rPr>
                <w:rStyle w:val="apple-converted-space"/>
                <w:color w:val="000000"/>
              </w:rPr>
              <w:t> </w:t>
            </w:r>
            <w:r w:rsidRPr="0092015B">
              <w:rPr>
                <w:color w:val="212121"/>
                <w:shd w:val="clear" w:color="auto" w:fill="FFFFFF"/>
              </w:rPr>
              <w:t>pēcpārbaudes novērtējumus veiks kā ārēju uzdevumu</w:t>
            </w:r>
            <w:r w:rsidRPr="0092015B">
              <w:rPr>
                <w:rStyle w:val="apple-converted-space"/>
                <w:color w:val="212121"/>
                <w:shd w:val="clear" w:color="auto" w:fill="FFFFFF"/>
              </w:rPr>
              <w:t> </w:t>
            </w:r>
            <w:r w:rsidRPr="0092015B">
              <w:rPr>
                <w:color w:val="212121"/>
                <w:shd w:val="clear" w:color="auto" w:fill="FFFFFF"/>
              </w:rPr>
              <w:t>(publisks iepirkums), tos plānojot centralizēti (</w:t>
            </w:r>
            <w:r w:rsidRPr="0092015B">
              <w:rPr>
                <w:i/>
                <w:iCs/>
                <w:color w:val="212121"/>
                <w:shd w:val="clear" w:color="auto" w:fill="FFFFFF"/>
              </w:rPr>
              <w:t xml:space="preserve">Informatīvā ziņojuma 6. </w:t>
            </w:r>
            <w:proofErr w:type="spellStart"/>
            <w:r w:rsidRPr="0092015B">
              <w:rPr>
                <w:i/>
                <w:iCs/>
                <w:color w:val="212121"/>
                <w:shd w:val="clear" w:color="auto" w:fill="FFFFFF"/>
              </w:rPr>
              <w:t>lpp</w:t>
            </w:r>
            <w:proofErr w:type="spellEnd"/>
            <w:r w:rsidRPr="0092015B">
              <w:rPr>
                <w:color w:val="212121"/>
                <w:shd w:val="clear" w:color="auto" w:fill="FFFFFF"/>
              </w:rPr>
              <w:t>).  Šajā procesā būtu svarīgi nezaudēt valsts pārvaldes institūciju objektīvi unikālo kompetenci attiecīgajās nozarēs un, piesaistot ārpakalpojumu sniedzējus, nemazināt valsts pārvaldes darbības pamatprincipus (labas pārvaldības principi, efektīva resursu izmantošana, analītikas kvalitāte, u.c.).</w:t>
            </w:r>
          </w:p>
        </w:tc>
        <w:tc>
          <w:tcPr>
            <w:tcW w:w="3419" w:type="dxa"/>
            <w:tcBorders>
              <w:left w:val="single" w:sz="6" w:space="0" w:color="000000" w:themeColor="text1"/>
              <w:bottom w:val="single" w:sz="4" w:space="0" w:color="auto"/>
              <w:right w:val="single" w:sz="6" w:space="0" w:color="000000" w:themeColor="text1"/>
            </w:tcBorders>
          </w:tcPr>
          <w:p w14:paraId="365538CA" w14:textId="3166FE0E" w:rsidR="0092015B" w:rsidRPr="00712B66" w:rsidRDefault="1ECA303F" w:rsidP="00350824">
            <w:pPr>
              <w:pStyle w:val="naisc"/>
              <w:spacing w:before="0" w:after="0"/>
              <w:ind w:firstLine="720"/>
              <w:rPr>
                <w:b/>
                <w:bCs/>
              </w:rPr>
            </w:pPr>
            <w:r w:rsidRPr="6AB3EBF0">
              <w:rPr>
                <w:b/>
                <w:bCs/>
              </w:rPr>
              <w:lastRenderedPageBreak/>
              <w:t>Ņemts vērā</w:t>
            </w:r>
          </w:p>
          <w:p w14:paraId="3E7C24BB" w14:textId="0B2C03B8" w:rsidR="0092015B" w:rsidRPr="00712B66" w:rsidRDefault="1B558196" w:rsidP="1848A97E">
            <w:pPr>
              <w:pStyle w:val="naisc"/>
              <w:spacing w:before="0" w:after="0"/>
              <w:jc w:val="both"/>
            </w:pPr>
            <w:r>
              <w:t>Attiecībā uz sliekšņa ieviešanu par atšķirīgo sākotnējās ietekmes novērtējuma veikšanu dažāda tipa projektiem</w:t>
            </w:r>
            <w:r w:rsidR="4D42A377">
              <w:t xml:space="preserve"> – ieteikums arī no OECD, kas tiks izvērtēts darba grupā.</w:t>
            </w:r>
          </w:p>
          <w:p w14:paraId="37D79BA1" w14:textId="64E5FCF2" w:rsidR="0092015B" w:rsidRPr="00712B66" w:rsidRDefault="7EC9F0B5" w:rsidP="1848A97E">
            <w:pPr>
              <w:pStyle w:val="naisc"/>
              <w:spacing w:before="0" w:after="0"/>
              <w:jc w:val="both"/>
            </w:pPr>
            <w:r>
              <w:t>Attiecībā uz risku zaudēt objektīvi unikālo kompetenci līdz ar padziļinātās pēcpārbaudes veikšanu kā ārējo novērtējumu uzskatam, k</w:t>
            </w:r>
            <w:r w:rsidR="1BBCDBBD">
              <w:t>a šāds risks nepastāv, jo pati par sevi ietekmes novērtējuma veikšana nav unikāla prasme, turklāt v</w:t>
            </w:r>
            <w:r w:rsidR="1ECA303F">
              <w:t>alsts pārvalde</w:t>
            </w:r>
            <w:r w:rsidR="7310C787">
              <w:t xml:space="preserve">s pieņemtajam </w:t>
            </w:r>
            <w:r w:rsidR="7310C787">
              <w:lastRenderedPageBreak/>
              <w:t>regulējuma</w:t>
            </w:r>
            <w:r w:rsidR="5CB35858">
              <w:t>m</w:t>
            </w:r>
            <w:r w:rsidR="1ECA303F">
              <w:t xml:space="preserve"> </w:t>
            </w:r>
            <w:r w:rsidR="3E69FEAA">
              <w:t>ir</w:t>
            </w:r>
            <w:r w:rsidR="1ECA303F">
              <w:t xml:space="preserve"> nepieciešams </w:t>
            </w:r>
            <w:r w:rsidR="72783407">
              <w:t>neatkarīgais</w:t>
            </w:r>
            <w:r w:rsidR="6651BE25">
              <w:t xml:space="preserve"> </w:t>
            </w:r>
            <w:r w:rsidR="1ECA303F">
              <w:t>novērtējums</w:t>
            </w:r>
            <w:r w:rsidR="3182548D">
              <w:t>.</w:t>
            </w:r>
            <w:r w:rsidR="59A4F822">
              <w:t xml:space="preserve"> </w:t>
            </w:r>
            <w:r w:rsidR="7D87E01C">
              <w:t>Situācija, kad v</w:t>
            </w:r>
            <w:r w:rsidR="59A4F822">
              <w:t>ieni un tie paši valsts pārvaldes eksperti izstrādā politiku, īsteno politiku un novērtē tās ietekmi</w:t>
            </w:r>
            <w:r w:rsidR="2DA8A63B">
              <w:t xml:space="preserve">, rada </w:t>
            </w:r>
            <w:r w:rsidR="7ADFE399">
              <w:t xml:space="preserve">objektivitātes un līdz ar to arī </w:t>
            </w:r>
            <w:r w:rsidR="2DA8A63B">
              <w:t>regulējuma kvalitātes pazemināšanās risku.</w:t>
            </w:r>
          </w:p>
        </w:tc>
        <w:tc>
          <w:tcPr>
            <w:tcW w:w="3119" w:type="dxa"/>
            <w:tcBorders>
              <w:top w:val="single" w:sz="4" w:space="0" w:color="auto"/>
              <w:left w:val="single" w:sz="4" w:space="0" w:color="auto"/>
              <w:bottom w:val="single" w:sz="4" w:space="0" w:color="auto"/>
            </w:tcBorders>
          </w:tcPr>
          <w:p w14:paraId="37D79BA2" w14:textId="77777777" w:rsidR="0092015B" w:rsidRPr="00712B66" w:rsidRDefault="0092015B"/>
        </w:tc>
      </w:tr>
      <w:tr w:rsidR="0092015B" w:rsidRPr="00712B66" w14:paraId="37D79BA9" w14:textId="77777777" w:rsidTr="00B93E39">
        <w:trPr>
          <w:trHeight w:val="6630"/>
        </w:trPr>
        <w:tc>
          <w:tcPr>
            <w:tcW w:w="708" w:type="dxa"/>
            <w:tcBorders>
              <w:left w:val="single" w:sz="6" w:space="0" w:color="000000" w:themeColor="text1"/>
              <w:bottom w:val="single" w:sz="4" w:space="0" w:color="auto"/>
              <w:right w:val="single" w:sz="6" w:space="0" w:color="000000" w:themeColor="text1"/>
            </w:tcBorders>
          </w:tcPr>
          <w:p w14:paraId="37D79BA4" w14:textId="3EA6F9B3" w:rsidR="0092015B" w:rsidRPr="00712B66" w:rsidRDefault="1270A500" w:rsidP="6AB3EBF0">
            <w:pPr>
              <w:pStyle w:val="naisc"/>
              <w:spacing w:before="0" w:after="0"/>
            </w:pPr>
            <w:r>
              <w:lastRenderedPageBreak/>
              <w:t>9.</w:t>
            </w:r>
          </w:p>
        </w:tc>
        <w:tc>
          <w:tcPr>
            <w:tcW w:w="2261" w:type="dxa"/>
            <w:tcBorders>
              <w:left w:val="single" w:sz="6" w:space="0" w:color="000000" w:themeColor="text1"/>
              <w:bottom w:val="single" w:sz="4" w:space="0" w:color="auto"/>
              <w:right w:val="single" w:sz="6" w:space="0" w:color="000000" w:themeColor="text1"/>
            </w:tcBorders>
          </w:tcPr>
          <w:p w14:paraId="37D79BA5" w14:textId="77777777" w:rsidR="0092015B" w:rsidRPr="00712B66" w:rsidRDefault="0092015B"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A6" w14:textId="77777777" w:rsidR="0092015B" w:rsidRPr="0092015B" w:rsidRDefault="0092015B" w:rsidP="00E044A0">
            <w:pPr>
              <w:jc w:val="both"/>
            </w:pPr>
            <w:r w:rsidRPr="0092015B">
              <w:t xml:space="preserve">Informatīvajā ziņojumā ierosinām ietvert punktu par novērtēšanas metodiku un gala ziņojuma struktūru, uzdodot Valsts kancelejai izstrādāt metodiskos norādījumus efektīva ietekmes izvērtēšanas procesa veikšanai un gala ziņojuma izveidošanai. Jāakcentē nepieciešamība sākotnējās novērtēšanas posmā skaidri formulēt tiesisko aktu mērķus, sasniedzamos rezultātus, to rādītājus un rādītāju mērķa vērtības, ko vēlāk pielieto ietekmes pēcpārbaudes </w:t>
            </w:r>
            <w:proofErr w:type="spellStart"/>
            <w:r w:rsidRPr="0092015B">
              <w:t>izvērtējumā</w:t>
            </w:r>
            <w:proofErr w:type="spellEnd"/>
            <w:r w:rsidRPr="0092015B">
              <w:t xml:space="preserve">. Lai iegūtu pēc iespējas pārliecinošākus pierādījumus, vēlams izmantot jauktās pētniecības metodes, iegūt datus no vairākiem avotiem un veikt to salīdzinošo analīzi. </w:t>
            </w:r>
            <w:proofErr w:type="spellStart"/>
            <w:r w:rsidRPr="0092015B">
              <w:t>Izvērtējuma</w:t>
            </w:r>
            <w:proofErr w:type="spellEnd"/>
            <w:r w:rsidRPr="0092015B">
              <w:t xml:space="preserve"> ziņojumā jāsniedz atbildes uz visiem sākotnēji uzstādītajiem galvenajiem izvērtēšanas jautājumiem, strukturējot ziņojumu tā, lai būtu detalizēts pielietoto instrumentu un analītisko metožu apraksts, kam seko rezultātu izklāsts un to analīze, kas ļauj nonākt pie gala secinājumiem. Ziņojuma noslēgumā jānorāda pētījuma stiprās un vājās puses, gūtā pieredze, kā arī priekšlikumi metodikas uzlabojumiem.</w:t>
            </w:r>
          </w:p>
        </w:tc>
        <w:tc>
          <w:tcPr>
            <w:tcW w:w="3419" w:type="dxa"/>
            <w:tcBorders>
              <w:left w:val="single" w:sz="6" w:space="0" w:color="000000" w:themeColor="text1"/>
              <w:bottom w:val="single" w:sz="4" w:space="0" w:color="auto"/>
              <w:right w:val="single" w:sz="6" w:space="0" w:color="000000" w:themeColor="text1"/>
            </w:tcBorders>
          </w:tcPr>
          <w:p w14:paraId="558DF079" w14:textId="582044B6" w:rsidR="0092015B" w:rsidRPr="00712B66" w:rsidRDefault="0B0D3648" w:rsidP="6AB3EBF0">
            <w:pPr>
              <w:pStyle w:val="naisc"/>
              <w:spacing w:before="0" w:after="0"/>
              <w:ind w:firstLine="720"/>
              <w:jc w:val="both"/>
              <w:rPr>
                <w:b/>
                <w:bCs/>
              </w:rPr>
            </w:pPr>
            <w:r w:rsidRPr="6AB3EBF0">
              <w:rPr>
                <w:b/>
                <w:bCs/>
              </w:rPr>
              <w:t>Ņemts vērā</w:t>
            </w:r>
          </w:p>
          <w:p w14:paraId="37D373A7" w14:textId="1CDBF5A7" w:rsidR="0092015B" w:rsidRPr="00712B66" w:rsidRDefault="0DC8EA76" w:rsidP="1848A97E">
            <w:pPr>
              <w:pStyle w:val="naisc"/>
              <w:spacing w:before="0" w:after="0"/>
              <w:jc w:val="both"/>
              <w:rPr>
                <w:color w:val="000000" w:themeColor="text1"/>
              </w:rPr>
            </w:pPr>
            <w:r w:rsidRPr="1848A97E">
              <w:rPr>
                <w:color w:val="000000" w:themeColor="text1"/>
              </w:rPr>
              <w:t>Efektīvā metodiskā atbalsta (veida un apjoma</w:t>
            </w:r>
            <w:r w:rsidR="64FFC4F3" w:rsidRPr="1848A97E">
              <w:rPr>
                <w:color w:val="000000" w:themeColor="text1"/>
              </w:rPr>
              <w:t>)</w:t>
            </w:r>
            <w:r w:rsidRPr="1848A97E">
              <w:rPr>
                <w:color w:val="000000" w:themeColor="text1"/>
              </w:rPr>
              <w:t xml:space="preserve"> izstrāde tiek paredzēta kā viens no darba gru</w:t>
            </w:r>
            <w:r w:rsidR="1ACDB366" w:rsidRPr="1848A97E">
              <w:rPr>
                <w:color w:val="000000" w:themeColor="text1"/>
              </w:rPr>
              <w:t xml:space="preserve">pas uzdevumiem. </w:t>
            </w:r>
          </w:p>
          <w:p w14:paraId="37D79BA7" w14:textId="606D333B" w:rsidR="0092015B" w:rsidRPr="00712B66" w:rsidRDefault="4BBDCF19" w:rsidP="6AB3EBF0">
            <w:pPr>
              <w:pStyle w:val="naisc"/>
              <w:spacing w:before="0" w:after="0"/>
              <w:jc w:val="both"/>
              <w:rPr>
                <w:color w:val="000000" w:themeColor="text1"/>
              </w:rPr>
            </w:pPr>
            <w:r w:rsidRPr="6AB3EBF0">
              <w:rPr>
                <w:color w:val="000000" w:themeColor="text1"/>
              </w:rPr>
              <w:t xml:space="preserve">Priekšlikumā paustie ierosinājumi </w:t>
            </w:r>
            <w:r w:rsidR="4ACF6793" w:rsidRPr="6AB3EBF0">
              <w:rPr>
                <w:color w:val="000000" w:themeColor="text1"/>
              </w:rPr>
              <w:t>jau ir iekļauti pašlaik</w:t>
            </w:r>
            <w:r w:rsidRPr="6AB3EBF0">
              <w:rPr>
                <w:color w:val="000000" w:themeColor="text1"/>
              </w:rPr>
              <w:t xml:space="preserve"> spēkā esoš</w:t>
            </w:r>
            <w:r w:rsidR="28D4C4DD" w:rsidRPr="6AB3EBF0">
              <w:rPr>
                <w:color w:val="000000" w:themeColor="text1"/>
              </w:rPr>
              <w:t>ajā</w:t>
            </w:r>
            <w:r w:rsidRPr="6AB3EBF0">
              <w:rPr>
                <w:color w:val="000000" w:themeColor="text1"/>
              </w:rPr>
              <w:t xml:space="preserve"> sākotnējās ietekmes novērtējuma regulējumā un kopumā nav apstrīdam</w:t>
            </w:r>
            <w:r w:rsidR="23EFDD7E" w:rsidRPr="6AB3EBF0">
              <w:rPr>
                <w:color w:val="000000" w:themeColor="text1"/>
              </w:rPr>
              <w:t xml:space="preserve">i, lielākais akcents pašlaik jāliek uz prakses kvalitātes uzlabošanu. </w:t>
            </w:r>
          </w:p>
        </w:tc>
        <w:tc>
          <w:tcPr>
            <w:tcW w:w="3119" w:type="dxa"/>
            <w:tcBorders>
              <w:top w:val="single" w:sz="4" w:space="0" w:color="auto"/>
              <w:left w:val="single" w:sz="4" w:space="0" w:color="auto"/>
              <w:bottom w:val="single" w:sz="4" w:space="0" w:color="auto"/>
            </w:tcBorders>
          </w:tcPr>
          <w:p w14:paraId="37D79BA8" w14:textId="77777777" w:rsidR="0092015B" w:rsidRPr="00712B66" w:rsidRDefault="0092015B"/>
        </w:tc>
      </w:tr>
      <w:tr w:rsidR="0092015B" w:rsidRPr="00712B66" w14:paraId="37D79BB2" w14:textId="77777777" w:rsidTr="00B93E39">
        <w:tc>
          <w:tcPr>
            <w:tcW w:w="708" w:type="dxa"/>
            <w:tcBorders>
              <w:left w:val="single" w:sz="6" w:space="0" w:color="000000" w:themeColor="text1"/>
              <w:bottom w:val="single" w:sz="4" w:space="0" w:color="auto"/>
              <w:right w:val="single" w:sz="6" w:space="0" w:color="000000" w:themeColor="text1"/>
            </w:tcBorders>
          </w:tcPr>
          <w:p w14:paraId="37D79BAA" w14:textId="735CEF7F" w:rsidR="0092015B" w:rsidRPr="00712B66" w:rsidRDefault="6A7D8A5C" w:rsidP="6AB3EBF0">
            <w:pPr>
              <w:pStyle w:val="naisc"/>
              <w:spacing w:before="0" w:after="0"/>
            </w:pPr>
            <w:r>
              <w:t>10.</w:t>
            </w:r>
          </w:p>
        </w:tc>
        <w:tc>
          <w:tcPr>
            <w:tcW w:w="2261" w:type="dxa"/>
            <w:tcBorders>
              <w:left w:val="single" w:sz="6" w:space="0" w:color="000000" w:themeColor="text1"/>
              <w:bottom w:val="single" w:sz="4" w:space="0" w:color="auto"/>
              <w:right w:val="single" w:sz="6" w:space="0" w:color="000000" w:themeColor="text1"/>
            </w:tcBorders>
          </w:tcPr>
          <w:p w14:paraId="37D79BAB" w14:textId="77777777" w:rsidR="0092015B" w:rsidRPr="00712B66" w:rsidRDefault="0092015B"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AC" w14:textId="77777777" w:rsidR="0092015B" w:rsidRPr="0092015B" w:rsidRDefault="0092015B" w:rsidP="0092015B">
            <w:pPr>
              <w:jc w:val="both"/>
              <w:rPr>
                <w:lang w:eastAsia="en-GB"/>
              </w:rPr>
            </w:pPr>
            <w:r w:rsidRPr="0092015B">
              <w:rPr>
                <w:lang w:eastAsia="en-GB"/>
              </w:rPr>
              <w:t>Ministru kabineta 2016. gada 31. augusta rīkojuma Nr.495 „Par konceptuālo ziņojumu „Ietekmes pēcpārbaudes ieviešana”” 7. punktā dots uzdevums Valsts kancelejai līdz 2018. gada 31. decembrim izstrādāt vienotu metodoloģiju – vadlīnijas ietekmes pēcpārbaudes veikšanai.</w:t>
            </w:r>
          </w:p>
          <w:p w14:paraId="37D79BAD" w14:textId="77777777" w:rsidR="0092015B" w:rsidRPr="0092015B" w:rsidRDefault="0092015B" w:rsidP="0092015B">
            <w:pPr>
              <w:jc w:val="both"/>
              <w:rPr>
                <w:lang w:eastAsia="en-GB"/>
              </w:rPr>
            </w:pPr>
            <w:r w:rsidRPr="0092015B">
              <w:rPr>
                <w:lang w:eastAsia="en-GB"/>
              </w:rPr>
              <w:lastRenderedPageBreak/>
              <w:t>Ziņojumā nav informācijas par iepriekš minētā uzdevuma izpildes rezultātiem, proti, izstrādātajām vadlīnijām ietekmes pēcpārbaudes veikšanai. Ziņojumā ir norādīti konstatētie tiesību aktu ietekmes novērtējuma sistēmas trūkumi, nepieciešamība atteikties īstenot tiesību aktu pēcpārbaudi kā iekšējo novērtējumu, kā arī norādīti  risinājumu virzieni un principi tiesību aktu ietekmes novērtējuma sistēmai. </w:t>
            </w:r>
          </w:p>
          <w:p w14:paraId="37D79BAE" w14:textId="77777777" w:rsidR="0092015B" w:rsidRPr="0092015B" w:rsidRDefault="0092015B" w:rsidP="0092015B">
            <w:pPr>
              <w:jc w:val="both"/>
              <w:rPr>
                <w:lang w:eastAsia="en-GB"/>
              </w:rPr>
            </w:pPr>
            <w:r w:rsidRPr="0092015B">
              <w:rPr>
                <w:lang w:eastAsia="en-GB"/>
              </w:rPr>
              <w:t>Vēršam uzmanību, ka ziņojuma 2. sadaļā „Risinājumu virzieni un turpmākā rīcība” norādīts, ka tiks pārskatīta esošā ietekmes novērtējuma sistēma, lai veicinātu tās efektivitāti, samērību un pārskatāmību.</w:t>
            </w:r>
          </w:p>
          <w:p w14:paraId="37D79BAF" w14:textId="77777777" w:rsidR="0092015B" w:rsidRPr="0092015B" w:rsidRDefault="0092015B" w:rsidP="0092015B">
            <w:pPr>
              <w:jc w:val="both"/>
              <w:rPr>
                <w:lang w:eastAsia="en-GB"/>
              </w:rPr>
            </w:pPr>
            <w:r w:rsidRPr="0092015B">
              <w:rPr>
                <w:lang w:eastAsia="en-GB"/>
              </w:rPr>
              <w:t>Ievērojot minēto, izsakām priekšlikumu papildināt ziņojumu ar informāciju par  jau paveikto esošās ietekmes novērtējuma sistēmas pārskatīšanā un jaunas ietekmes novērtējuma sistēmas kārtības projekta izstrādāšanā, lai nerastos šaubas par </w:t>
            </w:r>
            <w:proofErr w:type="spellStart"/>
            <w:r w:rsidRPr="0092015B">
              <w:rPr>
                <w:lang w:eastAsia="en-GB"/>
              </w:rPr>
              <w:t>protokollēmuma</w:t>
            </w:r>
            <w:proofErr w:type="spellEnd"/>
            <w:r w:rsidRPr="0092015B">
              <w:rPr>
                <w:lang w:eastAsia="en-GB"/>
              </w:rPr>
              <w:t xml:space="preserve"> 2. punktā noteiktā termiņa pamatotību - Valsts kanceleja izstrādās jaunu ietekmes novērtējuma kārtību un līdz 2021. gada 30. martam iesniegs Ministru kabinetā jaunu ietekmes novērtējuma kārtību.</w:t>
            </w:r>
          </w:p>
        </w:tc>
        <w:tc>
          <w:tcPr>
            <w:tcW w:w="3419" w:type="dxa"/>
            <w:tcBorders>
              <w:left w:val="single" w:sz="6" w:space="0" w:color="000000" w:themeColor="text1"/>
              <w:bottom w:val="single" w:sz="4" w:space="0" w:color="auto"/>
              <w:right w:val="single" w:sz="6" w:space="0" w:color="000000" w:themeColor="text1"/>
            </w:tcBorders>
          </w:tcPr>
          <w:p w14:paraId="2C7E27C4" w14:textId="50B577BE" w:rsidR="0092015B" w:rsidRPr="00712B66" w:rsidRDefault="5CEFBC2D" w:rsidP="1848A97E">
            <w:pPr>
              <w:pStyle w:val="naisc"/>
              <w:spacing w:before="0" w:after="0"/>
              <w:ind w:firstLine="720"/>
              <w:jc w:val="both"/>
            </w:pPr>
            <w:r w:rsidRPr="6AB3EBF0">
              <w:rPr>
                <w:b/>
                <w:bCs/>
              </w:rPr>
              <w:lastRenderedPageBreak/>
              <w:t>Ņemts vērā</w:t>
            </w:r>
          </w:p>
          <w:p w14:paraId="4261497E" w14:textId="28B0CD42" w:rsidR="0092015B" w:rsidRPr="00712B66" w:rsidRDefault="39ADC55C" w:rsidP="1848A97E">
            <w:pPr>
              <w:pStyle w:val="naisc"/>
              <w:spacing w:before="0" w:after="0"/>
              <w:jc w:val="both"/>
            </w:pPr>
            <w:r>
              <w:t xml:space="preserve">Attiecībā uz termiņiem - </w:t>
            </w:r>
            <w:r w:rsidR="4C065EFD">
              <w:t xml:space="preserve">Lai veiktu kvalitatīvu ietekmes novērtējuma sistēmas apspriedi un izmaiņas tajā, vienlaikus </w:t>
            </w:r>
            <w:r w:rsidR="37A1CC3C">
              <w:t xml:space="preserve">nebremzējot TAP portāla palaišanu anotāciju instrukcijas </w:t>
            </w:r>
            <w:r w:rsidR="37A1CC3C">
              <w:lastRenderedPageBreak/>
              <w:t xml:space="preserve">dēļ, tiek paredzēts, ka tuvākajā laikā tiks veikti grozījumi instrukcijā Nr.19, savukārt grozījumi saistībā ar </w:t>
            </w:r>
            <w:proofErr w:type="spellStart"/>
            <w:r w:rsidR="37A1CC3C">
              <w:t>ex</w:t>
            </w:r>
            <w:proofErr w:type="spellEnd"/>
            <w:r w:rsidR="37A1CC3C">
              <w:t>-post ieviešanu un pārējiem ja</w:t>
            </w:r>
            <w:r w:rsidR="7646B16D">
              <w:t>utājumiem tiks apspriesti bez steigas, iesaistot visas ieinteresētās puses.</w:t>
            </w:r>
          </w:p>
          <w:p w14:paraId="37D79BB0" w14:textId="0D0DFE94" w:rsidR="0092015B" w:rsidRPr="00712B66" w:rsidRDefault="615669C1" w:rsidP="1848A97E">
            <w:pPr>
              <w:pStyle w:val="naisc"/>
              <w:spacing w:before="0" w:after="0"/>
              <w:jc w:val="both"/>
            </w:pPr>
            <w:r>
              <w:t>Attiecībā uz metodoloģiju - sk. Iepriekšējo komentāru.</w:t>
            </w:r>
          </w:p>
        </w:tc>
        <w:tc>
          <w:tcPr>
            <w:tcW w:w="3119" w:type="dxa"/>
            <w:tcBorders>
              <w:top w:val="single" w:sz="4" w:space="0" w:color="auto"/>
              <w:left w:val="single" w:sz="4" w:space="0" w:color="auto"/>
              <w:bottom w:val="single" w:sz="4" w:space="0" w:color="auto"/>
            </w:tcBorders>
          </w:tcPr>
          <w:p w14:paraId="37D79BB1" w14:textId="007E83A9" w:rsidR="0092015B" w:rsidRPr="00712B66" w:rsidRDefault="18A2F21F">
            <w:r>
              <w:lastRenderedPageBreak/>
              <w:t>Informa</w:t>
            </w:r>
            <w:r w:rsidR="5D6616DB">
              <w:t>tīvais ziņojums papildināts.</w:t>
            </w:r>
          </w:p>
        </w:tc>
      </w:tr>
      <w:tr w:rsidR="0092015B" w:rsidRPr="00712B66" w14:paraId="37D79BB8" w14:textId="77777777" w:rsidTr="00B93E39">
        <w:tc>
          <w:tcPr>
            <w:tcW w:w="708" w:type="dxa"/>
            <w:tcBorders>
              <w:left w:val="single" w:sz="6" w:space="0" w:color="000000" w:themeColor="text1"/>
              <w:bottom w:val="single" w:sz="4" w:space="0" w:color="auto"/>
              <w:right w:val="single" w:sz="6" w:space="0" w:color="000000" w:themeColor="text1"/>
            </w:tcBorders>
          </w:tcPr>
          <w:p w14:paraId="37D79BB3" w14:textId="22462ACA" w:rsidR="0092015B" w:rsidRPr="00712B66" w:rsidRDefault="31BFC4DA" w:rsidP="6AB3EBF0">
            <w:pPr>
              <w:pStyle w:val="naisc"/>
              <w:spacing w:before="0" w:after="0"/>
            </w:pPr>
            <w:r>
              <w:t>11.</w:t>
            </w:r>
          </w:p>
        </w:tc>
        <w:tc>
          <w:tcPr>
            <w:tcW w:w="2261" w:type="dxa"/>
            <w:tcBorders>
              <w:left w:val="single" w:sz="6" w:space="0" w:color="000000" w:themeColor="text1"/>
              <w:bottom w:val="single" w:sz="4" w:space="0" w:color="auto"/>
              <w:right w:val="single" w:sz="6" w:space="0" w:color="000000" w:themeColor="text1"/>
            </w:tcBorders>
          </w:tcPr>
          <w:p w14:paraId="37D79BB4" w14:textId="77777777" w:rsidR="0092015B" w:rsidRPr="00712B66" w:rsidRDefault="0092015B"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B5" w14:textId="77777777" w:rsidR="0092015B" w:rsidRPr="0092015B" w:rsidRDefault="0092015B" w:rsidP="0092015B">
            <w:pPr>
              <w:jc w:val="both"/>
              <w:rPr>
                <w:lang w:eastAsia="en-GB"/>
              </w:rPr>
            </w:pPr>
            <w:r w:rsidRPr="0092015B">
              <w:rPr>
                <w:lang w:eastAsia="en-GB"/>
              </w:rPr>
              <w:t xml:space="preserve">Informatīvā ziņojuma pielikumā (8. un 11. </w:t>
            </w:r>
            <w:proofErr w:type="spellStart"/>
            <w:r w:rsidRPr="0092015B">
              <w:rPr>
                <w:lang w:eastAsia="en-GB"/>
              </w:rPr>
              <w:t>lpp</w:t>
            </w:r>
            <w:proofErr w:type="spellEnd"/>
            <w:r w:rsidRPr="0092015B">
              <w:rPr>
                <w:lang w:eastAsia="en-GB"/>
              </w:rPr>
              <w:t>) lūdzam precizēt terminu “brīvprātīgais darbs bērniem un jauniešiem”, norādot, kāpēc tas tiek definēts kā šķērslis.</w:t>
            </w:r>
          </w:p>
        </w:tc>
        <w:tc>
          <w:tcPr>
            <w:tcW w:w="3419" w:type="dxa"/>
            <w:tcBorders>
              <w:left w:val="single" w:sz="6" w:space="0" w:color="000000" w:themeColor="text1"/>
              <w:bottom w:val="single" w:sz="4" w:space="0" w:color="auto"/>
              <w:right w:val="single" w:sz="6" w:space="0" w:color="000000" w:themeColor="text1"/>
            </w:tcBorders>
          </w:tcPr>
          <w:p w14:paraId="0F352338" w14:textId="1341563B" w:rsidR="0092015B" w:rsidRPr="00712B66" w:rsidRDefault="7B71BD21" w:rsidP="6AB3EBF0">
            <w:pPr>
              <w:pStyle w:val="naisc"/>
              <w:spacing w:before="0" w:after="0"/>
              <w:rPr>
                <w:b/>
                <w:bCs/>
              </w:rPr>
            </w:pPr>
            <w:r w:rsidRPr="6AB3EBF0">
              <w:rPr>
                <w:b/>
                <w:bCs/>
              </w:rPr>
              <w:t>Nav ņemts vērā</w:t>
            </w:r>
          </w:p>
          <w:p w14:paraId="37D79BB6" w14:textId="76905224" w:rsidR="0092015B" w:rsidRPr="00712B66" w:rsidRDefault="05463E91" w:rsidP="6AB3EBF0">
            <w:pPr>
              <w:pStyle w:val="naisc"/>
              <w:spacing w:before="0" w:after="0"/>
              <w:jc w:val="both"/>
            </w:pPr>
            <w:r>
              <w:t>Tas nav termins, bet respondenta atbilde uz jautājumu, kas tika sniegta aptaujas ietvaros</w:t>
            </w:r>
            <w:r w:rsidR="17FE2D0C">
              <w:t>,</w:t>
            </w:r>
            <w:r w:rsidR="526D5241">
              <w:t xml:space="preserve"> </w:t>
            </w:r>
            <w:r w:rsidR="17FE2D0C">
              <w:t>tāpēc tiek lie</w:t>
            </w:r>
            <w:r w:rsidR="6D647257">
              <w:t>tots pēdiņās</w:t>
            </w:r>
            <w:r>
              <w:t>.</w:t>
            </w:r>
            <w:r w:rsidR="67107ACB">
              <w:t xml:space="preserve"> Tas ir respondenta subjektīvs viedoklis. </w:t>
            </w:r>
          </w:p>
        </w:tc>
        <w:tc>
          <w:tcPr>
            <w:tcW w:w="3119" w:type="dxa"/>
            <w:tcBorders>
              <w:top w:val="single" w:sz="4" w:space="0" w:color="auto"/>
              <w:left w:val="single" w:sz="4" w:space="0" w:color="auto"/>
              <w:bottom w:val="single" w:sz="4" w:space="0" w:color="auto"/>
            </w:tcBorders>
          </w:tcPr>
          <w:p w14:paraId="37D79BB7" w14:textId="0D87AE3A" w:rsidR="0092015B" w:rsidRPr="00712B66" w:rsidRDefault="0092015B" w:rsidP="6AB3EBF0"/>
        </w:tc>
      </w:tr>
      <w:tr w:rsidR="0092015B" w:rsidRPr="00E044A0" w14:paraId="37D79BBF" w14:textId="77777777" w:rsidTr="00B93E39">
        <w:tc>
          <w:tcPr>
            <w:tcW w:w="708" w:type="dxa"/>
            <w:tcBorders>
              <w:left w:val="single" w:sz="6" w:space="0" w:color="000000" w:themeColor="text1"/>
              <w:bottom w:val="single" w:sz="4" w:space="0" w:color="auto"/>
              <w:right w:val="single" w:sz="6" w:space="0" w:color="000000" w:themeColor="text1"/>
            </w:tcBorders>
          </w:tcPr>
          <w:p w14:paraId="37D79BB9" w14:textId="5F72C9B0" w:rsidR="0092015B" w:rsidRPr="00712B66" w:rsidRDefault="2FE7534F" w:rsidP="6AB3EBF0">
            <w:pPr>
              <w:pStyle w:val="naisc"/>
              <w:spacing w:before="0" w:after="0"/>
            </w:pPr>
            <w:r>
              <w:lastRenderedPageBreak/>
              <w:t>12.</w:t>
            </w:r>
          </w:p>
        </w:tc>
        <w:tc>
          <w:tcPr>
            <w:tcW w:w="2261" w:type="dxa"/>
            <w:tcBorders>
              <w:left w:val="single" w:sz="6" w:space="0" w:color="000000" w:themeColor="text1"/>
              <w:bottom w:val="single" w:sz="4" w:space="0" w:color="auto"/>
              <w:right w:val="single" w:sz="6" w:space="0" w:color="000000" w:themeColor="text1"/>
            </w:tcBorders>
          </w:tcPr>
          <w:p w14:paraId="37D79BBA" w14:textId="77777777" w:rsidR="0092015B" w:rsidRPr="00712B66" w:rsidRDefault="0092015B"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BB" w14:textId="77777777" w:rsidR="0092015B" w:rsidRPr="00E044A0" w:rsidRDefault="00E044A0" w:rsidP="0092015B">
            <w:pPr>
              <w:jc w:val="both"/>
              <w:rPr>
                <w:b/>
              </w:rPr>
            </w:pPr>
            <w:r w:rsidRPr="00E044A0">
              <w:rPr>
                <w:b/>
              </w:rPr>
              <w:t xml:space="preserve">Labklājības ministrija: </w:t>
            </w:r>
          </w:p>
          <w:p w14:paraId="37D79BBC" w14:textId="77777777" w:rsidR="00E044A0" w:rsidRPr="00E044A0" w:rsidRDefault="00E044A0" w:rsidP="00E044A0">
            <w:pPr>
              <w:spacing w:before="60"/>
              <w:jc w:val="both"/>
            </w:pPr>
            <w:r w:rsidRPr="00E044A0">
              <w:t>Ņemot vērā, ka Informatīvais ziņojums pēc tā apstiprināšanas Ministru kabinetā būs publiski pieejams ikvienam interesentam, aicinām iekļaut tajā visu abreviatūru un apzīmējumu atšifrējumu, izveidojot atsevišķu sadaļu vai attiecīgi ietverot to tekstā (piemēram, Informatīvā ziņojuma 1. lpp. minēts apzīmējums OECD bez atšifrējuma, arī Informatīvā ziņojuma</w:t>
            </w:r>
            <w:r w:rsidRPr="00E044A0">
              <w:rPr>
                <w:iCs/>
              </w:rPr>
              <w:t xml:space="preserve"> pielikuma 6.</w:t>
            </w:r>
            <w:r w:rsidRPr="00E044A0">
              <w:t> </w:t>
            </w:r>
            <w:r w:rsidRPr="00E044A0">
              <w:rPr>
                <w:iCs/>
              </w:rPr>
              <w:t xml:space="preserve">lpp. </w:t>
            </w:r>
            <w:r w:rsidRPr="00E044A0">
              <w:t>minēts CIVIS projekts, kuram nepieciešams sniegt pilnu projekta nosaukumu).</w:t>
            </w:r>
          </w:p>
        </w:tc>
        <w:tc>
          <w:tcPr>
            <w:tcW w:w="3419" w:type="dxa"/>
            <w:tcBorders>
              <w:left w:val="single" w:sz="6" w:space="0" w:color="000000" w:themeColor="text1"/>
              <w:bottom w:val="single" w:sz="4" w:space="0" w:color="auto"/>
              <w:right w:val="single" w:sz="6" w:space="0" w:color="000000" w:themeColor="text1"/>
            </w:tcBorders>
          </w:tcPr>
          <w:p w14:paraId="0FB01A10" w14:textId="31547B2A" w:rsidR="0092015B" w:rsidRPr="00E044A0" w:rsidRDefault="42DE74E5" w:rsidP="6AB3EBF0">
            <w:pPr>
              <w:pStyle w:val="naisc"/>
              <w:spacing w:before="0" w:after="0"/>
              <w:rPr>
                <w:b/>
                <w:bCs/>
              </w:rPr>
            </w:pPr>
            <w:r w:rsidRPr="6AB3EBF0">
              <w:rPr>
                <w:b/>
                <w:bCs/>
              </w:rPr>
              <w:t>Ņemts vērā</w:t>
            </w:r>
          </w:p>
          <w:p w14:paraId="37D79BBD" w14:textId="2F4B3403" w:rsidR="0092015B" w:rsidRPr="00E044A0" w:rsidRDefault="0092015B" w:rsidP="1848A97E">
            <w:pPr>
              <w:pStyle w:val="naisc"/>
              <w:spacing w:before="0" w:after="0"/>
            </w:pPr>
          </w:p>
        </w:tc>
        <w:tc>
          <w:tcPr>
            <w:tcW w:w="3119" w:type="dxa"/>
            <w:tcBorders>
              <w:top w:val="single" w:sz="4" w:space="0" w:color="auto"/>
              <w:left w:val="single" w:sz="4" w:space="0" w:color="auto"/>
              <w:bottom w:val="single" w:sz="4" w:space="0" w:color="auto"/>
            </w:tcBorders>
          </w:tcPr>
          <w:p w14:paraId="37D79BBE" w14:textId="76844E1B" w:rsidR="0092015B" w:rsidRPr="00E044A0" w:rsidRDefault="25E592DE">
            <w:r>
              <w:t>Informatīvais ziņojums p</w:t>
            </w:r>
            <w:r w:rsidR="42DE74E5">
              <w:t>recizēts.</w:t>
            </w:r>
          </w:p>
        </w:tc>
      </w:tr>
      <w:tr w:rsidR="00E044A0" w:rsidRPr="00E044A0" w14:paraId="37D79BC5" w14:textId="77777777" w:rsidTr="00B93E39">
        <w:tc>
          <w:tcPr>
            <w:tcW w:w="708" w:type="dxa"/>
            <w:tcBorders>
              <w:left w:val="single" w:sz="6" w:space="0" w:color="000000" w:themeColor="text1"/>
              <w:bottom w:val="single" w:sz="4" w:space="0" w:color="auto"/>
              <w:right w:val="single" w:sz="6" w:space="0" w:color="000000" w:themeColor="text1"/>
            </w:tcBorders>
          </w:tcPr>
          <w:p w14:paraId="37D79BC0" w14:textId="2782A54D" w:rsidR="00E044A0" w:rsidRPr="00712B66" w:rsidRDefault="13BA33F6" w:rsidP="6AB3EBF0">
            <w:pPr>
              <w:pStyle w:val="naisc"/>
              <w:spacing w:before="0" w:after="0"/>
            </w:pPr>
            <w:r>
              <w:t>13.</w:t>
            </w:r>
          </w:p>
        </w:tc>
        <w:tc>
          <w:tcPr>
            <w:tcW w:w="2261" w:type="dxa"/>
            <w:tcBorders>
              <w:left w:val="single" w:sz="6" w:space="0" w:color="000000" w:themeColor="text1"/>
              <w:bottom w:val="single" w:sz="4" w:space="0" w:color="auto"/>
              <w:right w:val="single" w:sz="6" w:space="0" w:color="000000" w:themeColor="text1"/>
            </w:tcBorders>
          </w:tcPr>
          <w:p w14:paraId="37D79BC1" w14:textId="77777777" w:rsidR="00E044A0" w:rsidRPr="00712B66" w:rsidRDefault="00E044A0"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C2" w14:textId="77777777" w:rsidR="00E044A0" w:rsidRPr="00E044A0" w:rsidRDefault="00E044A0" w:rsidP="0092015B">
            <w:pPr>
              <w:jc w:val="both"/>
            </w:pPr>
            <w:r w:rsidRPr="00E044A0">
              <w:t xml:space="preserve">Aicinām izteikt Informatīvā ziņojuma 2. lpp. trešās rindkopas pirmo teikumu šādā redakcijā: “Ikgadējs Globālās konkurētspējas indeksa (GCI) reitings (Pasaules ekonomikas forums - WEF), kas ir pasaulē vispāratzīts rīks valsts konkurētspējas novērtēšanai un sniedz vērtīgu informāciju politikas veidotājiem, palīdzot noteikt tās jomas, </w:t>
            </w:r>
            <w:r w:rsidRPr="00E044A0">
              <w:rPr>
                <w:i/>
              </w:rPr>
              <w:t>kuras salīdzinājumā ar citām pasaules valstīm nepieciešams būtiski pilnveidot vai attīstīt,</w:t>
            </w:r>
            <w:r w:rsidRPr="00E044A0">
              <w:t xml:space="preserve"> uzrāda, ka neskatoties uz jau veiktajām reformām, Latvijas konkurētspējas vājās puses ilgstoši ir </w:t>
            </w:r>
            <w:r w:rsidRPr="00E044A0">
              <w:rPr>
                <w:u w:val="single"/>
              </w:rPr>
              <w:t>institucionālā vide</w:t>
            </w:r>
            <w:r w:rsidRPr="00E044A0">
              <w:t xml:space="preserve"> un inovāciju sniegums.” LM ieskatā Ikgadējā Globālā konkurētspējas indeksa mērķis ir uzsvērt katras valsts stiprās, nevis vājās puses, un pašreizējā projektā minētā teikuma redakcija rada pretēju priekšstatu. Vēršam uzmanību, ka atšķirīgi vai zemāki rādītāji ne vienmēr norāda uz “būtisku atpalicību” – </w:t>
            </w:r>
            <w:r w:rsidRPr="00E044A0">
              <w:lastRenderedPageBreak/>
              <w:t>drīzāk tie norāda uz jomām, kurās nepieciešami uzlabojumi, turklāt reizēm šī atšķirība rādītājos ir samērā neliela.</w:t>
            </w:r>
          </w:p>
        </w:tc>
        <w:tc>
          <w:tcPr>
            <w:tcW w:w="3419" w:type="dxa"/>
            <w:tcBorders>
              <w:left w:val="single" w:sz="6" w:space="0" w:color="000000" w:themeColor="text1"/>
              <w:bottom w:val="single" w:sz="4" w:space="0" w:color="auto"/>
              <w:right w:val="single" w:sz="6" w:space="0" w:color="000000" w:themeColor="text1"/>
            </w:tcBorders>
          </w:tcPr>
          <w:p w14:paraId="1B0F7A00" w14:textId="40B60F3B" w:rsidR="00E044A0" w:rsidRPr="00E044A0" w:rsidRDefault="26AD5097" w:rsidP="6AB3EBF0">
            <w:pPr>
              <w:pStyle w:val="naisc"/>
              <w:spacing w:before="0" w:after="0"/>
              <w:rPr>
                <w:b/>
                <w:bCs/>
              </w:rPr>
            </w:pPr>
            <w:r w:rsidRPr="6AB3EBF0">
              <w:rPr>
                <w:b/>
                <w:bCs/>
              </w:rPr>
              <w:lastRenderedPageBreak/>
              <w:t xml:space="preserve">Ņemts vērā </w:t>
            </w:r>
          </w:p>
          <w:p w14:paraId="37D79BC3" w14:textId="7F023E6F" w:rsidR="00E044A0" w:rsidRPr="00E044A0" w:rsidRDefault="00E044A0" w:rsidP="00DB7395">
            <w:pPr>
              <w:pStyle w:val="naisc"/>
              <w:spacing w:before="0" w:after="0"/>
              <w:ind w:firstLine="720"/>
            </w:pPr>
          </w:p>
        </w:tc>
        <w:tc>
          <w:tcPr>
            <w:tcW w:w="3119" w:type="dxa"/>
            <w:tcBorders>
              <w:top w:val="single" w:sz="4" w:space="0" w:color="auto"/>
              <w:left w:val="single" w:sz="4" w:space="0" w:color="auto"/>
              <w:bottom w:val="single" w:sz="4" w:space="0" w:color="auto"/>
            </w:tcBorders>
          </w:tcPr>
          <w:p w14:paraId="37D79BC4" w14:textId="4E5BEC95" w:rsidR="00E044A0" w:rsidRPr="00E044A0" w:rsidRDefault="37C12F5A" w:rsidP="6AB3EBF0">
            <w:r>
              <w:t xml:space="preserve">Informatīvais ziņojums </w:t>
            </w:r>
            <w:r w:rsidR="26AD5097">
              <w:t xml:space="preserve"> p</w:t>
            </w:r>
            <w:r w:rsidR="229003F5">
              <w:t>recizēts</w:t>
            </w:r>
            <w:r w:rsidR="26AD5097">
              <w:t>.</w:t>
            </w:r>
          </w:p>
        </w:tc>
      </w:tr>
      <w:tr w:rsidR="00E044A0" w:rsidRPr="00712B66" w14:paraId="37D79BCB" w14:textId="77777777" w:rsidTr="00B93E39">
        <w:tc>
          <w:tcPr>
            <w:tcW w:w="708" w:type="dxa"/>
            <w:tcBorders>
              <w:left w:val="single" w:sz="6" w:space="0" w:color="000000" w:themeColor="text1"/>
              <w:bottom w:val="single" w:sz="4" w:space="0" w:color="auto"/>
              <w:right w:val="single" w:sz="6" w:space="0" w:color="000000" w:themeColor="text1"/>
            </w:tcBorders>
          </w:tcPr>
          <w:p w14:paraId="37D79BC6" w14:textId="211DC2FE" w:rsidR="00E044A0" w:rsidRPr="00712B66" w:rsidRDefault="757FE856" w:rsidP="6AB3EBF0">
            <w:pPr>
              <w:pStyle w:val="naisc"/>
              <w:spacing w:before="0" w:after="0"/>
            </w:pPr>
            <w:r>
              <w:t>14.</w:t>
            </w:r>
          </w:p>
        </w:tc>
        <w:tc>
          <w:tcPr>
            <w:tcW w:w="2261" w:type="dxa"/>
            <w:tcBorders>
              <w:left w:val="single" w:sz="6" w:space="0" w:color="000000" w:themeColor="text1"/>
              <w:bottom w:val="single" w:sz="4" w:space="0" w:color="auto"/>
              <w:right w:val="single" w:sz="6" w:space="0" w:color="000000" w:themeColor="text1"/>
            </w:tcBorders>
          </w:tcPr>
          <w:p w14:paraId="37D79BC7" w14:textId="77777777" w:rsidR="00E044A0" w:rsidRPr="00712B66" w:rsidRDefault="00E044A0"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C8" w14:textId="77777777" w:rsidR="00F87BBF" w:rsidRPr="000C71F8" w:rsidRDefault="00E044A0" w:rsidP="000C71F8">
            <w:pPr>
              <w:jc w:val="both"/>
            </w:pPr>
            <w:r w:rsidRPr="000C71F8">
              <w:t xml:space="preserve">Latvijas Pašvaldību savienība saskaņo informatīvo ziņojumu "Par ietekmes novērtējuma sistēmas pilnveidi" (VSS-1074) (turpmāk – informatīvais ziņojums) un Ministru kabineta sēdes </w:t>
            </w:r>
            <w:proofErr w:type="spellStart"/>
            <w:r w:rsidRPr="000C71F8">
              <w:t>protokollēmuma</w:t>
            </w:r>
            <w:proofErr w:type="spellEnd"/>
            <w:r w:rsidRPr="000C71F8">
              <w:t xml:space="preserve"> projektu, vienlaikus lūdzot papildināt Informatīvā ziņojuma 1. rīcības virzienu ar turpmāko rīcību birokrātijas mazināšanai un Nulles birokrātijas principa ieviešanai. Informatīvajā ziņojumā norādīts, ka “</w:t>
            </w:r>
            <w:r w:rsidRPr="000C71F8">
              <w:rPr>
                <w:color w:val="000000"/>
              </w:rPr>
              <w:t>Ministrijas izvairās ievērot 2019. gada 1. novembrī tiesību aktu izstrādē ieviestās Nulles birokrātijas pieeju [..] Neskatoties uz šo, administratīvā sloga izmaiņas finansiālajā izteiksmē gada laikā ir pozitīvas</w:t>
            </w:r>
            <w:r w:rsidRPr="000C71F8">
              <w:t xml:space="preserve">.”. Administratīvā sloga samazinājums finansiālā izteiksmē ir novērtējams pozitīvi, tomēr joprojām būtu jāveicina administratīvā sloga un birokrātijas mazināšana, lai uzlabotu pakalpojumu pieejamību un to sniegšanas efektivitāti. Tādēļ LPS ieskatā informatīvā ziņojuma 1. rīcības virzienā būtu liekams uzsvars ne tikai uz pašu sākotnējās ietekmes novērtējuma </w:t>
            </w:r>
            <w:r w:rsidRPr="000C71F8">
              <w:rPr>
                <w:i/>
                <w:iCs/>
              </w:rPr>
              <w:t>(</w:t>
            </w:r>
            <w:proofErr w:type="spellStart"/>
            <w:r w:rsidRPr="000C71F8">
              <w:rPr>
                <w:i/>
                <w:iCs/>
              </w:rPr>
              <w:t>ex-ante</w:t>
            </w:r>
            <w:proofErr w:type="spellEnd"/>
            <w:r w:rsidRPr="000C71F8">
              <w:rPr>
                <w:i/>
                <w:iCs/>
              </w:rPr>
              <w:t>)</w:t>
            </w:r>
            <w:r w:rsidRPr="000C71F8">
              <w:t xml:space="preserve"> un </w:t>
            </w:r>
            <w:proofErr w:type="spellStart"/>
            <w:r w:rsidRPr="000C71F8">
              <w:t>pēcnovērtējuma</w:t>
            </w:r>
            <w:proofErr w:type="spellEnd"/>
            <w:r w:rsidRPr="000C71F8">
              <w:t xml:space="preserve"> </w:t>
            </w:r>
            <w:r w:rsidRPr="000C71F8">
              <w:rPr>
                <w:i/>
                <w:iCs/>
              </w:rPr>
              <w:t>(</w:t>
            </w:r>
            <w:proofErr w:type="spellStart"/>
            <w:r w:rsidRPr="000C71F8">
              <w:rPr>
                <w:i/>
                <w:iCs/>
              </w:rPr>
              <w:t>ex</w:t>
            </w:r>
            <w:proofErr w:type="spellEnd"/>
            <w:r w:rsidRPr="000C71F8">
              <w:rPr>
                <w:i/>
                <w:iCs/>
              </w:rPr>
              <w:t>-post)</w:t>
            </w:r>
            <w:r w:rsidRPr="000C71F8">
              <w:t xml:space="preserve"> veikšanu, bet arī kā un ar kādiem līdzekļiem var samazināt administratīvo slogu un birokrātiju.</w:t>
            </w:r>
          </w:p>
        </w:tc>
        <w:tc>
          <w:tcPr>
            <w:tcW w:w="3419" w:type="dxa"/>
            <w:tcBorders>
              <w:left w:val="single" w:sz="6" w:space="0" w:color="000000" w:themeColor="text1"/>
              <w:bottom w:val="single" w:sz="4" w:space="0" w:color="auto"/>
              <w:right w:val="single" w:sz="6" w:space="0" w:color="000000" w:themeColor="text1"/>
            </w:tcBorders>
          </w:tcPr>
          <w:p w14:paraId="2253E11D" w14:textId="52100BFC" w:rsidR="00E044A0" w:rsidRPr="00712B66" w:rsidRDefault="5DFC05FF" w:rsidP="6AB3EBF0">
            <w:pPr>
              <w:pStyle w:val="naisc"/>
              <w:spacing w:before="0" w:after="0"/>
              <w:ind w:firstLine="720"/>
              <w:jc w:val="both"/>
              <w:rPr>
                <w:b/>
                <w:bCs/>
              </w:rPr>
            </w:pPr>
            <w:r w:rsidRPr="6AB3EBF0">
              <w:rPr>
                <w:b/>
                <w:bCs/>
              </w:rPr>
              <w:t>Ņemt</w:t>
            </w:r>
            <w:r w:rsidR="00350824">
              <w:rPr>
                <w:b/>
                <w:bCs/>
              </w:rPr>
              <w:t>s</w:t>
            </w:r>
            <w:r w:rsidRPr="6AB3EBF0">
              <w:rPr>
                <w:b/>
                <w:bCs/>
              </w:rPr>
              <w:t xml:space="preserve"> vērā</w:t>
            </w:r>
          </w:p>
          <w:p w14:paraId="37D79BC9" w14:textId="482D0000" w:rsidR="00E044A0" w:rsidRPr="00712B66" w:rsidRDefault="56EE1AAF" w:rsidP="00712E1E">
            <w:pPr>
              <w:pStyle w:val="naisc"/>
              <w:spacing w:before="0" w:after="0"/>
              <w:jc w:val="both"/>
            </w:pPr>
            <w:r>
              <w:t xml:space="preserve">VK </w:t>
            </w:r>
            <w:r w:rsidR="5DFC05FF">
              <w:t>piekrīt</w:t>
            </w:r>
            <w:r w:rsidR="2AE35D10">
              <w:t xml:space="preserve"> izteiktajam priekšlikumam</w:t>
            </w:r>
            <w:r w:rsidR="428987EE">
              <w:t xml:space="preserve"> - </w:t>
            </w:r>
            <w:r w:rsidR="21209215">
              <w:t>ietekmes novērtējuma</w:t>
            </w:r>
            <w:r w:rsidR="39390AC3">
              <w:t xml:space="preserve"> process un izmantojamie rīki ir jāveido tā, lai tie mudinātu regulējuma autorus veikt pilnv</w:t>
            </w:r>
            <w:r w:rsidR="2508292C">
              <w:t>ē</w:t>
            </w:r>
            <w:r w:rsidR="39390AC3">
              <w:t>rtīgāku darbu administratīvā slo</w:t>
            </w:r>
            <w:r w:rsidR="7EDFCFCE">
              <w:t>ga un birokrātijas mazināšanai</w:t>
            </w:r>
            <w:r w:rsidR="5DFC05FF">
              <w:t xml:space="preserve">. </w:t>
            </w:r>
            <w:r w:rsidR="012E6D20">
              <w:t>Šī ir pieeja, ko V</w:t>
            </w:r>
            <w:r w:rsidR="30612A53">
              <w:t>alsts kanceleja</w:t>
            </w:r>
            <w:r w:rsidR="012E6D20">
              <w:t xml:space="preserve"> ir jau uzsākusi īstenot dažādos </w:t>
            </w:r>
            <w:r w:rsidR="6CC9DA5E">
              <w:t xml:space="preserve">formātos un </w:t>
            </w:r>
            <w:r w:rsidR="012E6D20">
              <w:t xml:space="preserve">projektos: </w:t>
            </w:r>
            <w:r w:rsidR="5DFC05FF">
              <w:t>Nulles birokrātijas pieeja</w:t>
            </w:r>
            <w:r w:rsidR="56574560">
              <w:t>s ieviešana</w:t>
            </w:r>
            <w:r w:rsidR="5DFC05FF">
              <w:t xml:space="preserve">, administratīva sloga izmaiņu monitorings, </w:t>
            </w:r>
            <w:r w:rsidR="57CEE309">
              <w:t>VPRP</w:t>
            </w:r>
            <w:r w:rsidR="479722E0">
              <w:t xml:space="preserve"> 2020</w:t>
            </w:r>
            <w:r w:rsidR="57CEE309">
              <w:t>, apmācības V</w:t>
            </w:r>
            <w:r w:rsidR="5886AE2D">
              <w:t>alsts administrācijas skolā</w:t>
            </w:r>
            <w:r w:rsidR="57CEE309">
              <w:t xml:space="preserve">, metodoloģiskais atbalsts, piemēram - </w:t>
            </w:r>
            <w:r w:rsidR="37B7BA36">
              <w:t>https://www.mk.gov.lv/sites/mk/files/media_file/admin_simplification_methodology_16.08.pdf</w:t>
            </w:r>
          </w:p>
        </w:tc>
        <w:tc>
          <w:tcPr>
            <w:tcW w:w="3119" w:type="dxa"/>
            <w:tcBorders>
              <w:top w:val="single" w:sz="4" w:space="0" w:color="auto"/>
              <w:left w:val="single" w:sz="4" w:space="0" w:color="auto"/>
              <w:bottom w:val="single" w:sz="4" w:space="0" w:color="auto"/>
            </w:tcBorders>
          </w:tcPr>
          <w:p w14:paraId="526F509D" w14:textId="79B9A1AB" w:rsidR="00E044A0" w:rsidRPr="00712B66" w:rsidRDefault="3CCDE08A" w:rsidP="6AB3EBF0">
            <w:pPr>
              <w:jc w:val="both"/>
            </w:pPr>
            <w:r w:rsidRPr="6AB3EBF0">
              <w:t>Informatīvais ziņojums precizēts: 2.nodaļas “Pārmaiņu</w:t>
            </w:r>
            <w:r w:rsidRPr="6AB3EBF0">
              <w:rPr>
                <w:rFonts w:eastAsia="Calibri"/>
              </w:rPr>
              <w:t xml:space="preserve"> virzieni un turpmākā rīcība</w:t>
            </w:r>
            <w:r w:rsidRPr="6AB3EBF0">
              <w:t>” 1. rīcības virziena aprakst</w:t>
            </w:r>
            <w:r w:rsidR="7FF84996" w:rsidRPr="6AB3EBF0">
              <w:t>s</w:t>
            </w:r>
            <w:r w:rsidRPr="6AB3EBF0">
              <w:t xml:space="preserve">. </w:t>
            </w:r>
          </w:p>
          <w:p w14:paraId="37D79BCA" w14:textId="168176BC" w:rsidR="00E044A0" w:rsidRPr="00712B66" w:rsidRDefault="00E044A0" w:rsidP="6AB3EBF0"/>
        </w:tc>
      </w:tr>
      <w:tr w:rsidR="00E044A0" w:rsidRPr="00712B66" w14:paraId="37D79BD3" w14:textId="77777777" w:rsidTr="00B93E39">
        <w:tc>
          <w:tcPr>
            <w:tcW w:w="708" w:type="dxa"/>
            <w:tcBorders>
              <w:left w:val="single" w:sz="6" w:space="0" w:color="000000" w:themeColor="text1"/>
              <w:bottom w:val="single" w:sz="4" w:space="0" w:color="auto"/>
              <w:right w:val="single" w:sz="6" w:space="0" w:color="000000" w:themeColor="text1"/>
            </w:tcBorders>
          </w:tcPr>
          <w:p w14:paraId="37D79BCC" w14:textId="798A1D37" w:rsidR="00E044A0" w:rsidRPr="00712B66" w:rsidRDefault="3CCDE08A" w:rsidP="6AB3EBF0">
            <w:pPr>
              <w:pStyle w:val="naisc"/>
              <w:spacing w:before="0" w:after="0"/>
            </w:pPr>
            <w:r>
              <w:t>15.</w:t>
            </w:r>
          </w:p>
        </w:tc>
        <w:tc>
          <w:tcPr>
            <w:tcW w:w="2261" w:type="dxa"/>
            <w:tcBorders>
              <w:left w:val="single" w:sz="6" w:space="0" w:color="000000" w:themeColor="text1"/>
              <w:bottom w:val="single" w:sz="4" w:space="0" w:color="auto"/>
              <w:right w:val="single" w:sz="6" w:space="0" w:color="000000" w:themeColor="text1"/>
            </w:tcBorders>
          </w:tcPr>
          <w:p w14:paraId="37D79BCD" w14:textId="77777777" w:rsidR="00E044A0" w:rsidRPr="00712B66" w:rsidRDefault="00E044A0" w:rsidP="00DB7395">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CE" w14:textId="77777777" w:rsidR="00C51886" w:rsidRPr="00C51886" w:rsidRDefault="00C51886" w:rsidP="00F70E7C">
            <w:pPr>
              <w:jc w:val="both"/>
              <w:rPr>
                <w:b/>
              </w:rPr>
            </w:pPr>
            <w:r w:rsidRPr="00C51886">
              <w:rPr>
                <w:b/>
              </w:rPr>
              <w:t>P</w:t>
            </w:r>
            <w:r w:rsidR="00F87BBF">
              <w:rPr>
                <w:b/>
              </w:rPr>
              <w:t>ROVIDUS</w:t>
            </w:r>
            <w:r w:rsidRPr="00C51886">
              <w:rPr>
                <w:b/>
              </w:rPr>
              <w:t>:</w:t>
            </w:r>
          </w:p>
          <w:p w14:paraId="37D79BCF" w14:textId="77777777" w:rsidR="005F1403" w:rsidRDefault="005F1403" w:rsidP="00F70E7C">
            <w:pPr>
              <w:jc w:val="both"/>
            </w:pPr>
            <w:r>
              <w:t xml:space="preserve">Lai raksturotu esošo situāciju, Valsts kanceleja šobrīd atsaucas uz OECD </w:t>
            </w:r>
            <w:r>
              <w:lastRenderedPageBreak/>
              <w:t>regulējuma politikas indikatoriem. Tie uzrāda, ka Latvijas ietekmes novērtējuma sistēma, ciktāl tā attiecas uz normatīvo aktu izstrādi, ir vājākā starp OECD valstīm. PROVIDUS rīcībā esošā informācija liek domāt, ka šāds novērtējums ir pārspīlēts – Latvijas ietekmes novērtēšanas sistēmā ir daudz kā uzlabojuma, taču tas noteikti nav tik vājš.  Latvijas pārvaldes kvalitāte jau vairākus gadus tiek salīdzināta ar citām OECD un ES valstīm starptautiskajā indeksā “Ilgtspējīgas pārvaldes indikatori” (</w:t>
            </w:r>
            <w:proofErr w:type="spellStart"/>
            <w:r>
              <w:t>Sustainable</w:t>
            </w:r>
            <w:proofErr w:type="spellEnd"/>
            <w:r>
              <w:t xml:space="preserve"> </w:t>
            </w:r>
            <w:proofErr w:type="spellStart"/>
            <w:r>
              <w:t>Governance</w:t>
            </w:r>
            <w:proofErr w:type="spellEnd"/>
            <w:r>
              <w:t xml:space="preserve"> </w:t>
            </w:r>
            <w:proofErr w:type="spellStart"/>
            <w:r>
              <w:t>Indicators</w:t>
            </w:r>
            <w:proofErr w:type="spellEnd"/>
            <w:r>
              <w:t xml:space="preserve">). Būtiskākās šī indeksa atziņas (pēdējais </w:t>
            </w:r>
            <w:proofErr w:type="spellStart"/>
            <w:r>
              <w:t>izvērtējums</w:t>
            </w:r>
            <w:proofErr w:type="spellEnd"/>
            <w:r>
              <w:t xml:space="preserve"> tika veikts 2019.gadā): 1) Pateicoties likumprojektu anotācijām un pienākuma savlaicīgi publicēt izstrādātos normatīvo aktu projektus, Latvijā ir izveidota visai laba sākotnējo ietekmes novērtējumu sistēma (8 balles no 10)</w:t>
            </w:r>
            <w:r>
              <w:rPr>
                <w:rStyle w:val="FootnoteReference"/>
              </w:rPr>
              <w:footnoteReference w:id="2"/>
            </w:r>
            <w:r>
              <w:t xml:space="preserve"> ;  2) Ietekmes novērtēšanas process nav perfekts, bet kopumā adekvāts (7 balles no 10)</w:t>
            </w:r>
            <w:r>
              <w:rPr>
                <w:rStyle w:val="FootnoteReference"/>
              </w:rPr>
              <w:footnoteReference w:id="3"/>
            </w:r>
            <w:r>
              <w:t>; 3) Taču Latvijas ietekmes novērtējumos maz tiek domāts par ilgtspējas apsvērumiem (2 balles no 10)</w:t>
            </w:r>
            <w:r>
              <w:rPr>
                <w:rStyle w:val="FootnoteReference"/>
              </w:rPr>
              <w:footnoteReference w:id="4"/>
            </w:r>
            <w:r>
              <w:t xml:space="preserve">;  4)  Tāpat Latvijā pārāk reti tiek izmantoti </w:t>
            </w:r>
            <w:proofErr w:type="spellStart"/>
            <w:r>
              <w:t>pēcnovērtējumi</w:t>
            </w:r>
            <w:proofErr w:type="spellEnd"/>
            <w:r>
              <w:t xml:space="preserve"> (6 balles no 10)</w:t>
            </w:r>
            <w:r>
              <w:rPr>
                <w:rStyle w:val="FootnoteReference"/>
              </w:rPr>
              <w:footnoteReference w:id="5"/>
            </w:r>
            <w:r>
              <w:t>.</w:t>
            </w:r>
          </w:p>
          <w:p w14:paraId="37D79BD0" w14:textId="77777777" w:rsidR="00E044A0" w:rsidRPr="00712B66" w:rsidRDefault="005F1403" w:rsidP="005F1403">
            <w:pPr>
              <w:jc w:val="both"/>
            </w:pPr>
            <w:r>
              <w:t xml:space="preserve">Tādēļ ierosinām vai nu precīzāk izskaidrot iemeslus, kādu iemeslu dēļ OECD ir novērtējusi Latvijas ietekmes novērtējumu </w:t>
            </w:r>
            <w:r>
              <w:lastRenderedPageBreak/>
              <w:t xml:space="preserve">sistēmu par pašu vājāko, vai arī pievienot atsauci uz </w:t>
            </w:r>
            <w:proofErr w:type="spellStart"/>
            <w:r>
              <w:t>Sustainable</w:t>
            </w:r>
            <w:proofErr w:type="spellEnd"/>
            <w:r>
              <w:t xml:space="preserve"> </w:t>
            </w:r>
            <w:proofErr w:type="spellStart"/>
            <w:r>
              <w:t>Governance</w:t>
            </w:r>
            <w:proofErr w:type="spellEnd"/>
            <w:r>
              <w:t xml:space="preserve"> </w:t>
            </w:r>
            <w:proofErr w:type="spellStart"/>
            <w:r>
              <w:t>Indicators</w:t>
            </w:r>
            <w:proofErr w:type="spellEnd"/>
            <w:r>
              <w:t>, lai raksturotu to, ka starptautiskie vērtējumi par Latviju atšķiras.</w:t>
            </w:r>
          </w:p>
        </w:tc>
        <w:tc>
          <w:tcPr>
            <w:tcW w:w="3419" w:type="dxa"/>
            <w:tcBorders>
              <w:left w:val="single" w:sz="6" w:space="0" w:color="000000" w:themeColor="text1"/>
              <w:bottom w:val="single" w:sz="4" w:space="0" w:color="auto"/>
              <w:right w:val="single" w:sz="6" w:space="0" w:color="000000" w:themeColor="text1"/>
            </w:tcBorders>
          </w:tcPr>
          <w:p w14:paraId="4CFA2ECF" w14:textId="685F5D40" w:rsidR="00E044A0" w:rsidRPr="00712B66" w:rsidRDefault="5C491D4B" w:rsidP="6AB3EBF0">
            <w:pPr>
              <w:pStyle w:val="naisc"/>
              <w:spacing w:before="0" w:after="0"/>
              <w:rPr>
                <w:b/>
                <w:bCs/>
              </w:rPr>
            </w:pPr>
            <w:r w:rsidRPr="6AB3EBF0">
              <w:rPr>
                <w:b/>
                <w:bCs/>
              </w:rPr>
              <w:lastRenderedPageBreak/>
              <w:t>Ņemts vērā</w:t>
            </w:r>
          </w:p>
          <w:p w14:paraId="37D79BD1" w14:textId="437DD947" w:rsidR="00E044A0" w:rsidRPr="00712B66" w:rsidRDefault="00E044A0" w:rsidP="1848A97E">
            <w:pPr>
              <w:pStyle w:val="naisc"/>
              <w:spacing w:before="0" w:after="0"/>
              <w:ind w:firstLine="720"/>
              <w:rPr>
                <w:color w:val="FF0000"/>
              </w:rPr>
            </w:pPr>
          </w:p>
        </w:tc>
        <w:tc>
          <w:tcPr>
            <w:tcW w:w="3119" w:type="dxa"/>
            <w:tcBorders>
              <w:top w:val="single" w:sz="4" w:space="0" w:color="auto"/>
              <w:left w:val="single" w:sz="4" w:space="0" w:color="auto"/>
              <w:bottom w:val="single" w:sz="4" w:space="0" w:color="auto"/>
            </w:tcBorders>
          </w:tcPr>
          <w:p w14:paraId="20541CE2" w14:textId="1B5EA39A" w:rsidR="00E044A0" w:rsidRPr="00712B66" w:rsidRDefault="5C491D4B" w:rsidP="6AB3EBF0">
            <w:pPr>
              <w:pStyle w:val="naisc"/>
              <w:spacing w:before="0" w:after="0"/>
              <w:jc w:val="both"/>
            </w:pPr>
            <w:r>
              <w:t>Informatīvais ziņojums p</w:t>
            </w:r>
            <w:r w:rsidR="7B03FD11">
              <w:t>apildināts</w:t>
            </w:r>
            <w:r>
              <w:t>.</w:t>
            </w:r>
          </w:p>
          <w:p w14:paraId="37D79BD2" w14:textId="300F7DA4" w:rsidR="00E044A0" w:rsidRPr="00712B66" w:rsidRDefault="00E044A0" w:rsidP="1848A97E"/>
        </w:tc>
      </w:tr>
      <w:tr w:rsidR="003B71E0" w:rsidRPr="00712B66" w14:paraId="37D79BD9" w14:textId="77777777" w:rsidTr="00B93E39">
        <w:tc>
          <w:tcPr>
            <w:tcW w:w="708" w:type="dxa"/>
            <w:tcBorders>
              <w:left w:val="single" w:sz="6" w:space="0" w:color="000000" w:themeColor="text1"/>
              <w:bottom w:val="single" w:sz="4" w:space="0" w:color="auto"/>
              <w:right w:val="single" w:sz="6" w:space="0" w:color="000000" w:themeColor="text1"/>
            </w:tcBorders>
          </w:tcPr>
          <w:p w14:paraId="37D79BD4" w14:textId="76089226" w:rsidR="003B71E0" w:rsidRPr="00712B66" w:rsidRDefault="3421B72C" w:rsidP="6AB3EBF0">
            <w:pPr>
              <w:pStyle w:val="naisc"/>
              <w:spacing w:before="0" w:after="0"/>
            </w:pPr>
            <w:r>
              <w:lastRenderedPageBreak/>
              <w:t>16.</w:t>
            </w:r>
          </w:p>
        </w:tc>
        <w:tc>
          <w:tcPr>
            <w:tcW w:w="2261" w:type="dxa"/>
            <w:tcBorders>
              <w:left w:val="single" w:sz="6" w:space="0" w:color="000000" w:themeColor="text1"/>
              <w:bottom w:val="single" w:sz="4" w:space="0" w:color="auto"/>
              <w:right w:val="single" w:sz="6" w:space="0" w:color="000000" w:themeColor="text1"/>
            </w:tcBorders>
          </w:tcPr>
          <w:p w14:paraId="37D79BD5" w14:textId="77777777" w:rsidR="003B71E0" w:rsidRPr="00712B66" w:rsidRDefault="003B71E0" w:rsidP="003B71E0">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D6" w14:textId="58F79E91" w:rsidR="003B71E0" w:rsidRPr="00712B66" w:rsidRDefault="78385DFC" w:rsidP="005F1403">
            <w:pPr>
              <w:pStyle w:val="naisc"/>
              <w:spacing w:before="0" w:after="0"/>
              <w:jc w:val="both"/>
            </w:pPr>
            <w:r>
              <w:t xml:space="preserve">Informatīvais ziņojums lielā mērā pārmaiņas ietekmes novērtējumu sistēmā sasaista ar jaunizstrādājamo Vienoto tiesību aktu projektu izstrādes un saskaņošanas portālu. Piemēram, plānots jaunajā ietekmes novērtēšanas regulējumā iekļaut tikai vispārīgus ietekmes novērtējuma principus, detalizētu anotācijas aizpildīšanas instrukciju ietverot jaunā portāla vadlīnijās.  PROVIDUS ir viena no organizācijām, kura ar bažām skatās uz Vienoto tiesību aktu portālu, ņemot vērā to, kā laika gaitā ir pārcelti tā izstrādes termiņi un ka nav tikuši pildīti vēl 2019.gada sākumā dotie solījumi konsultēties ar NVO par tā funkcionalitāti un lietojamību. Diemžēl Latvijas pieredze ar ambiciozu e-sistēmu izstrādi dod pamatu atziņām, ka tās reti kad atbilst uz tām liktajām cerībām.  Tādēļ ierosinām Valsts kancelejai sasaistīt ietekmes novērtējuma sistēmas pilnveidi ar Vienoto tiesību aktu portālu tikai tad, ja Valsts kanceleja ir pilnībā pārliecināta, ka šis portāls būs funkcionāls nākamo divu gadu laikā un spēs pildīt šajā informatīvajā ziņojumā aprakstītos uzdevumus. Ja tā, lūdzam šajā informatīvajā ziņojumā pievienot laika līniju (grafiski vai apraksta formā), par to, kāds ir plānotais turpmākais process – proti, līdz kuram laikam Valsts </w:t>
            </w:r>
            <w:r>
              <w:lastRenderedPageBreak/>
              <w:t>kancelejai ir jāpārskata esošā ietekmes novērtējuma sistēma, kad sāks darboties Vienotais tiesību aktu portāls un kad tiks organizētas apmācības, kā arī sniegts metodiskais atbalsts jaunās sistēmas izmantošanai.</w:t>
            </w:r>
          </w:p>
        </w:tc>
        <w:tc>
          <w:tcPr>
            <w:tcW w:w="3419" w:type="dxa"/>
            <w:tcBorders>
              <w:left w:val="single" w:sz="6" w:space="0" w:color="000000" w:themeColor="text1"/>
              <w:bottom w:val="single" w:sz="4" w:space="0" w:color="auto"/>
              <w:right w:val="single" w:sz="6" w:space="0" w:color="000000" w:themeColor="text1"/>
            </w:tcBorders>
          </w:tcPr>
          <w:p w14:paraId="0C6591F6" w14:textId="72B17904" w:rsidR="003B71E0" w:rsidRPr="00712B66" w:rsidRDefault="1C61F46D" w:rsidP="6AB3EBF0">
            <w:pPr>
              <w:pStyle w:val="naisc"/>
              <w:spacing w:before="0" w:after="0"/>
              <w:rPr>
                <w:b/>
                <w:bCs/>
              </w:rPr>
            </w:pPr>
            <w:r w:rsidRPr="6AB3EBF0">
              <w:rPr>
                <w:b/>
                <w:bCs/>
              </w:rPr>
              <w:lastRenderedPageBreak/>
              <w:t>Ņemts vērā</w:t>
            </w:r>
          </w:p>
          <w:p w14:paraId="15C25B9B" w14:textId="23ADCCBC" w:rsidR="003B71E0" w:rsidRPr="00712B66" w:rsidRDefault="156888E9" w:rsidP="1848A97E">
            <w:pPr>
              <w:pStyle w:val="naisc"/>
              <w:spacing w:before="0" w:after="0"/>
              <w:jc w:val="both"/>
            </w:pPr>
            <w:r>
              <w:t xml:space="preserve">TAP portāla palaišana plānota 2021.gada 6.aprīlī. </w:t>
            </w:r>
            <w:r w:rsidR="3B8EC36C">
              <w:t xml:space="preserve">Attiecībā uz termiņiem - </w:t>
            </w:r>
            <w:r w:rsidR="1F213202">
              <w:t>l</w:t>
            </w:r>
            <w:r w:rsidR="3B8EC36C">
              <w:t xml:space="preserve">ai veiktu kvalitatīvu ietekmes novērtējuma sistēmas </w:t>
            </w:r>
            <w:r w:rsidR="53D3CD67">
              <w:t>izpēti un</w:t>
            </w:r>
            <w:r w:rsidR="3B8EC36C">
              <w:t xml:space="preserve"> izmaiņas tajā, vienlaikus nebremzējot TAP portāla palaišanu anotāciju instrukcijas dēļ, tiek paredzēts, ka tuvākajā laikā tiks veikti grozījumi instrukcijā Nr.19, savukārt grozījumi saistībā ar </w:t>
            </w:r>
            <w:proofErr w:type="spellStart"/>
            <w:r w:rsidR="3B8EC36C">
              <w:t>ex</w:t>
            </w:r>
            <w:proofErr w:type="spellEnd"/>
            <w:r w:rsidR="3B8EC36C">
              <w:t>-post ieviešanu un pārējiem jautājumiem tiks apspriesti bez steigas, iesaistot visas ieinteresētās puses.</w:t>
            </w:r>
            <w:r w:rsidR="00DFC489">
              <w:t xml:space="preserve"> Vienlaikus tiek paredzēts, ka nepieciešamības gadījumā tiks veiktas izmaiņas arī sākotnējās ietekmes novērtējuma ziņojumos, ja </w:t>
            </w:r>
            <w:r w:rsidR="07D19B4E">
              <w:t xml:space="preserve">šādi </w:t>
            </w:r>
            <w:r w:rsidR="2415ACFC">
              <w:t>tiks secināts darba grupā/diskusiju laikā.</w:t>
            </w:r>
          </w:p>
          <w:p w14:paraId="37D79BD7" w14:textId="5D7CED83" w:rsidR="003B71E0" w:rsidRPr="00712B66" w:rsidRDefault="1EDDB91E" w:rsidP="1848A97E">
            <w:pPr>
              <w:pStyle w:val="naisc"/>
              <w:spacing w:before="0" w:after="0"/>
              <w:jc w:val="both"/>
            </w:pPr>
            <w:r>
              <w:t xml:space="preserve">Papildus </w:t>
            </w:r>
            <w:r w:rsidR="264414CD">
              <w:t xml:space="preserve">norādām, ka Vienotā tiesību aktu portāla darbības uzsākšanai tiks veikti grozījumi arī </w:t>
            </w:r>
            <w:r w:rsidR="1EF4A6A9">
              <w:t>Ministru kabineta 2009.gada 7.aprīļa noteikumos Nr.300 “Ministru kabineta kārtības rullis"</w:t>
            </w:r>
            <w:r w:rsidR="267EFCC6">
              <w:t xml:space="preserve"> un</w:t>
            </w:r>
            <w:r w:rsidR="1EF4A6A9">
              <w:t xml:space="preserve"> Ministru kabineta </w:t>
            </w:r>
            <w:r w:rsidR="12342CC1">
              <w:lastRenderedPageBreak/>
              <w:t>2009.gada 25.augusta noteikumos Nr.970 “Sabiedrības līdzdalības kārtība attīstības plānošanas procesā”</w:t>
            </w:r>
            <w:r w:rsidR="114FE55A">
              <w:t xml:space="preserve">. </w:t>
            </w:r>
          </w:p>
        </w:tc>
        <w:tc>
          <w:tcPr>
            <w:tcW w:w="3119" w:type="dxa"/>
            <w:tcBorders>
              <w:top w:val="single" w:sz="4" w:space="0" w:color="auto"/>
              <w:left w:val="single" w:sz="4" w:space="0" w:color="auto"/>
              <w:bottom w:val="single" w:sz="4" w:space="0" w:color="auto"/>
            </w:tcBorders>
          </w:tcPr>
          <w:p w14:paraId="37D79BD8" w14:textId="189A0070" w:rsidR="003B71E0" w:rsidRPr="00712B66" w:rsidRDefault="7DABF994" w:rsidP="003B71E0">
            <w:r>
              <w:lastRenderedPageBreak/>
              <w:t>I</w:t>
            </w:r>
            <w:r w:rsidR="6864D382">
              <w:t>nformatīvais ziņojums</w:t>
            </w:r>
            <w:r w:rsidR="7C5AD849">
              <w:t xml:space="preserve"> p</w:t>
            </w:r>
            <w:r w:rsidR="757BB92E">
              <w:t>apildināts</w:t>
            </w:r>
            <w:r w:rsidR="7C5AD849">
              <w:t>.</w:t>
            </w:r>
          </w:p>
        </w:tc>
      </w:tr>
      <w:tr w:rsidR="005F1403" w:rsidRPr="00712B66" w14:paraId="37D79BE0" w14:textId="77777777" w:rsidTr="00B93E39">
        <w:tc>
          <w:tcPr>
            <w:tcW w:w="708" w:type="dxa"/>
            <w:tcBorders>
              <w:left w:val="single" w:sz="6" w:space="0" w:color="000000" w:themeColor="text1"/>
              <w:bottom w:val="single" w:sz="4" w:space="0" w:color="auto"/>
              <w:right w:val="single" w:sz="6" w:space="0" w:color="000000" w:themeColor="text1"/>
            </w:tcBorders>
          </w:tcPr>
          <w:p w14:paraId="37D79BDA" w14:textId="5495585B" w:rsidR="005F1403" w:rsidRPr="00712B66" w:rsidRDefault="0A56003E" w:rsidP="6AB3EBF0">
            <w:pPr>
              <w:pStyle w:val="naisc"/>
              <w:spacing w:before="0" w:after="0"/>
            </w:pPr>
            <w:r>
              <w:t>17.</w:t>
            </w:r>
          </w:p>
        </w:tc>
        <w:tc>
          <w:tcPr>
            <w:tcW w:w="2261" w:type="dxa"/>
            <w:tcBorders>
              <w:left w:val="single" w:sz="6" w:space="0" w:color="000000" w:themeColor="text1"/>
              <w:bottom w:val="single" w:sz="4" w:space="0" w:color="auto"/>
              <w:right w:val="single" w:sz="6" w:space="0" w:color="000000" w:themeColor="text1"/>
            </w:tcBorders>
          </w:tcPr>
          <w:p w14:paraId="37D79BDB" w14:textId="77777777" w:rsidR="005F1403" w:rsidRPr="00712B66" w:rsidRDefault="005F1403" w:rsidP="003B71E0">
            <w:pPr>
              <w:pStyle w:val="naisc"/>
              <w:spacing w:before="0" w:after="0"/>
              <w:ind w:firstLine="720"/>
            </w:pPr>
          </w:p>
        </w:tc>
        <w:tc>
          <w:tcPr>
            <w:tcW w:w="4519" w:type="dxa"/>
            <w:tcBorders>
              <w:left w:val="single" w:sz="6" w:space="0" w:color="000000" w:themeColor="text1"/>
              <w:bottom w:val="single" w:sz="4" w:space="0" w:color="auto"/>
              <w:right w:val="single" w:sz="6" w:space="0" w:color="000000" w:themeColor="text1"/>
            </w:tcBorders>
          </w:tcPr>
          <w:p w14:paraId="37D79BDC" w14:textId="77777777" w:rsidR="00C51886" w:rsidRDefault="00C51886" w:rsidP="00F70E7C">
            <w:pPr>
              <w:jc w:val="both"/>
            </w:pPr>
            <w:r>
              <w:t xml:space="preserve">Ierosinām padarīt elastīgākus šobrīd informatīvajā ziņojumā paredzētos principus attiecībā uz </w:t>
            </w:r>
            <w:proofErr w:type="spellStart"/>
            <w:r>
              <w:t>pēcnovērtējumu</w:t>
            </w:r>
            <w:proofErr w:type="spellEnd"/>
            <w:r>
              <w:t xml:space="preserve"> veikšanu. Spriežot pēc pašreizējiem informatīvā ziņojuma formulējumiem, tie būs iespējami tikai sasaistē ar </w:t>
            </w:r>
            <w:proofErr w:type="spellStart"/>
            <w:r>
              <w:t>ex-ante</w:t>
            </w:r>
            <w:proofErr w:type="spellEnd"/>
            <w:r>
              <w:t xml:space="preserve"> novērtējumiem, kā arī tikai ārpakalpojumā. Lai gan PROVIDUS piekrīt, ka </w:t>
            </w:r>
            <w:r w:rsidRPr="00C51886">
              <w:rPr>
                <w:b/>
              </w:rPr>
              <w:t>ir vēlama</w:t>
            </w:r>
            <w:r>
              <w:t xml:space="preserve"> sasaiste starp </w:t>
            </w:r>
            <w:proofErr w:type="spellStart"/>
            <w:r>
              <w:t>ex-ante</w:t>
            </w:r>
            <w:proofErr w:type="spellEnd"/>
            <w:r>
              <w:t xml:space="preserve"> novērtējumiem un </w:t>
            </w:r>
            <w:proofErr w:type="spellStart"/>
            <w:r>
              <w:t>ex</w:t>
            </w:r>
            <w:proofErr w:type="spellEnd"/>
            <w:r>
              <w:t xml:space="preserve">-post novērtējumiem, kā arī piekrīt, ka </w:t>
            </w:r>
            <w:r w:rsidRPr="00C51886">
              <w:rPr>
                <w:b/>
              </w:rPr>
              <w:t xml:space="preserve">parasti </w:t>
            </w:r>
            <w:r>
              <w:t xml:space="preserve">labākais novērtētājs būs no valsts pārvaldes neatkarīga institūcija, tomēr šiem vispārējiem principiem ir iespējami arī pamatoti izņēmumi. Piemēram, Saeima var būtiski pamainīt MK izstrādāta likumprojekta jēgu un mērķus, līdz ar to novērtējumam vairs nebūs saistības ar to, kas tika izstrādāts </w:t>
            </w:r>
            <w:proofErr w:type="spellStart"/>
            <w:r>
              <w:t>ex</w:t>
            </w:r>
            <w:proofErr w:type="spellEnd"/>
            <w:r>
              <w:t xml:space="preserve"> </w:t>
            </w:r>
            <w:proofErr w:type="spellStart"/>
            <w:r>
              <w:t>ante</w:t>
            </w:r>
            <w:proofErr w:type="spellEnd"/>
            <w:r>
              <w:t xml:space="preserve"> stadijā. Tāpat ministrijas, MK var nolemt novērtēt kādu īpašu tiesību akta darbības izpausmi, par kuru </w:t>
            </w:r>
            <w:proofErr w:type="spellStart"/>
            <w:r>
              <w:t>ex</w:t>
            </w:r>
            <w:proofErr w:type="spellEnd"/>
            <w:r>
              <w:t xml:space="preserve"> </w:t>
            </w:r>
            <w:proofErr w:type="spellStart"/>
            <w:r>
              <w:t>ante</w:t>
            </w:r>
            <w:proofErr w:type="spellEnd"/>
            <w:r>
              <w:t xml:space="preserve"> stadijā neviens  nebija iedomājies (piemēram, krīzes koordinācijas regulējums pandēmiju apstākļos), tāpēc šādu </w:t>
            </w:r>
            <w:proofErr w:type="spellStart"/>
            <w:r>
              <w:t>izvērtējumu</w:t>
            </w:r>
            <w:proofErr w:type="spellEnd"/>
            <w:r>
              <w:t xml:space="preserve"> nebija iespējams ieplānot vēl likumprojekta izstrādes stadijā. </w:t>
            </w:r>
            <w:proofErr w:type="spellStart"/>
            <w:r>
              <w:t>Pēcnovērtējuma</w:t>
            </w:r>
            <w:proofErr w:type="spellEnd"/>
            <w:r>
              <w:t xml:space="preserve"> pienākums var izrietēt arī no pienākuma, kas ir iekļauts pašā normatīvajā aktā (piemēram, ar attiecīgo likumu MK </w:t>
            </w:r>
            <w:r>
              <w:lastRenderedPageBreak/>
              <w:t xml:space="preserve">uzdots pēc 5 gadiem veikt </w:t>
            </w:r>
            <w:proofErr w:type="spellStart"/>
            <w:r>
              <w:t>izvērtējumu</w:t>
            </w:r>
            <w:proofErr w:type="spellEnd"/>
            <w:r>
              <w:t xml:space="preserve"> par kādu no jaunā likuma aspektiem). </w:t>
            </w:r>
          </w:p>
          <w:p w14:paraId="37D79BDD" w14:textId="77777777" w:rsidR="005F1403" w:rsidRDefault="00C51886" w:rsidP="00F70E7C">
            <w:pPr>
              <w:jc w:val="both"/>
            </w:pPr>
            <w:r w:rsidRPr="00164F70">
              <w:t xml:space="preserve">Tāpat – līdzīgi kā </w:t>
            </w:r>
            <w:proofErr w:type="spellStart"/>
            <w:r w:rsidRPr="00164F70">
              <w:t>ex-ante</w:t>
            </w:r>
            <w:proofErr w:type="spellEnd"/>
            <w:r w:rsidRPr="00164F70">
              <w:t xml:space="preserve"> novērtējumiem var nebūt nepieciešami identiski dziļi izpētes līmeņi – tā arī </w:t>
            </w:r>
            <w:proofErr w:type="spellStart"/>
            <w:r w:rsidRPr="00164F70">
              <w:t>ex</w:t>
            </w:r>
            <w:proofErr w:type="spellEnd"/>
            <w:r w:rsidRPr="00164F70">
              <w:t xml:space="preserve">-post novērtējumiem ne vienmēr būs vajadzīga pamatīga, smagnēja, ārpakalpojumā nodota izpēte. </w:t>
            </w:r>
            <w:r>
              <w:t>Dažkārt pilnīgi pietiktu ar ministrijas pašas resursiem tam, lai noteiktu, vai jaunā regulējuma ietekme kopumā atbilst mērķiem vai nē.  Ārpakalpojums būtu nepieciešams tikai tad, ja šādu vērtējumu veikt ir tehniski sarežģīti, laikietilpīgi.</w:t>
            </w:r>
          </w:p>
        </w:tc>
        <w:tc>
          <w:tcPr>
            <w:tcW w:w="3419" w:type="dxa"/>
            <w:tcBorders>
              <w:left w:val="single" w:sz="6" w:space="0" w:color="000000" w:themeColor="text1"/>
              <w:bottom w:val="single" w:sz="4" w:space="0" w:color="auto"/>
              <w:right w:val="single" w:sz="6" w:space="0" w:color="000000" w:themeColor="text1"/>
            </w:tcBorders>
          </w:tcPr>
          <w:p w14:paraId="76445C73" w14:textId="19EFECB2" w:rsidR="005F1403" w:rsidRPr="00712B66" w:rsidRDefault="5FBAC2BB" w:rsidP="6AB3EBF0">
            <w:pPr>
              <w:pStyle w:val="naisc"/>
              <w:spacing w:before="0" w:after="0"/>
              <w:ind w:firstLine="720"/>
              <w:jc w:val="both"/>
              <w:rPr>
                <w:b/>
                <w:bCs/>
              </w:rPr>
            </w:pPr>
            <w:r w:rsidRPr="6AB3EBF0">
              <w:rPr>
                <w:b/>
                <w:bCs/>
              </w:rPr>
              <w:lastRenderedPageBreak/>
              <w:t>Ņemts vērā</w:t>
            </w:r>
          </w:p>
          <w:p w14:paraId="0DBF2EEB" w14:textId="7FF96530" w:rsidR="005F1403" w:rsidRPr="00712B66" w:rsidRDefault="6BB1BBD9" w:rsidP="6AB3EBF0">
            <w:pPr>
              <w:jc w:val="both"/>
            </w:pPr>
            <w:r>
              <w:t xml:space="preserve">Informatīvajā ziņojumā netiek piedāvāts </w:t>
            </w:r>
            <w:r w:rsidR="015C5A5C">
              <w:t xml:space="preserve">visus </w:t>
            </w:r>
            <w:proofErr w:type="spellStart"/>
            <w:r w:rsidR="1D6C345D">
              <w:t>ex</w:t>
            </w:r>
            <w:proofErr w:type="spellEnd"/>
            <w:r w:rsidR="1D6C345D">
              <w:t>-</w:t>
            </w:r>
            <w:r>
              <w:t>post novērtējum</w:t>
            </w:r>
            <w:r w:rsidR="522C9E75">
              <w:t xml:space="preserve">us veikt tikai ārpakalpojumu veidā, bet </w:t>
            </w:r>
            <w:r w:rsidR="579200F3">
              <w:t>uzlabot</w:t>
            </w:r>
            <w:r w:rsidR="18ED1BC2">
              <w:t xml:space="preserve"> institūcij</w:t>
            </w:r>
            <w:r w:rsidR="3EFEBC36">
              <w:t>u iespējas</w:t>
            </w:r>
            <w:r w:rsidR="522C9E75">
              <w:t xml:space="preserve"> padziļināto</w:t>
            </w:r>
            <w:r w:rsidR="3698A331">
              <w:t>s</w:t>
            </w:r>
            <w:r w:rsidR="522C9E75">
              <w:t xml:space="preserve"> </w:t>
            </w:r>
            <w:proofErr w:type="spellStart"/>
            <w:r w:rsidR="522C9E75">
              <w:t>ex</w:t>
            </w:r>
            <w:proofErr w:type="spellEnd"/>
            <w:r w:rsidR="522C9E75">
              <w:t>-post novērtējumu</w:t>
            </w:r>
            <w:r w:rsidR="172D871B">
              <w:t xml:space="preserve">s veikt ārpakalpojumu veidā.  </w:t>
            </w:r>
            <w:r w:rsidR="39F8FA47">
              <w:t xml:space="preserve"> </w:t>
            </w:r>
            <w:r w:rsidR="0D971BE8">
              <w:t>Š</w:t>
            </w:r>
            <w:r w:rsidR="757315C9">
              <w:t xml:space="preserve">ādu </w:t>
            </w:r>
            <w:r w:rsidR="31506C4E">
              <w:t xml:space="preserve">iespēju </w:t>
            </w:r>
            <w:r w:rsidR="757315C9">
              <w:t>plānots izvirzīt</w:t>
            </w:r>
            <w:r w:rsidR="697CDBAC">
              <w:t xml:space="preserve"> par </w:t>
            </w:r>
            <w:proofErr w:type="spellStart"/>
            <w:r w:rsidR="697CDBAC">
              <w:t>pamatopciju</w:t>
            </w:r>
            <w:proofErr w:type="spellEnd"/>
            <w:r w:rsidR="697CDBAC">
              <w:t xml:space="preserve"> gadījumos, kad jāv</w:t>
            </w:r>
            <w:r w:rsidR="05EFF176">
              <w:t xml:space="preserve">eic kādas ievērojamās reformas, jaunās sistēmas darbības ietekmes </w:t>
            </w:r>
            <w:r w:rsidR="529CD0CA">
              <w:t>pēcpārbaudes no</w:t>
            </w:r>
            <w:r w:rsidR="05EFF176">
              <w:t>vērtējums, kur nepieciešama ievērojamā analītiskā kapacitāte un objektivitāte.</w:t>
            </w:r>
            <w:r w:rsidR="360D0329">
              <w:t xml:space="preserve"> Šis būs viens no darba grupas izvērtēšanas jautājums.</w:t>
            </w:r>
          </w:p>
          <w:p w14:paraId="0E5A1EF5" w14:textId="47C36775" w:rsidR="005F1403" w:rsidRPr="00712B66" w:rsidRDefault="005F1403" w:rsidP="1848A97E">
            <w:pPr>
              <w:pStyle w:val="naisc"/>
              <w:spacing w:before="0" w:after="0"/>
              <w:jc w:val="both"/>
            </w:pPr>
          </w:p>
          <w:p w14:paraId="12AF11D1" w14:textId="56ACC7C5" w:rsidR="005F1403" w:rsidRPr="00712B66" w:rsidRDefault="09EDEB7F" w:rsidP="1848A97E">
            <w:pPr>
              <w:jc w:val="both"/>
            </w:pPr>
            <w:r>
              <w:t>P</w:t>
            </w:r>
            <w:r w:rsidR="7F991F8A">
              <w:t xml:space="preserve">iekrītam, ka </w:t>
            </w:r>
            <w:proofErr w:type="spellStart"/>
            <w:r w:rsidR="7F991F8A">
              <w:t>p</w:t>
            </w:r>
            <w:r>
              <w:t>ēcnovērtējuma</w:t>
            </w:r>
            <w:proofErr w:type="spellEnd"/>
            <w:r>
              <w:t xml:space="preserve"> pienākums var izrietēt arī no normatīvā aktā (piemēram, ar attiecīgo likumu MK uzdots pēc 5 gadiem veikt </w:t>
            </w:r>
            <w:proofErr w:type="spellStart"/>
            <w:r>
              <w:t>izvērtējumu</w:t>
            </w:r>
            <w:proofErr w:type="spellEnd"/>
            <w:r>
              <w:t xml:space="preserve"> par kādu no jaunā likuma aspektiem)</w:t>
            </w:r>
            <w:r w:rsidR="2B8E73B2">
              <w:t xml:space="preserve">, tāpēc tas </w:t>
            </w:r>
            <w:r>
              <w:t xml:space="preserve">ir integrēts TAP portālā </w:t>
            </w:r>
            <w:r w:rsidR="6E6EE66E">
              <w:lastRenderedPageBreak/>
              <w:t>sākotnējās ietekmes novērtējuma formā.</w:t>
            </w:r>
          </w:p>
          <w:p w14:paraId="51E6482B" w14:textId="47C36775" w:rsidR="005F1403" w:rsidRPr="00712B66" w:rsidRDefault="005F1403" w:rsidP="1848A97E">
            <w:pPr>
              <w:jc w:val="both"/>
            </w:pPr>
          </w:p>
          <w:p w14:paraId="37D79BDE" w14:textId="12CECED3" w:rsidR="005F1403" w:rsidRPr="00712B66" w:rsidRDefault="005F1403" w:rsidP="1848A97E">
            <w:pPr>
              <w:pStyle w:val="naisc"/>
              <w:spacing w:before="0" w:after="0"/>
              <w:jc w:val="both"/>
            </w:pPr>
          </w:p>
        </w:tc>
        <w:tc>
          <w:tcPr>
            <w:tcW w:w="3119" w:type="dxa"/>
            <w:tcBorders>
              <w:top w:val="single" w:sz="4" w:space="0" w:color="auto"/>
              <w:left w:val="single" w:sz="4" w:space="0" w:color="auto"/>
              <w:bottom w:val="single" w:sz="4" w:space="0" w:color="auto"/>
            </w:tcBorders>
          </w:tcPr>
          <w:p w14:paraId="2F5AC155" w14:textId="070C010B" w:rsidR="005F1403" w:rsidRPr="00712B66" w:rsidRDefault="261926CA" w:rsidP="6AB3EBF0">
            <w:pPr>
              <w:jc w:val="both"/>
            </w:pPr>
            <w:r w:rsidRPr="6AB3EBF0">
              <w:lastRenderedPageBreak/>
              <w:t>Informatīvais ziņojums precizēts: 2.nodaļas “Pārmaiņu</w:t>
            </w:r>
            <w:r w:rsidRPr="6AB3EBF0">
              <w:rPr>
                <w:rFonts w:eastAsia="Calibri"/>
              </w:rPr>
              <w:t xml:space="preserve"> virzieni un turpmākā rīcība</w:t>
            </w:r>
            <w:r w:rsidRPr="6AB3EBF0">
              <w:t xml:space="preserve">” 1. rīcības virziena apraksts. </w:t>
            </w:r>
          </w:p>
          <w:p w14:paraId="14AA72DE" w14:textId="168176BC" w:rsidR="005F1403" w:rsidRPr="00712B66" w:rsidRDefault="005F1403" w:rsidP="6AB3EBF0"/>
          <w:p w14:paraId="37D79BDF" w14:textId="6FA558F9" w:rsidR="005F1403" w:rsidRPr="00712B66" w:rsidRDefault="005F1403" w:rsidP="003B71E0"/>
        </w:tc>
      </w:tr>
      <w:tr w:rsidR="252FBCE5" w14:paraId="3CD3874C" w14:textId="77777777" w:rsidTr="00B93E39">
        <w:tc>
          <w:tcPr>
            <w:tcW w:w="708" w:type="dxa"/>
            <w:tcBorders>
              <w:left w:val="single" w:sz="6" w:space="0" w:color="000000" w:themeColor="text1"/>
              <w:bottom w:val="single" w:sz="4" w:space="0" w:color="auto"/>
              <w:right w:val="single" w:sz="6" w:space="0" w:color="000000" w:themeColor="text1"/>
            </w:tcBorders>
          </w:tcPr>
          <w:p w14:paraId="57F3A22D" w14:textId="613573F8" w:rsidR="252FBCE5" w:rsidRDefault="53F6DB2F" w:rsidP="252FBCE5">
            <w:pPr>
              <w:pStyle w:val="naisc"/>
            </w:pPr>
            <w:r>
              <w:t>18.</w:t>
            </w:r>
          </w:p>
        </w:tc>
        <w:tc>
          <w:tcPr>
            <w:tcW w:w="2261" w:type="dxa"/>
            <w:tcBorders>
              <w:left w:val="single" w:sz="6" w:space="0" w:color="000000" w:themeColor="text1"/>
              <w:bottom w:val="single" w:sz="4" w:space="0" w:color="auto"/>
              <w:right w:val="single" w:sz="6" w:space="0" w:color="000000" w:themeColor="text1"/>
            </w:tcBorders>
          </w:tcPr>
          <w:p w14:paraId="6FBB340D" w14:textId="5ECAD71B" w:rsidR="252FBCE5" w:rsidRDefault="252FBCE5" w:rsidP="252FBCE5">
            <w:pPr>
              <w:pStyle w:val="naisc"/>
            </w:pPr>
          </w:p>
        </w:tc>
        <w:tc>
          <w:tcPr>
            <w:tcW w:w="4519" w:type="dxa"/>
            <w:tcBorders>
              <w:left w:val="single" w:sz="6" w:space="0" w:color="000000" w:themeColor="text1"/>
              <w:bottom w:val="single" w:sz="4" w:space="0" w:color="auto"/>
              <w:right w:val="single" w:sz="6" w:space="0" w:color="000000" w:themeColor="text1"/>
            </w:tcBorders>
          </w:tcPr>
          <w:p w14:paraId="15CFDB3A" w14:textId="29FAAC02" w:rsidR="1F88A4F8" w:rsidRDefault="1F88A4F8" w:rsidP="252FBCE5">
            <w:pPr>
              <w:jc w:val="both"/>
              <w:rPr>
                <w:b/>
                <w:bCs/>
              </w:rPr>
            </w:pPr>
            <w:r w:rsidRPr="252FBCE5">
              <w:rPr>
                <w:b/>
                <w:bCs/>
              </w:rPr>
              <w:t>Ekonomikas ministrija:</w:t>
            </w:r>
          </w:p>
          <w:p w14:paraId="228921D9" w14:textId="37C3426A" w:rsidR="1F88A4F8" w:rsidRDefault="1F88A4F8" w:rsidP="252FBCE5">
            <w:pPr>
              <w:jc w:val="both"/>
              <w:rPr>
                <w:lang w:val="lv"/>
              </w:rPr>
            </w:pPr>
            <w:r w:rsidRPr="252FBCE5">
              <w:rPr>
                <w:lang w:val="lv"/>
              </w:rPr>
              <w:t>Lūdzam papildināt informatīvo ziņojumu vērtējot iemeslus, kādēļ ir zema sabiedrības līdzdalības aktivitāte.</w:t>
            </w:r>
          </w:p>
        </w:tc>
        <w:tc>
          <w:tcPr>
            <w:tcW w:w="3419" w:type="dxa"/>
            <w:tcBorders>
              <w:left w:val="single" w:sz="6" w:space="0" w:color="000000" w:themeColor="text1"/>
              <w:bottom w:val="single" w:sz="4" w:space="0" w:color="auto"/>
              <w:right w:val="single" w:sz="6" w:space="0" w:color="000000" w:themeColor="text1"/>
            </w:tcBorders>
          </w:tcPr>
          <w:p w14:paraId="71D91266" w14:textId="19EFECB2" w:rsidR="399A7AB4" w:rsidRDefault="399A7AB4" w:rsidP="00712E1E">
            <w:pPr>
              <w:pStyle w:val="naisc"/>
              <w:spacing w:before="0" w:after="0"/>
              <w:ind w:firstLine="720"/>
              <w:rPr>
                <w:b/>
                <w:bCs/>
              </w:rPr>
            </w:pPr>
            <w:r w:rsidRPr="6AB3EBF0">
              <w:rPr>
                <w:b/>
                <w:bCs/>
              </w:rPr>
              <w:t>Ņemts vērā</w:t>
            </w:r>
          </w:p>
          <w:p w14:paraId="33347C33" w14:textId="62A46F3C" w:rsidR="46443D61" w:rsidRDefault="201B5576" w:rsidP="6AB3EBF0">
            <w:pPr>
              <w:pStyle w:val="naisc"/>
              <w:jc w:val="both"/>
              <w:rPr>
                <w:color w:val="000000" w:themeColor="text1"/>
              </w:rPr>
            </w:pPr>
            <w:r w:rsidRPr="6AB3EBF0">
              <w:t>Informatīvajā ziņojumā nav apgalvo</w:t>
            </w:r>
            <w:r w:rsidR="09241B86" w:rsidRPr="6AB3EBF0">
              <w:t>ts,</w:t>
            </w:r>
            <w:r w:rsidRPr="6AB3EBF0">
              <w:t xml:space="preserve"> ka sabiedrības līdzdalības aktivitāte</w:t>
            </w:r>
            <w:r w:rsidR="46ED03FB" w:rsidRPr="6AB3EBF0">
              <w:t xml:space="preserve"> ir zema</w:t>
            </w:r>
            <w:r w:rsidRPr="6AB3EBF0">
              <w:t xml:space="preserve">, </w:t>
            </w:r>
            <w:r w:rsidR="6E83E5DB" w:rsidRPr="6AB3EBF0">
              <w:t>gluži</w:t>
            </w:r>
            <w:r w:rsidR="29895932" w:rsidRPr="6AB3EBF0">
              <w:t xml:space="preserve"> otrādi, sociālo partneru</w:t>
            </w:r>
            <w:r w:rsidR="6299D5CE" w:rsidRPr="6AB3EBF0">
              <w:t xml:space="preserve"> un </w:t>
            </w:r>
            <w:r w:rsidR="29895932" w:rsidRPr="6AB3EBF0">
              <w:t xml:space="preserve">nevalstisko organizāciju </w:t>
            </w:r>
            <w:r w:rsidR="58F009A8" w:rsidRPr="6AB3EBF0">
              <w:t xml:space="preserve">vēlme pilnvērtīgi iesaistīties tiesību aktu projektu izstrādē ir augsta. Ziņojumā ir </w:t>
            </w:r>
            <w:r w:rsidR="71FC57A9" w:rsidRPr="6AB3EBF0">
              <w:t>atklātas citas sabiedrības līdzdalības probl</w:t>
            </w:r>
            <w:r w:rsidR="014D22B3" w:rsidRPr="6AB3EBF0">
              <w:t>ēm</w:t>
            </w:r>
            <w:r w:rsidR="71FC57A9" w:rsidRPr="6AB3EBF0">
              <w:t>as: r</w:t>
            </w:r>
            <w:r w:rsidR="71FC57A9" w:rsidRPr="6AB3EBF0">
              <w:rPr>
                <w:color w:val="000000" w:themeColor="text1"/>
              </w:rPr>
              <w:t>īku, metožu un bieži vien arī kapacitātes trūkums gan valsts un pašvaldību institūcijās, gan sabiedriskajās organizācijās tieši praktiskas sabiedrības līdzdalības nodrošināšanai</w:t>
            </w:r>
            <w:r w:rsidR="7BC062DD" w:rsidRPr="6AB3EBF0">
              <w:rPr>
                <w:color w:val="000000" w:themeColor="text1"/>
              </w:rPr>
              <w:t>, kā arī p</w:t>
            </w:r>
            <w:r w:rsidR="71FC57A9" w:rsidRPr="6AB3EBF0">
              <w:rPr>
                <w:color w:val="000000" w:themeColor="text1"/>
              </w:rPr>
              <w:t>olitiskās gribas trūkums iesaistīt sabiedrību lēmum</w:t>
            </w:r>
            <w:r w:rsidR="0DA78F41" w:rsidRPr="6AB3EBF0">
              <w:rPr>
                <w:color w:val="000000" w:themeColor="text1"/>
              </w:rPr>
              <w:t>u</w:t>
            </w:r>
            <w:r w:rsidR="71FC57A9" w:rsidRPr="6AB3EBF0">
              <w:rPr>
                <w:color w:val="000000" w:themeColor="text1"/>
              </w:rPr>
              <w:t xml:space="preserve"> pieņemšanā</w:t>
            </w:r>
            <w:r w:rsidR="1D4442FD" w:rsidRPr="6AB3EBF0">
              <w:rPr>
                <w:color w:val="000000" w:themeColor="text1"/>
              </w:rPr>
              <w:t xml:space="preserve">. </w:t>
            </w:r>
            <w:r w:rsidR="71FC57A9" w:rsidRPr="6AB3EBF0">
              <w:t>Tātad, kopumā ir secināts, ka</w:t>
            </w:r>
            <w:r w:rsidR="6E3914F8" w:rsidRPr="6AB3EBF0">
              <w:t xml:space="preserve"> </w:t>
            </w:r>
            <w:r w:rsidR="71FC57A9" w:rsidRPr="6AB3EBF0">
              <w:t>s</w:t>
            </w:r>
            <w:r w:rsidR="617B677D" w:rsidRPr="6AB3EBF0">
              <w:rPr>
                <w:color w:val="000000" w:themeColor="text1"/>
              </w:rPr>
              <w:t>abiedrības līdzdalības praks</w:t>
            </w:r>
            <w:r w:rsidR="59991176" w:rsidRPr="6AB3EBF0">
              <w:rPr>
                <w:color w:val="000000" w:themeColor="text1"/>
              </w:rPr>
              <w:t xml:space="preserve">e, </w:t>
            </w:r>
            <w:r w:rsidR="4CAB698E" w:rsidRPr="6AB3EBF0">
              <w:rPr>
                <w:color w:val="000000" w:themeColor="text1"/>
              </w:rPr>
              <w:t xml:space="preserve">ko </w:t>
            </w:r>
            <w:r w:rsidR="4CAB698E" w:rsidRPr="6AB3EBF0">
              <w:rPr>
                <w:color w:val="000000" w:themeColor="text1"/>
              </w:rPr>
              <w:lastRenderedPageBreak/>
              <w:t>īsteno valsts pārvaldes iestādes</w:t>
            </w:r>
            <w:r w:rsidR="4C0A52B5" w:rsidRPr="6AB3EBF0">
              <w:rPr>
                <w:color w:val="000000" w:themeColor="text1"/>
              </w:rPr>
              <w:t>,</w:t>
            </w:r>
            <w:r w:rsidR="4CAB698E" w:rsidRPr="6AB3EBF0">
              <w:rPr>
                <w:color w:val="000000" w:themeColor="text1"/>
              </w:rPr>
              <w:t xml:space="preserve"> </w:t>
            </w:r>
            <w:r w:rsidR="015C3517" w:rsidRPr="6AB3EBF0">
              <w:rPr>
                <w:color w:val="000000" w:themeColor="text1"/>
              </w:rPr>
              <w:t xml:space="preserve">ir nepietiekama un formāla, </w:t>
            </w:r>
            <w:r w:rsidR="317CECBA" w:rsidRPr="6AB3EBF0">
              <w:rPr>
                <w:color w:val="000000" w:themeColor="text1"/>
              </w:rPr>
              <w:t xml:space="preserve">to </w:t>
            </w:r>
            <w:r w:rsidR="015C3517" w:rsidRPr="6AB3EBF0">
              <w:rPr>
                <w:color w:val="000000" w:themeColor="text1"/>
              </w:rPr>
              <w:t>ir ne</w:t>
            </w:r>
            <w:r w:rsidR="4CAB698E" w:rsidRPr="6AB3EBF0">
              <w:rPr>
                <w:color w:val="000000" w:themeColor="text1"/>
              </w:rPr>
              <w:t>pieciešam</w:t>
            </w:r>
            <w:r w:rsidR="5F7C9009" w:rsidRPr="6AB3EBF0">
              <w:rPr>
                <w:color w:val="000000" w:themeColor="text1"/>
              </w:rPr>
              <w:t>s</w:t>
            </w:r>
            <w:r w:rsidR="492D10C2" w:rsidRPr="6AB3EBF0">
              <w:rPr>
                <w:color w:val="000000" w:themeColor="text1"/>
              </w:rPr>
              <w:t xml:space="preserve"> </w:t>
            </w:r>
            <w:r w:rsidR="4CAB698E" w:rsidRPr="6AB3EBF0">
              <w:rPr>
                <w:color w:val="000000" w:themeColor="text1"/>
              </w:rPr>
              <w:t>kvalitatīvi uzlabot</w:t>
            </w:r>
            <w:r w:rsidR="35F0B33E" w:rsidRPr="6AB3EBF0">
              <w:rPr>
                <w:color w:val="000000" w:themeColor="text1"/>
              </w:rPr>
              <w:t xml:space="preserve"> - tas jau pašlaik ir ietverts informatīvajā ziņojumā (2.lpp).</w:t>
            </w:r>
          </w:p>
        </w:tc>
        <w:tc>
          <w:tcPr>
            <w:tcW w:w="3119" w:type="dxa"/>
            <w:tcBorders>
              <w:top w:val="single" w:sz="4" w:space="0" w:color="auto"/>
              <w:left w:val="single" w:sz="4" w:space="0" w:color="auto"/>
              <w:bottom w:val="single" w:sz="4" w:space="0" w:color="auto"/>
            </w:tcBorders>
          </w:tcPr>
          <w:p w14:paraId="0FFB51D3" w14:textId="073D0F7F" w:rsidR="252FBCE5" w:rsidRDefault="252FBCE5" w:rsidP="252FBCE5"/>
        </w:tc>
      </w:tr>
      <w:tr w:rsidR="252FBCE5" w14:paraId="60292D31" w14:textId="77777777" w:rsidTr="00B93E39">
        <w:tc>
          <w:tcPr>
            <w:tcW w:w="708" w:type="dxa"/>
            <w:tcBorders>
              <w:left w:val="single" w:sz="6" w:space="0" w:color="000000" w:themeColor="text1"/>
              <w:bottom w:val="single" w:sz="4" w:space="0" w:color="auto"/>
              <w:right w:val="single" w:sz="6" w:space="0" w:color="000000" w:themeColor="text1"/>
            </w:tcBorders>
          </w:tcPr>
          <w:p w14:paraId="3C6C9E91" w14:textId="5C67C0E5" w:rsidR="252FBCE5" w:rsidRDefault="683B9C7C" w:rsidP="252FBCE5">
            <w:pPr>
              <w:pStyle w:val="naisc"/>
            </w:pPr>
            <w:r>
              <w:t>19.</w:t>
            </w:r>
          </w:p>
        </w:tc>
        <w:tc>
          <w:tcPr>
            <w:tcW w:w="2261" w:type="dxa"/>
            <w:tcBorders>
              <w:left w:val="single" w:sz="6" w:space="0" w:color="000000" w:themeColor="text1"/>
              <w:bottom w:val="single" w:sz="4" w:space="0" w:color="auto"/>
              <w:right w:val="single" w:sz="6" w:space="0" w:color="000000" w:themeColor="text1"/>
            </w:tcBorders>
          </w:tcPr>
          <w:p w14:paraId="3A1D46EF" w14:textId="25DA3F82" w:rsidR="252FBCE5" w:rsidRDefault="252FBCE5" w:rsidP="252FBCE5">
            <w:pPr>
              <w:pStyle w:val="naisc"/>
            </w:pPr>
          </w:p>
        </w:tc>
        <w:tc>
          <w:tcPr>
            <w:tcW w:w="4519" w:type="dxa"/>
            <w:tcBorders>
              <w:left w:val="single" w:sz="6" w:space="0" w:color="000000" w:themeColor="text1"/>
              <w:bottom w:val="single" w:sz="4" w:space="0" w:color="auto"/>
              <w:right w:val="single" w:sz="6" w:space="0" w:color="000000" w:themeColor="text1"/>
            </w:tcBorders>
          </w:tcPr>
          <w:p w14:paraId="4F79659D" w14:textId="6BFA7A50" w:rsidR="6BE4A1A7" w:rsidRDefault="6BE4A1A7" w:rsidP="252FBCE5">
            <w:pPr>
              <w:jc w:val="both"/>
              <w:rPr>
                <w:lang w:val="lv"/>
              </w:rPr>
            </w:pPr>
            <w:r w:rsidRPr="252FBCE5">
              <w:rPr>
                <w:lang w:val="lv"/>
              </w:rPr>
              <w:t xml:space="preserve">Apsvērt iespēju ietekmes </w:t>
            </w:r>
            <w:proofErr w:type="spellStart"/>
            <w:r w:rsidRPr="252FBCE5">
              <w:rPr>
                <w:lang w:val="lv"/>
              </w:rPr>
              <w:t>izvērtējumā</w:t>
            </w:r>
            <w:proofErr w:type="spellEnd"/>
            <w:r w:rsidRPr="252FBCE5">
              <w:rPr>
                <w:lang w:val="lv"/>
              </w:rPr>
              <w:t xml:space="preserve"> iekļaut nepieciešamību izvērtēt </w:t>
            </w:r>
            <w:proofErr w:type="spellStart"/>
            <w:r w:rsidRPr="252FBCE5">
              <w:rPr>
                <w:lang w:val="lv"/>
              </w:rPr>
              <w:t>turpināmības</w:t>
            </w:r>
            <w:proofErr w:type="spellEnd"/>
            <w:r w:rsidRPr="252FBCE5">
              <w:rPr>
                <w:lang w:val="lv"/>
              </w:rPr>
              <w:t xml:space="preserve"> (</w:t>
            </w:r>
            <w:proofErr w:type="spellStart"/>
            <w:r w:rsidRPr="252FBCE5">
              <w:rPr>
                <w:i/>
                <w:iCs/>
                <w:lang w:val="lv"/>
              </w:rPr>
              <w:t>sunset</w:t>
            </w:r>
            <w:proofErr w:type="spellEnd"/>
            <w:r w:rsidRPr="252FBCE5">
              <w:rPr>
                <w:i/>
                <w:iCs/>
                <w:lang w:val="lv"/>
              </w:rPr>
              <w:t xml:space="preserve"> </w:t>
            </w:r>
            <w:proofErr w:type="spellStart"/>
            <w:r w:rsidRPr="252FBCE5">
              <w:rPr>
                <w:i/>
                <w:iCs/>
                <w:lang w:val="lv"/>
              </w:rPr>
              <w:t>clause</w:t>
            </w:r>
            <w:proofErr w:type="spellEnd"/>
            <w:r w:rsidRPr="252FBCE5">
              <w:rPr>
                <w:lang w:val="lv"/>
              </w:rPr>
              <w:t>) klauzulas iekļaušanu likumdošanas priekšlikumā, kas paredzētu pēc noteikta laika izvērtēt vai konkrētais likumdošanas priekšlikums ir sasniedzis savu mērķi un cik lielā mērā tas ir sasniegts, kā arī to, vai ir nepieciešami precizējumi, papildinājumi vai tiesību akta atcelšanu, ja izvirzītais mērķis nav sasniegts vai arī vairs nav aktuāls.</w:t>
            </w:r>
          </w:p>
        </w:tc>
        <w:tc>
          <w:tcPr>
            <w:tcW w:w="3419" w:type="dxa"/>
            <w:tcBorders>
              <w:left w:val="single" w:sz="6" w:space="0" w:color="000000" w:themeColor="text1"/>
              <w:bottom w:val="single" w:sz="4" w:space="0" w:color="auto"/>
              <w:right w:val="single" w:sz="6" w:space="0" w:color="000000" w:themeColor="text1"/>
            </w:tcBorders>
          </w:tcPr>
          <w:p w14:paraId="11E94E28" w14:textId="5C6C63A3" w:rsidR="11770113" w:rsidRDefault="33B81672" w:rsidP="6AB3EBF0">
            <w:pPr>
              <w:pStyle w:val="naisc"/>
              <w:rPr>
                <w:b/>
                <w:bCs/>
              </w:rPr>
            </w:pPr>
            <w:r w:rsidRPr="6AB3EBF0">
              <w:rPr>
                <w:b/>
                <w:bCs/>
              </w:rPr>
              <w:t>Ņemts vērā</w:t>
            </w:r>
          </w:p>
        </w:tc>
        <w:tc>
          <w:tcPr>
            <w:tcW w:w="3119" w:type="dxa"/>
            <w:tcBorders>
              <w:top w:val="single" w:sz="4" w:space="0" w:color="auto"/>
              <w:left w:val="single" w:sz="4" w:space="0" w:color="auto"/>
              <w:bottom w:val="single" w:sz="4" w:space="0" w:color="auto"/>
            </w:tcBorders>
          </w:tcPr>
          <w:p w14:paraId="52E9C1FE" w14:textId="17318D0D" w:rsidR="11770113" w:rsidRDefault="636C047A" w:rsidP="6AB3EBF0">
            <w:pPr>
              <w:jc w:val="both"/>
            </w:pPr>
            <w:r w:rsidRPr="6AB3EBF0">
              <w:t>Informatīvais ziņojums papildināts: 2.</w:t>
            </w:r>
            <w:r w:rsidR="5C183E24" w:rsidRPr="6AB3EBF0">
              <w:t xml:space="preserve"> </w:t>
            </w:r>
            <w:r w:rsidRPr="6AB3EBF0">
              <w:t>nodaļ</w:t>
            </w:r>
            <w:r w:rsidR="59E6C11E" w:rsidRPr="6AB3EBF0">
              <w:t>a</w:t>
            </w:r>
            <w:r w:rsidRPr="6AB3EBF0">
              <w:t>s “Pārmaiņu</w:t>
            </w:r>
            <w:r w:rsidRPr="6AB3EBF0">
              <w:rPr>
                <w:rFonts w:eastAsia="Calibri"/>
              </w:rPr>
              <w:t xml:space="preserve"> virzieni un turpmākā rīcība</w:t>
            </w:r>
            <w:r w:rsidRPr="6AB3EBF0">
              <w:t xml:space="preserve">” 1. rīcības virziena apraksts. </w:t>
            </w:r>
          </w:p>
          <w:p w14:paraId="49CA8E87" w14:textId="168176BC" w:rsidR="11770113" w:rsidRDefault="11770113" w:rsidP="252FBCE5"/>
          <w:p w14:paraId="05FE666D" w14:textId="32EB4394" w:rsidR="11770113" w:rsidRDefault="11770113" w:rsidP="252FBCE5"/>
        </w:tc>
      </w:tr>
      <w:tr w:rsidR="252FBCE5" w14:paraId="5C71451C" w14:textId="77777777" w:rsidTr="00B93E39">
        <w:tc>
          <w:tcPr>
            <w:tcW w:w="708" w:type="dxa"/>
            <w:tcBorders>
              <w:left w:val="single" w:sz="6" w:space="0" w:color="000000" w:themeColor="text1"/>
              <w:bottom w:val="single" w:sz="4" w:space="0" w:color="auto"/>
              <w:right w:val="single" w:sz="6" w:space="0" w:color="000000" w:themeColor="text1"/>
            </w:tcBorders>
          </w:tcPr>
          <w:p w14:paraId="00327A50" w14:textId="327ED3DE" w:rsidR="252FBCE5" w:rsidRDefault="3DA1E1C2" w:rsidP="252FBCE5">
            <w:pPr>
              <w:pStyle w:val="naisc"/>
            </w:pPr>
            <w:r>
              <w:t>20.</w:t>
            </w:r>
          </w:p>
        </w:tc>
        <w:tc>
          <w:tcPr>
            <w:tcW w:w="2261" w:type="dxa"/>
            <w:tcBorders>
              <w:left w:val="single" w:sz="6" w:space="0" w:color="000000" w:themeColor="text1"/>
              <w:bottom w:val="single" w:sz="4" w:space="0" w:color="auto"/>
              <w:right w:val="single" w:sz="6" w:space="0" w:color="000000" w:themeColor="text1"/>
            </w:tcBorders>
          </w:tcPr>
          <w:p w14:paraId="7DD2B595" w14:textId="5C2D0EA2" w:rsidR="252FBCE5" w:rsidRDefault="252FBCE5" w:rsidP="252FBCE5">
            <w:pPr>
              <w:pStyle w:val="naisc"/>
            </w:pPr>
          </w:p>
        </w:tc>
        <w:tc>
          <w:tcPr>
            <w:tcW w:w="4519" w:type="dxa"/>
            <w:tcBorders>
              <w:left w:val="single" w:sz="6" w:space="0" w:color="000000" w:themeColor="text1"/>
              <w:bottom w:val="single" w:sz="4" w:space="0" w:color="auto"/>
              <w:right w:val="single" w:sz="6" w:space="0" w:color="000000" w:themeColor="text1"/>
            </w:tcBorders>
          </w:tcPr>
          <w:p w14:paraId="4766BD20" w14:textId="1008D374" w:rsidR="6BE4A1A7" w:rsidRDefault="6BE4A1A7" w:rsidP="252FBCE5">
            <w:pPr>
              <w:jc w:val="both"/>
              <w:rPr>
                <w:lang w:val="lv"/>
              </w:rPr>
            </w:pPr>
            <w:r w:rsidRPr="252FBCE5">
              <w:rPr>
                <w:lang w:val="lv"/>
              </w:rPr>
              <w:t>Aicinām izvērtēt centralizēta administratīvā sloga aprēķina modeļa ieviešanu, iekļaujot bāzes izejas datus, kas ļautu ietaupīt resursus veicot administratīvā sloga monetāro aprēķinus.</w:t>
            </w:r>
          </w:p>
        </w:tc>
        <w:tc>
          <w:tcPr>
            <w:tcW w:w="3419" w:type="dxa"/>
            <w:tcBorders>
              <w:left w:val="single" w:sz="6" w:space="0" w:color="000000" w:themeColor="text1"/>
              <w:bottom w:val="single" w:sz="4" w:space="0" w:color="auto"/>
              <w:right w:val="single" w:sz="6" w:space="0" w:color="000000" w:themeColor="text1"/>
            </w:tcBorders>
          </w:tcPr>
          <w:p w14:paraId="3D3FB0AB" w14:textId="40CFE8D1" w:rsidR="252FBCE5" w:rsidRDefault="4268322D" w:rsidP="6AB3EBF0">
            <w:pPr>
              <w:pStyle w:val="naisc"/>
              <w:rPr>
                <w:b/>
                <w:bCs/>
              </w:rPr>
            </w:pPr>
            <w:r w:rsidRPr="6AB3EBF0">
              <w:rPr>
                <w:b/>
                <w:bCs/>
              </w:rPr>
              <w:t>N</w:t>
            </w:r>
            <w:r w:rsidR="49ECDF3C" w:rsidRPr="6AB3EBF0">
              <w:rPr>
                <w:b/>
                <w:bCs/>
              </w:rPr>
              <w:t>av ņ</w:t>
            </w:r>
            <w:r w:rsidR="74962F7C" w:rsidRPr="6AB3EBF0">
              <w:rPr>
                <w:b/>
                <w:bCs/>
              </w:rPr>
              <w:t>emts vērā</w:t>
            </w:r>
          </w:p>
          <w:p w14:paraId="5512C908" w14:textId="1D1C3F84" w:rsidR="252FBCE5" w:rsidRDefault="597BCA2D" w:rsidP="6AB3EBF0">
            <w:pPr>
              <w:pStyle w:val="naisc"/>
              <w:jc w:val="both"/>
              <w:rPr>
                <w:lang w:val="lv"/>
              </w:rPr>
            </w:pPr>
            <w:r w:rsidRPr="6AB3EBF0">
              <w:rPr>
                <w:lang w:val="lv"/>
              </w:rPr>
              <w:t>OECD veikt</w:t>
            </w:r>
            <w:r w:rsidR="548C60B7" w:rsidRPr="6AB3EBF0">
              <w:rPr>
                <w:lang w:val="lv"/>
              </w:rPr>
              <w:t>ā</w:t>
            </w:r>
            <w:r w:rsidRPr="6AB3EBF0">
              <w:rPr>
                <w:lang w:val="lv"/>
              </w:rPr>
              <w:t xml:space="preserve"> analīz</w:t>
            </w:r>
            <w:r w:rsidR="68268D74" w:rsidRPr="6AB3EBF0">
              <w:rPr>
                <w:lang w:val="lv"/>
              </w:rPr>
              <w:t>e</w:t>
            </w:r>
            <w:r w:rsidRPr="6AB3EBF0">
              <w:rPr>
                <w:lang w:val="lv"/>
              </w:rPr>
              <w:t xml:space="preserve"> par citu valstu pieredzi šajā jomā </w:t>
            </w:r>
            <w:r w:rsidR="6F5EBA3A" w:rsidRPr="6AB3EBF0">
              <w:rPr>
                <w:lang w:val="lv"/>
              </w:rPr>
              <w:t>liecina</w:t>
            </w:r>
            <w:r w:rsidRPr="6AB3EBF0">
              <w:rPr>
                <w:lang w:val="lv"/>
              </w:rPr>
              <w:t xml:space="preserve">, ka centralizēta administratīvā sloga aprēķina modeļa </w:t>
            </w:r>
            <w:r w:rsidR="77F75419" w:rsidRPr="6AB3EBF0">
              <w:rPr>
                <w:lang w:val="lv"/>
              </w:rPr>
              <w:t xml:space="preserve">ieviešana </w:t>
            </w:r>
            <w:r w:rsidRPr="6AB3EBF0">
              <w:rPr>
                <w:lang w:val="lv"/>
              </w:rPr>
              <w:t>nav iespējama, jo katr</w:t>
            </w:r>
            <w:r w:rsidR="15E77B86" w:rsidRPr="6AB3EBF0">
              <w:rPr>
                <w:lang w:val="lv"/>
              </w:rPr>
              <w:t>s gadījums ir atšķirīgs</w:t>
            </w:r>
            <w:r w:rsidR="4E2CFAB1" w:rsidRPr="6AB3EBF0">
              <w:rPr>
                <w:lang w:val="lv"/>
              </w:rPr>
              <w:t xml:space="preserve"> (un vislabāk zināms tieši nozares ekspertiem)</w:t>
            </w:r>
            <w:r w:rsidR="0DBE03A6" w:rsidRPr="6AB3EBF0">
              <w:rPr>
                <w:lang w:val="lv"/>
              </w:rPr>
              <w:t xml:space="preserve">, turklāt pastāvīgi mainās </w:t>
            </w:r>
            <w:r w:rsidR="5A1D1604" w:rsidRPr="6AB3EBF0">
              <w:rPr>
                <w:lang w:val="lv"/>
              </w:rPr>
              <w:t>rādītāju vērtības</w:t>
            </w:r>
            <w:r w:rsidR="0DBE03A6" w:rsidRPr="6AB3EBF0">
              <w:rPr>
                <w:lang w:val="lv"/>
              </w:rPr>
              <w:t>, kas tiek izmantot</w:t>
            </w:r>
            <w:r w:rsidR="646688CC" w:rsidRPr="6AB3EBF0">
              <w:rPr>
                <w:lang w:val="lv"/>
              </w:rPr>
              <w:t>as</w:t>
            </w:r>
            <w:r w:rsidR="0DBE03A6" w:rsidRPr="6AB3EBF0">
              <w:rPr>
                <w:lang w:val="lv"/>
              </w:rPr>
              <w:t xml:space="preserve"> aprēķinos. Ir iespējams aprēķinus </w:t>
            </w:r>
            <w:r w:rsidR="663ABDDB" w:rsidRPr="6AB3EBF0">
              <w:rPr>
                <w:lang w:val="lv"/>
              </w:rPr>
              <w:t>vienkāršot, nodrošinot ērtu formu to veikšanai un metodoloģisko atbalstu</w:t>
            </w:r>
            <w:r w:rsidR="6D2FCCC3" w:rsidRPr="6AB3EBF0">
              <w:rPr>
                <w:lang w:val="lv"/>
              </w:rPr>
              <w:t>, kas savukārt tiek paredzēts jaunajā TAP portālā.</w:t>
            </w:r>
            <w:r w:rsidR="57899806" w:rsidRPr="6AB3EBF0">
              <w:rPr>
                <w:lang w:val="lv"/>
              </w:rPr>
              <w:t xml:space="preserve"> </w:t>
            </w:r>
          </w:p>
        </w:tc>
        <w:tc>
          <w:tcPr>
            <w:tcW w:w="3119" w:type="dxa"/>
            <w:tcBorders>
              <w:top w:val="single" w:sz="4" w:space="0" w:color="auto"/>
              <w:left w:val="single" w:sz="4" w:space="0" w:color="auto"/>
              <w:bottom w:val="single" w:sz="4" w:space="0" w:color="auto"/>
            </w:tcBorders>
          </w:tcPr>
          <w:p w14:paraId="10A06771" w14:textId="058B777A" w:rsidR="252FBCE5" w:rsidRDefault="252FBCE5" w:rsidP="252FBCE5"/>
        </w:tc>
      </w:tr>
      <w:tr w:rsidR="252FBCE5" w14:paraId="61367314" w14:textId="77777777" w:rsidTr="00B93E39">
        <w:tc>
          <w:tcPr>
            <w:tcW w:w="708" w:type="dxa"/>
            <w:tcBorders>
              <w:left w:val="single" w:sz="6" w:space="0" w:color="000000" w:themeColor="text1"/>
              <w:bottom w:val="single" w:sz="4" w:space="0" w:color="auto"/>
              <w:right w:val="single" w:sz="6" w:space="0" w:color="000000" w:themeColor="text1"/>
            </w:tcBorders>
          </w:tcPr>
          <w:p w14:paraId="3BFA9C6E" w14:textId="4613A0CE" w:rsidR="252FBCE5" w:rsidRDefault="42032283" w:rsidP="252FBCE5">
            <w:pPr>
              <w:pStyle w:val="naisc"/>
            </w:pPr>
            <w:r>
              <w:t>21.</w:t>
            </w:r>
          </w:p>
        </w:tc>
        <w:tc>
          <w:tcPr>
            <w:tcW w:w="2261" w:type="dxa"/>
            <w:tcBorders>
              <w:left w:val="single" w:sz="6" w:space="0" w:color="000000" w:themeColor="text1"/>
              <w:bottom w:val="single" w:sz="4" w:space="0" w:color="auto"/>
              <w:right w:val="single" w:sz="6" w:space="0" w:color="000000" w:themeColor="text1"/>
            </w:tcBorders>
          </w:tcPr>
          <w:p w14:paraId="3907E61E" w14:textId="14376CC3" w:rsidR="252FBCE5" w:rsidRDefault="252FBCE5" w:rsidP="252FBCE5">
            <w:pPr>
              <w:pStyle w:val="naisc"/>
            </w:pPr>
          </w:p>
        </w:tc>
        <w:tc>
          <w:tcPr>
            <w:tcW w:w="4519" w:type="dxa"/>
            <w:tcBorders>
              <w:left w:val="single" w:sz="6" w:space="0" w:color="000000" w:themeColor="text1"/>
              <w:bottom w:val="single" w:sz="4" w:space="0" w:color="auto"/>
              <w:right w:val="single" w:sz="6" w:space="0" w:color="000000" w:themeColor="text1"/>
            </w:tcBorders>
          </w:tcPr>
          <w:p w14:paraId="55C07246" w14:textId="639770D8" w:rsidR="6BE4A1A7" w:rsidRDefault="6BE4A1A7" w:rsidP="252FBCE5">
            <w:pPr>
              <w:jc w:val="both"/>
              <w:rPr>
                <w:lang w:val="lv"/>
              </w:rPr>
            </w:pPr>
            <w:r w:rsidRPr="252FBCE5">
              <w:rPr>
                <w:lang w:val="lv"/>
              </w:rPr>
              <w:t xml:space="preserve">Vēršam uzmanību, ka, ņemot vērā informatīvajā ziņojumā norādītos </w:t>
            </w:r>
            <w:r w:rsidRPr="252FBCE5">
              <w:rPr>
                <w:lang w:val="lv"/>
              </w:rPr>
              <w:lastRenderedPageBreak/>
              <w:t>secinājumus, tai skaitā, “Resursu un kompetences trūkums ministrijās veikt pilnvērtīgu un objektīvu ietekmes novērtējumu” detalizētāka ietekmes novērtējuma anketa informatīvajā ziņojumā konstatētās problēmas nerisinās, bet gluži pretēji – vēl pastiprinās. Papildus resursu trūkumam, arī ilgstošas iepirkumu procedūras reizēm kļūst par šķērsli ārpakalpojumu pasūtījumam, ja dokumenta virzība ir steidzama. Bieži vien arī ārpakalpojumā neizdodas iegūt nepieciešamo novērtējuma kvalitāti. Tāpat arī sabiedrības iespēja komentēt normatīvo aktu un plānošanas dokumentu projektus tomēr dod pietiekošu iespēju sabiedrības līdzdalībai.</w:t>
            </w:r>
          </w:p>
          <w:p w14:paraId="270CD5FA" w14:textId="31D2FA61" w:rsidR="6BE4A1A7" w:rsidRDefault="6BE4A1A7" w:rsidP="252FBCE5">
            <w:pPr>
              <w:jc w:val="both"/>
              <w:rPr>
                <w:lang w:val="lv"/>
              </w:rPr>
            </w:pPr>
            <w:r w:rsidRPr="252FBCE5">
              <w:rPr>
                <w:lang w:val="lv"/>
              </w:rPr>
              <w:t>Ņemot vērā minēto, ir būtiski, lai izstrādājot jaunu ietekmes novērtējuma kārtību, ietekmes novērtējums neradītu vēl papildus administratīvo slodzi, bet gan ļautu aizpildītājam izmantot konkrētas opcijas un novērtējuma variantus, gadījumā, ja novērtējuma skaitliski rādītāji nav pieejami.</w:t>
            </w:r>
          </w:p>
          <w:p w14:paraId="0A32A4EA" w14:textId="70F6AE0E" w:rsidR="252FBCE5" w:rsidRDefault="252FBCE5" w:rsidP="252FBCE5">
            <w:pPr>
              <w:jc w:val="both"/>
            </w:pPr>
          </w:p>
        </w:tc>
        <w:tc>
          <w:tcPr>
            <w:tcW w:w="3419" w:type="dxa"/>
            <w:tcBorders>
              <w:left w:val="single" w:sz="6" w:space="0" w:color="000000" w:themeColor="text1"/>
              <w:bottom w:val="single" w:sz="4" w:space="0" w:color="auto"/>
              <w:right w:val="single" w:sz="6" w:space="0" w:color="000000" w:themeColor="text1"/>
            </w:tcBorders>
          </w:tcPr>
          <w:p w14:paraId="500BE915" w14:textId="5C6C63A3" w:rsidR="252FBCE5" w:rsidRDefault="2A5FD898" w:rsidP="6AB3EBF0">
            <w:pPr>
              <w:pStyle w:val="naisc"/>
              <w:rPr>
                <w:b/>
                <w:bCs/>
              </w:rPr>
            </w:pPr>
            <w:r w:rsidRPr="6AB3EBF0">
              <w:rPr>
                <w:b/>
                <w:bCs/>
              </w:rPr>
              <w:lastRenderedPageBreak/>
              <w:t>Ņemts vērā</w:t>
            </w:r>
          </w:p>
          <w:p w14:paraId="7DEEC01D" w14:textId="01883849" w:rsidR="252FBCE5" w:rsidRDefault="3BC4F0E7" w:rsidP="6AB3EBF0">
            <w:pPr>
              <w:spacing w:after="160"/>
              <w:rPr>
                <w:rFonts w:ascii="Verdana" w:eastAsia="Verdana" w:hAnsi="Verdana" w:cs="Verdana"/>
                <w:color w:val="000000" w:themeColor="text1"/>
                <w:sz w:val="16"/>
                <w:szCs w:val="16"/>
              </w:rPr>
            </w:pPr>
            <w:r w:rsidRPr="6AB3EBF0">
              <w:rPr>
                <w:rFonts w:eastAsia="Calibri"/>
                <w:i/>
                <w:iCs/>
              </w:rPr>
              <w:lastRenderedPageBreak/>
              <w:t>S</w:t>
            </w:r>
            <w:r w:rsidR="7DEBF6AE" w:rsidRPr="6AB3EBF0">
              <w:rPr>
                <w:rFonts w:eastAsia="Calibri"/>
                <w:i/>
                <w:iCs/>
              </w:rPr>
              <w:t>k. Vals</w:t>
            </w:r>
            <w:r w:rsidR="00350824">
              <w:rPr>
                <w:rFonts w:eastAsia="Calibri"/>
                <w:i/>
                <w:iCs/>
              </w:rPr>
              <w:t>ts kancelejas skaidrojumu par 1. iebildumu</w:t>
            </w:r>
          </w:p>
          <w:p w14:paraId="57409641" w14:textId="034710DC" w:rsidR="252FBCE5" w:rsidRDefault="252FBCE5" w:rsidP="252FBCE5">
            <w:pPr>
              <w:pStyle w:val="naisc"/>
              <w:jc w:val="both"/>
            </w:pPr>
          </w:p>
        </w:tc>
        <w:tc>
          <w:tcPr>
            <w:tcW w:w="3119" w:type="dxa"/>
            <w:tcBorders>
              <w:top w:val="single" w:sz="4" w:space="0" w:color="auto"/>
              <w:left w:val="single" w:sz="4" w:space="0" w:color="auto"/>
              <w:bottom w:val="single" w:sz="4" w:space="0" w:color="auto"/>
            </w:tcBorders>
          </w:tcPr>
          <w:p w14:paraId="24D3CB5F" w14:textId="1DA138D9" w:rsidR="252FBCE5" w:rsidRDefault="252FBCE5" w:rsidP="252FBCE5"/>
        </w:tc>
      </w:tr>
      <w:tr w:rsidR="252FBCE5" w14:paraId="75A34C18" w14:textId="77777777" w:rsidTr="00BC708B">
        <w:tc>
          <w:tcPr>
            <w:tcW w:w="708" w:type="dxa"/>
            <w:tcBorders>
              <w:left w:val="single" w:sz="6" w:space="0" w:color="000000" w:themeColor="text1"/>
              <w:bottom w:val="single" w:sz="4" w:space="0" w:color="auto"/>
              <w:right w:val="single" w:sz="6" w:space="0" w:color="000000" w:themeColor="text1"/>
            </w:tcBorders>
          </w:tcPr>
          <w:p w14:paraId="2ED1CD69" w14:textId="5103C2AF" w:rsidR="252FBCE5" w:rsidRDefault="6C892970" w:rsidP="252FBCE5">
            <w:pPr>
              <w:pStyle w:val="naisc"/>
            </w:pPr>
            <w:r>
              <w:t>22.</w:t>
            </w:r>
          </w:p>
        </w:tc>
        <w:tc>
          <w:tcPr>
            <w:tcW w:w="2261" w:type="dxa"/>
            <w:tcBorders>
              <w:left w:val="single" w:sz="6" w:space="0" w:color="000000" w:themeColor="text1"/>
              <w:bottom w:val="single" w:sz="4" w:space="0" w:color="auto"/>
              <w:right w:val="single" w:sz="6" w:space="0" w:color="000000" w:themeColor="text1"/>
            </w:tcBorders>
          </w:tcPr>
          <w:p w14:paraId="22D78291" w14:textId="2044828C" w:rsidR="252FBCE5" w:rsidRDefault="252FBCE5" w:rsidP="252FBCE5">
            <w:pPr>
              <w:pStyle w:val="naisc"/>
            </w:pPr>
          </w:p>
        </w:tc>
        <w:tc>
          <w:tcPr>
            <w:tcW w:w="4519" w:type="dxa"/>
            <w:tcBorders>
              <w:left w:val="single" w:sz="6" w:space="0" w:color="000000" w:themeColor="text1"/>
              <w:bottom w:val="single" w:sz="4" w:space="0" w:color="auto"/>
              <w:right w:val="single" w:sz="6" w:space="0" w:color="000000" w:themeColor="text1"/>
            </w:tcBorders>
          </w:tcPr>
          <w:p w14:paraId="22CE825A" w14:textId="05196CEA" w:rsidR="6BE4A1A7" w:rsidRDefault="6BE4A1A7" w:rsidP="252FBCE5">
            <w:pPr>
              <w:jc w:val="both"/>
              <w:rPr>
                <w:lang w:val="lv"/>
              </w:rPr>
            </w:pPr>
            <w:r w:rsidRPr="252FBCE5">
              <w:rPr>
                <w:lang w:val="lv"/>
              </w:rPr>
              <w:t>Tāpat vēršam uzmanību, ka pētījuma ieviešanas un izmantošanas fāzē, svarīgi ir izvairīties no politisko uzstādījumu ietekmes uz pētījuma rezultātiem. Tāpat ir būtiski paredzēt resursus dažādu pētniecības, prognozēšanas un modelēšanas rīku ieviešanai un uzturēšanai, lai būtu iespējams pieņemt datos balstītus lēmumus.</w:t>
            </w:r>
          </w:p>
        </w:tc>
        <w:tc>
          <w:tcPr>
            <w:tcW w:w="3419" w:type="dxa"/>
            <w:tcBorders>
              <w:left w:val="single" w:sz="6" w:space="0" w:color="000000" w:themeColor="text1"/>
              <w:bottom w:val="single" w:sz="4" w:space="0" w:color="auto"/>
              <w:right w:val="single" w:sz="6" w:space="0" w:color="000000" w:themeColor="text1"/>
            </w:tcBorders>
          </w:tcPr>
          <w:p w14:paraId="6FEB76CF" w14:textId="5C6C63A3" w:rsidR="252FBCE5" w:rsidRDefault="57AA6988" w:rsidP="6AB3EBF0">
            <w:pPr>
              <w:pStyle w:val="naisc"/>
              <w:rPr>
                <w:b/>
                <w:bCs/>
              </w:rPr>
            </w:pPr>
            <w:r w:rsidRPr="6AB3EBF0">
              <w:rPr>
                <w:b/>
                <w:bCs/>
              </w:rPr>
              <w:t>Ņemts vērā</w:t>
            </w:r>
          </w:p>
          <w:p w14:paraId="48F54470" w14:textId="5933C92A" w:rsidR="252FBCE5" w:rsidRDefault="409696A0" w:rsidP="6AB3EBF0">
            <w:pPr>
              <w:pStyle w:val="naisc"/>
              <w:jc w:val="both"/>
              <w:rPr>
                <w:lang w:val="lv"/>
              </w:rPr>
            </w:pPr>
            <w:r>
              <w:t>Piekrītam, ka ir būtiski izvairīties no politisko uzstādījumu ietekmes un pa</w:t>
            </w:r>
            <w:r w:rsidR="5A1998A4">
              <w:t xml:space="preserve">redzēt resursus </w:t>
            </w:r>
            <w:r w:rsidR="5A1998A4" w:rsidRPr="6AB3EBF0">
              <w:rPr>
                <w:lang w:val="lv"/>
              </w:rPr>
              <w:t>dažādu pētniecības, prognozēšanas un modelēšanas rīku ieviešanai un uzturēšanai.</w:t>
            </w:r>
          </w:p>
        </w:tc>
        <w:tc>
          <w:tcPr>
            <w:tcW w:w="3119" w:type="dxa"/>
            <w:tcBorders>
              <w:top w:val="single" w:sz="4" w:space="0" w:color="auto"/>
              <w:left w:val="single" w:sz="4" w:space="0" w:color="auto"/>
              <w:bottom w:val="single" w:sz="4" w:space="0" w:color="auto"/>
            </w:tcBorders>
          </w:tcPr>
          <w:p w14:paraId="72D757D8" w14:textId="6469C327" w:rsidR="252FBCE5" w:rsidRDefault="252FBCE5" w:rsidP="252FBCE5"/>
        </w:tc>
      </w:tr>
      <w:tr w:rsidR="00BC708B" w14:paraId="7B6F7F63" w14:textId="77777777" w:rsidTr="00BC708B">
        <w:tc>
          <w:tcPr>
            <w:tcW w:w="708" w:type="dxa"/>
            <w:tcBorders>
              <w:top w:val="single" w:sz="4" w:space="0" w:color="auto"/>
              <w:left w:val="single" w:sz="4" w:space="0" w:color="auto"/>
              <w:bottom w:val="single" w:sz="4" w:space="0" w:color="auto"/>
              <w:right w:val="single" w:sz="4" w:space="0" w:color="auto"/>
            </w:tcBorders>
          </w:tcPr>
          <w:p w14:paraId="72928A74" w14:textId="60C2C697" w:rsidR="00BC708B" w:rsidRDefault="00BC708B" w:rsidP="252FBCE5">
            <w:pPr>
              <w:pStyle w:val="naisc"/>
            </w:pPr>
            <w:r>
              <w:lastRenderedPageBreak/>
              <w:t>23.</w:t>
            </w:r>
          </w:p>
        </w:tc>
        <w:tc>
          <w:tcPr>
            <w:tcW w:w="2261" w:type="dxa"/>
            <w:tcBorders>
              <w:top w:val="single" w:sz="4" w:space="0" w:color="auto"/>
              <w:left w:val="single" w:sz="4" w:space="0" w:color="auto"/>
              <w:bottom w:val="single" w:sz="4" w:space="0" w:color="auto"/>
              <w:right w:val="single" w:sz="4" w:space="0" w:color="auto"/>
            </w:tcBorders>
          </w:tcPr>
          <w:p w14:paraId="7AD66B50" w14:textId="77777777" w:rsidR="00BC708B" w:rsidRDefault="00BC708B"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025538FE" w14:textId="3D7EF97F" w:rsidR="00BC708B" w:rsidRPr="00BC708B" w:rsidRDefault="00BC708B" w:rsidP="00BC708B">
            <w:pPr>
              <w:tabs>
                <w:tab w:val="left" w:pos="709"/>
                <w:tab w:val="center" w:pos="4677"/>
              </w:tabs>
              <w:suppressAutoHyphens/>
              <w:contextualSpacing/>
              <w:jc w:val="both"/>
              <w:rPr>
                <w:b/>
                <w:lang w:eastAsia="zh-CN"/>
              </w:rPr>
            </w:pPr>
            <w:r w:rsidRPr="00BC708B">
              <w:rPr>
                <w:b/>
                <w:lang w:eastAsia="zh-CN"/>
              </w:rPr>
              <w:t>Tieslietu ministrija</w:t>
            </w:r>
            <w:r w:rsidR="00AF1874">
              <w:rPr>
                <w:b/>
                <w:lang w:eastAsia="zh-CN"/>
              </w:rPr>
              <w:t>, 05.01.2021</w:t>
            </w:r>
            <w:r w:rsidRPr="00BC708B">
              <w:rPr>
                <w:b/>
                <w:lang w:eastAsia="zh-CN"/>
              </w:rPr>
              <w:t>:</w:t>
            </w:r>
          </w:p>
          <w:p w14:paraId="453A2297" w14:textId="77777777" w:rsidR="003F2EBE" w:rsidRDefault="003F2EBE" w:rsidP="003F2EBE">
            <w:pPr>
              <w:tabs>
                <w:tab w:val="left" w:pos="709"/>
                <w:tab w:val="center" w:pos="4677"/>
              </w:tabs>
              <w:suppressAutoHyphens/>
              <w:contextualSpacing/>
              <w:jc w:val="both"/>
              <w:rPr>
                <w:lang w:eastAsia="zh-CN"/>
              </w:rPr>
            </w:pPr>
          </w:p>
          <w:p w14:paraId="60B845C8" w14:textId="1A7810D0" w:rsidR="00BC708B" w:rsidRDefault="00BC708B" w:rsidP="003F2EBE">
            <w:pPr>
              <w:tabs>
                <w:tab w:val="left" w:pos="709"/>
                <w:tab w:val="center" w:pos="4677"/>
              </w:tabs>
              <w:suppressAutoHyphens/>
              <w:contextualSpacing/>
              <w:jc w:val="both"/>
              <w:rPr>
                <w:szCs w:val="28"/>
              </w:rPr>
            </w:pPr>
            <w:r w:rsidRPr="00AC3675">
              <w:rPr>
                <w:lang w:eastAsia="zh-CN"/>
              </w:rPr>
              <w:t xml:space="preserve">Ziņojumam pievienotā Ministru kabineta sēdes </w:t>
            </w:r>
            <w:proofErr w:type="spellStart"/>
            <w:r w:rsidRPr="00AC3675">
              <w:rPr>
                <w:lang w:eastAsia="zh-CN"/>
              </w:rPr>
              <w:t>protokollēmuma</w:t>
            </w:r>
            <w:proofErr w:type="spellEnd"/>
            <w:r w:rsidRPr="00AC3675">
              <w:rPr>
                <w:lang w:eastAsia="zh-CN"/>
              </w:rPr>
              <w:t xml:space="preserve"> projekta 2. punktā ir paredzēts uzdevums </w:t>
            </w:r>
            <w:r w:rsidRPr="00AC3675">
              <w:rPr>
                <w:szCs w:val="28"/>
              </w:rPr>
              <w:t>izstrādāt jaunu ietekmes novērtējuma kārtību</w:t>
            </w:r>
            <w:r>
              <w:rPr>
                <w:szCs w:val="28"/>
              </w:rPr>
              <w:t xml:space="preserve"> un</w:t>
            </w:r>
            <w:r w:rsidRPr="00AC3675">
              <w:rPr>
                <w:szCs w:val="28"/>
              </w:rPr>
              <w:t xml:space="preserve"> līdz </w:t>
            </w:r>
            <w:r w:rsidRPr="00AC3675">
              <w:rPr>
                <w:szCs w:val="28"/>
                <w:u w:val="single"/>
              </w:rPr>
              <w:t>2021. gada 30. martam iesniegt Ministru kabinetā jaunu ietekmes novērtējuma kārtību</w:t>
            </w:r>
            <w:r>
              <w:rPr>
                <w:szCs w:val="28"/>
                <w:u w:val="single"/>
              </w:rPr>
              <w:t>.</w:t>
            </w:r>
            <w:r>
              <w:rPr>
                <w:szCs w:val="28"/>
              </w:rPr>
              <w:t xml:space="preserve"> Tas faktiski nozīmē, ka jaunā kārtība ir jāizstrādā aptuveni mēneša laikā, jo vēl ir nepieciešams konsultāciju un saskaņošanas process, kas saskaņā ar normatīvajos aktos</w:t>
            </w:r>
            <w:r>
              <w:rPr>
                <w:rStyle w:val="FootnoteReference"/>
                <w:szCs w:val="28"/>
              </w:rPr>
              <w:footnoteReference w:id="6"/>
            </w:r>
            <w:r>
              <w:rPr>
                <w:szCs w:val="28"/>
              </w:rPr>
              <w:t xml:space="preserve"> paredzētajām procedūrām aizņem vismaz 2 mēnešus.</w:t>
            </w:r>
          </w:p>
          <w:p w14:paraId="0EDFE0EA" w14:textId="185A00CC" w:rsidR="00BC708B" w:rsidRPr="252FBCE5" w:rsidRDefault="00BC708B" w:rsidP="00BC708B">
            <w:pPr>
              <w:jc w:val="both"/>
              <w:rPr>
                <w:lang w:val="lv"/>
              </w:rPr>
            </w:pPr>
            <w:r>
              <w:rPr>
                <w:szCs w:val="28"/>
              </w:rPr>
              <w:t xml:space="preserve">Ievērojot minēto, ierosinām apsvērt, vai </w:t>
            </w:r>
            <w:r>
              <w:rPr>
                <w:lang w:eastAsia="zh-CN"/>
              </w:rPr>
              <w:t>termiņš jaunās kārtības izstrādei un iesniegšanai Ministru kabinetā nav pārāk īss.</w:t>
            </w:r>
          </w:p>
        </w:tc>
        <w:tc>
          <w:tcPr>
            <w:tcW w:w="3419" w:type="dxa"/>
            <w:tcBorders>
              <w:top w:val="single" w:sz="4" w:space="0" w:color="auto"/>
              <w:left w:val="single" w:sz="4" w:space="0" w:color="auto"/>
              <w:bottom w:val="single" w:sz="4" w:space="0" w:color="auto"/>
              <w:right w:val="single" w:sz="4" w:space="0" w:color="auto"/>
            </w:tcBorders>
          </w:tcPr>
          <w:p w14:paraId="3DC4266F" w14:textId="3160810B" w:rsidR="00BC708B" w:rsidRPr="6AB3EBF0" w:rsidRDefault="00BC708B" w:rsidP="6AB3EBF0">
            <w:pPr>
              <w:pStyle w:val="naisc"/>
              <w:rPr>
                <w:b/>
                <w:bCs/>
              </w:rPr>
            </w:pPr>
            <w:r>
              <w:rPr>
                <w:b/>
                <w:bCs/>
              </w:rPr>
              <w:t>Ņemts vērā</w:t>
            </w:r>
          </w:p>
        </w:tc>
        <w:tc>
          <w:tcPr>
            <w:tcW w:w="3119" w:type="dxa"/>
            <w:tcBorders>
              <w:top w:val="single" w:sz="4" w:space="0" w:color="auto"/>
              <w:left w:val="single" w:sz="4" w:space="0" w:color="auto"/>
              <w:bottom w:val="single" w:sz="4" w:space="0" w:color="auto"/>
            </w:tcBorders>
          </w:tcPr>
          <w:p w14:paraId="3491FEE3" w14:textId="452472A6" w:rsidR="00BC708B" w:rsidRDefault="00BC708B" w:rsidP="252FBCE5">
            <w:proofErr w:type="spellStart"/>
            <w:r>
              <w:t>Protokollēmuma</w:t>
            </w:r>
            <w:proofErr w:type="spellEnd"/>
            <w:r>
              <w:t xml:space="preserve"> projekta 2. punkts precizēts un izteikts šādā redakcijā:</w:t>
            </w:r>
          </w:p>
          <w:p w14:paraId="5FEC25BA" w14:textId="6E7F61E2" w:rsidR="00BC708B" w:rsidRPr="00BC708B" w:rsidRDefault="00BC708B" w:rsidP="00BC708B">
            <w:pPr>
              <w:jc w:val="both"/>
              <w:rPr>
                <w:szCs w:val="28"/>
              </w:rPr>
            </w:pPr>
            <w:r>
              <w:t>“</w:t>
            </w:r>
            <w:r w:rsidRPr="00AD3696">
              <w:t xml:space="preserve">Valsts kancelejai kopīgi ar </w:t>
            </w:r>
            <w:proofErr w:type="spellStart"/>
            <w:r w:rsidRPr="00AD3696">
              <w:t>Pārresoru</w:t>
            </w:r>
            <w:proofErr w:type="spellEnd"/>
            <w:r w:rsidRPr="00AD3696">
              <w:t xml:space="preserve"> koordinācijas centru un Tieslietu ministriju, pieaicinot Saeimas Analītisko dienestu, citas nozaru ministrijas un nepieciešamības gadījumā arī citas institūcijas un ekspertus</w:t>
            </w:r>
            <w:r w:rsidRPr="00BC708B">
              <w:rPr>
                <w:color w:val="000000"/>
                <w:szCs w:val="28"/>
              </w:rPr>
              <w:t>, izstrādāt jaunu ietekmes novērtējuma kārtību, ievērojot šajā informatīvajā ziņojumā noteiktos principus, kā arī izvērtējot izvirzītos risinājumu virzienus. Valsts kancelejai līdz 2022. gada 1. augustam iesniegt nepieciešamos normatīvo aktu projektus izskatīšanai Ministru kabinetā.</w:t>
            </w:r>
            <w:r>
              <w:rPr>
                <w:color w:val="000000"/>
                <w:szCs w:val="28"/>
              </w:rPr>
              <w:t>”</w:t>
            </w:r>
          </w:p>
          <w:p w14:paraId="2903375C" w14:textId="65EC47F9" w:rsidR="00BC708B" w:rsidRDefault="00BC708B" w:rsidP="252FBCE5"/>
        </w:tc>
      </w:tr>
      <w:tr w:rsidR="00BC708B" w14:paraId="7B395019" w14:textId="77777777" w:rsidTr="00BC708B">
        <w:tc>
          <w:tcPr>
            <w:tcW w:w="708" w:type="dxa"/>
            <w:tcBorders>
              <w:top w:val="single" w:sz="4" w:space="0" w:color="auto"/>
              <w:left w:val="single" w:sz="4" w:space="0" w:color="auto"/>
              <w:bottom w:val="single" w:sz="4" w:space="0" w:color="auto"/>
              <w:right w:val="single" w:sz="4" w:space="0" w:color="auto"/>
            </w:tcBorders>
          </w:tcPr>
          <w:p w14:paraId="74E0F718" w14:textId="2B498445" w:rsidR="00BC708B" w:rsidRDefault="00BC708B" w:rsidP="252FBCE5">
            <w:pPr>
              <w:pStyle w:val="naisc"/>
            </w:pPr>
            <w:r>
              <w:t>24.</w:t>
            </w:r>
          </w:p>
        </w:tc>
        <w:tc>
          <w:tcPr>
            <w:tcW w:w="2261" w:type="dxa"/>
            <w:tcBorders>
              <w:top w:val="single" w:sz="4" w:space="0" w:color="auto"/>
              <w:left w:val="single" w:sz="4" w:space="0" w:color="auto"/>
              <w:bottom w:val="single" w:sz="4" w:space="0" w:color="auto"/>
              <w:right w:val="single" w:sz="4" w:space="0" w:color="auto"/>
            </w:tcBorders>
          </w:tcPr>
          <w:p w14:paraId="75745B90" w14:textId="77777777" w:rsidR="00BC708B" w:rsidRDefault="00BC708B"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0BE9894B" w14:textId="19AB0891" w:rsidR="00BC708B" w:rsidRPr="252FBCE5" w:rsidRDefault="00BC708B" w:rsidP="252FBCE5">
            <w:pPr>
              <w:jc w:val="both"/>
              <w:rPr>
                <w:lang w:val="lv"/>
              </w:rPr>
            </w:pPr>
            <w:r w:rsidRPr="007C7290">
              <w:rPr>
                <w:color w:val="000000" w:themeColor="text1"/>
                <w:lang w:eastAsia="zh-CN"/>
              </w:rPr>
              <w:t xml:space="preserve">Ierosinām apsvērt lietderību iekļaut ziņojumam pievienotā Ministru kabineta sēdes </w:t>
            </w:r>
            <w:proofErr w:type="spellStart"/>
            <w:r w:rsidRPr="007C7290">
              <w:rPr>
                <w:color w:val="000000" w:themeColor="text1"/>
                <w:lang w:eastAsia="zh-CN"/>
              </w:rPr>
              <w:t>protokollēmuma</w:t>
            </w:r>
            <w:proofErr w:type="spellEnd"/>
            <w:r w:rsidRPr="007C7290">
              <w:rPr>
                <w:color w:val="000000" w:themeColor="text1"/>
                <w:lang w:eastAsia="zh-CN"/>
              </w:rPr>
              <w:t xml:space="preserve"> projekta 2. punktā arī citas institūcijas, kuru kompetenci jaunā kārtība varētu skart (piemēram, Finanšu </w:t>
            </w:r>
            <w:r w:rsidRPr="007C7290">
              <w:rPr>
                <w:color w:val="000000" w:themeColor="text1"/>
                <w:lang w:eastAsia="zh-CN"/>
              </w:rPr>
              <w:lastRenderedPageBreak/>
              <w:t>ministriju, kuras kompetencē ir anotācijas III sadaļa).</w:t>
            </w:r>
          </w:p>
        </w:tc>
        <w:tc>
          <w:tcPr>
            <w:tcW w:w="3419" w:type="dxa"/>
            <w:tcBorders>
              <w:top w:val="single" w:sz="4" w:space="0" w:color="auto"/>
              <w:left w:val="single" w:sz="4" w:space="0" w:color="auto"/>
              <w:bottom w:val="single" w:sz="4" w:space="0" w:color="auto"/>
              <w:right w:val="single" w:sz="4" w:space="0" w:color="auto"/>
            </w:tcBorders>
          </w:tcPr>
          <w:p w14:paraId="3737ED86" w14:textId="77777777" w:rsidR="00BC708B" w:rsidRDefault="00BC708B" w:rsidP="6AB3EBF0">
            <w:pPr>
              <w:pStyle w:val="naisc"/>
            </w:pPr>
            <w:r>
              <w:rPr>
                <w:b/>
                <w:bCs/>
              </w:rPr>
              <w:lastRenderedPageBreak/>
              <w:t>Ņemts vērā</w:t>
            </w:r>
            <w:r>
              <w:t xml:space="preserve"> </w:t>
            </w:r>
          </w:p>
          <w:p w14:paraId="1944BDF7" w14:textId="50EB399F" w:rsidR="00BC708B" w:rsidRPr="6AB3EBF0" w:rsidRDefault="00BC708B" w:rsidP="00BF1D1F">
            <w:pPr>
              <w:pStyle w:val="naisc"/>
              <w:jc w:val="both"/>
              <w:rPr>
                <w:b/>
                <w:bCs/>
              </w:rPr>
            </w:pPr>
            <w:proofErr w:type="spellStart"/>
            <w:r>
              <w:t>Protokollēmuma</w:t>
            </w:r>
            <w:proofErr w:type="spellEnd"/>
            <w:r>
              <w:t xml:space="preserve"> projekta 2. punkts tika papildināts ar </w:t>
            </w:r>
            <w:r w:rsidR="00BF1D1F">
              <w:t>vārdiem “</w:t>
            </w:r>
            <w:r w:rsidR="00BF1D1F" w:rsidRPr="00AD3696">
              <w:t xml:space="preserve">citas nozaru ministrijas un nepieciešamības gadījumā arī </w:t>
            </w:r>
            <w:r w:rsidR="00BF1D1F" w:rsidRPr="00AD3696">
              <w:lastRenderedPageBreak/>
              <w:t>citas institūcijas un ekspertus</w:t>
            </w:r>
            <w:r w:rsidR="00BF1D1F">
              <w:t xml:space="preserve">”. Papildus informējam, ka Finanšu ministrija izteica gatavību nepieciešamības gadījumā iesaistīties darba grupas darbā </w:t>
            </w:r>
            <w:proofErr w:type="spellStart"/>
            <w:r w:rsidR="00BF1D1F" w:rsidRPr="00BF1D1F">
              <w:rPr>
                <w:i/>
              </w:rPr>
              <w:t>ad-hoc</w:t>
            </w:r>
            <w:proofErr w:type="spellEnd"/>
            <w:r w:rsidR="00BF1D1F">
              <w:t xml:space="preserve"> veidā, ne pastāvīgi.</w:t>
            </w:r>
          </w:p>
        </w:tc>
        <w:tc>
          <w:tcPr>
            <w:tcW w:w="3119" w:type="dxa"/>
            <w:tcBorders>
              <w:top w:val="single" w:sz="4" w:space="0" w:color="auto"/>
              <w:left w:val="single" w:sz="4" w:space="0" w:color="auto"/>
              <w:bottom w:val="single" w:sz="4" w:space="0" w:color="auto"/>
            </w:tcBorders>
          </w:tcPr>
          <w:p w14:paraId="456ABA08" w14:textId="643EBC69" w:rsidR="00BC708B" w:rsidRPr="00137A10" w:rsidRDefault="00BC708B" w:rsidP="00130AC7">
            <w:pPr>
              <w:jc w:val="both"/>
              <w:rPr>
                <w:i/>
              </w:rPr>
            </w:pPr>
            <w:proofErr w:type="spellStart"/>
            <w:r>
              <w:lastRenderedPageBreak/>
              <w:t>Protokollēmuma</w:t>
            </w:r>
            <w:proofErr w:type="spellEnd"/>
            <w:r>
              <w:t xml:space="preserve"> projekta 2. punkts precizēts. </w:t>
            </w:r>
            <w:r w:rsidRPr="00137A10">
              <w:rPr>
                <w:i/>
              </w:rPr>
              <w:t>Jaunu redakciju sk. 23. priekšlikumā.</w:t>
            </w:r>
          </w:p>
          <w:p w14:paraId="55CF01AD" w14:textId="2A9D7774" w:rsidR="00BC708B" w:rsidRDefault="00BC708B" w:rsidP="00BC708B"/>
          <w:p w14:paraId="7D387DA6" w14:textId="77777777" w:rsidR="00BC708B" w:rsidRDefault="00BC708B" w:rsidP="252FBCE5"/>
        </w:tc>
      </w:tr>
      <w:tr w:rsidR="00BC708B" w14:paraId="52653F84" w14:textId="77777777" w:rsidTr="00BC708B">
        <w:tc>
          <w:tcPr>
            <w:tcW w:w="708" w:type="dxa"/>
            <w:tcBorders>
              <w:top w:val="single" w:sz="4" w:space="0" w:color="auto"/>
              <w:left w:val="single" w:sz="4" w:space="0" w:color="auto"/>
              <w:bottom w:val="single" w:sz="4" w:space="0" w:color="auto"/>
              <w:right w:val="single" w:sz="4" w:space="0" w:color="auto"/>
            </w:tcBorders>
          </w:tcPr>
          <w:p w14:paraId="581DA91D" w14:textId="3E6416BF" w:rsidR="00BC708B" w:rsidRDefault="00BC708B" w:rsidP="252FBCE5">
            <w:pPr>
              <w:pStyle w:val="naisc"/>
            </w:pPr>
            <w:r>
              <w:t>25.</w:t>
            </w:r>
          </w:p>
        </w:tc>
        <w:tc>
          <w:tcPr>
            <w:tcW w:w="2261" w:type="dxa"/>
            <w:tcBorders>
              <w:top w:val="single" w:sz="4" w:space="0" w:color="auto"/>
              <w:left w:val="single" w:sz="4" w:space="0" w:color="auto"/>
              <w:bottom w:val="single" w:sz="4" w:space="0" w:color="auto"/>
              <w:right w:val="single" w:sz="4" w:space="0" w:color="auto"/>
            </w:tcBorders>
          </w:tcPr>
          <w:p w14:paraId="04EDA16B" w14:textId="77777777" w:rsidR="00BC708B" w:rsidRDefault="00BC708B"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2B563E38" w14:textId="0CF38072" w:rsidR="00BC708B" w:rsidRPr="252FBCE5" w:rsidRDefault="00BF1D1F" w:rsidP="252FBCE5">
            <w:pPr>
              <w:jc w:val="both"/>
              <w:rPr>
                <w:lang w:val="lv"/>
              </w:rPr>
            </w:pPr>
            <w:r w:rsidRPr="007C7290">
              <w:rPr>
                <w:color w:val="000000" w:themeColor="text1"/>
                <w:lang w:eastAsia="zh-CN"/>
              </w:rPr>
              <w:t xml:space="preserve">Vienlaikus vēršam uzmanību, ka līdz </w:t>
            </w:r>
            <w:r w:rsidRPr="007C7290">
              <w:rPr>
                <w:color w:val="000000" w:themeColor="text1"/>
              </w:rPr>
              <w:t>2020. gada 30. jūlijam Latvijai bija pienākums pārņemt Eiropas Parlamenta un Padomes 2018.</w:t>
            </w:r>
            <w:r>
              <w:rPr>
                <w:color w:val="000000" w:themeColor="text1"/>
              </w:rPr>
              <w:t> </w:t>
            </w:r>
            <w:r w:rsidRPr="007C7290">
              <w:rPr>
                <w:color w:val="000000" w:themeColor="text1"/>
              </w:rPr>
              <w:t>gada 28.</w:t>
            </w:r>
            <w:r>
              <w:rPr>
                <w:color w:val="000000" w:themeColor="text1"/>
              </w:rPr>
              <w:t> </w:t>
            </w:r>
            <w:r w:rsidRPr="007C7290">
              <w:rPr>
                <w:color w:val="000000" w:themeColor="text1"/>
              </w:rPr>
              <w:t>jūnij</w:t>
            </w:r>
            <w:r>
              <w:rPr>
                <w:color w:val="000000" w:themeColor="text1"/>
              </w:rPr>
              <w:t>a</w:t>
            </w:r>
            <w:r w:rsidRPr="007C7290">
              <w:rPr>
                <w:color w:val="000000" w:themeColor="text1"/>
              </w:rPr>
              <w:t xml:space="preserve"> Direktīv</w:t>
            </w:r>
            <w:r>
              <w:rPr>
                <w:color w:val="000000" w:themeColor="text1"/>
              </w:rPr>
              <w:t>u</w:t>
            </w:r>
            <w:r w:rsidRPr="007C7290">
              <w:rPr>
                <w:color w:val="000000" w:themeColor="text1"/>
              </w:rPr>
              <w:t xml:space="preserve"> (ES)</w:t>
            </w:r>
            <w:r>
              <w:rPr>
                <w:color w:val="000000" w:themeColor="text1"/>
              </w:rPr>
              <w:t> </w:t>
            </w:r>
            <w:r w:rsidRPr="007C7290">
              <w:rPr>
                <w:color w:val="000000" w:themeColor="text1"/>
              </w:rPr>
              <w:t>2018/958</w:t>
            </w:r>
            <w:r>
              <w:rPr>
                <w:color w:val="000000" w:themeColor="text1"/>
              </w:rPr>
              <w:t xml:space="preserve"> </w:t>
            </w:r>
            <w:r w:rsidRPr="007C7290">
              <w:rPr>
                <w:color w:val="000000" w:themeColor="text1"/>
              </w:rPr>
              <w:t>par samērīguma novērtēšanu pirms jaunas profesiju reglamentācijas pieņemšanas</w:t>
            </w:r>
            <w:r>
              <w:rPr>
                <w:color w:val="000000" w:themeColor="text1"/>
              </w:rPr>
              <w:t xml:space="preserve"> (turpmāk – Direktīva). Tā kā Direktīvas prasību pārņemšana ir cieši saistīta ar informatīvajā ziņojumā piedāvātajiem risinājumiem (jauno kārtību un Tiesību aktu izstrādes un saskaņošanas portāla tehniskajiem risinājumiem), ierosinām papildināt ziņojumam pievienotā </w:t>
            </w:r>
            <w:r w:rsidRPr="007C7290">
              <w:rPr>
                <w:color w:val="000000" w:themeColor="text1"/>
                <w:lang w:eastAsia="zh-CN"/>
              </w:rPr>
              <w:t xml:space="preserve">Ministru kabineta sēdes </w:t>
            </w:r>
            <w:proofErr w:type="spellStart"/>
            <w:r w:rsidRPr="007C7290">
              <w:rPr>
                <w:color w:val="000000" w:themeColor="text1"/>
                <w:lang w:eastAsia="zh-CN"/>
              </w:rPr>
              <w:t>protokollēmuma</w:t>
            </w:r>
            <w:proofErr w:type="spellEnd"/>
            <w:r w:rsidRPr="007C7290">
              <w:rPr>
                <w:color w:val="000000" w:themeColor="text1"/>
                <w:lang w:eastAsia="zh-CN"/>
              </w:rPr>
              <w:t xml:space="preserve"> projekta 2. punkt</w:t>
            </w:r>
            <w:r>
              <w:rPr>
                <w:color w:val="000000" w:themeColor="text1"/>
                <w:lang w:eastAsia="zh-CN"/>
              </w:rPr>
              <w:t>u ar Izglītības un zinātnes ministriju.</w:t>
            </w:r>
          </w:p>
        </w:tc>
        <w:tc>
          <w:tcPr>
            <w:tcW w:w="3419" w:type="dxa"/>
            <w:tcBorders>
              <w:top w:val="single" w:sz="4" w:space="0" w:color="auto"/>
              <w:left w:val="single" w:sz="4" w:space="0" w:color="auto"/>
              <w:bottom w:val="single" w:sz="4" w:space="0" w:color="auto"/>
              <w:right w:val="single" w:sz="4" w:space="0" w:color="auto"/>
            </w:tcBorders>
          </w:tcPr>
          <w:p w14:paraId="7493AF44" w14:textId="77777777" w:rsidR="00BF1D1F" w:rsidRDefault="00BF1D1F" w:rsidP="00BF1D1F">
            <w:pPr>
              <w:pStyle w:val="naisc"/>
            </w:pPr>
            <w:r>
              <w:rPr>
                <w:b/>
                <w:bCs/>
              </w:rPr>
              <w:t>Ņemts vērā</w:t>
            </w:r>
            <w:r>
              <w:t xml:space="preserve"> </w:t>
            </w:r>
          </w:p>
          <w:p w14:paraId="60B7ADF3" w14:textId="77777777" w:rsidR="00BC708B" w:rsidRDefault="00BF1D1F" w:rsidP="00BF1D1F">
            <w:pPr>
              <w:pStyle w:val="naisc"/>
              <w:jc w:val="both"/>
            </w:pPr>
            <w:proofErr w:type="spellStart"/>
            <w:r>
              <w:t>Protokollēmuma</w:t>
            </w:r>
            <w:proofErr w:type="spellEnd"/>
            <w:r>
              <w:t xml:space="preserve"> projekta 2. punkts tika papildināts ar vārdiem “</w:t>
            </w:r>
            <w:r w:rsidRPr="00AD3696">
              <w:t>citas nozaru ministrijas un nepieciešamības gadījumā arī citas institūcijas un ekspertus</w:t>
            </w:r>
            <w:r>
              <w:t>”.</w:t>
            </w:r>
          </w:p>
          <w:p w14:paraId="269DB499" w14:textId="79C57181" w:rsidR="00BF1D1F" w:rsidRPr="00BF1D1F" w:rsidRDefault="00BF1D1F" w:rsidP="00BF1D1F">
            <w:pPr>
              <w:pStyle w:val="naisc"/>
              <w:jc w:val="both"/>
              <w:rPr>
                <w:bCs/>
              </w:rPr>
            </w:pPr>
            <w:r w:rsidRPr="00BF1D1F">
              <w:rPr>
                <w:bCs/>
              </w:rPr>
              <w:t>Papildus jāatzīmē, ka sadarbība ar Izglītības un zinātnes ministriju Direktīvas pārņemšanai jau tiek īstenota</w:t>
            </w:r>
            <w:r>
              <w:rPr>
                <w:bCs/>
              </w:rPr>
              <w:t>.</w:t>
            </w:r>
          </w:p>
        </w:tc>
        <w:tc>
          <w:tcPr>
            <w:tcW w:w="3119" w:type="dxa"/>
            <w:tcBorders>
              <w:top w:val="single" w:sz="4" w:space="0" w:color="auto"/>
              <w:left w:val="single" w:sz="4" w:space="0" w:color="auto"/>
              <w:bottom w:val="single" w:sz="4" w:space="0" w:color="auto"/>
            </w:tcBorders>
          </w:tcPr>
          <w:p w14:paraId="680EDCFE" w14:textId="77777777" w:rsidR="00BF1D1F" w:rsidRDefault="00BF1D1F" w:rsidP="00130AC7">
            <w:pPr>
              <w:jc w:val="both"/>
            </w:pPr>
            <w:proofErr w:type="spellStart"/>
            <w:r>
              <w:t>Protokollēmuma</w:t>
            </w:r>
            <w:proofErr w:type="spellEnd"/>
            <w:r>
              <w:t xml:space="preserve"> projekta 2. punkts precizēts. </w:t>
            </w:r>
            <w:r w:rsidRPr="00137A10">
              <w:rPr>
                <w:i/>
              </w:rPr>
              <w:t>Jaunu redakciju sk. 23. priekšlikumā.</w:t>
            </w:r>
          </w:p>
          <w:p w14:paraId="0B262BA6" w14:textId="77777777" w:rsidR="00BC708B" w:rsidRDefault="00BC708B" w:rsidP="252FBCE5"/>
        </w:tc>
      </w:tr>
      <w:tr w:rsidR="00AF1874" w14:paraId="7562CF96" w14:textId="77777777" w:rsidTr="00BC708B">
        <w:tc>
          <w:tcPr>
            <w:tcW w:w="708" w:type="dxa"/>
            <w:tcBorders>
              <w:top w:val="single" w:sz="4" w:space="0" w:color="auto"/>
              <w:left w:val="single" w:sz="4" w:space="0" w:color="auto"/>
              <w:bottom w:val="single" w:sz="4" w:space="0" w:color="auto"/>
              <w:right w:val="single" w:sz="4" w:space="0" w:color="auto"/>
            </w:tcBorders>
          </w:tcPr>
          <w:p w14:paraId="39DDFADE" w14:textId="53E47A2E" w:rsidR="00AF1874" w:rsidRDefault="00AF1874" w:rsidP="252FBCE5">
            <w:pPr>
              <w:pStyle w:val="naisc"/>
            </w:pPr>
            <w:r>
              <w:t>26.</w:t>
            </w:r>
          </w:p>
        </w:tc>
        <w:tc>
          <w:tcPr>
            <w:tcW w:w="2261" w:type="dxa"/>
            <w:tcBorders>
              <w:top w:val="single" w:sz="4" w:space="0" w:color="auto"/>
              <w:left w:val="single" w:sz="4" w:space="0" w:color="auto"/>
              <w:bottom w:val="single" w:sz="4" w:space="0" w:color="auto"/>
              <w:right w:val="single" w:sz="4" w:space="0" w:color="auto"/>
            </w:tcBorders>
          </w:tcPr>
          <w:p w14:paraId="13EDF729" w14:textId="77777777" w:rsidR="00AF1874" w:rsidRDefault="00AF1874"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6E3CBF7A" w14:textId="2D5500B2" w:rsidR="00AF1874" w:rsidRDefault="00AF1874" w:rsidP="252FBCE5">
            <w:pPr>
              <w:jc w:val="both"/>
              <w:rPr>
                <w:b/>
                <w:lang w:eastAsia="zh-CN"/>
              </w:rPr>
            </w:pPr>
            <w:r w:rsidRPr="00AF1874">
              <w:rPr>
                <w:b/>
                <w:lang w:eastAsia="zh-CN"/>
              </w:rPr>
              <w:t>Tieslietu ministrija, 26.02.2021:</w:t>
            </w:r>
          </w:p>
          <w:p w14:paraId="4EC76E6F" w14:textId="77777777" w:rsidR="00AF1874" w:rsidRPr="00AF1874" w:rsidRDefault="00AF1874" w:rsidP="252FBCE5">
            <w:pPr>
              <w:jc w:val="both"/>
              <w:rPr>
                <w:lang w:eastAsia="zh-CN"/>
              </w:rPr>
            </w:pPr>
          </w:p>
          <w:p w14:paraId="2B2F9193" w14:textId="010A9305" w:rsidR="00AF1874" w:rsidRPr="007C7290" w:rsidRDefault="00AF1874" w:rsidP="252FBCE5">
            <w:pPr>
              <w:jc w:val="both"/>
              <w:rPr>
                <w:color w:val="000000" w:themeColor="text1"/>
                <w:lang w:eastAsia="zh-CN"/>
              </w:rPr>
            </w:pPr>
            <w:r w:rsidRPr="00AF1874">
              <w:rPr>
                <w:shd w:val="clear" w:color="auto" w:fill="FFFFFF"/>
              </w:rPr>
              <w:t>Lūdzam papildināt ziņojuma 5. lapu ar norādi uz informācijas avotu tiem vērtējumiem par Latviju, kas šajā lapā ir atspoguļoti.</w:t>
            </w:r>
          </w:p>
        </w:tc>
        <w:tc>
          <w:tcPr>
            <w:tcW w:w="3419" w:type="dxa"/>
            <w:tcBorders>
              <w:top w:val="single" w:sz="4" w:space="0" w:color="auto"/>
              <w:left w:val="single" w:sz="4" w:space="0" w:color="auto"/>
              <w:bottom w:val="single" w:sz="4" w:space="0" w:color="auto"/>
              <w:right w:val="single" w:sz="4" w:space="0" w:color="auto"/>
            </w:tcBorders>
          </w:tcPr>
          <w:p w14:paraId="5AF07849" w14:textId="7B0E0A78" w:rsidR="00AF1874" w:rsidRDefault="00AF1874" w:rsidP="00BF1D1F">
            <w:pPr>
              <w:pStyle w:val="naisc"/>
              <w:rPr>
                <w:b/>
                <w:bCs/>
              </w:rPr>
            </w:pPr>
            <w:r>
              <w:rPr>
                <w:b/>
                <w:bCs/>
              </w:rPr>
              <w:t>Ņemts vērā</w:t>
            </w:r>
          </w:p>
        </w:tc>
        <w:tc>
          <w:tcPr>
            <w:tcW w:w="3119" w:type="dxa"/>
            <w:tcBorders>
              <w:top w:val="single" w:sz="4" w:space="0" w:color="auto"/>
              <w:left w:val="single" w:sz="4" w:space="0" w:color="auto"/>
              <w:bottom w:val="single" w:sz="4" w:space="0" w:color="auto"/>
            </w:tcBorders>
          </w:tcPr>
          <w:p w14:paraId="56437816" w14:textId="78DCC85E" w:rsidR="00AF1874" w:rsidRDefault="00E11BD3" w:rsidP="00130AC7">
            <w:pPr>
              <w:jc w:val="both"/>
            </w:pPr>
            <w:r w:rsidRPr="6AB3EBF0">
              <w:t>Informatīvais ziņojums precizēts</w:t>
            </w:r>
            <w:r>
              <w:t>.</w:t>
            </w:r>
          </w:p>
        </w:tc>
      </w:tr>
      <w:tr w:rsidR="00AF1874" w14:paraId="180F16CE" w14:textId="77777777" w:rsidTr="00BC708B">
        <w:tc>
          <w:tcPr>
            <w:tcW w:w="708" w:type="dxa"/>
            <w:tcBorders>
              <w:top w:val="single" w:sz="4" w:space="0" w:color="auto"/>
              <w:left w:val="single" w:sz="4" w:space="0" w:color="auto"/>
              <w:bottom w:val="single" w:sz="4" w:space="0" w:color="auto"/>
              <w:right w:val="single" w:sz="4" w:space="0" w:color="auto"/>
            </w:tcBorders>
          </w:tcPr>
          <w:p w14:paraId="31345E06" w14:textId="7F301917" w:rsidR="00AF1874" w:rsidRDefault="00AF1874" w:rsidP="252FBCE5">
            <w:pPr>
              <w:pStyle w:val="naisc"/>
            </w:pPr>
            <w:r>
              <w:t>27.</w:t>
            </w:r>
          </w:p>
        </w:tc>
        <w:tc>
          <w:tcPr>
            <w:tcW w:w="2261" w:type="dxa"/>
            <w:tcBorders>
              <w:top w:val="single" w:sz="4" w:space="0" w:color="auto"/>
              <w:left w:val="single" w:sz="4" w:space="0" w:color="auto"/>
              <w:bottom w:val="single" w:sz="4" w:space="0" w:color="auto"/>
              <w:right w:val="single" w:sz="4" w:space="0" w:color="auto"/>
            </w:tcBorders>
          </w:tcPr>
          <w:p w14:paraId="4107D490" w14:textId="77777777" w:rsidR="00AF1874" w:rsidRDefault="00AF1874"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64725D9F" w14:textId="5464B818" w:rsidR="00AF1874" w:rsidRPr="00AF1874" w:rsidRDefault="00AF1874" w:rsidP="252FBCE5">
            <w:pPr>
              <w:jc w:val="both"/>
              <w:rPr>
                <w:lang w:eastAsia="zh-CN"/>
              </w:rPr>
            </w:pPr>
            <w:r w:rsidRPr="00AF1874">
              <w:rPr>
                <w:shd w:val="clear" w:color="auto" w:fill="FFFFFF"/>
              </w:rPr>
              <w:t xml:space="preserve">Ziņojuma 9. lapā kā viens no turpmākās rīcības virzieniem ir ietverta apņemšanās izstrādāt skaidru procedūru tiesību aktu ietekmes novērtējuma rezultātā identificēto nepieciešamo izmaiņu veikšanai (formāts, atbildības, uzraudzība). Ierosinām precizēt </w:t>
            </w:r>
            <w:r w:rsidRPr="00AF1874">
              <w:rPr>
                <w:shd w:val="clear" w:color="auto" w:fill="FFFFFF"/>
              </w:rPr>
              <w:lastRenderedPageBreak/>
              <w:t xml:space="preserve">piedāvāto turpmākās rīcības virzienu, jo tas ir formulēts pārāk vispārīgi un līdz ar to nav saprotams, vai šis rīcības virziens ir attiecināms uz </w:t>
            </w:r>
            <w:proofErr w:type="spellStart"/>
            <w:r w:rsidRPr="00AF1874">
              <w:rPr>
                <w:shd w:val="clear" w:color="auto" w:fill="FFFFFF"/>
              </w:rPr>
              <w:t>ex-ante</w:t>
            </w:r>
            <w:proofErr w:type="spellEnd"/>
            <w:r w:rsidRPr="00AF1874">
              <w:rPr>
                <w:shd w:val="clear" w:color="auto" w:fill="FFFFFF"/>
              </w:rPr>
              <w:t xml:space="preserve"> vai </w:t>
            </w:r>
            <w:proofErr w:type="spellStart"/>
            <w:r w:rsidRPr="00AF1874">
              <w:rPr>
                <w:shd w:val="clear" w:color="auto" w:fill="FFFFFF"/>
              </w:rPr>
              <w:t>ex</w:t>
            </w:r>
            <w:proofErr w:type="spellEnd"/>
            <w:r w:rsidRPr="00AF1874">
              <w:rPr>
                <w:shd w:val="clear" w:color="auto" w:fill="FFFFFF"/>
              </w:rPr>
              <w:t xml:space="preserve">-post ietekmes </w:t>
            </w:r>
            <w:proofErr w:type="spellStart"/>
            <w:r w:rsidRPr="00AF1874">
              <w:rPr>
                <w:shd w:val="clear" w:color="auto" w:fill="FFFFFF"/>
              </w:rPr>
              <w:t>izvērtējumu</w:t>
            </w:r>
            <w:proofErr w:type="spellEnd"/>
            <w:r w:rsidRPr="00AF1874">
              <w:rPr>
                <w:shd w:val="clear" w:color="auto" w:fill="FFFFFF"/>
              </w:rPr>
              <w:t xml:space="preserve"> un vai tas ir attiecināms uz normatīvo aktu vai attīstības plānošanas dokumentu </w:t>
            </w:r>
            <w:proofErr w:type="spellStart"/>
            <w:r w:rsidRPr="00AF1874">
              <w:rPr>
                <w:shd w:val="clear" w:color="auto" w:fill="FFFFFF"/>
              </w:rPr>
              <w:t>izvērtējumu</w:t>
            </w:r>
            <w:proofErr w:type="spellEnd"/>
            <w:r w:rsidRPr="00AF1874">
              <w:rPr>
                <w:shd w:val="clear" w:color="auto" w:fill="FFFFFF"/>
              </w:rPr>
              <w:t xml:space="preserve">. Ja šo rīcības virzienu plānots attiecināt arī uz </w:t>
            </w:r>
            <w:proofErr w:type="spellStart"/>
            <w:r w:rsidRPr="00AF1874">
              <w:rPr>
                <w:shd w:val="clear" w:color="auto" w:fill="FFFFFF"/>
              </w:rPr>
              <w:t>ex-ante</w:t>
            </w:r>
            <w:proofErr w:type="spellEnd"/>
            <w:r w:rsidRPr="00AF1874">
              <w:rPr>
                <w:shd w:val="clear" w:color="auto" w:fill="FFFFFF"/>
              </w:rPr>
              <w:t xml:space="preserve"> ietekmes </w:t>
            </w:r>
            <w:proofErr w:type="spellStart"/>
            <w:r w:rsidRPr="00AF1874">
              <w:rPr>
                <w:shd w:val="clear" w:color="auto" w:fill="FFFFFF"/>
              </w:rPr>
              <w:t>izvērtējumu</w:t>
            </w:r>
            <w:proofErr w:type="spellEnd"/>
            <w:r w:rsidRPr="00AF1874">
              <w:rPr>
                <w:shd w:val="clear" w:color="auto" w:fill="FFFFFF"/>
              </w:rPr>
              <w:t>, ierosinām ziņojumā identificēt problēmas, kuru risināšanai šis rīcības virziens ir nepieciešams (proti, kādi trūkumi konstatēti esošajā ietekmes izvērtēšanas sistēmā, kuru dēļ šāds rīcības virziens tiek ierosināts).</w:t>
            </w:r>
          </w:p>
        </w:tc>
        <w:tc>
          <w:tcPr>
            <w:tcW w:w="3419" w:type="dxa"/>
            <w:tcBorders>
              <w:top w:val="single" w:sz="4" w:space="0" w:color="auto"/>
              <w:left w:val="single" w:sz="4" w:space="0" w:color="auto"/>
              <w:bottom w:val="single" w:sz="4" w:space="0" w:color="auto"/>
              <w:right w:val="single" w:sz="4" w:space="0" w:color="auto"/>
            </w:tcBorders>
          </w:tcPr>
          <w:p w14:paraId="3524FBAB" w14:textId="77777777" w:rsidR="00AF1874" w:rsidRDefault="00AF1874" w:rsidP="00BF1D1F">
            <w:pPr>
              <w:pStyle w:val="naisc"/>
              <w:rPr>
                <w:b/>
                <w:bCs/>
              </w:rPr>
            </w:pPr>
            <w:r>
              <w:rPr>
                <w:b/>
                <w:bCs/>
              </w:rPr>
              <w:lastRenderedPageBreak/>
              <w:t>Ņemts vērā</w:t>
            </w:r>
          </w:p>
          <w:p w14:paraId="127E7747" w14:textId="63673AA2" w:rsidR="008167D0" w:rsidRDefault="008167D0" w:rsidP="00EB26F4">
            <w:pPr>
              <w:pStyle w:val="naisc"/>
              <w:jc w:val="both"/>
              <w:rPr>
                <w:b/>
                <w:bCs/>
              </w:rPr>
            </w:pPr>
            <w:r w:rsidRPr="6AB3EBF0">
              <w:t>Informatīvais ziņojums p</w:t>
            </w:r>
            <w:r>
              <w:t xml:space="preserve">apildināts ar detalizētāku indikatīvās izmaiņas lietderības skaidrojumu. Vienlaikus vēršam </w:t>
            </w:r>
            <w:r>
              <w:lastRenderedPageBreak/>
              <w:t xml:space="preserve">uzmanību, ka pašlaik informatīvajā ziņojumā </w:t>
            </w:r>
            <w:r w:rsidR="00EB26F4">
              <w:t>nav noteikta</w:t>
            </w:r>
            <w:r>
              <w:t xml:space="preserve"> apņemšanās izstrādāt</w:t>
            </w:r>
            <w:r w:rsidR="00EB26F4">
              <w:t xml:space="preserve"> un ieviest risinājumus visiem identificētajiem aspektiem tieši attiecīgajā veidā,</w:t>
            </w:r>
            <w:r>
              <w:t xml:space="preserve"> piedāvātie izmaiņu virzieni ir indikatīvi, tie </w:t>
            </w:r>
            <w:r w:rsidRPr="6AB3EBF0">
              <w:rPr>
                <w:color w:val="000000" w:themeColor="text1"/>
              </w:rPr>
              <w:t>balstās uz OECD indikatoriem/ieteikumiem un VK veiktā tiesību aktu projektu kvalitātes monitoringa secinājumiem</w:t>
            </w:r>
            <w:r w:rsidR="00EB26F4">
              <w:rPr>
                <w:color w:val="000000" w:themeColor="text1"/>
              </w:rPr>
              <w:t xml:space="preserve">, kā arī </w:t>
            </w:r>
            <w:r w:rsidRPr="6AB3EBF0">
              <w:rPr>
                <w:color w:val="000000" w:themeColor="text1"/>
              </w:rPr>
              <w:t xml:space="preserve">ziņojuma saskaņošanas stadijā </w:t>
            </w:r>
            <w:r w:rsidR="00EB26F4">
              <w:rPr>
                <w:color w:val="000000" w:themeColor="text1"/>
              </w:rPr>
              <w:t>izteiktajiem ekspertu ieteikumiem. D</w:t>
            </w:r>
            <w:r w:rsidR="00EB26F4">
              <w:t xml:space="preserve">arba grupas ietvaros </w:t>
            </w:r>
            <w:r>
              <w:t>tie tiks izvērtēti</w:t>
            </w:r>
            <w:r w:rsidR="00EB26F4">
              <w:t xml:space="preserve"> un pieņemts lēmums par to virzību.</w:t>
            </w:r>
          </w:p>
        </w:tc>
        <w:tc>
          <w:tcPr>
            <w:tcW w:w="3119" w:type="dxa"/>
            <w:tcBorders>
              <w:top w:val="single" w:sz="4" w:space="0" w:color="auto"/>
              <w:left w:val="single" w:sz="4" w:space="0" w:color="auto"/>
              <w:bottom w:val="single" w:sz="4" w:space="0" w:color="auto"/>
            </w:tcBorders>
          </w:tcPr>
          <w:p w14:paraId="18B2A275" w14:textId="7C4C70B7" w:rsidR="00AF1874" w:rsidRDefault="008167D0" w:rsidP="008167D0">
            <w:pPr>
              <w:jc w:val="both"/>
            </w:pPr>
            <w:r w:rsidRPr="6AB3EBF0">
              <w:lastRenderedPageBreak/>
              <w:t>Informatīvais ziņojums p</w:t>
            </w:r>
            <w:r>
              <w:t>apildināts ar detalizētāku indikatīvās izmaiņas lietderības skaidrojumu.</w:t>
            </w:r>
          </w:p>
        </w:tc>
      </w:tr>
      <w:tr w:rsidR="00AF1874" w14:paraId="570B7963" w14:textId="77777777" w:rsidTr="00BC708B">
        <w:tc>
          <w:tcPr>
            <w:tcW w:w="708" w:type="dxa"/>
            <w:tcBorders>
              <w:top w:val="single" w:sz="4" w:space="0" w:color="auto"/>
              <w:left w:val="single" w:sz="4" w:space="0" w:color="auto"/>
              <w:bottom w:val="single" w:sz="4" w:space="0" w:color="auto"/>
              <w:right w:val="single" w:sz="4" w:space="0" w:color="auto"/>
            </w:tcBorders>
          </w:tcPr>
          <w:p w14:paraId="00735F76" w14:textId="733F7426" w:rsidR="00AF1874" w:rsidRDefault="00AF1874" w:rsidP="252FBCE5">
            <w:pPr>
              <w:pStyle w:val="naisc"/>
            </w:pPr>
            <w:r>
              <w:t>28.</w:t>
            </w:r>
          </w:p>
        </w:tc>
        <w:tc>
          <w:tcPr>
            <w:tcW w:w="2261" w:type="dxa"/>
            <w:tcBorders>
              <w:top w:val="single" w:sz="4" w:space="0" w:color="auto"/>
              <w:left w:val="single" w:sz="4" w:space="0" w:color="auto"/>
              <w:bottom w:val="single" w:sz="4" w:space="0" w:color="auto"/>
              <w:right w:val="single" w:sz="4" w:space="0" w:color="auto"/>
            </w:tcBorders>
          </w:tcPr>
          <w:p w14:paraId="6521DE26" w14:textId="77777777" w:rsidR="00AF1874" w:rsidRDefault="00AF1874"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5F543F0E" w14:textId="770DB5F6" w:rsidR="00AF1874" w:rsidRPr="00AF1874" w:rsidRDefault="00AF1874" w:rsidP="252FBCE5">
            <w:pPr>
              <w:jc w:val="both"/>
              <w:rPr>
                <w:lang w:eastAsia="zh-CN"/>
              </w:rPr>
            </w:pPr>
            <w:r w:rsidRPr="00AF1874">
              <w:rPr>
                <w:shd w:val="clear" w:color="auto" w:fill="FFFFFF"/>
              </w:rPr>
              <w:t xml:space="preserve">No ziņojuma 10. lapas priekšpēdējā rindkopā un ziņojumam pievienotā </w:t>
            </w:r>
            <w:proofErr w:type="spellStart"/>
            <w:r w:rsidRPr="00AF1874">
              <w:rPr>
                <w:shd w:val="clear" w:color="auto" w:fill="FFFFFF"/>
              </w:rPr>
              <w:t>protokollēmuma</w:t>
            </w:r>
            <w:proofErr w:type="spellEnd"/>
            <w:r w:rsidRPr="00AF1874">
              <w:rPr>
                <w:shd w:val="clear" w:color="auto" w:fill="FFFFFF"/>
              </w:rPr>
              <w:t xml:space="preserve"> projekta 2. punktā ietvertās informācijas var izdarīt secinājumu, ka šogad ir paredzēts divas reizes grozīt Ministru kabineta 2009. gada 15. decembra instrukciju Nr. 19 "Tiesību akta sākotnējās ietekmes izvērtēšanas kārtība". Ievērojot minēto, aicinām Valsts kanceleju apsvērt, kā mazināt iespējamo negatīvo ietekmi uz administratīvo slogu projektu sagatavotājiem dēļ tik biežām izmaiņām prasībās anotāciju sagatavošanai.</w:t>
            </w:r>
          </w:p>
        </w:tc>
        <w:tc>
          <w:tcPr>
            <w:tcW w:w="3419" w:type="dxa"/>
            <w:tcBorders>
              <w:top w:val="single" w:sz="4" w:space="0" w:color="auto"/>
              <w:left w:val="single" w:sz="4" w:space="0" w:color="auto"/>
              <w:bottom w:val="single" w:sz="4" w:space="0" w:color="auto"/>
              <w:right w:val="single" w:sz="4" w:space="0" w:color="auto"/>
            </w:tcBorders>
          </w:tcPr>
          <w:p w14:paraId="223A588A" w14:textId="77777777" w:rsidR="00AF1874" w:rsidRDefault="00AF1874" w:rsidP="00BF1D1F">
            <w:pPr>
              <w:pStyle w:val="naisc"/>
              <w:rPr>
                <w:b/>
                <w:bCs/>
              </w:rPr>
            </w:pPr>
            <w:r>
              <w:rPr>
                <w:b/>
                <w:bCs/>
              </w:rPr>
              <w:t>Ņemts vērā</w:t>
            </w:r>
          </w:p>
          <w:p w14:paraId="51860641" w14:textId="77777777" w:rsidR="00712E1E" w:rsidRPr="00712E1E" w:rsidRDefault="00626015" w:rsidP="00712E1E">
            <w:pPr>
              <w:pStyle w:val="naisc"/>
              <w:tabs>
                <w:tab w:val="left" w:pos="676"/>
              </w:tabs>
              <w:jc w:val="both"/>
            </w:pPr>
            <w:r w:rsidRPr="00626015">
              <w:t>Ietekmes izvērtēšanas</w:t>
            </w:r>
            <w:r w:rsidR="00F75B3B" w:rsidRPr="00626015">
              <w:t xml:space="preserve"> pārveides procesā iekšējā administratīva sloga nepalielināšana ir noteikta kā horizontāls princips (</w:t>
            </w:r>
            <w:r w:rsidRPr="00626015">
              <w:t xml:space="preserve">kopā ar </w:t>
            </w:r>
            <w:r w:rsidRPr="00626015">
              <w:rPr>
                <w:bCs/>
              </w:rPr>
              <w:t>efektivitāti, samērību, un pārskatāmību</w:t>
            </w:r>
            <w:r w:rsidRPr="00626015">
              <w:t>), kas i</w:t>
            </w:r>
            <w:r w:rsidR="00F75B3B" w:rsidRPr="00626015">
              <w:t xml:space="preserve">r </w:t>
            </w:r>
            <w:r>
              <w:t xml:space="preserve">attiecīgi </w:t>
            </w:r>
            <w:r w:rsidRPr="00626015">
              <w:t>atspoguļots informatīvajā</w:t>
            </w:r>
            <w:r w:rsidR="00F75B3B" w:rsidRPr="00626015">
              <w:t xml:space="preserve"> ziņojumā</w:t>
            </w:r>
            <w:r w:rsidRPr="00626015">
              <w:t xml:space="preserve"> (sk. 1. rīcības virzienu)</w:t>
            </w:r>
            <w:r w:rsidR="00F75B3B" w:rsidRPr="00626015">
              <w:t xml:space="preserve">. </w:t>
            </w:r>
            <w:r w:rsidR="002E79A3" w:rsidRPr="00712E1E">
              <w:t xml:space="preserve">Savukārt </w:t>
            </w:r>
            <w:r w:rsidR="00712E1E" w:rsidRPr="00712E1E">
              <w:t xml:space="preserve">mūsdienīgs un ērts </w:t>
            </w:r>
            <w:r w:rsidR="00712E1E" w:rsidRPr="00712E1E">
              <w:rPr>
                <w:bCs/>
              </w:rPr>
              <w:t xml:space="preserve">metodiskais atbalsts </w:t>
            </w:r>
            <w:r w:rsidR="00712E1E" w:rsidRPr="00712E1E">
              <w:t xml:space="preserve">ietekmes novērtējuma sagatavošanai un sabiedrības līdzdalības nodrošināšanai </w:t>
            </w:r>
            <w:r w:rsidR="002E79A3" w:rsidRPr="00712E1E">
              <w:t>ties</w:t>
            </w:r>
            <w:r w:rsidR="00712E1E" w:rsidRPr="00712E1E">
              <w:t xml:space="preserve">ību aktu </w:t>
            </w:r>
            <w:r w:rsidR="00712E1E" w:rsidRPr="00712E1E">
              <w:lastRenderedPageBreak/>
              <w:t>autoriem tiek ietverts ziņojumā kā 3. rīcības virziens.</w:t>
            </w:r>
            <w:r w:rsidR="002E79A3" w:rsidRPr="00712E1E">
              <w:t xml:space="preserve"> </w:t>
            </w:r>
          </w:p>
          <w:p w14:paraId="3E03ECEE" w14:textId="1DAAD2CB" w:rsidR="00F75B3B" w:rsidRPr="00F75B3B" w:rsidRDefault="00F75B3B" w:rsidP="00712E1E">
            <w:pPr>
              <w:pStyle w:val="naisc"/>
              <w:tabs>
                <w:tab w:val="left" w:pos="676"/>
              </w:tabs>
              <w:jc w:val="both"/>
              <w:rPr>
                <w:b/>
                <w:bCs/>
              </w:rPr>
            </w:pPr>
            <w:r w:rsidRPr="00626015">
              <w:t>Attiecībā uz iespējamo negatīvo iete</w:t>
            </w:r>
            <w:r w:rsidR="00626015" w:rsidRPr="00626015">
              <w:t xml:space="preserve">kmi dēļ iespējamajām izmaiņām divos posmos, jāatzīmē, ka </w:t>
            </w:r>
            <w:r w:rsidRPr="00626015">
              <w:t>līdz ar TAP portāl</w:t>
            </w:r>
            <w:r w:rsidR="00626015" w:rsidRPr="00626015">
              <w:t>a ieviešanu</w:t>
            </w:r>
            <w:r w:rsidRPr="00626015">
              <w:t> </w:t>
            </w:r>
            <w:r w:rsidR="00626015" w:rsidRPr="00626015">
              <w:t>ietekmes iz</w:t>
            </w:r>
            <w:r w:rsidRPr="00626015">
              <w:t>vērtē</w:t>
            </w:r>
            <w:r w:rsidR="00626015" w:rsidRPr="00626015">
              <w:t xml:space="preserve">šanas </w:t>
            </w:r>
            <w:r w:rsidRPr="00626015">
              <w:t xml:space="preserve">saturs </w:t>
            </w:r>
            <w:r w:rsidR="00626015" w:rsidRPr="00626015">
              <w:t xml:space="preserve">mainīts netiek, mainās formāts, to </w:t>
            </w:r>
            <w:proofErr w:type="spellStart"/>
            <w:r w:rsidR="00626015" w:rsidRPr="00626015">
              <w:t>digitalizējot</w:t>
            </w:r>
            <w:proofErr w:type="spellEnd"/>
            <w:r w:rsidR="00626015" w:rsidRPr="00626015">
              <w:t xml:space="preserve"> un padarot ērtāku. </w:t>
            </w:r>
          </w:p>
        </w:tc>
        <w:tc>
          <w:tcPr>
            <w:tcW w:w="3119" w:type="dxa"/>
            <w:tcBorders>
              <w:top w:val="single" w:sz="4" w:space="0" w:color="auto"/>
              <w:left w:val="single" w:sz="4" w:space="0" w:color="auto"/>
              <w:bottom w:val="single" w:sz="4" w:space="0" w:color="auto"/>
            </w:tcBorders>
          </w:tcPr>
          <w:p w14:paraId="37A52F11" w14:textId="77777777" w:rsidR="00AF1874" w:rsidRDefault="00AF1874" w:rsidP="00130AC7">
            <w:pPr>
              <w:jc w:val="both"/>
            </w:pPr>
          </w:p>
        </w:tc>
      </w:tr>
      <w:tr w:rsidR="00BC708B" w14:paraId="39E771A0" w14:textId="77777777" w:rsidTr="00BC708B">
        <w:tc>
          <w:tcPr>
            <w:tcW w:w="708" w:type="dxa"/>
            <w:tcBorders>
              <w:top w:val="single" w:sz="4" w:space="0" w:color="auto"/>
              <w:left w:val="single" w:sz="4" w:space="0" w:color="auto"/>
              <w:bottom w:val="single" w:sz="4" w:space="0" w:color="auto"/>
              <w:right w:val="single" w:sz="4" w:space="0" w:color="auto"/>
            </w:tcBorders>
          </w:tcPr>
          <w:p w14:paraId="155F3F2C" w14:textId="173E6D8C" w:rsidR="00BC708B" w:rsidRDefault="00BC708B" w:rsidP="00AF1874">
            <w:pPr>
              <w:pStyle w:val="naisc"/>
            </w:pPr>
            <w:r>
              <w:t>2</w:t>
            </w:r>
            <w:r w:rsidR="00AF1874">
              <w:t>9</w:t>
            </w:r>
            <w:r>
              <w:t>.</w:t>
            </w:r>
          </w:p>
        </w:tc>
        <w:tc>
          <w:tcPr>
            <w:tcW w:w="2261" w:type="dxa"/>
            <w:tcBorders>
              <w:top w:val="single" w:sz="4" w:space="0" w:color="auto"/>
              <w:left w:val="single" w:sz="4" w:space="0" w:color="auto"/>
              <w:bottom w:val="single" w:sz="4" w:space="0" w:color="auto"/>
              <w:right w:val="single" w:sz="4" w:space="0" w:color="auto"/>
            </w:tcBorders>
          </w:tcPr>
          <w:p w14:paraId="020746E4" w14:textId="77777777" w:rsidR="00BC708B" w:rsidRDefault="00BC708B"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466EE3E6" w14:textId="08AEF535" w:rsidR="00BF1D1F" w:rsidRPr="00BF1D1F" w:rsidRDefault="00BF1D1F" w:rsidP="00BF1D1F">
            <w:pPr>
              <w:spacing w:after="160" w:line="259" w:lineRule="auto"/>
              <w:jc w:val="both"/>
              <w:rPr>
                <w:b/>
                <w:bCs/>
              </w:rPr>
            </w:pPr>
            <w:r w:rsidRPr="00BF1D1F">
              <w:rPr>
                <w:b/>
              </w:rPr>
              <w:t xml:space="preserve">Latvijas </w:t>
            </w:r>
            <w:proofErr w:type="spellStart"/>
            <w:r w:rsidRPr="00BF1D1F">
              <w:rPr>
                <w:b/>
              </w:rPr>
              <w:t>izvērtētāju</w:t>
            </w:r>
            <w:proofErr w:type="spellEnd"/>
            <w:r w:rsidRPr="00BF1D1F">
              <w:rPr>
                <w:b/>
              </w:rPr>
              <w:t xml:space="preserve"> asociācija:</w:t>
            </w:r>
          </w:p>
          <w:p w14:paraId="453B0927" w14:textId="77777777" w:rsidR="00BF1D1F" w:rsidRPr="00210E42" w:rsidRDefault="00BF1D1F" w:rsidP="00210E42">
            <w:pPr>
              <w:jc w:val="both"/>
            </w:pPr>
            <w:r w:rsidRPr="00210E42">
              <w:rPr>
                <w:b/>
                <w:bCs/>
              </w:rPr>
              <w:t>Precīzs un konsekvents terminu lietojums</w:t>
            </w:r>
            <w:r w:rsidRPr="00210E42">
              <w:t xml:space="preserve">: informatīvā ziņojuma nosaukumā un tekstā tiek runāts par ietekmes novērtējuma sistēmu. Vēršam uzmanību, ka šobrīd Latvijā pastāv vismaz trīs dažādas ietekmes novērtējumu sistēmas ar atšķirīgu tiesisko regulējumu: </w:t>
            </w:r>
          </w:p>
          <w:p w14:paraId="351E357F" w14:textId="77777777" w:rsidR="00130AC7" w:rsidRDefault="00BF1D1F" w:rsidP="00130AC7">
            <w:pPr>
              <w:pStyle w:val="ListParagraph"/>
              <w:numPr>
                <w:ilvl w:val="0"/>
                <w:numId w:val="18"/>
              </w:numPr>
              <w:spacing w:after="0" w:line="240" w:lineRule="auto"/>
              <w:jc w:val="both"/>
              <w:rPr>
                <w:rFonts w:ascii="Times New Roman" w:hAnsi="Times New Roman"/>
                <w:sz w:val="24"/>
                <w:szCs w:val="24"/>
              </w:rPr>
            </w:pPr>
            <w:r w:rsidRPr="00130AC7">
              <w:rPr>
                <w:rFonts w:ascii="Times New Roman" w:hAnsi="Times New Roman"/>
                <w:sz w:val="24"/>
                <w:szCs w:val="24"/>
              </w:rPr>
              <w:t xml:space="preserve">tiesību aktu ietekmes novērtējumi, kas ietver tiesību aktu ietekmes sākotnējos jeb </w:t>
            </w:r>
            <w:proofErr w:type="spellStart"/>
            <w:r w:rsidRPr="00130AC7">
              <w:rPr>
                <w:rFonts w:ascii="Times New Roman" w:hAnsi="Times New Roman"/>
                <w:i/>
                <w:iCs/>
                <w:sz w:val="24"/>
                <w:szCs w:val="24"/>
              </w:rPr>
              <w:t>ex</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ante</w:t>
            </w:r>
            <w:proofErr w:type="spellEnd"/>
            <w:r w:rsidRPr="00130AC7">
              <w:rPr>
                <w:rFonts w:ascii="Times New Roman" w:hAnsi="Times New Roman"/>
                <w:sz w:val="24"/>
                <w:szCs w:val="24"/>
              </w:rPr>
              <w:t xml:space="preserve"> novērtējumus (angliski </w:t>
            </w:r>
            <w:proofErr w:type="spellStart"/>
            <w:r w:rsidRPr="00130AC7">
              <w:rPr>
                <w:rFonts w:ascii="Times New Roman" w:hAnsi="Times New Roman"/>
                <w:i/>
                <w:iCs/>
                <w:sz w:val="24"/>
                <w:szCs w:val="24"/>
              </w:rPr>
              <w:t>regulatory</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impact</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assessments</w:t>
            </w:r>
            <w:proofErr w:type="spellEnd"/>
            <w:r w:rsidRPr="00130AC7">
              <w:rPr>
                <w:rFonts w:ascii="Times New Roman" w:hAnsi="Times New Roman"/>
                <w:sz w:val="24"/>
                <w:szCs w:val="24"/>
              </w:rPr>
              <w:t xml:space="preserve">) un tiesību aktu ietekmes pēcpārbaudes jeb </w:t>
            </w:r>
            <w:proofErr w:type="spellStart"/>
            <w:r w:rsidRPr="00130AC7">
              <w:rPr>
                <w:rFonts w:ascii="Times New Roman" w:hAnsi="Times New Roman"/>
                <w:i/>
                <w:iCs/>
                <w:sz w:val="24"/>
                <w:szCs w:val="24"/>
              </w:rPr>
              <w:t>ex</w:t>
            </w:r>
            <w:proofErr w:type="spellEnd"/>
            <w:r w:rsidRPr="00130AC7">
              <w:rPr>
                <w:rFonts w:ascii="Times New Roman" w:hAnsi="Times New Roman"/>
                <w:i/>
                <w:iCs/>
                <w:sz w:val="24"/>
                <w:szCs w:val="24"/>
              </w:rPr>
              <w:t xml:space="preserve"> post</w:t>
            </w:r>
            <w:r w:rsidRPr="00130AC7">
              <w:rPr>
                <w:rFonts w:ascii="Times New Roman" w:hAnsi="Times New Roman"/>
                <w:sz w:val="24"/>
                <w:szCs w:val="24"/>
              </w:rPr>
              <w:t xml:space="preserve"> novērtējumus (angliski </w:t>
            </w:r>
            <w:proofErr w:type="spellStart"/>
            <w:r w:rsidRPr="00130AC7">
              <w:rPr>
                <w:rFonts w:ascii="Times New Roman" w:hAnsi="Times New Roman"/>
                <w:i/>
                <w:iCs/>
                <w:sz w:val="24"/>
                <w:szCs w:val="24"/>
              </w:rPr>
              <w:t>ex</w:t>
            </w:r>
            <w:proofErr w:type="spellEnd"/>
            <w:r w:rsidRPr="00130AC7">
              <w:rPr>
                <w:rFonts w:ascii="Times New Roman" w:hAnsi="Times New Roman"/>
                <w:i/>
                <w:iCs/>
                <w:sz w:val="24"/>
                <w:szCs w:val="24"/>
              </w:rPr>
              <w:t xml:space="preserve"> post </w:t>
            </w:r>
            <w:proofErr w:type="spellStart"/>
            <w:r w:rsidRPr="00130AC7">
              <w:rPr>
                <w:rFonts w:ascii="Times New Roman" w:hAnsi="Times New Roman"/>
                <w:i/>
                <w:iCs/>
                <w:sz w:val="24"/>
                <w:szCs w:val="24"/>
              </w:rPr>
              <w:t>evaluation</w:t>
            </w:r>
            <w:proofErr w:type="spellEnd"/>
            <w:r w:rsidRPr="00130AC7">
              <w:rPr>
                <w:rFonts w:ascii="Times New Roman" w:hAnsi="Times New Roman"/>
                <w:i/>
                <w:iCs/>
                <w:sz w:val="24"/>
                <w:szCs w:val="24"/>
              </w:rPr>
              <w:t>/</w:t>
            </w:r>
            <w:proofErr w:type="spellStart"/>
            <w:r w:rsidRPr="00130AC7">
              <w:rPr>
                <w:rFonts w:ascii="Times New Roman" w:hAnsi="Times New Roman"/>
                <w:i/>
                <w:iCs/>
                <w:sz w:val="24"/>
                <w:szCs w:val="24"/>
              </w:rPr>
              <w:t>review</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of</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laws</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and</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regulations</w:t>
            </w:r>
            <w:proofErr w:type="spellEnd"/>
            <w:r w:rsidRPr="00130AC7">
              <w:rPr>
                <w:rFonts w:ascii="Times New Roman" w:hAnsi="Times New Roman"/>
                <w:sz w:val="24"/>
                <w:szCs w:val="24"/>
              </w:rPr>
              <w:t xml:space="preserve">) (MK instrukcija Nr.19, 2009); </w:t>
            </w:r>
          </w:p>
          <w:p w14:paraId="61176451" w14:textId="62F7187C" w:rsidR="00BF1D1F" w:rsidRPr="00130AC7" w:rsidRDefault="00BF1D1F" w:rsidP="00130AC7">
            <w:pPr>
              <w:pStyle w:val="ListParagraph"/>
              <w:numPr>
                <w:ilvl w:val="0"/>
                <w:numId w:val="18"/>
              </w:numPr>
              <w:spacing w:after="0" w:line="240" w:lineRule="auto"/>
              <w:jc w:val="both"/>
              <w:rPr>
                <w:rFonts w:ascii="Times New Roman" w:hAnsi="Times New Roman"/>
                <w:sz w:val="24"/>
                <w:szCs w:val="24"/>
              </w:rPr>
            </w:pPr>
            <w:r w:rsidRPr="00130AC7">
              <w:rPr>
                <w:rFonts w:ascii="Times New Roman" w:hAnsi="Times New Roman"/>
                <w:sz w:val="24"/>
                <w:szCs w:val="24"/>
              </w:rPr>
              <w:t xml:space="preserve">politikas ietekmes </w:t>
            </w:r>
            <w:proofErr w:type="spellStart"/>
            <w:r w:rsidRPr="00130AC7">
              <w:rPr>
                <w:rFonts w:ascii="Times New Roman" w:hAnsi="Times New Roman"/>
                <w:sz w:val="24"/>
                <w:szCs w:val="24"/>
              </w:rPr>
              <w:t>izvērtējumi</w:t>
            </w:r>
            <w:proofErr w:type="spellEnd"/>
            <w:r w:rsidRPr="00130AC7">
              <w:rPr>
                <w:rFonts w:ascii="Times New Roman" w:hAnsi="Times New Roman"/>
                <w:sz w:val="24"/>
                <w:szCs w:val="24"/>
              </w:rPr>
              <w:t xml:space="preserve"> (angliski </w:t>
            </w:r>
            <w:proofErr w:type="spellStart"/>
            <w:r w:rsidRPr="00130AC7">
              <w:rPr>
                <w:rFonts w:ascii="Times New Roman" w:hAnsi="Times New Roman"/>
                <w:i/>
                <w:iCs/>
                <w:sz w:val="24"/>
                <w:szCs w:val="24"/>
              </w:rPr>
              <w:t>policy</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evaluations</w:t>
            </w:r>
            <w:proofErr w:type="spellEnd"/>
            <w:r w:rsidRPr="00130AC7">
              <w:rPr>
                <w:rFonts w:ascii="Times New Roman" w:hAnsi="Times New Roman"/>
                <w:sz w:val="24"/>
                <w:szCs w:val="24"/>
              </w:rPr>
              <w:t xml:space="preserve">), kas ietver sākotnējos, starpposma un gala </w:t>
            </w:r>
            <w:r w:rsidRPr="00130AC7">
              <w:rPr>
                <w:rFonts w:ascii="Times New Roman" w:hAnsi="Times New Roman"/>
                <w:sz w:val="24"/>
                <w:szCs w:val="24"/>
              </w:rPr>
              <w:lastRenderedPageBreak/>
              <w:t xml:space="preserve">ietekmes </w:t>
            </w:r>
            <w:proofErr w:type="spellStart"/>
            <w:r w:rsidRPr="00130AC7">
              <w:rPr>
                <w:rFonts w:ascii="Times New Roman" w:hAnsi="Times New Roman"/>
                <w:sz w:val="24"/>
                <w:szCs w:val="24"/>
              </w:rPr>
              <w:t>izvērtējumus</w:t>
            </w:r>
            <w:proofErr w:type="spellEnd"/>
            <w:r w:rsidRPr="00130AC7">
              <w:rPr>
                <w:rFonts w:ascii="Times New Roman" w:hAnsi="Times New Roman"/>
                <w:sz w:val="24"/>
                <w:szCs w:val="24"/>
              </w:rPr>
              <w:t xml:space="preserve"> (MK noteikumi Nr.737, 2014);</w:t>
            </w:r>
          </w:p>
          <w:p w14:paraId="5970639F" w14:textId="77777777" w:rsidR="00BF1D1F" w:rsidRPr="00130AC7" w:rsidRDefault="00BF1D1F" w:rsidP="00210E42">
            <w:pPr>
              <w:pStyle w:val="ListParagraph"/>
              <w:numPr>
                <w:ilvl w:val="0"/>
                <w:numId w:val="18"/>
              </w:numPr>
              <w:spacing w:after="0" w:line="240" w:lineRule="auto"/>
              <w:jc w:val="both"/>
              <w:rPr>
                <w:rFonts w:ascii="Times New Roman" w:hAnsi="Times New Roman"/>
                <w:sz w:val="24"/>
                <w:szCs w:val="24"/>
              </w:rPr>
            </w:pPr>
            <w:r w:rsidRPr="00130AC7">
              <w:rPr>
                <w:rFonts w:ascii="Times New Roman" w:hAnsi="Times New Roman"/>
                <w:sz w:val="24"/>
                <w:szCs w:val="24"/>
              </w:rPr>
              <w:t xml:space="preserve">Eiropas Savienības fondu </w:t>
            </w:r>
            <w:proofErr w:type="spellStart"/>
            <w:r w:rsidRPr="00130AC7">
              <w:rPr>
                <w:rFonts w:ascii="Times New Roman" w:hAnsi="Times New Roman"/>
                <w:sz w:val="24"/>
                <w:szCs w:val="24"/>
              </w:rPr>
              <w:t>izvērtējumi</w:t>
            </w:r>
            <w:proofErr w:type="spellEnd"/>
            <w:r w:rsidRPr="00130AC7">
              <w:rPr>
                <w:rFonts w:ascii="Times New Roman" w:hAnsi="Times New Roman"/>
                <w:sz w:val="24"/>
                <w:szCs w:val="24"/>
              </w:rPr>
              <w:t xml:space="preserve">, kas ietver specifiskā atbalsta mērķa sākotnējos </w:t>
            </w:r>
            <w:proofErr w:type="spellStart"/>
            <w:r w:rsidRPr="00130AC7">
              <w:rPr>
                <w:rFonts w:ascii="Times New Roman" w:hAnsi="Times New Roman"/>
                <w:sz w:val="24"/>
                <w:szCs w:val="24"/>
              </w:rPr>
              <w:t>izvērtējumus</w:t>
            </w:r>
            <w:proofErr w:type="spellEnd"/>
            <w:r w:rsidRPr="00130AC7">
              <w:rPr>
                <w:rFonts w:ascii="Times New Roman" w:hAnsi="Times New Roman"/>
                <w:sz w:val="24"/>
                <w:szCs w:val="24"/>
              </w:rPr>
              <w:t xml:space="preserve"> (</w:t>
            </w:r>
            <w:proofErr w:type="spellStart"/>
            <w:r w:rsidRPr="00130AC7">
              <w:rPr>
                <w:rFonts w:ascii="Times New Roman" w:hAnsi="Times New Roman"/>
                <w:i/>
                <w:iCs/>
                <w:sz w:val="24"/>
                <w:szCs w:val="24"/>
              </w:rPr>
              <w:t>ex</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ante</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evaluations</w:t>
            </w:r>
            <w:proofErr w:type="spellEnd"/>
            <w:r w:rsidRPr="00130AC7">
              <w:rPr>
                <w:rFonts w:ascii="Times New Roman" w:hAnsi="Times New Roman"/>
                <w:sz w:val="24"/>
                <w:szCs w:val="24"/>
              </w:rPr>
              <w:t xml:space="preserve">), pastāvīgos/nepārtrauktos </w:t>
            </w:r>
            <w:proofErr w:type="spellStart"/>
            <w:r w:rsidRPr="00130AC7">
              <w:rPr>
                <w:rFonts w:ascii="Times New Roman" w:hAnsi="Times New Roman"/>
                <w:sz w:val="24"/>
                <w:szCs w:val="24"/>
              </w:rPr>
              <w:t>izvērtējumus</w:t>
            </w:r>
            <w:proofErr w:type="spellEnd"/>
            <w:r w:rsidRPr="00130AC7">
              <w:rPr>
                <w:rFonts w:ascii="Times New Roman" w:hAnsi="Times New Roman"/>
                <w:sz w:val="24"/>
                <w:szCs w:val="24"/>
              </w:rPr>
              <w:t xml:space="preserve"> (</w:t>
            </w:r>
            <w:proofErr w:type="spellStart"/>
            <w:r w:rsidRPr="00130AC7">
              <w:rPr>
                <w:rFonts w:ascii="Times New Roman" w:hAnsi="Times New Roman"/>
                <w:i/>
                <w:iCs/>
                <w:sz w:val="24"/>
                <w:szCs w:val="24"/>
              </w:rPr>
              <w:t>ongoing</w:t>
            </w:r>
            <w:proofErr w:type="spellEnd"/>
            <w:r w:rsidRPr="00130AC7">
              <w:rPr>
                <w:rFonts w:ascii="Times New Roman" w:hAnsi="Times New Roman"/>
                <w:i/>
                <w:iCs/>
                <w:sz w:val="24"/>
                <w:szCs w:val="24"/>
              </w:rPr>
              <w:t xml:space="preserve"> </w:t>
            </w:r>
            <w:proofErr w:type="spellStart"/>
            <w:r w:rsidRPr="00130AC7">
              <w:rPr>
                <w:rFonts w:ascii="Times New Roman" w:hAnsi="Times New Roman"/>
                <w:i/>
                <w:iCs/>
                <w:sz w:val="24"/>
                <w:szCs w:val="24"/>
              </w:rPr>
              <w:t>evaluations</w:t>
            </w:r>
            <w:proofErr w:type="spellEnd"/>
            <w:r w:rsidRPr="00130AC7">
              <w:rPr>
                <w:rFonts w:ascii="Times New Roman" w:hAnsi="Times New Roman"/>
                <w:sz w:val="24"/>
                <w:szCs w:val="24"/>
              </w:rPr>
              <w:t xml:space="preserve">) un noslēguma </w:t>
            </w:r>
            <w:proofErr w:type="spellStart"/>
            <w:r w:rsidRPr="00130AC7">
              <w:rPr>
                <w:rFonts w:ascii="Times New Roman" w:hAnsi="Times New Roman"/>
                <w:sz w:val="24"/>
                <w:szCs w:val="24"/>
              </w:rPr>
              <w:t>izvērtējumus</w:t>
            </w:r>
            <w:proofErr w:type="spellEnd"/>
            <w:r w:rsidRPr="00130AC7">
              <w:rPr>
                <w:rFonts w:ascii="Times New Roman" w:hAnsi="Times New Roman"/>
                <w:sz w:val="24"/>
                <w:szCs w:val="24"/>
              </w:rPr>
              <w:t xml:space="preserve"> (</w:t>
            </w:r>
            <w:proofErr w:type="spellStart"/>
            <w:r w:rsidRPr="00130AC7">
              <w:rPr>
                <w:rFonts w:ascii="Times New Roman" w:hAnsi="Times New Roman"/>
                <w:i/>
                <w:iCs/>
                <w:sz w:val="24"/>
                <w:szCs w:val="24"/>
              </w:rPr>
              <w:t>ex</w:t>
            </w:r>
            <w:proofErr w:type="spellEnd"/>
            <w:r w:rsidRPr="00130AC7">
              <w:rPr>
                <w:rFonts w:ascii="Times New Roman" w:hAnsi="Times New Roman"/>
                <w:i/>
                <w:iCs/>
                <w:sz w:val="24"/>
                <w:szCs w:val="24"/>
              </w:rPr>
              <w:t xml:space="preserve"> post </w:t>
            </w:r>
            <w:proofErr w:type="spellStart"/>
            <w:r w:rsidRPr="00130AC7">
              <w:rPr>
                <w:rFonts w:ascii="Times New Roman" w:hAnsi="Times New Roman"/>
                <w:i/>
                <w:iCs/>
                <w:sz w:val="24"/>
                <w:szCs w:val="24"/>
              </w:rPr>
              <w:t>evaluations</w:t>
            </w:r>
            <w:proofErr w:type="spellEnd"/>
            <w:r w:rsidRPr="00130AC7">
              <w:rPr>
                <w:rFonts w:ascii="Times New Roman" w:hAnsi="Times New Roman"/>
                <w:sz w:val="24"/>
                <w:szCs w:val="24"/>
              </w:rPr>
              <w:t xml:space="preserve">) un kuru fokuss visbiežāk ir ietekmes, lietderīguma un efektivitātes novērtēšana (MK noteikumi Nr. 108, 2015). </w:t>
            </w:r>
          </w:p>
          <w:p w14:paraId="6C374C60" w14:textId="7A22E679" w:rsidR="00BC708B" w:rsidRPr="00BF1D1F" w:rsidRDefault="00BF1D1F" w:rsidP="00210E42">
            <w:pPr>
              <w:jc w:val="both"/>
            </w:pPr>
            <w:r w:rsidRPr="00210E42">
              <w:t>Aicinām gan informatīvajā ziņojumā, gan tā rezultātā izstrādātajos tiesību aktos ievērot konsekvenci un lietot terminus ‘tiesību aktu ietekmes novērtējumi’, ‘tiesību aktu ietekmes sākotnējais novērtējums’, ‘tiesību aktu ietekmes pēcpārbaude’. Šāda prakse arī ļaus tiesību aktos precīzāk nodalīt latviešu valodā grūti iztulkojamos angļu valodas terminus “</w:t>
            </w:r>
            <w:proofErr w:type="spellStart"/>
            <w:r w:rsidRPr="00210E42">
              <w:t>assessment</w:t>
            </w:r>
            <w:proofErr w:type="spellEnd"/>
            <w:r w:rsidRPr="00210E42">
              <w:t>” (novērtējums) un “</w:t>
            </w:r>
            <w:proofErr w:type="spellStart"/>
            <w:r w:rsidRPr="00210E42">
              <w:t>evaluation</w:t>
            </w:r>
            <w:proofErr w:type="spellEnd"/>
            <w:r w:rsidRPr="00210E42">
              <w:t>” (</w:t>
            </w:r>
            <w:proofErr w:type="spellStart"/>
            <w:r w:rsidRPr="00210E42">
              <w:t>izvērtējums</w:t>
            </w:r>
            <w:proofErr w:type="spellEnd"/>
            <w:r w:rsidRPr="00210E42">
              <w:t xml:space="preserve">). </w:t>
            </w:r>
          </w:p>
        </w:tc>
        <w:tc>
          <w:tcPr>
            <w:tcW w:w="3419" w:type="dxa"/>
            <w:tcBorders>
              <w:top w:val="single" w:sz="4" w:space="0" w:color="auto"/>
              <w:left w:val="single" w:sz="4" w:space="0" w:color="auto"/>
              <w:bottom w:val="single" w:sz="4" w:space="0" w:color="auto"/>
              <w:right w:val="single" w:sz="4" w:space="0" w:color="auto"/>
            </w:tcBorders>
          </w:tcPr>
          <w:p w14:paraId="2079FDE2" w14:textId="0BE9E6CE" w:rsidR="00BC708B" w:rsidRPr="6AB3EBF0" w:rsidRDefault="00BF1D1F" w:rsidP="6AB3EBF0">
            <w:pPr>
              <w:pStyle w:val="naisc"/>
              <w:rPr>
                <w:b/>
                <w:bCs/>
              </w:rPr>
            </w:pPr>
            <w:r>
              <w:rPr>
                <w:b/>
                <w:bCs/>
              </w:rPr>
              <w:lastRenderedPageBreak/>
              <w:t>Ņemts vērā</w:t>
            </w:r>
          </w:p>
        </w:tc>
        <w:tc>
          <w:tcPr>
            <w:tcW w:w="3119" w:type="dxa"/>
            <w:tcBorders>
              <w:top w:val="single" w:sz="4" w:space="0" w:color="auto"/>
              <w:left w:val="single" w:sz="4" w:space="0" w:color="auto"/>
              <w:bottom w:val="single" w:sz="4" w:space="0" w:color="auto"/>
            </w:tcBorders>
          </w:tcPr>
          <w:p w14:paraId="030D8D04" w14:textId="48B97008" w:rsidR="00BC708B" w:rsidRDefault="00210E42" w:rsidP="00130AC7">
            <w:pPr>
              <w:jc w:val="both"/>
            </w:pPr>
            <w:r>
              <w:t>Terminoloģija ir precizēta visā informatīvā ziņojuma projektā.</w:t>
            </w:r>
          </w:p>
        </w:tc>
      </w:tr>
      <w:tr w:rsidR="00BC708B" w14:paraId="15644F29" w14:textId="77777777" w:rsidTr="00BC708B">
        <w:tc>
          <w:tcPr>
            <w:tcW w:w="708" w:type="dxa"/>
            <w:tcBorders>
              <w:top w:val="single" w:sz="4" w:space="0" w:color="auto"/>
              <w:left w:val="single" w:sz="4" w:space="0" w:color="auto"/>
              <w:bottom w:val="single" w:sz="4" w:space="0" w:color="auto"/>
              <w:right w:val="single" w:sz="4" w:space="0" w:color="auto"/>
            </w:tcBorders>
          </w:tcPr>
          <w:p w14:paraId="128CE912" w14:textId="21A908C4" w:rsidR="00BC708B" w:rsidRDefault="00AF1874" w:rsidP="252FBCE5">
            <w:pPr>
              <w:pStyle w:val="naisc"/>
            </w:pPr>
            <w:r>
              <w:t>30</w:t>
            </w:r>
            <w:r w:rsidR="00BC708B">
              <w:t>.</w:t>
            </w:r>
          </w:p>
        </w:tc>
        <w:tc>
          <w:tcPr>
            <w:tcW w:w="2261" w:type="dxa"/>
            <w:tcBorders>
              <w:top w:val="single" w:sz="4" w:space="0" w:color="auto"/>
              <w:left w:val="single" w:sz="4" w:space="0" w:color="auto"/>
              <w:bottom w:val="single" w:sz="4" w:space="0" w:color="auto"/>
              <w:right w:val="single" w:sz="4" w:space="0" w:color="auto"/>
            </w:tcBorders>
          </w:tcPr>
          <w:p w14:paraId="42D616A1" w14:textId="77777777" w:rsidR="00BC708B" w:rsidRDefault="00BC708B"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626D67C5" w14:textId="3C733499" w:rsidR="00210E42" w:rsidRDefault="00210E42" w:rsidP="00130AC7">
            <w:pPr>
              <w:jc w:val="both"/>
            </w:pPr>
            <w:r>
              <w:t xml:space="preserve">Informatīvajā ziņojumā ir ietverta īsa analīze par </w:t>
            </w:r>
            <w:r w:rsidRPr="00130AC7">
              <w:rPr>
                <w:b/>
                <w:bCs/>
              </w:rPr>
              <w:t>izplatītākajām problēmām tiesību aktu ietekmes novērtējumu veikšanā</w:t>
            </w:r>
            <w:r>
              <w:t xml:space="preserve">. Tās lielākoties saistītas ar tiesību aktu ietekmes sākotnējo novērtējumu nepietiekamu kvalitāti, resursu un kompetences trūkumu institūcijās, metodiskām nepilnībām, izpratnes un motivācijas trūkumu veikt novērtējumus un iesaistīt sabiedrību lēmumu pieņemšanā. </w:t>
            </w:r>
          </w:p>
          <w:p w14:paraId="2A2EF615" w14:textId="1A32D593" w:rsidR="00BC708B" w:rsidRPr="252FBCE5" w:rsidRDefault="00210E42" w:rsidP="00210E42">
            <w:pPr>
              <w:jc w:val="both"/>
              <w:rPr>
                <w:lang w:val="lv"/>
              </w:rPr>
            </w:pPr>
            <w:r>
              <w:lastRenderedPageBreak/>
              <w:t xml:space="preserve">Vēršam uzmanību uz to, ka ziņojumā tomēr nav pietiekami analizēti šo problēmu cēloņi. Neskatoties uz to, ka tiesību aktu ietekmes sākotnējo novērtējumu prakse ir ieviesta Latvijā jau kopš 1997.gada, instrukcija un metodiskie norādījumi šo gadu gaitā jau vairākkārt ir uzlaboti un precizēti, tomēr institūciju praksē joprojām dominē formāla pieeja. Mūsuprāt, pirms regulējuma izstrādes nepieciešams sīkāk izanalizēt iemeslus kādēļ pēc būtības netiek ievērotas MK instrukcijā Nr.19 jau ietvertie nosacījumi tiesību aktu ietekmes sākotnējo novērtējumu izstrādē. Vēršam uzmanību, ka līdzīga, formāla pieeja ir raksturīga arī attiecībā uz politiku </w:t>
            </w:r>
            <w:proofErr w:type="spellStart"/>
            <w:r>
              <w:t>izvērtējumiem</w:t>
            </w:r>
            <w:proofErr w:type="spellEnd"/>
            <w:r>
              <w:rPr>
                <w:rStyle w:val="FootnoteReference"/>
              </w:rPr>
              <w:footnoteReference w:id="7"/>
            </w:r>
            <w:r>
              <w:t>.</w:t>
            </w:r>
          </w:p>
        </w:tc>
        <w:tc>
          <w:tcPr>
            <w:tcW w:w="3419" w:type="dxa"/>
            <w:tcBorders>
              <w:top w:val="single" w:sz="4" w:space="0" w:color="auto"/>
              <w:left w:val="single" w:sz="4" w:space="0" w:color="auto"/>
              <w:bottom w:val="single" w:sz="4" w:space="0" w:color="auto"/>
              <w:right w:val="single" w:sz="4" w:space="0" w:color="auto"/>
            </w:tcBorders>
          </w:tcPr>
          <w:p w14:paraId="59475E53" w14:textId="77777777" w:rsidR="00137A10" w:rsidRDefault="00137A10" w:rsidP="6AB3EBF0">
            <w:pPr>
              <w:pStyle w:val="naisc"/>
              <w:rPr>
                <w:bCs/>
              </w:rPr>
            </w:pPr>
            <w:r>
              <w:rPr>
                <w:b/>
                <w:bCs/>
              </w:rPr>
              <w:lastRenderedPageBreak/>
              <w:t>Ņemts vērā</w:t>
            </w:r>
            <w:r w:rsidRPr="00137A10">
              <w:rPr>
                <w:bCs/>
              </w:rPr>
              <w:t xml:space="preserve"> </w:t>
            </w:r>
          </w:p>
          <w:p w14:paraId="66A34411" w14:textId="03B6D749" w:rsidR="00BC708B" w:rsidRPr="6AB3EBF0" w:rsidRDefault="00137A10" w:rsidP="00C57E16">
            <w:pPr>
              <w:pStyle w:val="naisc"/>
              <w:spacing w:before="0" w:after="0"/>
              <w:jc w:val="both"/>
              <w:rPr>
                <w:b/>
                <w:bCs/>
              </w:rPr>
            </w:pPr>
            <w:r>
              <w:rPr>
                <w:bCs/>
              </w:rPr>
              <w:t>Kā t</w:t>
            </w:r>
            <w:r w:rsidRPr="00137A10">
              <w:rPr>
                <w:bCs/>
              </w:rPr>
              <w:t>iesību aktu ietekmes novērtējumu veikšanas problēmu cēloņi</w:t>
            </w:r>
            <w:r>
              <w:rPr>
                <w:bCs/>
              </w:rPr>
              <w:t>, tā arī</w:t>
            </w:r>
            <w:r>
              <w:t xml:space="preserve"> piedāvātie izmaiņu virzieni </w:t>
            </w:r>
            <w:r w:rsidR="00C57E16">
              <w:t xml:space="preserve">pašreiz </w:t>
            </w:r>
            <w:r>
              <w:t xml:space="preserve">ir tikai indikatīvi, </w:t>
            </w:r>
            <w:r w:rsidRPr="6AB3EBF0">
              <w:rPr>
                <w:color w:val="000000" w:themeColor="text1"/>
              </w:rPr>
              <w:t>balstās uz OECD indikatoriem/ieteikumiem un VK veiktā tiesību aktu projektu kvalitātes monitoringa secinājumiem</w:t>
            </w:r>
            <w:r>
              <w:t xml:space="preserve">, tie </w:t>
            </w:r>
            <w:r w:rsidRPr="00137A10">
              <w:rPr>
                <w:bCs/>
              </w:rPr>
              <w:t xml:space="preserve">tiks </w:t>
            </w:r>
            <w:r>
              <w:rPr>
                <w:bCs/>
              </w:rPr>
              <w:t xml:space="preserve">padziļināti </w:t>
            </w:r>
            <w:r>
              <w:rPr>
                <w:bCs/>
              </w:rPr>
              <w:lastRenderedPageBreak/>
              <w:t xml:space="preserve">vērtēti </w:t>
            </w:r>
            <w:r>
              <w:t>ietekmes novērtējuma pārstrādes procesā darba grupas ietvaros</w:t>
            </w:r>
            <w:r>
              <w:rPr>
                <w:bCs/>
              </w:rPr>
              <w:t xml:space="preserve">, mērķtiecīgi iesaistot visas puses. </w:t>
            </w:r>
            <w:r w:rsidRPr="00137A10">
              <w:rPr>
                <w:bCs/>
              </w:rPr>
              <w:t xml:space="preserve">Aicināsim arī </w:t>
            </w:r>
            <w:r>
              <w:t xml:space="preserve">Latvijas </w:t>
            </w:r>
            <w:proofErr w:type="spellStart"/>
            <w:r>
              <w:t>izvērtētāju</w:t>
            </w:r>
            <w:proofErr w:type="spellEnd"/>
            <w:r>
              <w:t xml:space="preserve"> asociāciju deleģēt savu</w:t>
            </w:r>
            <w:r w:rsidRPr="00137A10">
              <w:t xml:space="preserve"> ekspertu </w:t>
            </w:r>
            <w:r w:rsidR="00C57E16">
              <w:t xml:space="preserve">šim </w:t>
            </w:r>
            <w:r w:rsidRPr="00137A10">
              <w:t>darba</w:t>
            </w:r>
            <w:r w:rsidR="00C57E16">
              <w:t>m</w:t>
            </w:r>
            <w:r w:rsidRPr="00137A10">
              <w:t>.</w:t>
            </w:r>
          </w:p>
        </w:tc>
        <w:tc>
          <w:tcPr>
            <w:tcW w:w="3119" w:type="dxa"/>
            <w:tcBorders>
              <w:top w:val="single" w:sz="4" w:space="0" w:color="auto"/>
              <w:left w:val="single" w:sz="4" w:space="0" w:color="auto"/>
              <w:bottom w:val="single" w:sz="4" w:space="0" w:color="auto"/>
            </w:tcBorders>
          </w:tcPr>
          <w:p w14:paraId="2077221C" w14:textId="66D277EB" w:rsidR="00BC708B" w:rsidRPr="00137A10" w:rsidRDefault="00BC708B" w:rsidP="00137A10">
            <w:pPr>
              <w:jc w:val="both"/>
            </w:pPr>
          </w:p>
        </w:tc>
      </w:tr>
      <w:tr w:rsidR="00BC708B" w14:paraId="305B3B80" w14:textId="77777777" w:rsidTr="00BC708B">
        <w:tc>
          <w:tcPr>
            <w:tcW w:w="708" w:type="dxa"/>
            <w:tcBorders>
              <w:top w:val="single" w:sz="4" w:space="0" w:color="auto"/>
              <w:left w:val="single" w:sz="4" w:space="0" w:color="auto"/>
              <w:bottom w:val="single" w:sz="4" w:space="0" w:color="auto"/>
              <w:right w:val="single" w:sz="4" w:space="0" w:color="auto"/>
            </w:tcBorders>
          </w:tcPr>
          <w:p w14:paraId="67F1A8D6" w14:textId="6D18E493" w:rsidR="00BC708B" w:rsidRDefault="00AF1874" w:rsidP="252FBCE5">
            <w:pPr>
              <w:pStyle w:val="naisc"/>
            </w:pPr>
            <w:r>
              <w:t>31</w:t>
            </w:r>
            <w:r w:rsidR="00BC708B">
              <w:t>.</w:t>
            </w:r>
          </w:p>
        </w:tc>
        <w:tc>
          <w:tcPr>
            <w:tcW w:w="2261" w:type="dxa"/>
            <w:tcBorders>
              <w:top w:val="single" w:sz="4" w:space="0" w:color="auto"/>
              <w:left w:val="single" w:sz="4" w:space="0" w:color="auto"/>
              <w:bottom w:val="single" w:sz="4" w:space="0" w:color="auto"/>
              <w:right w:val="single" w:sz="4" w:space="0" w:color="auto"/>
            </w:tcBorders>
          </w:tcPr>
          <w:p w14:paraId="3CE70138" w14:textId="77777777" w:rsidR="00BC708B" w:rsidRDefault="00BC708B"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7C1CEEA0" w14:textId="77777777" w:rsidR="00210E42" w:rsidRDefault="00210E42" w:rsidP="00130AC7">
            <w:pPr>
              <w:jc w:val="both"/>
            </w:pPr>
            <w:r w:rsidRPr="00E754B3">
              <w:t xml:space="preserve">Atbilstoši informatīvā ziņojuma 1.rīcības virziena aprakstam, </w:t>
            </w:r>
            <w:r>
              <w:t xml:space="preserve">kā centrālais augstāk minēto problēmu risinājums paredzēta </w:t>
            </w:r>
            <w:r w:rsidRPr="00210E42">
              <w:rPr>
                <w:b/>
                <w:bCs/>
              </w:rPr>
              <w:t>detalizētas anotācijas aizpildīšanas instrukcijas ievietošana</w:t>
            </w:r>
            <w:r w:rsidRPr="00E754B3">
              <w:t xml:space="preserve"> vienotajā tiesību aktu izstrādes un saskaņošanas </w:t>
            </w:r>
            <w:r w:rsidRPr="00210E42">
              <w:rPr>
                <w:b/>
                <w:bCs/>
              </w:rPr>
              <w:t>portālā</w:t>
            </w:r>
            <w:r>
              <w:t>.</w:t>
            </w:r>
            <w:r w:rsidRPr="00E754B3">
              <w:t xml:space="preserve"> </w:t>
            </w:r>
          </w:p>
          <w:p w14:paraId="05269544" w14:textId="45BC966E" w:rsidR="00BC708B" w:rsidRPr="00210E42" w:rsidRDefault="00210E42" w:rsidP="00130AC7">
            <w:pPr>
              <w:jc w:val="both"/>
            </w:pPr>
            <w:r w:rsidRPr="00E754B3">
              <w:t>Uzskatām, ka šād</w:t>
            </w:r>
            <w:r>
              <w:t>s</w:t>
            </w:r>
            <w:r w:rsidRPr="00E754B3">
              <w:t xml:space="preserve"> </w:t>
            </w:r>
            <w:r>
              <w:t xml:space="preserve">risinājums </w:t>
            </w:r>
            <w:r w:rsidRPr="00E754B3">
              <w:t>ir nepietiekam</w:t>
            </w:r>
            <w:r>
              <w:t>s. Lai panāktu vēlamās izmaiņas, risinājumam bez precīzākas instrukcijas nodrošināšanas būtu jāietver arī labvēlīgu iespēju radīšana (piemēram, pietiekami laika un cilvēkresursi, administratīvu šķēršļu mazināšana) un ierēdņu</w:t>
            </w:r>
            <w:r w:rsidRPr="00E754B3">
              <w:t xml:space="preserve">, institūciju kopumā un politikas veidotāju </w:t>
            </w:r>
            <w:r>
              <w:t xml:space="preserve">motivācijas stiprināšana (izglītošana un citi </w:t>
            </w:r>
            <w:proofErr w:type="spellStart"/>
            <w:r>
              <w:t>motivatori</w:t>
            </w:r>
            <w:proofErr w:type="spellEnd"/>
            <w:r>
              <w:t>)</w:t>
            </w:r>
            <w:r w:rsidRPr="00E754B3">
              <w:t xml:space="preserve">. </w:t>
            </w:r>
          </w:p>
        </w:tc>
        <w:tc>
          <w:tcPr>
            <w:tcW w:w="3419" w:type="dxa"/>
            <w:tcBorders>
              <w:top w:val="single" w:sz="4" w:space="0" w:color="auto"/>
              <w:left w:val="single" w:sz="4" w:space="0" w:color="auto"/>
              <w:bottom w:val="single" w:sz="4" w:space="0" w:color="auto"/>
              <w:right w:val="single" w:sz="4" w:space="0" w:color="auto"/>
            </w:tcBorders>
          </w:tcPr>
          <w:p w14:paraId="58CA99E5" w14:textId="77777777" w:rsidR="00C57E16" w:rsidRDefault="00C57E16" w:rsidP="00C57E16">
            <w:pPr>
              <w:pStyle w:val="naisc"/>
              <w:rPr>
                <w:bCs/>
              </w:rPr>
            </w:pPr>
            <w:r>
              <w:rPr>
                <w:b/>
                <w:bCs/>
              </w:rPr>
              <w:t>Ņemts vērā</w:t>
            </w:r>
            <w:r w:rsidRPr="00137A10">
              <w:rPr>
                <w:bCs/>
              </w:rPr>
              <w:t xml:space="preserve"> </w:t>
            </w:r>
          </w:p>
          <w:p w14:paraId="343915F7" w14:textId="63B27E60" w:rsidR="00BC708B" w:rsidRPr="00C57E16" w:rsidRDefault="00C57E16" w:rsidP="00C57E16">
            <w:pPr>
              <w:pStyle w:val="naisc"/>
              <w:jc w:val="both"/>
              <w:rPr>
                <w:bCs/>
              </w:rPr>
            </w:pPr>
            <w:r w:rsidRPr="00C57E16">
              <w:rPr>
                <w:bCs/>
              </w:rPr>
              <w:t>Vēršam uzmanību, ka patlaban neviens no risinājumiem nav noteikts kā centr</w:t>
            </w:r>
            <w:r>
              <w:rPr>
                <w:bCs/>
              </w:rPr>
              <w:t xml:space="preserve">ālais. Ziņojumā ir skaidri pausta nostāja, ka </w:t>
            </w:r>
            <w:r w:rsidRPr="00C57E16">
              <w:rPr>
                <w:bCs/>
              </w:rPr>
              <w:t>pozitīv</w:t>
            </w:r>
            <w:r>
              <w:rPr>
                <w:bCs/>
              </w:rPr>
              <w:t>ā rezultāta sasniegšanai</w:t>
            </w:r>
            <w:r w:rsidRPr="00C57E16">
              <w:rPr>
                <w:bCs/>
              </w:rPr>
              <w:t xml:space="preserve"> ir nepieciešama </w:t>
            </w:r>
            <w:r>
              <w:rPr>
                <w:bCs/>
              </w:rPr>
              <w:t xml:space="preserve">sistēmiskā pieeja, kas iekļauj atbilstošus resursus, labāku izpratni un motivāciju, kā arī vajadzībām atbilstošo metodoloģisko atbalstu. Kā viens no horizontālajiem principiem ietekmes novērtējuma sistēmas pārskatīšanā ir noteikts </w:t>
            </w:r>
            <w:r>
              <w:rPr>
                <w:bCs/>
              </w:rPr>
              <w:lastRenderedPageBreak/>
              <w:t xml:space="preserve">administratīvā sloga mazināšana (kā iedzīvotājiem, tā arī pašā valsts pārvaldē). </w:t>
            </w:r>
            <w:r w:rsidR="00BA3428">
              <w:rPr>
                <w:bCs/>
              </w:rPr>
              <w:t>Pārējie</w:t>
            </w:r>
            <w:r>
              <w:rPr>
                <w:bCs/>
              </w:rPr>
              <w:t xml:space="preserve"> principi -</w:t>
            </w:r>
            <w:r w:rsidRPr="6AB3EBF0">
              <w:t xml:space="preserve"> lietderība, efektivitāte, samērīgums un visu pušu iesaiste.</w:t>
            </w:r>
          </w:p>
        </w:tc>
        <w:tc>
          <w:tcPr>
            <w:tcW w:w="3119" w:type="dxa"/>
            <w:tcBorders>
              <w:top w:val="single" w:sz="4" w:space="0" w:color="auto"/>
              <w:left w:val="single" w:sz="4" w:space="0" w:color="auto"/>
              <w:bottom w:val="single" w:sz="4" w:space="0" w:color="auto"/>
            </w:tcBorders>
          </w:tcPr>
          <w:p w14:paraId="0D0C6A6B" w14:textId="77777777" w:rsidR="00BC708B" w:rsidRDefault="00BC708B" w:rsidP="252FBCE5"/>
        </w:tc>
      </w:tr>
      <w:tr w:rsidR="00BC708B" w14:paraId="5A080BF0" w14:textId="77777777" w:rsidTr="00BC708B">
        <w:tc>
          <w:tcPr>
            <w:tcW w:w="708" w:type="dxa"/>
            <w:tcBorders>
              <w:top w:val="single" w:sz="4" w:space="0" w:color="auto"/>
              <w:left w:val="single" w:sz="4" w:space="0" w:color="auto"/>
              <w:bottom w:val="single" w:sz="4" w:space="0" w:color="auto"/>
              <w:right w:val="single" w:sz="4" w:space="0" w:color="auto"/>
            </w:tcBorders>
          </w:tcPr>
          <w:p w14:paraId="07A4B33F" w14:textId="4A31CFD2" w:rsidR="00BC708B" w:rsidRDefault="00AF1874" w:rsidP="252FBCE5">
            <w:pPr>
              <w:pStyle w:val="naisc"/>
            </w:pPr>
            <w:r>
              <w:t>32</w:t>
            </w:r>
            <w:r w:rsidR="00BC708B">
              <w:t>.</w:t>
            </w:r>
          </w:p>
        </w:tc>
        <w:tc>
          <w:tcPr>
            <w:tcW w:w="2261" w:type="dxa"/>
            <w:tcBorders>
              <w:top w:val="single" w:sz="4" w:space="0" w:color="auto"/>
              <w:left w:val="single" w:sz="4" w:space="0" w:color="auto"/>
              <w:bottom w:val="single" w:sz="4" w:space="0" w:color="auto"/>
              <w:right w:val="single" w:sz="4" w:space="0" w:color="auto"/>
            </w:tcBorders>
          </w:tcPr>
          <w:p w14:paraId="547D2451" w14:textId="77777777" w:rsidR="00BC708B" w:rsidRDefault="00BC708B"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5FE72C9D" w14:textId="71E85D97" w:rsidR="00BC708B" w:rsidRPr="00210E42" w:rsidRDefault="00210E42" w:rsidP="00130AC7">
            <w:pPr>
              <w:jc w:val="both"/>
            </w:pPr>
            <w:r>
              <w:t xml:space="preserve">Pilnībā atbalstām priekšlikumu </w:t>
            </w:r>
            <w:r w:rsidRPr="00210E42">
              <w:rPr>
                <w:b/>
                <w:bCs/>
              </w:rPr>
              <w:t>sasaistīt tiesību aktu ietekmes pēcpārbaudes ar sākotnējās ietekmes novērtējumiem</w:t>
            </w:r>
            <w:r>
              <w:t>. Vienlaikus vēršam uzmanību, ka i</w:t>
            </w:r>
            <w:r w:rsidRPr="003E2927">
              <w:t xml:space="preserve">nformatīvajā ziņojumā piedāvātais risinājums tikai daļēji spēs risināt konstatētās problēmas. Konkrētāk, </w:t>
            </w:r>
            <w:r>
              <w:t>i</w:t>
            </w:r>
            <w:r w:rsidRPr="003E2927">
              <w:t xml:space="preserve">zvēlētie </w:t>
            </w:r>
            <w:r>
              <w:t xml:space="preserve">risinājumi nerunā par </w:t>
            </w:r>
            <w:r w:rsidRPr="003E2927">
              <w:t xml:space="preserve">sistēmisku pieeju </w:t>
            </w:r>
            <w:r>
              <w:t>no</w:t>
            </w:r>
            <w:r w:rsidRPr="003E2927">
              <w:t xml:space="preserve">vērtējumu veikšanā, īpaši vienotas </w:t>
            </w:r>
            <w:r>
              <w:t xml:space="preserve">tiesību aktu ietekmes novērtēšanas </w:t>
            </w:r>
            <w:r w:rsidRPr="003E2927">
              <w:t>pieejas veidošanā starp izpildvaru un Saeimu. Tāpat n</w:t>
            </w:r>
            <w:r>
              <w:t xml:space="preserve">av skarts jautājums par </w:t>
            </w:r>
            <w:r w:rsidRPr="003E2927">
              <w:t xml:space="preserve">datu un </w:t>
            </w:r>
            <w:r>
              <w:t>no</w:t>
            </w:r>
            <w:r w:rsidRPr="003E2927">
              <w:t xml:space="preserve">vērtējumu </w:t>
            </w:r>
            <w:r>
              <w:t xml:space="preserve">rezultātu </w:t>
            </w:r>
            <w:r w:rsidRPr="003E2927">
              <w:t>uzkrāšan</w:t>
            </w:r>
            <w:r>
              <w:t>u</w:t>
            </w:r>
            <w:r w:rsidRPr="003E2927">
              <w:t xml:space="preserve"> un vēlāk</w:t>
            </w:r>
            <w:r>
              <w:t>u</w:t>
            </w:r>
            <w:r w:rsidRPr="003E2927">
              <w:t xml:space="preserve"> pielieto</w:t>
            </w:r>
            <w:r>
              <w:t>jumu</w:t>
            </w:r>
            <w:r w:rsidRPr="003E2927">
              <w:t>.</w:t>
            </w:r>
            <w:r>
              <w:t xml:space="preserve"> Ierosinām papildus nodrošināt tiesību aktu ietekmes novērtējumu sistēmas sasaisti arī ar politiku ietekmes izvērtēšanas sistēmu.</w:t>
            </w:r>
          </w:p>
        </w:tc>
        <w:tc>
          <w:tcPr>
            <w:tcW w:w="3419" w:type="dxa"/>
            <w:tcBorders>
              <w:top w:val="single" w:sz="4" w:space="0" w:color="auto"/>
              <w:left w:val="single" w:sz="4" w:space="0" w:color="auto"/>
              <w:bottom w:val="single" w:sz="4" w:space="0" w:color="auto"/>
              <w:right w:val="single" w:sz="4" w:space="0" w:color="auto"/>
            </w:tcBorders>
          </w:tcPr>
          <w:p w14:paraId="6FEE0BDB" w14:textId="77777777" w:rsidR="00BA3428" w:rsidRDefault="00BA3428" w:rsidP="00BA3428">
            <w:pPr>
              <w:pStyle w:val="naisc"/>
              <w:rPr>
                <w:bCs/>
              </w:rPr>
            </w:pPr>
            <w:r>
              <w:rPr>
                <w:b/>
                <w:bCs/>
              </w:rPr>
              <w:t>Ņemts vērā</w:t>
            </w:r>
            <w:r w:rsidRPr="00137A10">
              <w:rPr>
                <w:bCs/>
              </w:rPr>
              <w:t xml:space="preserve"> </w:t>
            </w:r>
          </w:p>
          <w:p w14:paraId="2CEA10B6" w14:textId="68C156E4" w:rsidR="00BA3428" w:rsidRPr="003B71E0" w:rsidRDefault="00BA3428" w:rsidP="00BA3428">
            <w:pPr>
              <w:pStyle w:val="naisc"/>
              <w:spacing w:before="0" w:after="0"/>
              <w:jc w:val="both"/>
              <w:rPr>
                <w:rFonts w:eastAsia="Calibri"/>
                <w:i/>
                <w:iCs/>
              </w:rPr>
            </w:pPr>
            <w:r w:rsidRPr="6AB3EBF0">
              <w:rPr>
                <w:rFonts w:eastAsia="Calibri"/>
                <w:i/>
                <w:iCs/>
              </w:rPr>
              <w:t>Sk. VK skaidrojum</w:t>
            </w:r>
            <w:r>
              <w:rPr>
                <w:rFonts w:eastAsia="Calibri"/>
                <w:i/>
                <w:iCs/>
              </w:rPr>
              <w:t>u</w:t>
            </w:r>
            <w:r w:rsidRPr="6AB3EBF0">
              <w:rPr>
                <w:rFonts w:eastAsia="Calibri"/>
                <w:i/>
                <w:iCs/>
              </w:rPr>
              <w:t xml:space="preserve"> par 1.iebildum</w:t>
            </w:r>
            <w:r>
              <w:rPr>
                <w:rFonts w:eastAsia="Calibri"/>
                <w:i/>
                <w:iCs/>
              </w:rPr>
              <w:t xml:space="preserve">u </w:t>
            </w:r>
            <w:r w:rsidR="00ED7850">
              <w:rPr>
                <w:rFonts w:eastAsia="Calibri"/>
                <w:i/>
                <w:iCs/>
              </w:rPr>
              <w:t>un 1.priekšlikumu</w:t>
            </w:r>
          </w:p>
          <w:p w14:paraId="42A7602C" w14:textId="53AC4029" w:rsidR="00BC708B" w:rsidRPr="00ED7850" w:rsidRDefault="00ED7850" w:rsidP="00ED7850">
            <w:pPr>
              <w:pStyle w:val="naisc"/>
              <w:jc w:val="both"/>
              <w:rPr>
                <w:bCs/>
              </w:rPr>
            </w:pPr>
            <w:r>
              <w:t>V</w:t>
            </w:r>
            <w:r w:rsidRPr="003E2927">
              <w:t xml:space="preserve">ienotas </w:t>
            </w:r>
            <w:r>
              <w:t xml:space="preserve">tiesību aktu ietekmes novērtēšanas </w:t>
            </w:r>
            <w:r w:rsidRPr="003E2927">
              <w:t>pieejas veidošan</w:t>
            </w:r>
            <w:r>
              <w:t>ai</w:t>
            </w:r>
            <w:r w:rsidRPr="003E2927">
              <w:t xml:space="preserve"> starp izpildvaru un Saeimu</w:t>
            </w:r>
            <w:r>
              <w:rPr>
                <w:color w:val="000000" w:themeColor="text1"/>
              </w:rPr>
              <w:t xml:space="preserve">, </w:t>
            </w:r>
            <w:r w:rsidR="00BA3428" w:rsidRPr="6AB3EBF0">
              <w:rPr>
                <w:color w:val="000000" w:themeColor="text1"/>
              </w:rPr>
              <w:t xml:space="preserve">esam paredzējuši </w:t>
            </w:r>
            <w:r>
              <w:rPr>
                <w:color w:val="000000" w:themeColor="text1"/>
              </w:rPr>
              <w:t xml:space="preserve">darba grupā </w:t>
            </w:r>
            <w:r w:rsidR="00BA3428" w:rsidRPr="6AB3EBF0">
              <w:rPr>
                <w:color w:val="000000" w:themeColor="text1"/>
              </w:rPr>
              <w:t xml:space="preserve">iesaistīt arī Saeimas Analītisko dienestu. </w:t>
            </w:r>
            <w:r w:rsidR="00BA3428" w:rsidRPr="6AB3EBF0">
              <w:t xml:space="preserve">Mērķis ir veikt vispusīgus ietekmes novērtējuma sistēmas uzlabojumus, līdz ar to, visu iesaistīto pušu secinājumi, kas ir izdarīti, analizējot šīs sistēmas darbību, tiks </w:t>
            </w:r>
            <w:r>
              <w:t xml:space="preserve">izvērtēti </w:t>
            </w:r>
            <w:r w:rsidR="00BA3428" w:rsidRPr="6AB3EBF0">
              <w:t>pārstrādes procesā.</w:t>
            </w:r>
          </w:p>
        </w:tc>
        <w:tc>
          <w:tcPr>
            <w:tcW w:w="3119" w:type="dxa"/>
            <w:tcBorders>
              <w:top w:val="single" w:sz="4" w:space="0" w:color="auto"/>
              <w:left w:val="single" w:sz="4" w:space="0" w:color="auto"/>
              <w:bottom w:val="single" w:sz="4" w:space="0" w:color="auto"/>
            </w:tcBorders>
          </w:tcPr>
          <w:p w14:paraId="2A21495C" w14:textId="77777777" w:rsidR="00BC708B" w:rsidRDefault="00BC708B" w:rsidP="252FBCE5"/>
        </w:tc>
      </w:tr>
      <w:tr w:rsidR="00BC708B" w14:paraId="2B09BEF1" w14:textId="77777777" w:rsidTr="00BC708B">
        <w:tc>
          <w:tcPr>
            <w:tcW w:w="708" w:type="dxa"/>
            <w:tcBorders>
              <w:top w:val="single" w:sz="4" w:space="0" w:color="auto"/>
              <w:left w:val="single" w:sz="4" w:space="0" w:color="auto"/>
              <w:bottom w:val="single" w:sz="4" w:space="0" w:color="auto"/>
              <w:right w:val="single" w:sz="4" w:space="0" w:color="auto"/>
            </w:tcBorders>
          </w:tcPr>
          <w:p w14:paraId="5395EFD5" w14:textId="064614AA" w:rsidR="00BC708B" w:rsidRDefault="00AF1874" w:rsidP="252FBCE5">
            <w:pPr>
              <w:pStyle w:val="naisc"/>
            </w:pPr>
            <w:r>
              <w:t>33</w:t>
            </w:r>
            <w:r w:rsidR="00BC708B">
              <w:t>.</w:t>
            </w:r>
          </w:p>
        </w:tc>
        <w:tc>
          <w:tcPr>
            <w:tcW w:w="2261" w:type="dxa"/>
            <w:tcBorders>
              <w:top w:val="single" w:sz="4" w:space="0" w:color="auto"/>
              <w:left w:val="single" w:sz="4" w:space="0" w:color="auto"/>
              <w:bottom w:val="single" w:sz="4" w:space="0" w:color="auto"/>
              <w:right w:val="single" w:sz="4" w:space="0" w:color="auto"/>
            </w:tcBorders>
          </w:tcPr>
          <w:p w14:paraId="3A1E97EB" w14:textId="77777777" w:rsidR="00BC708B" w:rsidRDefault="00BC708B"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42B6EE88" w14:textId="2BB7199D" w:rsidR="00BC708B" w:rsidRPr="00210E42" w:rsidRDefault="00210E42" w:rsidP="00130AC7">
            <w:pPr>
              <w:jc w:val="both"/>
            </w:pPr>
            <w:r>
              <w:t xml:space="preserve">Pirmajā </w:t>
            </w:r>
            <w:r w:rsidRPr="00FC494A">
              <w:t xml:space="preserve">rīcības virzienā piedāvāti risinājumi dažādu novērtējumu līmeņu ieviešanai, kritēriju noteikšana kuros gadījumos veikt ietekmes novērtējumus, novērtējumu plānošanas kārtība, atbilstošu resursu paredzēšana un procesa uzraudzība. Ierosinām papildus noteikt arī </w:t>
            </w:r>
            <w:r w:rsidRPr="00210E42">
              <w:rPr>
                <w:b/>
                <w:bCs/>
              </w:rPr>
              <w:t>novērtējuma kritērijus</w:t>
            </w:r>
            <w:r w:rsidRPr="00FC494A">
              <w:t xml:space="preserve">. Līdzšinējais regulējums definēja ietekmes jomas, kuru apraksti ir vispārīgi un nekonkrēti. </w:t>
            </w:r>
            <w:r>
              <w:t>Uzskatām, ka s</w:t>
            </w:r>
            <w:r w:rsidRPr="00FC494A">
              <w:t xml:space="preserve">kaidru </w:t>
            </w:r>
            <w:r>
              <w:t>no</w:t>
            </w:r>
            <w:r w:rsidRPr="00FC494A">
              <w:t xml:space="preserve">vērtēšanas kritēriju definēšana un to </w:t>
            </w:r>
            <w:r w:rsidRPr="00FC494A">
              <w:lastRenderedPageBreak/>
              <w:t xml:space="preserve">izpildes skalas noteikšana palīdzētu fokusēt un konkretizēt </w:t>
            </w:r>
            <w:r>
              <w:t>no</w:t>
            </w:r>
            <w:r w:rsidRPr="00FC494A">
              <w:t>vērtējumu</w:t>
            </w:r>
            <w:r>
              <w:t>s</w:t>
            </w:r>
            <w:r w:rsidRPr="00FC494A">
              <w:t xml:space="preserve">. </w:t>
            </w:r>
          </w:p>
        </w:tc>
        <w:tc>
          <w:tcPr>
            <w:tcW w:w="3419" w:type="dxa"/>
            <w:tcBorders>
              <w:top w:val="single" w:sz="4" w:space="0" w:color="auto"/>
              <w:left w:val="single" w:sz="4" w:space="0" w:color="auto"/>
              <w:bottom w:val="single" w:sz="4" w:space="0" w:color="auto"/>
              <w:right w:val="single" w:sz="4" w:space="0" w:color="auto"/>
            </w:tcBorders>
          </w:tcPr>
          <w:p w14:paraId="7EE9C147" w14:textId="61088524" w:rsidR="00BC708B" w:rsidRPr="6AB3EBF0" w:rsidRDefault="003318D4" w:rsidP="6AB3EBF0">
            <w:pPr>
              <w:pStyle w:val="naisc"/>
              <w:rPr>
                <w:b/>
                <w:bCs/>
              </w:rPr>
            </w:pPr>
            <w:r>
              <w:rPr>
                <w:b/>
                <w:bCs/>
              </w:rPr>
              <w:lastRenderedPageBreak/>
              <w:t>Ņemts vērā</w:t>
            </w:r>
          </w:p>
        </w:tc>
        <w:tc>
          <w:tcPr>
            <w:tcW w:w="3119" w:type="dxa"/>
            <w:tcBorders>
              <w:top w:val="single" w:sz="4" w:space="0" w:color="auto"/>
              <w:left w:val="single" w:sz="4" w:space="0" w:color="auto"/>
              <w:bottom w:val="single" w:sz="4" w:space="0" w:color="auto"/>
            </w:tcBorders>
          </w:tcPr>
          <w:p w14:paraId="5CBCA037" w14:textId="1A1E5E3E" w:rsidR="003318D4" w:rsidRPr="003318D4" w:rsidRDefault="003318D4" w:rsidP="003318D4">
            <w:pPr>
              <w:jc w:val="both"/>
              <w:rPr>
                <w:rFonts w:eastAsiaTheme="minorHAnsi"/>
                <w:shd w:val="clear" w:color="auto" w:fill="FFFFFF"/>
              </w:rPr>
            </w:pPr>
            <w:r w:rsidRPr="003318D4">
              <w:t>Informatīvais ziņojums papildināts: 2. nodaļas “Pārmaiņu</w:t>
            </w:r>
            <w:r w:rsidRPr="003318D4">
              <w:rPr>
                <w:rFonts w:eastAsia="Calibri"/>
              </w:rPr>
              <w:t xml:space="preserve"> virzieni un turpmākā rīcība</w:t>
            </w:r>
            <w:r w:rsidRPr="003318D4">
              <w:t xml:space="preserve">” 1. rīcības virziena apraksts tika papildināts ar jaunu indikatīvo izmaiņu: “definēt skaidrus novērtēšanas kritērijus un noteikt to izpildes skalu, kas palīdzētu novērtējumus fokusēt un konkretizēt”.  </w:t>
            </w:r>
          </w:p>
          <w:p w14:paraId="68A8B3E1" w14:textId="77777777" w:rsidR="00BC708B" w:rsidRDefault="00BC708B" w:rsidP="252FBCE5"/>
        </w:tc>
      </w:tr>
      <w:tr w:rsidR="00210E42" w14:paraId="0E9FDDFB" w14:textId="77777777" w:rsidTr="00BC708B">
        <w:tc>
          <w:tcPr>
            <w:tcW w:w="708" w:type="dxa"/>
            <w:tcBorders>
              <w:top w:val="single" w:sz="4" w:space="0" w:color="auto"/>
              <w:left w:val="single" w:sz="4" w:space="0" w:color="auto"/>
              <w:bottom w:val="single" w:sz="4" w:space="0" w:color="auto"/>
              <w:right w:val="single" w:sz="4" w:space="0" w:color="auto"/>
            </w:tcBorders>
          </w:tcPr>
          <w:p w14:paraId="063CA8B7" w14:textId="38605CFD" w:rsidR="00210E42" w:rsidRDefault="00ED7850" w:rsidP="00AF1874">
            <w:pPr>
              <w:pStyle w:val="naisc"/>
            </w:pPr>
            <w:r>
              <w:t>3</w:t>
            </w:r>
            <w:r w:rsidR="00AF1874">
              <w:t>4</w:t>
            </w:r>
            <w:r>
              <w:t>.</w:t>
            </w:r>
          </w:p>
        </w:tc>
        <w:tc>
          <w:tcPr>
            <w:tcW w:w="2261" w:type="dxa"/>
            <w:tcBorders>
              <w:top w:val="single" w:sz="4" w:space="0" w:color="auto"/>
              <w:left w:val="single" w:sz="4" w:space="0" w:color="auto"/>
              <w:bottom w:val="single" w:sz="4" w:space="0" w:color="auto"/>
              <w:right w:val="single" w:sz="4" w:space="0" w:color="auto"/>
            </w:tcBorders>
          </w:tcPr>
          <w:p w14:paraId="60211CDD" w14:textId="77777777" w:rsidR="00210E42" w:rsidRDefault="00210E42"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715D46D0" w14:textId="7E561967" w:rsidR="00210E42" w:rsidRPr="00210E42" w:rsidRDefault="00210E42" w:rsidP="00130AC7">
            <w:pPr>
              <w:jc w:val="both"/>
            </w:pPr>
            <w:r>
              <w:t>Pirmais r</w:t>
            </w:r>
            <w:r w:rsidRPr="00FC494A">
              <w:t xml:space="preserve">īcības virziens netieši paredz </w:t>
            </w:r>
            <w:r>
              <w:t xml:space="preserve">tiesību aktu </w:t>
            </w:r>
            <w:r w:rsidRPr="00210E42">
              <w:rPr>
                <w:b/>
                <w:bCs/>
              </w:rPr>
              <w:t>iekšējās novērtēšanas sistēmas veidošanu</w:t>
            </w:r>
            <w:r w:rsidRPr="00FC494A">
              <w:t xml:space="preserve"> institūcijās. Vēršam uzmanību, ka šādas sistēmas izveide ietver plašu jautājumu loku, kas tikai daļēji skatīts informatīvajā ziņojumā. Piemēram, nav skarts jautājums par spēju attīstīšanu definēt precīzus un piemērotus </w:t>
            </w:r>
            <w:proofErr w:type="spellStart"/>
            <w:r w:rsidRPr="00FC494A">
              <w:t>izvērtējuma</w:t>
            </w:r>
            <w:proofErr w:type="spellEnd"/>
            <w:r w:rsidRPr="00FC494A">
              <w:t xml:space="preserve"> uzdevumus, kā arī vidēja līmeņa ierēdņu prasmēm un iespējām plānot un komunicēt </w:t>
            </w:r>
            <w:proofErr w:type="spellStart"/>
            <w:r w:rsidRPr="00FC494A">
              <w:t>izvērtējuma</w:t>
            </w:r>
            <w:proofErr w:type="spellEnd"/>
            <w:r w:rsidRPr="00FC494A">
              <w:t xml:space="preserve"> rezultātus ar lēmumu pieņēmējiem. Starptautiska pieredze rāda dažādus iekšējās izvērtēšanas sistēmu modeļus un dažādas pieejas šādas kapacitātes attīstīšanā. Esam gatavi dalīties šajā pieredzē. </w:t>
            </w:r>
          </w:p>
        </w:tc>
        <w:tc>
          <w:tcPr>
            <w:tcW w:w="3419" w:type="dxa"/>
            <w:tcBorders>
              <w:top w:val="single" w:sz="4" w:space="0" w:color="auto"/>
              <w:left w:val="single" w:sz="4" w:space="0" w:color="auto"/>
              <w:bottom w:val="single" w:sz="4" w:space="0" w:color="auto"/>
              <w:right w:val="single" w:sz="4" w:space="0" w:color="auto"/>
            </w:tcBorders>
          </w:tcPr>
          <w:p w14:paraId="23DD91E2" w14:textId="77777777" w:rsidR="00210E42" w:rsidRDefault="003318D4" w:rsidP="6AB3EBF0">
            <w:pPr>
              <w:pStyle w:val="naisc"/>
              <w:rPr>
                <w:b/>
                <w:bCs/>
              </w:rPr>
            </w:pPr>
            <w:r>
              <w:rPr>
                <w:b/>
                <w:bCs/>
              </w:rPr>
              <w:t>Ņemts vērā</w:t>
            </w:r>
          </w:p>
          <w:p w14:paraId="659DC878" w14:textId="10BA803D" w:rsidR="003318D4" w:rsidRPr="003318D4" w:rsidRDefault="003318D4" w:rsidP="003318D4">
            <w:pPr>
              <w:spacing w:after="160" w:line="259" w:lineRule="auto"/>
              <w:jc w:val="both"/>
              <w:rPr>
                <w:bCs/>
              </w:rPr>
            </w:pPr>
            <w:r w:rsidRPr="003318D4">
              <w:rPr>
                <w:bCs/>
              </w:rPr>
              <w:t>Būsim pateicīgi par</w:t>
            </w:r>
            <w:r>
              <w:rPr>
                <w:bCs/>
              </w:rPr>
              <w:t xml:space="preserve"> </w:t>
            </w:r>
            <w:r w:rsidRPr="003318D4">
              <w:t xml:space="preserve">Latvijas </w:t>
            </w:r>
            <w:proofErr w:type="spellStart"/>
            <w:r w:rsidRPr="003318D4">
              <w:t>izvērtētāju</w:t>
            </w:r>
            <w:proofErr w:type="spellEnd"/>
            <w:r w:rsidRPr="003318D4">
              <w:t xml:space="preserve"> asociācijas iesaisti </w:t>
            </w:r>
            <w:r>
              <w:t xml:space="preserve">darba grupā </w:t>
            </w:r>
            <w:r w:rsidRPr="003318D4">
              <w:t xml:space="preserve">un šī aspekta </w:t>
            </w:r>
            <w:r w:rsidR="009D2180">
              <w:t xml:space="preserve">- </w:t>
            </w:r>
            <w:r w:rsidR="009D2180" w:rsidRPr="009D2180">
              <w:rPr>
                <w:bCs/>
              </w:rPr>
              <w:t>iekšējās novērtēšanas sistēmas veidošana (t.sk. dažāda veida prasmju attīstība) -</w:t>
            </w:r>
            <w:r w:rsidR="009D2180">
              <w:rPr>
                <w:b/>
                <w:bCs/>
              </w:rPr>
              <w:t xml:space="preserve"> </w:t>
            </w:r>
            <w:r w:rsidRPr="003318D4">
              <w:t>turpm</w:t>
            </w:r>
            <w:r>
              <w:t>ākās</w:t>
            </w:r>
            <w:r w:rsidRPr="003318D4">
              <w:t xml:space="preserve"> attīst</w:t>
            </w:r>
            <w:r>
              <w:t>ības aktualizēšanu.</w:t>
            </w:r>
          </w:p>
          <w:p w14:paraId="2272956C" w14:textId="07C32CE3" w:rsidR="003318D4" w:rsidRPr="6AB3EBF0" w:rsidRDefault="003318D4" w:rsidP="6AB3EBF0">
            <w:pPr>
              <w:pStyle w:val="naisc"/>
              <w:rPr>
                <w:b/>
                <w:bCs/>
              </w:rPr>
            </w:pPr>
          </w:p>
        </w:tc>
        <w:tc>
          <w:tcPr>
            <w:tcW w:w="3119" w:type="dxa"/>
            <w:tcBorders>
              <w:top w:val="single" w:sz="4" w:space="0" w:color="auto"/>
              <w:left w:val="single" w:sz="4" w:space="0" w:color="auto"/>
              <w:bottom w:val="single" w:sz="4" w:space="0" w:color="auto"/>
            </w:tcBorders>
          </w:tcPr>
          <w:p w14:paraId="20DB0D74" w14:textId="7BB216D6" w:rsidR="00210E42" w:rsidRPr="009D2180" w:rsidRDefault="009D2180" w:rsidP="009D2180">
            <w:pPr>
              <w:spacing w:after="160" w:line="259" w:lineRule="auto"/>
              <w:jc w:val="both"/>
              <w:rPr>
                <w:rFonts w:eastAsiaTheme="minorEastAsia"/>
              </w:rPr>
            </w:pPr>
            <w:r w:rsidRPr="009D2180">
              <w:t>Informatīvais ziņojums papildināts: 2. nodaļas “Pārmaiņu</w:t>
            </w:r>
            <w:r w:rsidRPr="009D2180">
              <w:rPr>
                <w:rFonts w:eastAsia="Calibri"/>
              </w:rPr>
              <w:t xml:space="preserve"> virzieni un turpmākā rīcība</w:t>
            </w:r>
            <w:r w:rsidRPr="009D2180">
              <w:t xml:space="preserve">” 1. rīcības virziena apraksts tika papildināts ar jaunu indikatīvo izmaiņu: “izveidot tiesību aktu </w:t>
            </w:r>
            <w:r w:rsidRPr="009D2180">
              <w:rPr>
                <w:bCs/>
              </w:rPr>
              <w:t>iekšējās novērtēšanas sistēmu</w:t>
            </w:r>
            <w:r w:rsidRPr="009D2180">
              <w:rPr>
                <w:b/>
                <w:bCs/>
              </w:rPr>
              <w:t xml:space="preserve"> </w:t>
            </w:r>
            <w:r w:rsidRPr="009D2180">
              <w:t xml:space="preserve">institūcijās, kas ietvertu plašu jautājumu loku, t.sk. publiskās pārvaldes ekspertu spēju attīstīšanu precīzu un piemērotu </w:t>
            </w:r>
            <w:proofErr w:type="spellStart"/>
            <w:r w:rsidRPr="009D2180">
              <w:t>izvērtējuma</w:t>
            </w:r>
            <w:proofErr w:type="spellEnd"/>
            <w:r w:rsidRPr="009D2180">
              <w:t xml:space="preserve"> uzdevumu definēšanā, </w:t>
            </w:r>
            <w:proofErr w:type="spellStart"/>
            <w:r w:rsidRPr="009D2180">
              <w:t>izvērtējuma</w:t>
            </w:r>
            <w:proofErr w:type="spellEnd"/>
            <w:r w:rsidRPr="009D2180">
              <w:t xml:space="preserve"> rezultātu komunicēšanā lēmumu pieņēmējiem u.c.”</w:t>
            </w:r>
          </w:p>
        </w:tc>
      </w:tr>
      <w:tr w:rsidR="00210E42" w14:paraId="7BF584C5" w14:textId="77777777" w:rsidTr="00BC708B">
        <w:tc>
          <w:tcPr>
            <w:tcW w:w="708" w:type="dxa"/>
            <w:tcBorders>
              <w:top w:val="single" w:sz="4" w:space="0" w:color="auto"/>
              <w:left w:val="single" w:sz="4" w:space="0" w:color="auto"/>
              <w:bottom w:val="single" w:sz="4" w:space="0" w:color="auto"/>
              <w:right w:val="single" w:sz="4" w:space="0" w:color="auto"/>
            </w:tcBorders>
          </w:tcPr>
          <w:p w14:paraId="0425CFAC" w14:textId="0DC810F7" w:rsidR="00210E42" w:rsidRDefault="00AF1874" w:rsidP="252FBCE5">
            <w:pPr>
              <w:pStyle w:val="naisc"/>
            </w:pPr>
            <w:r>
              <w:t>35</w:t>
            </w:r>
            <w:r w:rsidR="00244F08">
              <w:t>.</w:t>
            </w:r>
          </w:p>
        </w:tc>
        <w:tc>
          <w:tcPr>
            <w:tcW w:w="2261" w:type="dxa"/>
            <w:tcBorders>
              <w:top w:val="single" w:sz="4" w:space="0" w:color="auto"/>
              <w:left w:val="single" w:sz="4" w:space="0" w:color="auto"/>
              <w:bottom w:val="single" w:sz="4" w:space="0" w:color="auto"/>
              <w:right w:val="single" w:sz="4" w:space="0" w:color="auto"/>
            </w:tcBorders>
          </w:tcPr>
          <w:p w14:paraId="399C9BF4" w14:textId="77777777" w:rsidR="00210E42" w:rsidRDefault="00210E42"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73E1B8C6" w14:textId="77777777" w:rsidR="00210E42" w:rsidRDefault="00210E42" w:rsidP="00130AC7">
            <w:pPr>
              <w:jc w:val="both"/>
            </w:pPr>
            <w:r>
              <w:t xml:space="preserve">Pilnībā atbalstām 2.rīcības virziena, kas vērsts uz </w:t>
            </w:r>
            <w:r w:rsidRPr="00210E42">
              <w:rPr>
                <w:b/>
                <w:bCs/>
              </w:rPr>
              <w:t>izpratnes veicināšanu</w:t>
            </w:r>
            <w:r>
              <w:t xml:space="preserve">, nepieciešamību. Vienlaikus, vēršam uzmanību, ka piedāvātie risinājumi ir pārāk šauri un nerisina virkni būtisku problēmu. Uzskatām, ka apmācību kursa izveide Valsts administrācijas skolā ir nepietiekošs risinājums. Piemēram, jau kopš 2003.gada VAS ir pieejams kurss par attīstības plānošanas dokumentu ietekmes novērtējumu. Šis kurss notiek ne biežāk kā reizi gadā un šā kursa apjoms ir tikai 8 </w:t>
            </w:r>
            <w:r>
              <w:lastRenderedPageBreak/>
              <w:t xml:space="preserve">stundas. Šādā apjomā ir iespējams gūt vispārēju ieskatu, bet nav iespējams pēc būtības sagatavot ierēdni ietekmes </w:t>
            </w:r>
            <w:proofErr w:type="spellStart"/>
            <w:r>
              <w:t>izvērtējuma</w:t>
            </w:r>
            <w:proofErr w:type="spellEnd"/>
            <w:r>
              <w:t xml:space="preserve"> veikšanai, ko apliecina kopumā zemā institūcijās sagatavoto politiku </w:t>
            </w:r>
            <w:proofErr w:type="spellStart"/>
            <w:r>
              <w:t>izvērtējumu</w:t>
            </w:r>
            <w:proofErr w:type="spellEnd"/>
            <w:r>
              <w:t xml:space="preserve"> kvalitāte. Turklāt, jāņem vērā fakts, ka izvērtēšanu nav iespējams studēt nevienā no Latvijas augstākās izglītības iestādēm, un arī šāda satura </w:t>
            </w:r>
            <w:proofErr w:type="spellStart"/>
            <w:r>
              <w:t>tālākapmācību</w:t>
            </w:r>
            <w:proofErr w:type="spellEnd"/>
            <w:r>
              <w:t xml:space="preserve"> kursi Latvijā netiek piedāvāti (un netiek pieprasīti). </w:t>
            </w:r>
          </w:p>
          <w:p w14:paraId="4817A865" w14:textId="141B6DC4" w:rsidR="00210E42" w:rsidRPr="00210E42" w:rsidRDefault="00210E42" w:rsidP="00130AC7">
            <w:pPr>
              <w:jc w:val="both"/>
            </w:pPr>
            <w:r>
              <w:t>Ierosinām papildināt 2.rīcības virzienu ietverot daudz plašākas novērtējumu atbalsta funkcijas valdības centrā. Piemēram, OECD 2020.gadā publiskotajā salīdzinošajā pētījumā par politiku izvērtēšanas kapacitātes stiprināšanu</w:t>
            </w:r>
            <w:r>
              <w:rPr>
                <w:rStyle w:val="FootnoteReference"/>
              </w:rPr>
              <w:footnoteReference w:id="8"/>
            </w:r>
            <w:r>
              <w:t xml:space="preserve"> kā raksturīgākās valstu funkcijas politiku </w:t>
            </w:r>
            <w:proofErr w:type="spellStart"/>
            <w:r>
              <w:t>izvērtējumu</w:t>
            </w:r>
            <w:proofErr w:type="spellEnd"/>
            <w:r>
              <w:t xml:space="preserve"> veicināšanā norādītas v</w:t>
            </w:r>
            <w:r w:rsidRPr="003740F7">
              <w:t>adlīnij</w:t>
            </w:r>
            <w:r>
              <w:t xml:space="preserve">u </w:t>
            </w:r>
            <w:r w:rsidRPr="003740F7">
              <w:t>izstrāde</w:t>
            </w:r>
            <w:r>
              <w:t>, novērtējumu pasūtījumu r</w:t>
            </w:r>
            <w:r w:rsidRPr="003740F7">
              <w:t>īcības kursa noteikšana</w:t>
            </w:r>
            <w:r>
              <w:t xml:space="preserve">, </w:t>
            </w:r>
            <w:proofErr w:type="spellStart"/>
            <w:r>
              <w:t>izv</w:t>
            </w:r>
            <w:r w:rsidRPr="003740F7">
              <w:t>ērtētāju</w:t>
            </w:r>
            <w:proofErr w:type="spellEnd"/>
            <w:r w:rsidRPr="003740F7">
              <w:t xml:space="preserve"> prasmju, kompetenču un kvalifikācijas attīstīšana</w:t>
            </w:r>
            <w:r>
              <w:t>, ē</w:t>
            </w:r>
            <w:r w:rsidRPr="003740F7">
              <w:t>tiskas rīcības standartu izstrāde</w:t>
            </w:r>
            <w:r>
              <w:t>, n</w:t>
            </w:r>
            <w:r w:rsidRPr="003740F7">
              <w:t>ovērtējumu kvalitātes standartu nodrošināšana</w:t>
            </w:r>
            <w:r>
              <w:t xml:space="preserve">, </w:t>
            </w:r>
            <w:r w:rsidRPr="003740F7">
              <w:t>ieinteresēto personu iesaist</w:t>
            </w:r>
            <w:r>
              <w:t xml:space="preserve">es veicināšana, novērtējumu plānošanas pārraudzība, novērtējumu pielietojuma veicināšana, gūto </w:t>
            </w:r>
            <w:r w:rsidRPr="003740F7">
              <w:t xml:space="preserve">zināšanu </w:t>
            </w:r>
            <w:r>
              <w:t xml:space="preserve">uzkrāšana </w:t>
            </w:r>
            <w:r w:rsidRPr="003740F7">
              <w:t>un apmaiņas platform</w:t>
            </w:r>
            <w:r>
              <w:t>as nodrošināšana, n</w:t>
            </w:r>
            <w:r w:rsidRPr="003740F7">
              <w:t>ovērtēšanas ziņojumu pēcpārbaude</w:t>
            </w:r>
            <w:r>
              <w:t xml:space="preserve"> u.c. </w:t>
            </w:r>
          </w:p>
        </w:tc>
        <w:tc>
          <w:tcPr>
            <w:tcW w:w="3419" w:type="dxa"/>
            <w:tcBorders>
              <w:top w:val="single" w:sz="4" w:space="0" w:color="auto"/>
              <w:left w:val="single" w:sz="4" w:space="0" w:color="auto"/>
              <w:bottom w:val="single" w:sz="4" w:space="0" w:color="auto"/>
              <w:right w:val="single" w:sz="4" w:space="0" w:color="auto"/>
            </w:tcBorders>
          </w:tcPr>
          <w:p w14:paraId="4EA412D7" w14:textId="0EE90C81" w:rsidR="00210E42" w:rsidRPr="6AB3EBF0" w:rsidRDefault="00DD5818" w:rsidP="6AB3EBF0">
            <w:pPr>
              <w:pStyle w:val="naisc"/>
              <w:rPr>
                <w:b/>
                <w:bCs/>
              </w:rPr>
            </w:pPr>
            <w:r>
              <w:rPr>
                <w:b/>
                <w:bCs/>
              </w:rPr>
              <w:lastRenderedPageBreak/>
              <w:t>Ņemts vērā</w:t>
            </w:r>
          </w:p>
        </w:tc>
        <w:tc>
          <w:tcPr>
            <w:tcW w:w="3119" w:type="dxa"/>
            <w:tcBorders>
              <w:top w:val="single" w:sz="4" w:space="0" w:color="auto"/>
              <w:left w:val="single" w:sz="4" w:space="0" w:color="auto"/>
              <w:bottom w:val="single" w:sz="4" w:space="0" w:color="auto"/>
            </w:tcBorders>
          </w:tcPr>
          <w:p w14:paraId="0773AE61" w14:textId="7CAF06D4" w:rsidR="00210E42" w:rsidRDefault="00DD5818" w:rsidP="00DD5818">
            <w:pPr>
              <w:jc w:val="both"/>
            </w:pPr>
            <w:r w:rsidRPr="009D2180">
              <w:t>Informatīvais ziņojums p</w:t>
            </w:r>
            <w:r>
              <w:t>recizēts</w:t>
            </w:r>
            <w:r w:rsidRPr="009D2180">
              <w:t>: 2. nodaļas “Pārmaiņu</w:t>
            </w:r>
            <w:r w:rsidRPr="009D2180">
              <w:rPr>
                <w:rFonts w:eastAsia="Calibri"/>
              </w:rPr>
              <w:t xml:space="preserve"> virzieni un turpmākā rīcība</w:t>
            </w:r>
            <w:r>
              <w:t>” 2</w:t>
            </w:r>
            <w:r w:rsidRPr="009D2180">
              <w:t>. rīcības virziena apraksts tika papildināts</w:t>
            </w:r>
            <w:r>
              <w:t>.</w:t>
            </w:r>
          </w:p>
        </w:tc>
      </w:tr>
      <w:tr w:rsidR="00210E42" w14:paraId="492EFE98" w14:textId="77777777" w:rsidTr="00712E1E">
        <w:trPr>
          <w:trHeight w:val="991"/>
        </w:trPr>
        <w:tc>
          <w:tcPr>
            <w:tcW w:w="708" w:type="dxa"/>
            <w:tcBorders>
              <w:top w:val="single" w:sz="4" w:space="0" w:color="auto"/>
              <w:left w:val="single" w:sz="4" w:space="0" w:color="auto"/>
              <w:bottom w:val="single" w:sz="4" w:space="0" w:color="auto"/>
              <w:right w:val="single" w:sz="4" w:space="0" w:color="auto"/>
            </w:tcBorders>
          </w:tcPr>
          <w:p w14:paraId="4F34039E" w14:textId="5332CDED" w:rsidR="00210E42" w:rsidRDefault="00AF1874" w:rsidP="252FBCE5">
            <w:pPr>
              <w:pStyle w:val="naisc"/>
            </w:pPr>
            <w:r>
              <w:lastRenderedPageBreak/>
              <w:t>36</w:t>
            </w:r>
            <w:r w:rsidR="00244F08">
              <w:t>.</w:t>
            </w:r>
          </w:p>
        </w:tc>
        <w:tc>
          <w:tcPr>
            <w:tcW w:w="2261" w:type="dxa"/>
            <w:tcBorders>
              <w:top w:val="single" w:sz="4" w:space="0" w:color="auto"/>
              <w:left w:val="single" w:sz="4" w:space="0" w:color="auto"/>
              <w:bottom w:val="single" w:sz="4" w:space="0" w:color="auto"/>
              <w:right w:val="single" w:sz="4" w:space="0" w:color="auto"/>
            </w:tcBorders>
          </w:tcPr>
          <w:p w14:paraId="197BB565" w14:textId="77777777" w:rsidR="00210E42" w:rsidRDefault="00210E42"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39EA93DF" w14:textId="13D11E73" w:rsidR="00210E42" w:rsidRPr="00130AC7" w:rsidRDefault="00130AC7" w:rsidP="00130AC7">
            <w:pPr>
              <w:jc w:val="both"/>
            </w:pPr>
            <w:r>
              <w:t xml:space="preserve">Informatīvais ziņojums kā vienu no aktuālākajām problēmām uzsver nepietiekamu </w:t>
            </w:r>
            <w:r w:rsidRPr="00130AC7">
              <w:rPr>
                <w:b/>
                <w:bCs/>
              </w:rPr>
              <w:t>sabiedrības līdzdalību tiesību aktu izstrādē un ietekmes novērtēšanā</w:t>
            </w:r>
            <w:r w:rsidRPr="000F10A4">
              <w:t xml:space="preserve">. </w:t>
            </w:r>
            <w:r>
              <w:t xml:space="preserve">Diemžēl no piedāvātajām rīcībām nekļūst skaidri iecerētie sabiedrības iesaistes </w:t>
            </w:r>
            <w:r w:rsidRPr="000F10A4">
              <w:t>mehānism</w:t>
            </w:r>
            <w:r>
              <w:t>i ietekmes novērtējumu veikšanā</w:t>
            </w:r>
            <w:r w:rsidRPr="000F10A4">
              <w:t xml:space="preserve">. </w:t>
            </w:r>
            <w:r>
              <w:t xml:space="preserve">Iesakām skaidri </w:t>
            </w:r>
            <w:r w:rsidRPr="000F10A4">
              <w:t xml:space="preserve">definēt </w:t>
            </w:r>
            <w:r>
              <w:t xml:space="preserve">sabiedrības lomu novērtējumos, </w:t>
            </w:r>
            <w:r w:rsidRPr="000F10A4">
              <w:t xml:space="preserve">iesaistītas puses un </w:t>
            </w:r>
            <w:r>
              <w:t xml:space="preserve">to </w:t>
            </w:r>
            <w:r w:rsidRPr="000F10A4">
              <w:t>mijiedarbību</w:t>
            </w:r>
            <w:r>
              <w:t xml:space="preserve">. Vēršam uzmanību, ka pastāv plaša starptautiskā </w:t>
            </w:r>
            <w:proofErr w:type="spellStart"/>
            <w:r>
              <w:t>izvērtējumu</w:t>
            </w:r>
            <w:proofErr w:type="spellEnd"/>
            <w:r>
              <w:t xml:space="preserve"> prakse un dažādi, uz līdzdalību vērsti </w:t>
            </w:r>
            <w:proofErr w:type="spellStart"/>
            <w:r>
              <w:t>izvērtējumu</w:t>
            </w:r>
            <w:proofErr w:type="spellEnd"/>
            <w:r>
              <w:t xml:space="preserve"> modeļi un pieejas, kas paredz mērķa grupu dažādu līmeņu iesaisti </w:t>
            </w:r>
            <w:proofErr w:type="spellStart"/>
            <w:r>
              <w:t>izvērtējumu</w:t>
            </w:r>
            <w:proofErr w:type="spellEnd"/>
            <w:r>
              <w:t xml:space="preserve"> norisē. </w:t>
            </w:r>
            <w:r w:rsidRPr="00FC494A">
              <w:t xml:space="preserve">Esam gatavi dalīties šajā pieredzē. </w:t>
            </w:r>
          </w:p>
        </w:tc>
        <w:tc>
          <w:tcPr>
            <w:tcW w:w="3419" w:type="dxa"/>
            <w:tcBorders>
              <w:top w:val="single" w:sz="4" w:space="0" w:color="auto"/>
              <w:left w:val="single" w:sz="4" w:space="0" w:color="auto"/>
              <w:bottom w:val="single" w:sz="4" w:space="0" w:color="auto"/>
              <w:right w:val="single" w:sz="4" w:space="0" w:color="auto"/>
            </w:tcBorders>
          </w:tcPr>
          <w:p w14:paraId="70546721" w14:textId="77777777" w:rsidR="00210E42" w:rsidRDefault="00244F08" w:rsidP="6AB3EBF0">
            <w:pPr>
              <w:pStyle w:val="naisc"/>
              <w:rPr>
                <w:b/>
                <w:bCs/>
              </w:rPr>
            </w:pPr>
            <w:r>
              <w:rPr>
                <w:b/>
                <w:bCs/>
              </w:rPr>
              <w:t>Ņemts vērā</w:t>
            </w:r>
          </w:p>
          <w:p w14:paraId="2AC3D594" w14:textId="77777777" w:rsidR="00244F08" w:rsidRPr="003B71E0" w:rsidRDefault="00244F08" w:rsidP="00244F08">
            <w:pPr>
              <w:pStyle w:val="naisc"/>
              <w:spacing w:before="0" w:after="0"/>
              <w:jc w:val="both"/>
              <w:rPr>
                <w:rFonts w:eastAsia="Calibri"/>
                <w:i/>
                <w:iCs/>
              </w:rPr>
            </w:pPr>
            <w:r w:rsidRPr="6AB3EBF0">
              <w:rPr>
                <w:rFonts w:eastAsia="Calibri"/>
                <w:i/>
                <w:iCs/>
              </w:rPr>
              <w:t>Sk. VK skaidrojum</w:t>
            </w:r>
            <w:r>
              <w:rPr>
                <w:rFonts w:eastAsia="Calibri"/>
                <w:i/>
                <w:iCs/>
              </w:rPr>
              <w:t>u</w:t>
            </w:r>
            <w:r w:rsidRPr="6AB3EBF0">
              <w:rPr>
                <w:rFonts w:eastAsia="Calibri"/>
                <w:i/>
                <w:iCs/>
              </w:rPr>
              <w:t xml:space="preserve"> par 1.iebildum</w:t>
            </w:r>
            <w:r>
              <w:rPr>
                <w:rFonts w:eastAsia="Calibri"/>
                <w:i/>
                <w:iCs/>
              </w:rPr>
              <w:t>u un 1.priekšlikumu</w:t>
            </w:r>
          </w:p>
          <w:p w14:paraId="7737A3FB" w14:textId="1F9A203B" w:rsidR="00244F08" w:rsidRPr="6AB3EBF0" w:rsidRDefault="00244F08" w:rsidP="001522DB">
            <w:pPr>
              <w:spacing w:after="160" w:line="259" w:lineRule="auto"/>
              <w:jc w:val="both"/>
              <w:rPr>
                <w:b/>
                <w:bCs/>
              </w:rPr>
            </w:pPr>
            <w:r>
              <w:rPr>
                <w:bCs/>
              </w:rPr>
              <w:t xml:space="preserve">Sabiedrības līdzdalības </w:t>
            </w:r>
            <w:r w:rsidR="005E543E">
              <w:rPr>
                <w:bCs/>
              </w:rPr>
              <w:t xml:space="preserve">mērķtiecīga īstenošana un šī </w:t>
            </w:r>
            <w:r>
              <w:rPr>
                <w:bCs/>
              </w:rPr>
              <w:t>procesa uzlabošana ir viens no aspektiem, kura</w:t>
            </w:r>
            <w:r w:rsidR="005E543E">
              <w:rPr>
                <w:bCs/>
              </w:rPr>
              <w:t xml:space="preserve">m </w:t>
            </w:r>
            <w:r>
              <w:rPr>
                <w:bCs/>
              </w:rPr>
              <w:t>tiek pievērsta īpašā VK uzmanība</w:t>
            </w:r>
            <w:r w:rsidR="005E543E">
              <w:rPr>
                <w:bCs/>
              </w:rPr>
              <w:t xml:space="preserve">: tas izpaužas gan ietekmes novērtējumu kvalitātes monitoringā, gan ministriju sadarbības ar NVO </w:t>
            </w:r>
            <w:r w:rsidR="005B64AA">
              <w:rPr>
                <w:bCs/>
              </w:rPr>
              <w:t xml:space="preserve">ikgadējā </w:t>
            </w:r>
            <w:r w:rsidR="005E543E">
              <w:rPr>
                <w:bCs/>
              </w:rPr>
              <w:t xml:space="preserve">analīzē, </w:t>
            </w:r>
            <w:r w:rsidR="005B64AA">
              <w:rPr>
                <w:bCs/>
              </w:rPr>
              <w:t>gan svarīgu sabiedrības līdzdalības instrumentu</w:t>
            </w:r>
            <w:r w:rsidR="001522DB">
              <w:rPr>
                <w:bCs/>
              </w:rPr>
              <w:t xml:space="preserve"> (NTSP, Memoranda padome)</w:t>
            </w:r>
            <w:r w:rsidR="005B64AA">
              <w:rPr>
                <w:bCs/>
              </w:rPr>
              <w:t xml:space="preserve"> darbības nodrošināšanā, </w:t>
            </w:r>
            <w:r w:rsidR="005E543E">
              <w:rPr>
                <w:bCs/>
              </w:rPr>
              <w:t xml:space="preserve">gan TAP portāla izstrādes procesā. </w:t>
            </w:r>
            <w:r w:rsidR="005B64AA">
              <w:rPr>
                <w:bCs/>
              </w:rPr>
              <w:t xml:space="preserve">Uzskatām, ka </w:t>
            </w:r>
            <w:r w:rsidR="001522DB">
              <w:rPr>
                <w:bCs/>
              </w:rPr>
              <w:t xml:space="preserve">turpmākas </w:t>
            </w:r>
            <w:r w:rsidR="005B64AA">
              <w:rPr>
                <w:bCs/>
              </w:rPr>
              <w:t xml:space="preserve">izmaiņas sabiedrības līdzdalības procesā, t.sk. skaidra </w:t>
            </w:r>
            <w:r w:rsidR="005B64AA">
              <w:t>sabiedrības lomas  definēšana novērtējumos, iesaistīto pušu un to mijiedarbības</w:t>
            </w:r>
            <w:r w:rsidR="005B64AA" w:rsidRPr="003318D4">
              <w:rPr>
                <w:bCs/>
              </w:rPr>
              <w:t xml:space="preserve"> </w:t>
            </w:r>
            <w:r w:rsidR="005B64AA">
              <w:t>noteikšana ir nākam</w:t>
            </w:r>
            <w:r w:rsidR="001522DB">
              <w:t xml:space="preserve">ie posmi </w:t>
            </w:r>
            <w:r w:rsidR="005B64AA">
              <w:t>ietekmes novērtējuma sistēmas pilnveides darb</w:t>
            </w:r>
            <w:r w:rsidR="001522DB">
              <w:t>ā, un tiem jābūt attīstītiem sadarbībā ar NVO sektoru</w:t>
            </w:r>
            <w:r w:rsidR="005B64AA">
              <w:t>.</w:t>
            </w:r>
            <w:r w:rsidR="005B64AA" w:rsidRPr="003318D4">
              <w:rPr>
                <w:bCs/>
              </w:rPr>
              <w:t xml:space="preserve"> </w:t>
            </w:r>
            <w:r w:rsidRPr="003318D4">
              <w:rPr>
                <w:bCs/>
              </w:rPr>
              <w:t>Būsim pateicīgi par</w:t>
            </w:r>
            <w:r>
              <w:rPr>
                <w:bCs/>
              </w:rPr>
              <w:t xml:space="preserve"> </w:t>
            </w:r>
            <w:r w:rsidRPr="003318D4">
              <w:t xml:space="preserve">Latvijas </w:t>
            </w:r>
            <w:proofErr w:type="spellStart"/>
            <w:r w:rsidRPr="003318D4">
              <w:t>izvērtētāju</w:t>
            </w:r>
            <w:proofErr w:type="spellEnd"/>
            <w:r w:rsidRPr="003318D4">
              <w:t xml:space="preserve"> asociācijas iesaisti </w:t>
            </w:r>
            <w:r>
              <w:t xml:space="preserve">darba grupā </w:t>
            </w:r>
            <w:r w:rsidRPr="003318D4">
              <w:t xml:space="preserve">un šī aspekta </w:t>
            </w:r>
            <w:r w:rsidR="005B64AA">
              <w:t xml:space="preserve">(uz sabiedrības līdzdalību vērstu </w:t>
            </w:r>
            <w:proofErr w:type="spellStart"/>
            <w:r w:rsidR="005B64AA">
              <w:t>izvērtējumu</w:t>
            </w:r>
            <w:proofErr w:type="spellEnd"/>
            <w:r w:rsidR="005B64AA">
              <w:t xml:space="preserve"> modeļu un pieeju, kas paredz </w:t>
            </w:r>
            <w:r w:rsidR="005B64AA">
              <w:lastRenderedPageBreak/>
              <w:t xml:space="preserve">mērķa grupu dažādu līmeņu iesaisti </w:t>
            </w:r>
            <w:proofErr w:type="spellStart"/>
            <w:r w:rsidR="005B64AA">
              <w:t>izvērtējumu</w:t>
            </w:r>
            <w:proofErr w:type="spellEnd"/>
            <w:r w:rsidR="005B64AA">
              <w:t xml:space="preserve"> norisē, attīstība)</w:t>
            </w:r>
            <w:r w:rsidR="005B64AA" w:rsidRPr="009D2180">
              <w:rPr>
                <w:bCs/>
              </w:rPr>
              <w:t xml:space="preserve"> </w:t>
            </w:r>
            <w:r w:rsidRPr="003318D4">
              <w:t>turpm</w:t>
            </w:r>
            <w:r>
              <w:t>āk</w:t>
            </w:r>
            <w:r w:rsidR="001522DB">
              <w:t>o</w:t>
            </w:r>
            <w:r w:rsidRPr="003318D4">
              <w:t xml:space="preserve"> attīst</w:t>
            </w:r>
            <w:r>
              <w:t>īb</w:t>
            </w:r>
            <w:r w:rsidR="001522DB">
              <w:t>u.</w:t>
            </w:r>
          </w:p>
        </w:tc>
        <w:tc>
          <w:tcPr>
            <w:tcW w:w="3119" w:type="dxa"/>
            <w:tcBorders>
              <w:top w:val="single" w:sz="4" w:space="0" w:color="auto"/>
              <w:left w:val="single" w:sz="4" w:space="0" w:color="auto"/>
              <w:bottom w:val="single" w:sz="4" w:space="0" w:color="auto"/>
            </w:tcBorders>
          </w:tcPr>
          <w:p w14:paraId="7644D425" w14:textId="26091B6E" w:rsidR="00AB3D62" w:rsidRPr="00AB3D62" w:rsidRDefault="00AB3D62" w:rsidP="00AB3D62">
            <w:pPr>
              <w:spacing w:after="160" w:line="259" w:lineRule="auto"/>
              <w:jc w:val="both"/>
              <w:rPr>
                <w:rFonts w:eastAsiaTheme="minorEastAsia"/>
              </w:rPr>
            </w:pPr>
            <w:r w:rsidRPr="00AB3D62">
              <w:lastRenderedPageBreak/>
              <w:t>Informatīvais ziņojums papildināts: 2. nodaļas “Pārmaiņu</w:t>
            </w:r>
            <w:r w:rsidRPr="00AB3D62">
              <w:rPr>
                <w:rFonts w:eastAsia="Calibri"/>
              </w:rPr>
              <w:t xml:space="preserve"> virzieni un turpmākā rīcība</w:t>
            </w:r>
            <w:r w:rsidRPr="00AB3D62">
              <w:t xml:space="preserve">” 1. rīcības virziena apraksts tika papildināts ar jaunu indikatīvo izmaiņu: “uzlabot sabiedrības līdzdalības procesu:  noteikt to par neatņemamu ietekmes novērtējuma procesa sastāvdaļu; skaidri definēt sabiedrības lomu novērtējumos, iesaistītas puses un to mijiedarbību; veicināt tādas </w:t>
            </w:r>
            <w:proofErr w:type="spellStart"/>
            <w:r w:rsidRPr="00AB3D62">
              <w:t>izvērtējumu</w:t>
            </w:r>
            <w:proofErr w:type="spellEnd"/>
            <w:r w:rsidRPr="00AB3D62">
              <w:t xml:space="preserve"> prakses un dažādu, uz līdzdalību vērstu </w:t>
            </w:r>
            <w:proofErr w:type="spellStart"/>
            <w:r w:rsidRPr="00AB3D62">
              <w:t>izvērtējumu</w:t>
            </w:r>
            <w:proofErr w:type="spellEnd"/>
            <w:r w:rsidRPr="00AB3D62">
              <w:t xml:space="preserve"> modeļu un pieeju attīstību, kas paredz mērķa grupu dažādu līmeņu iesaisti </w:t>
            </w:r>
            <w:proofErr w:type="spellStart"/>
            <w:r w:rsidRPr="00AB3D62">
              <w:t>izvērtējumu</w:t>
            </w:r>
            <w:proofErr w:type="spellEnd"/>
            <w:r w:rsidRPr="00AB3D62">
              <w:t xml:space="preserve"> norisē”</w:t>
            </w:r>
          </w:p>
          <w:p w14:paraId="2C9AC973" w14:textId="77777777" w:rsidR="00210E42" w:rsidRDefault="00210E42" w:rsidP="252FBCE5"/>
        </w:tc>
      </w:tr>
      <w:tr w:rsidR="00210E42" w14:paraId="45E8D63D" w14:textId="77777777" w:rsidTr="00BC708B">
        <w:tc>
          <w:tcPr>
            <w:tcW w:w="708" w:type="dxa"/>
            <w:tcBorders>
              <w:top w:val="single" w:sz="4" w:space="0" w:color="auto"/>
              <w:left w:val="single" w:sz="4" w:space="0" w:color="auto"/>
              <w:bottom w:val="single" w:sz="4" w:space="0" w:color="auto"/>
              <w:right w:val="single" w:sz="4" w:space="0" w:color="auto"/>
            </w:tcBorders>
          </w:tcPr>
          <w:p w14:paraId="471D49E2" w14:textId="70BB47A2" w:rsidR="00210E42" w:rsidRDefault="00244F08" w:rsidP="00AF1874">
            <w:pPr>
              <w:pStyle w:val="naisc"/>
            </w:pPr>
            <w:r>
              <w:t>3</w:t>
            </w:r>
            <w:r w:rsidR="00AF1874">
              <w:t>7</w:t>
            </w:r>
            <w:r>
              <w:t>.</w:t>
            </w:r>
          </w:p>
        </w:tc>
        <w:tc>
          <w:tcPr>
            <w:tcW w:w="2261" w:type="dxa"/>
            <w:tcBorders>
              <w:top w:val="single" w:sz="4" w:space="0" w:color="auto"/>
              <w:left w:val="single" w:sz="4" w:space="0" w:color="auto"/>
              <w:bottom w:val="single" w:sz="4" w:space="0" w:color="auto"/>
              <w:right w:val="single" w:sz="4" w:space="0" w:color="auto"/>
            </w:tcBorders>
          </w:tcPr>
          <w:p w14:paraId="49A84495" w14:textId="77777777" w:rsidR="00210E42" w:rsidRDefault="00210E42"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575BEE08" w14:textId="1C41BAC8" w:rsidR="00210E42" w:rsidRPr="00130AC7" w:rsidRDefault="00130AC7" w:rsidP="00130AC7">
            <w:pPr>
              <w:jc w:val="both"/>
            </w:pPr>
            <w:r>
              <w:t xml:space="preserve">Atbilstoši 3. rīcības virziena aprakstam, kā galvenais tiesību aktu ietekmes novērtēšanas un sabiedrības līdzdalības nodrošināšanas risinājums ir </w:t>
            </w:r>
            <w:r w:rsidRPr="00130AC7">
              <w:rPr>
                <w:b/>
                <w:bCs/>
              </w:rPr>
              <w:t>vienota tiesību aktu projektu izstrādes un saskaņošanas portāla</w:t>
            </w:r>
            <w:r>
              <w:t xml:space="preserve"> izveide. Kā norāda šī portāla nosaukums un ziņojumā sniegtais apraksts, šī portāla primārā funkcija būs nodrošināt tiesību aktu izstrādes un saskaņošanas procesu. Vēršam uzmanību, ka portāla satura un funkciju apraksts jau pašos pamatos norāda uz formālas, reaģējošas sabiedrības iesaistes pieejas veicināšanu, nevis iesaisti pēc būtības. Portāla apraksts atspoguļo šauru skatījumu un nepietiekamu izpratni par ietekmes novērtēšanas būtību, procesu un jēgu. Piemēram, mērķa grupu iebildumu apkopošana ir viszemākais no iesaistes līmeņiem, kas sniedz ļoti ierobežotu, virspusēju un nereti sagrozītu skatījumu uz problēmām, bez iespējas izpētīt to dziļākos cēloņus. </w:t>
            </w:r>
          </w:p>
        </w:tc>
        <w:tc>
          <w:tcPr>
            <w:tcW w:w="3419" w:type="dxa"/>
            <w:tcBorders>
              <w:top w:val="single" w:sz="4" w:space="0" w:color="auto"/>
              <w:left w:val="single" w:sz="4" w:space="0" w:color="auto"/>
              <w:bottom w:val="single" w:sz="4" w:space="0" w:color="auto"/>
              <w:right w:val="single" w:sz="4" w:space="0" w:color="auto"/>
            </w:tcBorders>
          </w:tcPr>
          <w:p w14:paraId="1940709C" w14:textId="77777777" w:rsidR="00A66CC6" w:rsidRDefault="00A66CC6" w:rsidP="00A66CC6">
            <w:pPr>
              <w:pStyle w:val="naisc"/>
              <w:rPr>
                <w:b/>
                <w:bCs/>
              </w:rPr>
            </w:pPr>
            <w:r>
              <w:rPr>
                <w:b/>
                <w:bCs/>
              </w:rPr>
              <w:t>Ņemts vērā</w:t>
            </w:r>
          </w:p>
          <w:p w14:paraId="7CC783F1" w14:textId="2327925F" w:rsidR="00AB3D62" w:rsidRPr="6AB3EBF0" w:rsidRDefault="000D46DB" w:rsidP="00A66CC6">
            <w:pPr>
              <w:pStyle w:val="naisc"/>
              <w:jc w:val="both"/>
              <w:rPr>
                <w:b/>
                <w:bCs/>
              </w:rPr>
            </w:pPr>
            <w:r w:rsidRPr="00A66CC6">
              <w:rPr>
                <w:bCs/>
              </w:rPr>
              <w:t xml:space="preserve">Vēršam uzmanību, ka TAP portāls </w:t>
            </w:r>
            <w:r w:rsidR="00AB3D62" w:rsidRPr="00A66CC6">
              <w:rPr>
                <w:bCs/>
              </w:rPr>
              <w:t>nebūs</w:t>
            </w:r>
            <w:r w:rsidR="00AB3D62" w:rsidRPr="00A66CC6">
              <w:t xml:space="preserve"> galvenais</w:t>
            </w:r>
            <w:r w:rsidR="00AB3D62">
              <w:t xml:space="preserve"> tiesību aktu ietekmes novērtēšanas un sabiedrības līdzdalīb</w:t>
            </w:r>
            <w:r>
              <w:t xml:space="preserve">as nodrošināšanas risinājums, bet efektīvs sabiedrības līdzdalības īstenošanas, fiksācijas, </w:t>
            </w:r>
            <w:r w:rsidR="00A66CC6">
              <w:t xml:space="preserve">caurspīdības un pārraudzības instruments. TAP portālā ir paredzēta iespēja īstenot un fiksēt nodrošināto sabiedrības līdzdalību jau tiesību akta projekta idejas stadijā, paredzot opciju, ka, pamatojoties uz sabiedrības līdzdalības rezultātiem, tiek pieņemts lēmums neizstrādāt tiesību aktu vai veikt citus grozījumus. TAP paredz vairākus sabiedrības līdzdalības veidus </w:t>
            </w:r>
            <w:r w:rsidR="00A66CC6" w:rsidRPr="008167D0">
              <w:t xml:space="preserve">(aptauja, </w:t>
            </w:r>
            <w:r w:rsidR="00AF1853" w:rsidRPr="008167D0">
              <w:t xml:space="preserve">diskusija, konsultatīvā padome, </w:t>
            </w:r>
            <w:r w:rsidR="00A66CC6" w:rsidRPr="008167D0">
              <w:t>darba grupa</w:t>
            </w:r>
            <w:r w:rsidR="00AF1853" w:rsidRPr="008167D0">
              <w:t>, publiskā ap</w:t>
            </w:r>
            <w:r w:rsidR="008167D0" w:rsidRPr="008167D0">
              <w:t>spriešana</w:t>
            </w:r>
            <w:r w:rsidR="00A66CC6" w:rsidRPr="008167D0">
              <w:t xml:space="preserve"> u.c.),</w:t>
            </w:r>
            <w:r w:rsidR="00A66CC6">
              <w:t xml:space="preserve"> kur atzinumu sniegšana ir beidzamais posms.</w:t>
            </w:r>
          </w:p>
        </w:tc>
        <w:tc>
          <w:tcPr>
            <w:tcW w:w="3119" w:type="dxa"/>
            <w:tcBorders>
              <w:top w:val="single" w:sz="4" w:space="0" w:color="auto"/>
              <w:left w:val="single" w:sz="4" w:space="0" w:color="auto"/>
              <w:bottom w:val="single" w:sz="4" w:space="0" w:color="auto"/>
            </w:tcBorders>
          </w:tcPr>
          <w:p w14:paraId="0D1DA8FE" w14:textId="77777777" w:rsidR="00210E42" w:rsidRDefault="00210E42" w:rsidP="252FBCE5"/>
        </w:tc>
      </w:tr>
      <w:tr w:rsidR="00210E42" w14:paraId="220D9301" w14:textId="77777777" w:rsidTr="00BC708B">
        <w:tc>
          <w:tcPr>
            <w:tcW w:w="708" w:type="dxa"/>
            <w:tcBorders>
              <w:top w:val="single" w:sz="4" w:space="0" w:color="auto"/>
              <w:left w:val="single" w:sz="4" w:space="0" w:color="auto"/>
              <w:bottom w:val="single" w:sz="4" w:space="0" w:color="auto"/>
              <w:right w:val="single" w:sz="4" w:space="0" w:color="auto"/>
            </w:tcBorders>
          </w:tcPr>
          <w:p w14:paraId="3F1B7542" w14:textId="3D7D0D25" w:rsidR="00210E42" w:rsidRDefault="00AF1874" w:rsidP="252FBCE5">
            <w:pPr>
              <w:pStyle w:val="naisc"/>
            </w:pPr>
            <w:r>
              <w:t>38</w:t>
            </w:r>
            <w:r w:rsidR="00244F08">
              <w:t>.</w:t>
            </w:r>
          </w:p>
        </w:tc>
        <w:tc>
          <w:tcPr>
            <w:tcW w:w="2261" w:type="dxa"/>
            <w:tcBorders>
              <w:top w:val="single" w:sz="4" w:space="0" w:color="auto"/>
              <w:left w:val="single" w:sz="4" w:space="0" w:color="auto"/>
              <w:bottom w:val="single" w:sz="4" w:space="0" w:color="auto"/>
              <w:right w:val="single" w:sz="4" w:space="0" w:color="auto"/>
            </w:tcBorders>
          </w:tcPr>
          <w:p w14:paraId="1B6E4B8E" w14:textId="77777777" w:rsidR="00210E42" w:rsidRDefault="00210E42"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1FDD6A52" w14:textId="77777777" w:rsidR="00130AC7" w:rsidRPr="00130AC7" w:rsidRDefault="00130AC7" w:rsidP="00130AC7">
            <w:pPr>
              <w:jc w:val="both"/>
            </w:pPr>
            <w:r w:rsidRPr="00130AC7">
              <w:t xml:space="preserve">Papildus, vēlamies vērst uzmanību uz dažiem būtiskiem tiesību aktu ietekmes novērtējumu metodoloģijas aspektiem, kas informatīvajā </w:t>
            </w:r>
            <w:r w:rsidRPr="00130AC7">
              <w:lastRenderedPageBreak/>
              <w:t>ziņojumā skatīti nepilnīgi, vai vispār nav iekļauti.</w:t>
            </w:r>
          </w:p>
          <w:p w14:paraId="0C449167" w14:textId="77777777" w:rsidR="00130AC7" w:rsidRPr="00130AC7" w:rsidRDefault="00130AC7" w:rsidP="00130AC7">
            <w:pPr>
              <w:jc w:val="both"/>
            </w:pPr>
            <w:r w:rsidRPr="00130AC7">
              <w:t xml:space="preserve">Ziņojuma pielikumā pievienotajā informatīvajā ziņojumā par </w:t>
            </w:r>
            <w:proofErr w:type="spellStart"/>
            <w:r w:rsidRPr="00130AC7">
              <w:t>izmēģinājumprojektu</w:t>
            </w:r>
            <w:proofErr w:type="spellEnd"/>
            <w:r w:rsidRPr="00130AC7">
              <w:t xml:space="preserve"> (pilotprojektu) īstenošanas rezultātiem un turpmāko rīcību ietekmes pēcpārbaudes ieviešanā uzskaitīti </w:t>
            </w:r>
            <w:proofErr w:type="spellStart"/>
            <w:r w:rsidRPr="00130AC7">
              <w:rPr>
                <w:b/>
                <w:bCs/>
              </w:rPr>
              <w:t>izvērtējuma</w:t>
            </w:r>
            <w:proofErr w:type="spellEnd"/>
            <w:r w:rsidRPr="00130AC7">
              <w:rPr>
                <w:b/>
                <w:bCs/>
              </w:rPr>
              <w:t xml:space="preserve"> jautājumi</w:t>
            </w:r>
            <w:r w:rsidRPr="00130AC7">
              <w:t xml:space="preserve"> par kuriem veikta analīze veicot </w:t>
            </w:r>
            <w:proofErr w:type="spellStart"/>
            <w:r w:rsidRPr="00130AC7">
              <w:t>izmēģinājumprojektu</w:t>
            </w:r>
            <w:proofErr w:type="spellEnd"/>
            <w:r w:rsidRPr="00130AC7">
              <w:t xml:space="preserve"> novērtējumu: </w:t>
            </w:r>
          </w:p>
          <w:p w14:paraId="3D8AC614" w14:textId="77777777" w:rsidR="00130AC7" w:rsidRPr="00130AC7" w:rsidRDefault="00130AC7" w:rsidP="00130AC7">
            <w:pPr>
              <w:pStyle w:val="ListParagraph"/>
              <w:spacing w:after="0" w:line="240" w:lineRule="auto"/>
              <w:jc w:val="both"/>
              <w:rPr>
                <w:rFonts w:ascii="Times New Roman" w:hAnsi="Times New Roman"/>
                <w:sz w:val="24"/>
                <w:szCs w:val="24"/>
              </w:rPr>
            </w:pPr>
            <w:r w:rsidRPr="00130AC7">
              <w:rPr>
                <w:rFonts w:ascii="Times New Roman" w:hAnsi="Times New Roman"/>
                <w:sz w:val="24"/>
                <w:szCs w:val="24"/>
              </w:rPr>
              <w:t xml:space="preserve">1. Vai konkrētais tiesību akts ir sasniedzis sev izvirzītos mērķus? </w:t>
            </w:r>
          </w:p>
          <w:p w14:paraId="0FDDC6CF" w14:textId="77777777" w:rsidR="00130AC7" w:rsidRPr="00130AC7" w:rsidRDefault="00130AC7" w:rsidP="00130AC7">
            <w:pPr>
              <w:pStyle w:val="ListParagraph"/>
              <w:spacing w:after="0" w:line="240" w:lineRule="auto"/>
              <w:jc w:val="both"/>
              <w:rPr>
                <w:rFonts w:ascii="Times New Roman" w:hAnsi="Times New Roman"/>
                <w:sz w:val="24"/>
                <w:szCs w:val="24"/>
              </w:rPr>
            </w:pPr>
            <w:r w:rsidRPr="00130AC7">
              <w:rPr>
                <w:rFonts w:ascii="Times New Roman" w:hAnsi="Times New Roman"/>
                <w:sz w:val="24"/>
                <w:szCs w:val="24"/>
              </w:rPr>
              <w:t xml:space="preserve">2. Vai tiesību akts ir sagatavots pietiekami kvalitatīvi, lai sasniegtu mērķi? </w:t>
            </w:r>
          </w:p>
          <w:p w14:paraId="4A20A8FF" w14:textId="77777777" w:rsidR="00130AC7" w:rsidRPr="00130AC7" w:rsidRDefault="00130AC7" w:rsidP="00130AC7">
            <w:pPr>
              <w:pStyle w:val="ListParagraph"/>
              <w:spacing w:after="0" w:line="240" w:lineRule="auto"/>
              <w:jc w:val="both"/>
              <w:rPr>
                <w:rFonts w:ascii="Times New Roman" w:hAnsi="Times New Roman"/>
                <w:sz w:val="24"/>
                <w:szCs w:val="24"/>
              </w:rPr>
            </w:pPr>
            <w:r w:rsidRPr="00130AC7">
              <w:rPr>
                <w:rFonts w:ascii="Times New Roman" w:hAnsi="Times New Roman"/>
                <w:sz w:val="24"/>
                <w:szCs w:val="24"/>
              </w:rPr>
              <w:t>3. Kāda ir ārējo faktoru ietekme uz izvirzīto mērķu sasniegšanu?</w:t>
            </w:r>
          </w:p>
          <w:p w14:paraId="62002882" w14:textId="77777777" w:rsidR="00130AC7" w:rsidRPr="00130AC7" w:rsidRDefault="00130AC7" w:rsidP="00130AC7">
            <w:pPr>
              <w:jc w:val="both"/>
            </w:pPr>
            <w:r w:rsidRPr="00130AC7">
              <w:t>Vēršam uzmanību, ka tiesību akta mērķu sasniegšanas pārbaude nav uzskatāma par ietekmes novērtējumu. Mērķu sasniegšanas pārbaudes nolūks ir pārbaudīt sākotnēji definētu mērķu sasniegšanas pakāpi. Izvērtēšanas literatūrā to apzīmē kā mērķu (</w:t>
            </w:r>
            <w:proofErr w:type="spellStart"/>
            <w:r w:rsidRPr="00130AC7">
              <w:t>objectives</w:t>
            </w:r>
            <w:proofErr w:type="spellEnd"/>
            <w:r w:rsidRPr="00130AC7">
              <w:t xml:space="preserve">) </w:t>
            </w:r>
            <w:proofErr w:type="spellStart"/>
            <w:r w:rsidRPr="00130AC7">
              <w:t>izvērtējumu</w:t>
            </w:r>
            <w:proofErr w:type="spellEnd"/>
            <w:r w:rsidRPr="00130AC7">
              <w:rPr>
                <w:rStyle w:val="FootnoteReference"/>
              </w:rPr>
              <w:footnoteReference w:id="9"/>
            </w:r>
            <w:r w:rsidRPr="00130AC7">
              <w:t xml:space="preserve">. Ietekmes </w:t>
            </w:r>
            <w:proofErr w:type="spellStart"/>
            <w:r w:rsidRPr="00130AC7">
              <w:t>izvērtējuma</w:t>
            </w:r>
            <w:proofErr w:type="spellEnd"/>
            <w:r w:rsidRPr="00130AC7">
              <w:t xml:space="preserve"> nolūks ir pārbaudīt vai un kādas izmaiņas veiktā intervence/īstenotais regulējušais tiesību akts ir radījis mērķa grupai. Citiem vārdiem, ietekmes </w:t>
            </w:r>
            <w:proofErr w:type="spellStart"/>
            <w:r w:rsidRPr="00130AC7">
              <w:t>izvērtējuma</w:t>
            </w:r>
            <w:proofErr w:type="spellEnd"/>
            <w:r w:rsidRPr="00130AC7">
              <w:t xml:space="preserve"> nolūks ir konstatēt kas ir/nav ‘strādājis’, kam par labu un kādos apstākļos </w:t>
            </w:r>
            <w:r w:rsidRPr="00130AC7">
              <w:lastRenderedPageBreak/>
              <w:t>(</w:t>
            </w:r>
            <w:proofErr w:type="spellStart"/>
            <w:r w:rsidRPr="00130AC7">
              <w:t>what</w:t>
            </w:r>
            <w:proofErr w:type="spellEnd"/>
            <w:r w:rsidRPr="00130AC7">
              <w:t xml:space="preserve"> </w:t>
            </w:r>
            <w:proofErr w:type="spellStart"/>
            <w:r w:rsidRPr="00130AC7">
              <w:t>works</w:t>
            </w:r>
            <w:proofErr w:type="spellEnd"/>
            <w:r w:rsidRPr="00130AC7">
              <w:t xml:space="preserve">, </w:t>
            </w:r>
            <w:proofErr w:type="spellStart"/>
            <w:r w:rsidRPr="00130AC7">
              <w:t>for</w:t>
            </w:r>
            <w:proofErr w:type="spellEnd"/>
            <w:r w:rsidRPr="00130AC7">
              <w:t xml:space="preserve"> </w:t>
            </w:r>
            <w:proofErr w:type="spellStart"/>
            <w:r w:rsidRPr="00130AC7">
              <w:t>whom</w:t>
            </w:r>
            <w:proofErr w:type="spellEnd"/>
            <w:r w:rsidRPr="00130AC7">
              <w:t xml:space="preserve">, </w:t>
            </w:r>
            <w:proofErr w:type="spellStart"/>
            <w:r w:rsidRPr="00130AC7">
              <w:t>in</w:t>
            </w:r>
            <w:proofErr w:type="spellEnd"/>
            <w:r w:rsidRPr="00130AC7">
              <w:t xml:space="preserve"> </w:t>
            </w:r>
            <w:proofErr w:type="spellStart"/>
            <w:r w:rsidRPr="00130AC7">
              <w:t>what</w:t>
            </w:r>
            <w:proofErr w:type="spellEnd"/>
            <w:r w:rsidRPr="00130AC7">
              <w:t xml:space="preserve"> </w:t>
            </w:r>
            <w:proofErr w:type="spellStart"/>
            <w:r w:rsidRPr="00130AC7">
              <w:t>circumstances</w:t>
            </w:r>
            <w:proofErr w:type="spellEnd"/>
            <w:r w:rsidRPr="00130AC7">
              <w:t>)</w:t>
            </w:r>
            <w:r w:rsidRPr="00130AC7">
              <w:rPr>
                <w:rStyle w:val="FootnoteReference"/>
              </w:rPr>
              <w:footnoteReference w:id="10"/>
            </w:r>
            <w:r w:rsidRPr="00130AC7">
              <w:t xml:space="preserve">. </w:t>
            </w:r>
          </w:p>
          <w:p w14:paraId="3B1EF651" w14:textId="77777777" w:rsidR="00130AC7" w:rsidRPr="00130AC7" w:rsidRDefault="00130AC7" w:rsidP="00130AC7">
            <w:pPr>
              <w:jc w:val="both"/>
            </w:pPr>
            <w:r w:rsidRPr="00130AC7">
              <w:t xml:space="preserve">Piemēram, tiesību aktu ietekmes pēcpārbaudē būtu jāietver šādi </w:t>
            </w:r>
            <w:proofErr w:type="spellStart"/>
            <w:r w:rsidRPr="00130AC7">
              <w:t>izvērtējuma</w:t>
            </w:r>
            <w:proofErr w:type="spellEnd"/>
            <w:r w:rsidRPr="00130AC7">
              <w:t xml:space="preserve"> jautājumi: </w:t>
            </w:r>
          </w:p>
          <w:p w14:paraId="2DDC5B44" w14:textId="77777777" w:rsidR="00130AC7" w:rsidRPr="00130AC7" w:rsidRDefault="00130AC7" w:rsidP="00130AC7">
            <w:pPr>
              <w:pStyle w:val="ListParagraph"/>
              <w:numPr>
                <w:ilvl w:val="0"/>
                <w:numId w:val="20"/>
              </w:numPr>
              <w:spacing w:after="0" w:line="240" w:lineRule="auto"/>
              <w:jc w:val="both"/>
              <w:rPr>
                <w:rFonts w:ascii="Times New Roman" w:hAnsi="Times New Roman"/>
                <w:sz w:val="24"/>
                <w:szCs w:val="24"/>
              </w:rPr>
            </w:pPr>
            <w:r w:rsidRPr="00130AC7">
              <w:rPr>
                <w:rFonts w:ascii="Times New Roman" w:hAnsi="Times New Roman"/>
                <w:sz w:val="24"/>
                <w:szCs w:val="24"/>
              </w:rPr>
              <w:t>Vai tiesību akta īstenošana ir radījusi vēlamās izmaiņas mērķa grupas situācijā?</w:t>
            </w:r>
          </w:p>
          <w:p w14:paraId="79A6115F" w14:textId="77777777" w:rsidR="00130AC7" w:rsidRPr="00130AC7" w:rsidRDefault="00130AC7" w:rsidP="00130AC7">
            <w:pPr>
              <w:pStyle w:val="ListParagraph"/>
              <w:numPr>
                <w:ilvl w:val="0"/>
                <w:numId w:val="20"/>
              </w:numPr>
              <w:spacing w:after="0" w:line="240" w:lineRule="auto"/>
              <w:jc w:val="both"/>
              <w:rPr>
                <w:rFonts w:ascii="Times New Roman" w:hAnsi="Times New Roman"/>
                <w:sz w:val="24"/>
                <w:szCs w:val="24"/>
              </w:rPr>
            </w:pPr>
            <w:r w:rsidRPr="00130AC7">
              <w:rPr>
                <w:rFonts w:ascii="Times New Roman" w:hAnsi="Times New Roman"/>
                <w:sz w:val="24"/>
                <w:szCs w:val="24"/>
              </w:rPr>
              <w:t>Kādas bija tiesību akta ieviešanas vēlamās izmaiņas?</w:t>
            </w:r>
          </w:p>
          <w:p w14:paraId="72F56943" w14:textId="77777777" w:rsidR="00130AC7" w:rsidRPr="00130AC7" w:rsidRDefault="00130AC7" w:rsidP="00130AC7">
            <w:pPr>
              <w:pStyle w:val="ListParagraph"/>
              <w:numPr>
                <w:ilvl w:val="0"/>
                <w:numId w:val="20"/>
              </w:numPr>
              <w:spacing w:after="0" w:line="240" w:lineRule="auto"/>
              <w:jc w:val="both"/>
              <w:rPr>
                <w:rFonts w:ascii="Times New Roman" w:hAnsi="Times New Roman"/>
                <w:sz w:val="24"/>
                <w:szCs w:val="24"/>
              </w:rPr>
            </w:pPr>
            <w:r w:rsidRPr="00130AC7">
              <w:rPr>
                <w:rFonts w:ascii="Times New Roman" w:hAnsi="Times New Roman"/>
                <w:sz w:val="24"/>
                <w:szCs w:val="24"/>
              </w:rPr>
              <w:t>Kādas izmaiņas mērķa grupas situācijā ir konstatējamas?</w:t>
            </w:r>
          </w:p>
          <w:p w14:paraId="4BD42401" w14:textId="77777777" w:rsidR="00130AC7" w:rsidRPr="00130AC7" w:rsidRDefault="00130AC7" w:rsidP="00130AC7">
            <w:pPr>
              <w:pStyle w:val="ListParagraph"/>
              <w:numPr>
                <w:ilvl w:val="0"/>
                <w:numId w:val="20"/>
              </w:numPr>
              <w:spacing w:after="0" w:line="240" w:lineRule="auto"/>
              <w:jc w:val="both"/>
              <w:rPr>
                <w:rFonts w:ascii="Times New Roman" w:hAnsi="Times New Roman"/>
                <w:sz w:val="24"/>
                <w:szCs w:val="24"/>
              </w:rPr>
            </w:pPr>
            <w:r w:rsidRPr="00130AC7">
              <w:rPr>
                <w:rFonts w:ascii="Times New Roman" w:hAnsi="Times New Roman"/>
                <w:sz w:val="24"/>
                <w:szCs w:val="24"/>
              </w:rPr>
              <w:t>Kas strādā? Kas nestrādā? Kam? Kādos apstākļos?</w:t>
            </w:r>
          </w:p>
          <w:p w14:paraId="24760D29" w14:textId="77777777" w:rsidR="00130AC7" w:rsidRPr="00130AC7" w:rsidRDefault="00130AC7" w:rsidP="00130AC7">
            <w:pPr>
              <w:pStyle w:val="ListParagraph"/>
              <w:numPr>
                <w:ilvl w:val="0"/>
                <w:numId w:val="20"/>
              </w:numPr>
              <w:spacing w:after="0" w:line="240" w:lineRule="auto"/>
              <w:jc w:val="both"/>
              <w:rPr>
                <w:rFonts w:ascii="Times New Roman" w:hAnsi="Times New Roman"/>
                <w:sz w:val="24"/>
                <w:szCs w:val="24"/>
              </w:rPr>
            </w:pPr>
            <w:r w:rsidRPr="00130AC7">
              <w:rPr>
                <w:rFonts w:ascii="Times New Roman" w:hAnsi="Times New Roman"/>
                <w:sz w:val="24"/>
                <w:szCs w:val="24"/>
              </w:rPr>
              <w:t>Kādi iekšēji/ārēji faktori to ietekmē?</w:t>
            </w:r>
          </w:p>
          <w:p w14:paraId="7155539C" w14:textId="064BFD62" w:rsidR="00210E42" w:rsidRPr="00130AC7" w:rsidRDefault="00130AC7" w:rsidP="00130AC7">
            <w:pPr>
              <w:pStyle w:val="ListParagraph"/>
              <w:numPr>
                <w:ilvl w:val="0"/>
                <w:numId w:val="20"/>
              </w:numPr>
              <w:spacing w:after="0" w:line="240" w:lineRule="auto"/>
              <w:jc w:val="both"/>
              <w:rPr>
                <w:rFonts w:ascii="Times New Roman" w:hAnsi="Times New Roman"/>
                <w:sz w:val="24"/>
                <w:szCs w:val="24"/>
              </w:rPr>
            </w:pPr>
            <w:r w:rsidRPr="00130AC7">
              <w:rPr>
                <w:rFonts w:ascii="Times New Roman" w:hAnsi="Times New Roman"/>
                <w:sz w:val="24"/>
                <w:szCs w:val="24"/>
              </w:rPr>
              <w:t>Kādi ir nepieciešamie uzlabojumi, lai panāktu vēlamās izmaiņas?</w:t>
            </w:r>
          </w:p>
        </w:tc>
        <w:tc>
          <w:tcPr>
            <w:tcW w:w="3419" w:type="dxa"/>
            <w:tcBorders>
              <w:top w:val="single" w:sz="4" w:space="0" w:color="auto"/>
              <w:left w:val="single" w:sz="4" w:space="0" w:color="auto"/>
              <w:bottom w:val="single" w:sz="4" w:space="0" w:color="auto"/>
              <w:right w:val="single" w:sz="4" w:space="0" w:color="auto"/>
            </w:tcBorders>
          </w:tcPr>
          <w:p w14:paraId="5AE8CA75" w14:textId="77777777" w:rsidR="00A66CC6" w:rsidRDefault="00A66CC6" w:rsidP="00A66CC6">
            <w:pPr>
              <w:pStyle w:val="naisc"/>
              <w:rPr>
                <w:b/>
                <w:bCs/>
              </w:rPr>
            </w:pPr>
            <w:r>
              <w:rPr>
                <w:b/>
                <w:bCs/>
              </w:rPr>
              <w:lastRenderedPageBreak/>
              <w:t>Ņemts vērā</w:t>
            </w:r>
          </w:p>
          <w:p w14:paraId="02A2DFCE" w14:textId="56E7E3F5" w:rsidR="00A66CC6" w:rsidRDefault="00A66CC6" w:rsidP="00A66CC6">
            <w:pPr>
              <w:jc w:val="both"/>
              <w:rPr>
                <w:rFonts w:eastAsia="Calibri"/>
                <w:i/>
                <w:iCs/>
                <w:color w:val="FF0000"/>
              </w:rPr>
            </w:pPr>
            <w:r>
              <w:rPr>
                <w:rFonts w:eastAsia="Calibri"/>
                <w:i/>
                <w:iCs/>
              </w:rPr>
              <w:t>Sk.</w:t>
            </w:r>
            <w:r w:rsidRPr="6AB3EBF0">
              <w:rPr>
                <w:rFonts w:eastAsia="Calibri"/>
                <w:i/>
                <w:iCs/>
              </w:rPr>
              <w:t xml:space="preserve"> VK skaidrojum</w:t>
            </w:r>
            <w:r>
              <w:rPr>
                <w:rFonts w:eastAsia="Calibri"/>
                <w:i/>
                <w:iCs/>
              </w:rPr>
              <w:t>u</w:t>
            </w:r>
            <w:r w:rsidRPr="6AB3EBF0">
              <w:rPr>
                <w:rFonts w:eastAsia="Calibri"/>
                <w:i/>
                <w:iCs/>
              </w:rPr>
              <w:t xml:space="preserve"> par 2.iebildumu.</w:t>
            </w:r>
            <w:r w:rsidRPr="6AB3EBF0">
              <w:rPr>
                <w:rFonts w:eastAsia="Calibri"/>
                <w:i/>
                <w:iCs/>
                <w:color w:val="FF0000"/>
              </w:rPr>
              <w:t xml:space="preserve"> </w:t>
            </w:r>
          </w:p>
          <w:p w14:paraId="71757D62" w14:textId="237732A4" w:rsidR="00A66CC6" w:rsidRPr="6AB3EBF0" w:rsidRDefault="00A66CC6" w:rsidP="6AB3EBF0">
            <w:pPr>
              <w:pStyle w:val="naisc"/>
              <w:rPr>
                <w:b/>
                <w:bCs/>
              </w:rPr>
            </w:pPr>
          </w:p>
        </w:tc>
        <w:tc>
          <w:tcPr>
            <w:tcW w:w="3119" w:type="dxa"/>
            <w:tcBorders>
              <w:top w:val="single" w:sz="4" w:space="0" w:color="auto"/>
              <w:left w:val="single" w:sz="4" w:space="0" w:color="auto"/>
              <w:bottom w:val="single" w:sz="4" w:space="0" w:color="auto"/>
            </w:tcBorders>
          </w:tcPr>
          <w:p w14:paraId="4358003A" w14:textId="77777777" w:rsidR="00210E42" w:rsidRDefault="00210E42" w:rsidP="252FBCE5"/>
        </w:tc>
      </w:tr>
      <w:tr w:rsidR="00210E42" w14:paraId="47BB21C8" w14:textId="77777777" w:rsidTr="007A478C">
        <w:trPr>
          <w:trHeight w:val="551"/>
        </w:trPr>
        <w:tc>
          <w:tcPr>
            <w:tcW w:w="708" w:type="dxa"/>
            <w:tcBorders>
              <w:top w:val="single" w:sz="4" w:space="0" w:color="auto"/>
              <w:left w:val="single" w:sz="4" w:space="0" w:color="auto"/>
              <w:bottom w:val="single" w:sz="4" w:space="0" w:color="auto"/>
              <w:right w:val="single" w:sz="4" w:space="0" w:color="auto"/>
            </w:tcBorders>
          </w:tcPr>
          <w:p w14:paraId="430E4F39" w14:textId="7AA609A4" w:rsidR="00210E42" w:rsidRDefault="00244F08" w:rsidP="00AF1874">
            <w:pPr>
              <w:pStyle w:val="naisc"/>
            </w:pPr>
            <w:r>
              <w:lastRenderedPageBreak/>
              <w:t>3</w:t>
            </w:r>
            <w:r w:rsidR="00AF1874">
              <w:t>9</w:t>
            </w:r>
            <w:r>
              <w:t>.</w:t>
            </w:r>
          </w:p>
        </w:tc>
        <w:tc>
          <w:tcPr>
            <w:tcW w:w="2261" w:type="dxa"/>
            <w:tcBorders>
              <w:top w:val="single" w:sz="4" w:space="0" w:color="auto"/>
              <w:left w:val="single" w:sz="4" w:space="0" w:color="auto"/>
              <w:bottom w:val="single" w:sz="4" w:space="0" w:color="auto"/>
              <w:right w:val="single" w:sz="4" w:space="0" w:color="auto"/>
            </w:tcBorders>
          </w:tcPr>
          <w:p w14:paraId="1702251C" w14:textId="77777777" w:rsidR="00210E42" w:rsidRDefault="00210E42"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7FB7F120" w14:textId="77777777" w:rsidR="00130AC7" w:rsidRPr="00130AC7" w:rsidRDefault="00130AC7" w:rsidP="00130AC7">
            <w:pPr>
              <w:jc w:val="both"/>
            </w:pPr>
            <w:r w:rsidRPr="00130AC7">
              <w:t xml:space="preserve">Jebkura </w:t>
            </w:r>
            <w:proofErr w:type="spellStart"/>
            <w:r w:rsidRPr="00130AC7">
              <w:t>izvērtējuma</w:t>
            </w:r>
            <w:proofErr w:type="spellEnd"/>
            <w:r w:rsidRPr="00130AC7">
              <w:t xml:space="preserve"> veikšanas svarīgākais nolūks ir tā </w:t>
            </w:r>
            <w:r w:rsidRPr="00130AC7">
              <w:rPr>
                <w:b/>
                <w:bCs/>
              </w:rPr>
              <w:t>rezultātu pielietojums</w:t>
            </w:r>
            <w:r w:rsidRPr="00130AC7">
              <w:t xml:space="preserve">. Tiesību aktu ietekmes novērtējumu gadījumā galvenais tā rezultātu pielietojums ir tiesību akta uzlabojumi. Daudzu gadu pieredze veicot </w:t>
            </w:r>
            <w:proofErr w:type="spellStart"/>
            <w:r w:rsidRPr="00130AC7">
              <w:t>izvērtējumus</w:t>
            </w:r>
            <w:proofErr w:type="spellEnd"/>
            <w:r w:rsidRPr="00130AC7">
              <w:t xml:space="preserve"> rāda, ka visilgtspējīgākie rezultāti ir tām iniciatīvām, kur jau sākotnēji ir skaidri definēts plāns kā tiks pielietoti gūtie rezultāti. </w:t>
            </w:r>
          </w:p>
          <w:p w14:paraId="48567020" w14:textId="6D05A086" w:rsidR="00210E42" w:rsidRPr="00130AC7" w:rsidRDefault="00130AC7" w:rsidP="00130AC7">
            <w:pPr>
              <w:jc w:val="both"/>
            </w:pPr>
            <w:r w:rsidRPr="00130AC7">
              <w:t xml:space="preserve">Aicinām gan informatīvajā ziņojumā, gan tā rezultātā izstrādātajos tiesību aktos iekļaut arī rīcības virzienu, kas saistīts ar skaidras procedūras izstrādi par tiesību aktu ietekmes novērtējuma rezultātā identificēto </w:t>
            </w:r>
            <w:r w:rsidRPr="00130AC7">
              <w:lastRenderedPageBreak/>
              <w:t>nepieciešamo izmaiņu veikšanu: kas par to atbild, un kā notiek šī procesa uzraudzība. Būtisks rezultātu pielietojuma priekšnoteikums ir arī vidējā līmeņu ierēdņu (kuri visbiežāk ir tieši iesaistīti tiesību aktu ietekmes novērtējumu izstrādē) zināšanas, spējas (izpratne par attiecīgo jautājumu) un prasmes panākt gūto rezultātu un atziņu nodošanu lēmumu pieņēmējiem un attiecīgu lēmumu pieņemšanu.</w:t>
            </w:r>
          </w:p>
        </w:tc>
        <w:tc>
          <w:tcPr>
            <w:tcW w:w="3419" w:type="dxa"/>
            <w:tcBorders>
              <w:top w:val="single" w:sz="4" w:space="0" w:color="auto"/>
              <w:left w:val="single" w:sz="4" w:space="0" w:color="auto"/>
              <w:bottom w:val="single" w:sz="4" w:space="0" w:color="auto"/>
              <w:right w:val="single" w:sz="4" w:space="0" w:color="auto"/>
            </w:tcBorders>
          </w:tcPr>
          <w:p w14:paraId="3DFDB1DF" w14:textId="77777777" w:rsidR="00210E42" w:rsidRDefault="00244F08" w:rsidP="6AB3EBF0">
            <w:pPr>
              <w:pStyle w:val="naisc"/>
              <w:rPr>
                <w:b/>
                <w:bCs/>
              </w:rPr>
            </w:pPr>
            <w:r>
              <w:rPr>
                <w:b/>
                <w:bCs/>
              </w:rPr>
              <w:lastRenderedPageBreak/>
              <w:t>Ņemts vērā</w:t>
            </w:r>
          </w:p>
          <w:p w14:paraId="37184402" w14:textId="48DB86E3" w:rsidR="00A66CC6" w:rsidRPr="6AB3EBF0" w:rsidRDefault="00A66CC6" w:rsidP="007455DC">
            <w:pPr>
              <w:pStyle w:val="naisc"/>
              <w:jc w:val="both"/>
              <w:rPr>
                <w:b/>
                <w:bCs/>
              </w:rPr>
            </w:pPr>
          </w:p>
        </w:tc>
        <w:tc>
          <w:tcPr>
            <w:tcW w:w="3119" w:type="dxa"/>
            <w:tcBorders>
              <w:top w:val="single" w:sz="4" w:space="0" w:color="auto"/>
              <w:left w:val="single" w:sz="4" w:space="0" w:color="auto"/>
              <w:bottom w:val="single" w:sz="4" w:space="0" w:color="auto"/>
            </w:tcBorders>
          </w:tcPr>
          <w:p w14:paraId="4A368327" w14:textId="77777777" w:rsidR="007A478C" w:rsidRPr="007A478C" w:rsidRDefault="007455DC" w:rsidP="007A478C">
            <w:pPr>
              <w:jc w:val="both"/>
              <w:rPr>
                <w:i/>
              </w:rPr>
            </w:pPr>
            <w:r w:rsidRPr="007A478C">
              <w:t>Informatīvais ziņojums papildināts: 2. nodaļas “Pārmaiņu</w:t>
            </w:r>
            <w:r w:rsidRPr="007A478C">
              <w:rPr>
                <w:rFonts w:eastAsia="Calibri"/>
              </w:rPr>
              <w:t xml:space="preserve"> virzieni un turpmākā rīcība</w:t>
            </w:r>
            <w:r w:rsidRPr="007A478C">
              <w:t>” 1. rīcības virziena apraksts tika papildināts ar jaunu indikatīvo izmaiņu: “</w:t>
            </w:r>
            <w:r w:rsidR="007A478C" w:rsidRPr="007A478C">
              <w:t xml:space="preserve">izstrādāt kārtību ietekmes izvērtēšanas rezultātā identificēto izmaiņu veikšanai (formāts, atbildības, uzraudzība). </w:t>
            </w:r>
            <w:r w:rsidR="007A478C" w:rsidRPr="007A478C">
              <w:rPr>
                <w:i/>
                <w:shd w:val="clear" w:color="auto" w:fill="FFFFFF"/>
              </w:rPr>
              <w:t xml:space="preserve">Ir nepieciešams nodrošināt, ka izvērtēšanas rezultāti tiek pielietoti. Mūsdienās procesi </w:t>
            </w:r>
            <w:r w:rsidR="007A478C" w:rsidRPr="007A478C">
              <w:rPr>
                <w:i/>
                <w:shd w:val="clear" w:color="auto" w:fill="FFFFFF"/>
              </w:rPr>
              <w:lastRenderedPageBreak/>
              <w:t>paliek arvien sarežģītāki, nereti ar</w:t>
            </w:r>
            <w:r w:rsidR="007A478C" w:rsidRPr="007A478C">
              <w:rPr>
                <w:i/>
              </w:rPr>
              <w:t xml:space="preserve"> </w:t>
            </w:r>
            <w:r w:rsidR="007A478C" w:rsidRPr="007A478C">
              <w:rPr>
                <w:i/>
                <w:shd w:val="clear" w:color="auto" w:fill="FFFFFF"/>
              </w:rPr>
              <w:t xml:space="preserve">tehniska rakstura grozījumiem vienā tiesību aktā nepietiek situācijas uzlabošanai. Tādēļ Latvijas </w:t>
            </w:r>
            <w:proofErr w:type="spellStart"/>
            <w:r w:rsidR="007A478C" w:rsidRPr="007A478C">
              <w:rPr>
                <w:i/>
                <w:shd w:val="clear" w:color="auto" w:fill="FFFFFF"/>
              </w:rPr>
              <w:t>izvērtētāju</w:t>
            </w:r>
            <w:proofErr w:type="spellEnd"/>
            <w:r w:rsidR="007A478C" w:rsidRPr="007A478C">
              <w:rPr>
                <w:i/>
                <w:shd w:val="clear" w:color="auto" w:fill="FFFFFF"/>
              </w:rPr>
              <w:t xml:space="preserve"> asociācija par jēgpilnu uzskata tādas procedūras izstrādi, kas ļautu sekot līdzi izvērtēšanas secinājumiem, iniciēt un</w:t>
            </w:r>
            <w:r w:rsidR="007A478C" w:rsidRPr="007A478C">
              <w:rPr>
                <w:i/>
              </w:rPr>
              <w:t xml:space="preserve"> </w:t>
            </w:r>
            <w:r w:rsidR="007A478C" w:rsidRPr="007A478C">
              <w:rPr>
                <w:i/>
                <w:shd w:val="clear" w:color="auto" w:fill="FFFFFF"/>
              </w:rPr>
              <w:t>vadīt arī sarežģītus, kompleksus pārmaiņu procesus. Izvērtēšanas procesā veikto secinājumu turpmāka nepielietošana ir vērtējama kā lieka resursu izšķiešana.</w:t>
            </w:r>
          </w:p>
          <w:p w14:paraId="28525DB0" w14:textId="77777777" w:rsidR="007A478C" w:rsidRPr="007A478C" w:rsidRDefault="007A478C" w:rsidP="007A478C">
            <w:pPr>
              <w:jc w:val="both"/>
              <w:rPr>
                <w:i/>
              </w:rPr>
            </w:pPr>
            <w:r w:rsidRPr="007A478C">
              <w:rPr>
                <w:i/>
                <w:shd w:val="clear" w:color="auto" w:fill="FFFFFF"/>
              </w:rPr>
              <w:t xml:space="preserve">Pašlaik ir skaidra procedūra, kas ļauj veikt nepieciešamos grozījumus un uzlabojumus citos tiesību aktos. Izmaiņu ieviešanas process nav izstrādāts gadījumiem, ja ir būtiski mainījušies kādi </w:t>
            </w:r>
            <w:proofErr w:type="spellStart"/>
            <w:r w:rsidRPr="007A478C">
              <w:rPr>
                <w:i/>
                <w:shd w:val="clear" w:color="auto" w:fill="FFFFFF"/>
              </w:rPr>
              <w:t>ietvarnosacījumi</w:t>
            </w:r>
            <w:proofErr w:type="spellEnd"/>
            <w:r w:rsidRPr="007A478C">
              <w:rPr>
                <w:i/>
                <w:shd w:val="clear" w:color="auto" w:fill="FFFFFF"/>
              </w:rPr>
              <w:t xml:space="preserve"> un izveidotais regulējums, tā instrumenti vairs pēc būtības nespēj risināt problēmu - šādos gadījumos nepietiek ar esošo nosacījumu grozījumiem. Ir nepieciešams plašāks, sistēmisks skatījums, kas ietver ne tikai attiecīgo </w:t>
            </w:r>
            <w:r w:rsidRPr="007A478C">
              <w:rPr>
                <w:i/>
                <w:shd w:val="clear" w:color="auto" w:fill="FFFFFF"/>
              </w:rPr>
              <w:lastRenderedPageBreak/>
              <w:t>tiesību aktu, bet arī kādas politikas prioritātes, procesus u.c. Šādās situācijās ir nepieciešams, lai ir procedūra, atbildīgais, kas spēj sekot līdzi šim jautājumam, skatīties uz to kompleksi un vadīt nepieciešamo pārmaiņu procesu.</w:t>
            </w:r>
          </w:p>
          <w:p w14:paraId="38F5C609" w14:textId="24BE8345" w:rsidR="00210E42" w:rsidRPr="007A478C" w:rsidRDefault="007A478C" w:rsidP="007A478C">
            <w:pPr>
              <w:jc w:val="both"/>
              <w:rPr>
                <w:rFonts w:ascii="Verdana" w:eastAsiaTheme="minorEastAsia" w:hAnsi="Verdana" w:cs="Arial"/>
                <w:i/>
              </w:rPr>
            </w:pPr>
            <w:r w:rsidRPr="007A478C">
              <w:rPr>
                <w:i/>
                <w:shd w:val="clear" w:color="auto" w:fill="FFFFFF"/>
              </w:rPr>
              <w:t>Ar šo jautājumu ir saistīts nākošais aspekts - nereti tiesību akta virzība primāri ir viena vai dažu vidējā līmeņa ierēdņu</w:t>
            </w:r>
            <w:r w:rsidRPr="007A478C">
              <w:rPr>
                <w:i/>
              </w:rPr>
              <w:t xml:space="preserve"> </w:t>
            </w:r>
            <w:r w:rsidRPr="007A478C">
              <w:rPr>
                <w:i/>
                <w:shd w:val="clear" w:color="auto" w:fill="FFFFFF"/>
              </w:rPr>
              <w:t xml:space="preserve">atbildība. Šajā līmenī ir grūti panākt būtiskas, sistēmiskas izmaiņas, pārliecināt politisko vadību. Tādēļ ir kārdinājums iet vieglāko ceļu, veikt kosmētiskas izmaiņas. Ja tiktu izveidota procedūra, kuras ietvaros sekotu izmaiņām pēc būtības, kā arī izveidoti efektīvi ieviešanas instrumenti, tad iespējamība veikt jēgpilnus uzlabojumus palielinātos. Šādā veidā valsts pārvalde savā darbībā virzītos tuvāk pieejas "organizācija, kas mācās" </w:t>
            </w:r>
            <w:r w:rsidRPr="007A478C">
              <w:rPr>
                <w:i/>
                <w:shd w:val="clear" w:color="auto" w:fill="FFFFFF"/>
              </w:rPr>
              <w:lastRenderedPageBreak/>
              <w:t>(</w:t>
            </w:r>
            <w:proofErr w:type="spellStart"/>
            <w:r w:rsidRPr="007A478C">
              <w:rPr>
                <w:i/>
                <w:shd w:val="clear" w:color="auto" w:fill="FFFFFF"/>
              </w:rPr>
              <w:t>learning</w:t>
            </w:r>
            <w:proofErr w:type="spellEnd"/>
            <w:r w:rsidRPr="007A478C">
              <w:rPr>
                <w:i/>
                <w:shd w:val="clear" w:color="auto" w:fill="FFFFFF"/>
              </w:rPr>
              <w:t> </w:t>
            </w:r>
            <w:proofErr w:type="spellStart"/>
            <w:r w:rsidRPr="007A478C">
              <w:rPr>
                <w:i/>
                <w:shd w:val="clear" w:color="auto" w:fill="FFFFFF"/>
              </w:rPr>
              <w:t>organisation</w:t>
            </w:r>
            <w:proofErr w:type="spellEnd"/>
            <w:r w:rsidRPr="007A478C">
              <w:rPr>
                <w:i/>
                <w:shd w:val="clear" w:color="auto" w:fill="FFFFFF"/>
              </w:rPr>
              <w:t>) ievērošanai;</w:t>
            </w:r>
            <w:r w:rsidR="007455DC" w:rsidRPr="007A478C">
              <w:t>”</w:t>
            </w:r>
          </w:p>
        </w:tc>
      </w:tr>
      <w:tr w:rsidR="00130AC7" w14:paraId="60A8CE54" w14:textId="77777777" w:rsidTr="00BC708B">
        <w:tc>
          <w:tcPr>
            <w:tcW w:w="708" w:type="dxa"/>
            <w:tcBorders>
              <w:top w:val="single" w:sz="4" w:space="0" w:color="auto"/>
              <w:left w:val="single" w:sz="4" w:space="0" w:color="auto"/>
              <w:bottom w:val="single" w:sz="4" w:space="0" w:color="auto"/>
              <w:right w:val="single" w:sz="4" w:space="0" w:color="auto"/>
            </w:tcBorders>
          </w:tcPr>
          <w:p w14:paraId="32207C9F" w14:textId="4ECCD4F6" w:rsidR="00130AC7" w:rsidRDefault="00AF1874" w:rsidP="252FBCE5">
            <w:pPr>
              <w:pStyle w:val="naisc"/>
            </w:pPr>
            <w:r>
              <w:lastRenderedPageBreak/>
              <w:t>40.</w:t>
            </w:r>
          </w:p>
        </w:tc>
        <w:tc>
          <w:tcPr>
            <w:tcW w:w="2261" w:type="dxa"/>
            <w:tcBorders>
              <w:top w:val="single" w:sz="4" w:space="0" w:color="auto"/>
              <w:left w:val="single" w:sz="4" w:space="0" w:color="auto"/>
              <w:bottom w:val="single" w:sz="4" w:space="0" w:color="auto"/>
              <w:right w:val="single" w:sz="4" w:space="0" w:color="auto"/>
            </w:tcBorders>
          </w:tcPr>
          <w:p w14:paraId="2359A094" w14:textId="77777777" w:rsidR="00130AC7" w:rsidRDefault="00130AC7" w:rsidP="252FBCE5">
            <w:pPr>
              <w:pStyle w:val="naisc"/>
            </w:pPr>
          </w:p>
        </w:tc>
        <w:tc>
          <w:tcPr>
            <w:tcW w:w="4519" w:type="dxa"/>
            <w:tcBorders>
              <w:top w:val="single" w:sz="4" w:space="0" w:color="auto"/>
              <w:left w:val="single" w:sz="4" w:space="0" w:color="auto"/>
              <w:bottom w:val="single" w:sz="4" w:space="0" w:color="auto"/>
              <w:right w:val="single" w:sz="4" w:space="0" w:color="auto"/>
            </w:tcBorders>
          </w:tcPr>
          <w:p w14:paraId="63855936" w14:textId="77777777" w:rsidR="00130AC7" w:rsidRPr="00130AC7" w:rsidRDefault="00130AC7" w:rsidP="00130AC7">
            <w:pPr>
              <w:jc w:val="both"/>
            </w:pPr>
            <w:r w:rsidRPr="00130AC7">
              <w:t xml:space="preserve">Starptautiskās </w:t>
            </w:r>
            <w:proofErr w:type="spellStart"/>
            <w:r w:rsidRPr="00130AC7">
              <w:t>izvērtētāju</w:t>
            </w:r>
            <w:proofErr w:type="spellEnd"/>
            <w:r w:rsidRPr="00130AC7">
              <w:t xml:space="preserve"> kopienas viens no regulāriem iekšējo diskusiju tematiem jau daudzas desmitgades ir </w:t>
            </w:r>
            <w:proofErr w:type="spellStart"/>
            <w:r w:rsidRPr="00130AC7">
              <w:rPr>
                <w:b/>
                <w:bCs/>
              </w:rPr>
              <w:t>izvērtētāju</w:t>
            </w:r>
            <w:proofErr w:type="spellEnd"/>
            <w:r w:rsidRPr="00130AC7">
              <w:rPr>
                <w:b/>
                <w:bCs/>
              </w:rPr>
              <w:t xml:space="preserve"> neatkarības nodrošināšana, </w:t>
            </w:r>
            <w:proofErr w:type="spellStart"/>
            <w:r w:rsidRPr="00130AC7">
              <w:rPr>
                <w:b/>
                <w:bCs/>
              </w:rPr>
              <w:t>izvērtējumu</w:t>
            </w:r>
            <w:proofErr w:type="spellEnd"/>
            <w:r w:rsidRPr="00130AC7">
              <w:rPr>
                <w:b/>
                <w:bCs/>
              </w:rPr>
              <w:t xml:space="preserve"> rezultātu objektivitāte</w:t>
            </w:r>
            <w:r w:rsidRPr="00130AC7">
              <w:t xml:space="preserve"> un iespēja sniegt arī pasūtītājam/politikas veidotājam nepatīkamus rezultātus. Arī Latvijas </w:t>
            </w:r>
            <w:proofErr w:type="spellStart"/>
            <w:r w:rsidRPr="00130AC7">
              <w:t>izvērtētāji</w:t>
            </w:r>
            <w:proofErr w:type="spellEnd"/>
            <w:r w:rsidRPr="00130AC7">
              <w:t xml:space="preserve"> ir nereti </w:t>
            </w:r>
            <w:proofErr w:type="spellStart"/>
            <w:r w:rsidRPr="00130AC7">
              <w:t>saskārušies</w:t>
            </w:r>
            <w:proofErr w:type="spellEnd"/>
            <w:r w:rsidRPr="00130AC7">
              <w:t xml:space="preserve"> ar pasūtītāju nevēlēšanos apstiprināt ziņojumus ar tajos iekļautiem kritiskiem secinājumiem vai vērtējumiem. Tiesību aktu ietekmes novērtējumu gadījumā prognozējamas ir situācijas, kur </w:t>
            </w:r>
            <w:proofErr w:type="spellStart"/>
            <w:r w:rsidRPr="00130AC7">
              <w:t>izvērtējuma</w:t>
            </w:r>
            <w:proofErr w:type="spellEnd"/>
            <w:r w:rsidRPr="00130AC7">
              <w:t xml:space="preserve"> veicējam - gan ārējam </w:t>
            </w:r>
            <w:proofErr w:type="spellStart"/>
            <w:r w:rsidRPr="00130AC7">
              <w:t>izvērtētājam</w:t>
            </w:r>
            <w:proofErr w:type="spellEnd"/>
            <w:r w:rsidRPr="00130AC7">
              <w:t xml:space="preserve">, gan, jo īpaši, institūcijas iekšienē veikta novērtējuma autoram – var nākties sniegt kritisku vērtējumu par tiesību akta izstrādātāja darba rezultātu. Institūcijās ir pieļaujama situācija, kur vidēja līmeņa ierēdnim var nākties sniegt kritisku ziņojumu pat par sava tiešā vadītāja izstrādātiem vai apstiprinātiem tiesību aktiem. </w:t>
            </w:r>
          </w:p>
          <w:p w14:paraId="407205D0" w14:textId="0B7A6195" w:rsidR="00130AC7" w:rsidRPr="00130AC7" w:rsidRDefault="00130AC7" w:rsidP="00130AC7">
            <w:pPr>
              <w:jc w:val="both"/>
            </w:pPr>
            <w:r w:rsidRPr="00130AC7">
              <w:t xml:space="preserve">Aicinām vērst īpašu uzmanību </w:t>
            </w:r>
            <w:proofErr w:type="spellStart"/>
            <w:r w:rsidRPr="00130AC7">
              <w:t>izvērtētāju</w:t>
            </w:r>
            <w:proofErr w:type="spellEnd"/>
            <w:r w:rsidRPr="00130AC7">
              <w:t xml:space="preserve"> neatkarības un ētikas jautājumiem, un gan informatīvajā ziņojumā, gan tā rezultātā izstrādātajos tiesību aktos iekļaut atbilstošas rīcības, lai šo neatkarību nostiprinātu. Esam gatavi dalīties ar starptautisku labo praksi iekšēju un ārēju </w:t>
            </w:r>
            <w:proofErr w:type="spellStart"/>
            <w:r w:rsidRPr="00130AC7">
              <w:t>izvērtējumu</w:t>
            </w:r>
            <w:proofErr w:type="spellEnd"/>
            <w:r w:rsidRPr="00130AC7">
              <w:t xml:space="preserve"> neatkarības nodrošināšanā un kopumā piedalīties kvalitatīvas tiesību aktu ietekmes novērtējumu kārtības izstrādē.</w:t>
            </w:r>
          </w:p>
        </w:tc>
        <w:tc>
          <w:tcPr>
            <w:tcW w:w="3419" w:type="dxa"/>
            <w:tcBorders>
              <w:top w:val="single" w:sz="4" w:space="0" w:color="auto"/>
              <w:left w:val="single" w:sz="4" w:space="0" w:color="auto"/>
              <w:bottom w:val="single" w:sz="4" w:space="0" w:color="auto"/>
              <w:right w:val="single" w:sz="4" w:space="0" w:color="auto"/>
            </w:tcBorders>
          </w:tcPr>
          <w:p w14:paraId="183205DE" w14:textId="77777777" w:rsidR="007455DC" w:rsidRDefault="007455DC" w:rsidP="007455DC">
            <w:pPr>
              <w:pStyle w:val="naisc"/>
              <w:rPr>
                <w:b/>
                <w:bCs/>
              </w:rPr>
            </w:pPr>
            <w:r>
              <w:rPr>
                <w:b/>
                <w:bCs/>
              </w:rPr>
              <w:t>Ņemts vērā</w:t>
            </w:r>
          </w:p>
          <w:p w14:paraId="7155D14E" w14:textId="0AD09387" w:rsidR="00130AC7" w:rsidRPr="00F53652" w:rsidRDefault="00F53652" w:rsidP="00F53652">
            <w:pPr>
              <w:pStyle w:val="naisc"/>
              <w:jc w:val="both"/>
              <w:rPr>
                <w:bCs/>
              </w:rPr>
            </w:pPr>
            <w:proofErr w:type="spellStart"/>
            <w:r>
              <w:rPr>
                <w:bCs/>
              </w:rPr>
              <w:t>I</w:t>
            </w:r>
            <w:r w:rsidRPr="00F53652">
              <w:rPr>
                <w:bCs/>
              </w:rPr>
              <w:t>zvērtētāju</w:t>
            </w:r>
            <w:proofErr w:type="spellEnd"/>
            <w:r w:rsidRPr="00F53652">
              <w:rPr>
                <w:bCs/>
              </w:rPr>
              <w:t xml:space="preserve"> neatkarības nodrošināšanas, </w:t>
            </w:r>
            <w:proofErr w:type="spellStart"/>
            <w:r w:rsidRPr="00F53652">
              <w:rPr>
                <w:bCs/>
              </w:rPr>
              <w:t>izvērtējumu</w:t>
            </w:r>
            <w:proofErr w:type="spellEnd"/>
            <w:r w:rsidRPr="00F53652">
              <w:rPr>
                <w:bCs/>
              </w:rPr>
              <w:t xml:space="preserve"> rezultātu objektivitātes jaut</w:t>
            </w:r>
            <w:r>
              <w:rPr>
                <w:bCs/>
              </w:rPr>
              <w:t>ājum</w:t>
            </w:r>
            <w:r w:rsidRPr="00F53652">
              <w:rPr>
                <w:bCs/>
              </w:rPr>
              <w:t xml:space="preserve">s </w:t>
            </w:r>
            <w:r>
              <w:rPr>
                <w:bCs/>
              </w:rPr>
              <w:t xml:space="preserve">tiks </w:t>
            </w:r>
            <w:r w:rsidRPr="00F53652">
              <w:rPr>
                <w:bCs/>
              </w:rPr>
              <w:t>skatīt</w:t>
            </w:r>
            <w:r>
              <w:rPr>
                <w:bCs/>
              </w:rPr>
              <w:t>s</w:t>
            </w:r>
            <w:r w:rsidRPr="00F53652">
              <w:rPr>
                <w:bCs/>
              </w:rPr>
              <w:t xml:space="preserve"> darba grupas ietvaros (</w:t>
            </w:r>
            <w:r>
              <w:rPr>
                <w:bCs/>
              </w:rPr>
              <w:t xml:space="preserve">1 un </w:t>
            </w:r>
            <w:r w:rsidRPr="00F53652">
              <w:rPr>
                <w:bCs/>
              </w:rPr>
              <w:t>2. rīcības virzien</w:t>
            </w:r>
            <w:r>
              <w:rPr>
                <w:bCs/>
              </w:rPr>
              <w:t>i</w:t>
            </w:r>
            <w:r w:rsidRPr="00F53652">
              <w:rPr>
                <w:bCs/>
              </w:rPr>
              <w:t>)</w:t>
            </w:r>
          </w:p>
        </w:tc>
        <w:tc>
          <w:tcPr>
            <w:tcW w:w="3119" w:type="dxa"/>
            <w:tcBorders>
              <w:top w:val="single" w:sz="4" w:space="0" w:color="auto"/>
              <w:left w:val="single" w:sz="4" w:space="0" w:color="auto"/>
              <w:bottom w:val="single" w:sz="4" w:space="0" w:color="auto"/>
            </w:tcBorders>
          </w:tcPr>
          <w:p w14:paraId="044B87E3" w14:textId="10C24188" w:rsidR="00130AC7" w:rsidRDefault="00130AC7" w:rsidP="252FBCE5"/>
        </w:tc>
      </w:tr>
    </w:tbl>
    <w:p w14:paraId="37D79BEA" w14:textId="77777777" w:rsidR="003B71E0" w:rsidRPr="00712B66" w:rsidRDefault="003B71E0" w:rsidP="00DB7395">
      <w:pPr>
        <w:pStyle w:val="naisf"/>
        <w:spacing w:before="0" w:after="0"/>
        <w:ind w:firstLine="720"/>
      </w:pPr>
    </w:p>
    <w:p w14:paraId="3208CF83" w14:textId="77777777" w:rsidR="00B93E39" w:rsidRDefault="00B93E39" w:rsidP="00B93E39">
      <w:pPr>
        <w:pStyle w:val="naisf"/>
        <w:spacing w:before="120" w:after="0"/>
        <w:ind w:firstLine="0"/>
      </w:pPr>
      <w:r w:rsidRPr="00375A86">
        <w:t>Atbildīgā amatpersona</w:t>
      </w:r>
      <w:r>
        <w:tab/>
      </w:r>
      <w:r>
        <w:tab/>
      </w:r>
      <w:r>
        <w:tab/>
        <w:t>______________________</w:t>
      </w:r>
    </w:p>
    <w:p w14:paraId="170DB074" w14:textId="77777777" w:rsidR="00B93E39" w:rsidRDefault="00B93E39" w:rsidP="00B93E39">
      <w:pPr>
        <w:pStyle w:val="naisf"/>
        <w:spacing w:before="120" w:after="0"/>
        <w:ind w:firstLine="0"/>
        <w:rPr>
          <w:sz w:val="20"/>
          <w:szCs w:val="20"/>
        </w:rPr>
      </w:pPr>
      <w:r>
        <w:tab/>
      </w:r>
      <w:r>
        <w:tab/>
      </w:r>
      <w:r>
        <w:tab/>
      </w:r>
      <w:r>
        <w:tab/>
      </w:r>
      <w:r>
        <w:tab/>
      </w:r>
      <w:r>
        <w:tab/>
      </w:r>
      <w:r>
        <w:tab/>
      </w:r>
      <w:r>
        <w:tab/>
      </w:r>
      <w:r w:rsidRPr="00214260">
        <w:rPr>
          <w:sz w:val="20"/>
          <w:szCs w:val="20"/>
        </w:rPr>
        <w:t>(paraksts*)</w:t>
      </w:r>
    </w:p>
    <w:p w14:paraId="6F4C642A" w14:textId="77777777" w:rsidR="00B93E39" w:rsidRDefault="00B93E39" w:rsidP="00DB7395">
      <w:pPr>
        <w:pStyle w:val="naisf"/>
        <w:spacing w:before="0" w:after="0"/>
        <w:ind w:firstLine="720"/>
      </w:pPr>
    </w:p>
    <w:p w14:paraId="37D79BEB" w14:textId="77777777" w:rsidR="00317DC7" w:rsidRPr="00B93E39" w:rsidRDefault="00184479" w:rsidP="00DB7395">
      <w:pPr>
        <w:pStyle w:val="naisf"/>
        <w:spacing w:before="0" w:after="0"/>
        <w:ind w:firstLine="720"/>
        <w:rPr>
          <w:sz w:val="20"/>
          <w:szCs w:val="20"/>
        </w:rPr>
      </w:pPr>
      <w:r w:rsidRPr="00B93E39">
        <w:rPr>
          <w:sz w:val="20"/>
          <w:szCs w:val="20"/>
        </w:rPr>
        <w:t>Piezīme.</w:t>
      </w:r>
      <w:r w:rsidR="00767BF3" w:rsidRPr="00B93E39">
        <w:rPr>
          <w:sz w:val="20"/>
          <w:szCs w:val="20"/>
        </w:rPr>
        <w:t> </w:t>
      </w:r>
      <w:r w:rsidR="00FB6C91" w:rsidRPr="00B93E39">
        <w:rPr>
          <w:sz w:val="20"/>
          <w:szCs w:val="20"/>
        </w:rPr>
        <w:t>*</w:t>
      </w:r>
      <w:r w:rsidR="00767BF3" w:rsidRPr="00B93E39">
        <w:rPr>
          <w:sz w:val="20"/>
          <w:szCs w:val="20"/>
        </w:rPr>
        <w:t> </w:t>
      </w:r>
      <w:r w:rsidR="00317DC7" w:rsidRPr="00B93E39">
        <w:rPr>
          <w:sz w:val="20"/>
          <w:szCs w:val="20"/>
        </w:rPr>
        <w:t xml:space="preserve">Dokumenta rekvizītu </w:t>
      </w:r>
      <w:r w:rsidR="00364BB6" w:rsidRPr="00B93E39">
        <w:rPr>
          <w:sz w:val="20"/>
          <w:szCs w:val="20"/>
        </w:rPr>
        <w:t>"</w:t>
      </w:r>
      <w:r w:rsidR="0018210A" w:rsidRPr="00B93E39">
        <w:rPr>
          <w:sz w:val="20"/>
          <w:szCs w:val="20"/>
        </w:rPr>
        <w:t>p</w:t>
      </w:r>
      <w:r w:rsidR="00317DC7" w:rsidRPr="00B93E39">
        <w:rPr>
          <w:sz w:val="20"/>
          <w:szCs w:val="20"/>
        </w:rPr>
        <w:t>araksts</w:t>
      </w:r>
      <w:r w:rsidR="00364BB6" w:rsidRPr="00B93E39">
        <w:rPr>
          <w:sz w:val="20"/>
          <w:szCs w:val="20"/>
        </w:rPr>
        <w:t>"</w:t>
      </w:r>
      <w:r w:rsidR="00317DC7" w:rsidRPr="00B93E39">
        <w:rPr>
          <w:sz w:val="20"/>
          <w:szCs w:val="20"/>
        </w:rPr>
        <w:t xml:space="preserve"> neaizpilda, ja elektroniskais dokuments ir </w:t>
      </w:r>
      <w:r w:rsidRPr="00B93E39">
        <w:rPr>
          <w:sz w:val="20"/>
          <w:szCs w:val="20"/>
        </w:rPr>
        <w:t>sagatavots</w:t>
      </w:r>
      <w:r w:rsidR="00317DC7" w:rsidRPr="00B93E39">
        <w:rPr>
          <w:sz w:val="20"/>
          <w:szCs w:val="20"/>
        </w:rPr>
        <w:t xml:space="preserve"> atbilstoši </w:t>
      </w:r>
      <w:r w:rsidRPr="00B93E39">
        <w:rPr>
          <w:sz w:val="20"/>
          <w:szCs w:val="20"/>
        </w:rPr>
        <w:t xml:space="preserve">normatīvajiem aktiem par </w:t>
      </w:r>
      <w:r w:rsidR="00317DC7" w:rsidRPr="00B93E39">
        <w:rPr>
          <w:sz w:val="20"/>
          <w:szCs w:val="20"/>
        </w:rPr>
        <w:t>elektronisko dokumentu noformēšan</w:t>
      </w:r>
      <w:r w:rsidRPr="00B93E39">
        <w:rPr>
          <w:sz w:val="20"/>
          <w:szCs w:val="20"/>
        </w:rPr>
        <w:t>u.</w:t>
      </w:r>
    </w:p>
    <w:p w14:paraId="37D79BEC" w14:textId="77777777" w:rsidR="000451BF" w:rsidRDefault="000451BF" w:rsidP="00DB7395">
      <w:pPr>
        <w:pStyle w:val="naisf"/>
        <w:spacing w:before="0" w:after="0"/>
        <w:ind w:firstLine="720"/>
      </w:pPr>
    </w:p>
    <w:p w14:paraId="37D79BEE" w14:textId="77777777" w:rsidR="00F70E7C" w:rsidRDefault="00F70E7C" w:rsidP="00DB7395">
      <w:pPr>
        <w:pStyle w:val="naisf"/>
        <w:spacing w:before="0" w:after="0"/>
        <w:ind w:firstLine="720"/>
      </w:pPr>
    </w:p>
    <w:p w14:paraId="37D79BEF" w14:textId="77777777" w:rsidR="00F70E7C" w:rsidRPr="00F70E7C" w:rsidRDefault="00F70E7C" w:rsidP="00DB7395">
      <w:pPr>
        <w:pStyle w:val="naisf"/>
        <w:spacing w:before="0" w:after="0"/>
        <w:ind w:firstLine="720"/>
      </w:pPr>
    </w:p>
    <w:tbl>
      <w:tblPr>
        <w:tblW w:w="0" w:type="auto"/>
        <w:tblLook w:val="00A0" w:firstRow="1" w:lastRow="0" w:firstColumn="1" w:lastColumn="0" w:noHBand="0" w:noVBand="0"/>
      </w:tblPr>
      <w:tblGrid>
        <w:gridCol w:w="8268"/>
      </w:tblGrid>
      <w:tr w:rsidR="008655A2" w:rsidRPr="00712B66" w14:paraId="37D79BF1" w14:textId="77777777">
        <w:tc>
          <w:tcPr>
            <w:tcW w:w="8268" w:type="dxa"/>
            <w:tcBorders>
              <w:top w:val="single" w:sz="4" w:space="0" w:color="000000"/>
            </w:tcBorders>
          </w:tcPr>
          <w:p w14:paraId="37D79BF0"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37D79BF3" w14:textId="77777777">
        <w:tc>
          <w:tcPr>
            <w:tcW w:w="8268" w:type="dxa"/>
            <w:tcBorders>
              <w:bottom w:val="single" w:sz="4" w:space="0" w:color="000000"/>
            </w:tcBorders>
          </w:tcPr>
          <w:p w14:paraId="37D79BF2" w14:textId="77777777" w:rsidR="008655A2" w:rsidRPr="00712B66" w:rsidRDefault="008655A2" w:rsidP="0036160E"/>
        </w:tc>
      </w:tr>
      <w:tr w:rsidR="008655A2" w:rsidRPr="00712B66" w14:paraId="37D79BF5" w14:textId="77777777">
        <w:tc>
          <w:tcPr>
            <w:tcW w:w="8268" w:type="dxa"/>
            <w:tcBorders>
              <w:top w:val="single" w:sz="4" w:space="0" w:color="000000"/>
            </w:tcBorders>
          </w:tcPr>
          <w:p w14:paraId="37D79BF4" w14:textId="77777777" w:rsidR="008655A2" w:rsidRPr="00712B66" w:rsidRDefault="00184479" w:rsidP="00184479">
            <w:pPr>
              <w:jc w:val="center"/>
            </w:pPr>
            <w:r>
              <w:t>(</w:t>
            </w:r>
            <w:r w:rsidR="008655A2" w:rsidRPr="00712B66">
              <w:t>amats</w:t>
            </w:r>
            <w:r>
              <w:t>)</w:t>
            </w:r>
          </w:p>
        </w:tc>
      </w:tr>
      <w:tr w:rsidR="008655A2" w:rsidRPr="00712B66" w14:paraId="37D79BF7" w14:textId="77777777">
        <w:tc>
          <w:tcPr>
            <w:tcW w:w="8268" w:type="dxa"/>
            <w:tcBorders>
              <w:bottom w:val="single" w:sz="4" w:space="0" w:color="000000"/>
            </w:tcBorders>
          </w:tcPr>
          <w:p w14:paraId="37D79BF6" w14:textId="77777777" w:rsidR="008655A2" w:rsidRPr="00712B66" w:rsidRDefault="008655A2" w:rsidP="0036160E"/>
        </w:tc>
      </w:tr>
      <w:tr w:rsidR="008655A2" w:rsidRPr="00712B66" w14:paraId="37D79BF9" w14:textId="77777777">
        <w:tc>
          <w:tcPr>
            <w:tcW w:w="8268" w:type="dxa"/>
            <w:tcBorders>
              <w:top w:val="single" w:sz="4" w:space="0" w:color="000000"/>
            </w:tcBorders>
          </w:tcPr>
          <w:p w14:paraId="37D79BF8" w14:textId="77777777" w:rsidR="008655A2" w:rsidRPr="00712B66" w:rsidRDefault="00184479" w:rsidP="00184479">
            <w:pPr>
              <w:jc w:val="center"/>
            </w:pPr>
            <w:r>
              <w:t>(</w:t>
            </w:r>
            <w:r w:rsidR="008655A2" w:rsidRPr="00712B66">
              <w:t>tālruņa un faksa numurs</w:t>
            </w:r>
            <w:r>
              <w:t>)</w:t>
            </w:r>
          </w:p>
        </w:tc>
      </w:tr>
      <w:tr w:rsidR="008655A2" w:rsidRPr="00712B66" w14:paraId="37D79BFB" w14:textId="77777777">
        <w:tc>
          <w:tcPr>
            <w:tcW w:w="8268" w:type="dxa"/>
            <w:tcBorders>
              <w:bottom w:val="single" w:sz="4" w:space="0" w:color="000000"/>
            </w:tcBorders>
          </w:tcPr>
          <w:p w14:paraId="37D79BFA" w14:textId="77777777" w:rsidR="008655A2" w:rsidRPr="00712B66" w:rsidRDefault="008655A2" w:rsidP="0036160E"/>
        </w:tc>
      </w:tr>
      <w:tr w:rsidR="008655A2" w:rsidRPr="00712B66" w14:paraId="37D79BFD" w14:textId="77777777">
        <w:tc>
          <w:tcPr>
            <w:tcW w:w="8268" w:type="dxa"/>
            <w:tcBorders>
              <w:top w:val="single" w:sz="4" w:space="0" w:color="000000"/>
            </w:tcBorders>
          </w:tcPr>
          <w:p w14:paraId="37D79BFC" w14:textId="77777777" w:rsidR="008655A2" w:rsidRPr="00712B66" w:rsidRDefault="00184479" w:rsidP="00184479">
            <w:pPr>
              <w:jc w:val="center"/>
            </w:pPr>
            <w:r>
              <w:t>(</w:t>
            </w:r>
            <w:r w:rsidR="008655A2" w:rsidRPr="00712B66">
              <w:t>e-pasta adrese</w:t>
            </w:r>
            <w:r>
              <w:t>)</w:t>
            </w:r>
          </w:p>
        </w:tc>
      </w:tr>
    </w:tbl>
    <w:p w14:paraId="37D79BFE" w14:textId="77777777" w:rsidR="007116C7" w:rsidRDefault="007116C7" w:rsidP="00015C84">
      <w:pPr>
        <w:pStyle w:val="naisf"/>
        <w:spacing w:before="0" w:after="0"/>
        <w:ind w:firstLine="0"/>
        <w:jc w:val="left"/>
        <w:rPr>
          <w:sz w:val="28"/>
          <w:szCs w:val="28"/>
        </w:rPr>
      </w:pPr>
    </w:p>
    <w:p w14:paraId="205049C7" w14:textId="77777777" w:rsidR="00B93E39" w:rsidRDefault="00B93E39" w:rsidP="00350824">
      <w:pPr>
        <w:rPr>
          <w:rFonts w:eastAsia="Verdana"/>
          <w:sz w:val="20"/>
          <w:szCs w:val="20"/>
        </w:rPr>
      </w:pPr>
    </w:p>
    <w:p w14:paraId="40BEE245" w14:textId="77777777" w:rsidR="003E1606" w:rsidRDefault="003E1606" w:rsidP="00350824">
      <w:pPr>
        <w:rPr>
          <w:rFonts w:eastAsia="Verdana"/>
          <w:sz w:val="18"/>
          <w:szCs w:val="18"/>
        </w:rPr>
      </w:pPr>
    </w:p>
    <w:p w14:paraId="75FB4489" w14:textId="77777777" w:rsidR="003E1606" w:rsidRDefault="003E1606" w:rsidP="00350824">
      <w:pPr>
        <w:rPr>
          <w:rFonts w:eastAsia="Verdana"/>
          <w:sz w:val="18"/>
          <w:szCs w:val="18"/>
        </w:rPr>
      </w:pPr>
    </w:p>
    <w:p w14:paraId="438122F2" w14:textId="77777777" w:rsidR="003E1606" w:rsidRDefault="003E1606" w:rsidP="00350824">
      <w:pPr>
        <w:rPr>
          <w:rFonts w:eastAsia="Verdana"/>
          <w:sz w:val="18"/>
          <w:szCs w:val="18"/>
        </w:rPr>
      </w:pPr>
    </w:p>
    <w:p w14:paraId="4C267C66" w14:textId="77777777" w:rsidR="003E1606" w:rsidRDefault="003E1606" w:rsidP="00350824">
      <w:pPr>
        <w:rPr>
          <w:rFonts w:eastAsia="Verdana"/>
          <w:sz w:val="18"/>
          <w:szCs w:val="18"/>
        </w:rPr>
      </w:pPr>
    </w:p>
    <w:p w14:paraId="7B7F30C3" w14:textId="77777777" w:rsidR="003E1606" w:rsidRDefault="003E1606" w:rsidP="00350824">
      <w:pPr>
        <w:rPr>
          <w:rFonts w:eastAsia="Verdana"/>
          <w:sz w:val="18"/>
          <w:szCs w:val="18"/>
        </w:rPr>
      </w:pPr>
    </w:p>
    <w:p w14:paraId="597EB5A1" w14:textId="77777777" w:rsidR="003E1606" w:rsidRDefault="003E1606" w:rsidP="00350824">
      <w:pPr>
        <w:rPr>
          <w:rFonts w:eastAsia="Verdana"/>
          <w:sz w:val="18"/>
          <w:szCs w:val="18"/>
        </w:rPr>
      </w:pPr>
    </w:p>
    <w:p w14:paraId="6D0AC704" w14:textId="77777777" w:rsidR="003E1606" w:rsidRDefault="003E1606" w:rsidP="00350824">
      <w:pPr>
        <w:rPr>
          <w:rFonts w:eastAsia="Verdana"/>
          <w:sz w:val="18"/>
          <w:szCs w:val="18"/>
        </w:rPr>
      </w:pPr>
    </w:p>
    <w:p w14:paraId="5181C303" w14:textId="77777777" w:rsidR="003E1606" w:rsidRDefault="003E1606" w:rsidP="00350824">
      <w:pPr>
        <w:rPr>
          <w:rFonts w:eastAsia="Verdana"/>
          <w:sz w:val="18"/>
          <w:szCs w:val="18"/>
        </w:rPr>
      </w:pPr>
    </w:p>
    <w:p w14:paraId="7A232CEB" w14:textId="77777777" w:rsidR="003E1606" w:rsidRDefault="003E1606" w:rsidP="00350824">
      <w:pPr>
        <w:rPr>
          <w:rFonts w:eastAsia="Verdana"/>
          <w:sz w:val="18"/>
          <w:szCs w:val="18"/>
        </w:rPr>
      </w:pPr>
    </w:p>
    <w:p w14:paraId="327F239D" w14:textId="77777777" w:rsidR="003E1606" w:rsidRDefault="003E1606" w:rsidP="00350824">
      <w:pPr>
        <w:rPr>
          <w:rFonts w:eastAsia="Verdana"/>
          <w:sz w:val="18"/>
          <w:szCs w:val="18"/>
        </w:rPr>
      </w:pPr>
    </w:p>
    <w:p w14:paraId="1F0CECDF" w14:textId="6F334759" w:rsidR="00F70E7C" w:rsidRPr="00712E1E" w:rsidRDefault="5CF6B070" w:rsidP="00350824">
      <w:pPr>
        <w:rPr>
          <w:rFonts w:eastAsia="Verdana"/>
          <w:sz w:val="18"/>
          <w:szCs w:val="18"/>
        </w:rPr>
      </w:pPr>
      <w:bookmarkStart w:id="0" w:name="_GoBack"/>
      <w:bookmarkEnd w:id="0"/>
      <w:r w:rsidRPr="00712E1E">
        <w:rPr>
          <w:rFonts w:eastAsia="Verdana"/>
          <w:sz w:val="18"/>
          <w:szCs w:val="18"/>
        </w:rPr>
        <w:t>Blašķe 67082909</w:t>
      </w:r>
    </w:p>
    <w:p w14:paraId="0EBCA538" w14:textId="79A8C983" w:rsidR="00F70E7C" w:rsidRPr="00712E1E" w:rsidRDefault="00177A53" w:rsidP="00350824">
      <w:pPr>
        <w:rPr>
          <w:rFonts w:eastAsia="Verdana"/>
          <w:sz w:val="18"/>
          <w:szCs w:val="18"/>
        </w:rPr>
      </w:pPr>
      <w:hyperlink r:id="rId11">
        <w:r w:rsidR="5CF6B070" w:rsidRPr="00712E1E">
          <w:rPr>
            <w:rStyle w:val="Hyperlink"/>
            <w:rFonts w:eastAsia="Verdana"/>
            <w:color w:val="auto"/>
            <w:sz w:val="18"/>
            <w:szCs w:val="18"/>
            <w:u w:val="none"/>
          </w:rPr>
          <w:t>Marina.Blaske@mk.gov.lv</w:t>
        </w:r>
      </w:hyperlink>
      <w:r w:rsidR="5CF6B070" w:rsidRPr="00712E1E">
        <w:rPr>
          <w:rFonts w:eastAsia="Verdana"/>
          <w:sz w:val="18"/>
          <w:szCs w:val="18"/>
        </w:rPr>
        <w:t xml:space="preserve"> </w:t>
      </w:r>
    </w:p>
    <w:p w14:paraId="67309511" w14:textId="1E5C5605" w:rsidR="00F70E7C" w:rsidRPr="00712E1E" w:rsidRDefault="5CF6B070" w:rsidP="00350824">
      <w:pPr>
        <w:rPr>
          <w:rFonts w:eastAsia="Verdana"/>
          <w:sz w:val="18"/>
          <w:szCs w:val="18"/>
        </w:rPr>
      </w:pPr>
      <w:proofErr w:type="spellStart"/>
      <w:r w:rsidRPr="00712E1E">
        <w:rPr>
          <w:rFonts w:eastAsia="Verdana"/>
          <w:sz w:val="18"/>
          <w:szCs w:val="18"/>
        </w:rPr>
        <w:t>Kosjaka</w:t>
      </w:r>
      <w:proofErr w:type="spellEnd"/>
      <w:r w:rsidRPr="00712E1E">
        <w:rPr>
          <w:rFonts w:eastAsia="Verdana"/>
          <w:sz w:val="18"/>
          <w:szCs w:val="18"/>
        </w:rPr>
        <w:t xml:space="preserve"> 67082959</w:t>
      </w:r>
    </w:p>
    <w:p w14:paraId="72F2AE1B" w14:textId="608135D3" w:rsidR="00F70E7C" w:rsidRPr="00712E1E" w:rsidRDefault="00177A53" w:rsidP="00350824">
      <w:pPr>
        <w:tabs>
          <w:tab w:val="left" w:pos="6521"/>
        </w:tabs>
        <w:jc w:val="both"/>
        <w:rPr>
          <w:rFonts w:eastAsia="Verdana"/>
          <w:sz w:val="18"/>
          <w:szCs w:val="18"/>
        </w:rPr>
      </w:pPr>
      <w:hyperlink r:id="rId12">
        <w:r w:rsidR="5CF6B070" w:rsidRPr="00712E1E">
          <w:rPr>
            <w:rStyle w:val="Hyperlink"/>
            <w:rFonts w:eastAsia="Verdana"/>
            <w:color w:val="auto"/>
            <w:sz w:val="18"/>
            <w:szCs w:val="18"/>
            <w:u w:val="none"/>
          </w:rPr>
          <w:t>Aleksandra.Kosjaka@mk.gov.lv</w:t>
        </w:r>
      </w:hyperlink>
    </w:p>
    <w:p w14:paraId="37D79C00" w14:textId="77777777" w:rsidR="00F70E7C" w:rsidRDefault="00F70E7C" w:rsidP="00F70E7C">
      <w:pPr>
        <w:pStyle w:val="naisf"/>
        <w:spacing w:before="0" w:after="0"/>
        <w:ind w:firstLine="720"/>
      </w:pPr>
    </w:p>
    <w:sectPr w:rsidR="00F70E7C" w:rsidSect="00364BB6">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79F6C" w14:textId="77777777" w:rsidR="00177A53" w:rsidRDefault="00177A53">
      <w:r>
        <w:separator/>
      </w:r>
    </w:p>
  </w:endnote>
  <w:endnote w:type="continuationSeparator" w:id="0">
    <w:p w14:paraId="3594CF0A" w14:textId="77777777" w:rsidR="00177A53" w:rsidRDefault="00177A53">
      <w:r>
        <w:continuationSeparator/>
      </w:r>
    </w:p>
  </w:endnote>
  <w:endnote w:type="continuationNotice" w:id="1">
    <w:p w14:paraId="7015310D" w14:textId="77777777" w:rsidR="00177A53" w:rsidRDefault="00177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9C1C" w14:textId="19750C38" w:rsidR="00AF1874" w:rsidRDefault="00AF1874">
    <w:pPr>
      <w:pStyle w:val="Footer"/>
    </w:pPr>
    <w:r w:rsidRPr="00015C84">
      <w:rPr>
        <w:sz w:val="20"/>
        <w:szCs w:val="20"/>
      </w:rPr>
      <w:t>MKizz_</w:t>
    </w:r>
    <w:r w:rsidR="007A478C">
      <w:rPr>
        <w:sz w:val="20"/>
        <w:szCs w:val="20"/>
      </w:rPr>
      <w:t>24</w:t>
    </w:r>
    <w:r w:rsidR="00AF1853">
      <w:rPr>
        <w:sz w:val="20"/>
        <w:szCs w:val="20"/>
      </w:rPr>
      <w:t>03</w:t>
    </w:r>
    <w:r>
      <w:rPr>
        <w:sz w:val="20"/>
        <w:szCs w:val="20"/>
      </w:rPr>
      <w:t>21_RIA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9C1D" w14:textId="78ECE197" w:rsidR="00AF1874" w:rsidRPr="00015C84" w:rsidRDefault="00AF1874" w:rsidP="00364BB6">
    <w:pPr>
      <w:pStyle w:val="Footer"/>
      <w:rPr>
        <w:sz w:val="20"/>
        <w:szCs w:val="20"/>
      </w:rPr>
    </w:pPr>
    <w:r w:rsidRPr="00015C84">
      <w:rPr>
        <w:sz w:val="20"/>
        <w:szCs w:val="20"/>
      </w:rPr>
      <w:t>MKizz_</w:t>
    </w:r>
    <w:r>
      <w:rPr>
        <w:sz w:val="20"/>
        <w:szCs w:val="20"/>
      </w:rPr>
      <w:t>190221_RIA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B55C" w14:textId="77777777" w:rsidR="00177A53" w:rsidRDefault="00177A53">
      <w:r>
        <w:separator/>
      </w:r>
    </w:p>
  </w:footnote>
  <w:footnote w:type="continuationSeparator" w:id="0">
    <w:p w14:paraId="20AF7870" w14:textId="77777777" w:rsidR="00177A53" w:rsidRDefault="00177A53">
      <w:r>
        <w:continuationSeparator/>
      </w:r>
    </w:p>
  </w:footnote>
  <w:footnote w:type="continuationNotice" w:id="1">
    <w:p w14:paraId="1363175D" w14:textId="77777777" w:rsidR="00177A53" w:rsidRDefault="00177A53"/>
  </w:footnote>
  <w:footnote w:id="2">
    <w:p w14:paraId="37D79C1E" w14:textId="77777777" w:rsidR="00AF1874" w:rsidRPr="00825EF5" w:rsidRDefault="00AF1874" w:rsidP="005F1403">
      <w:pPr>
        <w:pStyle w:val="FootnoteText"/>
        <w:rPr>
          <w:sz w:val="16"/>
          <w:szCs w:val="16"/>
        </w:rPr>
      </w:pPr>
      <w:r w:rsidRPr="00825EF5">
        <w:rPr>
          <w:rStyle w:val="FootnoteReference"/>
          <w:sz w:val="16"/>
          <w:szCs w:val="16"/>
        </w:rPr>
        <w:footnoteRef/>
      </w:r>
      <w:r w:rsidRPr="00825EF5">
        <w:rPr>
          <w:sz w:val="16"/>
          <w:szCs w:val="16"/>
        </w:rPr>
        <w:t xml:space="preserve"> https://www.sgi-network.org/2020/Governance/Executive_Capacity/Evidence-based_Instruments/RIA_Application</w:t>
      </w:r>
    </w:p>
  </w:footnote>
  <w:footnote w:id="3">
    <w:p w14:paraId="37D79C1F" w14:textId="77777777" w:rsidR="00AF1874" w:rsidRPr="00825EF5" w:rsidRDefault="00AF1874" w:rsidP="005F1403">
      <w:pPr>
        <w:pStyle w:val="FootnoteText"/>
        <w:rPr>
          <w:sz w:val="16"/>
          <w:szCs w:val="16"/>
        </w:rPr>
      </w:pPr>
      <w:r w:rsidRPr="00825EF5">
        <w:rPr>
          <w:rStyle w:val="FootnoteReference"/>
          <w:sz w:val="16"/>
          <w:szCs w:val="16"/>
        </w:rPr>
        <w:footnoteRef/>
      </w:r>
      <w:r w:rsidRPr="00825EF5">
        <w:rPr>
          <w:sz w:val="16"/>
          <w:szCs w:val="16"/>
        </w:rPr>
        <w:t xml:space="preserve"> https://www.sgi-network.org/2020/Governance/Executive_Capacity/Evidence-based_Instruments/Quality_of_RIA_Process</w:t>
      </w:r>
    </w:p>
  </w:footnote>
  <w:footnote w:id="4">
    <w:p w14:paraId="37D79C20" w14:textId="77777777" w:rsidR="00AF1874" w:rsidRPr="00825EF5" w:rsidRDefault="00AF1874" w:rsidP="005F1403">
      <w:pPr>
        <w:pStyle w:val="FootnoteText"/>
        <w:rPr>
          <w:sz w:val="16"/>
          <w:szCs w:val="16"/>
        </w:rPr>
      </w:pPr>
      <w:r w:rsidRPr="00825EF5">
        <w:rPr>
          <w:rStyle w:val="FootnoteReference"/>
          <w:sz w:val="16"/>
          <w:szCs w:val="16"/>
        </w:rPr>
        <w:footnoteRef/>
      </w:r>
      <w:r w:rsidRPr="00825EF5">
        <w:rPr>
          <w:sz w:val="16"/>
          <w:szCs w:val="16"/>
        </w:rPr>
        <w:t xml:space="preserve"> https://www.sgi-network.org/2020/Governance/Executive_Capacity/Evidence-based_Instruments/Sustainability_Check</w:t>
      </w:r>
    </w:p>
  </w:footnote>
  <w:footnote w:id="5">
    <w:p w14:paraId="37D79C21" w14:textId="77777777" w:rsidR="00AF1874" w:rsidRPr="00825EF5" w:rsidRDefault="00AF1874" w:rsidP="005F1403">
      <w:pPr>
        <w:pStyle w:val="FootnoteText"/>
      </w:pPr>
      <w:r w:rsidRPr="00825EF5">
        <w:rPr>
          <w:rStyle w:val="FootnoteReference"/>
          <w:sz w:val="16"/>
          <w:szCs w:val="16"/>
        </w:rPr>
        <w:footnoteRef/>
      </w:r>
      <w:r w:rsidRPr="00825EF5">
        <w:rPr>
          <w:sz w:val="16"/>
          <w:szCs w:val="16"/>
        </w:rPr>
        <w:t xml:space="preserve"> https://www.sgi-network.org/2020/Governance/Executive_Capacity/Evidence-based_Instruments/Quality_of_Ex_Post_Evaluation</w:t>
      </w:r>
    </w:p>
  </w:footnote>
  <w:footnote w:id="6">
    <w:p w14:paraId="4FDD3E3E" w14:textId="77777777" w:rsidR="00AF1874" w:rsidRDefault="00AF1874" w:rsidP="00BC708B">
      <w:pPr>
        <w:pStyle w:val="FootnoteText"/>
      </w:pPr>
      <w:r>
        <w:rPr>
          <w:rStyle w:val="FootnoteReference"/>
        </w:rPr>
        <w:footnoteRef/>
      </w:r>
      <w:r>
        <w:t xml:space="preserve"> </w:t>
      </w:r>
      <w:proofErr w:type="spellStart"/>
      <w:r w:rsidRPr="00AC3675">
        <w:t>Ministru</w:t>
      </w:r>
      <w:proofErr w:type="spellEnd"/>
      <w:r w:rsidRPr="00AC3675">
        <w:t xml:space="preserve"> </w:t>
      </w:r>
      <w:proofErr w:type="spellStart"/>
      <w:r w:rsidRPr="00AC3675">
        <w:t>kabineta</w:t>
      </w:r>
      <w:proofErr w:type="spellEnd"/>
      <w:r w:rsidRPr="00AC3675">
        <w:t xml:space="preserve"> 2009.</w:t>
      </w:r>
      <w:r>
        <w:t> </w:t>
      </w:r>
      <w:proofErr w:type="spellStart"/>
      <w:proofErr w:type="gramStart"/>
      <w:r w:rsidRPr="00AC3675">
        <w:t>gada</w:t>
      </w:r>
      <w:proofErr w:type="spellEnd"/>
      <w:proofErr w:type="gramEnd"/>
      <w:r w:rsidRPr="00AC3675">
        <w:t xml:space="preserve"> 7.</w:t>
      </w:r>
      <w:r>
        <w:t> </w:t>
      </w:r>
      <w:proofErr w:type="spellStart"/>
      <w:proofErr w:type="gramStart"/>
      <w:r w:rsidRPr="00AC3675">
        <w:t>aprīļa</w:t>
      </w:r>
      <w:proofErr w:type="spellEnd"/>
      <w:proofErr w:type="gramEnd"/>
      <w:r w:rsidRPr="00AC3675">
        <w:t xml:space="preserve"> </w:t>
      </w:r>
      <w:proofErr w:type="spellStart"/>
      <w:r w:rsidRPr="00AC3675">
        <w:t>noteikumi</w:t>
      </w:r>
      <w:proofErr w:type="spellEnd"/>
      <w:r w:rsidRPr="00AC3675">
        <w:t xml:space="preserve"> </w:t>
      </w:r>
      <w:proofErr w:type="spellStart"/>
      <w:r w:rsidRPr="00AC3675">
        <w:t>Nr</w:t>
      </w:r>
      <w:proofErr w:type="spellEnd"/>
      <w:r w:rsidRPr="00AC3675">
        <w:t>.</w:t>
      </w:r>
      <w:r>
        <w:t> </w:t>
      </w:r>
      <w:r w:rsidRPr="00AC3675">
        <w:t>300 "</w:t>
      </w:r>
      <w:proofErr w:type="spellStart"/>
      <w:r w:rsidRPr="00AC3675">
        <w:t>Ministru</w:t>
      </w:r>
      <w:proofErr w:type="spellEnd"/>
      <w:r w:rsidRPr="00AC3675">
        <w:t xml:space="preserve"> </w:t>
      </w:r>
      <w:proofErr w:type="spellStart"/>
      <w:r w:rsidRPr="00AC3675">
        <w:t>kabineta</w:t>
      </w:r>
      <w:proofErr w:type="spellEnd"/>
      <w:r w:rsidRPr="00AC3675">
        <w:t xml:space="preserve"> </w:t>
      </w:r>
      <w:proofErr w:type="spellStart"/>
      <w:r w:rsidRPr="00AC3675">
        <w:t>kārtības</w:t>
      </w:r>
      <w:proofErr w:type="spellEnd"/>
      <w:r w:rsidRPr="00AC3675">
        <w:t xml:space="preserve"> </w:t>
      </w:r>
      <w:proofErr w:type="spellStart"/>
      <w:r w:rsidRPr="00AC3675">
        <w:t>rullis</w:t>
      </w:r>
      <w:proofErr w:type="spellEnd"/>
      <w:r w:rsidRPr="00AC3675">
        <w:t>"</w:t>
      </w:r>
      <w:r>
        <w:t xml:space="preserve"> un </w:t>
      </w:r>
      <w:proofErr w:type="spellStart"/>
      <w:r w:rsidRPr="00AC3675">
        <w:t>Ministru</w:t>
      </w:r>
      <w:proofErr w:type="spellEnd"/>
      <w:r w:rsidRPr="00AC3675">
        <w:t xml:space="preserve"> </w:t>
      </w:r>
      <w:proofErr w:type="spellStart"/>
      <w:r w:rsidRPr="00AC3675">
        <w:t>kabineta</w:t>
      </w:r>
      <w:proofErr w:type="spellEnd"/>
      <w:r w:rsidRPr="00AC3675">
        <w:t xml:space="preserve"> 2009.</w:t>
      </w:r>
      <w:r>
        <w:t> </w:t>
      </w:r>
      <w:proofErr w:type="spellStart"/>
      <w:proofErr w:type="gramStart"/>
      <w:r w:rsidRPr="00AC3675">
        <w:t>gada</w:t>
      </w:r>
      <w:proofErr w:type="spellEnd"/>
      <w:proofErr w:type="gramEnd"/>
      <w:r w:rsidRPr="00AC3675">
        <w:t xml:space="preserve"> 25.</w:t>
      </w:r>
      <w:r>
        <w:t> </w:t>
      </w:r>
      <w:proofErr w:type="spellStart"/>
      <w:proofErr w:type="gramStart"/>
      <w:r w:rsidRPr="00AC3675">
        <w:t>augusta</w:t>
      </w:r>
      <w:proofErr w:type="spellEnd"/>
      <w:proofErr w:type="gramEnd"/>
      <w:r w:rsidRPr="00AC3675">
        <w:t xml:space="preserve"> </w:t>
      </w:r>
      <w:proofErr w:type="spellStart"/>
      <w:r w:rsidRPr="00AC3675">
        <w:t>noteikumi</w:t>
      </w:r>
      <w:proofErr w:type="spellEnd"/>
      <w:r w:rsidRPr="00AC3675">
        <w:t xml:space="preserve"> </w:t>
      </w:r>
      <w:proofErr w:type="spellStart"/>
      <w:r w:rsidRPr="00AC3675">
        <w:t>Nr</w:t>
      </w:r>
      <w:proofErr w:type="spellEnd"/>
      <w:r w:rsidRPr="00AC3675">
        <w:t>.</w:t>
      </w:r>
      <w:r>
        <w:t> </w:t>
      </w:r>
      <w:r w:rsidRPr="00AC3675">
        <w:t>970 "</w:t>
      </w:r>
      <w:proofErr w:type="spellStart"/>
      <w:r w:rsidRPr="00AC3675">
        <w:t>Sabiedrības</w:t>
      </w:r>
      <w:proofErr w:type="spellEnd"/>
      <w:r w:rsidRPr="00AC3675">
        <w:t xml:space="preserve"> </w:t>
      </w:r>
      <w:proofErr w:type="spellStart"/>
      <w:r w:rsidRPr="00AC3675">
        <w:t>līdzdalības</w:t>
      </w:r>
      <w:proofErr w:type="spellEnd"/>
      <w:r w:rsidRPr="00AC3675">
        <w:t xml:space="preserve"> </w:t>
      </w:r>
      <w:proofErr w:type="spellStart"/>
      <w:r w:rsidRPr="00AC3675">
        <w:t>kārtība</w:t>
      </w:r>
      <w:proofErr w:type="spellEnd"/>
      <w:r w:rsidRPr="00AC3675">
        <w:t xml:space="preserve"> </w:t>
      </w:r>
      <w:proofErr w:type="spellStart"/>
      <w:r w:rsidRPr="00AC3675">
        <w:t>attīstības</w:t>
      </w:r>
      <w:proofErr w:type="spellEnd"/>
      <w:r w:rsidRPr="00AC3675">
        <w:t xml:space="preserve"> </w:t>
      </w:r>
      <w:proofErr w:type="spellStart"/>
      <w:r w:rsidRPr="00AC3675">
        <w:t>plānošanas</w:t>
      </w:r>
      <w:proofErr w:type="spellEnd"/>
      <w:r w:rsidRPr="00AC3675">
        <w:t xml:space="preserve"> </w:t>
      </w:r>
      <w:proofErr w:type="spellStart"/>
      <w:r w:rsidRPr="00AC3675">
        <w:t>procesā</w:t>
      </w:r>
      <w:proofErr w:type="spellEnd"/>
      <w:r w:rsidRPr="00AC3675">
        <w:t>".</w:t>
      </w:r>
    </w:p>
    <w:p w14:paraId="75A9A9D6" w14:textId="77777777" w:rsidR="00AF1874" w:rsidRDefault="00AF1874" w:rsidP="00BC708B">
      <w:pPr>
        <w:pStyle w:val="FootnoteText"/>
      </w:pPr>
    </w:p>
  </w:footnote>
  <w:footnote w:id="7">
    <w:p w14:paraId="2B382D30" w14:textId="77777777" w:rsidR="00AF1874" w:rsidRPr="005622CE" w:rsidRDefault="00AF1874" w:rsidP="00210E42">
      <w:pPr>
        <w:pStyle w:val="FootnoteText"/>
      </w:pPr>
      <w:r>
        <w:rPr>
          <w:rStyle w:val="FootnoteReference"/>
        </w:rPr>
        <w:footnoteRef/>
      </w:r>
      <w:r>
        <w:t xml:space="preserve"> </w:t>
      </w:r>
      <w:proofErr w:type="spellStart"/>
      <w:r w:rsidRPr="006F36C8">
        <w:t>Veitners</w:t>
      </w:r>
      <w:proofErr w:type="spellEnd"/>
      <w:r w:rsidRPr="006F36C8">
        <w:t xml:space="preserve"> K. </w:t>
      </w:r>
      <w:proofErr w:type="spellStart"/>
      <w:r w:rsidRPr="006F36C8">
        <w:t>Institutionalisation</w:t>
      </w:r>
      <w:proofErr w:type="spellEnd"/>
      <w:r w:rsidRPr="006F36C8">
        <w:t xml:space="preserve"> of Evaluation in Latvia. (2020). In: The </w:t>
      </w:r>
      <w:proofErr w:type="spellStart"/>
      <w:r w:rsidRPr="006F36C8">
        <w:t>Institutionalisation</w:t>
      </w:r>
      <w:proofErr w:type="spellEnd"/>
      <w:r w:rsidRPr="006F36C8">
        <w:t xml:space="preserve"> of Evaluation in Europe. </w:t>
      </w:r>
      <w:proofErr w:type="spellStart"/>
      <w:r w:rsidRPr="006F36C8">
        <w:t>Stockmann</w:t>
      </w:r>
      <w:proofErr w:type="spellEnd"/>
      <w:r w:rsidRPr="006F36C8">
        <w:t xml:space="preserve"> R., Meyer W., Taube L. (</w:t>
      </w:r>
      <w:proofErr w:type="gramStart"/>
      <w:r w:rsidRPr="006F36C8">
        <w:t>ed</w:t>
      </w:r>
      <w:proofErr w:type="gramEnd"/>
      <w:r w:rsidRPr="006F36C8">
        <w:t>.). Palgrave Macmillan.</w:t>
      </w:r>
    </w:p>
  </w:footnote>
  <w:footnote w:id="8">
    <w:p w14:paraId="35E45847" w14:textId="77777777" w:rsidR="00AF1874" w:rsidRPr="004117B6" w:rsidRDefault="00AF1874" w:rsidP="00210E42">
      <w:pPr>
        <w:pStyle w:val="FootnoteText"/>
      </w:pPr>
      <w:r>
        <w:rPr>
          <w:rStyle w:val="FootnoteReference"/>
        </w:rPr>
        <w:footnoteRef/>
      </w:r>
      <w:r>
        <w:t xml:space="preserve"> OECD (2020), Improving Governance with Policy Evaluation: Lessons </w:t>
      </w:r>
      <w:proofErr w:type="gramStart"/>
      <w:r>
        <w:t>From</w:t>
      </w:r>
      <w:proofErr w:type="gramEnd"/>
      <w:r>
        <w:t xml:space="preserve"> Country Experience, OECD Public Governance Reviews, OECD Publishing, Paris, </w:t>
      </w:r>
      <w:hyperlink r:id="rId1" w:history="1">
        <w:r w:rsidRPr="004170F9">
          <w:rPr>
            <w:rStyle w:val="Hyperlink"/>
          </w:rPr>
          <w:t>https://doi.org/10.1787/89b1577d-en</w:t>
        </w:r>
      </w:hyperlink>
      <w:r>
        <w:t>.</w:t>
      </w:r>
    </w:p>
  </w:footnote>
  <w:footnote w:id="9">
    <w:p w14:paraId="3C65EBFB" w14:textId="77777777" w:rsidR="00AF1874" w:rsidRPr="003802C4" w:rsidRDefault="00AF1874" w:rsidP="00130AC7">
      <w:pPr>
        <w:pStyle w:val="FootnoteText"/>
        <w:rPr>
          <w:lang w:val="lv-LV"/>
        </w:rPr>
      </w:pPr>
      <w:r>
        <w:rPr>
          <w:rStyle w:val="FootnoteReference"/>
        </w:rPr>
        <w:footnoteRef/>
      </w:r>
      <w:r>
        <w:t xml:space="preserve"> </w:t>
      </w:r>
      <w:proofErr w:type="spellStart"/>
      <w:r w:rsidRPr="009275CC">
        <w:t>Stufflebeam</w:t>
      </w:r>
      <w:proofErr w:type="spellEnd"/>
      <w:r w:rsidRPr="009275CC">
        <w:t xml:space="preserve">, D. L., &amp; </w:t>
      </w:r>
      <w:proofErr w:type="spellStart"/>
      <w:r w:rsidRPr="009275CC">
        <w:t>Coryn</w:t>
      </w:r>
      <w:proofErr w:type="spellEnd"/>
      <w:r w:rsidRPr="009275CC">
        <w:t xml:space="preserve">, C. L. S. (2014). Evaluation theory, models, and applications. San Francisco, Calif: </w:t>
      </w:r>
      <w:proofErr w:type="spellStart"/>
      <w:r w:rsidRPr="009275CC">
        <w:t>Jossey</w:t>
      </w:r>
      <w:proofErr w:type="spellEnd"/>
      <w:r w:rsidRPr="009275CC">
        <w:t>-Bass.</w:t>
      </w:r>
      <w:r>
        <w:t xml:space="preserve"> 135-137.</w:t>
      </w:r>
    </w:p>
  </w:footnote>
  <w:footnote w:id="10">
    <w:p w14:paraId="2D1ACD8F" w14:textId="77777777" w:rsidR="00AF1874" w:rsidRPr="00714D5F" w:rsidRDefault="00AF1874" w:rsidP="00130AC7">
      <w:pPr>
        <w:pStyle w:val="FootnoteText"/>
        <w:rPr>
          <w:lang w:val="lv-LV"/>
        </w:rPr>
      </w:pPr>
      <w:r>
        <w:rPr>
          <w:rStyle w:val="FootnoteReference"/>
        </w:rPr>
        <w:footnoteRef/>
      </w:r>
      <w:r>
        <w:t xml:space="preserve"> Pawson, R., &amp; Tilley, N. (1997). Realistic evaluation. London: 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9C18" w14:textId="77777777" w:rsidR="00AF1874" w:rsidRDefault="00AF187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79C19" w14:textId="77777777" w:rsidR="00AF1874" w:rsidRDefault="00AF1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9C1A" w14:textId="77777777" w:rsidR="00AF1874" w:rsidRDefault="00AF187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606">
      <w:rPr>
        <w:rStyle w:val="PageNumber"/>
        <w:noProof/>
      </w:rPr>
      <w:t>50</w:t>
    </w:r>
    <w:r>
      <w:rPr>
        <w:rStyle w:val="PageNumber"/>
      </w:rPr>
      <w:fldChar w:fldCharType="end"/>
    </w:r>
  </w:p>
  <w:p w14:paraId="37D79C1B" w14:textId="77777777" w:rsidR="00AF1874" w:rsidRDefault="00AF1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943"/>
    <w:multiLevelType w:val="hybridMultilevel"/>
    <w:tmpl w:val="B0681FC4"/>
    <w:lvl w:ilvl="0" w:tplc="E634D7DE">
      <w:start w:val="1"/>
      <w:numFmt w:val="decimal"/>
      <w:lvlText w:val="%1."/>
      <w:lvlJc w:val="left"/>
      <w:pPr>
        <w:ind w:left="720" w:hanging="360"/>
      </w:pPr>
    </w:lvl>
    <w:lvl w:ilvl="1" w:tplc="0CE02B14">
      <w:start w:val="1"/>
      <w:numFmt w:val="lowerLetter"/>
      <w:lvlText w:val="%2."/>
      <w:lvlJc w:val="left"/>
      <w:pPr>
        <w:ind w:left="1440" w:hanging="360"/>
      </w:pPr>
    </w:lvl>
    <w:lvl w:ilvl="2" w:tplc="E4E6D5D8">
      <w:start w:val="1"/>
      <w:numFmt w:val="lowerRoman"/>
      <w:lvlText w:val="%3."/>
      <w:lvlJc w:val="right"/>
      <w:pPr>
        <w:ind w:left="2160" w:hanging="180"/>
      </w:pPr>
    </w:lvl>
    <w:lvl w:ilvl="3" w:tplc="600ADA32">
      <w:start w:val="1"/>
      <w:numFmt w:val="decimal"/>
      <w:lvlText w:val="%4."/>
      <w:lvlJc w:val="left"/>
      <w:pPr>
        <w:ind w:left="2880" w:hanging="360"/>
      </w:pPr>
    </w:lvl>
    <w:lvl w:ilvl="4" w:tplc="695C5F5A">
      <w:start w:val="1"/>
      <w:numFmt w:val="lowerLetter"/>
      <w:lvlText w:val="%5."/>
      <w:lvlJc w:val="left"/>
      <w:pPr>
        <w:ind w:left="3600" w:hanging="360"/>
      </w:pPr>
    </w:lvl>
    <w:lvl w:ilvl="5" w:tplc="6C8A776E">
      <w:start w:val="1"/>
      <w:numFmt w:val="lowerRoman"/>
      <w:lvlText w:val="%6."/>
      <w:lvlJc w:val="right"/>
      <w:pPr>
        <w:ind w:left="4320" w:hanging="180"/>
      </w:pPr>
    </w:lvl>
    <w:lvl w:ilvl="6" w:tplc="24D8E3F6">
      <w:start w:val="1"/>
      <w:numFmt w:val="decimal"/>
      <w:lvlText w:val="%7."/>
      <w:lvlJc w:val="left"/>
      <w:pPr>
        <w:ind w:left="5040" w:hanging="360"/>
      </w:pPr>
    </w:lvl>
    <w:lvl w:ilvl="7" w:tplc="01022728">
      <w:start w:val="1"/>
      <w:numFmt w:val="lowerLetter"/>
      <w:lvlText w:val="%8."/>
      <w:lvlJc w:val="left"/>
      <w:pPr>
        <w:ind w:left="5760" w:hanging="360"/>
      </w:pPr>
    </w:lvl>
    <w:lvl w:ilvl="8" w:tplc="B48CD758">
      <w:start w:val="1"/>
      <w:numFmt w:val="lowerRoman"/>
      <w:lvlText w:val="%9."/>
      <w:lvlJc w:val="right"/>
      <w:pPr>
        <w:ind w:left="6480" w:hanging="180"/>
      </w:pPr>
    </w:lvl>
  </w:abstractNum>
  <w:abstractNum w:abstractNumId="1" w15:restartNumberingAfterBreak="0">
    <w:nsid w:val="060F0AA2"/>
    <w:multiLevelType w:val="hybridMultilevel"/>
    <w:tmpl w:val="1614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C56CF"/>
    <w:multiLevelType w:val="hybridMultilevel"/>
    <w:tmpl w:val="5BB0EB98"/>
    <w:lvl w:ilvl="0" w:tplc="AA947BA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F92F09"/>
    <w:multiLevelType w:val="multilevel"/>
    <w:tmpl w:val="6472DD4E"/>
    <w:lvl w:ilvl="0">
      <w:start w:val="1"/>
      <w:numFmt w:val="decimal"/>
      <w:lvlText w:val="%1."/>
      <w:lvlJc w:val="left"/>
      <w:pPr>
        <w:ind w:left="-645" w:hanging="360"/>
      </w:pPr>
      <w:rPr>
        <w:rFonts w:hint="default"/>
      </w:rPr>
    </w:lvl>
    <w:lvl w:ilvl="1">
      <w:start w:val="1"/>
      <w:numFmt w:val="decimal"/>
      <w:isLgl/>
      <w:lvlText w:val="%1.%2."/>
      <w:lvlJc w:val="left"/>
      <w:pPr>
        <w:ind w:left="-285" w:hanging="720"/>
      </w:pPr>
      <w:rPr>
        <w:rFonts w:hint="default"/>
      </w:rPr>
    </w:lvl>
    <w:lvl w:ilvl="2">
      <w:start w:val="1"/>
      <w:numFmt w:val="decimal"/>
      <w:isLgl/>
      <w:lvlText w:val="%1.%2.%3."/>
      <w:lvlJc w:val="left"/>
      <w:pPr>
        <w:ind w:left="-285" w:hanging="720"/>
      </w:pPr>
      <w:rPr>
        <w:rFonts w:hint="default"/>
      </w:rPr>
    </w:lvl>
    <w:lvl w:ilvl="3">
      <w:start w:val="1"/>
      <w:numFmt w:val="decimal"/>
      <w:isLgl/>
      <w:lvlText w:val="%1.%2.%3.%4."/>
      <w:lvlJc w:val="left"/>
      <w:pPr>
        <w:ind w:left="75" w:hanging="1080"/>
      </w:pPr>
      <w:rPr>
        <w:rFonts w:hint="default"/>
      </w:rPr>
    </w:lvl>
    <w:lvl w:ilvl="4">
      <w:start w:val="1"/>
      <w:numFmt w:val="decimal"/>
      <w:isLgl/>
      <w:lvlText w:val="%1.%2.%3.%4.%5."/>
      <w:lvlJc w:val="left"/>
      <w:pPr>
        <w:ind w:left="75" w:hanging="1080"/>
      </w:pPr>
      <w:rPr>
        <w:rFonts w:hint="default"/>
      </w:rPr>
    </w:lvl>
    <w:lvl w:ilvl="5">
      <w:start w:val="1"/>
      <w:numFmt w:val="decimal"/>
      <w:isLgl/>
      <w:lvlText w:val="%1.%2.%3.%4.%5.%6."/>
      <w:lvlJc w:val="left"/>
      <w:pPr>
        <w:ind w:left="435" w:hanging="1440"/>
      </w:pPr>
      <w:rPr>
        <w:rFonts w:hint="default"/>
      </w:rPr>
    </w:lvl>
    <w:lvl w:ilvl="6">
      <w:start w:val="1"/>
      <w:numFmt w:val="decimal"/>
      <w:isLgl/>
      <w:lvlText w:val="%1.%2.%3.%4.%5.%6.%7."/>
      <w:lvlJc w:val="left"/>
      <w:pPr>
        <w:ind w:left="795" w:hanging="1800"/>
      </w:pPr>
      <w:rPr>
        <w:rFonts w:hint="default"/>
      </w:rPr>
    </w:lvl>
    <w:lvl w:ilvl="7">
      <w:start w:val="1"/>
      <w:numFmt w:val="decimal"/>
      <w:isLgl/>
      <w:lvlText w:val="%1.%2.%3.%4.%5.%6.%7.%8."/>
      <w:lvlJc w:val="left"/>
      <w:pPr>
        <w:ind w:left="795" w:hanging="1800"/>
      </w:pPr>
      <w:rPr>
        <w:rFonts w:hint="default"/>
      </w:rPr>
    </w:lvl>
    <w:lvl w:ilvl="8">
      <w:start w:val="1"/>
      <w:numFmt w:val="decimal"/>
      <w:isLgl/>
      <w:lvlText w:val="%1.%2.%3.%4.%5.%6.%7.%8.%9."/>
      <w:lvlJc w:val="left"/>
      <w:pPr>
        <w:ind w:left="1155" w:hanging="2160"/>
      </w:pPr>
      <w:rPr>
        <w:rFonts w:hint="default"/>
      </w:rPr>
    </w:lvl>
  </w:abstractNum>
  <w:abstractNum w:abstractNumId="4" w15:restartNumberingAfterBreak="0">
    <w:nsid w:val="1F717565"/>
    <w:multiLevelType w:val="hybridMultilevel"/>
    <w:tmpl w:val="B456FEC0"/>
    <w:lvl w:ilvl="0" w:tplc="B268C89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17F8D"/>
    <w:multiLevelType w:val="hybridMultilevel"/>
    <w:tmpl w:val="91504FB6"/>
    <w:lvl w:ilvl="0" w:tplc="FE14F02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0C2BF7"/>
    <w:multiLevelType w:val="hybridMultilevel"/>
    <w:tmpl w:val="C8D08048"/>
    <w:lvl w:ilvl="0" w:tplc="E432E488">
      <w:start w:val="1"/>
      <w:numFmt w:val="bullet"/>
      <w:lvlText w:val="-"/>
      <w:lvlJc w:val="left"/>
      <w:pPr>
        <w:ind w:left="720" w:hanging="360"/>
      </w:pPr>
      <w:rPr>
        <w:rFonts w:ascii="Calibri" w:hAnsi="Calibri" w:hint="default"/>
      </w:rPr>
    </w:lvl>
    <w:lvl w:ilvl="1" w:tplc="D3760A24">
      <w:start w:val="1"/>
      <w:numFmt w:val="bullet"/>
      <w:lvlText w:val="o"/>
      <w:lvlJc w:val="left"/>
      <w:pPr>
        <w:ind w:left="1440" w:hanging="360"/>
      </w:pPr>
      <w:rPr>
        <w:rFonts w:ascii="Courier New" w:hAnsi="Courier New" w:hint="default"/>
      </w:rPr>
    </w:lvl>
    <w:lvl w:ilvl="2" w:tplc="4B1498DE">
      <w:start w:val="1"/>
      <w:numFmt w:val="bullet"/>
      <w:lvlText w:val=""/>
      <w:lvlJc w:val="left"/>
      <w:pPr>
        <w:ind w:left="2160" w:hanging="360"/>
      </w:pPr>
      <w:rPr>
        <w:rFonts w:ascii="Wingdings" w:hAnsi="Wingdings" w:hint="default"/>
      </w:rPr>
    </w:lvl>
    <w:lvl w:ilvl="3" w:tplc="F5926596">
      <w:start w:val="1"/>
      <w:numFmt w:val="bullet"/>
      <w:lvlText w:val=""/>
      <w:lvlJc w:val="left"/>
      <w:pPr>
        <w:ind w:left="2880" w:hanging="360"/>
      </w:pPr>
      <w:rPr>
        <w:rFonts w:ascii="Symbol" w:hAnsi="Symbol" w:hint="default"/>
      </w:rPr>
    </w:lvl>
    <w:lvl w:ilvl="4" w:tplc="9F8E87DA">
      <w:start w:val="1"/>
      <w:numFmt w:val="bullet"/>
      <w:lvlText w:val="o"/>
      <w:lvlJc w:val="left"/>
      <w:pPr>
        <w:ind w:left="3600" w:hanging="360"/>
      </w:pPr>
      <w:rPr>
        <w:rFonts w:ascii="Courier New" w:hAnsi="Courier New" w:hint="default"/>
      </w:rPr>
    </w:lvl>
    <w:lvl w:ilvl="5" w:tplc="43FCAAB4">
      <w:start w:val="1"/>
      <w:numFmt w:val="bullet"/>
      <w:lvlText w:val=""/>
      <w:lvlJc w:val="left"/>
      <w:pPr>
        <w:ind w:left="4320" w:hanging="360"/>
      </w:pPr>
      <w:rPr>
        <w:rFonts w:ascii="Wingdings" w:hAnsi="Wingdings" w:hint="default"/>
      </w:rPr>
    </w:lvl>
    <w:lvl w:ilvl="6" w:tplc="2C38EC42">
      <w:start w:val="1"/>
      <w:numFmt w:val="bullet"/>
      <w:lvlText w:val=""/>
      <w:lvlJc w:val="left"/>
      <w:pPr>
        <w:ind w:left="5040" w:hanging="360"/>
      </w:pPr>
      <w:rPr>
        <w:rFonts w:ascii="Symbol" w:hAnsi="Symbol" w:hint="default"/>
      </w:rPr>
    </w:lvl>
    <w:lvl w:ilvl="7" w:tplc="65F61E1E">
      <w:start w:val="1"/>
      <w:numFmt w:val="bullet"/>
      <w:lvlText w:val="o"/>
      <w:lvlJc w:val="left"/>
      <w:pPr>
        <w:ind w:left="5760" w:hanging="360"/>
      </w:pPr>
      <w:rPr>
        <w:rFonts w:ascii="Courier New" w:hAnsi="Courier New" w:hint="default"/>
      </w:rPr>
    </w:lvl>
    <w:lvl w:ilvl="8" w:tplc="A9A0F428">
      <w:start w:val="1"/>
      <w:numFmt w:val="bullet"/>
      <w:lvlText w:val=""/>
      <w:lvlJc w:val="left"/>
      <w:pPr>
        <w:ind w:left="6480" w:hanging="360"/>
      </w:pPr>
      <w:rPr>
        <w:rFonts w:ascii="Wingdings" w:hAnsi="Wingdings" w:hint="default"/>
      </w:rPr>
    </w:lvl>
  </w:abstractNum>
  <w:abstractNum w:abstractNumId="7" w15:restartNumberingAfterBreak="0">
    <w:nsid w:val="265C614C"/>
    <w:multiLevelType w:val="hybridMultilevel"/>
    <w:tmpl w:val="BCF6DE20"/>
    <w:lvl w:ilvl="0" w:tplc="0FB2775C">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D277E"/>
    <w:multiLevelType w:val="hybridMultilevel"/>
    <w:tmpl w:val="EC1A36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51022C"/>
    <w:multiLevelType w:val="hybridMultilevel"/>
    <w:tmpl w:val="91504FB6"/>
    <w:lvl w:ilvl="0" w:tplc="FE14F02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980264"/>
    <w:multiLevelType w:val="hybridMultilevel"/>
    <w:tmpl w:val="AFC81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E786F"/>
    <w:multiLevelType w:val="hybridMultilevel"/>
    <w:tmpl w:val="2C0E9238"/>
    <w:lvl w:ilvl="0" w:tplc="ECAACAE4">
      <w:start w:val="1"/>
      <w:numFmt w:val="decimal"/>
      <w:lvlText w:val="%1."/>
      <w:lvlJc w:val="left"/>
      <w:pPr>
        <w:ind w:left="720" w:hanging="360"/>
      </w:pPr>
    </w:lvl>
    <w:lvl w:ilvl="1" w:tplc="0F98A0C2">
      <w:start w:val="1"/>
      <w:numFmt w:val="lowerLetter"/>
      <w:lvlText w:val="%2."/>
      <w:lvlJc w:val="left"/>
      <w:pPr>
        <w:ind w:left="1440" w:hanging="360"/>
      </w:pPr>
    </w:lvl>
    <w:lvl w:ilvl="2" w:tplc="E1DEB19A">
      <w:start w:val="1"/>
      <w:numFmt w:val="lowerRoman"/>
      <w:lvlText w:val="%3."/>
      <w:lvlJc w:val="right"/>
      <w:pPr>
        <w:ind w:left="2160" w:hanging="180"/>
      </w:pPr>
    </w:lvl>
    <w:lvl w:ilvl="3" w:tplc="D3FC1526">
      <w:start w:val="1"/>
      <w:numFmt w:val="decimal"/>
      <w:lvlText w:val="%4."/>
      <w:lvlJc w:val="left"/>
      <w:pPr>
        <w:ind w:left="2880" w:hanging="360"/>
      </w:pPr>
    </w:lvl>
    <w:lvl w:ilvl="4" w:tplc="C0CCF68C">
      <w:start w:val="1"/>
      <w:numFmt w:val="lowerLetter"/>
      <w:lvlText w:val="%5."/>
      <w:lvlJc w:val="left"/>
      <w:pPr>
        <w:ind w:left="3600" w:hanging="360"/>
      </w:pPr>
    </w:lvl>
    <w:lvl w:ilvl="5" w:tplc="0A7EDE78">
      <w:start w:val="1"/>
      <w:numFmt w:val="lowerRoman"/>
      <w:lvlText w:val="%6."/>
      <w:lvlJc w:val="right"/>
      <w:pPr>
        <w:ind w:left="4320" w:hanging="180"/>
      </w:pPr>
    </w:lvl>
    <w:lvl w:ilvl="6" w:tplc="3F680C4E">
      <w:start w:val="1"/>
      <w:numFmt w:val="decimal"/>
      <w:lvlText w:val="%7."/>
      <w:lvlJc w:val="left"/>
      <w:pPr>
        <w:ind w:left="5040" w:hanging="360"/>
      </w:pPr>
    </w:lvl>
    <w:lvl w:ilvl="7" w:tplc="463274D4">
      <w:start w:val="1"/>
      <w:numFmt w:val="lowerLetter"/>
      <w:lvlText w:val="%8."/>
      <w:lvlJc w:val="left"/>
      <w:pPr>
        <w:ind w:left="5760" w:hanging="360"/>
      </w:pPr>
    </w:lvl>
    <w:lvl w:ilvl="8" w:tplc="7964752E">
      <w:start w:val="1"/>
      <w:numFmt w:val="lowerRoman"/>
      <w:lvlText w:val="%9."/>
      <w:lvlJc w:val="right"/>
      <w:pPr>
        <w:ind w:left="6480" w:hanging="180"/>
      </w:pPr>
    </w:lvl>
  </w:abstractNum>
  <w:abstractNum w:abstractNumId="12" w15:restartNumberingAfterBreak="0">
    <w:nsid w:val="446D3A84"/>
    <w:multiLevelType w:val="hybridMultilevel"/>
    <w:tmpl w:val="547A66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D4CDB"/>
    <w:multiLevelType w:val="hybridMultilevel"/>
    <w:tmpl w:val="51023D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E77771"/>
    <w:multiLevelType w:val="hybridMultilevel"/>
    <w:tmpl w:val="3A82F08E"/>
    <w:lvl w:ilvl="0" w:tplc="548AC1E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02488F"/>
    <w:multiLevelType w:val="hybridMultilevel"/>
    <w:tmpl w:val="A380E040"/>
    <w:lvl w:ilvl="0" w:tplc="92E834E6">
      <w:start w:val="1"/>
      <w:numFmt w:val="decimal"/>
      <w:lvlText w:val="%1."/>
      <w:lvlJc w:val="left"/>
      <w:pPr>
        <w:ind w:left="720" w:hanging="360"/>
      </w:pPr>
    </w:lvl>
    <w:lvl w:ilvl="1" w:tplc="E2DCC328">
      <w:start w:val="1"/>
      <w:numFmt w:val="lowerLetter"/>
      <w:lvlText w:val="%2."/>
      <w:lvlJc w:val="left"/>
      <w:pPr>
        <w:ind w:left="1440" w:hanging="360"/>
      </w:pPr>
    </w:lvl>
    <w:lvl w:ilvl="2" w:tplc="8FC63344">
      <w:start w:val="1"/>
      <w:numFmt w:val="lowerRoman"/>
      <w:lvlText w:val="%3."/>
      <w:lvlJc w:val="right"/>
      <w:pPr>
        <w:ind w:left="2160" w:hanging="180"/>
      </w:pPr>
    </w:lvl>
    <w:lvl w:ilvl="3" w:tplc="14CA04F0">
      <w:start w:val="1"/>
      <w:numFmt w:val="decimal"/>
      <w:lvlText w:val="%4."/>
      <w:lvlJc w:val="left"/>
      <w:pPr>
        <w:ind w:left="2880" w:hanging="360"/>
      </w:pPr>
    </w:lvl>
    <w:lvl w:ilvl="4" w:tplc="CE1228AA">
      <w:start w:val="1"/>
      <w:numFmt w:val="lowerLetter"/>
      <w:lvlText w:val="%5."/>
      <w:lvlJc w:val="left"/>
      <w:pPr>
        <w:ind w:left="3600" w:hanging="360"/>
      </w:pPr>
    </w:lvl>
    <w:lvl w:ilvl="5" w:tplc="76F65ED8">
      <w:start w:val="1"/>
      <w:numFmt w:val="lowerRoman"/>
      <w:lvlText w:val="%6."/>
      <w:lvlJc w:val="right"/>
      <w:pPr>
        <w:ind w:left="4320" w:hanging="180"/>
      </w:pPr>
    </w:lvl>
    <w:lvl w:ilvl="6" w:tplc="ED72B3D4">
      <w:start w:val="1"/>
      <w:numFmt w:val="decimal"/>
      <w:lvlText w:val="%7."/>
      <w:lvlJc w:val="left"/>
      <w:pPr>
        <w:ind w:left="5040" w:hanging="360"/>
      </w:pPr>
    </w:lvl>
    <w:lvl w:ilvl="7" w:tplc="63B48F16">
      <w:start w:val="1"/>
      <w:numFmt w:val="lowerLetter"/>
      <w:lvlText w:val="%8."/>
      <w:lvlJc w:val="left"/>
      <w:pPr>
        <w:ind w:left="5760" w:hanging="360"/>
      </w:pPr>
    </w:lvl>
    <w:lvl w:ilvl="8" w:tplc="A34E82EE">
      <w:start w:val="1"/>
      <w:numFmt w:val="lowerRoman"/>
      <w:lvlText w:val="%9."/>
      <w:lvlJc w:val="right"/>
      <w:pPr>
        <w:ind w:left="6480" w:hanging="180"/>
      </w:pPr>
    </w:lvl>
  </w:abstractNum>
  <w:abstractNum w:abstractNumId="19" w15:restartNumberingAfterBreak="0">
    <w:nsid w:val="7CA8080A"/>
    <w:multiLevelType w:val="multilevel"/>
    <w:tmpl w:val="B8BC792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7D10278F"/>
    <w:multiLevelType w:val="hybridMultilevel"/>
    <w:tmpl w:val="DB46BDCE"/>
    <w:lvl w:ilvl="0" w:tplc="CF36F56E">
      <w:start w:val="1"/>
      <w:numFmt w:val="bullet"/>
      <w:lvlText w:val=""/>
      <w:lvlJc w:val="left"/>
      <w:pPr>
        <w:tabs>
          <w:tab w:val="num" w:pos="720"/>
        </w:tabs>
        <w:ind w:left="720" w:hanging="360"/>
      </w:pPr>
      <w:rPr>
        <w:rFonts w:ascii="Symbol" w:hAnsi="Symbol" w:hint="default"/>
        <w:sz w:val="20"/>
      </w:rPr>
    </w:lvl>
    <w:lvl w:ilvl="1" w:tplc="3BE4F77E" w:tentative="1">
      <w:start w:val="1"/>
      <w:numFmt w:val="bullet"/>
      <w:lvlText w:val="o"/>
      <w:lvlJc w:val="left"/>
      <w:pPr>
        <w:tabs>
          <w:tab w:val="num" w:pos="1440"/>
        </w:tabs>
        <w:ind w:left="1440" w:hanging="360"/>
      </w:pPr>
      <w:rPr>
        <w:rFonts w:ascii="Courier New" w:hAnsi="Courier New" w:hint="default"/>
        <w:sz w:val="20"/>
      </w:rPr>
    </w:lvl>
    <w:lvl w:ilvl="2" w:tplc="3D9874B6" w:tentative="1">
      <w:start w:val="1"/>
      <w:numFmt w:val="bullet"/>
      <w:lvlText w:val=""/>
      <w:lvlJc w:val="left"/>
      <w:pPr>
        <w:tabs>
          <w:tab w:val="num" w:pos="2160"/>
        </w:tabs>
        <w:ind w:left="2160" w:hanging="360"/>
      </w:pPr>
      <w:rPr>
        <w:rFonts w:ascii="Wingdings" w:hAnsi="Wingdings" w:hint="default"/>
        <w:sz w:val="20"/>
      </w:rPr>
    </w:lvl>
    <w:lvl w:ilvl="3" w:tplc="D06C39BA" w:tentative="1">
      <w:start w:val="1"/>
      <w:numFmt w:val="bullet"/>
      <w:lvlText w:val=""/>
      <w:lvlJc w:val="left"/>
      <w:pPr>
        <w:tabs>
          <w:tab w:val="num" w:pos="2880"/>
        </w:tabs>
        <w:ind w:left="2880" w:hanging="360"/>
      </w:pPr>
      <w:rPr>
        <w:rFonts w:ascii="Wingdings" w:hAnsi="Wingdings" w:hint="default"/>
        <w:sz w:val="20"/>
      </w:rPr>
    </w:lvl>
    <w:lvl w:ilvl="4" w:tplc="E250BDC6" w:tentative="1">
      <w:start w:val="1"/>
      <w:numFmt w:val="bullet"/>
      <w:lvlText w:val=""/>
      <w:lvlJc w:val="left"/>
      <w:pPr>
        <w:tabs>
          <w:tab w:val="num" w:pos="3600"/>
        </w:tabs>
        <w:ind w:left="3600" w:hanging="360"/>
      </w:pPr>
      <w:rPr>
        <w:rFonts w:ascii="Wingdings" w:hAnsi="Wingdings" w:hint="default"/>
        <w:sz w:val="20"/>
      </w:rPr>
    </w:lvl>
    <w:lvl w:ilvl="5" w:tplc="0538AE06" w:tentative="1">
      <w:start w:val="1"/>
      <w:numFmt w:val="bullet"/>
      <w:lvlText w:val=""/>
      <w:lvlJc w:val="left"/>
      <w:pPr>
        <w:tabs>
          <w:tab w:val="num" w:pos="4320"/>
        </w:tabs>
        <w:ind w:left="4320" w:hanging="360"/>
      </w:pPr>
      <w:rPr>
        <w:rFonts w:ascii="Wingdings" w:hAnsi="Wingdings" w:hint="default"/>
        <w:sz w:val="20"/>
      </w:rPr>
    </w:lvl>
    <w:lvl w:ilvl="6" w:tplc="C90ED186" w:tentative="1">
      <w:start w:val="1"/>
      <w:numFmt w:val="bullet"/>
      <w:lvlText w:val=""/>
      <w:lvlJc w:val="left"/>
      <w:pPr>
        <w:tabs>
          <w:tab w:val="num" w:pos="5040"/>
        </w:tabs>
        <w:ind w:left="5040" w:hanging="360"/>
      </w:pPr>
      <w:rPr>
        <w:rFonts w:ascii="Wingdings" w:hAnsi="Wingdings" w:hint="default"/>
        <w:sz w:val="20"/>
      </w:rPr>
    </w:lvl>
    <w:lvl w:ilvl="7" w:tplc="9D88FB1A" w:tentative="1">
      <w:start w:val="1"/>
      <w:numFmt w:val="bullet"/>
      <w:lvlText w:val=""/>
      <w:lvlJc w:val="left"/>
      <w:pPr>
        <w:tabs>
          <w:tab w:val="num" w:pos="5760"/>
        </w:tabs>
        <w:ind w:left="5760" w:hanging="360"/>
      </w:pPr>
      <w:rPr>
        <w:rFonts w:ascii="Wingdings" w:hAnsi="Wingdings" w:hint="default"/>
        <w:sz w:val="20"/>
      </w:rPr>
    </w:lvl>
    <w:lvl w:ilvl="8" w:tplc="D7742A4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AF4067"/>
    <w:multiLevelType w:val="multilevel"/>
    <w:tmpl w:val="20AE1070"/>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num w:numId="1">
    <w:abstractNumId w:val="11"/>
  </w:num>
  <w:num w:numId="2">
    <w:abstractNumId w:val="0"/>
  </w:num>
  <w:num w:numId="3">
    <w:abstractNumId w:val="18"/>
  </w:num>
  <w:num w:numId="4">
    <w:abstractNumId w:val="6"/>
  </w:num>
  <w:num w:numId="5">
    <w:abstractNumId w:val="20"/>
  </w:num>
  <w:num w:numId="6">
    <w:abstractNumId w:val="19"/>
  </w:num>
  <w:num w:numId="7">
    <w:abstractNumId w:val="16"/>
  </w:num>
  <w:num w:numId="8">
    <w:abstractNumId w:val="15"/>
  </w:num>
  <w:num w:numId="9">
    <w:abstractNumId w:val="14"/>
  </w:num>
  <w:num w:numId="10">
    <w:abstractNumId w:val="1"/>
  </w:num>
  <w:num w:numId="11">
    <w:abstractNumId w:val="8"/>
  </w:num>
  <w:num w:numId="12">
    <w:abstractNumId w:val="2"/>
  </w:num>
  <w:num w:numId="13">
    <w:abstractNumId w:val="21"/>
  </w:num>
  <w:num w:numId="14">
    <w:abstractNumId w:val="5"/>
  </w:num>
  <w:num w:numId="15">
    <w:abstractNumId w:val="9"/>
  </w:num>
  <w:num w:numId="16">
    <w:abstractNumId w:val="3"/>
  </w:num>
  <w:num w:numId="17">
    <w:abstractNumId w:val="13"/>
  </w:num>
  <w:num w:numId="18">
    <w:abstractNumId w:val="7"/>
  </w:num>
  <w:num w:numId="19">
    <w:abstractNumId w:val="17"/>
  </w:num>
  <w:num w:numId="20">
    <w:abstractNumId w:val="4"/>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12E"/>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51BF"/>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67EA6"/>
    <w:rsid w:val="00072628"/>
    <w:rsid w:val="000728ED"/>
    <w:rsid w:val="000733F5"/>
    <w:rsid w:val="000733FF"/>
    <w:rsid w:val="0007577A"/>
    <w:rsid w:val="000775D0"/>
    <w:rsid w:val="0007765D"/>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1F8"/>
    <w:rsid w:val="000C7907"/>
    <w:rsid w:val="000C7A11"/>
    <w:rsid w:val="000C7F5E"/>
    <w:rsid w:val="000D00AC"/>
    <w:rsid w:val="000D0AED"/>
    <w:rsid w:val="000D3602"/>
    <w:rsid w:val="000D46DB"/>
    <w:rsid w:val="000D4D89"/>
    <w:rsid w:val="000D6BBD"/>
    <w:rsid w:val="000D7751"/>
    <w:rsid w:val="000D7C23"/>
    <w:rsid w:val="000E0A16"/>
    <w:rsid w:val="000E1BFA"/>
    <w:rsid w:val="000E2142"/>
    <w:rsid w:val="000E21D0"/>
    <w:rsid w:val="000E2A38"/>
    <w:rsid w:val="000E2ACC"/>
    <w:rsid w:val="000E3D71"/>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68C"/>
    <w:rsid w:val="000F57C3"/>
    <w:rsid w:val="000F5C37"/>
    <w:rsid w:val="000F5DF0"/>
    <w:rsid w:val="000F6A0B"/>
    <w:rsid w:val="000F7695"/>
    <w:rsid w:val="001012E3"/>
    <w:rsid w:val="001017A1"/>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2CDE"/>
    <w:rsid w:val="001255E6"/>
    <w:rsid w:val="0013053A"/>
    <w:rsid w:val="0013066A"/>
    <w:rsid w:val="00130AC7"/>
    <w:rsid w:val="001315EF"/>
    <w:rsid w:val="00131F39"/>
    <w:rsid w:val="00132375"/>
    <w:rsid w:val="00132E73"/>
    <w:rsid w:val="00133505"/>
    <w:rsid w:val="00134188"/>
    <w:rsid w:val="00136151"/>
    <w:rsid w:val="00137403"/>
    <w:rsid w:val="00137A10"/>
    <w:rsid w:val="00140706"/>
    <w:rsid w:val="0014122A"/>
    <w:rsid w:val="00141E85"/>
    <w:rsid w:val="0014319C"/>
    <w:rsid w:val="001436B3"/>
    <w:rsid w:val="00143976"/>
    <w:rsid w:val="00143DAC"/>
    <w:rsid w:val="00144622"/>
    <w:rsid w:val="00144781"/>
    <w:rsid w:val="00144917"/>
    <w:rsid w:val="0014702D"/>
    <w:rsid w:val="00147596"/>
    <w:rsid w:val="001517FB"/>
    <w:rsid w:val="001522DB"/>
    <w:rsid w:val="00152718"/>
    <w:rsid w:val="001530CF"/>
    <w:rsid w:val="00153F12"/>
    <w:rsid w:val="001543DB"/>
    <w:rsid w:val="00155473"/>
    <w:rsid w:val="00155DC2"/>
    <w:rsid w:val="00156D90"/>
    <w:rsid w:val="00156E9F"/>
    <w:rsid w:val="0015715F"/>
    <w:rsid w:val="00157A57"/>
    <w:rsid w:val="00157DB6"/>
    <w:rsid w:val="00157EC2"/>
    <w:rsid w:val="00160240"/>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A53"/>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0F38"/>
    <w:rsid w:val="001926F2"/>
    <w:rsid w:val="001929EE"/>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649"/>
    <w:rsid w:val="00204D0F"/>
    <w:rsid w:val="00204DB6"/>
    <w:rsid w:val="002056ED"/>
    <w:rsid w:val="00205C3A"/>
    <w:rsid w:val="00210E42"/>
    <w:rsid w:val="00211793"/>
    <w:rsid w:val="00211C11"/>
    <w:rsid w:val="00211F99"/>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6C4B"/>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08"/>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9DD"/>
    <w:rsid w:val="00272B99"/>
    <w:rsid w:val="0027380D"/>
    <w:rsid w:val="002738D3"/>
    <w:rsid w:val="0027468E"/>
    <w:rsid w:val="00274826"/>
    <w:rsid w:val="00275005"/>
    <w:rsid w:val="002752AB"/>
    <w:rsid w:val="002756D6"/>
    <w:rsid w:val="0027573C"/>
    <w:rsid w:val="002815D0"/>
    <w:rsid w:val="00281FED"/>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6BB"/>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E79A3"/>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18D4"/>
    <w:rsid w:val="003333D4"/>
    <w:rsid w:val="00334951"/>
    <w:rsid w:val="00336411"/>
    <w:rsid w:val="0033678D"/>
    <w:rsid w:val="0033720D"/>
    <w:rsid w:val="003373E8"/>
    <w:rsid w:val="00341D06"/>
    <w:rsid w:val="003443DD"/>
    <w:rsid w:val="00344D5A"/>
    <w:rsid w:val="00346EB6"/>
    <w:rsid w:val="00347EDB"/>
    <w:rsid w:val="00350797"/>
    <w:rsid w:val="00350824"/>
    <w:rsid w:val="00351A85"/>
    <w:rsid w:val="003522E8"/>
    <w:rsid w:val="00353989"/>
    <w:rsid w:val="003552A1"/>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2DC6"/>
    <w:rsid w:val="003830B8"/>
    <w:rsid w:val="00383262"/>
    <w:rsid w:val="003A157A"/>
    <w:rsid w:val="003A283F"/>
    <w:rsid w:val="003A2A16"/>
    <w:rsid w:val="003A2FDD"/>
    <w:rsid w:val="003A3C43"/>
    <w:rsid w:val="003A5CCC"/>
    <w:rsid w:val="003A5DED"/>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0829"/>
    <w:rsid w:val="003E1235"/>
    <w:rsid w:val="003E1606"/>
    <w:rsid w:val="003E2A35"/>
    <w:rsid w:val="003E2B56"/>
    <w:rsid w:val="003E2CE1"/>
    <w:rsid w:val="003E2DCB"/>
    <w:rsid w:val="003E4C3F"/>
    <w:rsid w:val="003E4D7C"/>
    <w:rsid w:val="003E5FA8"/>
    <w:rsid w:val="003E6252"/>
    <w:rsid w:val="003F1200"/>
    <w:rsid w:val="003F1421"/>
    <w:rsid w:val="003F1844"/>
    <w:rsid w:val="003F241E"/>
    <w:rsid w:val="003F28C0"/>
    <w:rsid w:val="003F2EBE"/>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17B7F"/>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91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3F8"/>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D96"/>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57F8"/>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BD3"/>
    <w:rsid w:val="00547ECC"/>
    <w:rsid w:val="00551D5A"/>
    <w:rsid w:val="00551EC3"/>
    <w:rsid w:val="00554A44"/>
    <w:rsid w:val="00554C53"/>
    <w:rsid w:val="00554F18"/>
    <w:rsid w:val="00555220"/>
    <w:rsid w:val="005555F0"/>
    <w:rsid w:val="00555739"/>
    <w:rsid w:val="00556E75"/>
    <w:rsid w:val="00556F2D"/>
    <w:rsid w:val="00560228"/>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4CC"/>
    <w:rsid w:val="005B11C2"/>
    <w:rsid w:val="005B180A"/>
    <w:rsid w:val="005B382C"/>
    <w:rsid w:val="005B3C11"/>
    <w:rsid w:val="005B40DA"/>
    <w:rsid w:val="005B4226"/>
    <w:rsid w:val="005B5AA4"/>
    <w:rsid w:val="005B64AA"/>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AED"/>
    <w:rsid w:val="005E0B59"/>
    <w:rsid w:val="005E1105"/>
    <w:rsid w:val="005E162F"/>
    <w:rsid w:val="005E2C60"/>
    <w:rsid w:val="005E31F6"/>
    <w:rsid w:val="005E3622"/>
    <w:rsid w:val="005E543E"/>
    <w:rsid w:val="005E60B3"/>
    <w:rsid w:val="005E676C"/>
    <w:rsid w:val="005E6CB9"/>
    <w:rsid w:val="005E7F14"/>
    <w:rsid w:val="005F0154"/>
    <w:rsid w:val="005F0176"/>
    <w:rsid w:val="005F021D"/>
    <w:rsid w:val="005F1403"/>
    <w:rsid w:val="005F1EAC"/>
    <w:rsid w:val="005F308F"/>
    <w:rsid w:val="005F4869"/>
    <w:rsid w:val="005F4BFD"/>
    <w:rsid w:val="005F5748"/>
    <w:rsid w:val="005F5834"/>
    <w:rsid w:val="005F5E11"/>
    <w:rsid w:val="006003E5"/>
    <w:rsid w:val="006007BF"/>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6C2"/>
    <w:rsid w:val="00623DD5"/>
    <w:rsid w:val="00624269"/>
    <w:rsid w:val="00624A34"/>
    <w:rsid w:val="0062568D"/>
    <w:rsid w:val="006256D3"/>
    <w:rsid w:val="00625E7F"/>
    <w:rsid w:val="00626015"/>
    <w:rsid w:val="00626502"/>
    <w:rsid w:val="006267F5"/>
    <w:rsid w:val="00627337"/>
    <w:rsid w:val="00630069"/>
    <w:rsid w:val="00630583"/>
    <w:rsid w:val="00630D2E"/>
    <w:rsid w:val="00630D39"/>
    <w:rsid w:val="00631E19"/>
    <w:rsid w:val="00633E76"/>
    <w:rsid w:val="00633EC9"/>
    <w:rsid w:val="006340F5"/>
    <w:rsid w:val="00634542"/>
    <w:rsid w:val="0063550C"/>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2C"/>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2D98"/>
    <w:rsid w:val="006B48EB"/>
    <w:rsid w:val="006B4C00"/>
    <w:rsid w:val="006B56FC"/>
    <w:rsid w:val="006B674E"/>
    <w:rsid w:val="006B6A40"/>
    <w:rsid w:val="006B6DDA"/>
    <w:rsid w:val="006B73D9"/>
    <w:rsid w:val="006B7DF0"/>
    <w:rsid w:val="006B7E74"/>
    <w:rsid w:val="006C0D75"/>
    <w:rsid w:val="006C1C48"/>
    <w:rsid w:val="006C3C1D"/>
    <w:rsid w:val="006C41FF"/>
    <w:rsid w:val="006C5145"/>
    <w:rsid w:val="006C65A8"/>
    <w:rsid w:val="006D05AD"/>
    <w:rsid w:val="006D0EC1"/>
    <w:rsid w:val="006D0EFB"/>
    <w:rsid w:val="006D16F8"/>
    <w:rsid w:val="006D1813"/>
    <w:rsid w:val="006D24A9"/>
    <w:rsid w:val="006D2AF3"/>
    <w:rsid w:val="006D4D79"/>
    <w:rsid w:val="006D4FBD"/>
    <w:rsid w:val="006D50E4"/>
    <w:rsid w:val="006D5879"/>
    <w:rsid w:val="006D63FD"/>
    <w:rsid w:val="006D65B4"/>
    <w:rsid w:val="006D754A"/>
    <w:rsid w:val="006D7B9C"/>
    <w:rsid w:val="006E04C6"/>
    <w:rsid w:val="006E078C"/>
    <w:rsid w:val="006E0A65"/>
    <w:rsid w:val="006E1B01"/>
    <w:rsid w:val="006E3E3D"/>
    <w:rsid w:val="006E4836"/>
    <w:rsid w:val="006E5DDD"/>
    <w:rsid w:val="006E7811"/>
    <w:rsid w:val="006F04DA"/>
    <w:rsid w:val="006F0557"/>
    <w:rsid w:val="006F0EA3"/>
    <w:rsid w:val="006F1B5D"/>
    <w:rsid w:val="006F212B"/>
    <w:rsid w:val="006F287E"/>
    <w:rsid w:val="006F37F7"/>
    <w:rsid w:val="006F4A61"/>
    <w:rsid w:val="006F4ADC"/>
    <w:rsid w:val="006F5DA4"/>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2E1E"/>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39975"/>
    <w:rsid w:val="007405DE"/>
    <w:rsid w:val="007419A7"/>
    <w:rsid w:val="00741B21"/>
    <w:rsid w:val="00741DD8"/>
    <w:rsid w:val="00741E49"/>
    <w:rsid w:val="0074250D"/>
    <w:rsid w:val="007430B9"/>
    <w:rsid w:val="007445E2"/>
    <w:rsid w:val="00745496"/>
    <w:rsid w:val="007455DC"/>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571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0E8"/>
    <w:rsid w:val="007A0415"/>
    <w:rsid w:val="007A06BA"/>
    <w:rsid w:val="007A27BD"/>
    <w:rsid w:val="007A294A"/>
    <w:rsid w:val="007A478C"/>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92F"/>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67D0"/>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B66"/>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13D"/>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68F"/>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0A2"/>
    <w:rsid w:val="008915C6"/>
    <w:rsid w:val="00891677"/>
    <w:rsid w:val="00892DB5"/>
    <w:rsid w:val="00894B61"/>
    <w:rsid w:val="00895255"/>
    <w:rsid w:val="00895DF1"/>
    <w:rsid w:val="00896645"/>
    <w:rsid w:val="00896E71"/>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320"/>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A48"/>
    <w:rsid w:val="0091281A"/>
    <w:rsid w:val="00912B24"/>
    <w:rsid w:val="009139B5"/>
    <w:rsid w:val="00914514"/>
    <w:rsid w:val="00914549"/>
    <w:rsid w:val="00914C08"/>
    <w:rsid w:val="00914F2F"/>
    <w:rsid w:val="00916057"/>
    <w:rsid w:val="00916AD1"/>
    <w:rsid w:val="00917637"/>
    <w:rsid w:val="00917FEE"/>
    <w:rsid w:val="0092015B"/>
    <w:rsid w:val="0092023D"/>
    <w:rsid w:val="00920472"/>
    <w:rsid w:val="00921251"/>
    <w:rsid w:val="00921861"/>
    <w:rsid w:val="0092189E"/>
    <w:rsid w:val="009219FD"/>
    <w:rsid w:val="00921DF7"/>
    <w:rsid w:val="0092306C"/>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4E1"/>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2F5"/>
    <w:rsid w:val="00975EC7"/>
    <w:rsid w:val="00976D65"/>
    <w:rsid w:val="00977CE6"/>
    <w:rsid w:val="009807AC"/>
    <w:rsid w:val="00980C18"/>
    <w:rsid w:val="009810E9"/>
    <w:rsid w:val="0098141C"/>
    <w:rsid w:val="00981AA9"/>
    <w:rsid w:val="00981C91"/>
    <w:rsid w:val="00983132"/>
    <w:rsid w:val="00983314"/>
    <w:rsid w:val="00983DF2"/>
    <w:rsid w:val="0098433A"/>
    <w:rsid w:val="00984CBB"/>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2180"/>
    <w:rsid w:val="009D38C2"/>
    <w:rsid w:val="009D417F"/>
    <w:rsid w:val="009D45E5"/>
    <w:rsid w:val="009D4B85"/>
    <w:rsid w:val="009D535B"/>
    <w:rsid w:val="009D630B"/>
    <w:rsid w:val="009D6CAA"/>
    <w:rsid w:val="009D6CF6"/>
    <w:rsid w:val="009D6E69"/>
    <w:rsid w:val="009E02DC"/>
    <w:rsid w:val="009E2040"/>
    <w:rsid w:val="009E49AE"/>
    <w:rsid w:val="009E4DC7"/>
    <w:rsid w:val="009E53C7"/>
    <w:rsid w:val="009E660A"/>
    <w:rsid w:val="009E6B64"/>
    <w:rsid w:val="009E72E5"/>
    <w:rsid w:val="009F26D6"/>
    <w:rsid w:val="009F34E5"/>
    <w:rsid w:val="009F46C8"/>
    <w:rsid w:val="009F4F2A"/>
    <w:rsid w:val="009F660B"/>
    <w:rsid w:val="009F671E"/>
    <w:rsid w:val="009F7ED1"/>
    <w:rsid w:val="00A0149B"/>
    <w:rsid w:val="00A01607"/>
    <w:rsid w:val="00A018D4"/>
    <w:rsid w:val="00A02F9D"/>
    <w:rsid w:val="00A03767"/>
    <w:rsid w:val="00A04495"/>
    <w:rsid w:val="00A04834"/>
    <w:rsid w:val="00A05628"/>
    <w:rsid w:val="00A07DCF"/>
    <w:rsid w:val="00A12979"/>
    <w:rsid w:val="00A131A9"/>
    <w:rsid w:val="00A1496E"/>
    <w:rsid w:val="00A14F84"/>
    <w:rsid w:val="00A16D6D"/>
    <w:rsid w:val="00A17C75"/>
    <w:rsid w:val="00A21042"/>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1C00"/>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CC6"/>
    <w:rsid w:val="00A67B0E"/>
    <w:rsid w:val="00A6AD16"/>
    <w:rsid w:val="00A70FB9"/>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C1B"/>
    <w:rsid w:val="00A92DD4"/>
    <w:rsid w:val="00A94D0F"/>
    <w:rsid w:val="00A94F13"/>
    <w:rsid w:val="00A9568C"/>
    <w:rsid w:val="00A95BED"/>
    <w:rsid w:val="00A95EA2"/>
    <w:rsid w:val="00A9747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62"/>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3DC7"/>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853"/>
    <w:rsid w:val="00AF1874"/>
    <w:rsid w:val="00AF1B2E"/>
    <w:rsid w:val="00AF2EC7"/>
    <w:rsid w:val="00AF3AC0"/>
    <w:rsid w:val="00AF4F4A"/>
    <w:rsid w:val="00B00C24"/>
    <w:rsid w:val="00B00F93"/>
    <w:rsid w:val="00B01BBE"/>
    <w:rsid w:val="00B03107"/>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1FA9"/>
    <w:rsid w:val="00B2202B"/>
    <w:rsid w:val="00B23422"/>
    <w:rsid w:val="00B24948"/>
    <w:rsid w:val="00B24CBD"/>
    <w:rsid w:val="00B25CA3"/>
    <w:rsid w:val="00B30028"/>
    <w:rsid w:val="00B31E8D"/>
    <w:rsid w:val="00B321B2"/>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54AA"/>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501C"/>
    <w:rsid w:val="00B765A0"/>
    <w:rsid w:val="00B76C02"/>
    <w:rsid w:val="00B77BD2"/>
    <w:rsid w:val="00B814CB"/>
    <w:rsid w:val="00B81B6A"/>
    <w:rsid w:val="00B820F4"/>
    <w:rsid w:val="00B835E0"/>
    <w:rsid w:val="00B8396D"/>
    <w:rsid w:val="00B90331"/>
    <w:rsid w:val="00B903ED"/>
    <w:rsid w:val="00B90B2D"/>
    <w:rsid w:val="00B935A1"/>
    <w:rsid w:val="00B93E39"/>
    <w:rsid w:val="00B95DAD"/>
    <w:rsid w:val="00B96C0C"/>
    <w:rsid w:val="00B9734D"/>
    <w:rsid w:val="00B97732"/>
    <w:rsid w:val="00BA27F4"/>
    <w:rsid w:val="00BA2E40"/>
    <w:rsid w:val="00BA3428"/>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35B"/>
    <w:rsid w:val="00BC3C7A"/>
    <w:rsid w:val="00BC708B"/>
    <w:rsid w:val="00BC7DC6"/>
    <w:rsid w:val="00BD1039"/>
    <w:rsid w:val="00BD13B5"/>
    <w:rsid w:val="00BD2EFC"/>
    <w:rsid w:val="00BD340E"/>
    <w:rsid w:val="00BD60AD"/>
    <w:rsid w:val="00BD674E"/>
    <w:rsid w:val="00BD6C02"/>
    <w:rsid w:val="00BD7967"/>
    <w:rsid w:val="00BE1244"/>
    <w:rsid w:val="00BE165D"/>
    <w:rsid w:val="00BE2394"/>
    <w:rsid w:val="00BE2702"/>
    <w:rsid w:val="00BE4326"/>
    <w:rsid w:val="00BE5F4F"/>
    <w:rsid w:val="00BE60DB"/>
    <w:rsid w:val="00BEF3F0"/>
    <w:rsid w:val="00BF0191"/>
    <w:rsid w:val="00BF13EC"/>
    <w:rsid w:val="00BF1C07"/>
    <w:rsid w:val="00BF1D1F"/>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886"/>
    <w:rsid w:val="00C51C1F"/>
    <w:rsid w:val="00C52433"/>
    <w:rsid w:val="00C52D62"/>
    <w:rsid w:val="00C52EF3"/>
    <w:rsid w:val="00C533D4"/>
    <w:rsid w:val="00C53A4C"/>
    <w:rsid w:val="00C5448D"/>
    <w:rsid w:val="00C5477F"/>
    <w:rsid w:val="00C547B7"/>
    <w:rsid w:val="00C5503B"/>
    <w:rsid w:val="00C55A32"/>
    <w:rsid w:val="00C564F2"/>
    <w:rsid w:val="00C56F11"/>
    <w:rsid w:val="00C57E16"/>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2D09"/>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084"/>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090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617"/>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53"/>
    <w:rsid w:val="00D83F9E"/>
    <w:rsid w:val="00D840C2"/>
    <w:rsid w:val="00D84562"/>
    <w:rsid w:val="00D85C16"/>
    <w:rsid w:val="00D86169"/>
    <w:rsid w:val="00D8732E"/>
    <w:rsid w:val="00D91294"/>
    <w:rsid w:val="00D9186A"/>
    <w:rsid w:val="00D92D47"/>
    <w:rsid w:val="00D94213"/>
    <w:rsid w:val="00D94BEB"/>
    <w:rsid w:val="00D94EA5"/>
    <w:rsid w:val="00D95F32"/>
    <w:rsid w:val="00D96D9D"/>
    <w:rsid w:val="00DA024A"/>
    <w:rsid w:val="00DA07EE"/>
    <w:rsid w:val="00DA0A58"/>
    <w:rsid w:val="00DA1C85"/>
    <w:rsid w:val="00DA1CC9"/>
    <w:rsid w:val="00DA2E58"/>
    <w:rsid w:val="00DA328E"/>
    <w:rsid w:val="00DA3AA6"/>
    <w:rsid w:val="00DA46C1"/>
    <w:rsid w:val="00DA5F8A"/>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38AD"/>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818"/>
    <w:rsid w:val="00DD60D0"/>
    <w:rsid w:val="00DD6200"/>
    <w:rsid w:val="00DD686C"/>
    <w:rsid w:val="00DD6E86"/>
    <w:rsid w:val="00DE0E5D"/>
    <w:rsid w:val="00DE1BC4"/>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C489"/>
    <w:rsid w:val="00E0044E"/>
    <w:rsid w:val="00E00816"/>
    <w:rsid w:val="00E0239F"/>
    <w:rsid w:val="00E0267B"/>
    <w:rsid w:val="00E04441"/>
    <w:rsid w:val="00E044A0"/>
    <w:rsid w:val="00E04EE5"/>
    <w:rsid w:val="00E05F03"/>
    <w:rsid w:val="00E06370"/>
    <w:rsid w:val="00E06B7B"/>
    <w:rsid w:val="00E06E20"/>
    <w:rsid w:val="00E07DD9"/>
    <w:rsid w:val="00E102F8"/>
    <w:rsid w:val="00E11BD3"/>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4F"/>
    <w:rsid w:val="00E4597F"/>
    <w:rsid w:val="00E46CB7"/>
    <w:rsid w:val="00E4723D"/>
    <w:rsid w:val="00E5077C"/>
    <w:rsid w:val="00E50EC8"/>
    <w:rsid w:val="00E510F7"/>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9C3"/>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A7D"/>
    <w:rsid w:val="00EA4F1A"/>
    <w:rsid w:val="00EA74E6"/>
    <w:rsid w:val="00EB02DE"/>
    <w:rsid w:val="00EB0A07"/>
    <w:rsid w:val="00EB1B69"/>
    <w:rsid w:val="00EB1C78"/>
    <w:rsid w:val="00EB26F4"/>
    <w:rsid w:val="00EB3B46"/>
    <w:rsid w:val="00EB4F08"/>
    <w:rsid w:val="00EC2E07"/>
    <w:rsid w:val="00EC43C7"/>
    <w:rsid w:val="00EC465D"/>
    <w:rsid w:val="00EC5C89"/>
    <w:rsid w:val="00EC66D2"/>
    <w:rsid w:val="00EC67E7"/>
    <w:rsid w:val="00ED0A1B"/>
    <w:rsid w:val="00ED21BC"/>
    <w:rsid w:val="00ED2FEC"/>
    <w:rsid w:val="00ED3F67"/>
    <w:rsid w:val="00ED440A"/>
    <w:rsid w:val="00ED7850"/>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0F6"/>
    <w:rsid w:val="00F4315F"/>
    <w:rsid w:val="00F445F6"/>
    <w:rsid w:val="00F4512F"/>
    <w:rsid w:val="00F45763"/>
    <w:rsid w:val="00F45BCF"/>
    <w:rsid w:val="00F45BEA"/>
    <w:rsid w:val="00F45CFE"/>
    <w:rsid w:val="00F46877"/>
    <w:rsid w:val="00F47F3E"/>
    <w:rsid w:val="00F523D7"/>
    <w:rsid w:val="00F530E6"/>
    <w:rsid w:val="00F532C7"/>
    <w:rsid w:val="00F53379"/>
    <w:rsid w:val="00F53652"/>
    <w:rsid w:val="00F54EE5"/>
    <w:rsid w:val="00F55358"/>
    <w:rsid w:val="00F5603C"/>
    <w:rsid w:val="00F5605C"/>
    <w:rsid w:val="00F564B9"/>
    <w:rsid w:val="00F57909"/>
    <w:rsid w:val="00F612D6"/>
    <w:rsid w:val="00F615FA"/>
    <w:rsid w:val="00F63400"/>
    <w:rsid w:val="00F636C6"/>
    <w:rsid w:val="00F6433D"/>
    <w:rsid w:val="00F6573E"/>
    <w:rsid w:val="00F662EB"/>
    <w:rsid w:val="00F67606"/>
    <w:rsid w:val="00F70327"/>
    <w:rsid w:val="00F70E7C"/>
    <w:rsid w:val="00F70FEF"/>
    <w:rsid w:val="00F72FA8"/>
    <w:rsid w:val="00F75415"/>
    <w:rsid w:val="00F75B3B"/>
    <w:rsid w:val="00F761A1"/>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87BBF"/>
    <w:rsid w:val="00F91941"/>
    <w:rsid w:val="00F92E3F"/>
    <w:rsid w:val="00F938D2"/>
    <w:rsid w:val="00F9446D"/>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10DBEFF"/>
    <w:rsid w:val="012CB1E6"/>
    <w:rsid w:val="012E6D20"/>
    <w:rsid w:val="014D22B3"/>
    <w:rsid w:val="0158F9FD"/>
    <w:rsid w:val="015C3517"/>
    <w:rsid w:val="015C5A5C"/>
    <w:rsid w:val="01721DCD"/>
    <w:rsid w:val="0180F95A"/>
    <w:rsid w:val="01819FE4"/>
    <w:rsid w:val="01947F99"/>
    <w:rsid w:val="019E88CF"/>
    <w:rsid w:val="01A78A01"/>
    <w:rsid w:val="01AC67A9"/>
    <w:rsid w:val="022F2D33"/>
    <w:rsid w:val="026CCEC7"/>
    <w:rsid w:val="0299C49C"/>
    <w:rsid w:val="02BD1C8B"/>
    <w:rsid w:val="02FC857E"/>
    <w:rsid w:val="0301F4DE"/>
    <w:rsid w:val="03032B67"/>
    <w:rsid w:val="03098007"/>
    <w:rsid w:val="0316E922"/>
    <w:rsid w:val="033A19AC"/>
    <w:rsid w:val="033C029C"/>
    <w:rsid w:val="036D7914"/>
    <w:rsid w:val="03892531"/>
    <w:rsid w:val="038CF200"/>
    <w:rsid w:val="039F8816"/>
    <w:rsid w:val="03E032CF"/>
    <w:rsid w:val="04186850"/>
    <w:rsid w:val="043AA611"/>
    <w:rsid w:val="043D761C"/>
    <w:rsid w:val="04C2061C"/>
    <w:rsid w:val="04C5FF6F"/>
    <w:rsid w:val="04C75B6F"/>
    <w:rsid w:val="04C94965"/>
    <w:rsid w:val="04C98287"/>
    <w:rsid w:val="04E0F8CC"/>
    <w:rsid w:val="04E89AB5"/>
    <w:rsid w:val="04ED4FF5"/>
    <w:rsid w:val="05068BAA"/>
    <w:rsid w:val="050FC5A3"/>
    <w:rsid w:val="053D8994"/>
    <w:rsid w:val="05463E91"/>
    <w:rsid w:val="05470A98"/>
    <w:rsid w:val="0594887A"/>
    <w:rsid w:val="05A52DCD"/>
    <w:rsid w:val="05C7EE26"/>
    <w:rsid w:val="05DAB00C"/>
    <w:rsid w:val="05DB9FAF"/>
    <w:rsid w:val="05EAFA0F"/>
    <w:rsid w:val="05EFF176"/>
    <w:rsid w:val="069B234B"/>
    <w:rsid w:val="06D755BC"/>
    <w:rsid w:val="070C8798"/>
    <w:rsid w:val="0728535F"/>
    <w:rsid w:val="0734EE15"/>
    <w:rsid w:val="074C4191"/>
    <w:rsid w:val="075602FD"/>
    <w:rsid w:val="078A29B1"/>
    <w:rsid w:val="0797D55F"/>
    <w:rsid w:val="079BF36A"/>
    <w:rsid w:val="07C2E5EE"/>
    <w:rsid w:val="07D0E36C"/>
    <w:rsid w:val="07D19B4E"/>
    <w:rsid w:val="07D7405D"/>
    <w:rsid w:val="07FDA031"/>
    <w:rsid w:val="0830E7F8"/>
    <w:rsid w:val="08574790"/>
    <w:rsid w:val="085F2F5F"/>
    <w:rsid w:val="0876482B"/>
    <w:rsid w:val="088B4A40"/>
    <w:rsid w:val="089C79AA"/>
    <w:rsid w:val="08AD9B25"/>
    <w:rsid w:val="08CCCC4F"/>
    <w:rsid w:val="08F9CBDA"/>
    <w:rsid w:val="0922F42D"/>
    <w:rsid w:val="09241B86"/>
    <w:rsid w:val="094C62D5"/>
    <w:rsid w:val="0972D797"/>
    <w:rsid w:val="09878D3C"/>
    <w:rsid w:val="098F580B"/>
    <w:rsid w:val="09997687"/>
    <w:rsid w:val="09A8682D"/>
    <w:rsid w:val="09B055B3"/>
    <w:rsid w:val="09C702EB"/>
    <w:rsid w:val="09EDEB7F"/>
    <w:rsid w:val="09F3117C"/>
    <w:rsid w:val="0A2602A6"/>
    <w:rsid w:val="0A4E7349"/>
    <w:rsid w:val="0A56003E"/>
    <w:rsid w:val="0A89A70D"/>
    <w:rsid w:val="0AADC063"/>
    <w:rsid w:val="0AC00AA0"/>
    <w:rsid w:val="0AC7A398"/>
    <w:rsid w:val="0AD3EE3B"/>
    <w:rsid w:val="0AE48EA8"/>
    <w:rsid w:val="0AEBF19E"/>
    <w:rsid w:val="0B0D3648"/>
    <w:rsid w:val="0B34C04B"/>
    <w:rsid w:val="0B44388E"/>
    <w:rsid w:val="0B7C418F"/>
    <w:rsid w:val="0BA469ED"/>
    <w:rsid w:val="0BA54AE5"/>
    <w:rsid w:val="0BE65210"/>
    <w:rsid w:val="0C07159F"/>
    <w:rsid w:val="0C104BC3"/>
    <w:rsid w:val="0C3D1016"/>
    <w:rsid w:val="0C3D4945"/>
    <w:rsid w:val="0C6CF690"/>
    <w:rsid w:val="0CBEE7B9"/>
    <w:rsid w:val="0CBFDD29"/>
    <w:rsid w:val="0CC05410"/>
    <w:rsid w:val="0CC29A8C"/>
    <w:rsid w:val="0CE0C427"/>
    <w:rsid w:val="0CE444DE"/>
    <w:rsid w:val="0CF59D7B"/>
    <w:rsid w:val="0CFDBB31"/>
    <w:rsid w:val="0D609B1E"/>
    <w:rsid w:val="0D92CA20"/>
    <w:rsid w:val="0D971BE8"/>
    <w:rsid w:val="0DA78F41"/>
    <w:rsid w:val="0DA9F2C3"/>
    <w:rsid w:val="0DBE03A6"/>
    <w:rsid w:val="0DC8EA76"/>
    <w:rsid w:val="0DD2FC70"/>
    <w:rsid w:val="0DD886D1"/>
    <w:rsid w:val="0E057F00"/>
    <w:rsid w:val="0E1BA4A1"/>
    <w:rsid w:val="0E1F613E"/>
    <w:rsid w:val="0E44C4A7"/>
    <w:rsid w:val="0E4CD258"/>
    <w:rsid w:val="0E582319"/>
    <w:rsid w:val="0E643C69"/>
    <w:rsid w:val="0EA75FF0"/>
    <w:rsid w:val="0EE45DB1"/>
    <w:rsid w:val="0EEFDE77"/>
    <w:rsid w:val="0EF3C872"/>
    <w:rsid w:val="0F0996BD"/>
    <w:rsid w:val="0F160513"/>
    <w:rsid w:val="0F1A996D"/>
    <w:rsid w:val="0F7660F1"/>
    <w:rsid w:val="0F7C61CE"/>
    <w:rsid w:val="0F87E6A3"/>
    <w:rsid w:val="0F987C38"/>
    <w:rsid w:val="0FA893D6"/>
    <w:rsid w:val="0FCAC10E"/>
    <w:rsid w:val="0FCC6BC2"/>
    <w:rsid w:val="0FE6F044"/>
    <w:rsid w:val="102FFA62"/>
    <w:rsid w:val="104C72EA"/>
    <w:rsid w:val="1069DC9D"/>
    <w:rsid w:val="10780604"/>
    <w:rsid w:val="108B29D1"/>
    <w:rsid w:val="108C2075"/>
    <w:rsid w:val="10A762C6"/>
    <w:rsid w:val="110E45C5"/>
    <w:rsid w:val="111F104F"/>
    <w:rsid w:val="11472F22"/>
    <w:rsid w:val="114FE55A"/>
    <w:rsid w:val="115465F8"/>
    <w:rsid w:val="11770113"/>
    <w:rsid w:val="117EC66D"/>
    <w:rsid w:val="119F73B1"/>
    <w:rsid w:val="11BE973C"/>
    <w:rsid w:val="11D5884E"/>
    <w:rsid w:val="11E6E9B0"/>
    <w:rsid w:val="12342CC1"/>
    <w:rsid w:val="1237DBE1"/>
    <w:rsid w:val="1243EA99"/>
    <w:rsid w:val="12523A2F"/>
    <w:rsid w:val="12588E98"/>
    <w:rsid w:val="126FF870"/>
    <w:rsid w:val="1270A500"/>
    <w:rsid w:val="127DF236"/>
    <w:rsid w:val="128A56B5"/>
    <w:rsid w:val="129B0F11"/>
    <w:rsid w:val="12BE128E"/>
    <w:rsid w:val="12BE5697"/>
    <w:rsid w:val="132930F0"/>
    <w:rsid w:val="132B943C"/>
    <w:rsid w:val="13775ABB"/>
    <w:rsid w:val="137E2604"/>
    <w:rsid w:val="1382CA9E"/>
    <w:rsid w:val="138F5593"/>
    <w:rsid w:val="13A2CD55"/>
    <w:rsid w:val="13A2D1D6"/>
    <w:rsid w:val="13B5ABE0"/>
    <w:rsid w:val="13BA33F6"/>
    <w:rsid w:val="13DB1660"/>
    <w:rsid w:val="13E9E65A"/>
    <w:rsid w:val="13EE0A90"/>
    <w:rsid w:val="13F54677"/>
    <w:rsid w:val="1406D81B"/>
    <w:rsid w:val="14374E68"/>
    <w:rsid w:val="145E4BDE"/>
    <w:rsid w:val="14AB01CB"/>
    <w:rsid w:val="14AC7A0E"/>
    <w:rsid w:val="14AE3C40"/>
    <w:rsid w:val="14B92259"/>
    <w:rsid w:val="14C19A16"/>
    <w:rsid w:val="14F3FB5D"/>
    <w:rsid w:val="150ED766"/>
    <w:rsid w:val="1525EEB9"/>
    <w:rsid w:val="1536E77B"/>
    <w:rsid w:val="154D7D91"/>
    <w:rsid w:val="155163D6"/>
    <w:rsid w:val="1566EBD4"/>
    <w:rsid w:val="156888E9"/>
    <w:rsid w:val="1589DAF1"/>
    <w:rsid w:val="158C396B"/>
    <w:rsid w:val="15E77B86"/>
    <w:rsid w:val="15EECABA"/>
    <w:rsid w:val="15F3097D"/>
    <w:rsid w:val="161090E5"/>
    <w:rsid w:val="163471B4"/>
    <w:rsid w:val="1659A72E"/>
    <w:rsid w:val="16739B12"/>
    <w:rsid w:val="167A253B"/>
    <w:rsid w:val="167E48FB"/>
    <w:rsid w:val="16A831E6"/>
    <w:rsid w:val="16AEE5C7"/>
    <w:rsid w:val="16BFA877"/>
    <w:rsid w:val="16D793AC"/>
    <w:rsid w:val="1715BAA6"/>
    <w:rsid w:val="171644A8"/>
    <w:rsid w:val="1719BE3F"/>
    <w:rsid w:val="1720447F"/>
    <w:rsid w:val="172D871B"/>
    <w:rsid w:val="172DB493"/>
    <w:rsid w:val="174990F0"/>
    <w:rsid w:val="175DE9AC"/>
    <w:rsid w:val="17635FD6"/>
    <w:rsid w:val="1763EF7D"/>
    <w:rsid w:val="1787B0DC"/>
    <w:rsid w:val="17A46A29"/>
    <w:rsid w:val="17C5C611"/>
    <w:rsid w:val="17C69757"/>
    <w:rsid w:val="17EA5D70"/>
    <w:rsid w:val="17FE2D0C"/>
    <w:rsid w:val="180B5295"/>
    <w:rsid w:val="18126BCF"/>
    <w:rsid w:val="1817D2B2"/>
    <w:rsid w:val="1820EC2B"/>
    <w:rsid w:val="1848A97E"/>
    <w:rsid w:val="185548BE"/>
    <w:rsid w:val="186D996F"/>
    <w:rsid w:val="1876B7B5"/>
    <w:rsid w:val="1884459E"/>
    <w:rsid w:val="1884A5AD"/>
    <w:rsid w:val="18A2F21F"/>
    <w:rsid w:val="18ADFC6F"/>
    <w:rsid w:val="18B98E2D"/>
    <w:rsid w:val="18DF3223"/>
    <w:rsid w:val="18ED1BC2"/>
    <w:rsid w:val="18F2C852"/>
    <w:rsid w:val="191875C8"/>
    <w:rsid w:val="192BDEB5"/>
    <w:rsid w:val="192C1315"/>
    <w:rsid w:val="194805F0"/>
    <w:rsid w:val="1953B247"/>
    <w:rsid w:val="195E5C72"/>
    <w:rsid w:val="19949918"/>
    <w:rsid w:val="19CC8BEC"/>
    <w:rsid w:val="19FD3828"/>
    <w:rsid w:val="1A2BC4D0"/>
    <w:rsid w:val="1A406E5E"/>
    <w:rsid w:val="1A63773E"/>
    <w:rsid w:val="1A70A2E9"/>
    <w:rsid w:val="1AA290A8"/>
    <w:rsid w:val="1AA55BBD"/>
    <w:rsid w:val="1ABE7B3E"/>
    <w:rsid w:val="1ACDB366"/>
    <w:rsid w:val="1AD0E9A8"/>
    <w:rsid w:val="1B20CC20"/>
    <w:rsid w:val="1B3FAD8E"/>
    <w:rsid w:val="1B558196"/>
    <w:rsid w:val="1B80E49C"/>
    <w:rsid w:val="1B93DE7E"/>
    <w:rsid w:val="1BBCDBBD"/>
    <w:rsid w:val="1BC68390"/>
    <w:rsid w:val="1BCDFFDC"/>
    <w:rsid w:val="1BD17463"/>
    <w:rsid w:val="1BE23754"/>
    <w:rsid w:val="1BE35562"/>
    <w:rsid w:val="1BFCD06D"/>
    <w:rsid w:val="1C1186C6"/>
    <w:rsid w:val="1C1D0213"/>
    <w:rsid w:val="1C1DDA32"/>
    <w:rsid w:val="1C1E0654"/>
    <w:rsid w:val="1C250AF5"/>
    <w:rsid w:val="1C3BDEB3"/>
    <w:rsid w:val="1C3F27B0"/>
    <w:rsid w:val="1C5742B1"/>
    <w:rsid w:val="1C61F46D"/>
    <w:rsid w:val="1C74B00C"/>
    <w:rsid w:val="1C7FE0EC"/>
    <w:rsid w:val="1C819F76"/>
    <w:rsid w:val="1C85C9DE"/>
    <w:rsid w:val="1CB7E7A6"/>
    <w:rsid w:val="1CC6311D"/>
    <w:rsid w:val="1CD8FAEA"/>
    <w:rsid w:val="1CFE1A3F"/>
    <w:rsid w:val="1D1C6444"/>
    <w:rsid w:val="1D4442FD"/>
    <w:rsid w:val="1D4FBFEE"/>
    <w:rsid w:val="1D6022ED"/>
    <w:rsid w:val="1D6C345D"/>
    <w:rsid w:val="1DAFF892"/>
    <w:rsid w:val="1DB36E42"/>
    <w:rsid w:val="1DB5BAC2"/>
    <w:rsid w:val="1DC6A4DA"/>
    <w:rsid w:val="1DF3955A"/>
    <w:rsid w:val="1E2E72E3"/>
    <w:rsid w:val="1E8E5779"/>
    <w:rsid w:val="1EA35119"/>
    <w:rsid w:val="1EAB306B"/>
    <w:rsid w:val="1ECA303F"/>
    <w:rsid w:val="1EDDB91E"/>
    <w:rsid w:val="1EE4B1EF"/>
    <w:rsid w:val="1EE4F600"/>
    <w:rsid w:val="1EEADC02"/>
    <w:rsid w:val="1EF4A6A9"/>
    <w:rsid w:val="1F213202"/>
    <w:rsid w:val="1F2AEBAF"/>
    <w:rsid w:val="1F3589E6"/>
    <w:rsid w:val="1F6047A4"/>
    <w:rsid w:val="1F60DD6E"/>
    <w:rsid w:val="1F88A4F8"/>
    <w:rsid w:val="1F949B3A"/>
    <w:rsid w:val="1FCD8623"/>
    <w:rsid w:val="1FF0EEE7"/>
    <w:rsid w:val="1FFB2F7C"/>
    <w:rsid w:val="201B5576"/>
    <w:rsid w:val="2024A23F"/>
    <w:rsid w:val="20526D80"/>
    <w:rsid w:val="2054149A"/>
    <w:rsid w:val="20A47CDD"/>
    <w:rsid w:val="20D5D3A1"/>
    <w:rsid w:val="20E95DD2"/>
    <w:rsid w:val="21028124"/>
    <w:rsid w:val="21209215"/>
    <w:rsid w:val="2133F0C1"/>
    <w:rsid w:val="2135715D"/>
    <w:rsid w:val="213A5B3F"/>
    <w:rsid w:val="2179F509"/>
    <w:rsid w:val="217AB221"/>
    <w:rsid w:val="21A83E28"/>
    <w:rsid w:val="21B86305"/>
    <w:rsid w:val="21CDC8F6"/>
    <w:rsid w:val="21D88E8B"/>
    <w:rsid w:val="22050B8D"/>
    <w:rsid w:val="22244D77"/>
    <w:rsid w:val="2226992C"/>
    <w:rsid w:val="22297F17"/>
    <w:rsid w:val="22339410"/>
    <w:rsid w:val="2235FD7E"/>
    <w:rsid w:val="2237ECCF"/>
    <w:rsid w:val="229003F5"/>
    <w:rsid w:val="2294EC63"/>
    <w:rsid w:val="22A148BD"/>
    <w:rsid w:val="22AA954A"/>
    <w:rsid w:val="22E38F04"/>
    <w:rsid w:val="2304B591"/>
    <w:rsid w:val="233CE514"/>
    <w:rsid w:val="23542E3D"/>
    <w:rsid w:val="23543366"/>
    <w:rsid w:val="23704BA7"/>
    <w:rsid w:val="238738D8"/>
    <w:rsid w:val="23BBB215"/>
    <w:rsid w:val="23BCC5F0"/>
    <w:rsid w:val="23DEC287"/>
    <w:rsid w:val="23EFDD7E"/>
    <w:rsid w:val="240C9F51"/>
    <w:rsid w:val="240DCC9E"/>
    <w:rsid w:val="2415ACFC"/>
    <w:rsid w:val="241DBBF8"/>
    <w:rsid w:val="244444C2"/>
    <w:rsid w:val="245B8E17"/>
    <w:rsid w:val="24750C08"/>
    <w:rsid w:val="24DCDB3D"/>
    <w:rsid w:val="2508292C"/>
    <w:rsid w:val="25199789"/>
    <w:rsid w:val="252A911D"/>
    <w:rsid w:val="252FBCE5"/>
    <w:rsid w:val="253D10F6"/>
    <w:rsid w:val="25570F49"/>
    <w:rsid w:val="25654B91"/>
    <w:rsid w:val="259C9B1A"/>
    <w:rsid w:val="25A818EE"/>
    <w:rsid w:val="25B0A5B1"/>
    <w:rsid w:val="25B953C5"/>
    <w:rsid w:val="25B98C59"/>
    <w:rsid w:val="25CF456E"/>
    <w:rsid w:val="25E2F748"/>
    <w:rsid w:val="25E592DE"/>
    <w:rsid w:val="261926CA"/>
    <w:rsid w:val="264414CD"/>
    <w:rsid w:val="264D5FFB"/>
    <w:rsid w:val="26512E42"/>
    <w:rsid w:val="265C7604"/>
    <w:rsid w:val="266757DE"/>
    <w:rsid w:val="267B85AF"/>
    <w:rsid w:val="267EFCC6"/>
    <w:rsid w:val="26AD5097"/>
    <w:rsid w:val="26C64803"/>
    <w:rsid w:val="26C6617E"/>
    <w:rsid w:val="26D76C09"/>
    <w:rsid w:val="272C8A05"/>
    <w:rsid w:val="273B2893"/>
    <w:rsid w:val="27584DB2"/>
    <w:rsid w:val="2762BD27"/>
    <w:rsid w:val="277864CD"/>
    <w:rsid w:val="277B2F4B"/>
    <w:rsid w:val="27B5CFBA"/>
    <w:rsid w:val="27C519C5"/>
    <w:rsid w:val="2814AAD8"/>
    <w:rsid w:val="282D458B"/>
    <w:rsid w:val="286D9C6D"/>
    <w:rsid w:val="288166B6"/>
    <w:rsid w:val="288C0E6B"/>
    <w:rsid w:val="28C38929"/>
    <w:rsid w:val="28CD5741"/>
    <w:rsid w:val="28D4C4DD"/>
    <w:rsid w:val="28D4D3DA"/>
    <w:rsid w:val="28F8F565"/>
    <w:rsid w:val="29112BAE"/>
    <w:rsid w:val="2917B5E5"/>
    <w:rsid w:val="2943264B"/>
    <w:rsid w:val="2961C0B0"/>
    <w:rsid w:val="297356F6"/>
    <w:rsid w:val="297AE3C8"/>
    <w:rsid w:val="2981C8E9"/>
    <w:rsid w:val="29895932"/>
    <w:rsid w:val="298C2884"/>
    <w:rsid w:val="29FBE8FC"/>
    <w:rsid w:val="2A101D72"/>
    <w:rsid w:val="2A18015A"/>
    <w:rsid w:val="2A36C756"/>
    <w:rsid w:val="2A3BA403"/>
    <w:rsid w:val="2A4014EF"/>
    <w:rsid w:val="2A5FD898"/>
    <w:rsid w:val="2A77C778"/>
    <w:rsid w:val="2A8E5908"/>
    <w:rsid w:val="2AB0058F"/>
    <w:rsid w:val="2AB86A64"/>
    <w:rsid w:val="2AC7A17B"/>
    <w:rsid w:val="2AC7DED3"/>
    <w:rsid w:val="2ACF90C8"/>
    <w:rsid w:val="2AE35D10"/>
    <w:rsid w:val="2B62EA1E"/>
    <w:rsid w:val="2B68ABC4"/>
    <w:rsid w:val="2B77D9C7"/>
    <w:rsid w:val="2B8E73B2"/>
    <w:rsid w:val="2C270879"/>
    <w:rsid w:val="2C28C71F"/>
    <w:rsid w:val="2C4C1359"/>
    <w:rsid w:val="2C4C5E8A"/>
    <w:rsid w:val="2C53083E"/>
    <w:rsid w:val="2C5FCDC9"/>
    <w:rsid w:val="2C6B8AC5"/>
    <w:rsid w:val="2C70EC31"/>
    <w:rsid w:val="2C805EAA"/>
    <w:rsid w:val="2C9625F3"/>
    <w:rsid w:val="2C972E8D"/>
    <w:rsid w:val="2CB0FD59"/>
    <w:rsid w:val="2CBB5C64"/>
    <w:rsid w:val="2CD75F75"/>
    <w:rsid w:val="2CEA387B"/>
    <w:rsid w:val="2CFB5854"/>
    <w:rsid w:val="2D24A96E"/>
    <w:rsid w:val="2D4ADA9B"/>
    <w:rsid w:val="2D4CCB7E"/>
    <w:rsid w:val="2D523480"/>
    <w:rsid w:val="2D5D4F29"/>
    <w:rsid w:val="2D95390D"/>
    <w:rsid w:val="2D9FEBA0"/>
    <w:rsid w:val="2DA153AF"/>
    <w:rsid w:val="2DA8A63B"/>
    <w:rsid w:val="2DD1FEAB"/>
    <w:rsid w:val="2DE7E3BA"/>
    <w:rsid w:val="2DF00B26"/>
    <w:rsid w:val="2DFC8C3A"/>
    <w:rsid w:val="2DFD2DF1"/>
    <w:rsid w:val="2E093024"/>
    <w:rsid w:val="2E9ED393"/>
    <w:rsid w:val="2EA42CA2"/>
    <w:rsid w:val="2ED77FDD"/>
    <w:rsid w:val="2EE0F9AD"/>
    <w:rsid w:val="2F13E091"/>
    <w:rsid w:val="2F3E3660"/>
    <w:rsid w:val="2F70A307"/>
    <w:rsid w:val="2FAB14BE"/>
    <w:rsid w:val="2FB5627D"/>
    <w:rsid w:val="2FE7534F"/>
    <w:rsid w:val="2FFE02C9"/>
    <w:rsid w:val="30064206"/>
    <w:rsid w:val="3012E5D5"/>
    <w:rsid w:val="30380A40"/>
    <w:rsid w:val="303AA3F4"/>
    <w:rsid w:val="30612A53"/>
    <w:rsid w:val="3068140F"/>
    <w:rsid w:val="30B54E3E"/>
    <w:rsid w:val="30EC4FA6"/>
    <w:rsid w:val="30EF2CFB"/>
    <w:rsid w:val="30F4B2BC"/>
    <w:rsid w:val="31506C4E"/>
    <w:rsid w:val="316521F1"/>
    <w:rsid w:val="317CECBA"/>
    <w:rsid w:val="3182548D"/>
    <w:rsid w:val="3188820F"/>
    <w:rsid w:val="318D82EC"/>
    <w:rsid w:val="31BFC4DA"/>
    <w:rsid w:val="31C2398E"/>
    <w:rsid w:val="31E17D27"/>
    <w:rsid w:val="31F99A46"/>
    <w:rsid w:val="320C396F"/>
    <w:rsid w:val="323BC55C"/>
    <w:rsid w:val="328C0600"/>
    <w:rsid w:val="32D3C833"/>
    <w:rsid w:val="32F8ECB7"/>
    <w:rsid w:val="33074448"/>
    <w:rsid w:val="3317482F"/>
    <w:rsid w:val="333052B9"/>
    <w:rsid w:val="333A1E4A"/>
    <w:rsid w:val="333F147A"/>
    <w:rsid w:val="335045B9"/>
    <w:rsid w:val="33B81672"/>
    <w:rsid w:val="33E04CE2"/>
    <w:rsid w:val="33E25795"/>
    <w:rsid w:val="34151E01"/>
    <w:rsid w:val="3421B72C"/>
    <w:rsid w:val="3432E6A0"/>
    <w:rsid w:val="3441D42E"/>
    <w:rsid w:val="3451C210"/>
    <w:rsid w:val="34655D84"/>
    <w:rsid w:val="348CD70C"/>
    <w:rsid w:val="34C47B90"/>
    <w:rsid w:val="34D5F432"/>
    <w:rsid w:val="350AB176"/>
    <w:rsid w:val="35151D2A"/>
    <w:rsid w:val="35204AE9"/>
    <w:rsid w:val="35278C8A"/>
    <w:rsid w:val="352F6AFF"/>
    <w:rsid w:val="355F841C"/>
    <w:rsid w:val="3563DE70"/>
    <w:rsid w:val="35B61887"/>
    <w:rsid w:val="35B834A5"/>
    <w:rsid w:val="35C8EEFE"/>
    <w:rsid w:val="35D6EF2B"/>
    <w:rsid w:val="35F0B33E"/>
    <w:rsid w:val="35F207F2"/>
    <w:rsid w:val="35F54A17"/>
    <w:rsid w:val="360C5DC2"/>
    <w:rsid w:val="360D0329"/>
    <w:rsid w:val="36472394"/>
    <w:rsid w:val="3673C1D0"/>
    <w:rsid w:val="36970F0E"/>
    <w:rsid w:val="3698A331"/>
    <w:rsid w:val="36CCAC19"/>
    <w:rsid w:val="36D2DB6B"/>
    <w:rsid w:val="36DE8F51"/>
    <w:rsid w:val="36FA29C3"/>
    <w:rsid w:val="3700FEAE"/>
    <w:rsid w:val="373B1C2F"/>
    <w:rsid w:val="3774D455"/>
    <w:rsid w:val="37815444"/>
    <w:rsid w:val="37896AA8"/>
    <w:rsid w:val="37A1CC3C"/>
    <w:rsid w:val="37A5F334"/>
    <w:rsid w:val="37B7BA36"/>
    <w:rsid w:val="37C12F5A"/>
    <w:rsid w:val="37F2A77B"/>
    <w:rsid w:val="37F61F4A"/>
    <w:rsid w:val="37F9EEA2"/>
    <w:rsid w:val="37FC1C52"/>
    <w:rsid w:val="381867DE"/>
    <w:rsid w:val="3826B1B8"/>
    <w:rsid w:val="38445229"/>
    <w:rsid w:val="385588BF"/>
    <w:rsid w:val="385F4377"/>
    <w:rsid w:val="38879DD1"/>
    <w:rsid w:val="3897EF27"/>
    <w:rsid w:val="38B6D444"/>
    <w:rsid w:val="38BFF936"/>
    <w:rsid w:val="38DBC1BE"/>
    <w:rsid w:val="391862E9"/>
    <w:rsid w:val="39323314"/>
    <w:rsid w:val="39390AC3"/>
    <w:rsid w:val="3941EE71"/>
    <w:rsid w:val="397E2F2F"/>
    <w:rsid w:val="399A7AB4"/>
    <w:rsid w:val="399C8F20"/>
    <w:rsid w:val="39ADC55C"/>
    <w:rsid w:val="39CE3E76"/>
    <w:rsid w:val="39D095C2"/>
    <w:rsid w:val="39D8976C"/>
    <w:rsid w:val="39E1863A"/>
    <w:rsid w:val="39E6ADEE"/>
    <w:rsid w:val="39E9D243"/>
    <w:rsid w:val="39F0EDF9"/>
    <w:rsid w:val="39F42837"/>
    <w:rsid w:val="39F7FEB8"/>
    <w:rsid w:val="39F8FA47"/>
    <w:rsid w:val="3A59395E"/>
    <w:rsid w:val="3A8A7CC7"/>
    <w:rsid w:val="3A8EBAE1"/>
    <w:rsid w:val="3A960F41"/>
    <w:rsid w:val="3A9717F6"/>
    <w:rsid w:val="3AAEEF3F"/>
    <w:rsid w:val="3ABF88D2"/>
    <w:rsid w:val="3AD33C86"/>
    <w:rsid w:val="3B0A1B58"/>
    <w:rsid w:val="3B876FCA"/>
    <w:rsid w:val="3B8A9D30"/>
    <w:rsid w:val="3B8EC36C"/>
    <w:rsid w:val="3BA1B8E7"/>
    <w:rsid w:val="3BC4197C"/>
    <w:rsid w:val="3BC4F0E7"/>
    <w:rsid w:val="3BD189FF"/>
    <w:rsid w:val="3BE2C4D6"/>
    <w:rsid w:val="3BF8354B"/>
    <w:rsid w:val="3C46DF2D"/>
    <w:rsid w:val="3C6066D6"/>
    <w:rsid w:val="3C613589"/>
    <w:rsid w:val="3C684E0B"/>
    <w:rsid w:val="3C8AD9E4"/>
    <w:rsid w:val="3C97F0E7"/>
    <w:rsid w:val="3C9AE1D4"/>
    <w:rsid w:val="3CCDE08A"/>
    <w:rsid w:val="3D02B990"/>
    <w:rsid w:val="3D0BD5B3"/>
    <w:rsid w:val="3D112DB9"/>
    <w:rsid w:val="3D4A1418"/>
    <w:rsid w:val="3DA1E1C2"/>
    <w:rsid w:val="3DBE2302"/>
    <w:rsid w:val="3DC99685"/>
    <w:rsid w:val="3E11C9FD"/>
    <w:rsid w:val="3E1ED97E"/>
    <w:rsid w:val="3E459639"/>
    <w:rsid w:val="3E5899BE"/>
    <w:rsid w:val="3E6982D8"/>
    <w:rsid w:val="3E69FEAA"/>
    <w:rsid w:val="3ED799B8"/>
    <w:rsid w:val="3EDAE9CF"/>
    <w:rsid w:val="3EFEBC36"/>
    <w:rsid w:val="3F39592C"/>
    <w:rsid w:val="3F758E49"/>
    <w:rsid w:val="3FA026F4"/>
    <w:rsid w:val="3FA45862"/>
    <w:rsid w:val="3FC35235"/>
    <w:rsid w:val="3FD5A323"/>
    <w:rsid w:val="3FE08F9E"/>
    <w:rsid w:val="40758B9C"/>
    <w:rsid w:val="409696A0"/>
    <w:rsid w:val="40A1ED14"/>
    <w:rsid w:val="40C8E228"/>
    <w:rsid w:val="40E10776"/>
    <w:rsid w:val="40E24AC9"/>
    <w:rsid w:val="40E500A1"/>
    <w:rsid w:val="4134BA99"/>
    <w:rsid w:val="419AA83D"/>
    <w:rsid w:val="41ADAE1C"/>
    <w:rsid w:val="41D39C6F"/>
    <w:rsid w:val="41EB9404"/>
    <w:rsid w:val="42032283"/>
    <w:rsid w:val="424B531E"/>
    <w:rsid w:val="4264B289"/>
    <w:rsid w:val="4268322D"/>
    <w:rsid w:val="428987EE"/>
    <w:rsid w:val="42A17E89"/>
    <w:rsid w:val="42DE74E5"/>
    <w:rsid w:val="42E0B995"/>
    <w:rsid w:val="42FFDEFF"/>
    <w:rsid w:val="4322DD75"/>
    <w:rsid w:val="432D9422"/>
    <w:rsid w:val="43501A5D"/>
    <w:rsid w:val="435C0ACF"/>
    <w:rsid w:val="437D7F9C"/>
    <w:rsid w:val="43A4EAC8"/>
    <w:rsid w:val="43A656D4"/>
    <w:rsid w:val="43C82B54"/>
    <w:rsid w:val="43CB34F0"/>
    <w:rsid w:val="43D373E0"/>
    <w:rsid w:val="43F07ABD"/>
    <w:rsid w:val="44173BDF"/>
    <w:rsid w:val="443291EC"/>
    <w:rsid w:val="4438C1F7"/>
    <w:rsid w:val="44524DDB"/>
    <w:rsid w:val="4456B747"/>
    <w:rsid w:val="44630316"/>
    <w:rsid w:val="4479B04E"/>
    <w:rsid w:val="4479F9D4"/>
    <w:rsid w:val="4480D0A7"/>
    <w:rsid w:val="44A522E4"/>
    <w:rsid w:val="44C7435C"/>
    <w:rsid w:val="44CE6F59"/>
    <w:rsid w:val="44CF7F88"/>
    <w:rsid w:val="44D2AC63"/>
    <w:rsid w:val="44E9B90A"/>
    <w:rsid w:val="45016D5C"/>
    <w:rsid w:val="45194FFD"/>
    <w:rsid w:val="451A0E9A"/>
    <w:rsid w:val="4547A635"/>
    <w:rsid w:val="455121D3"/>
    <w:rsid w:val="45585EFB"/>
    <w:rsid w:val="458D25FE"/>
    <w:rsid w:val="45A42657"/>
    <w:rsid w:val="45A6D22D"/>
    <w:rsid w:val="45CA9BFD"/>
    <w:rsid w:val="460ACDB3"/>
    <w:rsid w:val="461E0E43"/>
    <w:rsid w:val="462BE926"/>
    <w:rsid w:val="4631B48A"/>
    <w:rsid w:val="46380DBE"/>
    <w:rsid w:val="4638C12C"/>
    <w:rsid w:val="46443D61"/>
    <w:rsid w:val="464E0432"/>
    <w:rsid w:val="46543C89"/>
    <w:rsid w:val="465D58E6"/>
    <w:rsid w:val="46954672"/>
    <w:rsid w:val="46988D08"/>
    <w:rsid w:val="46C2F926"/>
    <w:rsid w:val="46DF3DDB"/>
    <w:rsid w:val="46ED03FB"/>
    <w:rsid w:val="471E64FC"/>
    <w:rsid w:val="4747E43E"/>
    <w:rsid w:val="474CB192"/>
    <w:rsid w:val="474F12C6"/>
    <w:rsid w:val="47868D84"/>
    <w:rsid w:val="4796F241"/>
    <w:rsid w:val="479722E0"/>
    <w:rsid w:val="47AACF44"/>
    <w:rsid w:val="47AC93A5"/>
    <w:rsid w:val="47E05F9C"/>
    <w:rsid w:val="4819A043"/>
    <w:rsid w:val="482A32F9"/>
    <w:rsid w:val="4850F0BF"/>
    <w:rsid w:val="48562D21"/>
    <w:rsid w:val="485A5FE7"/>
    <w:rsid w:val="485EC987"/>
    <w:rsid w:val="4860B28A"/>
    <w:rsid w:val="4884BEC4"/>
    <w:rsid w:val="4884CC6A"/>
    <w:rsid w:val="4889E222"/>
    <w:rsid w:val="488E7EE8"/>
    <w:rsid w:val="48B954A3"/>
    <w:rsid w:val="48DCFBD6"/>
    <w:rsid w:val="48E51F60"/>
    <w:rsid w:val="48F49B6B"/>
    <w:rsid w:val="4903D55F"/>
    <w:rsid w:val="492D10C2"/>
    <w:rsid w:val="49C6AE3D"/>
    <w:rsid w:val="49D4882F"/>
    <w:rsid w:val="49ECDF3C"/>
    <w:rsid w:val="4A163840"/>
    <w:rsid w:val="4A1B54C1"/>
    <w:rsid w:val="4A27DCE3"/>
    <w:rsid w:val="4A437AB9"/>
    <w:rsid w:val="4AB1433C"/>
    <w:rsid w:val="4ACF6793"/>
    <w:rsid w:val="4B12DE6A"/>
    <w:rsid w:val="4B29AE11"/>
    <w:rsid w:val="4B3942C7"/>
    <w:rsid w:val="4B63CCEA"/>
    <w:rsid w:val="4B6BCAA7"/>
    <w:rsid w:val="4B746154"/>
    <w:rsid w:val="4BBDCF19"/>
    <w:rsid w:val="4BCF5FD2"/>
    <w:rsid w:val="4BD15F71"/>
    <w:rsid w:val="4BF530B8"/>
    <w:rsid w:val="4C065EFD"/>
    <w:rsid w:val="4C0734DC"/>
    <w:rsid w:val="4C0A52B5"/>
    <w:rsid w:val="4C11B653"/>
    <w:rsid w:val="4C35B0C6"/>
    <w:rsid w:val="4C409149"/>
    <w:rsid w:val="4C54EC9E"/>
    <w:rsid w:val="4C58517C"/>
    <w:rsid w:val="4C7F5AC6"/>
    <w:rsid w:val="4C999713"/>
    <w:rsid w:val="4C99D104"/>
    <w:rsid w:val="4CAB698E"/>
    <w:rsid w:val="4CAEAECB"/>
    <w:rsid w:val="4CBE9613"/>
    <w:rsid w:val="4CF4CAEF"/>
    <w:rsid w:val="4D02DAA5"/>
    <w:rsid w:val="4D1281EB"/>
    <w:rsid w:val="4D3321B5"/>
    <w:rsid w:val="4D3A5345"/>
    <w:rsid w:val="4D42A377"/>
    <w:rsid w:val="4D4CEB60"/>
    <w:rsid w:val="4D5639AC"/>
    <w:rsid w:val="4D574900"/>
    <w:rsid w:val="4D58E808"/>
    <w:rsid w:val="4D5A62B2"/>
    <w:rsid w:val="4D60CA73"/>
    <w:rsid w:val="4D9A8438"/>
    <w:rsid w:val="4DA345A4"/>
    <w:rsid w:val="4DC3F8D1"/>
    <w:rsid w:val="4DD04FA1"/>
    <w:rsid w:val="4DFD0643"/>
    <w:rsid w:val="4E2CFAB1"/>
    <w:rsid w:val="4E4291A6"/>
    <w:rsid w:val="4E58BAF8"/>
    <w:rsid w:val="4EA8D226"/>
    <w:rsid w:val="4EAC2142"/>
    <w:rsid w:val="4EC0F64B"/>
    <w:rsid w:val="4EF58C52"/>
    <w:rsid w:val="4F4A4AB7"/>
    <w:rsid w:val="4F6B8C02"/>
    <w:rsid w:val="4F7A1200"/>
    <w:rsid w:val="4F7B7B5C"/>
    <w:rsid w:val="4F837836"/>
    <w:rsid w:val="4FD7C595"/>
    <w:rsid w:val="5005CF20"/>
    <w:rsid w:val="5007BE6B"/>
    <w:rsid w:val="503ECB90"/>
    <w:rsid w:val="50770699"/>
    <w:rsid w:val="50787752"/>
    <w:rsid w:val="5085CC2C"/>
    <w:rsid w:val="50B23A22"/>
    <w:rsid w:val="51479D83"/>
    <w:rsid w:val="5160EAEA"/>
    <w:rsid w:val="51672A14"/>
    <w:rsid w:val="516B57A4"/>
    <w:rsid w:val="51750649"/>
    <w:rsid w:val="51F2DBC7"/>
    <w:rsid w:val="520710D8"/>
    <w:rsid w:val="522C9E75"/>
    <w:rsid w:val="525A373E"/>
    <w:rsid w:val="526D5241"/>
    <w:rsid w:val="5274B7E7"/>
    <w:rsid w:val="527EEC67"/>
    <w:rsid w:val="529CD0CA"/>
    <w:rsid w:val="52D05F98"/>
    <w:rsid w:val="52E6F4C3"/>
    <w:rsid w:val="53102F58"/>
    <w:rsid w:val="53105EE0"/>
    <w:rsid w:val="532AEF93"/>
    <w:rsid w:val="534FDB67"/>
    <w:rsid w:val="53C42F45"/>
    <w:rsid w:val="53D211CB"/>
    <w:rsid w:val="53D3CD67"/>
    <w:rsid w:val="53D746EF"/>
    <w:rsid w:val="53EAD9C8"/>
    <w:rsid w:val="53F6DB2F"/>
    <w:rsid w:val="548C60B7"/>
    <w:rsid w:val="54ACA70B"/>
    <w:rsid w:val="54CE34AA"/>
    <w:rsid w:val="54DD6726"/>
    <w:rsid w:val="54EAA714"/>
    <w:rsid w:val="54EB5A9F"/>
    <w:rsid w:val="551F64E3"/>
    <w:rsid w:val="5536C80E"/>
    <w:rsid w:val="5547D463"/>
    <w:rsid w:val="55648DA8"/>
    <w:rsid w:val="558D5591"/>
    <w:rsid w:val="5594ED9B"/>
    <w:rsid w:val="55B00ABB"/>
    <w:rsid w:val="55BFB8CB"/>
    <w:rsid w:val="55E17868"/>
    <w:rsid w:val="55F6ABF4"/>
    <w:rsid w:val="55FBBF23"/>
    <w:rsid w:val="5615EA44"/>
    <w:rsid w:val="562EA7BD"/>
    <w:rsid w:val="5648776C"/>
    <w:rsid w:val="56574560"/>
    <w:rsid w:val="566DE272"/>
    <w:rsid w:val="569B5EB7"/>
    <w:rsid w:val="56B60D42"/>
    <w:rsid w:val="56B75100"/>
    <w:rsid w:val="56C18E94"/>
    <w:rsid w:val="56DBEA0F"/>
    <w:rsid w:val="56EE1AAF"/>
    <w:rsid w:val="56EEC265"/>
    <w:rsid w:val="56F0744D"/>
    <w:rsid w:val="57066674"/>
    <w:rsid w:val="5724DD0D"/>
    <w:rsid w:val="57344CD9"/>
    <w:rsid w:val="575AFE1A"/>
    <w:rsid w:val="577E3501"/>
    <w:rsid w:val="57899806"/>
    <w:rsid w:val="578F5804"/>
    <w:rsid w:val="579200F3"/>
    <w:rsid w:val="57AA6988"/>
    <w:rsid w:val="57C95C1E"/>
    <w:rsid w:val="57CEE309"/>
    <w:rsid w:val="57D882D1"/>
    <w:rsid w:val="57EAA4B4"/>
    <w:rsid w:val="57F288BD"/>
    <w:rsid w:val="580573F8"/>
    <w:rsid w:val="581D60BA"/>
    <w:rsid w:val="584FB683"/>
    <w:rsid w:val="585FACBF"/>
    <w:rsid w:val="5886AE2D"/>
    <w:rsid w:val="58A21D59"/>
    <w:rsid w:val="58D16D73"/>
    <w:rsid w:val="58DD08E4"/>
    <w:rsid w:val="58F009A8"/>
    <w:rsid w:val="58F3CE6B"/>
    <w:rsid w:val="5900D51B"/>
    <w:rsid w:val="59265B8F"/>
    <w:rsid w:val="59606B82"/>
    <w:rsid w:val="59642A99"/>
    <w:rsid w:val="59716EB8"/>
    <w:rsid w:val="597720B2"/>
    <w:rsid w:val="597BCA2D"/>
    <w:rsid w:val="5980182E"/>
    <w:rsid w:val="5997AB2D"/>
    <w:rsid w:val="59991176"/>
    <w:rsid w:val="59A4F822"/>
    <w:rsid w:val="59AD382C"/>
    <w:rsid w:val="59BF1CEB"/>
    <w:rsid w:val="59E39747"/>
    <w:rsid w:val="59E6C11E"/>
    <w:rsid w:val="5A162095"/>
    <w:rsid w:val="5A1998A4"/>
    <w:rsid w:val="5A1D1604"/>
    <w:rsid w:val="5A238102"/>
    <w:rsid w:val="5A2754AE"/>
    <w:rsid w:val="5A654923"/>
    <w:rsid w:val="5A72EB0F"/>
    <w:rsid w:val="5A772312"/>
    <w:rsid w:val="5A817E90"/>
    <w:rsid w:val="5AEDDAC5"/>
    <w:rsid w:val="5B09F2DC"/>
    <w:rsid w:val="5B2D2366"/>
    <w:rsid w:val="5B36F8FD"/>
    <w:rsid w:val="5B575813"/>
    <w:rsid w:val="5B64F0C2"/>
    <w:rsid w:val="5B834ACE"/>
    <w:rsid w:val="5BDD23B0"/>
    <w:rsid w:val="5BFC9715"/>
    <w:rsid w:val="5C183E24"/>
    <w:rsid w:val="5C491D4B"/>
    <w:rsid w:val="5C67C52A"/>
    <w:rsid w:val="5C71A6E3"/>
    <w:rsid w:val="5C8438C5"/>
    <w:rsid w:val="5C89AB26"/>
    <w:rsid w:val="5CA40969"/>
    <w:rsid w:val="5CAED867"/>
    <w:rsid w:val="5CB35858"/>
    <w:rsid w:val="5CDD23F6"/>
    <w:rsid w:val="5CE18393"/>
    <w:rsid w:val="5CEB5DFB"/>
    <w:rsid w:val="5CEFBC2D"/>
    <w:rsid w:val="5CF6B070"/>
    <w:rsid w:val="5D04263B"/>
    <w:rsid w:val="5D478EB9"/>
    <w:rsid w:val="5D6616DB"/>
    <w:rsid w:val="5D7A1B09"/>
    <w:rsid w:val="5DA9DCB9"/>
    <w:rsid w:val="5DB91F52"/>
    <w:rsid w:val="5DECDA01"/>
    <w:rsid w:val="5DFC05FF"/>
    <w:rsid w:val="5E56DDB4"/>
    <w:rsid w:val="5E5ED47E"/>
    <w:rsid w:val="5E70A42C"/>
    <w:rsid w:val="5E8380CE"/>
    <w:rsid w:val="5E88FB7C"/>
    <w:rsid w:val="5E968062"/>
    <w:rsid w:val="5E98D45A"/>
    <w:rsid w:val="5EB3EDDB"/>
    <w:rsid w:val="5EC25694"/>
    <w:rsid w:val="5EFAA3BC"/>
    <w:rsid w:val="5F1446B7"/>
    <w:rsid w:val="5F5CE1DC"/>
    <w:rsid w:val="5F7C9009"/>
    <w:rsid w:val="5FAC2C43"/>
    <w:rsid w:val="5FBAC2BB"/>
    <w:rsid w:val="601405A8"/>
    <w:rsid w:val="60494FAB"/>
    <w:rsid w:val="606602F3"/>
    <w:rsid w:val="606D971D"/>
    <w:rsid w:val="6070383E"/>
    <w:rsid w:val="60C465D6"/>
    <w:rsid w:val="60F0364A"/>
    <w:rsid w:val="6112D66C"/>
    <w:rsid w:val="611856A5"/>
    <w:rsid w:val="6132C749"/>
    <w:rsid w:val="614D3DAE"/>
    <w:rsid w:val="615669C1"/>
    <w:rsid w:val="616A54AF"/>
    <w:rsid w:val="617B173C"/>
    <w:rsid w:val="617B32C4"/>
    <w:rsid w:val="617B677D"/>
    <w:rsid w:val="61BAC48D"/>
    <w:rsid w:val="61D34C0E"/>
    <w:rsid w:val="61D8342C"/>
    <w:rsid w:val="62079ADE"/>
    <w:rsid w:val="62156A8A"/>
    <w:rsid w:val="62785A5A"/>
    <w:rsid w:val="6282838C"/>
    <w:rsid w:val="629910A0"/>
    <w:rsid w:val="6299D5CE"/>
    <w:rsid w:val="62BDDFEC"/>
    <w:rsid w:val="62C88618"/>
    <w:rsid w:val="62E89165"/>
    <w:rsid w:val="62E980D1"/>
    <w:rsid w:val="630DD217"/>
    <w:rsid w:val="630EAC62"/>
    <w:rsid w:val="6320CB85"/>
    <w:rsid w:val="632E8646"/>
    <w:rsid w:val="633E26F7"/>
    <w:rsid w:val="6344D9E7"/>
    <w:rsid w:val="634617EE"/>
    <w:rsid w:val="636C047A"/>
    <w:rsid w:val="63745A31"/>
    <w:rsid w:val="637B5545"/>
    <w:rsid w:val="6387813D"/>
    <w:rsid w:val="6419BF21"/>
    <w:rsid w:val="643B952B"/>
    <w:rsid w:val="6441921E"/>
    <w:rsid w:val="645E5C49"/>
    <w:rsid w:val="646688CC"/>
    <w:rsid w:val="6481E980"/>
    <w:rsid w:val="6490B209"/>
    <w:rsid w:val="64CE1602"/>
    <w:rsid w:val="64CFE47A"/>
    <w:rsid w:val="64E47140"/>
    <w:rsid w:val="64FFC4F3"/>
    <w:rsid w:val="65204BB9"/>
    <w:rsid w:val="65397416"/>
    <w:rsid w:val="65487F9D"/>
    <w:rsid w:val="6561B32F"/>
    <w:rsid w:val="656633A9"/>
    <w:rsid w:val="659DA158"/>
    <w:rsid w:val="659F25DE"/>
    <w:rsid w:val="6606EED2"/>
    <w:rsid w:val="6611F2AE"/>
    <w:rsid w:val="663ABDDB"/>
    <w:rsid w:val="6651BE25"/>
    <w:rsid w:val="66936D70"/>
    <w:rsid w:val="669EB429"/>
    <w:rsid w:val="66A26335"/>
    <w:rsid w:val="66CA07D5"/>
    <w:rsid w:val="6707F9B2"/>
    <w:rsid w:val="67107ACB"/>
    <w:rsid w:val="671207A9"/>
    <w:rsid w:val="672FCE75"/>
    <w:rsid w:val="6740ADD6"/>
    <w:rsid w:val="6761EC3D"/>
    <w:rsid w:val="67B410F4"/>
    <w:rsid w:val="67DF4A76"/>
    <w:rsid w:val="6811F6CC"/>
    <w:rsid w:val="682047F7"/>
    <w:rsid w:val="68268D74"/>
    <w:rsid w:val="68324A47"/>
    <w:rsid w:val="68347903"/>
    <w:rsid w:val="683B9C7C"/>
    <w:rsid w:val="686265E1"/>
    <w:rsid w:val="6864D382"/>
    <w:rsid w:val="6864E4D7"/>
    <w:rsid w:val="686601D2"/>
    <w:rsid w:val="68B2CBCD"/>
    <w:rsid w:val="68D50A0C"/>
    <w:rsid w:val="68D5ED1C"/>
    <w:rsid w:val="68E21FD2"/>
    <w:rsid w:val="68EBE618"/>
    <w:rsid w:val="68F64B45"/>
    <w:rsid w:val="6909EBF3"/>
    <w:rsid w:val="69191CC1"/>
    <w:rsid w:val="691D9484"/>
    <w:rsid w:val="694DCA60"/>
    <w:rsid w:val="697B1AD7"/>
    <w:rsid w:val="697CDBAC"/>
    <w:rsid w:val="69D933B4"/>
    <w:rsid w:val="69F469DD"/>
    <w:rsid w:val="6A4E9C2E"/>
    <w:rsid w:val="6A518219"/>
    <w:rsid w:val="6A751CAB"/>
    <w:rsid w:val="6A7D8A5C"/>
    <w:rsid w:val="6A9898E0"/>
    <w:rsid w:val="6AB2E72D"/>
    <w:rsid w:val="6AB3EBF0"/>
    <w:rsid w:val="6AC1AD9A"/>
    <w:rsid w:val="6ADA7AED"/>
    <w:rsid w:val="6AE59C48"/>
    <w:rsid w:val="6B0EA73F"/>
    <w:rsid w:val="6B77CBDF"/>
    <w:rsid w:val="6BB1BBD9"/>
    <w:rsid w:val="6BB2420E"/>
    <w:rsid w:val="6BDA19C7"/>
    <w:rsid w:val="6BE4A1A7"/>
    <w:rsid w:val="6BF298F0"/>
    <w:rsid w:val="6BF7C182"/>
    <w:rsid w:val="6C1EE124"/>
    <w:rsid w:val="6C265FD4"/>
    <w:rsid w:val="6C597457"/>
    <w:rsid w:val="6C6F1E5B"/>
    <w:rsid w:val="6C892970"/>
    <w:rsid w:val="6C9029CB"/>
    <w:rsid w:val="6C92BFFC"/>
    <w:rsid w:val="6CAA77A0"/>
    <w:rsid w:val="6CB83D41"/>
    <w:rsid w:val="6CC9DA5E"/>
    <w:rsid w:val="6CFF2762"/>
    <w:rsid w:val="6D2FCCC3"/>
    <w:rsid w:val="6D315399"/>
    <w:rsid w:val="6D4835A3"/>
    <w:rsid w:val="6D58E0E6"/>
    <w:rsid w:val="6D59B03C"/>
    <w:rsid w:val="6D59F4B0"/>
    <w:rsid w:val="6D647257"/>
    <w:rsid w:val="6DA0CA49"/>
    <w:rsid w:val="6DA3EE27"/>
    <w:rsid w:val="6DAEA9B6"/>
    <w:rsid w:val="6DC4BEC3"/>
    <w:rsid w:val="6DC4F46A"/>
    <w:rsid w:val="6DF2A5F1"/>
    <w:rsid w:val="6E2E905D"/>
    <w:rsid w:val="6E3914F8"/>
    <w:rsid w:val="6E47B8BA"/>
    <w:rsid w:val="6E6C6EC0"/>
    <w:rsid w:val="6E6EE66E"/>
    <w:rsid w:val="6E83E5DB"/>
    <w:rsid w:val="6E8FFEBB"/>
    <w:rsid w:val="6E908BF1"/>
    <w:rsid w:val="6E9F67C2"/>
    <w:rsid w:val="6EA991EC"/>
    <w:rsid w:val="6ECB42C1"/>
    <w:rsid w:val="6ED6E185"/>
    <w:rsid w:val="6F1E7091"/>
    <w:rsid w:val="6F39C71D"/>
    <w:rsid w:val="6F4D9AA0"/>
    <w:rsid w:val="6F516156"/>
    <w:rsid w:val="6F5EBA3A"/>
    <w:rsid w:val="6F682476"/>
    <w:rsid w:val="6FA024E1"/>
    <w:rsid w:val="6FB70589"/>
    <w:rsid w:val="6FCB7FBB"/>
    <w:rsid w:val="6FF7D92B"/>
    <w:rsid w:val="700A324C"/>
    <w:rsid w:val="700BF03E"/>
    <w:rsid w:val="7012FBC8"/>
    <w:rsid w:val="703ADCFE"/>
    <w:rsid w:val="705FD28F"/>
    <w:rsid w:val="70673555"/>
    <w:rsid w:val="70816464"/>
    <w:rsid w:val="70874B1C"/>
    <w:rsid w:val="708A4B0C"/>
    <w:rsid w:val="70AB3567"/>
    <w:rsid w:val="70C1FDD8"/>
    <w:rsid w:val="711EC40D"/>
    <w:rsid w:val="7145EDB7"/>
    <w:rsid w:val="715BC06F"/>
    <w:rsid w:val="717DE8C3"/>
    <w:rsid w:val="7198D243"/>
    <w:rsid w:val="71B3AC11"/>
    <w:rsid w:val="71BDE027"/>
    <w:rsid w:val="71D150B2"/>
    <w:rsid w:val="71FC57A9"/>
    <w:rsid w:val="721607CD"/>
    <w:rsid w:val="723627B0"/>
    <w:rsid w:val="72783407"/>
    <w:rsid w:val="72830BC9"/>
    <w:rsid w:val="72897F4B"/>
    <w:rsid w:val="72A2BA90"/>
    <w:rsid w:val="72A650FD"/>
    <w:rsid w:val="72AC9C05"/>
    <w:rsid w:val="72B4BB61"/>
    <w:rsid w:val="72C3C11D"/>
    <w:rsid w:val="72EEA64B"/>
    <w:rsid w:val="7310C787"/>
    <w:rsid w:val="731E4172"/>
    <w:rsid w:val="732E1FD8"/>
    <w:rsid w:val="733F0BD4"/>
    <w:rsid w:val="735C96F9"/>
    <w:rsid w:val="736233D8"/>
    <w:rsid w:val="7373D504"/>
    <w:rsid w:val="73856149"/>
    <w:rsid w:val="73C43612"/>
    <w:rsid w:val="73D5410E"/>
    <w:rsid w:val="7424D279"/>
    <w:rsid w:val="74508758"/>
    <w:rsid w:val="7460414A"/>
    <w:rsid w:val="7464C1F8"/>
    <w:rsid w:val="74853C02"/>
    <w:rsid w:val="748A3A25"/>
    <w:rsid w:val="74962F7C"/>
    <w:rsid w:val="74D0C94E"/>
    <w:rsid w:val="74D0E2DD"/>
    <w:rsid w:val="75102850"/>
    <w:rsid w:val="75148130"/>
    <w:rsid w:val="7518956C"/>
    <w:rsid w:val="757315C9"/>
    <w:rsid w:val="757BB92E"/>
    <w:rsid w:val="757FE856"/>
    <w:rsid w:val="75CB95FE"/>
    <w:rsid w:val="75E44950"/>
    <w:rsid w:val="75FCD844"/>
    <w:rsid w:val="761E382A"/>
    <w:rsid w:val="763BEB73"/>
    <w:rsid w:val="7646B16D"/>
    <w:rsid w:val="76CA8B3D"/>
    <w:rsid w:val="76DCED1B"/>
    <w:rsid w:val="76E99D36"/>
    <w:rsid w:val="76F43E61"/>
    <w:rsid w:val="770A9E94"/>
    <w:rsid w:val="77F75419"/>
    <w:rsid w:val="77F77145"/>
    <w:rsid w:val="78385DFC"/>
    <w:rsid w:val="786EC383"/>
    <w:rsid w:val="78795FC1"/>
    <w:rsid w:val="788ACD69"/>
    <w:rsid w:val="789355B8"/>
    <w:rsid w:val="78ADB054"/>
    <w:rsid w:val="78C69F65"/>
    <w:rsid w:val="79209996"/>
    <w:rsid w:val="7955A337"/>
    <w:rsid w:val="7955D8EC"/>
    <w:rsid w:val="7979FE7B"/>
    <w:rsid w:val="798D9732"/>
    <w:rsid w:val="79C5A3C8"/>
    <w:rsid w:val="79CB79CB"/>
    <w:rsid w:val="79EC9059"/>
    <w:rsid w:val="7A0B4A5E"/>
    <w:rsid w:val="7A11B12D"/>
    <w:rsid w:val="7A1FCD3F"/>
    <w:rsid w:val="7A385FF0"/>
    <w:rsid w:val="7A42A58C"/>
    <w:rsid w:val="7A4980B5"/>
    <w:rsid w:val="7A665D87"/>
    <w:rsid w:val="7A6A65C9"/>
    <w:rsid w:val="7A74DF26"/>
    <w:rsid w:val="7AA0C4C5"/>
    <w:rsid w:val="7AB6F1D5"/>
    <w:rsid w:val="7AB8009C"/>
    <w:rsid w:val="7AC8C993"/>
    <w:rsid w:val="7ADC5FBB"/>
    <w:rsid w:val="7ADFE399"/>
    <w:rsid w:val="7AE64D37"/>
    <w:rsid w:val="7AF342C4"/>
    <w:rsid w:val="7AFC4E1E"/>
    <w:rsid w:val="7B03FD11"/>
    <w:rsid w:val="7B08002A"/>
    <w:rsid w:val="7B207876"/>
    <w:rsid w:val="7B2C2650"/>
    <w:rsid w:val="7B2C3B89"/>
    <w:rsid w:val="7B71BD21"/>
    <w:rsid w:val="7B97CAAA"/>
    <w:rsid w:val="7BC062DD"/>
    <w:rsid w:val="7BC4E75A"/>
    <w:rsid w:val="7BCCFDB3"/>
    <w:rsid w:val="7BEA4DE7"/>
    <w:rsid w:val="7BEAA4BA"/>
    <w:rsid w:val="7C05E05D"/>
    <w:rsid w:val="7C2F0D62"/>
    <w:rsid w:val="7C5AD849"/>
    <w:rsid w:val="7CB7D9FE"/>
    <w:rsid w:val="7CBF515D"/>
    <w:rsid w:val="7CC6338D"/>
    <w:rsid w:val="7CF412BC"/>
    <w:rsid w:val="7D182B8E"/>
    <w:rsid w:val="7D2C68BD"/>
    <w:rsid w:val="7D332A37"/>
    <w:rsid w:val="7D72ADCA"/>
    <w:rsid w:val="7D7CB838"/>
    <w:rsid w:val="7D86A4F4"/>
    <w:rsid w:val="7D87E01C"/>
    <w:rsid w:val="7D93FB78"/>
    <w:rsid w:val="7D961936"/>
    <w:rsid w:val="7DABF994"/>
    <w:rsid w:val="7DBC39EA"/>
    <w:rsid w:val="7DEBF6AE"/>
    <w:rsid w:val="7E099B98"/>
    <w:rsid w:val="7E19C26D"/>
    <w:rsid w:val="7E367E4B"/>
    <w:rsid w:val="7E4377FE"/>
    <w:rsid w:val="7E66A888"/>
    <w:rsid w:val="7E69B37A"/>
    <w:rsid w:val="7E878AB8"/>
    <w:rsid w:val="7EA9975F"/>
    <w:rsid w:val="7EBF3CD1"/>
    <w:rsid w:val="7EC9F0B5"/>
    <w:rsid w:val="7EDFCFCE"/>
    <w:rsid w:val="7F196521"/>
    <w:rsid w:val="7F29F831"/>
    <w:rsid w:val="7F38771A"/>
    <w:rsid w:val="7F591F3F"/>
    <w:rsid w:val="7F678520"/>
    <w:rsid w:val="7F801940"/>
    <w:rsid w:val="7F92B972"/>
    <w:rsid w:val="7F991F8A"/>
    <w:rsid w:val="7FDF485F"/>
    <w:rsid w:val="7FF8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79A99"/>
  <w15:chartTrackingRefBased/>
  <w15:docId w15:val="{794E66D8-31B8-49F8-A1C4-C260F200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Bullet Styl"/>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unhideWhenUsed/>
    <w:rsid w:val="000E3D71"/>
    <w:pPr>
      <w:widowControl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0E3D71"/>
    <w:rPr>
      <w:rFonts w:ascii="Calibri" w:eastAsia="Calibri" w:hAnsi="Calibri"/>
    </w:rPr>
  </w:style>
  <w:style w:type="character" w:styleId="FootnoteReference">
    <w:name w:val="footnote reference"/>
    <w:basedOn w:val="DefaultParagraphFont"/>
    <w:uiPriority w:val="99"/>
    <w:semiHidden/>
    <w:unhideWhenUsed/>
    <w:rsid w:val="000E3D71"/>
    <w:rPr>
      <w:vertAlign w:val="superscript"/>
    </w:rPr>
  </w:style>
  <w:style w:type="character" w:customStyle="1" w:styleId="apple-converted-space">
    <w:name w:val="apple-converted-space"/>
    <w:basedOn w:val="DefaultParagraphFont"/>
    <w:rsid w:val="0092015B"/>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E044A0"/>
    <w:rPr>
      <w:rFonts w:ascii="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6137924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Aleksandra.Kosjaka@mk.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na.Blaske@mk.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k.gov.lv/sites/default/files/editor/valsts_parvaldes_darbinieku_iesaistisanas_aptauja_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787/89b1577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4629ebe12a6ed2f151f2ff6f8c22a84f">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a02105b8e207a4704eae6d07622983b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D188E-3DD8-451A-9CF5-9324C37A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0276D-94C6-4F49-A048-02525601F415}">
  <ds:schemaRefs>
    <ds:schemaRef ds:uri="http://schemas.microsoft.com/sharepoint/v3/contenttype/forms"/>
  </ds:schemaRefs>
</ds:datastoreItem>
</file>

<file path=customXml/itemProps3.xml><?xml version="1.0" encoding="utf-8"?>
<ds:datastoreItem xmlns:ds="http://schemas.openxmlformats.org/officeDocument/2006/customXml" ds:itemID="{EEDFE54D-7E95-4455-8132-250DD4C72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9992</Words>
  <Characters>71247</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Microsoft account</cp:lastModifiedBy>
  <cp:revision>3</cp:revision>
  <cp:lastPrinted>2009-04-08T09:39:00Z</cp:lastPrinted>
  <dcterms:created xsi:type="dcterms:W3CDTF">2021-03-23T14:05:00Z</dcterms:created>
  <dcterms:modified xsi:type="dcterms:W3CDTF">2021-03-23T14:17:00Z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