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00C" w:rsidR="008642F7" w:rsidP="0079262D" w:rsidRDefault="00B31106" w14:paraId="136F0F3B" w14:textId="5815EF3B">
      <w:pPr>
        <w:keepNext/>
        <w:jc w:val="center"/>
      </w:pPr>
      <w:bookmarkStart w:name="_Hlk53574355" w:id="0"/>
      <w:r w:rsidRPr="00CB700C">
        <w:t xml:space="preserve">Ministru kabineta rīkojuma projekta </w:t>
      </w:r>
      <w:r w:rsidRPr="00CB700C" w:rsidR="00F17686">
        <w:t>“Par finanšu līdzekļu piešķiršanu no valsts budžeta programmas 02.00.00 „Līdzekļi neparedzētiem gadījumiem”</w:t>
      </w:r>
      <w:r w:rsidR="001E4E40">
        <w:t>”</w:t>
      </w:r>
      <w:r w:rsidRPr="00CB700C" w:rsidR="00157294">
        <w:rPr>
          <w:spacing w:val="-2"/>
        </w:rPr>
        <w:t xml:space="preserve"> </w:t>
      </w:r>
      <w:bookmarkEnd w:id="0"/>
      <w:r w:rsidRPr="00CB700C">
        <w:t xml:space="preserve">sākotnējās ietekmes novērtējuma </w:t>
      </w:r>
      <w:smartTag w:uri="schemas-tilde-lv/tildestengine" w:element="veidnes">
        <w:smartTagPr>
          <w:attr w:name="id" w:val="-1"/>
          <w:attr w:name="baseform" w:val="ziņojums"/>
          <w:attr w:name="text" w:val="ziņojums"/>
        </w:smartTagPr>
        <w:r w:rsidRPr="00CB700C">
          <w:t>ziņojums</w:t>
        </w:r>
      </w:smartTag>
      <w:r w:rsidRPr="00CB700C">
        <w:t xml:space="preserve"> (anotācija)</w:t>
      </w:r>
    </w:p>
    <w:p w:rsidRPr="00CB700C" w:rsidR="008642F7" w:rsidP="0079262D" w:rsidRDefault="008642F7" w14:paraId="136F0F3C" w14:textId="77777777">
      <w:pPr>
        <w:keepNext/>
        <w:jc w:val="center"/>
      </w:pPr>
    </w:p>
    <w:tbl>
      <w:tblPr>
        <w:tblStyle w:val="TableGrid"/>
        <w:tblW w:w="9640" w:type="dxa"/>
        <w:tblInd w:w="-289" w:type="dxa"/>
        <w:tblLook w:val="04A0" w:firstRow="1" w:lastRow="0" w:firstColumn="1" w:lastColumn="0" w:noHBand="0" w:noVBand="1"/>
      </w:tblPr>
      <w:tblGrid>
        <w:gridCol w:w="3232"/>
        <w:gridCol w:w="6408"/>
      </w:tblGrid>
      <w:tr w:rsidRPr="00CB700C" w:rsidR="008642F7" w:rsidTr="005F6AA5" w14:paraId="136F0F3E" w14:textId="77777777">
        <w:tc>
          <w:tcPr>
            <w:tcW w:w="9640" w:type="dxa"/>
            <w:gridSpan w:val="2"/>
          </w:tcPr>
          <w:p w:rsidRPr="00CB700C" w:rsidR="008642F7" w:rsidP="0079262D" w:rsidRDefault="008642F7" w14:paraId="136F0F3D" w14:textId="77777777">
            <w:pPr>
              <w:keepNext/>
              <w:jc w:val="center"/>
            </w:pPr>
            <w:r w:rsidRPr="00CB700C">
              <w:rPr>
                <w:bCs/>
                <w:iCs/>
              </w:rPr>
              <w:t>Tiesību akta projekta anotācijas kopsavilkums</w:t>
            </w:r>
          </w:p>
        </w:tc>
      </w:tr>
      <w:tr w:rsidRPr="00CB700C" w:rsidR="008642F7" w:rsidTr="00E407ED" w14:paraId="136F0F43" w14:textId="77777777">
        <w:trPr>
          <w:trHeight w:val="2277"/>
        </w:trPr>
        <w:tc>
          <w:tcPr>
            <w:tcW w:w="3232" w:type="dxa"/>
            <w:hideMark/>
          </w:tcPr>
          <w:p w:rsidRPr="00CB700C" w:rsidR="008642F7" w:rsidP="0079262D" w:rsidRDefault="008642F7" w14:paraId="136F0F3F" w14:textId="77777777">
            <w:pPr>
              <w:jc w:val="both"/>
              <w:rPr>
                <w:iCs/>
              </w:rPr>
            </w:pPr>
            <w:r w:rsidRPr="00CB700C">
              <w:rPr>
                <w:iCs/>
              </w:rPr>
              <w:t>Mērķis, risinājums un projekta spēkā stāšanās laiks (500 zīmes bez atstarpēm)</w:t>
            </w:r>
          </w:p>
        </w:tc>
        <w:tc>
          <w:tcPr>
            <w:tcW w:w="6408" w:type="dxa"/>
          </w:tcPr>
          <w:p w:rsidRPr="00B220AC" w:rsidR="008B49EB" w:rsidP="00F11346" w:rsidRDefault="003A7722" w14:paraId="136F0F40" w14:textId="77777777">
            <w:pPr>
              <w:jc w:val="both"/>
              <w:rPr>
                <w:u w:val="single"/>
              </w:rPr>
            </w:pPr>
            <w:r w:rsidRPr="00B220AC">
              <w:t>Ministru kabineta rīkojuma projekts paredz</w:t>
            </w:r>
            <w:r w:rsidRPr="00B220AC" w:rsidR="00F11346">
              <w:t xml:space="preserve"> </w:t>
            </w:r>
            <w:r w:rsidRPr="00B220AC" w:rsidR="00161DB2">
              <w:t xml:space="preserve">piešķirt Satiksmes ministrijai </w:t>
            </w:r>
            <w:r w:rsidRPr="00B220AC" w:rsidR="00161DB2">
              <w:rPr>
                <w:u w:val="single"/>
              </w:rPr>
              <w:t>39 426.00</w:t>
            </w:r>
            <w:r w:rsidRPr="00B220AC" w:rsidR="00161DB2">
              <w:t xml:space="preserve"> </w:t>
            </w:r>
            <w:proofErr w:type="spellStart"/>
            <w:r w:rsidRPr="00B220AC" w:rsidR="00161DB2">
              <w:rPr>
                <w:i/>
                <w:iCs/>
              </w:rPr>
              <w:t>euro</w:t>
            </w:r>
            <w:proofErr w:type="spellEnd"/>
            <w:r w:rsidRPr="00B220AC" w:rsidR="00161DB2">
              <w:rPr>
                <w:i/>
                <w:iCs/>
              </w:rPr>
              <w:t>,</w:t>
            </w:r>
            <w:r w:rsidRPr="00B220AC" w:rsidR="00161DB2">
              <w:t xml:space="preserve"> </w:t>
            </w:r>
            <w:r w:rsidRPr="00B220AC">
              <w:t xml:space="preserve">lai </w:t>
            </w:r>
            <w:r w:rsidRPr="00B220AC" w:rsidR="004745C2">
              <w:t xml:space="preserve">kompensētu mobilo </w:t>
            </w:r>
            <w:r w:rsidR="00C36F8F">
              <w:t xml:space="preserve">sakaru </w:t>
            </w:r>
            <w:r w:rsidRPr="00B220AC" w:rsidR="004745C2">
              <w:t>operatoru izdevumus,</w:t>
            </w:r>
            <w:r w:rsidRPr="00B220AC" w:rsidR="00397F5E">
              <w:t xml:space="preserve"> </w:t>
            </w:r>
            <w:r w:rsidRPr="00B220AC" w:rsidR="004745C2">
              <w:t xml:space="preserve">kas </w:t>
            </w:r>
            <w:r w:rsidRPr="00B220AC" w:rsidR="004745C2">
              <w:rPr>
                <w:shd w:val="clear" w:color="auto" w:fill="FFFFFF" w:themeFill="background1"/>
              </w:rPr>
              <w:t xml:space="preserve">radušies sakarā ar ārkārtējās situācijas rezultātā </w:t>
            </w:r>
            <w:r w:rsidRPr="00B220AC" w:rsidR="004745C2">
              <w:t xml:space="preserve">noteiktajiem drošības  pasākumiem, </w:t>
            </w:r>
            <w:r w:rsidRPr="00B220AC" w:rsidR="008B49EB">
              <w:t>nosūtot personai -</w:t>
            </w:r>
            <w:r w:rsidRPr="00B220AC" w:rsidR="008619AC">
              <w:t>viesabonentam, kurš ir reģistrējies Latvijas mobilo sakaru operatora tīklā</w:t>
            </w:r>
            <w:r w:rsidR="00023ACB">
              <w:t xml:space="preserve"> -</w:t>
            </w:r>
            <w:r w:rsidRPr="00B220AC" w:rsidR="008619AC">
              <w:t xml:space="preserve"> automātisko paziņojumu (turpmāk – SMS paziņojums) laika periodā </w:t>
            </w:r>
            <w:r w:rsidRPr="00B220AC" w:rsidR="00A720A7">
              <w:rPr>
                <w:u w:val="single"/>
              </w:rPr>
              <w:t>no 2021.gada 1</w:t>
            </w:r>
            <w:r w:rsidRPr="00B220AC" w:rsidR="008619AC">
              <w:rPr>
                <w:u w:val="single"/>
              </w:rPr>
              <w:t>.</w:t>
            </w:r>
            <w:r w:rsidRPr="00B220AC" w:rsidR="00A720A7">
              <w:rPr>
                <w:u w:val="single"/>
              </w:rPr>
              <w:t>janvāra  līdz 2021</w:t>
            </w:r>
            <w:r w:rsidRPr="00B220AC" w:rsidR="008619AC">
              <w:rPr>
                <w:u w:val="single"/>
              </w:rPr>
              <w:t>.gada 3</w:t>
            </w:r>
            <w:r w:rsidRPr="00B220AC" w:rsidR="00A720A7">
              <w:rPr>
                <w:u w:val="single"/>
              </w:rPr>
              <w:t>1</w:t>
            </w:r>
            <w:r w:rsidRPr="00B220AC" w:rsidR="008619AC">
              <w:rPr>
                <w:u w:val="single"/>
              </w:rPr>
              <w:t>.</w:t>
            </w:r>
            <w:r w:rsidRPr="00B220AC" w:rsidR="00A720A7">
              <w:rPr>
                <w:u w:val="single"/>
              </w:rPr>
              <w:t>martam</w:t>
            </w:r>
            <w:r w:rsidRPr="0097314E" w:rsidR="00161DB2">
              <w:t xml:space="preserve"> un </w:t>
            </w:r>
            <w:r w:rsidRPr="00B220AC" w:rsidR="00161DB2">
              <w:rPr>
                <w:u w:val="single"/>
              </w:rPr>
              <w:t>6412.00</w:t>
            </w:r>
            <w:r w:rsidRPr="00B220AC" w:rsidR="00161DB2">
              <w:t xml:space="preserve"> </w:t>
            </w:r>
            <w:proofErr w:type="spellStart"/>
            <w:r w:rsidRPr="00B220AC" w:rsidR="00161DB2">
              <w:rPr>
                <w:i/>
              </w:rPr>
              <w:t>euro</w:t>
            </w:r>
            <w:proofErr w:type="spellEnd"/>
            <w:r w:rsidR="0097314E">
              <w:rPr>
                <w:i/>
              </w:rPr>
              <w:t>,</w:t>
            </w:r>
            <w:r w:rsidRPr="00B220AC" w:rsidR="00161DB2">
              <w:t xml:space="preserve"> lai kompensētu </w:t>
            </w:r>
            <w:r w:rsidR="00C36F8F">
              <w:t xml:space="preserve">mobilo sakaru </w:t>
            </w:r>
            <w:r w:rsidRPr="00B220AC" w:rsidR="00161DB2">
              <w:t xml:space="preserve">operatoru faktiskos izdevumus, kas tiem radušies, izsūtot SMS paziņojums laika periodā </w:t>
            </w:r>
            <w:r w:rsidRPr="00B220AC" w:rsidR="00161DB2">
              <w:rPr>
                <w:u w:val="single"/>
              </w:rPr>
              <w:t>no 2020.gada 28.septembra līdz 2020.gada 31.decembrim</w:t>
            </w:r>
            <w:r w:rsidR="00023ACB">
              <w:rPr>
                <w:u w:val="single"/>
              </w:rPr>
              <w:t xml:space="preserve">, </w:t>
            </w:r>
            <w:r w:rsidRPr="00B220AC" w:rsidR="00023ACB">
              <w:rPr>
                <w:u w:val="single"/>
              </w:rPr>
              <w:t>bet netika kompensēti</w:t>
            </w:r>
            <w:r w:rsidRPr="00B220AC" w:rsidR="00161DB2">
              <w:rPr>
                <w:u w:val="single"/>
              </w:rPr>
              <w:t xml:space="preserve">. </w:t>
            </w:r>
          </w:p>
          <w:p w:rsidRPr="00161DB2" w:rsidR="00D81D7C" w:rsidP="00F11346" w:rsidRDefault="00161DB2" w14:paraId="136F0F41" w14:textId="77777777">
            <w:pPr>
              <w:jc w:val="both"/>
              <w:rPr>
                <w:u w:val="single"/>
              </w:rPr>
            </w:pPr>
            <w:r w:rsidRPr="00B220AC">
              <w:t>Finanšu līdzekļi piešķirami no valsts budžeta programmas 02.00.00 “Līdzekļi neparedzētiem gadījumiem”</w:t>
            </w:r>
            <w:r w:rsidRPr="00B220AC" w:rsidR="008619AC">
              <w:t>.</w:t>
            </w:r>
            <w:r w:rsidRPr="00B220AC" w:rsidR="00F11346">
              <w:t xml:space="preserve"> Kopējā </w:t>
            </w:r>
            <w:r w:rsidRPr="00B220AC">
              <w:t>Satiksmes ministrijai piešķiramā</w:t>
            </w:r>
            <w:r w:rsidRPr="00B220AC" w:rsidR="00F11346">
              <w:t xml:space="preserve"> </w:t>
            </w:r>
            <w:r w:rsidRPr="00B220AC">
              <w:t>un mobil</w:t>
            </w:r>
            <w:r w:rsidR="00C36F8F">
              <w:t>o sakaru</w:t>
            </w:r>
            <w:r w:rsidRPr="00B220AC">
              <w:t xml:space="preserve"> operatoriem kompensējamā </w:t>
            </w:r>
            <w:r w:rsidRPr="00B220AC" w:rsidR="00F11346">
              <w:t xml:space="preserve">summa </w:t>
            </w:r>
            <w:r w:rsidRPr="00B220AC" w:rsidR="00F11346">
              <w:rPr>
                <w:u w:val="single"/>
              </w:rPr>
              <w:t xml:space="preserve">45 </w:t>
            </w:r>
            <w:r w:rsidR="007E7BDC">
              <w:rPr>
                <w:u w:val="single"/>
              </w:rPr>
              <w:t>8</w:t>
            </w:r>
            <w:r w:rsidRPr="00B220AC" w:rsidR="00F11346">
              <w:rPr>
                <w:u w:val="single"/>
              </w:rPr>
              <w:t>38.00</w:t>
            </w:r>
            <w:r w:rsidRPr="00B220AC" w:rsidR="00F11346">
              <w:t xml:space="preserve"> </w:t>
            </w:r>
            <w:proofErr w:type="spellStart"/>
            <w:r w:rsidRPr="00B220AC" w:rsidR="00F11346">
              <w:rPr>
                <w:i/>
              </w:rPr>
              <w:t>euro</w:t>
            </w:r>
            <w:proofErr w:type="spellEnd"/>
            <w:r w:rsidRPr="00B220AC" w:rsidR="00F11346">
              <w:rPr>
                <w:i/>
              </w:rPr>
              <w:t>.</w:t>
            </w:r>
          </w:p>
          <w:p w:rsidRPr="00D81D7C" w:rsidR="00BC15D5" w:rsidP="0079262D" w:rsidRDefault="00BC15D5" w14:paraId="136F0F42" w14:textId="77777777">
            <w:pPr>
              <w:jc w:val="both"/>
              <w:rPr>
                <w:iCs/>
              </w:rPr>
            </w:pPr>
            <w:r w:rsidRPr="00D81D7C">
              <w:rPr>
                <w:iCs/>
              </w:rPr>
              <w:t xml:space="preserve">Rīkojums stāsies spēkā </w:t>
            </w:r>
            <w:r w:rsidRPr="00D81D7C">
              <w:t>tā parakstīšanas brīdī.</w:t>
            </w:r>
          </w:p>
        </w:tc>
      </w:tr>
    </w:tbl>
    <w:p w:rsidRPr="00CB700C" w:rsidR="008642F7" w:rsidP="0079262D" w:rsidRDefault="008642F7" w14:paraId="136F0F44" w14:textId="77777777">
      <w:pPr>
        <w:keepNext/>
        <w:jc w:val="cente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1"/>
        <w:gridCol w:w="2703"/>
        <w:gridCol w:w="6531"/>
      </w:tblGrid>
      <w:tr w:rsidRPr="00CB700C" w:rsidR="00921F8C" w:rsidTr="3825006F" w14:paraId="136F0F46" w14:textId="77777777">
        <w:trPr>
          <w:trHeight w:val="419"/>
        </w:trPr>
        <w:tc>
          <w:tcPr>
            <w:tcW w:w="5000" w:type="pct"/>
            <w:gridSpan w:val="3"/>
            <w:vAlign w:val="center"/>
          </w:tcPr>
          <w:p w:rsidRPr="00CB700C" w:rsidR="00B31106" w:rsidP="0079262D" w:rsidRDefault="00B31106" w14:paraId="136F0F45" w14:textId="77777777">
            <w:pPr>
              <w:pStyle w:val="naisnod"/>
              <w:spacing w:before="0" w:beforeAutospacing="0" w:after="0" w:afterAutospacing="0"/>
              <w:ind w:left="57" w:right="57"/>
              <w:jc w:val="center"/>
            </w:pPr>
            <w:r w:rsidRPr="00CB700C">
              <w:t>I. Tiesību akta projekta izstrādes nepieciešamība</w:t>
            </w:r>
          </w:p>
        </w:tc>
      </w:tr>
      <w:tr w:rsidRPr="00CB700C" w:rsidR="00921F8C" w:rsidTr="004E4FCE" w14:paraId="136F0F4F" w14:textId="77777777">
        <w:trPr>
          <w:trHeight w:val="419"/>
        </w:trPr>
        <w:tc>
          <w:tcPr>
            <w:tcW w:w="218" w:type="pct"/>
          </w:tcPr>
          <w:p w:rsidRPr="00CB700C" w:rsidR="00B31106" w:rsidP="0079262D" w:rsidRDefault="00B31106" w14:paraId="136F0F47" w14:textId="77777777">
            <w:pPr>
              <w:pStyle w:val="naiskr"/>
              <w:spacing w:before="0" w:beforeAutospacing="0" w:after="0" w:afterAutospacing="0"/>
              <w:ind w:left="57" w:right="57"/>
              <w:jc w:val="center"/>
            </w:pPr>
            <w:r w:rsidRPr="00CB700C">
              <w:t>1.</w:t>
            </w:r>
          </w:p>
        </w:tc>
        <w:tc>
          <w:tcPr>
            <w:tcW w:w="1400" w:type="pct"/>
          </w:tcPr>
          <w:p w:rsidRPr="00CB700C" w:rsidR="00B31106" w:rsidP="0079262D" w:rsidRDefault="00B31106" w14:paraId="136F0F48" w14:textId="77777777">
            <w:pPr>
              <w:pStyle w:val="naiskr"/>
              <w:spacing w:before="0" w:beforeAutospacing="0" w:after="0" w:afterAutospacing="0"/>
              <w:ind w:left="57" w:right="57"/>
            </w:pPr>
            <w:r w:rsidRPr="00CB700C">
              <w:t>Pamatojums</w:t>
            </w:r>
          </w:p>
        </w:tc>
        <w:tc>
          <w:tcPr>
            <w:tcW w:w="3382" w:type="pct"/>
          </w:tcPr>
          <w:p w:rsidRPr="00FD0AE1" w:rsidR="00F87BCC" w:rsidP="0079262D" w:rsidRDefault="00546028" w14:paraId="136F0F49" w14:textId="77777777">
            <w:pPr>
              <w:ind w:left="57" w:right="142"/>
              <w:jc w:val="both"/>
              <w:rPr>
                <w:color w:val="000000" w:themeColor="text1"/>
              </w:rPr>
            </w:pPr>
            <w:bookmarkStart w:name="_Hlk55477721" w:id="1"/>
            <w:r w:rsidRPr="00FD0AE1">
              <w:rPr>
                <w:color w:val="000000" w:themeColor="text1"/>
              </w:rPr>
              <w:t>Covid-19 infekcijas izplatības seku pārvarēšanas likuma 24.</w:t>
            </w:r>
            <w:r w:rsidRPr="00FD0AE1" w:rsidR="008D7A34">
              <w:rPr>
                <w:color w:val="000000" w:themeColor="text1"/>
              </w:rPr>
              <w:t xml:space="preserve">, 25. </w:t>
            </w:r>
            <w:r w:rsidRPr="00FD0AE1">
              <w:rPr>
                <w:color w:val="000000" w:themeColor="text1"/>
              </w:rPr>
              <w:t>pants.</w:t>
            </w:r>
          </w:p>
          <w:p w:rsidRPr="00FD0AE1" w:rsidR="00C87D0F" w:rsidP="0079262D" w:rsidRDefault="00C87D0F" w14:paraId="136F0F4A" w14:textId="77777777">
            <w:pPr>
              <w:ind w:left="57" w:right="142"/>
              <w:jc w:val="both"/>
              <w:rPr>
                <w:color w:val="000000" w:themeColor="text1"/>
              </w:rPr>
            </w:pPr>
            <w:bookmarkStart w:name="_Hlk55477772" w:id="2"/>
            <w:bookmarkEnd w:id="1"/>
            <w:r w:rsidRPr="00FD0AE1">
              <w:rPr>
                <w:color w:val="000000" w:themeColor="text1"/>
              </w:rPr>
              <w:t>Covid-19 infekcijas izplatības pārvaldības likuma 34.pants.</w:t>
            </w:r>
            <w:bookmarkEnd w:id="2"/>
          </w:p>
          <w:p w:rsidRPr="00FD0AE1" w:rsidR="00BF577D" w:rsidP="0079262D" w:rsidRDefault="00BF577D" w14:paraId="136F0F4B" w14:textId="77777777">
            <w:pPr>
              <w:ind w:left="57" w:right="142"/>
              <w:jc w:val="both"/>
              <w:rPr>
                <w:color w:val="000000" w:themeColor="text1"/>
              </w:rPr>
            </w:pPr>
            <w:bookmarkStart w:name="_Hlk55482763" w:id="3"/>
            <w:r w:rsidRPr="00FD0AE1">
              <w:rPr>
                <w:color w:val="000000" w:themeColor="text1"/>
              </w:rPr>
              <w:t xml:space="preserve">Ministru kabineta 2020. gada 22. </w:t>
            </w:r>
            <w:r w:rsidRPr="00FD0AE1" w:rsidR="00A720A7">
              <w:rPr>
                <w:color w:val="000000" w:themeColor="text1"/>
              </w:rPr>
              <w:t>decembra</w:t>
            </w:r>
            <w:r w:rsidRPr="00FD0AE1">
              <w:rPr>
                <w:color w:val="000000" w:themeColor="text1"/>
              </w:rPr>
              <w:t xml:space="preserve"> </w:t>
            </w:r>
            <w:r w:rsidRPr="00FD0AE1" w:rsidR="00BC15D5">
              <w:rPr>
                <w:color w:val="000000" w:themeColor="text1"/>
              </w:rPr>
              <w:t xml:space="preserve">sēdes </w:t>
            </w:r>
            <w:proofErr w:type="spellStart"/>
            <w:r w:rsidRPr="00FD0AE1" w:rsidR="00BC15D5">
              <w:rPr>
                <w:color w:val="000000" w:themeColor="text1"/>
              </w:rPr>
              <w:t>protokollēmuma</w:t>
            </w:r>
            <w:proofErr w:type="spellEnd"/>
            <w:r w:rsidRPr="00FD0AE1" w:rsidR="00A720A7">
              <w:rPr>
                <w:color w:val="000000" w:themeColor="text1"/>
              </w:rPr>
              <w:t xml:space="preserve"> (Prot. Nr. 86., 5.§) 4</w:t>
            </w:r>
            <w:r w:rsidRPr="00FD0AE1">
              <w:rPr>
                <w:color w:val="000000" w:themeColor="text1"/>
              </w:rPr>
              <w:t>.punkts.</w:t>
            </w:r>
          </w:p>
          <w:p w:rsidRPr="00FD0AE1" w:rsidR="004E4FCE" w:rsidP="0079262D" w:rsidRDefault="004E4FCE" w14:paraId="136F0F4C" w14:textId="77777777">
            <w:pPr>
              <w:ind w:left="57" w:right="142"/>
              <w:jc w:val="both"/>
              <w:rPr>
                <w:color w:val="000000" w:themeColor="text1"/>
              </w:rPr>
            </w:pPr>
            <w:r w:rsidRPr="00FD0AE1">
              <w:rPr>
                <w:color w:val="000000" w:themeColor="text1"/>
              </w:rPr>
              <w:t xml:space="preserve">Ministru kabineta 2021.gada 1.aprīļa sēdes </w:t>
            </w:r>
            <w:proofErr w:type="spellStart"/>
            <w:r w:rsidRPr="00FD0AE1">
              <w:rPr>
                <w:color w:val="000000" w:themeColor="text1"/>
              </w:rPr>
              <w:t>protokollēmuma</w:t>
            </w:r>
            <w:proofErr w:type="spellEnd"/>
            <w:r w:rsidRPr="00FD0AE1">
              <w:rPr>
                <w:color w:val="000000" w:themeColor="text1"/>
              </w:rPr>
              <w:t xml:space="preserve"> (Prot. Nr. 31., 46.§) 4.punkts.</w:t>
            </w:r>
          </w:p>
          <w:p w:rsidRPr="00ED1279" w:rsidR="00F73D04" w:rsidP="0079262D" w:rsidRDefault="00F73D04" w14:paraId="136F0F4D" w14:textId="77777777">
            <w:pPr>
              <w:ind w:left="57" w:right="142"/>
              <w:jc w:val="both"/>
              <w:rPr>
                <w:b/>
                <w:color w:val="FF0000"/>
              </w:rPr>
            </w:pPr>
            <w:r w:rsidRPr="00FD0AE1">
              <w:rPr>
                <w:color w:val="000000" w:themeColor="text1"/>
              </w:rPr>
              <w:t>Ministru kabineta 2020.gada 24.novembra rīkojums Nr. 675 "Par finanšu līdzekļu piešķiršanu no valsts budžeta programmas 02.00.00 "Līdzekļi neparedzētiem gadījumiem”</w:t>
            </w:r>
            <w:r w:rsidRPr="00FD0AE1" w:rsidR="00CA09C7">
              <w:rPr>
                <w:color w:val="000000" w:themeColor="text1"/>
              </w:rPr>
              <w:t xml:space="preserve"> (turpmāk- MK rīkojums Nr.675)</w:t>
            </w:r>
            <w:r w:rsidRPr="00FD0AE1" w:rsidR="00F33CC2">
              <w:rPr>
                <w:color w:val="000000" w:themeColor="text1"/>
              </w:rPr>
              <w:t>.</w:t>
            </w:r>
          </w:p>
          <w:bookmarkEnd w:id="3"/>
          <w:p w:rsidRPr="00CB700C" w:rsidR="00244D2A" w:rsidP="0079262D" w:rsidRDefault="00244D2A" w14:paraId="136F0F4E" w14:textId="77777777">
            <w:pPr>
              <w:ind w:left="57" w:right="142"/>
              <w:jc w:val="both"/>
            </w:pPr>
            <w:r w:rsidRPr="00CB700C">
              <w:t>Ministru kabineta 2018.gada 17.jūlija noteikumu Nr.421 „Kārtība, kādā veic gadskārtējā valsts budžeta likumā noteiktās apropriācijas izmaiņas” 43.punkts.</w:t>
            </w:r>
          </w:p>
        </w:tc>
      </w:tr>
      <w:tr w:rsidRPr="00CB700C" w:rsidR="00921F8C" w:rsidTr="00304C9F" w14:paraId="136F0F68" w14:textId="77777777">
        <w:trPr>
          <w:trHeight w:val="472"/>
        </w:trPr>
        <w:tc>
          <w:tcPr>
            <w:tcW w:w="218" w:type="pct"/>
          </w:tcPr>
          <w:p w:rsidRPr="00CB700C" w:rsidR="00B31106" w:rsidP="0079262D" w:rsidRDefault="00B31106" w14:paraId="136F0F50" w14:textId="77777777">
            <w:pPr>
              <w:pStyle w:val="naiskr"/>
              <w:spacing w:before="0" w:beforeAutospacing="0" w:after="0" w:afterAutospacing="0"/>
              <w:ind w:left="57" w:right="57"/>
              <w:jc w:val="center"/>
            </w:pPr>
            <w:r w:rsidRPr="00CB700C">
              <w:t>2.</w:t>
            </w:r>
          </w:p>
        </w:tc>
        <w:tc>
          <w:tcPr>
            <w:tcW w:w="1400" w:type="pct"/>
          </w:tcPr>
          <w:p w:rsidRPr="00CB700C" w:rsidR="00B31106" w:rsidP="0079262D" w:rsidRDefault="00B31106" w14:paraId="136F0F51" w14:textId="77777777">
            <w:pPr>
              <w:pStyle w:val="naiskr"/>
              <w:tabs>
                <w:tab w:val="left" w:pos="170"/>
              </w:tabs>
              <w:spacing w:before="0" w:beforeAutospacing="0" w:after="0" w:afterAutospacing="0"/>
              <w:ind w:left="57" w:right="132"/>
            </w:pPr>
            <w:r w:rsidRPr="00CB700C">
              <w:t xml:space="preserve">Pašreizējā situācija un problēmas, kuru risināšanai tiesību akta </w:t>
            </w:r>
            <w:r w:rsidRPr="00CB700C">
              <w:lastRenderedPageBreak/>
              <w:t>projekts izstrādāts, tiesiskā regulējuma mērķis un būtība</w:t>
            </w:r>
          </w:p>
        </w:tc>
        <w:tc>
          <w:tcPr>
            <w:tcW w:w="3382" w:type="pct"/>
            <w:shd w:val="clear" w:color="auto" w:fill="FFFFFF" w:themeFill="background1"/>
          </w:tcPr>
          <w:p w:rsidR="00993B74" w:rsidP="00F73D04" w:rsidRDefault="00F73D04" w14:paraId="136F0F52" w14:textId="77777777">
            <w:pPr>
              <w:ind w:right="11"/>
              <w:jc w:val="both"/>
              <w:rPr>
                <w:lang w:eastAsia="en-GB"/>
              </w:rPr>
            </w:pPr>
            <w:r w:rsidRPr="00CB700C">
              <w:rPr>
                <w:color w:val="000000" w:themeColor="text1"/>
                <w:lang w:eastAsia="en-GB"/>
              </w:rPr>
              <w:lastRenderedPageBreak/>
              <w:t xml:space="preserve">    </w:t>
            </w:r>
            <w:r w:rsidRPr="00CB700C" w:rsidR="00993B74">
              <w:rPr>
                <w:color w:val="000000" w:themeColor="text1"/>
                <w:lang w:eastAsia="en-GB"/>
              </w:rPr>
              <w:t>Kopš infekcij</w:t>
            </w:r>
            <w:r w:rsidRPr="00CB700C" w:rsidR="005E2ABB">
              <w:rPr>
                <w:color w:val="000000" w:themeColor="text1"/>
                <w:lang w:eastAsia="en-GB"/>
              </w:rPr>
              <w:t>as Covid-19 izplatīšanās sākuma</w:t>
            </w:r>
            <w:r w:rsidRPr="00CB700C" w:rsidR="00993B74">
              <w:rPr>
                <w:color w:val="000000" w:themeColor="text1"/>
                <w:lang w:eastAsia="en-GB"/>
              </w:rPr>
              <w:t xml:space="preserve"> Latvija ir centusies būt elastīga un pieņemt konstruktīvus lēmumus Covid-19 infekcijas ierobežošanai, īstenojot vadības pieņemto stratēģiju</w:t>
            </w:r>
            <w:r w:rsidRPr="00CB700C" w:rsidR="00993B74">
              <w:rPr>
                <w:rStyle w:val="FootnoteReference"/>
                <w:color w:val="000000" w:themeColor="text1"/>
                <w:lang w:eastAsia="en-GB"/>
              </w:rPr>
              <w:t xml:space="preserve"> </w:t>
            </w:r>
            <w:r w:rsidRPr="00CB700C" w:rsidR="00993B74">
              <w:rPr>
                <w:rStyle w:val="FootnoteReference"/>
                <w:color w:val="000000" w:themeColor="text1"/>
                <w:lang w:eastAsia="en-GB"/>
              </w:rPr>
              <w:footnoteReference w:id="2"/>
            </w:r>
            <w:r w:rsidRPr="00CB700C" w:rsidR="00993B74">
              <w:rPr>
                <w:color w:val="000000" w:themeColor="text1"/>
                <w:lang w:eastAsia="en-GB"/>
              </w:rPr>
              <w:t xml:space="preserve"> un </w:t>
            </w:r>
            <w:r w:rsidRPr="00CB700C" w:rsidR="00993B74">
              <w:rPr>
                <w:color w:val="000000" w:themeColor="text1"/>
                <w:lang w:eastAsia="en-GB"/>
              </w:rPr>
              <w:lastRenderedPageBreak/>
              <w:t>veicot izmaiņas normatīvajos aktos, kas reglamentē Covid-19 infekcijas izplatības pārvaldību</w:t>
            </w:r>
            <w:r w:rsidRPr="00CB700C" w:rsidR="00993B74">
              <w:rPr>
                <w:rStyle w:val="FootnoteReference"/>
                <w:color w:val="000000" w:themeColor="text1"/>
                <w:lang w:eastAsia="en-GB"/>
              </w:rPr>
              <w:footnoteReference w:id="3"/>
            </w:r>
            <w:r w:rsidRPr="00CB700C" w:rsidR="00993B74">
              <w:rPr>
                <w:color w:val="000000" w:themeColor="text1"/>
                <w:lang w:eastAsia="en-GB"/>
              </w:rPr>
              <w:t xml:space="preserve"> un epidemioloģiskās drošības pasākumus Covid-19 infekcijas izplatības ierobežošanai</w:t>
            </w:r>
            <w:r w:rsidRPr="00CB700C" w:rsidR="00993B74">
              <w:rPr>
                <w:rStyle w:val="FootnoteReference"/>
                <w:color w:val="000000" w:themeColor="text1"/>
                <w:lang w:eastAsia="en-GB"/>
              </w:rPr>
              <w:footnoteReference w:id="4"/>
            </w:r>
            <w:r w:rsidRPr="00CB700C" w:rsidR="00993B74">
              <w:rPr>
                <w:color w:val="000000" w:themeColor="text1"/>
                <w:lang w:eastAsia="en-GB"/>
              </w:rPr>
              <w:t xml:space="preserve">, savlaicīgi veicot prognozes par iespējamo </w:t>
            </w:r>
            <w:r w:rsidRPr="00CB700C" w:rsidR="00F01F9C">
              <w:rPr>
                <w:color w:val="000000" w:themeColor="text1"/>
                <w:lang w:eastAsia="en-GB"/>
              </w:rPr>
              <w:t>infekcijas Covid-19 izplatīšanos</w:t>
            </w:r>
            <w:r w:rsidRPr="00CB700C" w:rsidR="00993B74">
              <w:rPr>
                <w:color w:val="000000" w:themeColor="text1"/>
                <w:lang w:eastAsia="en-GB"/>
              </w:rPr>
              <w:t xml:space="preserve"> un tās ierobežošanas iespējām. </w:t>
            </w:r>
            <w:r w:rsidRPr="00CB700C" w:rsidR="00F01F9C">
              <w:rPr>
                <w:lang w:eastAsia="en-GB"/>
              </w:rPr>
              <w:t>Ņemot vērā straujo Covid-19 infekcijas izplatīšanos un pieaugošo veselības nozares pārslodzes risku</w:t>
            </w:r>
            <w:r w:rsidR="001A01D9">
              <w:rPr>
                <w:lang w:eastAsia="en-GB"/>
              </w:rPr>
              <w:t>,</w:t>
            </w:r>
            <w:r w:rsidRPr="00CB700C" w:rsidR="00F01F9C">
              <w:rPr>
                <w:lang w:eastAsia="en-GB"/>
              </w:rPr>
              <w:t xml:space="preserve"> Ministru kabinets 2020. gada 6. novembrī izsludināja ārkārtējo situāciju</w:t>
            </w:r>
            <w:r w:rsidRPr="00CB700C" w:rsidR="00F01F9C">
              <w:rPr>
                <w:rStyle w:val="FootnoteReference"/>
                <w:lang w:eastAsia="en-GB"/>
              </w:rPr>
              <w:footnoteReference w:id="5"/>
            </w:r>
            <w:r w:rsidRPr="00CB700C" w:rsidR="00F01F9C">
              <w:rPr>
                <w:lang w:eastAsia="en-GB"/>
              </w:rPr>
              <w:t xml:space="preserve"> otro reizi šī gada laikā, lai samazinātu atkārtotu Covid-19 infekcijas izplatību Latvijā līdz kontrolējamai robežai, vienlaikus nodrošinot svarīgu valsts funkciju un pakalpojumu nepārtrauktību.</w:t>
            </w:r>
            <w:r w:rsidRPr="00CB700C" w:rsidR="00154FA6">
              <w:rPr>
                <w:lang w:eastAsia="en-GB"/>
              </w:rPr>
              <w:t xml:space="preserve">  Latvijas stratēģijā tika noteikts, ka ir svarīgi būt elastīgiem lēmumu pieņemšanā, spējīgiem tos izskaidrot sabiedrībai un pielāgoties situācijas attīstībai, tādēļ sabiedrības informētība ir vitāli nozīmīga Covid-19 infekcijas izplatības pārvaldībā un epidemioloģiskās drošības pasākumu Covid-19 infekcijas izplatības ierobežošanā.</w:t>
            </w:r>
          </w:p>
          <w:p w:rsidR="009508B8" w:rsidP="00F73D04" w:rsidRDefault="009508B8" w14:paraId="136F0F53" w14:textId="77777777">
            <w:pPr>
              <w:ind w:right="11"/>
              <w:jc w:val="both"/>
              <w:rPr>
                <w:lang w:eastAsia="en-GB"/>
              </w:rPr>
            </w:pPr>
            <w:r>
              <w:rPr>
                <w:lang w:eastAsia="en-GB"/>
              </w:rPr>
              <w:t xml:space="preserve">            Ievērojot </w:t>
            </w:r>
            <w:r w:rsidRPr="00CB700C">
              <w:rPr>
                <w:lang w:eastAsia="en-GB"/>
              </w:rPr>
              <w:t xml:space="preserve"> Ministru kabinet</w:t>
            </w:r>
            <w:r w:rsidR="00023ACB">
              <w:rPr>
                <w:lang w:eastAsia="en-GB"/>
              </w:rPr>
              <w:t>a</w:t>
            </w:r>
            <w:r w:rsidRPr="00CB700C">
              <w:rPr>
                <w:lang w:eastAsia="en-GB"/>
              </w:rPr>
              <w:t xml:space="preserve"> 2020.gada 22.septembra sēdē (Prot. Nr.55., 37.</w:t>
            </w:r>
            <w:r w:rsidRPr="00CB700C">
              <w:t xml:space="preserve"> </w:t>
            </w:r>
            <w:r>
              <w:rPr>
                <w:lang w:eastAsia="en-GB"/>
              </w:rPr>
              <w:t>§) atbalstīto</w:t>
            </w:r>
            <w:r w:rsidRPr="00CB700C">
              <w:rPr>
                <w:lang w:eastAsia="en-GB"/>
              </w:rPr>
              <w:t xml:space="preserve"> informatīvajā ziņojumā “Par SMS apziņošanas izmantošanu personu informēšanai par Latvijā noteiktajiem Covid-19 epidemioloģiskās drošības pasākumiem”</w:t>
            </w:r>
            <w:r>
              <w:rPr>
                <w:lang w:eastAsia="en-GB"/>
              </w:rPr>
              <w:t xml:space="preserve"> </w:t>
            </w:r>
            <w:r w:rsidRPr="00CB700C">
              <w:rPr>
                <w:lang w:eastAsia="en-GB"/>
              </w:rPr>
              <w:t xml:space="preserve"> ietverto priekšlikumu</w:t>
            </w:r>
            <w:r w:rsidR="009B4988">
              <w:rPr>
                <w:lang w:eastAsia="en-GB"/>
              </w:rPr>
              <w:t>,</w:t>
            </w:r>
            <w:r>
              <w:rPr>
                <w:lang w:eastAsia="en-GB"/>
              </w:rPr>
              <w:t xml:space="preserve"> laika periodā no </w:t>
            </w:r>
            <w:r w:rsidR="00523FEC">
              <w:rPr>
                <w:lang w:eastAsia="en-GB"/>
              </w:rPr>
              <w:t>2020</w:t>
            </w:r>
            <w:r w:rsidRPr="00FD0AE1">
              <w:rPr>
                <w:lang w:eastAsia="en-GB"/>
              </w:rPr>
              <w:t>.gada 28.septembra līdz 2020.gada 31.</w:t>
            </w:r>
            <w:r w:rsidRPr="00B220AC">
              <w:rPr>
                <w:lang w:eastAsia="en-GB"/>
              </w:rPr>
              <w:t>decembrim mobilo sakaru operatori (</w:t>
            </w:r>
            <w:r w:rsidRPr="00B220AC">
              <w:rPr>
                <w:color w:val="000000" w:themeColor="text1"/>
              </w:rPr>
              <w:t xml:space="preserve"> SIA „Latvijas Mobilais telefons</w:t>
            </w:r>
            <w:r w:rsidRPr="00B220AC">
              <w:rPr>
                <w:lang w:eastAsia="en-GB"/>
              </w:rPr>
              <w:t xml:space="preserve"> (turpmāk- LMT), SIA „Tele2” (turpmāk- Tele2) un SIA „</w:t>
            </w:r>
            <w:r w:rsidRPr="00B220AC" w:rsidR="00B220AC">
              <w:rPr>
                <w:lang w:eastAsia="en-GB"/>
              </w:rPr>
              <w:t>BITE</w:t>
            </w:r>
            <w:r w:rsidRPr="00B220AC">
              <w:rPr>
                <w:lang w:eastAsia="en-GB"/>
              </w:rPr>
              <w:t xml:space="preserve"> L</w:t>
            </w:r>
            <w:r w:rsidRPr="00B220AC" w:rsidR="00B220AC">
              <w:rPr>
                <w:lang w:eastAsia="en-GB"/>
              </w:rPr>
              <w:t>atvija</w:t>
            </w:r>
            <w:r w:rsidRPr="00B220AC">
              <w:rPr>
                <w:lang w:eastAsia="en-GB"/>
              </w:rPr>
              <w:t>” (turpmāk- Bite)</w:t>
            </w:r>
            <w:r>
              <w:rPr>
                <w:lang w:eastAsia="en-GB"/>
              </w:rPr>
              <w:t xml:space="preserve"> nosūtīja </w:t>
            </w:r>
            <w:r w:rsidRPr="00CB700C">
              <w:rPr>
                <w:lang w:eastAsia="en-GB"/>
              </w:rPr>
              <w:t xml:space="preserve"> </w:t>
            </w:r>
            <w:r w:rsidRPr="00CB700C" w:rsidR="00523FEC">
              <w:rPr>
                <w:lang w:eastAsia="en-GB"/>
              </w:rPr>
              <w:t xml:space="preserve"> lietotājiem, kuri ir reģistrējušies sava operatora tīklā pēc viesabonēšanas</w:t>
            </w:r>
            <w:r w:rsidR="00523FEC">
              <w:rPr>
                <w:lang w:eastAsia="en-GB"/>
              </w:rPr>
              <w:t xml:space="preserve"> un viesabonentiem</w:t>
            </w:r>
            <w:r w:rsidRPr="00CB700C">
              <w:rPr>
                <w:lang w:eastAsia="en-GB"/>
              </w:rPr>
              <w:t xml:space="preserve">, kas ieceļoja vai atgriezās Latvijā </w:t>
            </w:r>
            <w:r w:rsidR="00523FEC">
              <w:rPr>
                <w:lang w:eastAsia="en-GB"/>
              </w:rPr>
              <w:t>no ārvalstīm</w:t>
            </w:r>
            <w:r w:rsidR="00023ACB">
              <w:rPr>
                <w:lang w:eastAsia="en-GB"/>
              </w:rPr>
              <w:t>,</w:t>
            </w:r>
            <w:r w:rsidRPr="00FD0AE1">
              <w:rPr>
                <w:lang w:eastAsia="en-GB"/>
              </w:rPr>
              <w:t xml:space="preserve"> SMS </w:t>
            </w:r>
            <w:r>
              <w:rPr>
                <w:lang w:eastAsia="en-GB"/>
              </w:rPr>
              <w:t>paziņojumus</w:t>
            </w:r>
            <w:r w:rsidR="00523FEC">
              <w:rPr>
                <w:lang w:eastAsia="en-GB"/>
              </w:rPr>
              <w:t>. V</w:t>
            </w:r>
            <w:r w:rsidRPr="00CB700C" w:rsidR="00523FEC">
              <w:rPr>
                <w:lang w:eastAsia="en-GB"/>
              </w:rPr>
              <w:t>alsts Satiksmes ministrijas personā kompensēja</w:t>
            </w:r>
            <w:r w:rsidR="00523FEC">
              <w:rPr>
                <w:lang w:eastAsia="en-GB"/>
              </w:rPr>
              <w:t xml:space="preserve"> izmaksas par </w:t>
            </w:r>
            <w:r w:rsidRPr="00CB700C" w:rsidR="00523FEC">
              <w:rPr>
                <w:lang w:eastAsia="en-GB"/>
              </w:rPr>
              <w:t>viesabo</w:t>
            </w:r>
            <w:r w:rsidR="00523FEC">
              <w:rPr>
                <w:lang w:eastAsia="en-GB"/>
              </w:rPr>
              <w:t>nentam nosūtītajiem SMS paziņojumiem (</w:t>
            </w:r>
            <w:r w:rsidRPr="00FD0AE1" w:rsidR="00523FEC">
              <w:rPr>
                <w:lang w:eastAsia="en-GB"/>
              </w:rPr>
              <w:t>2 023</w:t>
            </w:r>
            <w:r w:rsidR="00523FEC">
              <w:rPr>
                <w:lang w:eastAsia="en-GB"/>
              </w:rPr>
              <w:t> </w:t>
            </w:r>
            <w:r w:rsidRPr="00FD0AE1" w:rsidR="00523FEC">
              <w:rPr>
                <w:lang w:eastAsia="en-GB"/>
              </w:rPr>
              <w:t>952</w:t>
            </w:r>
            <w:r w:rsidR="00523FEC">
              <w:rPr>
                <w:lang w:eastAsia="en-GB"/>
              </w:rPr>
              <w:t xml:space="preserve"> SMS paziņojumi).</w:t>
            </w:r>
          </w:p>
          <w:p w:rsidRPr="00CB700C" w:rsidR="008B61EC" w:rsidP="00631750" w:rsidRDefault="002E3BD2" w14:paraId="136F0F54" w14:textId="77777777">
            <w:pPr>
              <w:shd w:val="clear" w:color="auto" w:fill="FFFFFF" w:themeFill="background1"/>
              <w:ind w:firstLine="720"/>
              <w:jc w:val="both"/>
              <w:rPr>
                <w:color w:val="000000" w:themeColor="text1"/>
              </w:rPr>
            </w:pPr>
            <w:r w:rsidRPr="00631750">
              <w:rPr>
                <w:color w:val="000000" w:themeColor="text1"/>
              </w:rPr>
              <w:t>Covid-19 infekcijas izplatības pārvaldības likuma 34.pantā</w:t>
            </w:r>
            <w:r w:rsidRPr="00631750" w:rsidR="00BB27B6">
              <w:rPr>
                <w:color w:val="000000" w:themeColor="text1"/>
              </w:rPr>
              <w:t xml:space="preserve"> elektronisko sakaru komersantiem, kas nodrošina </w:t>
            </w:r>
            <w:r w:rsidRPr="00631750" w:rsidR="00BB27B6">
              <w:rPr>
                <w:color w:val="000000" w:themeColor="text1"/>
                <w:shd w:val="clear" w:color="auto" w:fill="FFFFFF"/>
              </w:rPr>
              <w:t xml:space="preserve"> publisko mobilo</w:t>
            </w:r>
            <w:r w:rsidRPr="00CB700C" w:rsidR="00BB27B6">
              <w:rPr>
                <w:color w:val="000000" w:themeColor="text1"/>
                <w:shd w:val="clear" w:color="auto" w:fill="FFFFFF"/>
              </w:rPr>
              <w:t xml:space="preserve"> elektronisko sakaru tīklu</w:t>
            </w:r>
            <w:r w:rsidRPr="00CB700C" w:rsidR="008479C5">
              <w:rPr>
                <w:color w:val="000000" w:themeColor="text1"/>
              </w:rPr>
              <w:t>,</w:t>
            </w:r>
            <w:r w:rsidRPr="00CB700C" w:rsidR="00BB27B6">
              <w:rPr>
                <w:color w:val="000000" w:themeColor="text1"/>
              </w:rPr>
              <w:t xml:space="preserve"> noteikts</w:t>
            </w:r>
            <w:r w:rsidRPr="00CB700C">
              <w:rPr>
                <w:color w:val="000000" w:themeColor="text1"/>
              </w:rPr>
              <w:t xml:space="preserve"> </w:t>
            </w:r>
            <w:r w:rsidRPr="00CB700C" w:rsidR="00BB27B6">
              <w:rPr>
                <w:color w:val="000000" w:themeColor="text1"/>
              </w:rPr>
              <w:t xml:space="preserve">pienākums </w:t>
            </w:r>
            <w:r w:rsidRPr="00CB700C" w:rsidR="00E42025">
              <w:rPr>
                <w:color w:val="000000" w:themeColor="text1"/>
              </w:rPr>
              <w:t>nosūtīt personai (viesabonentam, kurš ir reģistrējies Latvijas mobilo sakaru operatora tīklā, un Latvijas mobilo sakaru operatora balss pakalpojuma galalietotājam, kurš ir reģistrējies sava operatora tīklā pēc viesabonēšanas</w:t>
            </w:r>
            <w:r w:rsidRPr="00CB700C" w:rsidR="002B5FCB">
              <w:rPr>
                <w:color w:val="000000" w:themeColor="text1"/>
              </w:rPr>
              <w:t>)</w:t>
            </w:r>
            <w:r w:rsidRPr="00CB700C" w:rsidR="00E42025">
              <w:rPr>
                <w:color w:val="000000" w:themeColor="text1"/>
              </w:rPr>
              <w:t xml:space="preserve"> </w:t>
            </w:r>
            <w:r w:rsidRPr="00CB700C" w:rsidR="00FE17C0">
              <w:rPr>
                <w:color w:val="000000" w:themeColor="text1"/>
              </w:rPr>
              <w:t>SMS paziņojumu</w:t>
            </w:r>
            <w:r w:rsidRPr="00CB700C" w:rsidR="00877D62">
              <w:rPr>
                <w:color w:val="000000" w:themeColor="text1"/>
              </w:rPr>
              <w:t xml:space="preserve">. </w:t>
            </w:r>
          </w:p>
          <w:p w:rsidRPr="00FD0AE1" w:rsidR="008B61EC" w:rsidP="0079262D" w:rsidRDefault="008B61EC" w14:paraId="136F0F55" w14:textId="77777777">
            <w:pPr>
              <w:ind w:firstLine="720"/>
              <w:jc w:val="both"/>
              <w:rPr>
                <w:color w:val="000000" w:themeColor="text1"/>
              </w:rPr>
            </w:pPr>
            <w:r w:rsidRPr="00CB700C">
              <w:rPr>
                <w:color w:val="000000" w:themeColor="text1"/>
              </w:rPr>
              <w:t>Saskaņā ar Covid-19 infekcijas izplatības seku pārvarēšanas likuma 24.pantu pasākumus ar Covid-19 izplat</w:t>
            </w:r>
            <w:r w:rsidR="009B4988">
              <w:rPr>
                <w:color w:val="000000" w:themeColor="text1"/>
              </w:rPr>
              <w:t>ību saistīto valsts apdraudējumu</w:t>
            </w:r>
            <w:r w:rsidRPr="00CB700C">
              <w:rPr>
                <w:color w:val="000000" w:themeColor="text1"/>
              </w:rPr>
              <w:t xml:space="preserve"> un tā seku </w:t>
            </w:r>
            <w:r w:rsidR="009B4988">
              <w:rPr>
                <w:color w:val="000000" w:themeColor="text1"/>
              </w:rPr>
              <w:t>novēršanu un pārvarēšanu</w:t>
            </w:r>
            <w:r w:rsidRPr="00CB700C" w:rsidR="00971D50">
              <w:rPr>
                <w:color w:val="000000" w:themeColor="text1"/>
              </w:rPr>
              <w:t xml:space="preserve"> finansē no budžeta finansētajiem</w:t>
            </w:r>
            <w:r w:rsidRPr="00CB700C">
              <w:rPr>
                <w:color w:val="000000" w:themeColor="text1"/>
              </w:rPr>
              <w:t xml:space="preserve">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w:t>
            </w:r>
            <w:r w:rsidRPr="00FD0AE1">
              <w:rPr>
                <w:color w:val="000000" w:themeColor="text1"/>
              </w:rPr>
              <w:t>.00 "Līdzekļi neparedzētiem gadījumiem".</w:t>
            </w:r>
          </w:p>
          <w:p w:rsidRPr="00631750" w:rsidR="007A6B0A" w:rsidP="00631750" w:rsidRDefault="007A6B0A" w14:paraId="136F0F56" w14:textId="77777777">
            <w:pPr>
              <w:shd w:val="clear" w:color="auto" w:fill="FFFFFF" w:themeFill="background1"/>
              <w:ind w:firstLine="720"/>
              <w:jc w:val="both"/>
              <w:rPr>
                <w:color w:val="000000" w:themeColor="text1"/>
              </w:rPr>
            </w:pPr>
            <w:r w:rsidRPr="00FD0AE1">
              <w:rPr>
                <w:color w:val="000000" w:themeColor="text1"/>
              </w:rPr>
              <w:t xml:space="preserve">Starpinstitūciju darbības koordinācijas grupas </w:t>
            </w:r>
            <w:r w:rsidRPr="00FD0AE1">
              <w:t xml:space="preserve">(izveidota ar Ministru prezidenta 2020.gada 10.jūlija rīkojumu Nr.2020/1.2.1.-84)  </w:t>
            </w:r>
            <w:r w:rsidRPr="00FD0AE1" w:rsidR="00993B74">
              <w:rPr>
                <w:color w:val="000000" w:themeColor="text1"/>
              </w:rPr>
              <w:t xml:space="preserve">2020.gada </w:t>
            </w:r>
            <w:r w:rsidRPr="00FD0AE1">
              <w:rPr>
                <w:color w:val="000000" w:themeColor="text1"/>
              </w:rPr>
              <w:t xml:space="preserve">14.decembra </w:t>
            </w:r>
            <w:r w:rsidRPr="00FD0AE1" w:rsidR="00993B74">
              <w:rPr>
                <w:color w:val="000000" w:themeColor="text1"/>
              </w:rPr>
              <w:t xml:space="preserve">sēdē </w:t>
            </w:r>
            <w:r w:rsidRPr="00FD0AE1" w:rsidR="00CA09C7">
              <w:rPr>
                <w:color w:val="000000" w:themeColor="text1"/>
              </w:rPr>
              <w:t>tika</w:t>
            </w:r>
            <w:r w:rsidRPr="00FD0AE1" w:rsidR="00993B74">
              <w:rPr>
                <w:color w:val="000000" w:themeColor="text1"/>
              </w:rPr>
              <w:t xml:space="preserve"> pieņemts lēmums</w:t>
            </w:r>
            <w:r w:rsidRPr="00FD0AE1" w:rsidR="001C4FEB">
              <w:rPr>
                <w:color w:val="000000" w:themeColor="text1"/>
              </w:rPr>
              <w:t xml:space="preserve">  </w:t>
            </w:r>
            <w:r w:rsidRPr="00FD0AE1">
              <w:rPr>
                <w:color w:val="000000" w:themeColor="text1"/>
              </w:rPr>
              <w:t xml:space="preserve">atbalstīt </w:t>
            </w:r>
            <w:r w:rsidRPr="00FD0AE1">
              <w:t xml:space="preserve"> </w:t>
            </w:r>
            <w:r w:rsidRPr="00FD0AE1">
              <w:lastRenderedPageBreak/>
              <w:t>Krīzes vadības padomes sekretariāta sagatavoto Informatīvā ziņojum</w:t>
            </w:r>
            <w:r w:rsidR="00023ACB">
              <w:t>a</w:t>
            </w:r>
            <w:r w:rsidRPr="00FD0AE1">
              <w:t xml:space="preserve"> projektu</w:t>
            </w:r>
            <w:r w:rsidRPr="00FD0AE1">
              <w:rPr>
                <w:color w:val="000000" w:themeColor="text1"/>
              </w:rPr>
              <w:t xml:space="preserve"> un </w:t>
            </w:r>
            <w:r w:rsidRPr="00FD0AE1" w:rsidR="001C4FEB">
              <w:rPr>
                <w:color w:val="000000" w:themeColor="text1"/>
              </w:rPr>
              <w:t xml:space="preserve">virzīt Ministru kabinetam apstiprināšanai </w:t>
            </w:r>
            <w:r w:rsidRPr="00FD0AE1" w:rsidR="006F3F73">
              <w:rPr>
                <w:color w:val="000000" w:themeColor="text1"/>
              </w:rPr>
              <w:t>pieprasījumu</w:t>
            </w:r>
            <w:r w:rsidRPr="00FD0AE1" w:rsidR="008B61EC">
              <w:rPr>
                <w:color w:val="000000" w:themeColor="text1"/>
              </w:rPr>
              <w:t xml:space="preserve"> par </w:t>
            </w:r>
            <w:r w:rsidRPr="00631750" w:rsidR="006F3F73">
              <w:rPr>
                <w:color w:val="000000" w:themeColor="text1"/>
              </w:rPr>
              <w:t>mobil</w:t>
            </w:r>
            <w:r w:rsidR="00C36F8F">
              <w:rPr>
                <w:color w:val="000000" w:themeColor="text1"/>
              </w:rPr>
              <w:t>o sakaru</w:t>
            </w:r>
            <w:r w:rsidRPr="00631750" w:rsidR="006F3F73">
              <w:rPr>
                <w:color w:val="000000" w:themeColor="text1"/>
              </w:rPr>
              <w:t xml:space="preserve"> operatoriem radušos izdevum</w:t>
            </w:r>
            <w:r w:rsidRPr="00631750" w:rsidR="008B61EC">
              <w:rPr>
                <w:color w:val="000000" w:themeColor="text1"/>
              </w:rPr>
              <w:t>u</w:t>
            </w:r>
            <w:r w:rsidRPr="00631750" w:rsidR="006F3F73">
              <w:rPr>
                <w:color w:val="000000" w:themeColor="text1"/>
              </w:rPr>
              <w:t xml:space="preserve"> </w:t>
            </w:r>
            <w:r w:rsidRPr="00631750" w:rsidR="008479C5">
              <w:rPr>
                <w:color w:val="000000" w:themeColor="text1"/>
              </w:rPr>
              <w:t xml:space="preserve"> kompensēšanu </w:t>
            </w:r>
            <w:r w:rsidRPr="00631750" w:rsidR="006F3F73">
              <w:rPr>
                <w:color w:val="000000" w:themeColor="text1"/>
              </w:rPr>
              <w:t>par</w:t>
            </w:r>
            <w:r w:rsidRPr="00631750" w:rsidR="006F3F73">
              <w:rPr>
                <w:bCs/>
                <w:color w:val="000000" w:themeColor="text1"/>
              </w:rPr>
              <w:t xml:space="preserve"> </w:t>
            </w:r>
            <w:r w:rsidRPr="00631750" w:rsidR="008479C5">
              <w:rPr>
                <w:color w:val="000000" w:themeColor="text1"/>
              </w:rPr>
              <w:t>SMS paziņojumu nosūtīšanu</w:t>
            </w:r>
            <w:r w:rsidRPr="00631750" w:rsidR="008479C5">
              <w:rPr>
                <w:bCs/>
                <w:color w:val="000000" w:themeColor="text1"/>
              </w:rPr>
              <w:t xml:space="preserve"> </w:t>
            </w:r>
            <w:r w:rsidRPr="00631750" w:rsidR="008479C5">
              <w:rPr>
                <w:color w:val="000000" w:themeColor="text1"/>
              </w:rPr>
              <w:t xml:space="preserve"> personai</w:t>
            </w:r>
            <w:r w:rsidRPr="00631750" w:rsidR="008479C5">
              <w:rPr>
                <w:bCs/>
                <w:color w:val="000000" w:themeColor="text1"/>
              </w:rPr>
              <w:t xml:space="preserve"> periodā no</w:t>
            </w:r>
            <w:r w:rsidRPr="00631750">
              <w:rPr>
                <w:bCs/>
                <w:color w:val="000000" w:themeColor="text1"/>
              </w:rPr>
              <w:t xml:space="preserve"> 2021</w:t>
            </w:r>
            <w:r w:rsidRPr="00631750" w:rsidR="006F3F73">
              <w:rPr>
                <w:bCs/>
                <w:color w:val="000000" w:themeColor="text1"/>
              </w:rPr>
              <w:t xml:space="preserve">.gada </w:t>
            </w:r>
            <w:r w:rsidRPr="00631750">
              <w:rPr>
                <w:bCs/>
                <w:color w:val="000000" w:themeColor="text1"/>
              </w:rPr>
              <w:t>1.janvāra līdz 2021</w:t>
            </w:r>
            <w:r w:rsidRPr="00631750" w:rsidR="008479C5">
              <w:rPr>
                <w:bCs/>
                <w:color w:val="000000" w:themeColor="text1"/>
              </w:rPr>
              <w:t>.gada 31.</w:t>
            </w:r>
            <w:r w:rsidRPr="00631750">
              <w:rPr>
                <w:bCs/>
                <w:color w:val="000000" w:themeColor="text1"/>
              </w:rPr>
              <w:t>martam</w:t>
            </w:r>
            <w:r w:rsidRPr="00631750" w:rsidR="008479C5">
              <w:rPr>
                <w:bCs/>
                <w:color w:val="000000" w:themeColor="text1"/>
              </w:rPr>
              <w:t xml:space="preserve">, ja </w:t>
            </w:r>
            <w:r w:rsidR="00023ACB">
              <w:rPr>
                <w:bCs/>
                <w:color w:val="000000" w:themeColor="text1"/>
              </w:rPr>
              <w:t>persona</w:t>
            </w:r>
            <w:r w:rsidRPr="00631750" w:rsidR="00023ACB">
              <w:rPr>
                <w:bCs/>
                <w:color w:val="000000" w:themeColor="text1"/>
              </w:rPr>
              <w:t xml:space="preserve"> </w:t>
            </w:r>
            <w:r w:rsidRPr="00631750" w:rsidR="008479C5">
              <w:rPr>
                <w:bCs/>
                <w:color w:val="000000" w:themeColor="text1"/>
              </w:rPr>
              <w:t>kā</w:t>
            </w:r>
            <w:r w:rsidRPr="00631750" w:rsidR="008479C5">
              <w:rPr>
                <w:color w:val="000000" w:themeColor="text1"/>
              </w:rPr>
              <w:t xml:space="preserve"> viesabonents ir reģistrējusies attiecīgā Latvijas mobilo sakaru operatora tīklā</w:t>
            </w:r>
            <w:r w:rsidRPr="00631750" w:rsidR="00FE17C0">
              <w:rPr>
                <w:color w:val="000000" w:themeColor="text1"/>
              </w:rPr>
              <w:t>.</w:t>
            </w:r>
            <w:r w:rsidRPr="00631750" w:rsidR="008479C5">
              <w:rPr>
                <w:color w:val="000000" w:themeColor="text1"/>
              </w:rPr>
              <w:t xml:space="preserve"> </w:t>
            </w:r>
            <w:r w:rsidRPr="00631750" w:rsidR="006F3F73">
              <w:rPr>
                <w:color w:val="000000" w:themeColor="text1"/>
              </w:rPr>
              <w:t xml:space="preserve"> </w:t>
            </w:r>
          </w:p>
          <w:p w:rsidRPr="0000221C" w:rsidR="00622DBD" w:rsidP="00631750" w:rsidRDefault="006F3F73" w14:paraId="136F0F57" w14:textId="77777777">
            <w:pPr>
              <w:shd w:val="clear" w:color="auto" w:fill="FFFFFF" w:themeFill="background1"/>
              <w:tabs>
                <w:tab w:val="left" w:pos="900"/>
                <w:tab w:val="center" w:pos="4153"/>
                <w:tab w:val="right" w:pos="8306"/>
              </w:tabs>
              <w:jc w:val="both"/>
            </w:pPr>
            <w:r w:rsidRPr="00631750">
              <w:rPr>
                <w:color w:val="000000" w:themeColor="text1"/>
              </w:rPr>
              <w:t xml:space="preserve"> </w:t>
            </w:r>
            <w:r w:rsidRPr="00631750" w:rsidR="008B61EC">
              <w:rPr>
                <w:color w:val="000000" w:themeColor="text1"/>
              </w:rPr>
              <w:t xml:space="preserve"> </w:t>
            </w:r>
            <w:r w:rsidRPr="00631750">
              <w:rPr>
                <w:color w:val="000000" w:themeColor="text1"/>
              </w:rPr>
              <w:t xml:space="preserve"> </w:t>
            </w:r>
            <w:r w:rsidR="0016581D">
              <w:rPr>
                <w:color w:val="000000" w:themeColor="text1"/>
              </w:rPr>
              <w:t xml:space="preserve">     </w:t>
            </w:r>
            <w:r w:rsidR="00023ACB">
              <w:rPr>
                <w:color w:val="000000" w:themeColor="text1"/>
              </w:rPr>
              <w:t xml:space="preserve">Ministru kabineta </w:t>
            </w:r>
            <w:r w:rsidRPr="00631750" w:rsidR="007A6B0A">
              <w:rPr>
                <w:color w:val="000000" w:themeColor="text1"/>
              </w:rPr>
              <w:t xml:space="preserve">2020.gada 22.decembra sēdē </w:t>
            </w:r>
            <w:r w:rsidRPr="00631750" w:rsidR="007A6B0A">
              <w:t xml:space="preserve">(Prot. Nr. 86., 5.§) </w:t>
            </w:r>
            <w:r w:rsidRPr="00631750" w:rsidR="007A6B0A">
              <w:rPr>
                <w:color w:val="000000" w:themeColor="text1"/>
              </w:rPr>
              <w:t xml:space="preserve">tika atbalstīts </w:t>
            </w:r>
            <w:r w:rsidRPr="00631750" w:rsidR="007A6B0A">
              <w:t>informatīvajā ziņojumā ietvertais piedāvājums turpināt personu, kas ieceļo vai atgrie</w:t>
            </w:r>
            <w:r w:rsidRPr="00631750" w:rsidR="00CA09C7">
              <w:t>žas</w:t>
            </w:r>
            <w:r w:rsidRPr="00631750" w:rsidR="007A6B0A">
              <w:t xml:space="preserve"> Latvijā no ārvalstīm</w:t>
            </w:r>
            <w:r w:rsidR="00023ACB">
              <w:t xml:space="preserve">, </w:t>
            </w:r>
            <w:r w:rsidRPr="00631750" w:rsidR="00023ACB">
              <w:t xml:space="preserve"> SMS apziņošanu</w:t>
            </w:r>
            <w:r w:rsidRPr="00631750" w:rsidR="007A6B0A">
              <w:t xml:space="preserve">. </w:t>
            </w:r>
            <w:r w:rsidRPr="00631750" w:rsidR="001F4D3C">
              <w:rPr>
                <w:color w:val="000000" w:themeColor="text1"/>
              </w:rPr>
              <w:t xml:space="preserve">Ar minētā </w:t>
            </w:r>
            <w:proofErr w:type="spellStart"/>
            <w:r w:rsidRPr="00631750" w:rsidR="001F4D3C">
              <w:rPr>
                <w:color w:val="000000" w:themeColor="text1"/>
              </w:rPr>
              <w:t>protokollēmuma</w:t>
            </w:r>
            <w:proofErr w:type="spellEnd"/>
            <w:r w:rsidRPr="00631750" w:rsidR="001F4D3C">
              <w:rPr>
                <w:color w:val="000000" w:themeColor="text1"/>
              </w:rPr>
              <w:t xml:space="preserve"> </w:t>
            </w:r>
            <w:r w:rsidRPr="00631750" w:rsidR="007A6B0A">
              <w:rPr>
                <w:color w:val="000000" w:themeColor="text1"/>
              </w:rPr>
              <w:t>4</w:t>
            </w:r>
            <w:r w:rsidRPr="00631750" w:rsidR="00993B74">
              <w:rPr>
                <w:color w:val="000000" w:themeColor="text1"/>
              </w:rPr>
              <w:t>.punkt</w:t>
            </w:r>
            <w:r w:rsidRPr="00631750" w:rsidR="001F4D3C">
              <w:rPr>
                <w:color w:val="000000" w:themeColor="text1"/>
              </w:rPr>
              <w:t>u</w:t>
            </w:r>
            <w:r w:rsidRPr="00631750" w:rsidR="00993B74">
              <w:rPr>
                <w:color w:val="000000" w:themeColor="text1"/>
              </w:rPr>
              <w:t xml:space="preserve"> Satiksmes ministrijai dots uzdevums</w:t>
            </w:r>
            <w:r w:rsidRPr="00631750" w:rsidR="007A6B0A">
              <w:rPr>
                <w:color w:val="000000" w:themeColor="text1"/>
              </w:rPr>
              <w:t xml:space="preserve">, </w:t>
            </w:r>
            <w:r w:rsidRPr="00631750" w:rsidR="007A6B0A">
              <w:t>apkopojot un izvērtējot mobilo operatoru iesniegto informāciju,</w:t>
            </w:r>
            <w:r w:rsidRPr="00631750" w:rsidR="00993B74">
              <w:rPr>
                <w:color w:val="000000" w:themeColor="text1"/>
              </w:rPr>
              <w:t xml:space="preserve"> noteiktā kārtībā sa</w:t>
            </w:r>
            <w:r w:rsidRPr="00631750" w:rsidR="007A6B0A">
              <w:rPr>
                <w:color w:val="000000" w:themeColor="text1"/>
              </w:rPr>
              <w:t>gatavot un ne vēlāk kā līdz 2021.gada 27</w:t>
            </w:r>
            <w:r w:rsidRPr="00631750" w:rsidR="00993B74">
              <w:rPr>
                <w:color w:val="000000" w:themeColor="text1"/>
              </w:rPr>
              <w:t>.</w:t>
            </w:r>
            <w:r w:rsidRPr="00631750" w:rsidR="007A6B0A">
              <w:rPr>
                <w:color w:val="000000" w:themeColor="text1"/>
              </w:rPr>
              <w:t>aprīlim</w:t>
            </w:r>
            <w:r w:rsidRPr="00631750" w:rsidR="00993B74">
              <w:rPr>
                <w:color w:val="000000" w:themeColor="text1"/>
              </w:rPr>
              <w:t xml:space="preserve"> iesniegt izskatīšanai</w:t>
            </w:r>
            <w:r w:rsidRPr="00CB700C" w:rsidR="00993B74">
              <w:rPr>
                <w:color w:val="000000" w:themeColor="text1"/>
              </w:rPr>
              <w:t xml:space="preserve"> Ministru kabineta rīkojuma projektu par līdzekļu piešķiršanu no valsts budžeta programmas 02.00.00 „Līdzekļi neparedzētiem gadīju</w:t>
            </w:r>
            <w:r w:rsidRPr="0000221C" w:rsidR="00993B74">
              <w:rPr>
                <w:color w:val="000000" w:themeColor="text1"/>
              </w:rPr>
              <w:t>miem” mobilo operatoru izdevumu k</w:t>
            </w:r>
            <w:r w:rsidRPr="0000221C" w:rsidR="00622DBD">
              <w:rPr>
                <w:color w:val="000000" w:themeColor="text1"/>
              </w:rPr>
              <w:t>ompensēšanai par periodu no 2021.gada 1</w:t>
            </w:r>
            <w:r w:rsidRPr="0000221C" w:rsidR="00993B74">
              <w:rPr>
                <w:color w:val="000000" w:themeColor="text1"/>
              </w:rPr>
              <w:t>.</w:t>
            </w:r>
            <w:r w:rsidRPr="0000221C" w:rsidR="00622DBD">
              <w:rPr>
                <w:color w:val="000000" w:themeColor="text1"/>
              </w:rPr>
              <w:t>janvāra līdz 2021</w:t>
            </w:r>
            <w:r w:rsidRPr="0000221C" w:rsidR="00993B74">
              <w:rPr>
                <w:color w:val="000000" w:themeColor="text1"/>
              </w:rPr>
              <w:t>.gada 31.</w:t>
            </w:r>
            <w:r w:rsidRPr="0000221C" w:rsidR="00622DBD">
              <w:rPr>
                <w:color w:val="000000" w:themeColor="text1"/>
              </w:rPr>
              <w:t>martam</w:t>
            </w:r>
            <w:r w:rsidRPr="0000221C" w:rsidR="00993B74">
              <w:rPr>
                <w:color w:val="000000" w:themeColor="text1"/>
              </w:rPr>
              <w:t>.</w:t>
            </w:r>
          </w:p>
          <w:p w:rsidRPr="0000221C" w:rsidR="00993B74" w:rsidP="00631750" w:rsidRDefault="0016581D" w14:paraId="136F0F58" w14:textId="77777777">
            <w:pPr>
              <w:shd w:val="clear" w:color="auto" w:fill="FFFFFF" w:themeFill="background1"/>
              <w:tabs>
                <w:tab w:val="left" w:pos="720"/>
                <w:tab w:val="center" w:pos="4320"/>
                <w:tab w:val="right" w:pos="8640"/>
              </w:tabs>
              <w:jc w:val="both"/>
              <w:rPr>
                <w:color w:val="000000" w:themeColor="text1"/>
              </w:rPr>
            </w:pPr>
            <w:r w:rsidRPr="0000221C">
              <w:rPr>
                <w:color w:val="000000" w:themeColor="text1"/>
              </w:rPr>
              <w:t xml:space="preserve">       </w:t>
            </w:r>
            <w:r w:rsidRPr="0000221C" w:rsidR="001F4D3C">
              <w:rPr>
                <w:color w:val="000000" w:themeColor="text1"/>
              </w:rPr>
              <w:t>Uzdevuma izpildei</w:t>
            </w:r>
            <w:r w:rsidRPr="0000221C" w:rsidR="00993B74">
              <w:rPr>
                <w:color w:val="000000" w:themeColor="text1"/>
              </w:rPr>
              <w:t xml:space="preserve"> Satiksmes ministrija ir pieprasījusi mobilo sakaru komersantiem informāciju  par faktiskajiem izdevum</w:t>
            </w:r>
            <w:r w:rsidRPr="0000221C" w:rsidR="008479C5">
              <w:rPr>
                <w:color w:val="000000" w:themeColor="text1"/>
              </w:rPr>
              <w:t>iem</w:t>
            </w:r>
            <w:r w:rsidRPr="0000221C" w:rsidR="00993B74">
              <w:rPr>
                <w:color w:val="000000" w:themeColor="text1"/>
              </w:rPr>
              <w:t>,  kas ir radušies saistībā ar viesabonent</w:t>
            </w:r>
            <w:r w:rsidRPr="0000221C" w:rsidR="00622DBD">
              <w:rPr>
                <w:color w:val="000000" w:themeColor="text1"/>
              </w:rPr>
              <w:t>u apziņošanu laika posmā no 2021.gada 1</w:t>
            </w:r>
            <w:r w:rsidRPr="0000221C" w:rsidR="00993B74">
              <w:rPr>
                <w:color w:val="000000" w:themeColor="text1"/>
              </w:rPr>
              <w:t>.</w:t>
            </w:r>
            <w:r w:rsidRPr="0000221C" w:rsidR="00622DBD">
              <w:rPr>
                <w:color w:val="000000" w:themeColor="text1"/>
              </w:rPr>
              <w:t>janvāra līdz 2021</w:t>
            </w:r>
            <w:r w:rsidRPr="0000221C" w:rsidR="00993B74">
              <w:rPr>
                <w:color w:val="000000" w:themeColor="text1"/>
              </w:rPr>
              <w:t>.gada</w:t>
            </w:r>
            <w:r w:rsidRPr="0000221C" w:rsidR="00622DBD">
              <w:rPr>
                <w:color w:val="000000" w:themeColor="text1"/>
              </w:rPr>
              <w:t xml:space="preserve"> 3</w:t>
            </w:r>
            <w:r w:rsidRPr="0000221C" w:rsidR="00993B74">
              <w:rPr>
                <w:color w:val="000000" w:themeColor="text1"/>
              </w:rPr>
              <w:t>1.</w:t>
            </w:r>
            <w:r w:rsidRPr="0000221C" w:rsidR="00622DBD">
              <w:rPr>
                <w:color w:val="000000" w:themeColor="text1"/>
              </w:rPr>
              <w:t>martam</w:t>
            </w:r>
            <w:r w:rsidRPr="0000221C" w:rsidR="00993B74">
              <w:rPr>
                <w:color w:val="000000" w:themeColor="text1"/>
              </w:rPr>
              <w:t>. Atbilstoši  Satiksmes ministrijas pieprasījumam mobilo sakaru operatori ir snieguši informāciju par SMS paziņojumu izsūtīšanas izdevumu apmēru un tā pamatojumu, daļai no informācijas sadaļām nosakot ierobežotas pieejamības statusu</w:t>
            </w:r>
            <w:r w:rsidR="00023ACB">
              <w:rPr>
                <w:color w:val="000000" w:themeColor="text1"/>
              </w:rPr>
              <w:t>,</w:t>
            </w:r>
            <w:r w:rsidRPr="0000221C" w:rsidR="00183408">
              <w:rPr>
                <w:color w:val="000000" w:themeColor="text1"/>
              </w:rPr>
              <w:t xml:space="preserve"> pamatojoties uz </w:t>
            </w:r>
            <w:r w:rsidRPr="0000221C" w:rsidR="00993B74">
              <w:rPr>
                <w:color w:val="000000" w:themeColor="text1"/>
              </w:rPr>
              <w:t xml:space="preserve"> </w:t>
            </w:r>
            <w:r w:rsidRPr="0000221C" w:rsidR="00993B74">
              <w:t>Komerclikuma 19.pantu un Komercnoslēpuma aizsardzības likuma 2.pantu</w:t>
            </w:r>
            <w:r w:rsidR="00023ACB">
              <w:t>,</w:t>
            </w:r>
            <w:r w:rsidRPr="0000221C" w:rsidR="00993B74">
              <w:t xml:space="preserve"> un Informācijas atklātības likuma 5.panta otrās daļas 3.punktu.</w:t>
            </w:r>
          </w:p>
          <w:p w:rsidRPr="0000221C" w:rsidR="00993B74" w:rsidP="00631750" w:rsidRDefault="00304C9F" w14:paraId="136F0F59" w14:textId="77777777">
            <w:pPr>
              <w:shd w:val="clear" w:color="auto" w:fill="FFFFFF" w:themeFill="background1"/>
              <w:spacing w:before="120"/>
              <w:ind w:right="85"/>
              <w:jc w:val="both"/>
              <w:rPr>
                <w:color w:val="000000" w:themeColor="text1"/>
              </w:rPr>
            </w:pPr>
            <w:r w:rsidRPr="0000221C">
              <w:rPr>
                <w:color w:val="000000" w:themeColor="text1"/>
              </w:rPr>
              <w:t xml:space="preserve">   </w:t>
            </w:r>
            <w:r w:rsidRPr="0000221C" w:rsidR="0016581D">
              <w:rPr>
                <w:color w:val="000000" w:themeColor="text1"/>
              </w:rPr>
              <w:t xml:space="preserve">    </w:t>
            </w:r>
            <w:r w:rsidRPr="0000221C" w:rsidR="00F178DE">
              <w:rPr>
                <w:color w:val="000000" w:themeColor="text1"/>
              </w:rPr>
              <w:t xml:space="preserve">LMT </w:t>
            </w:r>
            <w:r w:rsidRPr="0000221C" w:rsidR="00CA09C7">
              <w:rPr>
                <w:color w:val="000000" w:themeColor="text1"/>
              </w:rPr>
              <w:t>norāda</w:t>
            </w:r>
            <w:r w:rsidRPr="0000221C" w:rsidR="00993B74">
              <w:rPr>
                <w:color w:val="000000" w:themeColor="text1"/>
              </w:rPr>
              <w:t>, ka</w:t>
            </w:r>
            <w:r w:rsidRPr="0000221C" w:rsidR="009868AE">
              <w:rPr>
                <w:color w:val="000000" w:themeColor="text1"/>
              </w:rPr>
              <w:t xml:space="preserve"> laika periodā no 2021.gada 1.janvāra līdz 31.martam ir </w:t>
            </w:r>
            <w:r w:rsidRPr="0000221C">
              <w:rPr>
                <w:color w:val="000000" w:themeColor="text1"/>
              </w:rPr>
              <w:t>nosūtīti</w:t>
            </w:r>
            <w:r w:rsidRPr="0000221C" w:rsidR="009868AE">
              <w:rPr>
                <w:color w:val="000000" w:themeColor="text1"/>
              </w:rPr>
              <w:t xml:space="preserve"> </w:t>
            </w:r>
            <w:r w:rsidRPr="0000221C" w:rsidR="00F24F01">
              <w:rPr>
                <w:color w:val="000000" w:themeColor="text1"/>
              </w:rPr>
              <w:t>473</w:t>
            </w:r>
            <w:r w:rsidRPr="0000221C" w:rsidR="003029DC">
              <w:rPr>
                <w:color w:val="000000" w:themeColor="text1"/>
              </w:rPr>
              <w:t> </w:t>
            </w:r>
            <w:r w:rsidRPr="0000221C" w:rsidR="00F24F01">
              <w:rPr>
                <w:color w:val="000000" w:themeColor="text1"/>
              </w:rPr>
              <w:t>818</w:t>
            </w:r>
            <w:r w:rsidRPr="0000221C">
              <w:rPr>
                <w:color w:val="000000" w:themeColor="text1"/>
              </w:rPr>
              <w:t xml:space="preserve"> SMS</w:t>
            </w:r>
            <w:r w:rsidRPr="0000221C" w:rsidR="00950026">
              <w:rPr>
                <w:color w:val="000000" w:themeColor="text1"/>
              </w:rPr>
              <w:t xml:space="preserve"> paziņojum</w:t>
            </w:r>
            <w:r w:rsidRPr="0000221C" w:rsidR="00BB6C98">
              <w:rPr>
                <w:color w:val="000000" w:themeColor="text1"/>
              </w:rPr>
              <w:t>i</w:t>
            </w:r>
            <w:r w:rsidRPr="0000221C" w:rsidR="009868AE">
              <w:rPr>
                <w:color w:val="000000" w:themeColor="text1"/>
              </w:rPr>
              <w:t xml:space="preserve">, </w:t>
            </w:r>
            <w:r w:rsidRPr="0000221C" w:rsidR="003029DC">
              <w:rPr>
                <w:color w:val="000000" w:themeColor="text1"/>
              </w:rPr>
              <w:t xml:space="preserve">kas radījis </w:t>
            </w:r>
            <w:r w:rsidRPr="0000221C" w:rsidR="00993B74">
              <w:rPr>
                <w:color w:val="000000" w:themeColor="text1"/>
              </w:rPr>
              <w:t>izdevumu</w:t>
            </w:r>
            <w:r w:rsidRPr="0000221C" w:rsidR="006D5E59">
              <w:rPr>
                <w:color w:val="000000" w:themeColor="text1"/>
              </w:rPr>
              <w:t>s</w:t>
            </w:r>
            <w:r w:rsidRPr="0000221C" w:rsidR="00993B74">
              <w:rPr>
                <w:color w:val="000000" w:themeColor="text1"/>
              </w:rPr>
              <w:t xml:space="preserve"> </w:t>
            </w:r>
            <w:r w:rsidRPr="0000221C" w:rsidR="00F24F01">
              <w:rPr>
                <w:color w:val="000000" w:themeColor="text1"/>
              </w:rPr>
              <w:t>15</w:t>
            </w:r>
            <w:r w:rsidRPr="0000221C" w:rsidR="00950026">
              <w:rPr>
                <w:color w:val="000000" w:themeColor="text1"/>
              </w:rPr>
              <w:t xml:space="preserve"> </w:t>
            </w:r>
            <w:r w:rsidRPr="0000221C" w:rsidR="00EF77CD">
              <w:rPr>
                <w:color w:val="000000" w:themeColor="text1"/>
              </w:rPr>
              <w:t>207</w:t>
            </w:r>
            <w:r w:rsidRPr="0000221C" w:rsidR="003029DC">
              <w:rPr>
                <w:color w:val="000000" w:themeColor="text1"/>
              </w:rPr>
              <w:t>.</w:t>
            </w:r>
            <w:r w:rsidRPr="0000221C" w:rsidR="00EF77CD">
              <w:rPr>
                <w:color w:val="000000" w:themeColor="text1"/>
              </w:rPr>
              <w:t>61</w:t>
            </w:r>
            <w:r w:rsidRPr="0000221C" w:rsidR="00993B74">
              <w:rPr>
                <w:color w:val="000000" w:themeColor="text1"/>
                <w:u w:val="single"/>
              </w:rPr>
              <w:t xml:space="preserve"> </w:t>
            </w:r>
            <w:proofErr w:type="spellStart"/>
            <w:r w:rsidRPr="0000221C" w:rsidR="00993B74">
              <w:rPr>
                <w:i/>
                <w:color w:val="000000" w:themeColor="text1"/>
                <w:u w:val="single"/>
              </w:rPr>
              <w:t>euro</w:t>
            </w:r>
            <w:proofErr w:type="spellEnd"/>
            <w:r w:rsidRPr="0000221C" w:rsidR="00993B74">
              <w:rPr>
                <w:color w:val="000000" w:themeColor="text1"/>
              </w:rPr>
              <w:t>.</w:t>
            </w:r>
          </w:p>
          <w:p w:rsidRPr="0000221C" w:rsidR="009868AE" w:rsidP="00631750" w:rsidRDefault="00304C9F" w14:paraId="136F0F5A" w14:textId="77777777">
            <w:pPr>
              <w:shd w:val="clear" w:color="auto" w:fill="FFFFFF" w:themeFill="background1"/>
              <w:spacing w:before="120"/>
              <w:ind w:right="85"/>
              <w:jc w:val="both"/>
              <w:rPr>
                <w:color w:val="000000" w:themeColor="text1"/>
              </w:rPr>
            </w:pPr>
            <w:r w:rsidRPr="0000221C">
              <w:rPr>
                <w:color w:val="000000" w:themeColor="text1"/>
              </w:rPr>
              <w:t xml:space="preserve">   </w:t>
            </w:r>
            <w:r w:rsidRPr="0000221C" w:rsidR="0016581D">
              <w:rPr>
                <w:color w:val="000000" w:themeColor="text1"/>
              </w:rPr>
              <w:t xml:space="preserve">    </w:t>
            </w:r>
            <w:r w:rsidRPr="0000221C" w:rsidR="00F178DE">
              <w:rPr>
                <w:color w:val="000000" w:themeColor="text1"/>
              </w:rPr>
              <w:t xml:space="preserve">Tele2 </w:t>
            </w:r>
            <w:r w:rsidRPr="0000221C" w:rsidR="00CA09C7">
              <w:rPr>
                <w:color w:val="000000" w:themeColor="text1"/>
              </w:rPr>
              <w:t>norāda</w:t>
            </w:r>
            <w:r w:rsidRPr="0000221C" w:rsidR="009868AE">
              <w:rPr>
                <w:color w:val="000000" w:themeColor="text1"/>
              </w:rPr>
              <w:t xml:space="preserve">, ka laika periodā no 2021.gada 1.janvāra līdz 31.martam ir </w:t>
            </w:r>
            <w:r w:rsidRPr="0000221C">
              <w:rPr>
                <w:color w:val="000000" w:themeColor="text1"/>
              </w:rPr>
              <w:t>nosūtīti</w:t>
            </w:r>
            <w:r w:rsidRPr="0000221C" w:rsidR="009868AE">
              <w:rPr>
                <w:color w:val="000000" w:themeColor="text1"/>
              </w:rPr>
              <w:t xml:space="preserve"> </w:t>
            </w:r>
            <w:r w:rsidRPr="0000221C" w:rsidR="003029DC">
              <w:rPr>
                <w:color w:val="212121"/>
              </w:rPr>
              <w:t>323</w:t>
            </w:r>
            <w:r w:rsidRPr="0000221C" w:rsidR="008D7563">
              <w:rPr>
                <w:color w:val="212121"/>
              </w:rPr>
              <w:t xml:space="preserve"> </w:t>
            </w:r>
            <w:r w:rsidRPr="0000221C" w:rsidR="00093F22">
              <w:rPr>
                <w:color w:val="212121"/>
              </w:rPr>
              <w:t xml:space="preserve">420 </w:t>
            </w:r>
            <w:r w:rsidRPr="0000221C">
              <w:rPr>
                <w:color w:val="000000" w:themeColor="text1"/>
              </w:rPr>
              <w:t xml:space="preserve"> SMS paziņojumi</w:t>
            </w:r>
            <w:r w:rsidRPr="0000221C" w:rsidR="009868AE">
              <w:rPr>
                <w:color w:val="000000" w:themeColor="text1"/>
              </w:rPr>
              <w:t xml:space="preserve">, </w:t>
            </w:r>
            <w:r w:rsidRPr="0000221C" w:rsidR="003029DC">
              <w:rPr>
                <w:color w:val="000000" w:themeColor="text1"/>
              </w:rPr>
              <w:t>kas radījis</w:t>
            </w:r>
            <w:r w:rsidRPr="0000221C" w:rsidR="009868AE">
              <w:rPr>
                <w:color w:val="000000" w:themeColor="text1"/>
              </w:rPr>
              <w:t xml:space="preserve"> izdevumus </w:t>
            </w:r>
            <w:r w:rsidRPr="0000221C" w:rsidR="00093F22">
              <w:rPr>
                <w:color w:val="212121"/>
              </w:rPr>
              <w:t>13</w:t>
            </w:r>
            <w:r w:rsidRPr="0000221C" w:rsidR="00950026">
              <w:rPr>
                <w:color w:val="212121"/>
              </w:rPr>
              <w:t xml:space="preserve"> </w:t>
            </w:r>
            <w:r w:rsidRPr="0000221C" w:rsidR="00093F22">
              <w:rPr>
                <w:color w:val="212121"/>
              </w:rPr>
              <w:t>764</w:t>
            </w:r>
            <w:r w:rsidRPr="0000221C" w:rsidR="003029DC">
              <w:rPr>
                <w:color w:val="212121"/>
              </w:rPr>
              <w:t>.</w:t>
            </w:r>
            <w:r w:rsidRPr="0000221C" w:rsidR="00093F22">
              <w:rPr>
                <w:color w:val="212121"/>
              </w:rPr>
              <w:t xml:space="preserve">00 </w:t>
            </w:r>
            <w:r w:rsidRPr="0000221C" w:rsidR="009868AE">
              <w:rPr>
                <w:color w:val="000000" w:themeColor="text1"/>
                <w:u w:val="single"/>
              </w:rPr>
              <w:t xml:space="preserve"> </w:t>
            </w:r>
            <w:proofErr w:type="spellStart"/>
            <w:r w:rsidRPr="0000221C" w:rsidR="009868AE">
              <w:rPr>
                <w:i/>
                <w:color w:val="000000" w:themeColor="text1"/>
                <w:u w:val="single"/>
              </w:rPr>
              <w:t>euro</w:t>
            </w:r>
            <w:proofErr w:type="spellEnd"/>
            <w:r w:rsidRPr="0000221C" w:rsidR="009868AE">
              <w:rPr>
                <w:color w:val="000000" w:themeColor="text1"/>
              </w:rPr>
              <w:t>.</w:t>
            </w:r>
            <w:r w:rsidRPr="0000221C" w:rsidR="00C72F83">
              <w:rPr>
                <w:color w:val="000000" w:themeColor="text1"/>
              </w:rPr>
              <w:t xml:space="preserve"> </w:t>
            </w:r>
          </w:p>
          <w:p w:rsidRPr="0000221C" w:rsidR="00950026" w:rsidP="00631750" w:rsidRDefault="00950026" w14:paraId="136F0F5B" w14:textId="77777777">
            <w:pPr>
              <w:shd w:val="clear" w:color="auto" w:fill="FFFFFF" w:themeFill="background1"/>
              <w:spacing w:before="120"/>
              <w:ind w:right="85"/>
              <w:jc w:val="both"/>
              <w:rPr>
                <w:color w:val="000000" w:themeColor="text1"/>
              </w:rPr>
            </w:pPr>
            <w:r w:rsidRPr="0000221C">
              <w:rPr>
                <w:color w:val="000000" w:themeColor="text1"/>
              </w:rPr>
              <w:t xml:space="preserve">Bite norāda, ka laika periodā no 2021.gada 1.janvāra līdz 31.martam ir nosūtīti </w:t>
            </w:r>
            <w:r w:rsidRPr="0000221C">
              <w:rPr>
                <w:color w:val="212121"/>
              </w:rPr>
              <w:t xml:space="preserve">379 225 </w:t>
            </w:r>
            <w:r w:rsidRPr="0000221C">
              <w:rPr>
                <w:color w:val="000000" w:themeColor="text1"/>
              </w:rPr>
              <w:t xml:space="preserve"> SMS paziņojumi, kas radījis izdevumus </w:t>
            </w:r>
            <w:r w:rsidRPr="0000221C">
              <w:rPr>
                <w:color w:val="212121"/>
              </w:rPr>
              <w:t xml:space="preserve">10 454,41.00 </w:t>
            </w:r>
            <w:r w:rsidRPr="0000221C">
              <w:rPr>
                <w:color w:val="000000" w:themeColor="text1"/>
                <w:u w:val="single"/>
              </w:rPr>
              <w:t xml:space="preserve"> </w:t>
            </w:r>
            <w:proofErr w:type="spellStart"/>
            <w:r w:rsidRPr="0000221C">
              <w:rPr>
                <w:i/>
                <w:color w:val="000000" w:themeColor="text1"/>
                <w:u w:val="single"/>
              </w:rPr>
              <w:t>euro</w:t>
            </w:r>
            <w:proofErr w:type="spellEnd"/>
            <w:r w:rsidRPr="0000221C">
              <w:rPr>
                <w:color w:val="000000" w:themeColor="text1"/>
              </w:rPr>
              <w:t>.</w:t>
            </w:r>
          </w:p>
          <w:p w:rsidRPr="00304C9F" w:rsidR="00E93902" w:rsidP="00BB6C98" w:rsidRDefault="00304C9F" w14:paraId="136F0F5C" w14:textId="5C878BFD">
            <w:pPr>
              <w:shd w:val="clear" w:color="auto" w:fill="FFFFFF" w:themeFill="background1"/>
              <w:spacing w:before="120"/>
              <w:ind w:right="85"/>
              <w:jc w:val="both"/>
              <w:rPr>
                <w:color w:val="000000" w:themeColor="text1"/>
                <w:u w:val="single"/>
              </w:rPr>
            </w:pPr>
            <w:r w:rsidRPr="0000221C">
              <w:rPr>
                <w:color w:val="000000" w:themeColor="text1"/>
              </w:rPr>
              <w:t xml:space="preserve">  </w:t>
            </w:r>
            <w:r w:rsidRPr="0000221C" w:rsidR="0016581D">
              <w:rPr>
                <w:color w:val="000000" w:themeColor="text1"/>
              </w:rPr>
              <w:t xml:space="preserve">    </w:t>
            </w:r>
            <w:r w:rsidRPr="0000221C">
              <w:rPr>
                <w:color w:val="000000" w:themeColor="text1"/>
              </w:rPr>
              <w:t xml:space="preserve"> </w:t>
            </w:r>
            <w:r w:rsidRPr="0000221C" w:rsidR="00BB6C98">
              <w:rPr>
                <w:color w:val="000000" w:themeColor="text1"/>
              </w:rPr>
              <w:t>L</w:t>
            </w:r>
            <w:r w:rsidRPr="0000221C" w:rsidR="0016581D">
              <w:rPr>
                <w:color w:val="000000" w:themeColor="text1"/>
              </w:rPr>
              <w:t xml:space="preserve">ai </w:t>
            </w:r>
            <w:r w:rsidRPr="0000221C" w:rsidR="00993B74">
              <w:rPr>
                <w:color w:val="000000" w:themeColor="text1"/>
              </w:rPr>
              <w:t xml:space="preserve">kompensētu izdevumus, kas radušies, nosūtot viesabonentiem,  kuri ir reģistrējušies </w:t>
            </w:r>
            <w:r w:rsidRPr="0000221C" w:rsidR="00751FC2">
              <w:rPr>
                <w:color w:val="000000" w:themeColor="text1"/>
              </w:rPr>
              <w:t>Latvijas mobilo sakaru operatoru</w:t>
            </w:r>
            <w:r w:rsidRPr="0000221C" w:rsidR="00993B74">
              <w:rPr>
                <w:color w:val="000000" w:themeColor="text1"/>
              </w:rPr>
              <w:t xml:space="preserve"> tīklā</w:t>
            </w:r>
            <w:r w:rsidR="007F0BEF">
              <w:rPr>
                <w:color w:val="000000" w:themeColor="text1"/>
              </w:rPr>
              <w:t>,</w:t>
            </w:r>
            <w:r w:rsidRPr="0000221C" w:rsidR="00993B74">
              <w:rPr>
                <w:color w:val="000000" w:themeColor="text1"/>
              </w:rPr>
              <w:t xml:space="preserve"> SMS </w:t>
            </w:r>
            <w:r w:rsidRPr="0000221C" w:rsidR="009868AE">
              <w:rPr>
                <w:color w:val="000000" w:themeColor="text1"/>
              </w:rPr>
              <w:t>paziņojumu</w:t>
            </w:r>
            <w:r w:rsidRPr="0000221C" w:rsidR="00BB6C98">
              <w:rPr>
                <w:color w:val="000000" w:themeColor="text1"/>
              </w:rPr>
              <w:t>s</w:t>
            </w:r>
            <w:r w:rsidRPr="0000221C" w:rsidR="009868AE">
              <w:rPr>
                <w:color w:val="000000" w:themeColor="text1"/>
              </w:rPr>
              <w:t xml:space="preserve"> laika periodā no 2021.gada 1</w:t>
            </w:r>
            <w:r w:rsidRPr="0000221C" w:rsidR="00993B74">
              <w:rPr>
                <w:color w:val="000000" w:themeColor="text1"/>
              </w:rPr>
              <w:t>.</w:t>
            </w:r>
            <w:r w:rsidRPr="0000221C" w:rsidR="009868AE">
              <w:rPr>
                <w:color w:val="000000" w:themeColor="text1"/>
              </w:rPr>
              <w:t>janvāra  līdz 2021</w:t>
            </w:r>
            <w:r w:rsidRPr="0000221C" w:rsidR="00993B74">
              <w:rPr>
                <w:color w:val="000000" w:themeColor="text1"/>
              </w:rPr>
              <w:t>.gada 31.</w:t>
            </w:r>
            <w:r w:rsidRPr="0000221C" w:rsidR="009868AE">
              <w:t>martam</w:t>
            </w:r>
            <w:r w:rsidR="007F0BEF">
              <w:t>,</w:t>
            </w:r>
            <w:r w:rsidRPr="0000221C" w:rsidR="003B67B9">
              <w:t xml:space="preserve"> </w:t>
            </w:r>
            <w:r w:rsidRPr="0000221C" w:rsidR="003C0573">
              <w:t>mobilo</w:t>
            </w:r>
            <w:r w:rsidR="00C36F8F">
              <w:t xml:space="preserve"> sakaru</w:t>
            </w:r>
            <w:r w:rsidRPr="0000221C" w:rsidR="003C0573">
              <w:t xml:space="preserve"> operat</w:t>
            </w:r>
            <w:r w:rsidRPr="0000221C" w:rsidR="00BB6C98">
              <w:t>oru</w:t>
            </w:r>
            <w:r w:rsidRPr="0000221C" w:rsidR="008D7563">
              <w:t xml:space="preserve"> izdevumu </w:t>
            </w:r>
            <w:r w:rsidRPr="0000221C" w:rsidR="003C0573">
              <w:t xml:space="preserve"> kompensācijai nepieciešamā summa </w:t>
            </w:r>
            <w:r w:rsidRPr="0000221C" w:rsidR="003B67B9">
              <w:t xml:space="preserve">ir </w:t>
            </w:r>
            <w:r w:rsidRPr="0000221C" w:rsidR="00BB6C98">
              <w:t>39 42</w:t>
            </w:r>
            <w:r w:rsidRPr="001E4E40" w:rsidR="00BB6C98">
              <w:t>6</w:t>
            </w:r>
            <w:r w:rsidRPr="001E4E40" w:rsidR="00EF77CD">
              <w:t>,00</w:t>
            </w:r>
            <w:r w:rsidRPr="001E4E40" w:rsidR="00877D62">
              <w:rPr>
                <w:i/>
                <w:iCs/>
              </w:rPr>
              <w:t>euro</w:t>
            </w:r>
            <w:r w:rsidRPr="001E4E40" w:rsidR="001C1A45">
              <w:t>.</w:t>
            </w:r>
          </w:p>
          <w:p w:rsidR="00E611E5" w:rsidP="00304C9F" w:rsidRDefault="00E611E5" w14:paraId="136F0F5D" w14:textId="77777777">
            <w:pPr>
              <w:shd w:val="clear" w:color="auto" w:fill="FFFFFF" w:themeFill="background1"/>
              <w:ind w:firstLine="720"/>
              <w:jc w:val="both"/>
              <w:rPr>
                <w:color w:val="000000" w:themeColor="text1"/>
                <w:u w:val="single"/>
              </w:rPr>
            </w:pPr>
          </w:p>
          <w:p w:rsidRPr="00304C9F" w:rsidR="00873DA7" w:rsidP="00304C9F" w:rsidRDefault="00304C9F" w14:paraId="136F0F5E" w14:textId="77777777">
            <w:pPr>
              <w:pStyle w:val="ListParagraph"/>
              <w:shd w:val="clear" w:color="auto" w:fill="FFFFFF" w:themeFill="background1"/>
              <w:tabs>
                <w:tab w:val="left" w:pos="426"/>
              </w:tabs>
              <w:ind w:left="0"/>
              <w:contextualSpacing w:val="0"/>
              <w:jc w:val="both"/>
              <w:rPr>
                <w:sz w:val="24"/>
                <w:szCs w:val="24"/>
              </w:rPr>
            </w:pPr>
            <w:r>
              <w:rPr>
                <w:rFonts w:eastAsia="Times New Roman"/>
                <w:sz w:val="24"/>
                <w:szCs w:val="24"/>
                <w:lang w:eastAsia="en-GB"/>
              </w:rPr>
              <w:t xml:space="preserve">   </w:t>
            </w:r>
            <w:r w:rsidR="0016581D">
              <w:rPr>
                <w:rFonts w:eastAsia="Times New Roman"/>
                <w:sz w:val="24"/>
                <w:szCs w:val="24"/>
                <w:lang w:eastAsia="en-GB"/>
              </w:rPr>
              <w:t xml:space="preserve">   </w:t>
            </w:r>
            <w:r>
              <w:rPr>
                <w:rFonts w:eastAsia="Times New Roman"/>
                <w:sz w:val="24"/>
                <w:szCs w:val="24"/>
                <w:lang w:eastAsia="en-GB"/>
              </w:rPr>
              <w:t>MK r</w:t>
            </w:r>
            <w:r w:rsidRPr="00304C9F" w:rsidR="00CA09C7">
              <w:rPr>
                <w:rFonts w:eastAsia="Times New Roman"/>
                <w:sz w:val="24"/>
                <w:szCs w:val="24"/>
                <w:lang w:eastAsia="en-GB"/>
              </w:rPr>
              <w:t>īkojums Nr.675</w:t>
            </w:r>
            <w:r w:rsidRPr="00304C9F" w:rsidR="00873DA7">
              <w:rPr>
                <w:rFonts w:eastAsia="Times New Roman"/>
                <w:sz w:val="24"/>
                <w:szCs w:val="24"/>
                <w:lang w:eastAsia="en-GB"/>
              </w:rPr>
              <w:t xml:space="preserve">  </w:t>
            </w:r>
            <w:r w:rsidR="007F0BEF">
              <w:rPr>
                <w:rFonts w:eastAsia="Times New Roman"/>
                <w:sz w:val="24"/>
                <w:szCs w:val="24"/>
                <w:lang w:eastAsia="en-GB"/>
              </w:rPr>
              <w:t>paredz</w:t>
            </w:r>
            <w:r w:rsidRPr="00304C9F" w:rsidR="007F0BEF">
              <w:rPr>
                <w:rFonts w:eastAsia="Times New Roman"/>
                <w:sz w:val="24"/>
                <w:szCs w:val="24"/>
                <w:lang w:eastAsia="en-GB"/>
              </w:rPr>
              <w:t xml:space="preserve"> </w:t>
            </w:r>
            <w:r w:rsidRPr="00304C9F" w:rsidR="00873DA7">
              <w:rPr>
                <w:sz w:val="24"/>
                <w:szCs w:val="24"/>
              </w:rPr>
              <w:t>Finanšu ministrijai no valsts budžeta programmas 02.00.00 “Līdzekļi neparedzētiem gadījumiem” piešķirt Satiksmes ministrijai finansējumu 31 360</w:t>
            </w:r>
            <w:r w:rsidRPr="00304C9F" w:rsidR="00873DA7">
              <w:rPr>
                <w:i/>
                <w:iCs/>
                <w:color w:val="000000" w:themeColor="text1"/>
                <w:sz w:val="24"/>
                <w:szCs w:val="24"/>
              </w:rPr>
              <w:t xml:space="preserve"> </w:t>
            </w:r>
            <w:proofErr w:type="spellStart"/>
            <w:r w:rsidRPr="00304C9F" w:rsidR="00873DA7">
              <w:rPr>
                <w:i/>
                <w:iCs/>
                <w:sz w:val="24"/>
                <w:szCs w:val="24"/>
              </w:rPr>
              <w:t>euro</w:t>
            </w:r>
            <w:proofErr w:type="spellEnd"/>
            <w:r w:rsidRPr="00304C9F" w:rsidR="00873DA7">
              <w:rPr>
                <w:i/>
                <w:iCs/>
                <w:sz w:val="24"/>
                <w:szCs w:val="24"/>
              </w:rPr>
              <w:t xml:space="preserve"> </w:t>
            </w:r>
            <w:r w:rsidRPr="00304C9F" w:rsidR="00873DA7">
              <w:rPr>
                <w:sz w:val="24"/>
                <w:szCs w:val="24"/>
              </w:rPr>
              <w:t>apmērā, lai kompensētu mobilo sakaru operatoru izdevumus, kas radušies, nosūtot viesabonentiem, kuri ir reģistrējušies Latvijas mobilo sakaru operatora tīklā</w:t>
            </w:r>
            <w:r w:rsidR="007F0BEF">
              <w:rPr>
                <w:sz w:val="24"/>
                <w:szCs w:val="24"/>
              </w:rPr>
              <w:t>,</w:t>
            </w:r>
            <w:r w:rsidRPr="00304C9F" w:rsidR="00873DA7">
              <w:rPr>
                <w:sz w:val="24"/>
                <w:szCs w:val="24"/>
              </w:rPr>
              <w:t xml:space="preserve"> SMS paziņojumu</w:t>
            </w:r>
            <w:r w:rsidRPr="00304C9F" w:rsidR="00611F4C">
              <w:rPr>
                <w:sz w:val="24"/>
                <w:szCs w:val="24"/>
              </w:rPr>
              <w:t>s</w:t>
            </w:r>
            <w:r w:rsidRPr="00304C9F" w:rsidR="00873DA7">
              <w:rPr>
                <w:sz w:val="24"/>
                <w:szCs w:val="24"/>
              </w:rPr>
              <w:t xml:space="preserve"> laika periodā no 2020.gada 28.septembra līdz 2020.gada 31.decembrim, no tiem:</w:t>
            </w:r>
            <w:r w:rsidRPr="00304C9F" w:rsidR="00DB3DDB">
              <w:rPr>
                <w:sz w:val="24"/>
                <w:szCs w:val="24"/>
              </w:rPr>
              <w:t xml:space="preserve">                     </w:t>
            </w:r>
          </w:p>
          <w:p w:rsidRPr="00304C9F" w:rsidR="00873DA7" w:rsidP="00304C9F" w:rsidRDefault="00873DA7" w14:paraId="136F0F5F" w14:textId="77777777">
            <w:pPr>
              <w:pStyle w:val="ListParagraph"/>
              <w:shd w:val="clear" w:color="auto" w:fill="FFFFFF" w:themeFill="background1"/>
              <w:tabs>
                <w:tab w:val="left" w:pos="1134"/>
              </w:tabs>
              <w:ind w:left="0"/>
              <w:contextualSpacing w:val="0"/>
              <w:jc w:val="both"/>
              <w:rPr>
                <w:sz w:val="24"/>
                <w:szCs w:val="24"/>
              </w:rPr>
            </w:pPr>
            <w:r w:rsidRPr="00304C9F">
              <w:rPr>
                <w:sz w:val="24"/>
                <w:szCs w:val="24"/>
              </w:rPr>
              <w:t xml:space="preserve">-7467 </w:t>
            </w:r>
            <w:proofErr w:type="spellStart"/>
            <w:r w:rsidRPr="00304C9F">
              <w:rPr>
                <w:i/>
                <w:iCs/>
                <w:sz w:val="24"/>
                <w:szCs w:val="24"/>
              </w:rPr>
              <w:t>euro</w:t>
            </w:r>
            <w:proofErr w:type="spellEnd"/>
            <w:r w:rsidRPr="00304C9F">
              <w:rPr>
                <w:sz w:val="24"/>
                <w:szCs w:val="24"/>
              </w:rPr>
              <w:t xml:space="preserve">, </w:t>
            </w:r>
            <w:r w:rsidRPr="00304C9F" w:rsidR="00F5106B">
              <w:rPr>
                <w:sz w:val="24"/>
                <w:szCs w:val="24"/>
              </w:rPr>
              <w:t>LMT,</w:t>
            </w:r>
          </w:p>
          <w:p w:rsidRPr="00304C9F" w:rsidR="00873DA7" w:rsidP="00304C9F" w:rsidRDefault="00873DA7" w14:paraId="136F0F60" w14:textId="77777777">
            <w:pPr>
              <w:pStyle w:val="ListParagraph"/>
              <w:shd w:val="clear" w:color="auto" w:fill="FFFFFF" w:themeFill="background1"/>
              <w:tabs>
                <w:tab w:val="left" w:pos="1134"/>
              </w:tabs>
              <w:ind w:left="0"/>
              <w:contextualSpacing w:val="0"/>
              <w:jc w:val="both"/>
              <w:rPr>
                <w:sz w:val="24"/>
                <w:szCs w:val="24"/>
              </w:rPr>
            </w:pPr>
            <w:r w:rsidRPr="00304C9F">
              <w:rPr>
                <w:sz w:val="24"/>
                <w:szCs w:val="24"/>
              </w:rPr>
              <w:t xml:space="preserve">-16793 </w:t>
            </w:r>
            <w:proofErr w:type="spellStart"/>
            <w:r w:rsidRPr="00304C9F">
              <w:rPr>
                <w:i/>
                <w:iCs/>
                <w:sz w:val="24"/>
                <w:szCs w:val="24"/>
              </w:rPr>
              <w:t>euro</w:t>
            </w:r>
            <w:proofErr w:type="spellEnd"/>
            <w:r w:rsidRPr="00304C9F">
              <w:rPr>
                <w:i/>
                <w:iCs/>
                <w:sz w:val="24"/>
                <w:szCs w:val="24"/>
              </w:rPr>
              <w:t>,</w:t>
            </w:r>
            <w:r w:rsidRPr="00304C9F">
              <w:rPr>
                <w:sz w:val="24"/>
                <w:szCs w:val="24"/>
              </w:rPr>
              <w:t xml:space="preserve">  </w:t>
            </w:r>
            <w:r w:rsidRPr="00304C9F" w:rsidR="00F5106B">
              <w:rPr>
                <w:sz w:val="24"/>
                <w:szCs w:val="24"/>
              </w:rPr>
              <w:t>Tele2,</w:t>
            </w:r>
          </w:p>
          <w:p w:rsidRPr="00304C9F" w:rsidR="00873DA7" w:rsidP="00304C9F" w:rsidRDefault="00873DA7" w14:paraId="136F0F61" w14:textId="77777777">
            <w:pPr>
              <w:pStyle w:val="ListParagraph"/>
              <w:shd w:val="clear" w:color="auto" w:fill="FFFFFF" w:themeFill="background1"/>
              <w:tabs>
                <w:tab w:val="left" w:pos="1134"/>
              </w:tabs>
              <w:ind w:left="0"/>
              <w:contextualSpacing w:val="0"/>
              <w:jc w:val="both"/>
              <w:rPr>
                <w:sz w:val="24"/>
                <w:szCs w:val="24"/>
              </w:rPr>
            </w:pPr>
            <w:r w:rsidRPr="00304C9F">
              <w:rPr>
                <w:sz w:val="24"/>
                <w:szCs w:val="24"/>
              </w:rPr>
              <w:lastRenderedPageBreak/>
              <w:t xml:space="preserve">-7100 </w:t>
            </w:r>
            <w:proofErr w:type="spellStart"/>
            <w:r w:rsidRPr="00304C9F">
              <w:rPr>
                <w:i/>
                <w:iCs/>
                <w:sz w:val="24"/>
                <w:szCs w:val="24"/>
              </w:rPr>
              <w:t>euro</w:t>
            </w:r>
            <w:proofErr w:type="spellEnd"/>
            <w:r w:rsidRPr="00304C9F">
              <w:rPr>
                <w:i/>
                <w:iCs/>
                <w:sz w:val="24"/>
                <w:szCs w:val="24"/>
              </w:rPr>
              <w:t>,</w:t>
            </w:r>
            <w:r w:rsidRPr="00304C9F">
              <w:rPr>
                <w:sz w:val="24"/>
                <w:szCs w:val="24"/>
              </w:rPr>
              <w:t xml:space="preserve"> Bite.</w:t>
            </w:r>
          </w:p>
          <w:p w:rsidRPr="00CB700C" w:rsidR="00873DA7" w:rsidP="00304C9F" w:rsidRDefault="00873DA7" w14:paraId="136F0F62" w14:textId="77777777">
            <w:pPr>
              <w:pStyle w:val="BodyText"/>
              <w:shd w:val="clear" w:color="auto" w:fill="FFFFFF" w:themeFill="background1"/>
              <w:jc w:val="both"/>
              <w:outlineLvl w:val="0"/>
              <w:rPr>
                <w:sz w:val="24"/>
                <w:lang w:val="lv-LV"/>
              </w:rPr>
            </w:pPr>
            <w:r w:rsidRPr="00304C9F">
              <w:rPr>
                <w:sz w:val="24"/>
                <w:lang w:val="lv-LV"/>
              </w:rPr>
              <w:t xml:space="preserve">       Minēto kompensāciju Satiksmes ministrija piešķīra mobil</w:t>
            </w:r>
            <w:r w:rsidR="00C36F8F">
              <w:rPr>
                <w:sz w:val="24"/>
                <w:lang w:val="lv-LV"/>
              </w:rPr>
              <w:t>o sakaru</w:t>
            </w:r>
            <w:r w:rsidRPr="00304C9F">
              <w:rPr>
                <w:sz w:val="24"/>
                <w:lang w:val="lv-LV"/>
              </w:rPr>
              <w:t xml:space="preserve"> operatoriem </w:t>
            </w:r>
            <w:r w:rsidRPr="00304C9F" w:rsidR="00291001">
              <w:rPr>
                <w:sz w:val="24"/>
                <w:lang w:val="lv-LV"/>
              </w:rPr>
              <w:t>avansa veidā</w:t>
            </w:r>
            <w:r w:rsidR="007F0BEF">
              <w:rPr>
                <w:sz w:val="24"/>
                <w:lang w:val="lv-LV"/>
              </w:rPr>
              <w:t>,</w:t>
            </w:r>
            <w:r w:rsidRPr="00304C9F" w:rsidR="00291001">
              <w:rPr>
                <w:sz w:val="24"/>
                <w:lang w:val="lv-LV"/>
              </w:rPr>
              <w:t xml:space="preserve"> </w:t>
            </w:r>
            <w:r w:rsidRPr="00304C9F">
              <w:rPr>
                <w:sz w:val="24"/>
                <w:lang w:val="lv-LV"/>
              </w:rPr>
              <w:t>balstoties uz mobilo</w:t>
            </w:r>
            <w:r w:rsidR="007F0BEF">
              <w:rPr>
                <w:sz w:val="24"/>
                <w:lang w:val="lv-LV"/>
              </w:rPr>
              <w:t xml:space="preserve"> sakaru</w:t>
            </w:r>
            <w:r w:rsidRPr="00304C9F">
              <w:rPr>
                <w:sz w:val="24"/>
                <w:lang w:val="lv-LV"/>
              </w:rPr>
              <w:t xml:space="preserve"> operatoru iesniegtajām faktiskajām un prognozētajām SMS paziņojumu izsūtīšanas izmaksu aplēsēm. </w:t>
            </w:r>
            <w:r w:rsidRPr="00304C9F">
              <w:rPr>
                <w:sz w:val="24"/>
                <w:lang w:val="lv-LV" w:eastAsia="en-GB"/>
              </w:rPr>
              <w:t xml:space="preserve">MK rīkojums Nr.675 </w:t>
            </w:r>
            <w:r w:rsidRPr="00304C9F">
              <w:rPr>
                <w:sz w:val="24"/>
                <w:lang w:val="lv-LV"/>
              </w:rPr>
              <w:t>Satiksmes ministrijai uzdod nodrošināt, ka mobilo sakaru operatori pēc faktisko izmaksu aprēķināšanas neizmantoto finansējumu, ja tāds radies, līdz 2021. gada 30. janvārim ieskaita valsts budžetā</w:t>
            </w:r>
            <w:r w:rsidRPr="00CB700C">
              <w:rPr>
                <w:sz w:val="24"/>
                <w:lang w:val="lv-LV"/>
              </w:rPr>
              <w:t>.  Lai nodrošinātu mobilo</w:t>
            </w:r>
            <w:r w:rsidR="00C36F8F">
              <w:rPr>
                <w:sz w:val="24"/>
                <w:lang w:val="lv-LV"/>
              </w:rPr>
              <w:t xml:space="preserve"> sakaru</w:t>
            </w:r>
            <w:r w:rsidRPr="00CB700C">
              <w:rPr>
                <w:sz w:val="24"/>
                <w:lang w:val="lv-LV"/>
              </w:rPr>
              <w:t xml:space="preserve"> operatoru neizmantotā finansējuma ieskaitīšanu valsts budžetā</w:t>
            </w:r>
            <w:r w:rsidRPr="00CB700C" w:rsidR="00DB3DDB">
              <w:rPr>
                <w:sz w:val="24"/>
                <w:lang w:val="lv-LV"/>
              </w:rPr>
              <w:t>,</w:t>
            </w:r>
            <w:r w:rsidRPr="00CB700C">
              <w:rPr>
                <w:sz w:val="24"/>
                <w:lang w:val="lv-LV"/>
              </w:rPr>
              <w:t xml:space="preserve"> Satiksmes ministrija ar mobilo sakaru operatoriem noslēdza vienošanos, paredzot mobil</w:t>
            </w:r>
            <w:r w:rsidR="00C36F8F">
              <w:rPr>
                <w:sz w:val="24"/>
                <w:lang w:val="lv-LV"/>
              </w:rPr>
              <w:t>o sakaru</w:t>
            </w:r>
            <w:r w:rsidRPr="00CB700C">
              <w:rPr>
                <w:sz w:val="24"/>
                <w:lang w:val="lv-LV"/>
              </w:rPr>
              <w:t xml:space="preserve"> operatoriem pienākumu iesniegt Satiksmes ministrijai atskaiti ar pamatojošo dokumentāciju, iekļaujot informāciju par faktiski nosūtīto SMS paziņojumu skaitu laika periodā no 2020.gada 28.septembra līdz 2020.gada 31.decembrim un informāciju par saņemtās kompensācijas izlietojumu.</w:t>
            </w:r>
          </w:p>
          <w:p w:rsidRPr="00304C9F" w:rsidR="00873DA7" w:rsidP="00873DA7" w:rsidRDefault="00873DA7" w14:paraId="136F0F63" w14:textId="77777777">
            <w:pPr>
              <w:pStyle w:val="BodyText"/>
              <w:jc w:val="both"/>
              <w:outlineLvl w:val="0"/>
              <w:rPr>
                <w:sz w:val="24"/>
                <w:lang w:val="lv-LV"/>
              </w:rPr>
            </w:pPr>
            <w:r w:rsidRPr="00CB700C">
              <w:rPr>
                <w:sz w:val="24"/>
                <w:lang w:val="lv-LV"/>
              </w:rPr>
              <w:t xml:space="preserve">       Saskaņā ar Tele2 </w:t>
            </w:r>
            <w:r w:rsidRPr="00CB700C" w:rsidR="00291001">
              <w:rPr>
                <w:sz w:val="24"/>
                <w:lang w:val="lv-LV"/>
              </w:rPr>
              <w:t>sniegto atskaiti</w:t>
            </w:r>
            <w:r w:rsidRPr="00CB700C">
              <w:rPr>
                <w:sz w:val="24"/>
                <w:lang w:val="lv-LV"/>
              </w:rPr>
              <w:t xml:space="preserve"> tai izsniegtā kompensācija netika </w:t>
            </w:r>
            <w:r w:rsidRPr="00CB700C" w:rsidR="00291001">
              <w:rPr>
                <w:sz w:val="24"/>
                <w:lang w:val="lv-LV"/>
              </w:rPr>
              <w:t>izlietota</w:t>
            </w:r>
            <w:r w:rsidRPr="00CB700C">
              <w:rPr>
                <w:sz w:val="24"/>
                <w:lang w:val="lv-LV"/>
              </w:rPr>
              <w:t xml:space="preserve"> pilnā apmērā. Tele2 prognozēto 446 681  SMS paziņoju</w:t>
            </w:r>
            <w:r w:rsidRPr="00304C9F">
              <w:rPr>
                <w:sz w:val="24"/>
                <w:lang w:val="lv-LV"/>
              </w:rPr>
              <w:t xml:space="preserve">mu vietā nosūtīja 349 286 SMS paziņojumus, tādējādi nosūtot par 97 395 SMS paziņojumiem mazāk un paredzētās kompensācijas 16 793 </w:t>
            </w:r>
            <w:proofErr w:type="spellStart"/>
            <w:r w:rsidRPr="00304C9F" w:rsidR="00FD0AE1">
              <w:rPr>
                <w:i/>
                <w:sz w:val="24"/>
                <w:lang w:val="lv-LV"/>
              </w:rPr>
              <w:t>euro</w:t>
            </w:r>
            <w:proofErr w:type="spellEnd"/>
            <w:r w:rsidRPr="00304C9F">
              <w:rPr>
                <w:sz w:val="24"/>
                <w:lang w:val="lv-LV"/>
              </w:rPr>
              <w:t xml:space="preserve"> vietā izlietojot 14 204 </w:t>
            </w:r>
            <w:r w:rsidRPr="00304C9F" w:rsidR="00FD0AE1">
              <w:rPr>
                <w:i/>
                <w:sz w:val="24"/>
                <w:lang w:val="lv-LV"/>
              </w:rPr>
              <w:t xml:space="preserve"> </w:t>
            </w:r>
            <w:proofErr w:type="spellStart"/>
            <w:r w:rsidRPr="00304C9F" w:rsidR="00FD0AE1">
              <w:rPr>
                <w:i/>
                <w:sz w:val="24"/>
                <w:lang w:val="lv-LV"/>
              </w:rPr>
              <w:t>euro</w:t>
            </w:r>
            <w:proofErr w:type="spellEnd"/>
            <w:r w:rsidRPr="00304C9F">
              <w:rPr>
                <w:sz w:val="24"/>
                <w:lang w:val="lv-LV"/>
              </w:rPr>
              <w:t xml:space="preserve">. Tādējādi Tele2 valsts budžetā atmaksāja 2589 </w:t>
            </w:r>
            <w:r w:rsidRPr="00304C9F" w:rsidR="00FD0AE1">
              <w:rPr>
                <w:i/>
                <w:sz w:val="24"/>
                <w:lang w:val="lv-LV"/>
              </w:rPr>
              <w:t xml:space="preserve"> </w:t>
            </w:r>
            <w:proofErr w:type="spellStart"/>
            <w:r w:rsidRPr="00304C9F" w:rsidR="00FD0AE1">
              <w:rPr>
                <w:i/>
                <w:sz w:val="24"/>
                <w:lang w:val="lv-LV"/>
              </w:rPr>
              <w:t>euro</w:t>
            </w:r>
            <w:proofErr w:type="spellEnd"/>
            <w:r w:rsidRPr="00304C9F">
              <w:rPr>
                <w:sz w:val="24"/>
                <w:lang w:val="lv-LV"/>
              </w:rPr>
              <w:t xml:space="preserve">. </w:t>
            </w:r>
          </w:p>
          <w:p w:rsidRPr="007F0BEF" w:rsidR="00873DA7" w:rsidP="007A343A" w:rsidRDefault="00873DA7" w14:paraId="136F0F64" w14:textId="77777777">
            <w:pPr>
              <w:pStyle w:val="BodyText"/>
              <w:jc w:val="both"/>
              <w:outlineLvl w:val="0"/>
              <w:rPr>
                <w:sz w:val="24"/>
                <w:lang w:val="lv-LV"/>
              </w:rPr>
            </w:pPr>
            <w:r w:rsidRPr="00304C9F">
              <w:rPr>
                <w:sz w:val="24"/>
                <w:lang w:val="lv-LV"/>
              </w:rPr>
              <w:t xml:space="preserve">      </w:t>
            </w:r>
            <w:r w:rsidR="0016581D">
              <w:rPr>
                <w:sz w:val="24"/>
                <w:lang w:val="lv-LV"/>
              </w:rPr>
              <w:t xml:space="preserve"> </w:t>
            </w:r>
            <w:r w:rsidRPr="00304C9F">
              <w:rPr>
                <w:sz w:val="24"/>
                <w:lang w:val="lv-LV"/>
              </w:rPr>
              <w:t xml:space="preserve">Saskaņā ar </w:t>
            </w:r>
            <w:r w:rsidRPr="00304C9F" w:rsidR="00F5106B">
              <w:rPr>
                <w:sz w:val="24"/>
                <w:lang w:val="lv-LV"/>
              </w:rPr>
              <w:t>LMT</w:t>
            </w:r>
            <w:r w:rsidRPr="00304C9F" w:rsidR="00291001">
              <w:rPr>
                <w:sz w:val="24"/>
                <w:lang w:val="lv-LV"/>
              </w:rPr>
              <w:t xml:space="preserve"> sniegtajiem datiem</w:t>
            </w:r>
            <w:r w:rsidRPr="00304C9F">
              <w:rPr>
                <w:sz w:val="24"/>
                <w:lang w:val="lv-LV"/>
              </w:rPr>
              <w:t xml:space="preserve"> LMT bija paredzējis nosūtīt 275 350 SMS paziņo</w:t>
            </w:r>
            <w:r w:rsidRPr="00304C9F" w:rsidR="009E3518">
              <w:rPr>
                <w:sz w:val="24"/>
                <w:lang w:val="lv-LV"/>
              </w:rPr>
              <w:t>jumus, paredzot izmaksas 7466,00</w:t>
            </w:r>
            <w:r w:rsidRPr="00304C9F">
              <w:rPr>
                <w:sz w:val="24"/>
                <w:lang w:val="lv-LV"/>
              </w:rPr>
              <w:t xml:space="preserve"> </w:t>
            </w:r>
            <w:proofErr w:type="spellStart"/>
            <w:r w:rsidRPr="00304C9F" w:rsidR="007A343A">
              <w:rPr>
                <w:i/>
                <w:sz w:val="24"/>
                <w:lang w:val="lv-LV"/>
              </w:rPr>
              <w:t>euro</w:t>
            </w:r>
            <w:proofErr w:type="spellEnd"/>
            <w:r w:rsidRPr="00304C9F">
              <w:rPr>
                <w:sz w:val="24"/>
                <w:lang w:val="lv-LV"/>
              </w:rPr>
              <w:t xml:space="preserve"> apmērā, bet nosūtīja 379 725 SMS paziņojumus, kuru izsūtīšanai radās izmaksa</w:t>
            </w:r>
            <w:r w:rsidRPr="0016581D">
              <w:rPr>
                <w:sz w:val="24"/>
                <w:lang w:val="lv-LV"/>
              </w:rPr>
              <w:t xml:space="preserve">s 10 389.36 </w:t>
            </w:r>
            <w:r w:rsidRPr="0016581D" w:rsidR="00FD0AE1">
              <w:rPr>
                <w:i/>
                <w:sz w:val="24"/>
                <w:lang w:val="lv-LV"/>
              </w:rPr>
              <w:t xml:space="preserve"> </w:t>
            </w:r>
            <w:proofErr w:type="spellStart"/>
            <w:r w:rsidRPr="0016581D" w:rsidR="00FD0AE1">
              <w:rPr>
                <w:i/>
                <w:sz w:val="24"/>
                <w:lang w:val="lv-LV"/>
              </w:rPr>
              <w:t>euro</w:t>
            </w:r>
            <w:proofErr w:type="spellEnd"/>
            <w:r w:rsidRPr="0016581D" w:rsidR="00FD0AE1">
              <w:rPr>
                <w:sz w:val="24"/>
                <w:lang w:val="lv-LV"/>
              </w:rPr>
              <w:t xml:space="preserve"> </w:t>
            </w:r>
            <w:r w:rsidRPr="0016581D">
              <w:rPr>
                <w:sz w:val="24"/>
                <w:lang w:val="lv-LV"/>
              </w:rPr>
              <w:t>apmērā. Tādējādi izmaksas, kas radās LMT ir par 292</w:t>
            </w:r>
            <w:r w:rsidRPr="0016581D" w:rsidR="009E3518">
              <w:rPr>
                <w:sz w:val="24"/>
                <w:lang w:val="lv-LV"/>
              </w:rPr>
              <w:t>3,00</w:t>
            </w:r>
            <w:r w:rsidRPr="0016581D">
              <w:rPr>
                <w:sz w:val="24"/>
                <w:lang w:val="lv-LV"/>
              </w:rPr>
              <w:t xml:space="preserve"> </w:t>
            </w:r>
            <w:proofErr w:type="spellStart"/>
            <w:r w:rsidRPr="0016581D" w:rsidR="007A343A">
              <w:rPr>
                <w:i/>
                <w:sz w:val="24"/>
                <w:lang w:val="lv-LV"/>
              </w:rPr>
              <w:t>euro</w:t>
            </w:r>
            <w:proofErr w:type="spellEnd"/>
            <w:r w:rsidRPr="0016581D">
              <w:rPr>
                <w:sz w:val="24"/>
                <w:lang w:val="lv-LV"/>
              </w:rPr>
              <w:t xml:space="preserve"> </w:t>
            </w:r>
            <w:r w:rsidRPr="0016581D" w:rsidR="00484CEA">
              <w:rPr>
                <w:sz w:val="24"/>
                <w:lang w:val="lv-LV"/>
              </w:rPr>
              <w:t>lielākas</w:t>
            </w:r>
            <w:r w:rsidRPr="0016581D" w:rsidR="007A343A">
              <w:rPr>
                <w:sz w:val="24"/>
                <w:lang w:val="lv-LV"/>
              </w:rPr>
              <w:t xml:space="preserve">, nekā sākotnēji prognozēts, kas ir </w:t>
            </w:r>
            <w:r w:rsidRPr="007F0BEF" w:rsidR="007A343A">
              <w:rPr>
                <w:sz w:val="24"/>
                <w:lang w:val="lv-LV"/>
              </w:rPr>
              <w:t>LMT nekompensētā summa par faktiski nosūtītajiem SMS paziņojumiem.</w:t>
            </w:r>
          </w:p>
          <w:p w:rsidRPr="007F0BEF" w:rsidR="00873DA7" w:rsidP="0016581D" w:rsidRDefault="00484CEA" w14:paraId="136F0F65" w14:textId="77777777">
            <w:pPr>
              <w:pStyle w:val="BodyText"/>
              <w:jc w:val="both"/>
              <w:outlineLvl w:val="0"/>
              <w:rPr>
                <w:sz w:val="24"/>
                <w:lang w:val="lv-LV"/>
              </w:rPr>
            </w:pPr>
            <w:r w:rsidRPr="007F0BEF">
              <w:rPr>
                <w:sz w:val="24"/>
                <w:lang w:val="lv-LV"/>
              </w:rPr>
              <w:t xml:space="preserve"> </w:t>
            </w:r>
            <w:r w:rsidRPr="007F0BEF" w:rsidR="00F5106B">
              <w:rPr>
                <w:sz w:val="24"/>
                <w:lang w:val="lv-LV"/>
              </w:rPr>
              <w:t xml:space="preserve">      Atbilstoši noslēgtajai v</w:t>
            </w:r>
            <w:r w:rsidRPr="007F0BEF" w:rsidR="00873DA7">
              <w:rPr>
                <w:sz w:val="24"/>
                <w:lang w:val="lv-LV"/>
              </w:rPr>
              <w:t xml:space="preserve">ienošanās ar Satiksmes ministriju, Bite </w:t>
            </w:r>
            <w:r w:rsidRPr="007F0BEF" w:rsidR="007F0BEF">
              <w:rPr>
                <w:sz w:val="24"/>
                <w:lang w:val="lv-LV"/>
              </w:rPr>
              <w:t xml:space="preserve"> </w:t>
            </w:r>
            <w:r w:rsidRPr="007F0BEF" w:rsidR="00873DA7">
              <w:rPr>
                <w:sz w:val="24"/>
                <w:lang w:val="lv-LV"/>
              </w:rPr>
              <w:t>2021.gada 10 janvārī  iesniedza Satiksmes ministrijai atskaiti</w:t>
            </w:r>
            <w:r w:rsidRPr="007F0BEF" w:rsidR="00304C9F">
              <w:rPr>
                <w:sz w:val="24"/>
                <w:lang w:val="lv-LV"/>
              </w:rPr>
              <w:t>,</w:t>
            </w:r>
            <w:r w:rsidRPr="007F0BEF" w:rsidR="00873DA7">
              <w:rPr>
                <w:sz w:val="24"/>
                <w:lang w:val="lv-LV"/>
              </w:rPr>
              <w:t xml:space="preserve"> norādot faktiski nosūtīto SMS paziņojumu skaitu un izmaksas, </w:t>
            </w:r>
            <w:r w:rsidR="008E559E">
              <w:rPr>
                <w:sz w:val="24"/>
                <w:lang w:val="lv-LV"/>
              </w:rPr>
              <w:t>vienlaikus norādot, ka par 2020. gada decembri informāciju vēl nav iespējams iesniegt</w:t>
            </w:r>
            <w:r w:rsidRPr="008E559E" w:rsidR="008E559E">
              <w:rPr>
                <w:sz w:val="24"/>
                <w:lang w:val="lv-LV"/>
              </w:rPr>
              <w:t xml:space="preserve">. Tādējādi faktiski zināmie izdevumi sastādīja 6208.00 </w:t>
            </w:r>
            <w:r w:rsidRPr="007F0BEF" w:rsidR="00FD0AE1">
              <w:rPr>
                <w:i/>
                <w:sz w:val="24"/>
                <w:lang w:val="lv-LV"/>
              </w:rPr>
              <w:t xml:space="preserve"> </w:t>
            </w:r>
            <w:proofErr w:type="spellStart"/>
            <w:r w:rsidRPr="007F0BEF" w:rsidR="00FD0AE1">
              <w:rPr>
                <w:i/>
                <w:sz w:val="24"/>
                <w:lang w:val="lv-LV"/>
              </w:rPr>
              <w:t>euro</w:t>
            </w:r>
            <w:proofErr w:type="spellEnd"/>
            <w:r w:rsidRPr="008E559E" w:rsidR="008E559E">
              <w:rPr>
                <w:sz w:val="24"/>
                <w:lang w:val="lv-LV"/>
              </w:rPr>
              <w:t xml:space="preserve">. Ievērojot vienošanās nosacījumus, Bite 2021.gada 10.janvārī veica piešķirtās, bet neizmantotās kompensācijas daļas  892.00 </w:t>
            </w:r>
            <w:r w:rsidRPr="007F0BEF" w:rsidR="00FD0AE1">
              <w:rPr>
                <w:i/>
                <w:sz w:val="24"/>
                <w:lang w:val="lv-LV"/>
              </w:rPr>
              <w:t xml:space="preserve"> </w:t>
            </w:r>
            <w:proofErr w:type="spellStart"/>
            <w:r w:rsidRPr="007F0BEF" w:rsidR="00FD0AE1">
              <w:rPr>
                <w:i/>
                <w:sz w:val="24"/>
                <w:lang w:val="lv-LV"/>
              </w:rPr>
              <w:t>euro</w:t>
            </w:r>
            <w:proofErr w:type="spellEnd"/>
            <w:r w:rsidRPr="008E559E" w:rsidR="008E559E">
              <w:rPr>
                <w:sz w:val="24"/>
                <w:lang w:val="lv-LV"/>
              </w:rPr>
              <w:t xml:space="preserve"> apmērā pārskaitījumu Satiksmes ministrijai. Satiksmes ministrija minētos līdzekļus 2020. gada 25.janvārī ieskaitīja valsts budžetā.</w:t>
            </w:r>
          </w:p>
          <w:p w:rsidRPr="007F0BEF" w:rsidR="00E611E5" w:rsidP="0016581D" w:rsidRDefault="008E559E" w14:paraId="136F0F66" w14:textId="77777777">
            <w:pPr>
              <w:pStyle w:val="BodyText"/>
              <w:jc w:val="both"/>
              <w:outlineLvl w:val="0"/>
              <w:rPr>
                <w:sz w:val="24"/>
                <w:lang w:val="lv-LV"/>
              </w:rPr>
            </w:pPr>
            <w:r w:rsidRPr="008E559E">
              <w:rPr>
                <w:sz w:val="24"/>
                <w:lang w:val="lv-LV"/>
              </w:rPr>
              <w:t xml:space="preserve">       Pēc faktisko izmaksu apzināšanas Bite 2021.gada 5.februārī  iesniedza Satiksmes ministrijai papildu atskaiti ar precizēto informāciju, norādot, ka faktiskās izmaksas, kas radušās par SMS paziņojumu nosūtīšanu laika posmā no </w:t>
            </w:r>
            <w:r w:rsidR="007F0BEF">
              <w:rPr>
                <w:sz w:val="24"/>
                <w:lang w:val="lv-LV"/>
              </w:rPr>
              <w:t xml:space="preserve">2020.gada </w:t>
            </w:r>
            <w:r w:rsidRPr="008E559E">
              <w:rPr>
                <w:sz w:val="24"/>
                <w:lang w:val="lv-LV"/>
              </w:rPr>
              <w:t xml:space="preserve">28.septembra līdz 2020.gada 31.decembrim ir  9697.00 </w:t>
            </w:r>
            <w:r w:rsidRPr="007F0BEF" w:rsidR="00FD0AE1">
              <w:rPr>
                <w:i/>
                <w:sz w:val="24"/>
                <w:lang w:val="lv-LV"/>
              </w:rPr>
              <w:t xml:space="preserve"> </w:t>
            </w:r>
            <w:proofErr w:type="spellStart"/>
            <w:r w:rsidRPr="007F0BEF" w:rsidR="00FD0AE1">
              <w:rPr>
                <w:i/>
                <w:sz w:val="24"/>
                <w:lang w:val="lv-LV"/>
              </w:rPr>
              <w:t>euro</w:t>
            </w:r>
            <w:proofErr w:type="spellEnd"/>
            <w:r w:rsidRPr="008E559E">
              <w:rPr>
                <w:sz w:val="24"/>
                <w:lang w:val="lv-LV"/>
              </w:rPr>
              <w:t xml:space="preserve">, kas ir par 2597.00 </w:t>
            </w:r>
            <w:r w:rsidRPr="007F0BEF" w:rsidR="00FD0AE1">
              <w:rPr>
                <w:i/>
                <w:sz w:val="24"/>
                <w:lang w:val="lv-LV"/>
              </w:rPr>
              <w:t xml:space="preserve"> </w:t>
            </w:r>
            <w:proofErr w:type="spellStart"/>
            <w:r w:rsidRPr="007F0BEF" w:rsidR="00FD0AE1">
              <w:rPr>
                <w:i/>
                <w:sz w:val="24"/>
                <w:lang w:val="lv-LV"/>
              </w:rPr>
              <w:t>euro</w:t>
            </w:r>
            <w:proofErr w:type="spellEnd"/>
            <w:r w:rsidRPr="008E559E">
              <w:rPr>
                <w:sz w:val="24"/>
                <w:lang w:val="lv-LV"/>
              </w:rPr>
              <w:t xml:space="preserve"> vairāk, nekā iepriekš prognozēts.  Tādējādi Bitei nekompensētā summa par SMS </w:t>
            </w:r>
            <w:r w:rsidRPr="00ED1279">
              <w:rPr>
                <w:sz w:val="24"/>
                <w:lang w:val="lv-LV"/>
              </w:rPr>
              <w:t xml:space="preserve">izsūtīšanu </w:t>
            </w:r>
            <w:r w:rsidRPr="00ED1279" w:rsidR="007F0BEF">
              <w:rPr>
                <w:sz w:val="24"/>
                <w:lang w:val="lv-LV"/>
              </w:rPr>
              <w:t>ir</w:t>
            </w:r>
            <w:r w:rsidRPr="00ED1279">
              <w:rPr>
                <w:sz w:val="24"/>
                <w:lang w:val="lv-LV"/>
              </w:rPr>
              <w:t xml:space="preserve"> 3489.00 </w:t>
            </w:r>
            <w:proofErr w:type="spellStart"/>
            <w:r w:rsidRPr="00ED1279">
              <w:rPr>
                <w:i/>
                <w:sz w:val="24"/>
                <w:lang w:val="lv-LV"/>
              </w:rPr>
              <w:t>euro</w:t>
            </w:r>
            <w:proofErr w:type="spellEnd"/>
            <w:r w:rsidRPr="00ED1279">
              <w:rPr>
                <w:sz w:val="24"/>
                <w:lang w:val="lv-LV"/>
              </w:rPr>
              <w:t xml:space="preserve"> (tai skaitā valsts budžetā ieskaitītie 892.00 </w:t>
            </w:r>
            <w:proofErr w:type="spellStart"/>
            <w:r w:rsidRPr="00ED1279">
              <w:rPr>
                <w:i/>
                <w:sz w:val="24"/>
                <w:lang w:val="lv-LV"/>
              </w:rPr>
              <w:t>euro</w:t>
            </w:r>
            <w:proofErr w:type="spellEnd"/>
            <w:r w:rsidRPr="00ED1279">
              <w:rPr>
                <w:sz w:val="24"/>
                <w:lang w:val="lv-LV"/>
              </w:rPr>
              <w:t>).</w:t>
            </w:r>
          </w:p>
          <w:p w:rsidRPr="00CB700C" w:rsidR="00291001" w:rsidP="0016581D" w:rsidRDefault="00291001" w14:paraId="136F0F67" w14:textId="77777777">
            <w:pPr>
              <w:jc w:val="both"/>
              <w:rPr>
                <w:color w:val="000000" w:themeColor="text1"/>
              </w:rPr>
            </w:pPr>
            <w:r w:rsidRPr="007F0BEF">
              <w:rPr>
                <w:color w:val="000000" w:themeColor="text1"/>
              </w:rPr>
              <w:t xml:space="preserve">    </w:t>
            </w:r>
            <w:r w:rsidRPr="007F0BEF" w:rsidR="0016581D">
              <w:rPr>
                <w:color w:val="000000" w:themeColor="text1"/>
              </w:rPr>
              <w:t xml:space="preserve">   </w:t>
            </w:r>
            <w:r w:rsidRPr="007F0BEF">
              <w:rPr>
                <w:color w:val="000000" w:themeColor="text1"/>
              </w:rPr>
              <w:t xml:space="preserve">Pēc mobilo sakaru operatoru iesniegtās informācijas, lai kompensētu izdevumus, kas </w:t>
            </w:r>
            <w:r w:rsidRPr="001E4E40" w:rsidR="009E3518">
              <w:rPr>
                <w:color w:val="000000" w:themeColor="text1"/>
              </w:rPr>
              <w:t xml:space="preserve">faktiski </w:t>
            </w:r>
            <w:r w:rsidRPr="001E4E40">
              <w:rPr>
                <w:color w:val="000000" w:themeColor="text1"/>
              </w:rPr>
              <w:t>radušies, nosūtot viesabonentiem,  kuri ir reģistrējušies Latvijas mobilo sakaru operatoru tīklā SMS paziņojumu laika periodā no 2020.gada 2</w:t>
            </w:r>
            <w:r w:rsidRPr="001E4E40" w:rsidR="00304C9F">
              <w:rPr>
                <w:color w:val="000000" w:themeColor="text1"/>
              </w:rPr>
              <w:t>8.septembra  līdz 2020.gada 31.</w:t>
            </w:r>
            <w:r w:rsidRPr="001E4E40">
              <w:rPr>
                <w:color w:val="000000" w:themeColor="text1"/>
              </w:rPr>
              <w:t xml:space="preserve"> </w:t>
            </w:r>
            <w:r w:rsidRPr="001E4E40" w:rsidR="009E3518">
              <w:rPr>
                <w:color w:val="000000" w:themeColor="text1"/>
              </w:rPr>
              <w:t>d</w:t>
            </w:r>
            <w:r w:rsidRPr="001E4E40">
              <w:rPr>
                <w:color w:val="000000" w:themeColor="text1"/>
              </w:rPr>
              <w:t xml:space="preserve">ecembrim, no valsts budžeta programmas 02.00.00 “Līdzekļi neparedzētiem gadījumiem </w:t>
            </w:r>
            <w:r w:rsidRPr="001E4E40" w:rsidR="009E3518">
              <w:rPr>
                <w:color w:val="000000" w:themeColor="text1"/>
              </w:rPr>
              <w:t xml:space="preserve">papildus ir </w:t>
            </w:r>
            <w:r w:rsidRPr="001E4E40">
              <w:rPr>
                <w:color w:val="000000" w:themeColor="text1"/>
              </w:rPr>
              <w:t xml:space="preserve">nepieciešams </w:t>
            </w:r>
            <w:r w:rsidRPr="001E4E40" w:rsidR="009E3518">
              <w:rPr>
                <w:color w:val="000000" w:themeColor="text1"/>
              </w:rPr>
              <w:t>6412.00</w:t>
            </w:r>
            <w:r w:rsidRPr="001E4E40">
              <w:rPr>
                <w:color w:val="000000" w:themeColor="text1"/>
              </w:rPr>
              <w:t>_</w:t>
            </w:r>
            <w:r w:rsidRPr="001E4E40">
              <w:rPr>
                <w:i/>
                <w:iCs/>
                <w:color w:val="000000" w:themeColor="text1"/>
              </w:rPr>
              <w:t>euro</w:t>
            </w:r>
            <w:r w:rsidRPr="001E4E40">
              <w:rPr>
                <w:color w:val="000000" w:themeColor="text1"/>
              </w:rPr>
              <w:t>.</w:t>
            </w:r>
            <w:r w:rsidR="007A343A">
              <w:rPr>
                <w:color w:val="000000" w:themeColor="text1"/>
              </w:rPr>
              <w:t xml:space="preserve">    </w:t>
            </w:r>
          </w:p>
        </w:tc>
      </w:tr>
      <w:tr w:rsidRPr="00CB700C" w:rsidR="00921F8C" w:rsidTr="00762153" w14:paraId="136F0F6C" w14:textId="77777777">
        <w:trPr>
          <w:trHeight w:val="476"/>
        </w:trPr>
        <w:tc>
          <w:tcPr>
            <w:tcW w:w="218" w:type="pct"/>
          </w:tcPr>
          <w:p w:rsidRPr="00CB700C" w:rsidR="00B31106" w:rsidP="0079262D" w:rsidRDefault="00B31106" w14:paraId="136F0F69" w14:textId="77777777">
            <w:pPr>
              <w:pStyle w:val="naiskr"/>
              <w:spacing w:before="0" w:beforeAutospacing="0" w:after="0" w:afterAutospacing="0"/>
              <w:ind w:left="57" w:right="57"/>
              <w:jc w:val="center"/>
            </w:pPr>
            <w:r w:rsidRPr="00CB700C">
              <w:lastRenderedPageBreak/>
              <w:t>3.</w:t>
            </w:r>
          </w:p>
        </w:tc>
        <w:tc>
          <w:tcPr>
            <w:tcW w:w="1400" w:type="pct"/>
          </w:tcPr>
          <w:p w:rsidRPr="00CB700C" w:rsidR="00B31106" w:rsidP="0079262D" w:rsidRDefault="00B31106" w14:paraId="136F0F6A" w14:textId="77777777">
            <w:pPr>
              <w:pStyle w:val="naiskr"/>
              <w:spacing w:before="0" w:beforeAutospacing="0" w:after="0" w:afterAutospacing="0"/>
              <w:ind w:left="57" w:right="57"/>
            </w:pPr>
            <w:r w:rsidRPr="00CB700C">
              <w:t>Projekta izstrādē iesaistītās institūcijas</w:t>
            </w:r>
            <w:r w:rsidRPr="00CB700C" w:rsidR="00E34D03">
              <w:t xml:space="preserve"> un publiskas personas kapitālsabiedrības</w:t>
            </w:r>
          </w:p>
        </w:tc>
        <w:tc>
          <w:tcPr>
            <w:tcW w:w="3382" w:type="pct"/>
          </w:tcPr>
          <w:p w:rsidRPr="00CB700C" w:rsidR="00B31106" w:rsidP="0079262D" w:rsidRDefault="00BD0691" w14:paraId="136F0F6B" w14:textId="77777777">
            <w:pPr>
              <w:ind w:left="57" w:right="57"/>
            </w:pPr>
            <w:r w:rsidRPr="00CB700C">
              <w:t>Satiksmes ministrija</w:t>
            </w:r>
          </w:p>
        </w:tc>
      </w:tr>
      <w:tr w:rsidRPr="00CB700C" w:rsidR="00921F8C" w:rsidTr="00762153" w14:paraId="136F0F70" w14:textId="77777777">
        <w:tc>
          <w:tcPr>
            <w:tcW w:w="218" w:type="pct"/>
          </w:tcPr>
          <w:p w:rsidRPr="00CB700C" w:rsidR="00B31106" w:rsidP="0079262D" w:rsidRDefault="00B31106" w14:paraId="136F0F6D" w14:textId="77777777">
            <w:pPr>
              <w:pStyle w:val="naiskr"/>
              <w:spacing w:before="0" w:beforeAutospacing="0" w:after="0" w:afterAutospacing="0"/>
              <w:ind w:left="57" w:right="57"/>
              <w:jc w:val="center"/>
            </w:pPr>
            <w:r w:rsidRPr="00CB700C">
              <w:t>4.</w:t>
            </w:r>
          </w:p>
        </w:tc>
        <w:tc>
          <w:tcPr>
            <w:tcW w:w="1400" w:type="pct"/>
          </w:tcPr>
          <w:p w:rsidRPr="00CB700C" w:rsidR="00B31106" w:rsidP="0079262D" w:rsidRDefault="00B31106" w14:paraId="136F0F6E" w14:textId="77777777">
            <w:pPr>
              <w:pStyle w:val="naiskr"/>
              <w:spacing w:before="0" w:beforeAutospacing="0" w:after="0" w:afterAutospacing="0"/>
              <w:ind w:left="57" w:right="57"/>
            </w:pPr>
            <w:r w:rsidRPr="00CB700C">
              <w:t>Cita informācija</w:t>
            </w:r>
          </w:p>
        </w:tc>
        <w:tc>
          <w:tcPr>
            <w:tcW w:w="3382" w:type="pct"/>
          </w:tcPr>
          <w:p w:rsidRPr="00CB700C" w:rsidR="00B31106" w:rsidP="0079262D" w:rsidRDefault="00DD4018" w14:paraId="136F0F6F" w14:textId="77777777">
            <w:pPr>
              <w:pStyle w:val="naiskr"/>
              <w:spacing w:before="0" w:beforeAutospacing="0" w:after="0" w:afterAutospacing="0"/>
              <w:ind w:left="57" w:right="57"/>
              <w:jc w:val="both"/>
            </w:pPr>
            <w:r w:rsidRPr="00CB700C">
              <w:t>Nav.</w:t>
            </w:r>
          </w:p>
        </w:tc>
      </w:tr>
    </w:tbl>
    <w:p w:rsidRPr="00CB700C" w:rsidR="00050C31" w:rsidP="0079262D" w:rsidRDefault="00050C31" w14:paraId="136F0F71" w14:textId="77777777">
      <w:pPr>
        <w:ind w:firstLine="300"/>
      </w:pPr>
    </w:p>
    <w:p w:rsidRPr="00CB700C" w:rsidR="004C22E2" w:rsidP="0079262D" w:rsidRDefault="004C22E2" w14:paraId="136F0F72" w14:textId="77777777">
      <w:pPr>
        <w:ind w:firstLine="300"/>
      </w:pPr>
    </w:p>
    <w:p w:rsidRPr="00CB700C" w:rsidR="004C22E2" w:rsidP="0079262D" w:rsidRDefault="004C22E2" w14:paraId="136F0F73" w14:textId="77777777">
      <w:pPr>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15"/>
        <w:gridCol w:w="3145"/>
        <w:gridCol w:w="5718"/>
      </w:tblGrid>
      <w:tr w:rsidRPr="007F0BEF" w:rsidR="00921F8C" w:rsidTr="00BD0691" w14:paraId="136F0F75"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7F0BEF" w:rsidR="00050C31" w:rsidP="0079262D" w:rsidRDefault="008E559E" w14:paraId="136F0F74" w14:textId="77777777">
            <w:pPr>
              <w:jc w:val="center"/>
              <w:rPr>
                <w:b/>
              </w:rPr>
            </w:pPr>
            <w:r w:rsidRPr="008E559E">
              <w:rPr>
                <w:b/>
              </w:rPr>
              <w:t>II. Tiesību akta projekta ietekme uz sabiedrību, tautsaimniecības attīstību un administratīvo slogu</w:t>
            </w:r>
          </w:p>
        </w:tc>
      </w:tr>
      <w:tr w:rsidRPr="00CB700C" w:rsidR="00921F8C" w:rsidTr="00BD0691" w14:paraId="136F0F79"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CB700C" w:rsidR="00050C31" w:rsidP="0079262D" w:rsidRDefault="00050C31" w14:paraId="136F0F76" w14:textId="77777777">
            <w:r w:rsidRPr="00CB700C">
              <w:t>1.</w:t>
            </w:r>
          </w:p>
        </w:tc>
        <w:tc>
          <w:tcPr>
            <w:tcW w:w="1642" w:type="pct"/>
            <w:tcBorders>
              <w:top w:val="outset" w:color="414142" w:sz="6" w:space="0"/>
              <w:left w:val="outset" w:color="414142" w:sz="6" w:space="0"/>
              <w:bottom w:val="outset" w:color="414142" w:sz="6" w:space="0"/>
              <w:right w:val="outset" w:color="414142" w:sz="6" w:space="0"/>
            </w:tcBorders>
            <w:hideMark/>
          </w:tcPr>
          <w:p w:rsidRPr="00CB700C" w:rsidR="00050C31" w:rsidP="0079262D" w:rsidRDefault="00050C31" w14:paraId="136F0F77" w14:textId="77777777">
            <w:r w:rsidRPr="00CB700C">
              <w:t>Sabiedrības mēr</w:t>
            </w:r>
            <w:r w:rsidRPr="00CB700C" w:rsidR="0084722C">
              <w:t>ķ</w:t>
            </w:r>
            <w:r w:rsidRPr="00CB700C">
              <w:t>grupas,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CB700C" w:rsidR="00050C31" w:rsidP="00BB6C98" w:rsidRDefault="00751FC2" w14:paraId="136F0F78" w14:textId="77777777">
            <w:pPr>
              <w:ind w:left="57"/>
              <w:jc w:val="both"/>
            </w:pPr>
            <w:r w:rsidRPr="00CB700C">
              <w:t>Mobilo sakaru operatori</w:t>
            </w:r>
            <w:r w:rsidR="00BB6C98">
              <w:t xml:space="preserve">, </w:t>
            </w:r>
            <w:r w:rsidR="00BB6C98">
              <w:rPr>
                <w:lang w:eastAsia="en-GB"/>
              </w:rPr>
              <w:t>personas, kas ieceļo vai atgriežas</w:t>
            </w:r>
            <w:r w:rsidRPr="00CB700C" w:rsidR="00BB6C98">
              <w:rPr>
                <w:lang w:eastAsia="en-GB"/>
              </w:rPr>
              <w:t xml:space="preserve"> Latvijā </w:t>
            </w:r>
            <w:r w:rsidRPr="00FD0AE1" w:rsidR="00BB6C98">
              <w:rPr>
                <w:lang w:eastAsia="en-GB"/>
              </w:rPr>
              <w:t>no ārvalstīm</w:t>
            </w:r>
            <w:r w:rsidR="00BB6C98">
              <w:t xml:space="preserve"> </w:t>
            </w:r>
            <w:r w:rsidRPr="00CB700C" w:rsidR="00DD4018">
              <w:t xml:space="preserve">. </w:t>
            </w:r>
          </w:p>
        </w:tc>
      </w:tr>
      <w:tr w:rsidRPr="00CB700C" w:rsidR="00DD4018" w:rsidTr="00BD0691" w14:paraId="136F0F7D"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7A" w14:textId="77777777">
            <w:r w:rsidRPr="00CB700C">
              <w:t>2.</w:t>
            </w:r>
          </w:p>
        </w:tc>
        <w:tc>
          <w:tcPr>
            <w:tcW w:w="1642"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7B" w14:textId="77777777">
            <w:r w:rsidRPr="00CB700C">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00221C" w:rsidR="00DD4018" w:rsidP="0000221C" w:rsidRDefault="00DD4018" w14:paraId="136F0F7C" w14:textId="77777777">
            <w:pPr>
              <w:ind w:left="57"/>
              <w:jc w:val="both"/>
            </w:pPr>
            <w:r w:rsidRPr="0000221C">
              <w:t>Projekts šo jomu neskar</w:t>
            </w:r>
            <w:r w:rsidRPr="0000221C" w:rsidR="0000221C">
              <w:t>.</w:t>
            </w:r>
            <w:r w:rsidRPr="0000221C" w:rsidR="008D7563">
              <w:t xml:space="preserve"> </w:t>
            </w:r>
          </w:p>
        </w:tc>
      </w:tr>
      <w:tr w:rsidRPr="00CB700C" w:rsidR="00DD4018" w:rsidTr="00BD0691" w14:paraId="136F0F81"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7E" w14:textId="77777777">
            <w:r w:rsidRPr="00CB700C">
              <w:t>3.</w:t>
            </w:r>
          </w:p>
        </w:tc>
        <w:tc>
          <w:tcPr>
            <w:tcW w:w="1642"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7F" w14:textId="77777777">
            <w:r w:rsidRPr="00CB700C">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80" w14:textId="77777777">
            <w:pPr>
              <w:ind w:left="57"/>
              <w:jc w:val="both"/>
            </w:pPr>
            <w:r w:rsidRPr="00CB700C">
              <w:t>Projekts šo jomu neskar.</w:t>
            </w:r>
          </w:p>
        </w:tc>
      </w:tr>
      <w:tr w:rsidRPr="00CB700C" w:rsidR="00DD4018" w:rsidTr="00BD0691" w14:paraId="136F0F85"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82" w14:textId="77777777">
            <w:r w:rsidRPr="00CB700C">
              <w:t>4.</w:t>
            </w:r>
          </w:p>
        </w:tc>
        <w:tc>
          <w:tcPr>
            <w:tcW w:w="1642"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83" w14:textId="77777777">
            <w:r w:rsidRPr="00CB700C">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CB700C" w:rsidR="00DD4018" w:rsidP="0079262D" w:rsidRDefault="00DD4018" w14:paraId="136F0F84" w14:textId="77777777">
            <w:pPr>
              <w:ind w:left="57"/>
              <w:jc w:val="both"/>
            </w:pPr>
            <w:r w:rsidRPr="00CB700C">
              <w:t>Projekts šo jomu neskar.</w:t>
            </w:r>
          </w:p>
        </w:tc>
      </w:tr>
      <w:tr w:rsidRPr="00CB700C" w:rsidR="00921F8C" w:rsidTr="00BD0691" w14:paraId="136F0F8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CB700C" w:rsidR="00050C31" w:rsidP="0079262D" w:rsidRDefault="00050C31" w14:paraId="136F0F86" w14:textId="77777777">
            <w:r w:rsidRPr="00CB700C">
              <w:t>5.</w:t>
            </w:r>
          </w:p>
        </w:tc>
        <w:tc>
          <w:tcPr>
            <w:tcW w:w="1642" w:type="pct"/>
            <w:tcBorders>
              <w:top w:val="outset" w:color="414142" w:sz="6" w:space="0"/>
              <w:left w:val="outset" w:color="414142" w:sz="6" w:space="0"/>
              <w:bottom w:val="outset" w:color="414142" w:sz="6" w:space="0"/>
              <w:right w:val="outset" w:color="414142" w:sz="6" w:space="0"/>
            </w:tcBorders>
            <w:hideMark/>
          </w:tcPr>
          <w:p w:rsidRPr="00CB700C" w:rsidR="00050C31" w:rsidP="0079262D" w:rsidRDefault="00050C31" w14:paraId="136F0F87" w14:textId="77777777">
            <w:r w:rsidRPr="00CB700C">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CB700C" w:rsidR="00050C31" w:rsidP="0079262D" w:rsidRDefault="00050C31" w14:paraId="136F0F88" w14:textId="77777777">
            <w:pPr>
              <w:ind w:left="57"/>
              <w:jc w:val="both"/>
            </w:pPr>
            <w:r w:rsidRPr="00CB700C">
              <w:t>Nav.</w:t>
            </w:r>
          </w:p>
        </w:tc>
      </w:tr>
    </w:tbl>
    <w:p w:rsidRPr="00CB700C" w:rsidR="00050C31" w:rsidP="0079262D" w:rsidRDefault="00050C31" w14:paraId="136F0F8A" w14:textId="77777777">
      <w:pPr>
        <w:ind w:firstLine="300"/>
      </w:pPr>
      <w:r w:rsidRPr="00CB700C">
        <w:t> </w:t>
      </w:r>
    </w:p>
    <w:p w:rsidRPr="00CB700C" w:rsidR="00A6616D" w:rsidP="0079262D" w:rsidRDefault="00A6616D" w14:paraId="136F0F8B" w14:textId="77777777">
      <w:pPr>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843"/>
        <w:gridCol w:w="1134"/>
        <w:gridCol w:w="992"/>
        <w:gridCol w:w="851"/>
        <w:gridCol w:w="850"/>
        <w:gridCol w:w="851"/>
      </w:tblGrid>
      <w:tr w:rsidRPr="00CB700C" w:rsidR="00921F8C" w:rsidTr="00BD0691" w14:paraId="136F0F8D"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B700C" w:rsidR="00B31106" w:rsidP="0079262D" w:rsidRDefault="00B31106" w14:paraId="136F0F8C" w14:textId="77777777">
            <w:pPr>
              <w:jc w:val="center"/>
              <w:rPr>
                <w:bCs/>
              </w:rPr>
            </w:pPr>
            <w:r w:rsidRPr="00CB700C">
              <w:rPr>
                <w:bCs/>
              </w:rPr>
              <w:t>III. Tiesību akta projekta ietekme uz valsts budžetu un pašvaldību budžetiem</w:t>
            </w:r>
          </w:p>
        </w:tc>
      </w:tr>
      <w:tr w:rsidRPr="00CB700C" w:rsidR="00921F8C" w:rsidTr="00342B91" w14:paraId="136F0F9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B700C" w:rsidR="00B31106" w:rsidP="0079262D" w:rsidRDefault="00B31106" w14:paraId="136F0F8E" w14:textId="77777777">
            <w:pPr>
              <w:jc w:val="center"/>
              <w:rPr>
                <w:bCs/>
              </w:rPr>
            </w:pPr>
            <w:r w:rsidRPr="00CB700C">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8F" w14:textId="77777777">
            <w:pPr>
              <w:jc w:val="center"/>
              <w:rPr>
                <w:bCs/>
              </w:rPr>
            </w:pPr>
            <w:r w:rsidRPr="00CB700C">
              <w:rPr>
                <w:bCs/>
              </w:rPr>
              <w:t>20</w:t>
            </w:r>
            <w:r w:rsidRPr="00CB700C" w:rsidR="00D76037">
              <w:rPr>
                <w:bCs/>
              </w:rPr>
              <w:t>2</w:t>
            </w:r>
            <w:r w:rsidR="007F0BEF">
              <w:rPr>
                <w:bCs/>
              </w:rPr>
              <w:t>1</w:t>
            </w:r>
            <w:r w:rsidRPr="00CB700C">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0" w14:textId="77777777">
            <w:pPr>
              <w:jc w:val="center"/>
            </w:pPr>
            <w:r w:rsidRPr="00CB700C">
              <w:t>Turpmākie trīs gadi (</w:t>
            </w:r>
            <w:proofErr w:type="spellStart"/>
            <w:r w:rsidRPr="00CB700C">
              <w:rPr>
                <w:i/>
                <w:iCs/>
              </w:rPr>
              <w:t>euro</w:t>
            </w:r>
            <w:proofErr w:type="spellEnd"/>
            <w:r w:rsidRPr="00CB700C">
              <w:t>)</w:t>
            </w:r>
          </w:p>
        </w:tc>
      </w:tr>
      <w:tr w:rsidRPr="00CB700C" w:rsidR="00921F8C" w:rsidTr="00342B91" w14:paraId="136F0F97"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B700C" w:rsidR="00B31106" w:rsidP="0079262D" w:rsidRDefault="00B31106" w14:paraId="136F0F92"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B700C" w:rsidR="00B31106" w:rsidP="0079262D" w:rsidRDefault="00B31106" w14:paraId="136F0F93"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492AAE" w14:paraId="136F0F94" w14:textId="77777777">
            <w:pPr>
              <w:jc w:val="center"/>
              <w:rPr>
                <w:bCs/>
              </w:rPr>
            </w:pPr>
            <w:r w:rsidRPr="00CB700C">
              <w:rPr>
                <w:bCs/>
              </w:rPr>
              <w:t>202</w:t>
            </w:r>
            <w:r w:rsidR="007F0BEF">
              <w:rPr>
                <w:bCs/>
              </w:rPr>
              <w:t>2</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492AAE" w14:paraId="136F0F95" w14:textId="77777777">
            <w:pPr>
              <w:jc w:val="center"/>
              <w:rPr>
                <w:bCs/>
              </w:rPr>
            </w:pPr>
            <w:r w:rsidRPr="00CB700C">
              <w:rPr>
                <w:bCs/>
              </w:rPr>
              <w:t>202</w:t>
            </w:r>
            <w:r w:rsidR="007F0BEF">
              <w:rPr>
                <w:bCs/>
              </w:rPr>
              <w:t>3</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492AAE" w14:paraId="136F0F96" w14:textId="77777777">
            <w:pPr>
              <w:jc w:val="center"/>
              <w:rPr>
                <w:bCs/>
              </w:rPr>
            </w:pPr>
            <w:r w:rsidRPr="00CB700C">
              <w:rPr>
                <w:bCs/>
              </w:rPr>
              <w:t>202</w:t>
            </w:r>
            <w:r w:rsidR="007F0BEF">
              <w:rPr>
                <w:bCs/>
              </w:rPr>
              <w:t>4</w:t>
            </w:r>
          </w:p>
        </w:tc>
      </w:tr>
      <w:tr w:rsidRPr="00CB700C" w:rsidR="00921F8C" w:rsidTr="0062248D" w14:paraId="136F0FA0"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B700C" w:rsidR="00B31106" w:rsidP="0079262D" w:rsidRDefault="00B31106" w14:paraId="136F0F98" w14:textId="77777777">
            <w:pPr>
              <w:jc w:val="center"/>
              <w:rPr>
                <w:bCs/>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9" w14:textId="77777777">
            <w:pPr>
              <w:jc w:val="center"/>
            </w:pPr>
            <w:r w:rsidRPr="00CB700C">
              <w:t>saskaņā ar valsts budžetu kārtējam gadam</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A" w14:textId="77777777">
            <w:pPr>
              <w:jc w:val="center"/>
            </w:pPr>
            <w:r w:rsidRPr="00CB700C">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B" w14:textId="77777777">
            <w:pPr>
              <w:jc w:val="center"/>
            </w:pPr>
            <w:r w:rsidRPr="00CB700C">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C" w14:textId="77777777">
            <w:pPr>
              <w:jc w:val="center"/>
            </w:pPr>
            <w:r w:rsidRPr="00CB700C">
              <w:t>izmaiņas, salīdzinot ar vi</w:t>
            </w:r>
            <w:r w:rsidRPr="00CB700C" w:rsidR="00492AAE">
              <w:t>dēja termiņa budžeta ietvaru 202</w:t>
            </w:r>
            <w:r w:rsidR="007F0BEF">
              <w:t>2</w:t>
            </w:r>
            <w:r w:rsidRPr="00CB700C">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D" w14:textId="77777777">
            <w:pPr>
              <w:jc w:val="center"/>
            </w:pPr>
            <w:r w:rsidRPr="00CB700C">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E" w14:textId="77777777">
            <w:pPr>
              <w:jc w:val="center"/>
            </w:pPr>
            <w:r w:rsidRPr="00CB700C">
              <w:t>izmaiņas, salīdzinot ar vidēja termiņa budžeta ietvaru 202</w:t>
            </w:r>
            <w:r w:rsidR="007F0BEF">
              <w:t>3</w:t>
            </w:r>
            <w:r w:rsidRPr="00CB700C">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9F" w14:textId="77777777">
            <w:pPr>
              <w:jc w:val="center"/>
            </w:pPr>
            <w:r w:rsidRPr="00CB700C">
              <w:t>izmaiņas, salīdzinot ar vidēja termiņa budžeta ietvaru 202</w:t>
            </w:r>
            <w:r w:rsidR="007F0BEF">
              <w:t>3</w:t>
            </w:r>
            <w:r w:rsidRPr="00CB700C">
              <w:t>. gadam</w:t>
            </w:r>
          </w:p>
        </w:tc>
      </w:tr>
      <w:tr w:rsidRPr="00CB700C" w:rsidR="00921F8C" w:rsidTr="0062248D" w14:paraId="136F0FA9"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1" w14:textId="77777777">
            <w:pPr>
              <w:jc w:val="center"/>
            </w:pPr>
            <w:r w:rsidRPr="00CB700C">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2" w14:textId="77777777">
            <w:pPr>
              <w:jc w:val="center"/>
            </w:pPr>
            <w:r w:rsidRPr="00CB700C">
              <w:t>2</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3" w14:textId="77777777">
            <w:pPr>
              <w:jc w:val="center"/>
            </w:pPr>
            <w:r w:rsidRPr="00CB700C">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4" w14:textId="77777777">
            <w:pPr>
              <w:jc w:val="center"/>
            </w:pPr>
            <w:r w:rsidRPr="00CB700C">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5" w14:textId="77777777">
            <w:pPr>
              <w:jc w:val="center"/>
            </w:pPr>
            <w:r w:rsidRPr="00CB700C">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6" w14:textId="77777777">
            <w:pPr>
              <w:jc w:val="center"/>
            </w:pPr>
            <w:r w:rsidRPr="00CB700C">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7" w14:textId="77777777">
            <w:pPr>
              <w:jc w:val="center"/>
            </w:pPr>
            <w:r w:rsidRPr="00CB700C">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B700C" w:rsidR="00B31106" w:rsidP="0079262D" w:rsidRDefault="00B31106" w14:paraId="136F0FA8" w14:textId="77777777">
            <w:pPr>
              <w:jc w:val="center"/>
            </w:pPr>
            <w:r w:rsidRPr="00CB700C">
              <w:t>8</w:t>
            </w:r>
          </w:p>
        </w:tc>
      </w:tr>
      <w:tr w:rsidRPr="00CB700C" w:rsidR="00921F8C" w:rsidTr="0062248D" w14:paraId="136F0FB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CB700C" w:rsidR="00B31106" w:rsidP="0079262D" w:rsidRDefault="00B31106" w14:paraId="136F0FAA" w14:textId="77777777">
            <w:r w:rsidRPr="00CB700C">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CB700C" w:rsidR="008400AE" w:rsidP="0079262D" w:rsidRDefault="00C80305" w14:paraId="136F0FAB"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CB700C" w:rsidR="008400AE" w:rsidP="0079262D" w:rsidRDefault="008400AE" w14:paraId="136F0FAC"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CB700C" w:rsidR="00B31106" w:rsidP="0079262D" w:rsidRDefault="00B31106" w14:paraId="136F0FAD"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B31106" w:rsidP="0079262D" w:rsidRDefault="00B31106" w14:paraId="136F0FAE"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B31106" w:rsidP="0079262D" w:rsidRDefault="00B31106" w14:paraId="136F0FAF"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CB700C" w:rsidR="00B31106" w:rsidP="0079262D" w:rsidRDefault="00B31106" w14:paraId="136F0FB0"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B31106" w:rsidP="0079262D" w:rsidRDefault="00B31106" w14:paraId="136F0FB1" w14:textId="77777777">
            <w:pPr>
              <w:jc w:val="center"/>
            </w:pPr>
            <w:r w:rsidRPr="00CB700C">
              <w:t>0</w:t>
            </w:r>
          </w:p>
        </w:tc>
      </w:tr>
      <w:tr w:rsidRPr="00CB700C" w:rsidR="00921F8C" w:rsidTr="0062248D" w14:paraId="136F0FBB"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B3" w14:textId="77777777">
            <w:r w:rsidRPr="00CB700C">
              <w:t>1.1. valsts pamatbudžets, tai skaitā ieņēmumi no maksas pakalpojumiem 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C80305" w14:paraId="136F0FB4"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8400AE" w14:paraId="136F0FB5"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B6"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B7"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B8"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B9"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BA" w14:textId="77777777">
            <w:pPr>
              <w:jc w:val="center"/>
            </w:pPr>
            <w:r w:rsidRPr="00CB700C">
              <w:t>0</w:t>
            </w:r>
          </w:p>
        </w:tc>
      </w:tr>
      <w:tr w:rsidRPr="00CB700C" w:rsidR="00921F8C" w:rsidTr="0062248D" w14:paraId="136F0FC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BC" w14:textId="77777777">
            <w:r w:rsidRPr="00CB700C">
              <w:lastRenderedPageBreak/>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BD"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BE"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BF"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0"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1"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2"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3" w14:textId="77777777">
            <w:pPr>
              <w:jc w:val="center"/>
            </w:pPr>
            <w:r w:rsidRPr="00CB700C">
              <w:t>0</w:t>
            </w:r>
          </w:p>
        </w:tc>
      </w:tr>
      <w:tr w:rsidRPr="00CB700C" w:rsidR="00921F8C" w:rsidTr="0062248D" w14:paraId="136F0FC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5" w14:textId="77777777">
            <w:r w:rsidRPr="00CB700C">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C6"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C7"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8"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9"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A"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B"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CC" w14:textId="77777777">
            <w:pPr>
              <w:jc w:val="center"/>
            </w:pPr>
            <w:r w:rsidRPr="00CB700C">
              <w:t>0</w:t>
            </w:r>
          </w:p>
        </w:tc>
      </w:tr>
      <w:tr w:rsidRPr="00CB700C" w:rsidR="00AB6F2A" w:rsidTr="0062248D" w14:paraId="136F0FD6"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AB6F2A" w14:paraId="136F0FCE" w14:textId="77777777">
            <w:r w:rsidRPr="00CB700C">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AB6F2A" w14:paraId="136F0FCF"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2D6FC7" w14:paraId="136F0FD0" w14:textId="77777777">
            <w:pPr>
              <w:jc w:val="center"/>
            </w:pPr>
            <w:r>
              <w:rPr>
                <w:color w:val="000000" w:themeColor="text1"/>
              </w:rPr>
              <w:t>45838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1"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2"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3"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4"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5" w14:textId="77777777">
            <w:pPr>
              <w:jc w:val="center"/>
            </w:pPr>
            <w:r w:rsidRPr="00CB700C">
              <w:t>0</w:t>
            </w:r>
          </w:p>
        </w:tc>
      </w:tr>
      <w:tr w:rsidRPr="00CB700C" w:rsidR="00AB6F2A" w:rsidTr="0062248D" w14:paraId="136F0FDF"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AB6F2A" w14:paraId="136F0FD7" w14:textId="77777777">
            <w:r w:rsidRPr="00CB700C">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AB6F2A" w14:paraId="136F0FD8"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2D6FC7" w14:paraId="136F0FD9" w14:textId="77777777">
            <w:pPr>
              <w:jc w:val="center"/>
            </w:pPr>
            <w:r>
              <w:rPr>
                <w:color w:val="000000" w:themeColor="text1"/>
              </w:rPr>
              <w:t>45838</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AB6F2A" w:rsidP="0079262D" w:rsidRDefault="00AB6F2A" w14:paraId="136F0FDA"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B"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C"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D"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AB6F2A" w:rsidP="0079262D" w:rsidRDefault="00AB6F2A" w14:paraId="136F0FDE" w14:textId="77777777">
            <w:pPr>
              <w:jc w:val="center"/>
            </w:pPr>
            <w:r w:rsidRPr="00CB700C">
              <w:t>0</w:t>
            </w:r>
          </w:p>
        </w:tc>
      </w:tr>
      <w:tr w:rsidRPr="00CB700C" w:rsidR="00921F8C" w:rsidTr="0062248D" w14:paraId="136F0FE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E0" w14:textId="77777777">
            <w:r w:rsidRPr="00CB700C">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E1"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E2"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E3"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4"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5"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6"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7" w14:textId="77777777">
            <w:pPr>
              <w:jc w:val="center"/>
            </w:pPr>
            <w:r w:rsidRPr="00CB700C">
              <w:t>0</w:t>
            </w:r>
          </w:p>
        </w:tc>
      </w:tr>
      <w:tr w:rsidRPr="00CB700C" w:rsidR="00921F8C" w:rsidTr="0062248D" w14:paraId="136F0FF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E9" w14:textId="77777777">
            <w:r w:rsidRPr="00CB700C">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EA"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EB"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EC"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D"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E"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EF"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F0" w14:textId="77777777">
            <w:pPr>
              <w:jc w:val="center"/>
            </w:pPr>
            <w:r w:rsidRPr="00CB700C">
              <w:t>0</w:t>
            </w:r>
          </w:p>
        </w:tc>
      </w:tr>
      <w:tr w:rsidRPr="00CB700C" w:rsidR="00921F8C" w:rsidTr="0062248D" w14:paraId="136F0FFB"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F2" w14:textId="77777777">
            <w:r w:rsidRPr="00CB700C">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F3"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9549FD" w:rsidP="0079262D" w:rsidRDefault="00F73D04" w14:paraId="136F0FF4" w14:textId="77777777">
            <w:pPr>
              <w:jc w:val="center"/>
            </w:pPr>
            <w:r w:rsidRPr="00CB700C">
              <w:t>-</w:t>
            </w:r>
            <w:r w:rsidR="002D6FC7">
              <w:rPr>
                <w:color w:val="000000" w:themeColor="text1"/>
              </w:rPr>
              <w:t>45838</w:t>
            </w:r>
          </w:p>
          <w:p w:rsidRPr="00CB700C" w:rsidR="008400AE" w:rsidP="0079262D" w:rsidRDefault="008400AE" w14:paraId="136F0FF5" w14:textId="77777777">
            <w:pPr>
              <w:jc w:val="cente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F6"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F7"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F8"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F9"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0FFA" w14:textId="77777777">
            <w:pPr>
              <w:jc w:val="center"/>
            </w:pPr>
            <w:r w:rsidRPr="00CB700C">
              <w:t>0</w:t>
            </w:r>
          </w:p>
        </w:tc>
      </w:tr>
      <w:tr w:rsidRPr="00CB700C" w:rsidR="00921F8C" w:rsidTr="0062248D" w14:paraId="136F100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FC" w14:textId="77777777">
            <w:r w:rsidRPr="00CB700C">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0FFD"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F5106B" w:rsidRDefault="00F73D04" w14:paraId="136F0FFE" w14:textId="77777777">
            <w:pPr>
              <w:jc w:val="center"/>
            </w:pPr>
            <w:r w:rsidRPr="00CB700C">
              <w:t>-</w:t>
            </w:r>
            <w:r w:rsidR="002D6FC7">
              <w:rPr>
                <w:color w:val="000000" w:themeColor="text1"/>
              </w:rPr>
              <w:t>45838</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0FFF"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0"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1"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2"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3" w14:textId="77777777">
            <w:pPr>
              <w:jc w:val="center"/>
            </w:pPr>
            <w:r w:rsidRPr="00CB700C">
              <w:t>0</w:t>
            </w:r>
          </w:p>
        </w:tc>
      </w:tr>
      <w:tr w:rsidRPr="00CB700C" w:rsidR="00921F8C" w:rsidTr="0062248D" w14:paraId="136F100D"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05" w14:textId="77777777">
            <w:r w:rsidRPr="00CB700C">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1006"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1007"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08"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9"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A"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B"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0C" w14:textId="77777777">
            <w:pPr>
              <w:jc w:val="center"/>
            </w:pPr>
            <w:r w:rsidRPr="00CB700C">
              <w:t>0</w:t>
            </w:r>
          </w:p>
        </w:tc>
      </w:tr>
      <w:tr w:rsidRPr="00CB700C" w:rsidR="00921F8C" w:rsidTr="0062248D" w14:paraId="136F101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0E" w14:textId="77777777">
            <w:r w:rsidRPr="00CB700C">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100F"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1010" w14:textId="77777777">
            <w:pPr>
              <w:jc w:val="center"/>
            </w:pPr>
            <w:r w:rsidRPr="00CB700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1"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2"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3"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4"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5" w14:textId="77777777">
            <w:pPr>
              <w:jc w:val="center"/>
            </w:pPr>
            <w:r w:rsidRPr="00CB700C">
              <w:t>0</w:t>
            </w:r>
          </w:p>
        </w:tc>
      </w:tr>
      <w:tr w:rsidRPr="00CB700C" w:rsidR="00921F8C" w:rsidTr="0062248D" w14:paraId="136F101F"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7" w14:textId="77777777">
            <w:r w:rsidRPr="00CB700C">
              <w:t>4. Finanšu līdzekļi papildu izdevumu finansēšanai (kompensējošu izdevumu 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8400AE" w14:paraId="136F1018" w14:textId="77777777">
            <w:pPr>
              <w:jc w:val="center"/>
            </w:pPr>
            <w:r w:rsidRPr="00CB700C">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2D6FC7" w14:paraId="136F1019" w14:textId="77777777">
            <w:pPr>
              <w:jc w:val="center"/>
            </w:pPr>
            <w:r>
              <w:rPr>
                <w:color w:val="000000" w:themeColor="text1"/>
              </w:rPr>
              <w:t>45838</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1A" w14:textId="77777777">
            <w:pPr>
              <w:jc w:val="center"/>
            </w:pPr>
            <w:r w:rsidRPr="00CB700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1B"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1C" w14:textId="77777777">
            <w:pPr>
              <w:jc w:val="center"/>
            </w:pPr>
            <w:r w:rsidRPr="00CB700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1D"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1E" w14:textId="77777777">
            <w:pPr>
              <w:jc w:val="center"/>
            </w:pPr>
            <w:r w:rsidRPr="00CB700C">
              <w:t>0</w:t>
            </w:r>
          </w:p>
        </w:tc>
      </w:tr>
      <w:tr w:rsidRPr="00CB700C" w:rsidR="00921F8C" w:rsidTr="0062248D" w14:paraId="136F102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0" w14:textId="77777777">
            <w:r w:rsidRPr="00CB700C">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1" w14:textId="77777777">
            <w:pPr>
              <w:jc w:val="center"/>
            </w:pPr>
            <w:r w:rsidRPr="00CB700C">
              <w:t>x</w:t>
            </w:r>
          </w:p>
          <w:p w:rsidRPr="00CB700C" w:rsidR="00D05ECC" w:rsidP="0079262D" w:rsidRDefault="00D05ECC" w14:paraId="136F1022" w14:textId="77777777">
            <w:r w:rsidRPr="00CB700C">
              <w:t> </w:t>
            </w:r>
          </w:p>
          <w:p w:rsidRPr="00CB700C" w:rsidR="00D05ECC" w:rsidP="0079262D" w:rsidRDefault="00D05ECC" w14:paraId="136F1023" w14:textId="77777777">
            <w:r w:rsidRPr="00CB700C">
              <w:t> </w:t>
            </w:r>
          </w:p>
          <w:p w:rsidRPr="00CB700C" w:rsidR="00D05ECC" w:rsidP="0079262D" w:rsidRDefault="00D05ECC" w14:paraId="136F1024" w14:textId="77777777">
            <w:r w:rsidRPr="00CB700C">
              <w:t> </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5" w14:textId="77777777">
            <w:pPr>
              <w:jc w:val="center"/>
            </w:pPr>
            <w:r w:rsidRPr="00CB700C">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6" w14:textId="77777777">
            <w:pPr>
              <w:jc w:val="center"/>
            </w:pPr>
            <w:r w:rsidRPr="00CB700C">
              <w:t>x</w:t>
            </w:r>
          </w:p>
          <w:p w:rsidRPr="00CB700C" w:rsidR="00D05ECC" w:rsidP="0079262D" w:rsidRDefault="00D05ECC" w14:paraId="136F1027" w14:textId="77777777">
            <w:r w:rsidRPr="00CB700C">
              <w:t> </w:t>
            </w:r>
          </w:p>
          <w:p w:rsidRPr="00CB700C" w:rsidR="00D05ECC" w:rsidP="0079262D" w:rsidRDefault="00D05ECC" w14:paraId="136F1028" w14:textId="77777777">
            <w:r w:rsidRPr="00CB700C">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29" w14:textId="77777777">
            <w:pPr>
              <w:jc w:val="center"/>
            </w:pPr>
            <w:r w:rsidRPr="00CB700C">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2A" w14:textId="77777777">
            <w:pPr>
              <w:jc w:val="center"/>
            </w:pPr>
            <w:r w:rsidRPr="00CB700C">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2B"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2C" w14:textId="77777777">
            <w:pPr>
              <w:jc w:val="center"/>
            </w:pPr>
            <w:r w:rsidRPr="00CB700C">
              <w:t>0</w:t>
            </w:r>
          </w:p>
        </w:tc>
      </w:tr>
      <w:tr w:rsidRPr="00CB700C" w:rsidR="00921F8C" w:rsidTr="0062248D" w14:paraId="136F103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E" w14:textId="77777777">
            <w:r w:rsidRPr="00CB700C">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2F"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0" w14:textId="77777777">
            <w:pPr>
              <w:jc w:val="center"/>
            </w:pPr>
            <w:r w:rsidRPr="00CB700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1"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2" w14:textId="77777777">
            <w:pPr>
              <w:jc w:val="center"/>
            </w:pPr>
            <w:r w:rsidRPr="00CB700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3"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4"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5" w14:textId="77777777">
            <w:pPr>
              <w:jc w:val="center"/>
            </w:pPr>
            <w:r w:rsidRPr="00CB700C">
              <w:t>0</w:t>
            </w:r>
          </w:p>
        </w:tc>
      </w:tr>
      <w:tr w:rsidRPr="00CB700C" w:rsidR="00921F8C" w:rsidTr="0062248D" w14:paraId="136F103F"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7" w14:textId="77777777">
            <w:r w:rsidRPr="00CB700C">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8"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9" w14:textId="77777777">
            <w:pPr>
              <w:jc w:val="center"/>
            </w:pPr>
            <w:r w:rsidRPr="00CB700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3A"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B" w14:textId="77777777">
            <w:pPr>
              <w:jc w:val="center"/>
            </w:pPr>
            <w:r w:rsidRPr="00CB700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C"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D"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3E" w14:textId="77777777">
            <w:pPr>
              <w:jc w:val="center"/>
            </w:pPr>
            <w:r w:rsidRPr="00CB700C">
              <w:t>0</w:t>
            </w:r>
          </w:p>
        </w:tc>
      </w:tr>
      <w:tr w:rsidRPr="00CB700C" w:rsidR="00921F8C" w:rsidTr="0062248D" w14:paraId="136F104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40" w14:textId="77777777">
            <w:r w:rsidRPr="00CB700C">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41"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42" w14:textId="77777777">
            <w:pPr>
              <w:jc w:val="center"/>
            </w:pPr>
            <w:r w:rsidRPr="00CB700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43"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44" w14:textId="77777777">
            <w:pPr>
              <w:jc w:val="center"/>
            </w:pPr>
            <w:r w:rsidRPr="00CB700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45"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46" w14:textId="77777777">
            <w:pPr>
              <w:jc w:val="center"/>
            </w:pPr>
            <w:r w:rsidRPr="00CB700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CB700C" w:rsidR="00D05ECC" w:rsidP="0079262D" w:rsidRDefault="00D05ECC" w14:paraId="136F1047" w14:textId="77777777">
            <w:pPr>
              <w:jc w:val="center"/>
            </w:pPr>
            <w:r w:rsidRPr="00CB700C">
              <w:t>0</w:t>
            </w:r>
          </w:p>
        </w:tc>
      </w:tr>
      <w:tr w:rsidRPr="00CB700C" w:rsidR="00921F8C" w:rsidTr="00BD0691" w14:paraId="136F1056"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49" w14:textId="77777777">
            <w:r w:rsidRPr="00CB700C">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AD654F" w:rsidR="00751FC2" w:rsidP="00AD654F" w:rsidRDefault="00B54D92" w14:paraId="136F104A" w14:textId="77777777">
            <w:pPr>
              <w:jc w:val="both"/>
            </w:pPr>
            <w:r w:rsidRPr="00AD654F">
              <w:t xml:space="preserve">Pamatojoties uz </w:t>
            </w:r>
            <w:r w:rsidRPr="00AD654F" w:rsidR="00751FC2">
              <w:t xml:space="preserve">Covid-19 infekcijas izplatības seku pārvarēšanas likuma 24.pantu no valsts budžeta programmas 02.00.00 "Līdzekļi neparedzētiem gadījumiem" piešķirams finansējums </w:t>
            </w:r>
            <w:r w:rsidRPr="00AD654F" w:rsidR="002D6FC7">
              <w:rPr>
                <w:u w:val="single"/>
              </w:rPr>
              <w:t>39 426,00</w:t>
            </w:r>
            <w:r w:rsidRPr="00AD654F" w:rsidR="00751FC2">
              <w:t xml:space="preserve"> </w:t>
            </w:r>
            <w:proofErr w:type="spellStart"/>
            <w:r w:rsidRPr="00AD654F" w:rsidR="00751FC2">
              <w:rPr>
                <w:i/>
              </w:rPr>
              <w:t>euro</w:t>
            </w:r>
            <w:proofErr w:type="spellEnd"/>
            <w:r w:rsidRPr="00AD654F" w:rsidR="00751FC2">
              <w:rPr>
                <w:i/>
              </w:rPr>
              <w:t xml:space="preserve">, </w:t>
            </w:r>
            <w:r w:rsidRPr="00AD654F" w:rsidR="00F5106B">
              <w:t xml:space="preserve">lai kompensētu </w:t>
            </w:r>
            <w:r w:rsidRPr="00AD654F" w:rsidR="002D6FC7">
              <w:t xml:space="preserve">mobilo operatoru </w:t>
            </w:r>
            <w:r w:rsidRPr="00AD654F" w:rsidR="00751FC2">
              <w:t>izdevumus, kas radušies, nosūtot viesabonentiem,  kuri ir reģistrējušies Latvijas mobilo sakaru operatoru tīklā</w:t>
            </w:r>
            <w:r w:rsidR="00C36F8F">
              <w:t>,</w:t>
            </w:r>
            <w:r w:rsidRPr="00AD654F" w:rsidR="00751FC2">
              <w:t xml:space="preserve"> SMS </w:t>
            </w:r>
            <w:r w:rsidRPr="00AD654F" w:rsidR="009868AE">
              <w:t>paziņojumu laika periodā no 2021.gada 1</w:t>
            </w:r>
            <w:r w:rsidRPr="00AD654F" w:rsidR="00751FC2">
              <w:t>.</w:t>
            </w:r>
            <w:r w:rsidRPr="00AD654F" w:rsidR="009868AE">
              <w:t>janvāra</w:t>
            </w:r>
            <w:r w:rsidRPr="00AD654F" w:rsidR="00751FC2">
              <w:t xml:space="preserve"> līdz 2020.gada 31.</w:t>
            </w:r>
            <w:r w:rsidRPr="00AD654F" w:rsidR="009868AE">
              <w:t>martam</w:t>
            </w:r>
            <w:r w:rsidRPr="00AD654F" w:rsidR="00751FC2">
              <w:t>,</w:t>
            </w:r>
            <w:r w:rsidRPr="00AD654F" w:rsidR="00F5106B">
              <w:t xml:space="preserve"> </w:t>
            </w:r>
            <w:r w:rsidRPr="00AD654F" w:rsidR="00751FC2">
              <w:t>tostarp:</w:t>
            </w:r>
          </w:p>
          <w:p w:rsidRPr="00AD654F" w:rsidR="00751FC2" w:rsidP="00AD654F" w:rsidRDefault="003B67B9" w14:paraId="136F104B" w14:textId="77777777">
            <w:pPr>
              <w:ind w:right="142"/>
              <w:jc w:val="both"/>
            </w:pPr>
            <w:r w:rsidRPr="00AD654F">
              <w:t>1) </w:t>
            </w:r>
            <w:r w:rsidRPr="00AD654F" w:rsidR="008D1EB5">
              <w:t>15208</w:t>
            </w:r>
            <w:r w:rsidRPr="00AD654F">
              <w:t>.00</w:t>
            </w:r>
            <w:r w:rsidRPr="00AD654F" w:rsidR="00751FC2">
              <w:t xml:space="preserve"> </w:t>
            </w:r>
            <w:proofErr w:type="spellStart"/>
            <w:r w:rsidRPr="00AD654F" w:rsidR="00751FC2">
              <w:rPr>
                <w:i/>
              </w:rPr>
              <w:t>euro</w:t>
            </w:r>
            <w:proofErr w:type="spellEnd"/>
            <w:r w:rsidRPr="00AD654F" w:rsidR="00751FC2">
              <w:t>-  SIA „Latvijas Mobilais telefons”;</w:t>
            </w:r>
          </w:p>
          <w:p w:rsidRPr="00AD654F" w:rsidR="00751FC2" w:rsidP="00AD654F" w:rsidRDefault="003B67B9" w14:paraId="136F104C" w14:textId="77777777">
            <w:pPr>
              <w:ind w:right="142"/>
              <w:jc w:val="both"/>
            </w:pPr>
            <w:r w:rsidRPr="00AD654F">
              <w:t>2) </w:t>
            </w:r>
            <w:r w:rsidRPr="00AD654F" w:rsidR="008D1EB5">
              <w:t>13764</w:t>
            </w:r>
            <w:r w:rsidRPr="00AD654F">
              <w:t>.00</w:t>
            </w:r>
            <w:r w:rsidRPr="00AD654F" w:rsidR="00751FC2">
              <w:t xml:space="preserve"> </w:t>
            </w:r>
            <w:proofErr w:type="spellStart"/>
            <w:r w:rsidRPr="00AD654F" w:rsidR="00751FC2">
              <w:rPr>
                <w:i/>
              </w:rPr>
              <w:t>euro</w:t>
            </w:r>
            <w:proofErr w:type="spellEnd"/>
            <w:r w:rsidRPr="00AD654F" w:rsidR="00751FC2">
              <w:t>-  SIA „Tele2”;</w:t>
            </w:r>
          </w:p>
          <w:p w:rsidRPr="00AD654F" w:rsidR="00586733" w:rsidP="00AD654F" w:rsidRDefault="00751FC2" w14:paraId="136F104D" w14:textId="77777777">
            <w:pPr>
              <w:ind w:right="142"/>
              <w:jc w:val="both"/>
            </w:pPr>
            <w:r w:rsidRPr="00AD654F">
              <w:t>3) </w:t>
            </w:r>
            <w:r w:rsidRPr="00AD654F" w:rsidR="002D6FC7">
              <w:t>10454</w:t>
            </w:r>
            <w:r w:rsidRPr="00AD654F" w:rsidR="003B67B9">
              <w:t>.00</w:t>
            </w:r>
            <w:r w:rsidRPr="00AD654F">
              <w:t xml:space="preserve"> </w:t>
            </w:r>
            <w:proofErr w:type="spellStart"/>
            <w:r w:rsidRPr="00AD654F">
              <w:rPr>
                <w:i/>
              </w:rPr>
              <w:t>euro</w:t>
            </w:r>
            <w:proofErr w:type="spellEnd"/>
            <w:r w:rsidRPr="00AD654F">
              <w:t xml:space="preserve"> - SIA „BITE Latvija”.</w:t>
            </w:r>
          </w:p>
          <w:p w:rsidRPr="00AD654F" w:rsidR="008D1EB5" w:rsidP="00AD654F" w:rsidRDefault="008D1EB5" w14:paraId="136F104E" w14:textId="77777777">
            <w:pPr>
              <w:ind w:right="142"/>
              <w:jc w:val="both"/>
            </w:pPr>
          </w:p>
          <w:p w:rsidRPr="00AD654F" w:rsidR="008D1EB5" w:rsidP="00AD654F" w:rsidRDefault="008D1EB5" w14:paraId="136F104F" w14:textId="77777777">
            <w:pPr>
              <w:jc w:val="both"/>
            </w:pPr>
            <w:r w:rsidRPr="00AD654F">
              <w:t>Lai kompensētu mobilo sakaru operatoru izdevumus, kas radušies, nosūtot viesabonentiem,  kuri ir reģistrējušies Latvijas mobilo sakaru operatoru tīklā</w:t>
            </w:r>
            <w:r w:rsidR="00C36F8F">
              <w:t>,</w:t>
            </w:r>
            <w:r w:rsidRPr="00AD654F">
              <w:t xml:space="preserve"> </w:t>
            </w:r>
            <w:r w:rsidRPr="00AD654F">
              <w:lastRenderedPageBreak/>
              <w:t>SMS paziņojumu laika periodā no 2020.gada 28.septembra līdz 2020.gada 31.decembrim</w:t>
            </w:r>
            <w:r w:rsidR="00C36F8F">
              <w:t xml:space="preserve">, </w:t>
            </w:r>
            <w:r w:rsidRPr="00AD654F" w:rsidR="00C36F8F">
              <w:t>bet netika kompensēti</w:t>
            </w:r>
            <w:r w:rsidR="00C36F8F">
              <w:t>,</w:t>
            </w:r>
            <w:r w:rsidRPr="00AD654F" w:rsidR="005C45F7">
              <w:t xml:space="preserve"> piešķirams finansējums 6412.00 </w:t>
            </w:r>
            <w:proofErr w:type="spellStart"/>
            <w:r w:rsidRPr="00AD654F" w:rsidR="005C45F7">
              <w:rPr>
                <w:i/>
              </w:rPr>
              <w:t>euro</w:t>
            </w:r>
            <w:proofErr w:type="spellEnd"/>
            <w:r w:rsidRPr="00AD654F">
              <w:t>, tostarp:</w:t>
            </w:r>
          </w:p>
          <w:p w:rsidRPr="00AD654F" w:rsidR="008D1EB5" w:rsidP="00AD654F" w:rsidRDefault="008D1EB5" w14:paraId="136F1050" w14:textId="77777777">
            <w:pPr>
              <w:ind w:right="142"/>
              <w:jc w:val="both"/>
            </w:pPr>
            <w:r w:rsidRPr="00AD654F">
              <w:t>1) </w:t>
            </w:r>
            <w:r w:rsidRPr="00AD654F" w:rsidR="005C45F7">
              <w:t>2923</w:t>
            </w:r>
            <w:r w:rsidRPr="00AD654F">
              <w:t xml:space="preserve">.00 </w:t>
            </w:r>
            <w:proofErr w:type="spellStart"/>
            <w:r w:rsidRPr="00AD654F">
              <w:rPr>
                <w:i/>
              </w:rPr>
              <w:t>euro</w:t>
            </w:r>
            <w:proofErr w:type="spellEnd"/>
            <w:r w:rsidRPr="00AD654F">
              <w:t>-  SIA „Latvijas Mobilais telefons”;</w:t>
            </w:r>
          </w:p>
          <w:p w:rsidRPr="00AD654F" w:rsidR="008D1EB5" w:rsidP="00AD654F" w:rsidRDefault="005C45F7" w14:paraId="136F1051" w14:textId="77777777">
            <w:pPr>
              <w:ind w:right="142"/>
              <w:jc w:val="both"/>
            </w:pPr>
            <w:r w:rsidRPr="00AD654F">
              <w:t>2</w:t>
            </w:r>
            <w:r w:rsidRPr="00AD654F" w:rsidR="008D1EB5">
              <w:t>) </w:t>
            </w:r>
            <w:r w:rsidRPr="00AD654F">
              <w:t>3489</w:t>
            </w:r>
            <w:r w:rsidRPr="00AD654F" w:rsidR="008D1EB5">
              <w:t xml:space="preserve">.00 </w:t>
            </w:r>
            <w:proofErr w:type="spellStart"/>
            <w:r w:rsidRPr="00AD654F" w:rsidR="008D1EB5">
              <w:rPr>
                <w:i/>
              </w:rPr>
              <w:t>euro</w:t>
            </w:r>
            <w:proofErr w:type="spellEnd"/>
            <w:r w:rsidRPr="00AD654F" w:rsidR="008D1EB5">
              <w:t xml:space="preserve"> - SIA „BITE Latvija”.</w:t>
            </w:r>
          </w:p>
          <w:p w:rsidRPr="00AD654F" w:rsidR="00CB700C" w:rsidP="00AD654F" w:rsidRDefault="00CB700C" w14:paraId="136F1052" w14:textId="77777777">
            <w:pPr>
              <w:ind w:right="142"/>
              <w:jc w:val="both"/>
            </w:pPr>
          </w:p>
          <w:p w:rsidRPr="00AD654F" w:rsidR="008D1EB5" w:rsidP="00AD654F" w:rsidRDefault="00CB700C" w14:paraId="136F1053" w14:textId="77777777">
            <w:pPr>
              <w:ind w:right="142"/>
              <w:jc w:val="both"/>
              <w:rPr>
                <w:i/>
              </w:rPr>
            </w:pPr>
            <w:r w:rsidRPr="00AD654F">
              <w:t>Kopējā mobil</w:t>
            </w:r>
            <w:r w:rsidR="00C36F8F">
              <w:t>o sakaru</w:t>
            </w:r>
            <w:r w:rsidRPr="00AD654F">
              <w:t xml:space="preserve"> operatoriem kompensācijas summa par periodu no 2021.gada 1.janvāra līdz 2020.gada 31.martam un periodu no 2020.gada 28.septembra līdz 2020.gada 31.decembrim</w:t>
            </w:r>
            <w:r w:rsidRPr="00AD654F" w:rsidR="002D6FC7">
              <w:t xml:space="preserve"> ir 45 838</w:t>
            </w:r>
            <w:r w:rsidRPr="00AD654F">
              <w:t xml:space="preserve"> </w:t>
            </w:r>
            <w:proofErr w:type="spellStart"/>
            <w:r w:rsidRPr="00AD654F">
              <w:rPr>
                <w:i/>
              </w:rPr>
              <w:t>euro</w:t>
            </w:r>
            <w:proofErr w:type="spellEnd"/>
            <w:r w:rsidRPr="00AD654F">
              <w:rPr>
                <w:i/>
              </w:rPr>
              <w:t>.</w:t>
            </w:r>
          </w:p>
          <w:p w:rsidRPr="00AD654F" w:rsidR="00CB700C" w:rsidP="00AD654F" w:rsidRDefault="00CB700C" w14:paraId="136F1054" w14:textId="77777777">
            <w:pPr>
              <w:ind w:right="142"/>
              <w:jc w:val="both"/>
            </w:pPr>
          </w:p>
          <w:p w:rsidRPr="00AD654F" w:rsidR="00EF0327" w:rsidP="00AD654F" w:rsidRDefault="00EF0327" w14:paraId="136F1055" w14:textId="77777777">
            <w:pPr>
              <w:ind w:right="142"/>
              <w:jc w:val="both"/>
            </w:pPr>
            <w:r w:rsidRPr="00AD654F">
              <w:t xml:space="preserve">Detalizētāka informācija par operatoru </w:t>
            </w:r>
            <w:r w:rsidRPr="00AD654F" w:rsidR="009868AE">
              <w:t>izdevumiem</w:t>
            </w:r>
            <w:r w:rsidRPr="00AD654F">
              <w:t xml:space="preserve"> jau ir sniegta anotācijas I sadaļas 2.punktā.</w:t>
            </w:r>
          </w:p>
        </w:tc>
      </w:tr>
      <w:tr w:rsidRPr="00CB700C" w:rsidR="00921F8C" w:rsidTr="00545D5F" w14:paraId="136F1059" w14:textId="77777777">
        <w:trPr>
          <w:trHeight w:val="93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57" w14:textId="77777777">
            <w:r w:rsidRPr="00CB700C">
              <w:lastRenderedPageBreak/>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A73009" w:rsidR="00D05ECC" w:rsidP="0079262D" w:rsidRDefault="00D05ECC" w14:paraId="136F1058" w14:textId="77777777"/>
        </w:tc>
      </w:tr>
      <w:tr w:rsidRPr="00CB700C" w:rsidR="00921F8C" w:rsidTr="00BD0691" w14:paraId="136F105C"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5A" w14:textId="77777777">
            <w:r w:rsidRPr="00CB700C">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A73009" w:rsidR="00D05ECC" w:rsidP="0079262D" w:rsidRDefault="00D05ECC" w14:paraId="136F105B" w14:textId="77777777"/>
        </w:tc>
      </w:tr>
      <w:tr w:rsidRPr="00CB700C" w:rsidR="00921F8C" w:rsidTr="00BD0691" w14:paraId="136F105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5D" w14:textId="77777777">
            <w:r w:rsidRPr="00CB700C">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A73009" w:rsidR="00D05ECC" w:rsidP="0079262D" w:rsidRDefault="00D05ECC" w14:paraId="136F105E" w14:textId="77777777">
            <w:r w:rsidRPr="00A73009">
              <w:t>Projekts šo jomu neskar.</w:t>
            </w:r>
          </w:p>
        </w:tc>
      </w:tr>
      <w:tr w:rsidRPr="00CB700C" w:rsidR="00921F8C" w:rsidTr="00BD0691" w14:paraId="136F1062"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CB700C" w:rsidR="00D05ECC" w:rsidP="0079262D" w:rsidRDefault="00D05ECC" w14:paraId="136F1060" w14:textId="77777777">
            <w:r w:rsidRPr="00CB700C">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A73009" w:rsidR="00DD2789" w:rsidP="00ED1EE8" w:rsidRDefault="00B54D92" w14:paraId="136F1061" w14:textId="77777777">
            <w:pPr>
              <w:ind w:right="73"/>
              <w:jc w:val="both"/>
            </w:pPr>
            <w:r w:rsidRPr="00A73009">
              <w:t xml:space="preserve">Līdzekļus </w:t>
            </w:r>
            <w:r w:rsidRPr="00A73009" w:rsidR="002D6FC7">
              <w:rPr>
                <w:color w:val="000000" w:themeColor="text1"/>
              </w:rPr>
              <w:t>45 838</w:t>
            </w:r>
            <w:r w:rsidRPr="00A73009" w:rsidR="00ED1EE8">
              <w:rPr>
                <w:color w:val="000000" w:themeColor="text1"/>
              </w:rPr>
              <w:t>.00</w:t>
            </w:r>
            <w:r w:rsidRPr="00A73009" w:rsidR="00387F50">
              <w:rPr>
                <w:color w:val="000000" w:themeColor="text1"/>
              </w:rPr>
              <w:t xml:space="preserve"> </w:t>
            </w:r>
            <w:proofErr w:type="spellStart"/>
            <w:r w:rsidRPr="00A73009" w:rsidR="00387F50">
              <w:rPr>
                <w:i/>
                <w:color w:val="000000" w:themeColor="text1"/>
              </w:rPr>
              <w:t>euro</w:t>
            </w:r>
            <w:proofErr w:type="spellEnd"/>
            <w:r w:rsidRPr="00A73009" w:rsidR="00387F50">
              <w:t xml:space="preserve"> </w:t>
            </w:r>
            <w:r w:rsidRPr="00A73009">
              <w:t>Satiksmes ministrijai paredzēts piešķirt no valsts budžeta programmas 02.00.00 „Līdzekļi neparedzētiem gadījumiem”.</w:t>
            </w:r>
          </w:p>
        </w:tc>
      </w:tr>
    </w:tbl>
    <w:p w:rsidRPr="00CB700C" w:rsidR="00B31106" w:rsidP="0079262D" w:rsidRDefault="00B31106" w14:paraId="136F1063" w14:textId="77777777">
      <w:pPr>
        <w:rPr>
          <w:iCs/>
        </w:rPr>
      </w:pPr>
      <w:r w:rsidRPr="00CB700C">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C36F8F" w:rsidR="00921F8C" w:rsidTr="00F87203" w14:paraId="136F1065"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C36F8F" w:rsidR="00B31106" w:rsidP="0079262D" w:rsidRDefault="008E559E" w14:paraId="136F1064" w14:textId="77777777">
            <w:pPr>
              <w:jc w:val="center"/>
              <w:rPr>
                <w:b/>
                <w:iCs/>
              </w:rPr>
            </w:pPr>
            <w:r w:rsidRPr="008E559E">
              <w:rPr>
                <w:b/>
                <w:iCs/>
              </w:rPr>
              <w:t>IV. Tiesību akta projekta ietekme uz spēkā esošo tiesību normu sistēmu</w:t>
            </w:r>
          </w:p>
        </w:tc>
      </w:tr>
      <w:tr w:rsidRPr="00CB700C" w:rsidR="00921F8C" w:rsidTr="00F87203" w14:paraId="136F1067"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CB700C" w:rsidR="00B31106" w:rsidP="0079262D" w:rsidRDefault="00B31106" w14:paraId="136F1066" w14:textId="77777777">
            <w:pPr>
              <w:jc w:val="center"/>
              <w:rPr>
                <w:bCs/>
                <w:iCs/>
              </w:rPr>
            </w:pPr>
            <w:r w:rsidRPr="00CB700C">
              <w:rPr>
                <w:bCs/>
                <w:iCs/>
              </w:rPr>
              <w:t>Projekts šo jomu neskar.</w:t>
            </w:r>
          </w:p>
        </w:tc>
      </w:tr>
    </w:tbl>
    <w:p w:rsidRPr="00CB700C" w:rsidR="00B31106" w:rsidP="0079262D" w:rsidRDefault="00B31106" w14:paraId="136F1068" w14:textId="77777777">
      <w:pPr>
        <w:rPr>
          <w:iCs/>
        </w:rPr>
      </w:pPr>
      <w:r w:rsidRPr="00CB700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C36F8F" w:rsidR="00921F8C" w:rsidTr="00F87203" w14:paraId="136F106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C36F8F" w:rsidR="00B31106" w:rsidP="0079262D" w:rsidRDefault="008E559E" w14:paraId="136F1069" w14:textId="77777777">
            <w:pPr>
              <w:jc w:val="center"/>
              <w:rPr>
                <w:b/>
                <w:iCs/>
              </w:rPr>
            </w:pPr>
            <w:r w:rsidRPr="008E559E">
              <w:rPr>
                <w:b/>
                <w:iCs/>
              </w:rPr>
              <w:t>V. Tiesību akta projekta atbilstība Latvijas Republikas starptautiskajām saistībām</w:t>
            </w:r>
          </w:p>
        </w:tc>
      </w:tr>
      <w:tr w:rsidRPr="00CB700C" w:rsidR="00921F8C" w:rsidTr="00F87203" w14:paraId="136F106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CB700C" w:rsidR="00B31106" w:rsidP="0079262D" w:rsidRDefault="00B31106" w14:paraId="136F106B" w14:textId="77777777">
            <w:pPr>
              <w:jc w:val="center"/>
              <w:rPr>
                <w:bCs/>
                <w:iCs/>
              </w:rPr>
            </w:pPr>
            <w:r w:rsidRPr="00CB700C">
              <w:rPr>
                <w:bCs/>
                <w:iCs/>
              </w:rPr>
              <w:t>Projekts šo jomu neskar.</w:t>
            </w:r>
          </w:p>
        </w:tc>
      </w:tr>
    </w:tbl>
    <w:p w:rsidRPr="00CB700C" w:rsidR="00B31106" w:rsidP="0079262D" w:rsidRDefault="00B31106" w14:paraId="136F106D" w14:textId="77777777">
      <w:pPr>
        <w:rPr>
          <w:iCs/>
        </w:rPr>
      </w:pPr>
      <w:r w:rsidRPr="00CB700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0"/>
      </w:tblGrid>
      <w:tr w:rsidRPr="00C36F8F" w:rsidR="00921F8C" w:rsidTr="00F87203" w14:paraId="136F106F"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C36F8F" w:rsidR="00B31106" w:rsidP="0079262D" w:rsidRDefault="008E559E" w14:paraId="136F106E" w14:textId="77777777">
            <w:pPr>
              <w:jc w:val="center"/>
              <w:rPr>
                <w:b/>
                <w:iCs/>
              </w:rPr>
            </w:pPr>
            <w:r w:rsidRPr="008E559E">
              <w:rPr>
                <w:b/>
                <w:iCs/>
              </w:rPr>
              <w:t>VI. Sabiedrības līdzdalība un komunikācijas aktivitātes</w:t>
            </w:r>
          </w:p>
        </w:tc>
      </w:tr>
      <w:tr w:rsidRPr="00CB700C" w:rsidR="00921F8C" w:rsidTr="00F87203" w14:paraId="136F107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0" w14:textId="77777777">
            <w:pPr>
              <w:tabs>
                <w:tab w:val="left" w:pos="3997"/>
              </w:tabs>
              <w:ind w:right="111"/>
              <w:jc w:val="center"/>
              <w:rPr>
                <w:iCs/>
              </w:rPr>
            </w:pPr>
            <w:r w:rsidRPr="00CB700C">
              <w:rPr>
                <w:bCs/>
                <w:iCs/>
              </w:rPr>
              <w:t>Projekts šo jomu neskar.</w:t>
            </w:r>
          </w:p>
        </w:tc>
      </w:tr>
    </w:tbl>
    <w:p w:rsidRPr="00CB700C" w:rsidR="00B31106" w:rsidP="0079262D" w:rsidRDefault="00B31106" w14:paraId="136F1072" w14:textId="77777777">
      <w:pPr>
        <w:rPr>
          <w:iCs/>
        </w:rPr>
      </w:pPr>
      <w:r w:rsidRPr="00CB700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81"/>
        <w:gridCol w:w="4442"/>
        <w:gridCol w:w="4417"/>
      </w:tblGrid>
      <w:tr w:rsidRPr="00C36F8F" w:rsidR="00921F8C" w:rsidTr="000F2DBB" w14:paraId="136F1074"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C36F8F" w:rsidR="00B31106" w:rsidP="0079262D" w:rsidRDefault="008E559E" w14:paraId="136F1073" w14:textId="77777777">
            <w:pPr>
              <w:jc w:val="center"/>
              <w:rPr>
                <w:b/>
                <w:iCs/>
              </w:rPr>
            </w:pPr>
            <w:r w:rsidRPr="008E559E">
              <w:rPr>
                <w:b/>
                <w:iCs/>
              </w:rPr>
              <w:t>VII. Tiesību akta projekta izpildes nodrošināšana un tās ietekme uz institūcijām</w:t>
            </w:r>
          </w:p>
        </w:tc>
      </w:tr>
      <w:tr w:rsidRPr="00CB700C" w:rsidR="00921F8C" w:rsidTr="000F2DBB" w14:paraId="136F107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5" w14:textId="77777777">
            <w:pPr>
              <w:rPr>
                <w:iCs/>
              </w:rPr>
            </w:pPr>
            <w:r w:rsidRPr="00CB700C">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6" w14:textId="77777777">
            <w:pPr>
              <w:rPr>
                <w:iCs/>
              </w:rPr>
            </w:pPr>
            <w:r w:rsidRPr="00CB700C">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CB700C" w:rsidR="00B31106" w:rsidP="0079262D" w:rsidRDefault="00B31106" w14:paraId="136F1077" w14:textId="77777777">
            <w:pPr>
              <w:jc w:val="both"/>
            </w:pPr>
            <w:r w:rsidRPr="00CB700C">
              <w:t>Satiksmes</w:t>
            </w:r>
            <w:r w:rsidRPr="00CB700C" w:rsidR="000C5693">
              <w:t xml:space="preserve"> ministrija, Finanšu ministrija</w:t>
            </w:r>
            <w:r w:rsidRPr="00CB700C" w:rsidR="003601A8">
              <w:t>.</w:t>
            </w:r>
          </w:p>
        </w:tc>
      </w:tr>
      <w:tr w:rsidRPr="00CB700C" w:rsidR="00921F8C" w:rsidTr="000F2DBB" w14:paraId="136F107C"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9" w14:textId="77777777">
            <w:pPr>
              <w:rPr>
                <w:iCs/>
              </w:rPr>
            </w:pPr>
            <w:r w:rsidRPr="00CB700C">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A" w14:textId="77777777">
            <w:pPr>
              <w:rPr>
                <w:iCs/>
              </w:rPr>
            </w:pPr>
            <w:r w:rsidRPr="00CB700C">
              <w:rPr>
                <w:iCs/>
              </w:rPr>
              <w:t>Projekta izpildes ietekme uz pārvaldes funkcijām un institucionālo struktūru.</w:t>
            </w:r>
            <w:r w:rsidRPr="00CB700C">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CB700C" w:rsidR="00B31106" w:rsidP="0079262D" w:rsidRDefault="00B31106" w14:paraId="136F107B" w14:textId="77777777">
            <w:pPr>
              <w:jc w:val="both"/>
            </w:pPr>
            <w:r w:rsidRPr="00CB700C">
              <w:t>Projekts šo jomu neskar.</w:t>
            </w:r>
          </w:p>
        </w:tc>
      </w:tr>
      <w:tr w:rsidRPr="00CB700C" w:rsidR="00921F8C" w:rsidTr="000F2DBB" w14:paraId="136F1080"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D" w14:textId="77777777">
            <w:pPr>
              <w:rPr>
                <w:iCs/>
              </w:rPr>
            </w:pPr>
            <w:r w:rsidRPr="00CB700C">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E" w14:textId="77777777">
            <w:pPr>
              <w:rPr>
                <w:iCs/>
              </w:rPr>
            </w:pPr>
            <w:r w:rsidRPr="00CB700C">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CB700C" w:rsidR="00B31106" w:rsidP="0079262D" w:rsidRDefault="00B31106" w14:paraId="136F107F" w14:textId="77777777">
            <w:r w:rsidRPr="00CB700C">
              <w:t>Nav.</w:t>
            </w:r>
          </w:p>
        </w:tc>
      </w:tr>
    </w:tbl>
    <w:p w:rsidRPr="00CB700C" w:rsidR="00B31106" w:rsidP="0079262D" w:rsidRDefault="00B31106" w14:paraId="136F1081" w14:textId="77777777">
      <w:pPr>
        <w:ind w:firstLine="720"/>
      </w:pPr>
    </w:p>
    <w:p w:rsidRPr="00CB700C" w:rsidR="000F2DBB" w:rsidP="0079262D" w:rsidRDefault="000F2DBB" w14:paraId="136F1082" w14:textId="77777777">
      <w:pPr>
        <w:ind w:firstLine="720"/>
      </w:pPr>
    </w:p>
    <w:p w:rsidRPr="00CB700C" w:rsidR="00B31106" w:rsidP="0079262D" w:rsidRDefault="00B31106" w14:paraId="136F1083" w14:textId="77777777">
      <w:pPr>
        <w:pStyle w:val="naisf"/>
        <w:spacing w:before="0" w:after="0"/>
        <w:ind w:firstLine="684"/>
      </w:pPr>
      <w:r w:rsidRPr="00CB700C">
        <w:t>Satiksmes ministrs</w:t>
      </w:r>
      <w:r w:rsidRPr="00CB700C">
        <w:tab/>
      </w:r>
      <w:r w:rsidRPr="00CB700C">
        <w:tab/>
      </w:r>
      <w:r w:rsidRPr="00CB700C">
        <w:tab/>
      </w:r>
      <w:r w:rsidRPr="00CB700C">
        <w:tab/>
      </w:r>
      <w:r w:rsidRPr="00CB700C">
        <w:tab/>
      </w:r>
      <w:r w:rsidRPr="00CB700C">
        <w:tab/>
      </w:r>
      <w:r w:rsidRPr="00CB700C">
        <w:tab/>
        <w:t>T. Linkaits</w:t>
      </w:r>
      <w:r w:rsidRPr="00CB700C">
        <w:tab/>
      </w:r>
    </w:p>
    <w:p w:rsidRPr="00CB700C" w:rsidR="00B31106" w:rsidP="0079262D" w:rsidRDefault="00B31106" w14:paraId="136F1084" w14:textId="77777777">
      <w:pPr>
        <w:pStyle w:val="naisf"/>
        <w:spacing w:before="0" w:after="0"/>
        <w:ind w:firstLine="684"/>
      </w:pPr>
      <w:r w:rsidRPr="00CB700C">
        <w:tab/>
      </w:r>
      <w:r w:rsidRPr="00CB700C">
        <w:tab/>
      </w:r>
      <w:r w:rsidRPr="00CB700C">
        <w:tab/>
      </w:r>
    </w:p>
    <w:p w:rsidRPr="00CB700C" w:rsidR="00B31106" w:rsidP="0079262D" w:rsidRDefault="00B31106" w14:paraId="136F1085" w14:textId="77777777">
      <w:pPr>
        <w:pStyle w:val="naisf"/>
        <w:spacing w:before="0" w:after="0"/>
        <w:ind w:firstLine="684"/>
      </w:pPr>
      <w:r w:rsidRPr="00CB700C">
        <w:tab/>
      </w:r>
    </w:p>
    <w:p w:rsidRPr="00CB700C" w:rsidR="00B31106" w:rsidP="0079262D" w:rsidRDefault="00B31106" w14:paraId="136F1086" w14:textId="77777777">
      <w:r w:rsidRPr="00CB700C">
        <w:t xml:space="preserve">          Vīza: Valsts sekretār</w:t>
      </w:r>
      <w:r w:rsidRPr="00CB700C" w:rsidR="00E12EC1">
        <w:t xml:space="preserve">e   </w:t>
      </w:r>
      <w:r w:rsidRPr="00CB700C">
        <w:tab/>
      </w:r>
      <w:r w:rsidRPr="00CB700C">
        <w:tab/>
      </w:r>
      <w:r w:rsidRPr="00CB700C">
        <w:tab/>
      </w:r>
      <w:r w:rsidRPr="00CB700C">
        <w:tab/>
      </w:r>
      <w:r w:rsidRPr="00CB700C">
        <w:tab/>
      </w:r>
      <w:r w:rsidRPr="00CB700C">
        <w:tab/>
      </w:r>
      <w:r w:rsidRPr="00CB700C" w:rsidR="00E12EC1">
        <w:t>I. Stepanova</w:t>
      </w:r>
    </w:p>
    <w:sectPr w:rsidRPr="00CB700C"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108A" w14:textId="77777777" w:rsidR="00851356" w:rsidRDefault="00851356">
      <w:r>
        <w:separator/>
      </w:r>
    </w:p>
  </w:endnote>
  <w:endnote w:type="continuationSeparator" w:id="0">
    <w:p w14:paraId="136F108B" w14:textId="77777777" w:rsidR="00851356" w:rsidRDefault="00851356">
      <w:r>
        <w:continuationSeparator/>
      </w:r>
    </w:p>
  </w:endnote>
  <w:endnote w:type="continuationNotice" w:id="1">
    <w:p w14:paraId="136F108C" w14:textId="77777777" w:rsidR="00851356" w:rsidRDefault="0085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091" w14:textId="77777777" w:rsidR="000241BF" w:rsidRPr="006D735A" w:rsidRDefault="00A73009" w:rsidP="00B31106">
    <w:pPr>
      <w:jc w:val="both"/>
    </w:pPr>
    <w:r>
      <w:rPr>
        <w:sz w:val="20"/>
        <w:szCs w:val="20"/>
      </w:rPr>
      <w:t>SMAnot_27</w:t>
    </w:r>
    <w:r w:rsidR="000241BF">
      <w:rPr>
        <w:sz w:val="20"/>
        <w:szCs w:val="20"/>
      </w:rPr>
      <w:t>0421</w:t>
    </w:r>
    <w:r w:rsidR="000241BF" w:rsidRPr="00DC420B">
      <w:rPr>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092" w14:textId="77777777" w:rsidR="000241BF" w:rsidRPr="007964F9" w:rsidRDefault="00A73009" w:rsidP="00DC420B">
    <w:pPr>
      <w:jc w:val="both"/>
      <w:rPr>
        <w:bCs/>
        <w:noProof/>
        <w:sz w:val="18"/>
        <w:szCs w:val="18"/>
      </w:rPr>
    </w:pPr>
    <w:r>
      <w:rPr>
        <w:sz w:val="20"/>
        <w:szCs w:val="20"/>
      </w:rPr>
      <w:t>SMAnot_27</w:t>
    </w:r>
    <w:r w:rsidR="000241BF">
      <w:rPr>
        <w:sz w:val="20"/>
        <w:szCs w:val="20"/>
      </w:rPr>
      <w:t>0421</w:t>
    </w:r>
    <w:r w:rsidR="000241BF" w:rsidRPr="00DC420B">
      <w:rPr>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1087" w14:textId="77777777" w:rsidR="00851356" w:rsidRDefault="00851356">
      <w:r>
        <w:separator/>
      </w:r>
    </w:p>
  </w:footnote>
  <w:footnote w:type="continuationSeparator" w:id="0">
    <w:p w14:paraId="136F1088" w14:textId="77777777" w:rsidR="00851356" w:rsidRDefault="00851356">
      <w:r>
        <w:continuationSeparator/>
      </w:r>
    </w:p>
  </w:footnote>
  <w:footnote w:type="continuationNotice" w:id="1">
    <w:p w14:paraId="136F1089" w14:textId="77777777" w:rsidR="00851356" w:rsidRDefault="00851356"/>
  </w:footnote>
  <w:footnote w:id="2">
    <w:p w14:paraId="136F1093" w14:textId="77777777" w:rsidR="000241BF" w:rsidRPr="00C90771" w:rsidRDefault="000241BF" w:rsidP="00993B74">
      <w:pPr>
        <w:pStyle w:val="FootnoteText"/>
        <w:jc w:val="both"/>
      </w:pPr>
      <w:r>
        <w:rPr>
          <w:rStyle w:val="FootnoteReference"/>
        </w:rPr>
        <w:footnoteRef/>
      </w:r>
      <w:r>
        <w:t xml:space="preserve"> Informācija par turpmākajiem iespējamajiem epidemioloģiskās, sabiedrības drošības un veselības aizsardzības </w:t>
      </w:r>
      <w:r w:rsidRPr="00C90771">
        <w:t xml:space="preserve">attīstības scenārijiem saistībā ar </w:t>
      </w:r>
      <w:proofErr w:type="spellStart"/>
      <w:r w:rsidRPr="00C90771">
        <w:t>koronavīrusu</w:t>
      </w:r>
      <w:proofErr w:type="spellEnd"/>
      <w:r w:rsidRPr="00C90771">
        <w:t xml:space="preserve"> COVID-19 Latvijā // </w:t>
      </w:r>
      <w:hyperlink r:id="rId1" w:history="1">
        <w:r w:rsidRPr="00C90771">
          <w:rPr>
            <w:rStyle w:val="Hyperlink"/>
          </w:rPr>
          <w:t>https://www.mk.gov.lv/sites/default/files/editor/Deklasificetie_dokumenti/dekl_kvpsinf_300320_lv_covid-19_fi.pdf</w:t>
        </w:r>
      </w:hyperlink>
      <w:r w:rsidRPr="00C90771">
        <w:t xml:space="preserve"> </w:t>
      </w:r>
    </w:p>
    <w:p w14:paraId="136F1094" w14:textId="77777777" w:rsidR="000241BF" w:rsidRPr="00C90771" w:rsidRDefault="000241BF" w:rsidP="00993B74">
      <w:pPr>
        <w:pStyle w:val="FootnoteText"/>
        <w:jc w:val="both"/>
      </w:pPr>
      <w:r w:rsidRPr="00C90771">
        <w:t>Informatīvais ziņojums par pamatprincipiem un kritērijiem, kuriem iestājoties, varētu lemt par Covid-19 izplatības ierobežošanai ieviesto pasākumu mazināšanu vai atcelšanu //</w:t>
      </w:r>
    </w:p>
    <w:p w14:paraId="136F1095" w14:textId="77777777" w:rsidR="000241BF" w:rsidRPr="00C90771" w:rsidRDefault="001E4E40" w:rsidP="00993B74">
      <w:pPr>
        <w:pStyle w:val="FootnoteText"/>
        <w:jc w:val="both"/>
      </w:pPr>
      <w:hyperlink r:id="rId2" w:history="1">
        <w:r w:rsidR="000241BF" w:rsidRPr="00C90771">
          <w:rPr>
            <w:rStyle w:val="Hyperlink"/>
          </w:rPr>
          <w:t>https://mk.gov.lv/lv/aktualitates/kriteriji-ierobezojumu-pakapeniskai-atcelsanai-informativs-zinojums</w:t>
        </w:r>
      </w:hyperlink>
      <w:r w:rsidR="000241BF" w:rsidRPr="00C90771">
        <w:t xml:space="preserve"> </w:t>
      </w:r>
    </w:p>
  </w:footnote>
  <w:footnote w:id="3">
    <w:p w14:paraId="136F1096" w14:textId="77777777" w:rsidR="000241BF" w:rsidRPr="00C90771" w:rsidRDefault="000241BF" w:rsidP="00993B74">
      <w:pPr>
        <w:pStyle w:val="FootnoteText"/>
        <w:jc w:val="both"/>
      </w:pPr>
      <w:r w:rsidRPr="00C90771">
        <w:rPr>
          <w:rStyle w:val="FootnoteReference"/>
        </w:rPr>
        <w:footnoteRef/>
      </w:r>
      <w:r w:rsidRPr="00C90771">
        <w:t xml:space="preserve"> Covid-19 infekcijas izplatības pārvaldības likums // </w:t>
      </w:r>
      <w:hyperlink r:id="rId3" w:history="1">
        <w:r w:rsidRPr="00C90771">
          <w:rPr>
            <w:rStyle w:val="Hyperlink"/>
          </w:rPr>
          <w:t>https://likumi.lv/ta/id/315278-covid-19-infekcijas-izplatibas-parvaldibas-likums</w:t>
        </w:r>
      </w:hyperlink>
    </w:p>
  </w:footnote>
  <w:footnote w:id="4">
    <w:p w14:paraId="136F1097" w14:textId="77777777" w:rsidR="000241BF" w:rsidRDefault="000241BF" w:rsidP="00993B74">
      <w:pPr>
        <w:pStyle w:val="FootnoteText"/>
        <w:jc w:val="both"/>
      </w:pPr>
      <w:r w:rsidRPr="00C90771">
        <w:rPr>
          <w:rStyle w:val="FootnoteReference"/>
        </w:rPr>
        <w:footnoteRef/>
      </w:r>
      <w:r w:rsidRPr="00C90771">
        <w:t xml:space="preserve"> Ministru kabineta 2020.gada 9.jūnija noteikumi Nr.360 “Epidemioloģiskās drošības pasākumi Covid-19 infekcijas izplatības ierobežošanai” // </w:t>
      </w:r>
      <w:hyperlink r:id="rId4" w:history="1">
        <w:r w:rsidRPr="00C90771">
          <w:rPr>
            <w:rStyle w:val="Hyperlink"/>
          </w:rPr>
          <w:t>https://likumi.lv/ta/id/315304</w:t>
        </w:r>
      </w:hyperlink>
      <w:r>
        <w:t xml:space="preserve"> </w:t>
      </w:r>
    </w:p>
  </w:footnote>
  <w:footnote w:id="5">
    <w:p w14:paraId="136F1098" w14:textId="77777777" w:rsidR="000241BF" w:rsidRDefault="000241BF" w:rsidP="00F01F9C">
      <w:pPr>
        <w:pStyle w:val="FootnoteText"/>
      </w:pPr>
      <w:r>
        <w:rPr>
          <w:rStyle w:val="FootnoteReference"/>
        </w:rPr>
        <w:footnoteRef/>
      </w:r>
      <w:r>
        <w:t xml:space="preserve"> </w:t>
      </w:r>
      <w:r w:rsidRPr="00224A0C">
        <w:t xml:space="preserve">Ministru kabineta </w:t>
      </w:r>
      <w:r>
        <w:t xml:space="preserve">2020. gada 6. novembra </w:t>
      </w:r>
      <w:r w:rsidRPr="00224A0C">
        <w:t>rīkojums Nr. 655</w:t>
      </w:r>
      <w:r>
        <w:t xml:space="preserve"> “</w:t>
      </w:r>
      <w:r w:rsidRPr="00224A0C">
        <w:t>Par ārkārtējās situācijas izsludināšanu</w:t>
      </w:r>
      <w:r>
        <w:t xml:space="preserve">” // </w:t>
      </w:r>
      <w:hyperlink r:id="rId5" w:history="1">
        <w:r w:rsidRPr="00611866">
          <w:rPr>
            <w:rStyle w:val="Hyperlink"/>
          </w:rPr>
          <w:t>https://likumi.lv/ta/id/318517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1BF" w:rsidP="00B54BB1" w:rsidRDefault="00A052C2" w14:paraId="136F108D" w14:textId="77777777">
    <w:pPr>
      <w:pStyle w:val="Header"/>
      <w:framePr w:wrap="around" w:hAnchor="margin" w:vAnchor="text" w:xAlign="center" w:y="1"/>
      <w:rPr>
        <w:rStyle w:val="PageNumber"/>
      </w:rPr>
    </w:pPr>
    <w:r>
      <w:rPr>
        <w:rStyle w:val="PageNumber"/>
      </w:rPr>
      <w:fldChar w:fldCharType="begin"/>
    </w:r>
    <w:r w:rsidR="000241BF">
      <w:rPr>
        <w:rStyle w:val="PageNumber"/>
      </w:rPr>
      <w:instrText xml:space="preserve">PAGE  </w:instrText>
    </w:r>
    <w:r>
      <w:rPr>
        <w:rStyle w:val="PageNumber"/>
      </w:rPr>
      <w:fldChar w:fldCharType="end"/>
    </w:r>
  </w:p>
  <w:p w:rsidR="000241BF" w:rsidRDefault="000241BF" w14:paraId="136F10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1BF" w:rsidP="00B54BB1" w:rsidRDefault="00A052C2" w14:paraId="136F108F" w14:textId="77777777">
    <w:pPr>
      <w:pStyle w:val="Header"/>
      <w:framePr w:wrap="around" w:hAnchor="margin" w:vAnchor="text" w:xAlign="center" w:y="1"/>
      <w:rPr>
        <w:rStyle w:val="PageNumber"/>
      </w:rPr>
    </w:pPr>
    <w:r>
      <w:rPr>
        <w:rStyle w:val="PageNumber"/>
      </w:rPr>
      <w:fldChar w:fldCharType="begin"/>
    </w:r>
    <w:r w:rsidR="000241BF">
      <w:rPr>
        <w:rStyle w:val="PageNumber"/>
      </w:rPr>
      <w:instrText xml:space="preserve">PAGE  </w:instrText>
    </w:r>
    <w:r>
      <w:rPr>
        <w:rStyle w:val="PageNumber"/>
      </w:rPr>
      <w:fldChar w:fldCharType="separate"/>
    </w:r>
    <w:r w:rsidR="001E2B10">
      <w:rPr>
        <w:rStyle w:val="PageNumber"/>
        <w:noProof/>
      </w:rPr>
      <w:t>2</w:t>
    </w:r>
    <w:r>
      <w:rPr>
        <w:rStyle w:val="PageNumber"/>
      </w:rPr>
      <w:fldChar w:fldCharType="end"/>
    </w:r>
  </w:p>
  <w:p w:rsidR="000241BF" w:rsidP="001E3FDC" w:rsidRDefault="000241BF" w14:paraId="136F10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625FDE"/>
    <w:multiLevelType w:val="hybridMultilevel"/>
    <w:tmpl w:val="3536E95E"/>
    <w:lvl w:ilvl="0" w:tplc="9CE452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ABD32F1"/>
    <w:multiLevelType w:val="multilevel"/>
    <w:tmpl w:val="E1982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4A23F85"/>
    <w:multiLevelType w:val="multilevel"/>
    <w:tmpl w:val="22B0066C"/>
    <w:lvl w:ilvl="0">
      <w:start w:val="1"/>
      <w:numFmt w:val="decimal"/>
      <w:lvlText w:val="%1."/>
      <w:lvlJc w:val="left"/>
      <w:pPr>
        <w:ind w:left="8866" w:hanging="360"/>
      </w:pPr>
      <w:rPr>
        <w:b w:val="0"/>
        <w:bCs w:val="0"/>
      </w:rPr>
    </w:lvl>
    <w:lvl w:ilvl="1">
      <w:start w:val="1"/>
      <w:numFmt w:val="decimal"/>
      <w:isLgl/>
      <w:lvlText w:val="%1.%2."/>
      <w:lvlJc w:val="left"/>
      <w:pPr>
        <w:ind w:left="2805" w:hanging="645"/>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28" w:hanging="720"/>
      </w:pPr>
      <w:rPr>
        <w:rFonts w:hint="default"/>
      </w:rPr>
    </w:lvl>
    <w:lvl w:ilvl="4">
      <w:start w:val="1"/>
      <w:numFmt w:val="decimal"/>
      <w:isLgl/>
      <w:lvlText w:val="%1.%2.%3.%4.%5."/>
      <w:lvlJc w:val="left"/>
      <w:pPr>
        <w:ind w:left="7362" w:hanging="1080"/>
      </w:pPr>
      <w:rPr>
        <w:rFonts w:hint="default"/>
      </w:rPr>
    </w:lvl>
    <w:lvl w:ilvl="5">
      <w:start w:val="1"/>
      <w:numFmt w:val="decimal"/>
      <w:isLgl/>
      <w:lvlText w:val="%1.%2.%3.%4.%5.%6."/>
      <w:lvlJc w:val="left"/>
      <w:pPr>
        <w:ind w:left="8736" w:hanging="1080"/>
      </w:pPr>
      <w:rPr>
        <w:rFonts w:hint="default"/>
      </w:rPr>
    </w:lvl>
    <w:lvl w:ilvl="6">
      <w:start w:val="1"/>
      <w:numFmt w:val="decimal"/>
      <w:isLgl/>
      <w:lvlText w:val="%1.%2.%3.%4.%5.%6.%7."/>
      <w:lvlJc w:val="left"/>
      <w:pPr>
        <w:ind w:left="10470" w:hanging="1440"/>
      </w:pPr>
      <w:rPr>
        <w:rFonts w:hint="default"/>
      </w:rPr>
    </w:lvl>
    <w:lvl w:ilvl="7">
      <w:start w:val="1"/>
      <w:numFmt w:val="decimal"/>
      <w:isLgl/>
      <w:lvlText w:val="%1.%2.%3.%4.%5.%6.%7.%8."/>
      <w:lvlJc w:val="left"/>
      <w:pPr>
        <w:ind w:left="11844" w:hanging="1440"/>
      </w:pPr>
      <w:rPr>
        <w:rFonts w:hint="default"/>
      </w:rPr>
    </w:lvl>
    <w:lvl w:ilvl="8">
      <w:start w:val="1"/>
      <w:numFmt w:val="decimal"/>
      <w:isLgl/>
      <w:lvlText w:val="%1.%2.%3.%4.%5.%6.%7.%8.%9."/>
      <w:lvlJc w:val="left"/>
      <w:pPr>
        <w:ind w:left="13578" w:hanging="1800"/>
      </w:pPr>
      <w:rPr>
        <w:rFonts w:hint="default"/>
      </w:rPr>
    </w:lvl>
  </w:abstractNum>
  <w:abstractNum w:abstractNumId="9"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786644"/>
    <w:multiLevelType w:val="hybridMultilevel"/>
    <w:tmpl w:val="1A7202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0126E8"/>
    <w:multiLevelType w:val="hybridMultilevel"/>
    <w:tmpl w:val="022240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5CF323D"/>
    <w:multiLevelType w:val="hybridMultilevel"/>
    <w:tmpl w:val="C8421BCA"/>
    <w:lvl w:ilvl="0" w:tplc="65781E46">
      <w:start w:val="1"/>
      <w:numFmt w:val="decimal"/>
      <w:lvlText w:val="%1)"/>
      <w:lvlJc w:val="left"/>
      <w:pPr>
        <w:ind w:left="447" w:hanging="39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BD6EA7"/>
    <w:multiLevelType w:val="hybridMultilevel"/>
    <w:tmpl w:val="5C3E334E"/>
    <w:lvl w:ilvl="0" w:tplc="BE8CB07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595641"/>
    <w:multiLevelType w:val="multilevel"/>
    <w:tmpl w:val="1A523A84"/>
    <w:lvl w:ilvl="0">
      <w:start w:val="1"/>
      <w:numFmt w:val="decimal"/>
      <w:lvlText w:val="%1."/>
      <w:lvlJc w:val="left"/>
      <w:pPr>
        <w:ind w:left="720" w:hanging="360"/>
      </w:pPr>
      <w:rPr>
        <w:rFonts w:hint="default"/>
        <w:b/>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7"/>
  </w:num>
  <w:num w:numId="3">
    <w:abstractNumId w:val="23"/>
  </w:num>
  <w:num w:numId="4">
    <w:abstractNumId w:val="6"/>
  </w:num>
  <w:num w:numId="5">
    <w:abstractNumId w:val="21"/>
  </w:num>
  <w:num w:numId="6">
    <w:abstractNumId w:val="15"/>
  </w:num>
  <w:num w:numId="7">
    <w:abstractNumId w:val="11"/>
  </w:num>
  <w:num w:numId="8">
    <w:abstractNumId w:val="2"/>
  </w:num>
  <w:num w:numId="9">
    <w:abstractNumId w:val="9"/>
  </w:num>
  <w:num w:numId="10">
    <w:abstractNumId w:val="1"/>
  </w:num>
  <w:num w:numId="11">
    <w:abstractNumId w:val="14"/>
  </w:num>
  <w:num w:numId="12">
    <w:abstractNumId w:val="4"/>
  </w:num>
  <w:num w:numId="13">
    <w:abstractNumId w:val="12"/>
  </w:num>
  <w:num w:numId="14">
    <w:abstractNumId w:val="3"/>
  </w:num>
  <w:num w:numId="15">
    <w:abstractNumId w:val="18"/>
  </w:num>
  <w:num w:numId="16">
    <w:abstractNumId w:val="22"/>
  </w:num>
  <w:num w:numId="17">
    <w:abstractNumId w:val="20"/>
  </w:num>
  <w:num w:numId="18">
    <w:abstractNumId w:val="16"/>
  </w:num>
  <w:num w:numId="19">
    <w:abstractNumId w:val="5"/>
  </w:num>
  <w:num w:numId="20">
    <w:abstractNumId w:val="19"/>
  </w:num>
  <w:num w:numId="21">
    <w:abstractNumId w:val="10"/>
  </w:num>
  <w:num w:numId="22">
    <w:abstractNumId w:val="13"/>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911EB"/>
    <w:rsid w:val="0000221C"/>
    <w:rsid w:val="0000346C"/>
    <w:rsid w:val="000036B5"/>
    <w:rsid w:val="00005A23"/>
    <w:rsid w:val="00006E3A"/>
    <w:rsid w:val="00012047"/>
    <w:rsid w:val="00012301"/>
    <w:rsid w:val="00013219"/>
    <w:rsid w:val="00016E6E"/>
    <w:rsid w:val="00020D89"/>
    <w:rsid w:val="0002135F"/>
    <w:rsid w:val="00021956"/>
    <w:rsid w:val="00023ACB"/>
    <w:rsid w:val="000241BF"/>
    <w:rsid w:val="00026A17"/>
    <w:rsid w:val="0003036F"/>
    <w:rsid w:val="0003069C"/>
    <w:rsid w:val="0003091C"/>
    <w:rsid w:val="00030E2A"/>
    <w:rsid w:val="00034431"/>
    <w:rsid w:val="00034952"/>
    <w:rsid w:val="00034A65"/>
    <w:rsid w:val="000361C9"/>
    <w:rsid w:val="00036F80"/>
    <w:rsid w:val="00041AAC"/>
    <w:rsid w:val="00041BCA"/>
    <w:rsid w:val="00042C37"/>
    <w:rsid w:val="000461BB"/>
    <w:rsid w:val="00047C4B"/>
    <w:rsid w:val="00050C31"/>
    <w:rsid w:val="00052FE8"/>
    <w:rsid w:val="00057365"/>
    <w:rsid w:val="000576A3"/>
    <w:rsid w:val="00063528"/>
    <w:rsid w:val="0006409D"/>
    <w:rsid w:val="00065C9B"/>
    <w:rsid w:val="000660AA"/>
    <w:rsid w:val="00071116"/>
    <w:rsid w:val="000726B6"/>
    <w:rsid w:val="000735F1"/>
    <w:rsid w:val="00073FF6"/>
    <w:rsid w:val="000743ED"/>
    <w:rsid w:val="00074651"/>
    <w:rsid w:val="00074A08"/>
    <w:rsid w:val="0007626E"/>
    <w:rsid w:val="00080CF7"/>
    <w:rsid w:val="00081EE5"/>
    <w:rsid w:val="00082055"/>
    <w:rsid w:val="00082221"/>
    <w:rsid w:val="0008692B"/>
    <w:rsid w:val="00086EBD"/>
    <w:rsid w:val="00093D5B"/>
    <w:rsid w:val="00093F22"/>
    <w:rsid w:val="000A0C76"/>
    <w:rsid w:val="000A1139"/>
    <w:rsid w:val="000A2BC9"/>
    <w:rsid w:val="000A407D"/>
    <w:rsid w:val="000A5282"/>
    <w:rsid w:val="000A5C2C"/>
    <w:rsid w:val="000A64EE"/>
    <w:rsid w:val="000A6511"/>
    <w:rsid w:val="000A7161"/>
    <w:rsid w:val="000B09C4"/>
    <w:rsid w:val="000B0EE7"/>
    <w:rsid w:val="000B662A"/>
    <w:rsid w:val="000B6764"/>
    <w:rsid w:val="000C0098"/>
    <w:rsid w:val="000C397B"/>
    <w:rsid w:val="000C5693"/>
    <w:rsid w:val="000C7567"/>
    <w:rsid w:val="000C7B77"/>
    <w:rsid w:val="000C7F33"/>
    <w:rsid w:val="000D1704"/>
    <w:rsid w:val="000D186A"/>
    <w:rsid w:val="000D6077"/>
    <w:rsid w:val="000D79CE"/>
    <w:rsid w:val="000E059D"/>
    <w:rsid w:val="000E1619"/>
    <w:rsid w:val="000E24E6"/>
    <w:rsid w:val="000E4B44"/>
    <w:rsid w:val="000E4EB2"/>
    <w:rsid w:val="000E5688"/>
    <w:rsid w:val="000E59CB"/>
    <w:rsid w:val="000E7BC5"/>
    <w:rsid w:val="000E7F5D"/>
    <w:rsid w:val="000F14AE"/>
    <w:rsid w:val="000F2DBB"/>
    <w:rsid w:val="000F33CB"/>
    <w:rsid w:val="000F3486"/>
    <w:rsid w:val="000F395A"/>
    <w:rsid w:val="000F3BF6"/>
    <w:rsid w:val="000F5B25"/>
    <w:rsid w:val="000F7B7A"/>
    <w:rsid w:val="001017E8"/>
    <w:rsid w:val="001042BD"/>
    <w:rsid w:val="001042DE"/>
    <w:rsid w:val="0010491A"/>
    <w:rsid w:val="00106426"/>
    <w:rsid w:val="0011248D"/>
    <w:rsid w:val="0011445C"/>
    <w:rsid w:val="001153E4"/>
    <w:rsid w:val="0011542C"/>
    <w:rsid w:val="001154D6"/>
    <w:rsid w:val="0011715A"/>
    <w:rsid w:val="00117662"/>
    <w:rsid w:val="00122CDC"/>
    <w:rsid w:val="001230EB"/>
    <w:rsid w:val="001241FA"/>
    <w:rsid w:val="00124661"/>
    <w:rsid w:val="0012530B"/>
    <w:rsid w:val="00125C6A"/>
    <w:rsid w:val="00125CA4"/>
    <w:rsid w:val="00130135"/>
    <w:rsid w:val="0013044E"/>
    <w:rsid w:val="001321E1"/>
    <w:rsid w:val="00132D68"/>
    <w:rsid w:val="00134076"/>
    <w:rsid w:val="00134DF2"/>
    <w:rsid w:val="0013657D"/>
    <w:rsid w:val="00136655"/>
    <w:rsid w:val="001371FE"/>
    <w:rsid w:val="00137C15"/>
    <w:rsid w:val="0014088E"/>
    <w:rsid w:val="001413EA"/>
    <w:rsid w:val="00141D1D"/>
    <w:rsid w:val="00143CAC"/>
    <w:rsid w:val="0014465E"/>
    <w:rsid w:val="001468AB"/>
    <w:rsid w:val="0014695E"/>
    <w:rsid w:val="00151037"/>
    <w:rsid w:val="00152D26"/>
    <w:rsid w:val="00153A57"/>
    <w:rsid w:val="00153A64"/>
    <w:rsid w:val="00154FA6"/>
    <w:rsid w:val="00156E1E"/>
    <w:rsid w:val="00157294"/>
    <w:rsid w:val="00157D52"/>
    <w:rsid w:val="001602AE"/>
    <w:rsid w:val="00161239"/>
    <w:rsid w:val="00161DB2"/>
    <w:rsid w:val="00163C96"/>
    <w:rsid w:val="0016426F"/>
    <w:rsid w:val="0016581D"/>
    <w:rsid w:val="00166EA2"/>
    <w:rsid w:val="00167D67"/>
    <w:rsid w:val="0017519A"/>
    <w:rsid w:val="00175A24"/>
    <w:rsid w:val="0017604A"/>
    <w:rsid w:val="001811F2"/>
    <w:rsid w:val="001813F9"/>
    <w:rsid w:val="0018186E"/>
    <w:rsid w:val="00181E6A"/>
    <w:rsid w:val="00183408"/>
    <w:rsid w:val="001847E6"/>
    <w:rsid w:val="00185C62"/>
    <w:rsid w:val="00186D60"/>
    <w:rsid w:val="0019342E"/>
    <w:rsid w:val="001947B7"/>
    <w:rsid w:val="001953AB"/>
    <w:rsid w:val="00195C56"/>
    <w:rsid w:val="0019703A"/>
    <w:rsid w:val="001A01D9"/>
    <w:rsid w:val="001A0473"/>
    <w:rsid w:val="001A05AB"/>
    <w:rsid w:val="001A0EA8"/>
    <w:rsid w:val="001A26F7"/>
    <w:rsid w:val="001A4A5F"/>
    <w:rsid w:val="001A4E5B"/>
    <w:rsid w:val="001A71AE"/>
    <w:rsid w:val="001B0389"/>
    <w:rsid w:val="001B0C26"/>
    <w:rsid w:val="001B1CB3"/>
    <w:rsid w:val="001B2C12"/>
    <w:rsid w:val="001B372B"/>
    <w:rsid w:val="001B3F28"/>
    <w:rsid w:val="001B42D7"/>
    <w:rsid w:val="001B709B"/>
    <w:rsid w:val="001B7193"/>
    <w:rsid w:val="001C1A45"/>
    <w:rsid w:val="001C4FEB"/>
    <w:rsid w:val="001C64DC"/>
    <w:rsid w:val="001C6EDE"/>
    <w:rsid w:val="001D375D"/>
    <w:rsid w:val="001D4BDB"/>
    <w:rsid w:val="001D5508"/>
    <w:rsid w:val="001D5A32"/>
    <w:rsid w:val="001D5F25"/>
    <w:rsid w:val="001D65E2"/>
    <w:rsid w:val="001D7BA8"/>
    <w:rsid w:val="001E26B6"/>
    <w:rsid w:val="001E2B10"/>
    <w:rsid w:val="001E32EA"/>
    <w:rsid w:val="001E39C9"/>
    <w:rsid w:val="001E3FDC"/>
    <w:rsid w:val="001E4E40"/>
    <w:rsid w:val="001E5188"/>
    <w:rsid w:val="001E5C0A"/>
    <w:rsid w:val="001E6D80"/>
    <w:rsid w:val="001E798D"/>
    <w:rsid w:val="001F1917"/>
    <w:rsid w:val="001F48D2"/>
    <w:rsid w:val="001F4D3C"/>
    <w:rsid w:val="001F520E"/>
    <w:rsid w:val="001F57A0"/>
    <w:rsid w:val="001F63F9"/>
    <w:rsid w:val="00204590"/>
    <w:rsid w:val="0020567F"/>
    <w:rsid w:val="00205BE1"/>
    <w:rsid w:val="0021173C"/>
    <w:rsid w:val="00213548"/>
    <w:rsid w:val="00213EF7"/>
    <w:rsid w:val="002144C6"/>
    <w:rsid w:val="0021468A"/>
    <w:rsid w:val="00214777"/>
    <w:rsid w:val="00216B6D"/>
    <w:rsid w:val="00217482"/>
    <w:rsid w:val="002200EC"/>
    <w:rsid w:val="00220D28"/>
    <w:rsid w:val="00220DE4"/>
    <w:rsid w:val="002234A5"/>
    <w:rsid w:val="00224874"/>
    <w:rsid w:val="00233908"/>
    <w:rsid w:val="00234018"/>
    <w:rsid w:val="00235DBB"/>
    <w:rsid w:val="00236978"/>
    <w:rsid w:val="00240281"/>
    <w:rsid w:val="002418FD"/>
    <w:rsid w:val="002428EE"/>
    <w:rsid w:val="00242F63"/>
    <w:rsid w:val="00242F75"/>
    <w:rsid w:val="00243960"/>
    <w:rsid w:val="00244D2A"/>
    <w:rsid w:val="00244DF9"/>
    <w:rsid w:val="002460B1"/>
    <w:rsid w:val="00246B0D"/>
    <w:rsid w:val="002509FC"/>
    <w:rsid w:val="00253C29"/>
    <w:rsid w:val="0025543A"/>
    <w:rsid w:val="0025563E"/>
    <w:rsid w:val="00255B65"/>
    <w:rsid w:val="00255DFD"/>
    <w:rsid w:val="00256AF7"/>
    <w:rsid w:val="0025700A"/>
    <w:rsid w:val="0026098A"/>
    <w:rsid w:val="00262A29"/>
    <w:rsid w:val="00263B31"/>
    <w:rsid w:val="00264AB9"/>
    <w:rsid w:val="00264B16"/>
    <w:rsid w:val="00264F57"/>
    <w:rsid w:val="002653B1"/>
    <w:rsid w:val="00267FA0"/>
    <w:rsid w:val="00274856"/>
    <w:rsid w:val="0027535F"/>
    <w:rsid w:val="0027701D"/>
    <w:rsid w:val="00277A92"/>
    <w:rsid w:val="00280281"/>
    <w:rsid w:val="00280483"/>
    <w:rsid w:val="00280C34"/>
    <w:rsid w:val="0028122F"/>
    <w:rsid w:val="00282264"/>
    <w:rsid w:val="002847A2"/>
    <w:rsid w:val="0028624D"/>
    <w:rsid w:val="00290BF9"/>
    <w:rsid w:val="00291001"/>
    <w:rsid w:val="002915B3"/>
    <w:rsid w:val="00293470"/>
    <w:rsid w:val="00293F7E"/>
    <w:rsid w:val="00294DE5"/>
    <w:rsid w:val="00297623"/>
    <w:rsid w:val="002A12A5"/>
    <w:rsid w:val="002A13BA"/>
    <w:rsid w:val="002A2243"/>
    <w:rsid w:val="002A3B66"/>
    <w:rsid w:val="002A4F72"/>
    <w:rsid w:val="002A55BB"/>
    <w:rsid w:val="002A5A5C"/>
    <w:rsid w:val="002A6B67"/>
    <w:rsid w:val="002A7B3D"/>
    <w:rsid w:val="002B0A3E"/>
    <w:rsid w:val="002B2484"/>
    <w:rsid w:val="002B2F06"/>
    <w:rsid w:val="002B3436"/>
    <w:rsid w:val="002B44A6"/>
    <w:rsid w:val="002B492E"/>
    <w:rsid w:val="002B5206"/>
    <w:rsid w:val="002B5FCB"/>
    <w:rsid w:val="002C21FF"/>
    <w:rsid w:val="002C2AC6"/>
    <w:rsid w:val="002C2D2C"/>
    <w:rsid w:val="002C39A9"/>
    <w:rsid w:val="002C3E45"/>
    <w:rsid w:val="002C425E"/>
    <w:rsid w:val="002D086A"/>
    <w:rsid w:val="002D0DE1"/>
    <w:rsid w:val="002D242E"/>
    <w:rsid w:val="002D2A67"/>
    <w:rsid w:val="002D41B3"/>
    <w:rsid w:val="002D4413"/>
    <w:rsid w:val="002D4A23"/>
    <w:rsid w:val="002D5E3B"/>
    <w:rsid w:val="002D6FC7"/>
    <w:rsid w:val="002E08BE"/>
    <w:rsid w:val="002E0ED0"/>
    <w:rsid w:val="002E1FE8"/>
    <w:rsid w:val="002E25D5"/>
    <w:rsid w:val="002E3440"/>
    <w:rsid w:val="002E3BD2"/>
    <w:rsid w:val="002E4819"/>
    <w:rsid w:val="002E6902"/>
    <w:rsid w:val="002F5055"/>
    <w:rsid w:val="002F5109"/>
    <w:rsid w:val="002F72B3"/>
    <w:rsid w:val="002F7524"/>
    <w:rsid w:val="002F75F2"/>
    <w:rsid w:val="002F790E"/>
    <w:rsid w:val="003000A9"/>
    <w:rsid w:val="00300390"/>
    <w:rsid w:val="00300547"/>
    <w:rsid w:val="0030112E"/>
    <w:rsid w:val="003029DC"/>
    <w:rsid w:val="00302FCB"/>
    <w:rsid w:val="003034F2"/>
    <w:rsid w:val="00303A73"/>
    <w:rsid w:val="00303D2D"/>
    <w:rsid w:val="00304C9F"/>
    <w:rsid w:val="0030564C"/>
    <w:rsid w:val="00305C78"/>
    <w:rsid w:val="00307AAA"/>
    <w:rsid w:val="003105A5"/>
    <w:rsid w:val="003131BE"/>
    <w:rsid w:val="003145FC"/>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6E26"/>
    <w:rsid w:val="003405D6"/>
    <w:rsid w:val="00340A7C"/>
    <w:rsid w:val="00341A5B"/>
    <w:rsid w:val="00342B91"/>
    <w:rsid w:val="00344403"/>
    <w:rsid w:val="00345E32"/>
    <w:rsid w:val="00346BAC"/>
    <w:rsid w:val="003502B0"/>
    <w:rsid w:val="003506E6"/>
    <w:rsid w:val="003508D6"/>
    <w:rsid w:val="00351C17"/>
    <w:rsid w:val="003526AD"/>
    <w:rsid w:val="003527DE"/>
    <w:rsid w:val="00352E51"/>
    <w:rsid w:val="00353D40"/>
    <w:rsid w:val="003601A8"/>
    <w:rsid w:val="00360BAC"/>
    <w:rsid w:val="00361849"/>
    <w:rsid w:val="003618CD"/>
    <w:rsid w:val="00362AB5"/>
    <w:rsid w:val="00364B8F"/>
    <w:rsid w:val="003707CF"/>
    <w:rsid w:val="00370F1A"/>
    <w:rsid w:val="003741AA"/>
    <w:rsid w:val="003746D8"/>
    <w:rsid w:val="003753E4"/>
    <w:rsid w:val="0037635F"/>
    <w:rsid w:val="003800E6"/>
    <w:rsid w:val="00386BAC"/>
    <w:rsid w:val="00386F4F"/>
    <w:rsid w:val="003871DD"/>
    <w:rsid w:val="00387F50"/>
    <w:rsid w:val="00390E8E"/>
    <w:rsid w:val="00394CD5"/>
    <w:rsid w:val="00394D82"/>
    <w:rsid w:val="003962AD"/>
    <w:rsid w:val="00397A07"/>
    <w:rsid w:val="00397F5E"/>
    <w:rsid w:val="003A07A9"/>
    <w:rsid w:val="003A3123"/>
    <w:rsid w:val="003A3785"/>
    <w:rsid w:val="003A5048"/>
    <w:rsid w:val="003A7722"/>
    <w:rsid w:val="003B37A7"/>
    <w:rsid w:val="003B3A76"/>
    <w:rsid w:val="003B4147"/>
    <w:rsid w:val="003B67B9"/>
    <w:rsid w:val="003B7CE0"/>
    <w:rsid w:val="003C0573"/>
    <w:rsid w:val="003C2F8E"/>
    <w:rsid w:val="003C764B"/>
    <w:rsid w:val="003D190F"/>
    <w:rsid w:val="003D5486"/>
    <w:rsid w:val="003D608E"/>
    <w:rsid w:val="003D7B53"/>
    <w:rsid w:val="003E00D4"/>
    <w:rsid w:val="003E0C24"/>
    <w:rsid w:val="003E18A7"/>
    <w:rsid w:val="003E320D"/>
    <w:rsid w:val="003E3EC9"/>
    <w:rsid w:val="003E473B"/>
    <w:rsid w:val="003E5169"/>
    <w:rsid w:val="003E5A74"/>
    <w:rsid w:val="003E77C7"/>
    <w:rsid w:val="003F1384"/>
    <w:rsid w:val="003F2594"/>
    <w:rsid w:val="003F4EEF"/>
    <w:rsid w:val="003F4EFC"/>
    <w:rsid w:val="003F50C0"/>
    <w:rsid w:val="003F658E"/>
    <w:rsid w:val="0040039F"/>
    <w:rsid w:val="0040043C"/>
    <w:rsid w:val="00401B32"/>
    <w:rsid w:val="0040418C"/>
    <w:rsid w:val="004046F4"/>
    <w:rsid w:val="004146D3"/>
    <w:rsid w:val="0041552F"/>
    <w:rsid w:val="004168BA"/>
    <w:rsid w:val="00416B3A"/>
    <w:rsid w:val="00420331"/>
    <w:rsid w:val="0042161A"/>
    <w:rsid w:val="0042310A"/>
    <w:rsid w:val="00423855"/>
    <w:rsid w:val="00423F61"/>
    <w:rsid w:val="00427DA3"/>
    <w:rsid w:val="00427DE1"/>
    <w:rsid w:val="004300C9"/>
    <w:rsid w:val="00430509"/>
    <w:rsid w:val="00433580"/>
    <w:rsid w:val="00435782"/>
    <w:rsid w:val="00437175"/>
    <w:rsid w:val="00440BD1"/>
    <w:rsid w:val="00446E9E"/>
    <w:rsid w:val="00450A17"/>
    <w:rsid w:val="00454346"/>
    <w:rsid w:val="0045466C"/>
    <w:rsid w:val="00456880"/>
    <w:rsid w:val="00460142"/>
    <w:rsid w:val="00461074"/>
    <w:rsid w:val="00461D2F"/>
    <w:rsid w:val="004632FE"/>
    <w:rsid w:val="0046347D"/>
    <w:rsid w:val="004636B1"/>
    <w:rsid w:val="004641C8"/>
    <w:rsid w:val="00464918"/>
    <w:rsid w:val="00465F98"/>
    <w:rsid w:val="00466357"/>
    <w:rsid w:val="00467879"/>
    <w:rsid w:val="004701C3"/>
    <w:rsid w:val="004713B5"/>
    <w:rsid w:val="00471490"/>
    <w:rsid w:val="004745C2"/>
    <w:rsid w:val="0047557F"/>
    <w:rsid w:val="00476698"/>
    <w:rsid w:val="00484CEA"/>
    <w:rsid w:val="0048521C"/>
    <w:rsid w:val="004912B9"/>
    <w:rsid w:val="00491F91"/>
    <w:rsid w:val="004923F9"/>
    <w:rsid w:val="00492AAE"/>
    <w:rsid w:val="00495277"/>
    <w:rsid w:val="00496CB7"/>
    <w:rsid w:val="00497A0C"/>
    <w:rsid w:val="004A0A01"/>
    <w:rsid w:val="004A0C77"/>
    <w:rsid w:val="004A233C"/>
    <w:rsid w:val="004A5043"/>
    <w:rsid w:val="004A7927"/>
    <w:rsid w:val="004B05F4"/>
    <w:rsid w:val="004B374D"/>
    <w:rsid w:val="004C003E"/>
    <w:rsid w:val="004C1F38"/>
    <w:rsid w:val="004C22E2"/>
    <w:rsid w:val="004C3830"/>
    <w:rsid w:val="004C6700"/>
    <w:rsid w:val="004C7287"/>
    <w:rsid w:val="004D09B4"/>
    <w:rsid w:val="004D1DC4"/>
    <w:rsid w:val="004D301E"/>
    <w:rsid w:val="004D3486"/>
    <w:rsid w:val="004E0334"/>
    <w:rsid w:val="004E1CF0"/>
    <w:rsid w:val="004E2AA1"/>
    <w:rsid w:val="004E2D47"/>
    <w:rsid w:val="004E3FDC"/>
    <w:rsid w:val="004E4FCE"/>
    <w:rsid w:val="004E584A"/>
    <w:rsid w:val="004E5BE1"/>
    <w:rsid w:val="004E6B9D"/>
    <w:rsid w:val="004F0DA8"/>
    <w:rsid w:val="004F1F5F"/>
    <w:rsid w:val="004F2A3D"/>
    <w:rsid w:val="004F3416"/>
    <w:rsid w:val="004F476B"/>
    <w:rsid w:val="004F5331"/>
    <w:rsid w:val="004F5746"/>
    <w:rsid w:val="004F6B8A"/>
    <w:rsid w:val="00500F36"/>
    <w:rsid w:val="005047D5"/>
    <w:rsid w:val="00505A79"/>
    <w:rsid w:val="00505D61"/>
    <w:rsid w:val="00506A7E"/>
    <w:rsid w:val="00506D7B"/>
    <w:rsid w:val="00507537"/>
    <w:rsid w:val="00507990"/>
    <w:rsid w:val="00510993"/>
    <w:rsid w:val="00511A81"/>
    <w:rsid w:val="00514599"/>
    <w:rsid w:val="005151C2"/>
    <w:rsid w:val="0051743B"/>
    <w:rsid w:val="00517614"/>
    <w:rsid w:val="005232C1"/>
    <w:rsid w:val="00523FEC"/>
    <w:rsid w:val="00525939"/>
    <w:rsid w:val="0052620D"/>
    <w:rsid w:val="00526873"/>
    <w:rsid w:val="00527BD5"/>
    <w:rsid w:val="00527BDC"/>
    <w:rsid w:val="00532471"/>
    <w:rsid w:val="00534CDD"/>
    <w:rsid w:val="00535D97"/>
    <w:rsid w:val="005361B4"/>
    <w:rsid w:val="005455BD"/>
    <w:rsid w:val="00545D5F"/>
    <w:rsid w:val="00546028"/>
    <w:rsid w:val="00547318"/>
    <w:rsid w:val="0055091C"/>
    <w:rsid w:val="005522A6"/>
    <w:rsid w:val="005524C2"/>
    <w:rsid w:val="005525AA"/>
    <w:rsid w:val="00553DC2"/>
    <w:rsid w:val="00556CBD"/>
    <w:rsid w:val="005576B6"/>
    <w:rsid w:val="005645DA"/>
    <w:rsid w:val="0056468C"/>
    <w:rsid w:val="00564A9A"/>
    <w:rsid w:val="00565D03"/>
    <w:rsid w:val="00567B25"/>
    <w:rsid w:val="00570A6A"/>
    <w:rsid w:val="0057107E"/>
    <w:rsid w:val="00577168"/>
    <w:rsid w:val="005800F3"/>
    <w:rsid w:val="00580E44"/>
    <w:rsid w:val="00581C4A"/>
    <w:rsid w:val="00582978"/>
    <w:rsid w:val="00583AF9"/>
    <w:rsid w:val="00586276"/>
    <w:rsid w:val="00586733"/>
    <w:rsid w:val="00586BF9"/>
    <w:rsid w:val="00586CE5"/>
    <w:rsid w:val="005906C1"/>
    <w:rsid w:val="00590718"/>
    <w:rsid w:val="00592C76"/>
    <w:rsid w:val="00593139"/>
    <w:rsid w:val="005946A6"/>
    <w:rsid w:val="005951A6"/>
    <w:rsid w:val="00595BE5"/>
    <w:rsid w:val="00596DDE"/>
    <w:rsid w:val="00596EF0"/>
    <w:rsid w:val="005A5205"/>
    <w:rsid w:val="005A6082"/>
    <w:rsid w:val="005A69D4"/>
    <w:rsid w:val="005A7C75"/>
    <w:rsid w:val="005B050E"/>
    <w:rsid w:val="005B179C"/>
    <w:rsid w:val="005B2BB4"/>
    <w:rsid w:val="005C0059"/>
    <w:rsid w:val="005C0482"/>
    <w:rsid w:val="005C226D"/>
    <w:rsid w:val="005C3522"/>
    <w:rsid w:val="005C4065"/>
    <w:rsid w:val="005C45F7"/>
    <w:rsid w:val="005C5FB9"/>
    <w:rsid w:val="005D017A"/>
    <w:rsid w:val="005D6B7B"/>
    <w:rsid w:val="005D6C80"/>
    <w:rsid w:val="005E14BF"/>
    <w:rsid w:val="005E1F84"/>
    <w:rsid w:val="005E2ABB"/>
    <w:rsid w:val="005E4AB4"/>
    <w:rsid w:val="005E5535"/>
    <w:rsid w:val="005E77F8"/>
    <w:rsid w:val="005F1CC5"/>
    <w:rsid w:val="005F28C8"/>
    <w:rsid w:val="005F3280"/>
    <w:rsid w:val="005F5852"/>
    <w:rsid w:val="005F69D3"/>
    <w:rsid w:val="005F6AA5"/>
    <w:rsid w:val="006005B8"/>
    <w:rsid w:val="006105F4"/>
    <w:rsid w:val="006114D0"/>
    <w:rsid w:val="00611F4C"/>
    <w:rsid w:val="006125B4"/>
    <w:rsid w:val="0061362D"/>
    <w:rsid w:val="00613F54"/>
    <w:rsid w:val="006156A1"/>
    <w:rsid w:val="00616EC6"/>
    <w:rsid w:val="00617AB7"/>
    <w:rsid w:val="00620119"/>
    <w:rsid w:val="006217B0"/>
    <w:rsid w:val="0062248D"/>
    <w:rsid w:val="00622DBD"/>
    <w:rsid w:val="00625456"/>
    <w:rsid w:val="00625709"/>
    <w:rsid w:val="00626976"/>
    <w:rsid w:val="00631750"/>
    <w:rsid w:val="006321CA"/>
    <w:rsid w:val="006323F8"/>
    <w:rsid w:val="0063514E"/>
    <w:rsid w:val="00635296"/>
    <w:rsid w:val="00635E4B"/>
    <w:rsid w:val="00635FF9"/>
    <w:rsid w:val="0063653C"/>
    <w:rsid w:val="00641732"/>
    <w:rsid w:val="0064263E"/>
    <w:rsid w:val="00642BA2"/>
    <w:rsid w:val="00642C2E"/>
    <w:rsid w:val="00643E04"/>
    <w:rsid w:val="006444EB"/>
    <w:rsid w:val="0064465D"/>
    <w:rsid w:val="00644B63"/>
    <w:rsid w:val="006466C8"/>
    <w:rsid w:val="00647D06"/>
    <w:rsid w:val="00650703"/>
    <w:rsid w:val="0065264C"/>
    <w:rsid w:val="00654956"/>
    <w:rsid w:val="00655AAC"/>
    <w:rsid w:val="00655B1B"/>
    <w:rsid w:val="00657CCA"/>
    <w:rsid w:val="00661AB7"/>
    <w:rsid w:val="00663E89"/>
    <w:rsid w:val="00665D2E"/>
    <w:rsid w:val="00665E0B"/>
    <w:rsid w:val="00666173"/>
    <w:rsid w:val="006664DE"/>
    <w:rsid w:val="006666BB"/>
    <w:rsid w:val="00670EE1"/>
    <w:rsid w:val="0067376A"/>
    <w:rsid w:val="006746CD"/>
    <w:rsid w:val="00680200"/>
    <w:rsid w:val="006827F2"/>
    <w:rsid w:val="0068303F"/>
    <w:rsid w:val="006836BD"/>
    <w:rsid w:val="006839EA"/>
    <w:rsid w:val="00685798"/>
    <w:rsid w:val="00685C10"/>
    <w:rsid w:val="006861C5"/>
    <w:rsid w:val="00690E10"/>
    <w:rsid w:val="00690F69"/>
    <w:rsid w:val="00692780"/>
    <w:rsid w:val="00692A23"/>
    <w:rsid w:val="00694D3B"/>
    <w:rsid w:val="006A08F5"/>
    <w:rsid w:val="006A554A"/>
    <w:rsid w:val="006A5718"/>
    <w:rsid w:val="006A6A4D"/>
    <w:rsid w:val="006B14AF"/>
    <w:rsid w:val="006B2725"/>
    <w:rsid w:val="006B288D"/>
    <w:rsid w:val="006B49C2"/>
    <w:rsid w:val="006B6C5F"/>
    <w:rsid w:val="006B6CBD"/>
    <w:rsid w:val="006C0C70"/>
    <w:rsid w:val="006C2318"/>
    <w:rsid w:val="006C4886"/>
    <w:rsid w:val="006C4E20"/>
    <w:rsid w:val="006C73F5"/>
    <w:rsid w:val="006D0F93"/>
    <w:rsid w:val="006D1FF7"/>
    <w:rsid w:val="006D2BFE"/>
    <w:rsid w:val="006D35C8"/>
    <w:rsid w:val="006D4D07"/>
    <w:rsid w:val="006D58BC"/>
    <w:rsid w:val="006D5CCF"/>
    <w:rsid w:val="006D5E59"/>
    <w:rsid w:val="006D5FEA"/>
    <w:rsid w:val="006D735A"/>
    <w:rsid w:val="006E1CDD"/>
    <w:rsid w:val="006E2AA7"/>
    <w:rsid w:val="006E3B59"/>
    <w:rsid w:val="006E4149"/>
    <w:rsid w:val="006E4751"/>
    <w:rsid w:val="006E5402"/>
    <w:rsid w:val="006F0DAA"/>
    <w:rsid w:val="006F13CC"/>
    <w:rsid w:val="006F284A"/>
    <w:rsid w:val="006F38A1"/>
    <w:rsid w:val="006F3F73"/>
    <w:rsid w:val="006F78E0"/>
    <w:rsid w:val="006F7C61"/>
    <w:rsid w:val="006F7EEF"/>
    <w:rsid w:val="00703B0F"/>
    <w:rsid w:val="0070411E"/>
    <w:rsid w:val="007047BE"/>
    <w:rsid w:val="00704E13"/>
    <w:rsid w:val="00712001"/>
    <w:rsid w:val="00712168"/>
    <w:rsid w:val="00714A3F"/>
    <w:rsid w:val="00714B2B"/>
    <w:rsid w:val="00721A31"/>
    <w:rsid w:val="00723A65"/>
    <w:rsid w:val="0072453D"/>
    <w:rsid w:val="00724863"/>
    <w:rsid w:val="00724905"/>
    <w:rsid w:val="00726858"/>
    <w:rsid w:val="00731038"/>
    <w:rsid w:val="007315D5"/>
    <w:rsid w:val="00734D9E"/>
    <w:rsid w:val="0073501A"/>
    <w:rsid w:val="0073635D"/>
    <w:rsid w:val="007402EE"/>
    <w:rsid w:val="00742BEF"/>
    <w:rsid w:val="00742DB9"/>
    <w:rsid w:val="0074300E"/>
    <w:rsid w:val="0074662A"/>
    <w:rsid w:val="00747F5D"/>
    <w:rsid w:val="00750A9E"/>
    <w:rsid w:val="00751509"/>
    <w:rsid w:val="00751FC2"/>
    <w:rsid w:val="00752871"/>
    <w:rsid w:val="00753266"/>
    <w:rsid w:val="00753471"/>
    <w:rsid w:val="00753C8A"/>
    <w:rsid w:val="00754486"/>
    <w:rsid w:val="007615FE"/>
    <w:rsid w:val="00762153"/>
    <w:rsid w:val="007628B3"/>
    <w:rsid w:val="00762EDD"/>
    <w:rsid w:val="00764405"/>
    <w:rsid w:val="00764684"/>
    <w:rsid w:val="007656A3"/>
    <w:rsid w:val="00767D37"/>
    <w:rsid w:val="007708BE"/>
    <w:rsid w:val="00770AB6"/>
    <w:rsid w:val="00770EA8"/>
    <w:rsid w:val="00775219"/>
    <w:rsid w:val="007771F2"/>
    <w:rsid w:val="007773E2"/>
    <w:rsid w:val="007775D7"/>
    <w:rsid w:val="00780DC3"/>
    <w:rsid w:val="00781431"/>
    <w:rsid w:val="0078193D"/>
    <w:rsid w:val="007842C3"/>
    <w:rsid w:val="00784516"/>
    <w:rsid w:val="00786695"/>
    <w:rsid w:val="00786BB3"/>
    <w:rsid w:val="00787B01"/>
    <w:rsid w:val="00787DF2"/>
    <w:rsid w:val="00790696"/>
    <w:rsid w:val="00790B93"/>
    <w:rsid w:val="007922B8"/>
    <w:rsid w:val="0079262D"/>
    <w:rsid w:val="007945BB"/>
    <w:rsid w:val="007964F9"/>
    <w:rsid w:val="007A165C"/>
    <w:rsid w:val="007A193D"/>
    <w:rsid w:val="007A1B4A"/>
    <w:rsid w:val="007A343A"/>
    <w:rsid w:val="007A43EB"/>
    <w:rsid w:val="007A5527"/>
    <w:rsid w:val="007A590F"/>
    <w:rsid w:val="007A6B0A"/>
    <w:rsid w:val="007A7834"/>
    <w:rsid w:val="007B039E"/>
    <w:rsid w:val="007B094D"/>
    <w:rsid w:val="007B2191"/>
    <w:rsid w:val="007B5BE4"/>
    <w:rsid w:val="007B7339"/>
    <w:rsid w:val="007C1902"/>
    <w:rsid w:val="007C1B98"/>
    <w:rsid w:val="007C26B5"/>
    <w:rsid w:val="007C288D"/>
    <w:rsid w:val="007C3AFD"/>
    <w:rsid w:val="007C70AA"/>
    <w:rsid w:val="007D1DB0"/>
    <w:rsid w:val="007D2838"/>
    <w:rsid w:val="007D356A"/>
    <w:rsid w:val="007D5C17"/>
    <w:rsid w:val="007D6B92"/>
    <w:rsid w:val="007E09CC"/>
    <w:rsid w:val="007E0F5C"/>
    <w:rsid w:val="007E1C98"/>
    <w:rsid w:val="007E2DF6"/>
    <w:rsid w:val="007E347F"/>
    <w:rsid w:val="007E7BDC"/>
    <w:rsid w:val="007F0922"/>
    <w:rsid w:val="007F0BEF"/>
    <w:rsid w:val="007F0F87"/>
    <w:rsid w:val="007F1C5A"/>
    <w:rsid w:val="007F40C5"/>
    <w:rsid w:val="007F66FE"/>
    <w:rsid w:val="007F7EF9"/>
    <w:rsid w:val="008012E3"/>
    <w:rsid w:val="0080379E"/>
    <w:rsid w:val="00803A25"/>
    <w:rsid w:val="00814442"/>
    <w:rsid w:val="00815A93"/>
    <w:rsid w:val="00815FF6"/>
    <w:rsid w:val="00816CBC"/>
    <w:rsid w:val="00817C8E"/>
    <w:rsid w:val="00821038"/>
    <w:rsid w:val="008212AA"/>
    <w:rsid w:val="00822542"/>
    <w:rsid w:val="0082280F"/>
    <w:rsid w:val="00823D30"/>
    <w:rsid w:val="008241AA"/>
    <w:rsid w:val="00826409"/>
    <w:rsid w:val="00826B5B"/>
    <w:rsid w:val="0082702F"/>
    <w:rsid w:val="008303DB"/>
    <w:rsid w:val="00830C13"/>
    <w:rsid w:val="00830DB0"/>
    <w:rsid w:val="00831AFE"/>
    <w:rsid w:val="00832779"/>
    <w:rsid w:val="00837DB7"/>
    <w:rsid w:val="008400AE"/>
    <w:rsid w:val="00841145"/>
    <w:rsid w:val="008412AE"/>
    <w:rsid w:val="008437DC"/>
    <w:rsid w:val="00846B0B"/>
    <w:rsid w:val="0084722C"/>
    <w:rsid w:val="008479C5"/>
    <w:rsid w:val="00850CD4"/>
    <w:rsid w:val="00851356"/>
    <w:rsid w:val="0085149E"/>
    <w:rsid w:val="008514FA"/>
    <w:rsid w:val="00852D4D"/>
    <w:rsid w:val="00853765"/>
    <w:rsid w:val="00854597"/>
    <w:rsid w:val="00857624"/>
    <w:rsid w:val="008619AC"/>
    <w:rsid w:val="008642F7"/>
    <w:rsid w:val="00864302"/>
    <w:rsid w:val="0087217B"/>
    <w:rsid w:val="00873B5F"/>
    <w:rsid w:val="00873CE5"/>
    <w:rsid w:val="00873DA7"/>
    <w:rsid w:val="0087711D"/>
    <w:rsid w:val="0087780F"/>
    <w:rsid w:val="00877CFD"/>
    <w:rsid w:val="00877D62"/>
    <w:rsid w:val="008805C6"/>
    <w:rsid w:val="00880B34"/>
    <w:rsid w:val="00882F3D"/>
    <w:rsid w:val="00894ED3"/>
    <w:rsid w:val="00895657"/>
    <w:rsid w:val="00896790"/>
    <w:rsid w:val="00897454"/>
    <w:rsid w:val="008A5555"/>
    <w:rsid w:val="008A6789"/>
    <w:rsid w:val="008A71B2"/>
    <w:rsid w:val="008A77FE"/>
    <w:rsid w:val="008B2B2E"/>
    <w:rsid w:val="008B49EB"/>
    <w:rsid w:val="008B61EC"/>
    <w:rsid w:val="008C3525"/>
    <w:rsid w:val="008C3D9E"/>
    <w:rsid w:val="008C5DF1"/>
    <w:rsid w:val="008D1EB5"/>
    <w:rsid w:val="008D25B4"/>
    <w:rsid w:val="008D29C0"/>
    <w:rsid w:val="008D2D55"/>
    <w:rsid w:val="008D4B6A"/>
    <w:rsid w:val="008D60EA"/>
    <w:rsid w:val="008D6A23"/>
    <w:rsid w:val="008D7563"/>
    <w:rsid w:val="008D78A4"/>
    <w:rsid w:val="008D7A34"/>
    <w:rsid w:val="008E043D"/>
    <w:rsid w:val="008E13B8"/>
    <w:rsid w:val="008E149A"/>
    <w:rsid w:val="008E4220"/>
    <w:rsid w:val="008E42FB"/>
    <w:rsid w:val="008E559E"/>
    <w:rsid w:val="008E5615"/>
    <w:rsid w:val="008E6253"/>
    <w:rsid w:val="008E683F"/>
    <w:rsid w:val="008F28B7"/>
    <w:rsid w:val="008F2B13"/>
    <w:rsid w:val="008F4C25"/>
    <w:rsid w:val="008F5302"/>
    <w:rsid w:val="008F5832"/>
    <w:rsid w:val="008F681F"/>
    <w:rsid w:val="008F71B4"/>
    <w:rsid w:val="009006CA"/>
    <w:rsid w:val="0090104C"/>
    <w:rsid w:val="00902A2E"/>
    <w:rsid w:val="009040C2"/>
    <w:rsid w:val="0090433A"/>
    <w:rsid w:val="009048C7"/>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9A1"/>
    <w:rsid w:val="00924E8F"/>
    <w:rsid w:val="00936E09"/>
    <w:rsid w:val="009376F5"/>
    <w:rsid w:val="0094074F"/>
    <w:rsid w:val="0094770D"/>
    <w:rsid w:val="00950026"/>
    <w:rsid w:val="009508B8"/>
    <w:rsid w:val="0095090D"/>
    <w:rsid w:val="00952C36"/>
    <w:rsid w:val="009549FD"/>
    <w:rsid w:val="00954BF6"/>
    <w:rsid w:val="00955251"/>
    <w:rsid w:val="0095561D"/>
    <w:rsid w:val="00956A7A"/>
    <w:rsid w:val="00960638"/>
    <w:rsid w:val="00960A17"/>
    <w:rsid w:val="00960DCC"/>
    <w:rsid w:val="00961496"/>
    <w:rsid w:val="00962212"/>
    <w:rsid w:val="00962A2E"/>
    <w:rsid w:val="00963B69"/>
    <w:rsid w:val="00964EB6"/>
    <w:rsid w:val="00965147"/>
    <w:rsid w:val="009659C6"/>
    <w:rsid w:val="00965E34"/>
    <w:rsid w:val="009663BE"/>
    <w:rsid w:val="00966663"/>
    <w:rsid w:val="00971583"/>
    <w:rsid w:val="00971824"/>
    <w:rsid w:val="00971D50"/>
    <w:rsid w:val="0097314E"/>
    <w:rsid w:val="00974363"/>
    <w:rsid w:val="00974541"/>
    <w:rsid w:val="00976F47"/>
    <w:rsid w:val="00980F2E"/>
    <w:rsid w:val="00980F32"/>
    <w:rsid w:val="009817DD"/>
    <w:rsid w:val="00983FC5"/>
    <w:rsid w:val="00985077"/>
    <w:rsid w:val="00986610"/>
    <w:rsid w:val="0098674F"/>
    <w:rsid w:val="009868AE"/>
    <w:rsid w:val="00986AD1"/>
    <w:rsid w:val="00990788"/>
    <w:rsid w:val="009917EB"/>
    <w:rsid w:val="00991B1B"/>
    <w:rsid w:val="00993314"/>
    <w:rsid w:val="00993705"/>
    <w:rsid w:val="00993B74"/>
    <w:rsid w:val="009951CF"/>
    <w:rsid w:val="009A0BE1"/>
    <w:rsid w:val="009A13FA"/>
    <w:rsid w:val="009A1C96"/>
    <w:rsid w:val="009A27DF"/>
    <w:rsid w:val="009A379C"/>
    <w:rsid w:val="009A4268"/>
    <w:rsid w:val="009A56BD"/>
    <w:rsid w:val="009A6A90"/>
    <w:rsid w:val="009A74A7"/>
    <w:rsid w:val="009A7D80"/>
    <w:rsid w:val="009A7F38"/>
    <w:rsid w:val="009B420B"/>
    <w:rsid w:val="009B4988"/>
    <w:rsid w:val="009B4B03"/>
    <w:rsid w:val="009B4B8A"/>
    <w:rsid w:val="009B5C26"/>
    <w:rsid w:val="009B67F2"/>
    <w:rsid w:val="009B7854"/>
    <w:rsid w:val="009C2894"/>
    <w:rsid w:val="009C2A57"/>
    <w:rsid w:val="009C352E"/>
    <w:rsid w:val="009C35A8"/>
    <w:rsid w:val="009C5108"/>
    <w:rsid w:val="009C6F9F"/>
    <w:rsid w:val="009D04A7"/>
    <w:rsid w:val="009D1502"/>
    <w:rsid w:val="009D2376"/>
    <w:rsid w:val="009D287F"/>
    <w:rsid w:val="009D48F8"/>
    <w:rsid w:val="009D5323"/>
    <w:rsid w:val="009D79F9"/>
    <w:rsid w:val="009D7BC8"/>
    <w:rsid w:val="009E06BF"/>
    <w:rsid w:val="009E2A67"/>
    <w:rsid w:val="009E3518"/>
    <w:rsid w:val="009E46BD"/>
    <w:rsid w:val="009E49E0"/>
    <w:rsid w:val="009E4A3F"/>
    <w:rsid w:val="009E653C"/>
    <w:rsid w:val="009E787E"/>
    <w:rsid w:val="009F0FA7"/>
    <w:rsid w:val="009F109F"/>
    <w:rsid w:val="009F357C"/>
    <w:rsid w:val="009F43F3"/>
    <w:rsid w:val="009F4E03"/>
    <w:rsid w:val="009F5ED6"/>
    <w:rsid w:val="009F7751"/>
    <w:rsid w:val="009F7FBE"/>
    <w:rsid w:val="00A01CAE"/>
    <w:rsid w:val="00A01F07"/>
    <w:rsid w:val="00A04E3F"/>
    <w:rsid w:val="00A05289"/>
    <w:rsid w:val="00A052C2"/>
    <w:rsid w:val="00A07D00"/>
    <w:rsid w:val="00A106EB"/>
    <w:rsid w:val="00A11B70"/>
    <w:rsid w:val="00A13693"/>
    <w:rsid w:val="00A1671A"/>
    <w:rsid w:val="00A167A6"/>
    <w:rsid w:val="00A213CF"/>
    <w:rsid w:val="00A232B8"/>
    <w:rsid w:val="00A253FA"/>
    <w:rsid w:val="00A25D1F"/>
    <w:rsid w:val="00A269F5"/>
    <w:rsid w:val="00A27C6C"/>
    <w:rsid w:val="00A34270"/>
    <w:rsid w:val="00A349AF"/>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57B29"/>
    <w:rsid w:val="00A6179A"/>
    <w:rsid w:val="00A618F4"/>
    <w:rsid w:val="00A62EAA"/>
    <w:rsid w:val="00A64ED5"/>
    <w:rsid w:val="00A657C4"/>
    <w:rsid w:val="00A6616D"/>
    <w:rsid w:val="00A676CF"/>
    <w:rsid w:val="00A70166"/>
    <w:rsid w:val="00A7064A"/>
    <w:rsid w:val="00A720A7"/>
    <w:rsid w:val="00A726A0"/>
    <w:rsid w:val="00A726DD"/>
    <w:rsid w:val="00A73009"/>
    <w:rsid w:val="00A735A6"/>
    <w:rsid w:val="00A745EB"/>
    <w:rsid w:val="00A750D6"/>
    <w:rsid w:val="00A81833"/>
    <w:rsid w:val="00A837A1"/>
    <w:rsid w:val="00A86DE6"/>
    <w:rsid w:val="00A911EB"/>
    <w:rsid w:val="00A92D54"/>
    <w:rsid w:val="00A93033"/>
    <w:rsid w:val="00A93057"/>
    <w:rsid w:val="00A937A4"/>
    <w:rsid w:val="00A945FC"/>
    <w:rsid w:val="00A96699"/>
    <w:rsid w:val="00A967D8"/>
    <w:rsid w:val="00A96A68"/>
    <w:rsid w:val="00A97AC9"/>
    <w:rsid w:val="00AA1E39"/>
    <w:rsid w:val="00AA2550"/>
    <w:rsid w:val="00AA27C9"/>
    <w:rsid w:val="00AA3656"/>
    <w:rsid w:val="00AA6096"/>
    <w:rsid w:val="00AA7397"/>
    <w:rsid w:val="00AB0B0A"/>
    <w:rsid w:val="00AB1176"/>
    <w:rsid w:val="00AB6A6F"/>
    <w:rsid w:val="00AB6F2A"/>
    <w:rsid w:val="00AC026B"/>
    <w:rsid w:val="00AC15AF"/>
    <w:rsid w:val="00AC209F"/>
    <w:rsid w:val="00AC2177"/>
    <w:rsid w:val="00AC4882"/>
    <w:rsid w:val="00AC5619"/>
    <w:rsid w:val="00AC5C11"/>
    <w:rsid w:val="00AD0A68"/>
    <w:rsid w:val="00AD526F"/>
    <w:rsid w:val="00AD654F"/>
    <w:rsid w:val="00AD7B24"/>
    <w:rsid w:val="00AE23C0"/>
    <w:rsid w:val="00AE3FAE"/>
    <w:rsid w:val="00AE4A5A"/>
    <w:rsid w:val="00AE67DA"/>
    <w:rsid w:val="00AF0CAE"/>
    <w:rsid w:val="00AF22B0"/>
    <w:rsid w:val="00AF703A"/>
    <w:rsid w:val="00AF7671"/>
    <w:rsid w:val="00AF7EB0"/>
    <w:rsid w:val="00B0067F"/>
    <w:rsid w:val="00B020F5"/>
    <w:rsid w:val="00B02C22"/>
    <w:rsid w:val="00B044A8"/>
    <w:rsid w:val="00B047EF"/>
    <w:rsid w:val="00B11ABC"/>
    <w:rsid w:val="00B12555"/>
    <w:rsid w:val="00B147F2"/>
    <w:rsid w:val="00B160EA"/>
    <w:rsid w:val="00B162D3"/>
    <w:rsid w:val="00B165F0"/>
    <w:rsid w:val="00B21225"/>
    <w:rsid w:val="00B21F0F"/>
    <w:rsid w:val="00B220AC"/>
    <w:rsid w:val="00B23BB9"/>
    <w:rsid w:val="00B255CB"/>
    <w:rsid w:val="00B26CB6"/>
    <w:rsid w:val="00B27F24"/>
    <w:rsid w:val="00B31106"/>
    <w:rsid w:val="00B32175"/>
    <w:rsid w:val="00B3217A"/>
    <w:rsid w:val="00B324C9"/>
    <w:rsid w:val="00B34753"/>
    <w:rsid w:val="00B35C29"/>
    <w:rsid w:val="00B3625F"/>
    <w:rsid w:val="00B424FF"/>
    <w:rsid w:val="00B4266A"/>
    <w:rsid w:val="00B4459D"/>
    <w:rsid w:val="00B4656B"/>
    <w:rsid w:val="00B47265"/>
    <w:rsid w:val="00B502EC"/>
    <w:rsid w:val="00B5030C"/>
    <w:rsid w:val="00B5486D"/>
    <w:rsid w:val="00B5491B"/>
    <w:rsid w:val="00B54BB1"/>
    <w:rsid w:val="00B54D92"/>
    <w:rsid w:val="00B5671D"/>
    <w:rsid w:val="00B615B6"/>
    <w:rsid w:val="00B64877"/>
    <w:rsid w:val="00B70DB1"/>
    <w:rsid w:val="00B71004"/>
    <w:rsid w:val="00B713DA"/>
    <w:rsid w:val="00B725A5"/>
    <w:rsid w:val="00B744FC"/>
    <w:rsid w:val="00B75759"/>
    <w:rsid w:val="00B75C76"/>
    <w:rsid w:val="00B77509"/>
    <w:rsid w:val="00B77D3D"/>
    <w:rsid w:val="00B80B4B"/>
    <w:rsid w:val="00B80D78"/>
    <w:rsid w:val="00B81BE8"/>
    <w:rsid w:val="00B8464E"/>
    <w:rsid w:val="00B85690"/>
    <w:rsid w:val="00B90E6D"/>
    <w:rsid w:val="00B94F09"/>
    <w:rsid w:val="00B965F7"/>
    <w:rsid w:val="00B9739A"/>
    <w:rsid w:val="00BA1E5F"/>
    <w:rsid w:val="00BA29D8"/>
    <w:rsid w:val="00BA2B74"/>
    <w:rsid w:val="00BA47F5"/>
    <w:rsid w:val="00BA6113"/>
    <w:rsid w:val="00BA66D8"/>
    <w:rsid w:val="00BA67E4"/>
    <w:rsid w:val="00BA75C3"/>
    <w:rsid w:val="00BB0163"/>
    <w:rsid w:val="00BB2042"/>
    <w:rsid w:val="00BB27B6"/>
    <w:rsid w:val="00BB4432"/>
    <w:rsid w:val="00BB56BD"/>
    <w:rsid w:val="00BB6C98"/>
    <w:rsid w:val="00BC15D5"/>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097E"/>
    <w:rsid w:val="00BE1BCA"/>
    <w:rsid w:val="00BE231B"/>
    <w:rsid w:val="00BE3117"/>
    <w:rsid w:val="00BE63F2"/>
    <w:rsid w:val="00BE7EE7"/>
    <w:rsid w:val="00BF07E3"/>
    <w:rsid w:val="00BF27F4"/>
    <w:rsid w:val="00BF3CE1"/>
    <w:rsid w:val="00BF577D"/>
    <w:rsid w:val="00BF7606"/>
    <w:rsid w:val="00C0549C"/>
    <w:rsid w:val="00C06DEE"/>
    <w:rsid w:val="00C07800"/>
    <w:rsid w:val="00C10FDA"/>
    <w:rsid w:val="00C110F4"/>
    <w:rsid w:val="00C11121"/>
    <w:rsid w:val="00C11F0C"/>
    <w:rsid w:val="00C12405"/>
    <w:rsid w:val="00C12810"/>
    <w:rsid w:val="00C13462"/>
    <w:rsid w:val="00C14176"/>
    <w:rsid w:val="00C14247"/>
    <w:rsid w:val="00C14B21"/>
    <w:rsid w:val="00C14CBE"/>
    <w:rsid w:val="00C1636A"/>
    <w:rsid w:val="00C16AAA"/>
    <w:rsid w:val="00C20AAB"/>
    <w:rsid w:val="00C2229B"/>
    <w:rsid w:val="00C23DA0"/>
    <w:rsid w:val="00C24C76"/>
    <w:rsid w:val="00C30F56"/>
    <w:rsid w:val="00C31EC0"/>
    <w:rsid w:val="00C32E54"/>
    <w:rsid w:val="00C33501"/>
    <w:rsid w:val="00C34FD5"/>
    <w:rsid w:val="00C35B49"/>
    <w:rsid w:val="00C36F8F"/>
    <w:rsid w:val="00C4065B"/>
    <w:rsid w:val="00C40997"/>
    <w:rsid w:val="00C413F9"/>
    <w:rsid w:val="00C4325E"/>
    <w:rsid w:val="00C45A05"/>
    <w:rsid w:val="00C4648B"/>
    <w:rsid w:val="00C47760"/>
    <w:rsid w:val="00C532DD"/>
    <w:rsid w:val="00C555F1"/>
    <w:rsid w:val="00C55ACD"/>
    <w:rsid w:val="00C55E9B"/>
    <w:rsid w:val="00C55FDC"/>
    <w:rsid w:val="00C618C3"/>
    <w:rsid w:val="00C61C40"/>
    <w:rsid w:val="00C61C9F"/>
    <w:rsid w:val="00C62D88"/>
    <w:rsid w:val="00C673C0"/>
    <w:rsid w:val="00C678C5"/>
    <w:rsid w:val="00C70898"/>
    <w:rsid w:val="00C72A26"/>
    <w:rsid w:val="00C72F83"/>
    <w:rsid w:val="00C73276"/>
    <w:rsid w:val="00C73F2A"/>
    <w:rsid w:val="00C74D40"/>
    <w:rsid w:val="00C74FC8"/>
    <w:rsid w:val="00C775BC"/>
    <w:rsid w:val="00C77A62"/>
    <w:rsid w:val="00C80305"/>
    <w:rsid w:val="00C82E6F"/>
    <w:rsid w:val="00C86695"/>
    <w:rsid w:val="00C86922"/>
    <w:rsid w:val="00C87D0F"/>
    <w:rsid w:val="00C90771"/>
    <w:rsid w:val="00C918F4"/>
    <w:rsid w:val="00C9200D"/>
    <w:rsid w:val="00C92669"/>
    <w:rsid w:val="00C93F99"/>
    <w:rsid w:val="00C9536B"/>
    <w:rsid w:val="00C972B0"/>
    <w:rsid w:val="00CA09C7"/>
    <w:rsid w:val="00CA143A"/>
    <w:rsid w:val="00CA21CF"/>
    <w:rsid w:val="00CA2368"/>
    <w:rsid w:val="00CA3D80"/>
    <w:rsid w:val="00CA4A46"/>
    <w:rsid w:val="00CA4D2C"/>
    <w:rsid w:val="00CA4D97"/>
    <w:rsid w:val="00CA508E"/>
    <w:rsid w:val="00CA7491"/>
    <w:rsid w:val="00CB0B6D"/>
    <w:rsid w:val="00CB700C"/>
    <w:rsid w:val="00CB750E"/>
    <w:rsid w:val="00CB75DE"/>
    <w:rsid w:val="00CB7684"/>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2A80"/>
    <w:rsid w:val="00CF4DC7"/>
    <w:rsid w:val="00CF54FE"/>
    <w:rsid w:val="00CF61EA"/>
    <w:rsid w:val="00CF6640"/>
    <w:rsid w:val="00D03193"/>
    <w:rsid w:val="00D05130"/>
    <w:rsid w:val="00D0571A"/>
    <w:rsid w:val="00D05ECC"/>
    <w:rsid w:val="00D06857"/>
    <w:rsid w:val="00D06C5E"/>
    <w:rsid w:val="00D10B03"/>
    <w:rsid w:val="00D12FF0"/>
    <w:rsid w:val="00D177C8"/>
    <w:rsid w:val="00D2196A"/>
    <w:rsid w:val="00D22995"/>
    <w:rsid w:val="00D23190"/>
    <w:rsid w:val="00D24017"/>
    <w:rsid w:val="00D26BBC"/>
    <w:rsid w:val="00D369AB"/>
    <w:rsid w:val="00D371A8"/>
    <w:rsid w:val="00D41662"/>
    <w:rsid w:val="00D42124"/>
    <w:rsid w:val="00D4216A"/>
    <w:rsid w:val="00D42F7F"/>
    <w:rsid w:val="00D44A72"/>
    <w:rsid w:val="00D5052D"/>
    <w:rsid w:val="00D5181D"/>
    <w:rsid w:val="00D52999"/>
    <w:rsid w:val="00D54BF5"/>
    <w:rsid w:val="00D54F3B"/>
    <w:rsid w:val="00D55DBD"/>
    <w:rsid w:val="00D56667"/>
    <w:rsid w:val="00D56CBC"/>
    <w:rsid w:val="00D57356"/>
    <w:rsid w:val="00D60886"/>
    <w:rsid w:val="00D61801"/>
    <w:rsid w:val="00D64698"/>
    <w:rsid w:val="00D6518D"/>
    <w:rsid w:val="00D67665"/>
    <w:rsid w:val="00D70B9F"/>
    <w:rsid w:val="00D7172C"/>
    <w:rsid w:val="00D72FC2"/>
    <w:rsid w:val="00D74171"/>
    <w:rsid w:val="00D74CCD"/>
    <w:rsid w:val="00D76037"/>
    <w:rsid w:val="00D76D53"/>
    <w:rsid w:val="00D80062"/>
    <w:rsid w:val="00D80A83"/>
    <w:rsid w:val="00D81D7C"/>
    <w:rsid w:val="00D82466"/>
    <w:rsid w:val="00D87EA3"/>
    <w:rsid w:val="00D90273"/>
    <w:rsid w:val="00D90D0A"/>
    <w:rsid w:val="00D91225"/>
    <w:rsid w:val="00D91A79"/>
    <w:rsid w:val="00D93F9A"/>
    <w:rsid w:val="00D955D1"/>
    <w:rsid w:val="00D95AFA"/>
    <w:rsid w:val="00D95FF1"/>
    <w:rsid w:val="00DA0EF5"/>
    <w:rsid w:val="00DA14A1"/>
    <w:rsid w:val="00DA1C69"/>
    <w:rsid w:val="00DA5A8C"/>
    <w:rsid w:val="00DA5CE6"/>
    <w:rsid w:val="00DA5EAE"/>
    <w:rsid w:val="00DA7CB2"/>
    <w:rsid w:val="00DB0EEE"/>
    <w:rsid w:val="00DB132D"/>
    <w:rsid w:val="00DB1F30"/>
    <w:rsid w:val="00DB362A"/>
    <w:rsid w:val="00DB3DDB"/>
    <w:rsid w:val="00DB4487"/>
    <w:rsid w:val="00DB5036"/>
    <w:rsid w:val="00DB61D3"/>
    <w:rsid w:val="00DC1956"/>
    <w:rsid w:val="00DC247F"/>
    <w:rsid w:val="00DC420B"/>
    <w:rsid w:val="00DC5E3E"/>
    <w:rsid w:val="00DD17FF"/>
    <w:rsid w:val="00DD2789"/>
    <w:rsid w:val="00DD4018"/>
    <w:rsid w:val="00DD4143"/>
    <w:rsid w:val="00DD4582"/>
    <w:rsid w:val="00DD7D28"/>
    <w:rsid w:val="00DE2005"/>
    <w:rsid w:val="00DE2083"/>
    <w:rsid w:val="00DE2D8F"/>
    <w:rsid w:val="00DE3093"/>
    <w:rsid w:val="00DE4C9C"/>
    <w:rsid w:val="00DE6584"/>
    <w:rsid w:val="00DF0973"/>
    <w:rsid w:val="00DF1819"/>
    <w:rsid w:val="00DF1FDD"/>
    <w:rsid w:val="00DF2791"/>
    <w:rsid w:val="00DF2BC9"/>
    <w:rsid w:val="00DF4528"/>
    <w:rsid w:val="00DF5650"/>
    <w:rsid w:val="00DF5B86"/>
    <w:rsid w:val="00E036DB"/>
    <w:rsid w:val="00E038E6"/>
    <w:rsid w:val="00E0504C"/>
    <w:rsid w:val="00E0631D"/>
    <w:rsid w:val="00E06CF6"/>
    <w:rsid w:val="00E075E9"/>
    <w:rsid w:val="00E115D5"/>
    <w:rsid w:val="00E11A18"/>
    <w:rsid w:val="00E12EC1"/>
    <w:rsid w:val="00E144F1"/>
    <w:rsid w:val="00E15A3C"/>
    <w:rsid w:val="00E160CC"/>
    <w:rsid w:val="00E16BBE"/>
    <w:rsid w:val="00E20F9B"/>
    <w:rsid w:val="00E24304"/>
    <w:rsid w:val="00E246B3"/>
    <w:rsid w:val="00E27721"/>
    <w:rsid w:val="00E300F2"/>
    <w:rsid w:val="00E30639"/>
    <w:rsid w:val="00E30867"/>
    <w:rsid w:val="00E31ABA"/>
    <w:rsid w:val="00E34D03"/>
    <w:rsid w:val="00E36C29"/>
    <w:rsid w:val="00E37050"/>
    <w:rsid w:val="00E407ED"/>
    <w:rsid w:val="00E42025"/>
    <w:rsid w:val="00E421F2"/>
    <w:rsid w:val="00E4676F"/>
    <w:rsid w:val="00E50629"/>
    <w:rsid w:val="00E51553"/>
    <w:rsid w:val="00E528A7"/>
    <w:rsid w:val="00E53086"/>
    <w:rsid w:val="00E57D07"/>
    <w:rsid w:val="00E611E5"/>
    <w:rsid w:val="00E611EE"/>
    <w:rsid w:val="00E61A46"/>
    <w:rsid w:val="00E64962"/>
    <w:rsid w:val="00E66545"/>
    <w:rsid w:val="00E716AF"/>
    <w:rsid w:val="00E72009"/>
    <w:rsid w:val="00E74603"/>
    <w:rsid w:val="00E74ED5"/>
    <w:rsid w:val="00E7757A"/>
    <w:rsid w:val="00E80050"/>
    <w:rsid w:val="00E829F1"/>
    <w:rsid w:val="00E8422D"/>
    <w:rsid w:val="00E85102"/>
    <w:rsid w:val="00E87E8F"/>
    <w:rsid w:val="00E93902"/>
    <w:rsid w:val="00E93AF4"/>
    <w:rsid w:val="00E96AEC"/>
    <w:rsid w:val="00E97077"/>
    <w:rsid w:val="00E975F0"/>
    <w:rsid w:val="00E97610"/>
    <w:rsid w:val="00EA091D"/>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279"/>
    <w:rsid w:val="00ED1EE8"/>
    <w:rsid w:val="00ED1F78"/>
    <w:rsid w:val="00ED3A2E"/>
    <w:rsid w:val="00ED3C87"/>
    <w:rsid w:val="00ED43A4"/>
    <w:rsid w:val="00ED499F"/>
    <w:rsid w:val="00ED7947"/>
    <w:rsid w:val="00EE3C0C"/>
    <w:rsid w:val="00EE4EDB"/>
    <w:rsid w:val="00EE5DE1"/>
    <w:rsid w:val="00EE7C9B"/>
    <w:rsid w:val="00EF0327"/>
    <w:rsid w:val="00EF1835"/>
    <w:rsid w:val="00EF54C5"/>
    <w:rsid w:val="00EF71CA"/>
    <w:rsid w:val="00EF754A"/>
    <w:rsid w:val="00EF767D"/>
    <w:rsid w:val="00EF77CD"/>
    <w:rsid w:val="00F003CE"/>
    <w:rsid w:val="00F01F9C"/>
    <w:rsid w:val="00F02259"/>
    <w:rsid w:val="00F04B5F"/>
    <w:rsid w:val="00F04ECE"/>
    <w:rsid w:val="00F05BA2"/>
    <w:rsid w:val="00F06D6D"/>
    <w:rsid w:val="00F07A11"/>
    <w:rsid w:val="00F1037B"/>
    <w:rsid w:val="00F10C2D"/>
    <w:rsid w:val="00F11346"/>
    <w:rsid w:val="00F12402"/>
    <w:rsid w:val="00F12B32"/>
    <w:rsid w:val="00F14616"/>
    <w:rsid w:val="00F1592A"/>
    <w:rsid w:val="00F17686"/>
    <w:rsid w:val="00F178DE"/>
    <w:rsid w:val="00F20635"/>
    <w:rsid w:val="00F24F01"/>
    <w:rsid w:val="00F253FC"/>
    <w:rsid w:val="00F256EB"/>
    <w:rsid w:val="00F27F98"/>
    <w:rsid w:val="00F31147"/>
    <w:rsid w:val="00F31C0E"/>
    <w:rsid w:val="00F33CC2"/>
    <w:rsid w:val="00F33E88"/>
    <w:rsid w:val="00F34721"/>
    <w:rsid w:val="00F351BA"/>
    <w:rsid w:val="00F37453"/>
    <w:rsid w:val="00F42E49"/>
    <w:rsid w:val="00F44EE0"/>
    <w:rsid w:val="00F45EB4"/>
    <w:rsid w:val="00F47209"/>
    <w:rsid w:val="00F50843"/>
    <w:rsid w:val="00F5106B"/>
    <w:rsid w:val="00F52B59"/>
    <w:rsid w:val="00F54A8E"/>
    <w:rsid w:val="00F6314A"/>
    <w:rsid w:val="00F631B6"/>
    <w:rsid w:val="00F63D17"/>
    <w:rsid w:val="00F670BF"/>
    <w:rsid w:val="00F675D4"/>
    <w:rsid w:val="00F725FA"/>
    <w:rsid w:val="00F73D04"/>
    <w:rsid w:val="00F74451"/>
    <w:rsid w:val="00F74F5C"/>
    <w:rsid w:val="00F76035"/>
    <w:rsid w:val="00F806DA"/>
    <w:rsid w:val="00F833C7"/>
    <w:rsid w:val="00F8464C"/>
    <w:rsid w:val="00F87203"/>
    <w:rsid w:val="00F87BCC"/>
    <w:rsid w:val="00F9028C"/>
    <w:rsid w:val="00F90EFE"/>
    <w:rsid w:val="00F91619"/>
    <w:rsid w:val="00F92184"/>
    <w:rsid w:val="00F93119"/>
    <w:rsid w:val="00FA3E7B"/>
    <w:rsid w:val="00FA3F49"/>
    <w:rsid w:val="00FA3FDB"/>
    <w:rsid w:val="00FA4083"/>
    <w:rsid w:val="00FA4D1F"/>
    <w:rsid w:val="00FA4F49"/>
    <w:rsid w:val="00FA5CF5"/>
    <w:rsid w:val="00FB06F3"/>
    <w:rsid w:val="00FB2E52"/>
    <w:rsid w:val="00FB3417"/>
    <w:rsid w:val="00FB5B2A"/>
    <w:rsid w:val="00FB7038"/>
    <w:rsid w:val="00FB7C09"/>
    <w:rsid w:val="00FC0E5D"/>
    <w:rsid w:val="00FC26C7"/>
    <w:rsid w:val="00FC2F72"/>
    <w:rsid w:val="00FC34D8"/>
    <w:rsid w:val="00FC5333"/>
    <w:rsid w:val="00FC596B"/>
    <w:rsid w:val="00FC6623"/>
    <w:rsid w:val="00FC7C16"/>
    <w:rsid w:val="00FC7C7D"/>
    <w:rsid w:val="00FD0AE1"/>
    <w:rsid w:val="00FD42A8"/>
    <w:rsid w:val="00FD7BBD"/>
    <w:rsid w:val="00FE0CD5"/>
    <w:rsid w:val="00FE1454"/>
    <w:rsid w:val="00FE17C0"/>
    <w:rsid w:val="00FE2D15"/>
    <w:rsid w:val="00FE4076"/>
    <w:rsid w:val="00FE4635"/>
    <w:rsid w:val="00FE7406"/>
    <w:rsid w:val="00FE76F6"/>
    <w:rsid w:val="00FE7815"/>
    <w:rsid w:val="00FE7B66"/>
    <w:rsid w:val="00FE7E1A"/>
    <w:rsid w:val="00FF1B44"/>
    <w:rsid w:val="00FF2495"/>
    <w:rsid w:val="00FF264C"/>
    <w:rsid w:val="00FF281B"/>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14:docId w14:val="136F0F3B"/>
  <w15:docId w15:val="{40216E3D-5C99-4EA7-B4C3-B8412BF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C9F"/>
    <w:rPr>
      <w:sz w:val="24"/>
      <w:szCs w:val="24"/>
    </w:rPr>
  </w:style>
  <w:style w:type="paragraph" w:styleId="Heading1">
    <w:name w:val="heading 1"/>
    <w:basedOn w:val="Normal"/>
    <w:next w:val="Normal"/>
    <w:link w:val="Heading1Char"/>
    <w:qFormat/>
    <w:rsid w:val="001176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link w:val="FootnoteTextChar"/>
    <w:uiPriority w:val="99"/>
    <w:semiHidden/>
    <w:rsid w:val="001D7BA8"/>
    <w:rPr>
      <w:sz w:val="20"/>
      <w:szCs w:val="20"/>
    </w:rPr>
  </w:style>
  <w:style w:type="character" w:styleId="FootnoteReference">
    <w:name w:val="footnote reference"/>
    <w:uiPriority w:val="99"/>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 w:type="character" w:customStyle="1" w:styleId="FootnoteTextChar">
    <w:name w:val="Footnote Text Char"/>
    <w:basedOn w:val="DefaultParagraphFont"/>
    <w:link w:val="FootnoteText"/>
    <w:uiPriority w:val="99"/>
    <w:semiHidden/>
    <w:rsid w:val="00B5671D"/>
  </w:style>
  <w:style w:type="character" w:customStyle="1" w:styleId="Heading1Char">
    <w:name w:val="Heading 1 Char"/>
    <w:basedOn w:val="DefaultParagraphFont"/>
    <w:link w:val="Heading1"/>
    <w:rsid w:val="00117662"/>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1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0724">
      <w:bodyDiv w:val="1"/>
      <w:marLeft w:val="0"/>
      <w:marRight w:val="0"/>
      <w:marTop w:val="0"/>
      <w:marBottom w:val="0"/>
      <w:divBdr>
        <w:top w:val="none" w:sz="0" w:space="0" w:color="auto"/>
        <w:left w:val="none" w:sz="0" w:space="0" w:color="auto"/>
        <w:bottom w:val="none" w:sz="0" w:space="0" w:color="auto"/>
        <w:right w:val="none" w:sz="0" w:space="0" w:color="auto"/>
      </w:divBdr>
    </w:div>
    <w:div w:id="125009534">
      <w:bodyDiv w:val="1"/>
      <w:marLeft w:val="0"/>
      <w:marRight w:val="0"/>
      <w:marTop w:val="0"/>
      <w:marBottom w:val="0"/>
      <w:divBdr>
        <w:top w:val="none" w:sz="0" w:space="0" w:color="auto"/>
        <w:left w:val="none" w:sz="0" w:space="0" w:color="auto"/>
        <w:bottom w:val="none" w:sz="0" w:space="0" w:color="auto"/>
        <w:right w:val="none" w:sz="0" w:space="0" w:color="auto"/>
      </w:divBdr>
    </w:div>
    <w:div w:id="296223731">
      <w:bodyDiv w:val="1"/>
      <w:marLeft w:val="0"/>
      <w:marRight w:val="0"/>
      <w:marTop w:val="0"/>
      <w:marBottom w:val="0"/>
      <w:divBdr>
        <w:top w:val="none" w:sz="0" w:space="0" w:color="auto"/>
        <w:left w:val="none" w:sz="0" w:space="0" w:color="auto"/>
        <w:bottom w:val="none" w:sz="0" w:space="0" w:color="auto"/>
        <w:right w:val="none" w:sz="0" w:space="0" w:color="auto"/>
      </w:divBdr>
    </w:div>
    <w:div w:id="748380436">
      <w:bodyDiv w:val="1"/>
      <w:marLeft w:val="0"/>
      <w:marRight w:val="0"/>
      <w:marTop w:val="0"/>
      <w:marBottom w:val="0"/>
      <w:divBdr>
        <w:top w:val="none" w:sz="0" w:space="0" w:color="auto"/>
        <w:left w:val="none" w:sz="0" w:space="0" w:color="auto"/>
        <w:bottom w:val="none" w:sz="0" w:space="0" w:color="auto"/>
        <w:right w:val="none" w:sz="0" w:space="0" w:color="auto"/>
      </w:divBdr>
    </w:div>
    <w:div w:id="1163743845">
      <w:bodyDiv w:val="1"/>
      <w:marLeft w:val="0"/>
      <w:marRight w:val="0"/>
      <w:marTop w:val="0"/>
      <w:marBottom w:val="0"/>
      <w:divBdr>
        <w:top w:val="none" w:sz="0" w:space="0" w:color="auto"/>
        <w:left w:val="none" w:sz="0" w:space="0" w:color="auto"/>
        <w:bottom w:val="none" w:sz="0" w:space="0" w:color="auto"/>
        <w:right w:val="none" w:sz="0" w:space="0" w:color="auto"/>
      </w:divBdr>
    </w:div>
    <w:div w:id="1521317988">
      <w:bodyDiv w:val="1"/>
      <w:marLeft w:val="0"/>
      <w:marRight w:val="0"/>
      <w:marTop w:val="0"/>
      <w:marBottom w:val="0"/>
      <w:divBdr>
        <w:top w:val="none" w:sz="0" w:space="0" w:color="auto"/>
        <w:left w:val="none" w:sz="0" w:space="0" w:color="auto"/>
        <w:bottom w:val="none" w:sz="0" w:space="0" w:color="auto"/>
        <w:right w:val="none" w:sz="0" w:space="0" w:color="auto"/>
      </w:divBdr>
    </w:div>
    <w:div w:id="20013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5278-covid-19-infekcijas-izplatibas-parvaldibas-likums" TargetMode="External"/><Relationship Id="rId2" Type="http://schemas.openxmlformats.org/officeDocument/2006/relationships/hyperlink" Target="https://mk.gov.lv/lv/aktualitates/kriteriji-ierobezojumu-pakapeniskai-atcelsanai-informativs-zinojums" TargetMode="External"/><Relationship Id="rId1" Type="http://schemas.openxmlformats.org/officeDocument/2006/relationships/hyperlink" Target="https://www.mk.gov.lv/sites/default/files/editor/Deklasificetie_dokumenti/dekl_kvpsinf_300320_lv_covid-19_fi.pdf" TargetMode="External"/><Relationship Id="rId5" Type="http://schemas.openxmlformats.org/officeDocument/2006/relationships/hyperlink" Target="https://likumi.lv/ta/id/318517" TargetMode="External"/><Relationship Id="rId4" Type="http://schemas.openxmlformats.org/officeDocument/2006/relationships/hyperlink" Target="https://likumi.lv/ta/id/3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2.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C18D6-6EFC-4D2D-8414-BD7CE66533FE}">
  <ds:schemaRefs>
    <ds:schemaRef ds:uri="http://schemas.openxmlformats.org/officeDocument/2006/bibliography"/>
  </ds:schemaRefs>
</ds:datastoreItem>
</file>

<file path=customXml/itemProps4.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10111</Words>
  <Characters>5764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Diana.Kristapsone@sam.gov.lv</dc:creator>
  <cp:keywords>Ministru kabineta rīkojuma projekts</cp:keywords>
  <dc:description>Diana.Kristapsone@sam.gov.lv
T.67028043</dc:description>
  <cp:lastModifiedBy>Baiba Jirgena</cp:lastModifiedBy>
  <cp:revision>18</cp:revision>
  <cp:lastPrinted>2020-06-10T10:36:00Z</cp:lastPrinted>
  <dcterms:created xsi:type="dcterms:W3CDTF">2021-04-29T06:03:00Z</dcterms:created>
  <dcterms:modified xsi:type="dcterms:W3CDTF">2021-05-07T14:19:00Z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