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C67FA" w:rsidR="006C67FA" w:rsidP="006C67FA" w:rsidRDefault="006C67FA" w14:paraId="5799B86E" w14:textId="77777777">
      <w:pPr>
        <w:pStyle w:val="naisnod"/>
        <w:spacing w:before="0" w:after="0"/>
        <w:ind w:firstLine="720"/>
      </w:pPr>
      <w:r w:rsidRPr="006C67FA">
        <w:t>Izziņa par atzinumos sniegtajiem iebildumiem</w:t>
      </w:r>
    </w:p>
    <w:p w:rsidRPr="006C67FA" w:rsidR="006C67FA" w:rsidP="006C67FA" w:rsidRDefault="006C67FA" w14:paraId="3F453BE3" w14:textId="3A59DB7A">
      <w:pPr>
        <w:jc w:val="center"/>
        <w:rPr>
          <w:b/>
        </w:rPr>
      </w:pPr>
      <w:r w:rsidRPr="006C67FA">
        <w:rPr>
          <w:b/>
        </w:rPr>
        <w:t>par Ministru kabineta rīkojuma projektu „Par valstij pie</w:t>
      </w:r>
      <w:r w:rsidR="006E0E41">
        <w:rPr>
          <w:b/>
        </w:rPr>
        <w:t>derošā</w:t>
      </w:r>
      <w:r w:rsidRPr="006C67FA">
        <w:rPr>
          <w:b/>
        </w:rPr>
        <w:t xml:space="preserve"> nekustamā īpašuma</w:t>
      </w:r>
      <w:r w:rsidR="00701A86">
        <w:rPr>
          <w:b/>
        </w:rPr>
        <w:t xml:space="preserve"> “</w:t>
      </w:r>
      <w:r w:rsidR="006E0E41">
        <w:rPr>
          <w:b/>
        </w:rPr>
        <w:t>V1187</w:t>
      </w:r>
      <w:r w:rsidR="00701A86">
        <w:rPr>
          <w:b/>
        </w:rPr>
        <w:t>”</w:t>
      </w:r>
      <w:r w:rsidR="006E0E41">
        <w:rPr>
          <w:b/>
        </w:rPr>
        <w:t xml:space="preserve"> Pāvilostā,</w:t>
      </w:r>
      <w:r w:rsidR="00701A86">
        <w:rPr>
          <w:b/>
        </w:rPr>
        <w:t xml:space="preserve"> </w:t>
      </w:r>
      <w:r w:rsidR="006E0E41">
        <w:rPr>
          <w:b/>
        </w:rPr>
        <w:t>Pāvilostas</w:t>
      </w:r>
      <w:r w:rsidR="00701A86">
        <w:rPr>
          <w:b/>
        </w:rPr>
        <w:t xml:space="preserve"> novadā, nodošanu </w:t>
      </w:r>
      <w:r w:rsidR="006E0E41">
        <w:rPr>
          <w:b/>
        </w:rPr>
        <w:t>Pāvilostas</w:t>
      </w:r>
      <w:r w:rsidR="00701A86">
        <w:rPr>
          <w:b/>
        </w:rPr>
        <w:t xml:space="preserve"> novada pašvaldības īpašumā</w:t>
      </w:r>
      <w:r w:rsidRPr="006C67FA">
        <w:rPr>
          <w:b/>
        </w:rPr>
        <w:t>”</w:t>
      </w:r>
    </w:p>
    <w:p w:rsidRPr="006C67FA" w:rsidR="006C67FA" w:rsidP="006C67FA" w:rsidRDefault="006C67FA" w14:paraId="5E174AD4" w14:textId="77777777">
      <w:pPr>
        <w:pStyle w:val="naisf"/>
        <w:spacing w:before="0" w:after="0"/>
        <w:ind w:firstLine="720"/>
      </w:pPr>
    </w:p>
    <w:p w:rsidRPr="006C67FA" w:rsidR="006C67FA" w:rsidP="006C67FA" w:rsidRDefault="006C67FA" w14:paraId="3E9E9F47" w14:textId="77777777">
      <w:pPr>
        <w:pStyle w:val="naisf"/>
        <w:spacing w:before="0" w:after="0"/>
        <w:ind w:firstLine="0"/>
        <w:jc w:val="center"/>
        <w:rPr>
          <w:b/>
        </w:rPr>
      </w:pPr>
      <w:r w:rsidRPr="006C67FA">
        <w:rPr>
          <w:b/>
        </w:rPr>
        <w:t>I. Jautājumi, par kuriem saskaņošanā vienošanās nav panākta</w:t>
      </w:r>
    </w:p>
    <w:p w:rsidRPr="006C67FA" w:rsidR="006C67FA" w:rsidP="006C67FA" w:rsidRDefault="006C67FA" w14:paraId="66512EB9" w14:textId="77777777">
      <w:pPr>
        <w:pStyle w:val="naisf"/>
        <w:spacing w:before="0" w:after="0"/>
        <w:ind w:firstLine="720"/>
      </w:pPr>
    </w:p>
    <w:tbl>
      <w:tblPr>
        <w:tblW w:w="14205"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28"/>
        <w:gridCol w:w="2580"/>
        <w:gridCol w:w="2699"/>
        <w:gridCol w:w="2699"/>
        <w:gridCol w:w="2699"/>
        <w:gridCol w:w="2700"/>
      </w:tblGrid>
      <w:tr w:rsidRPr="006C67FA" w:rsidR="006C67FA" w:rsidTr="00E250F0" w14:paraId="00EA0814" w14:textId="77777777">
        <w:tc>
          <w:tcPr>
            <w:tcW w:w="828" w:type="dxa"/>
            <w:tcBorders>
              <w:top w:val="single" w:color="000000" w:sz="6" w:space="0"/>
              <w:left w:val="single" w:color="000000" w:sz="6" w:space="0"/>
              <w:bottom w:val="single" w:color="000000" w:sz="6" w:space="0"/>
              <w:right w:val="single" w:color="000000" w:sz="6" w:space="0"/>
            </w:tcBorders>
            <w:vAlign w:val="center"/>
            <w:hideMark/>
          </w:tcPr>
          <w:p w:rsidRPr="006C67FA" w:rsidR="006C67FA" w:rsidP="00E250F0" w:rsidRDefault="006C67FA" w14:paraId="537A576E" w14:textId="77777777">
            <w:pPr>
              <w:pStyle w:val="naisc"/>
              <w:spacing w:before="0" w:after="0"/>
              <w:rPr>
                <w:b/>
                <w:lang w:eastAsia="en-US"/>
              </w:rPr>
            </w:pPr>
            <w:r w:rsidRPr="006C67FA">
              <w:rPr>
                <w:b/>
                <w:lang w:eastAsia="en-US"/>
              </w:rPr>
              <w:t>Nr. p.k.</w:t>
            </w:r>
          </w:p>
        </w:tc>
        <w:tc>
          <w:tcPr>
            <w:tcW w:w="2580" w:type="dxa"/>
            <w:tcBorders>
              <w:top w:val="single" w:color="000000" w:sz="6" w:space="0"/>
              <w:left w:val="single" w:color="000000" w:sz="6" w:space="0"/>
              <w:bottom w:val="single" w:color="000000" w:sz="6" w:space="0"/>
              <w:right w:val="single" w:color="000000" w:sz="6" w:space="0"/>
            </w:tcBorders>
            <w:vAlign w:val="center"/>
            <w:hideMark/>
          </w:tcPr>
          <w:p w:rsidRPr="006C67FA" w:rsidR="006C67FA" w:rsidP="00E250F0" w:rsidRDefault="006C67FA" w14:paraId="17790A34" w14:textId="77777777">
            <w:pPr>
              <w:pStyle w:val="naisc"/>
              <w:spacing w:before="0" w:after="0"/>
              <w:rPr>
                <w:b/>
                <w:lang w:eastAsia="en-US"/>
              </w:rPr>
            </w:pPr>
            <w:r w:rsidRPr="006C67FA">
              <w:rPr>
                <w:b/>
                <w:lang w:eastAsia="en-US"/>
              </w:rPr>
              <w:t>Saskaņošanai nosūtītā projekta redakcija (konkrēta punkta (panta) redakcija)</w:t>
            </w:r>
          </w:p>
        </w:tc>
        <w:tc>
          <w:tcPr>
            <w:tcW w:w="2699" w:type="dxa"/>
            <w:tcBorders>
              <w:top w:val="single" w:color="000000" w:sz="6" w:space="0"/>
              <w:left w:val="single" w:color="000000" w:sz="6" w:space="0"/>
              <w:bottom w:val="single" w:color="000000" w:sz="6" w:space="0"/>
              <w:right w:val="single" w:color="000000" w:sz="6" w:space="0"/>
            </w:tcBorders>
            <w:vAlign w:val="center"/>
            <w:hideMark/>
          </w:tcPr>
          <w:p w:rsidRPr="006C67FA" w:rsidR="006C67FA" w:rsidP="00E250F0" w:rsidRDefault="006C67FA" w14:paraId="19892E4E" w14:textId="77777777">
            <w:pPr>
              <w:pStyle w:val="naisc"/>
              <w:spacing w:before="0" w:after="0"/>
              <w:ind w:right="3"/>
              <w:rPr>
                <w:b/>
                <w:lang w:eastAsia="en-US"/>
              </w:rPr>
            </w:pPr>
            <w:r w:rsidRPr="006C67FA">
              <w:rPr>
                <w:b/>
                <w:lang w:eastAsia="en-US"/>
              </w:rPr>
              <w:t>Atzinumā norādītais ministrijas (citas institūcijas) iebildums, kā arī saskaņošanā papildus izteiktais iebildums par projekta konkrēto punktu (pantu)</w:t>
            </w:r>
          </w:p>
        </w:tc>
        <w:tc>
          <w:tcPr>
            <w:tcW w:w="2699" w:type="dxa"/>
            <w:tcBorders>
              <w:top w:val="single" w:color="000000" w:sz="6" w:space="0"/>
              <w:left w:val="single" w:color="000000" w:sz="6" w:space="0"/>
              <w:bottom w:val="single" w:color="000000" w:sz="6" w:space="0"/>
              <w:right w:val="single" w:color="000000" w:sz="6" w:space="0"/>
            </w:tcBorders>
            <w:vAlign w:val="center"/>
            <w:hideMark/>
          </w:tcPr>
          <w:p w:rsidRPr="006C67FA" w:rsidR="006C67FA" w:rsidP="00E250F0" w:rsidRDefault="006C67FA" w14:paraId="3EC22FC4" w14:textId="77777777">
            <w:pPr>
              <w:pStyle w:val="naisc"/>
              <w:spacing w:before="0" w:after="0"/>
              <w:rPr>
                <w:b/>
                <w:lang w:eastAsia="en-US"/>
              </w:rPr>
            </w:pPr>
            <w:r w:rsidRPr="006C67FA">
              <w:rPr>
                <w:b/>
                <w:lang w:eastAsia="en-US"/>
              </w:rPr>
              <w:t>Atbildīgās ministrijas pamatojums iebilduma noraidījumam</w:t>
            </w:r>
          </w:p>
        </w:tc>
        <w:tc>
          <w:tcPr>
            <w:tcW w:w="2699" w:type="dxa"/>
            <w:tcBorders>
              <w:top w:val="single" w:color="auto" w:sz="4" w:space="0"/>
              <w:left w:val="single" w:color="auto" w:sz="4" w:space="0"/>
              <w:bottom w:val="single" w:color="auto" w:sz="4" w:space="0"/>
              <w:right w:val="single" w:color="auto" w:sz="4" w:space="0"/>
            </w:tcBorders>
            <w:vAlign w:val="center"/>
            <w:hideMark/>
          </w:tcPr>
          <w:p w:rsidRPr="006C67FA" w:rsidR="006C67FA" w:rsidP="00E250F0" w:rsidRDefault="006C67FA" w14:paraId="3AAF4C58" w14:textId="77777777">
            <w:pPr>
              <w:jc w:val="center"/>
              <w:rPr>
                <w:b/>
                <w:lang w:eastAsia="en-US"/>
              </w:rPr>
            </w:pPr>
            <w:r w:rsidRPr="006C67FA">
              <w:rPr>
                <w:b/>
                <w:lang w:eastAsia="en-US"/>
              </w:rPr>
              <w:t>Atzinuma sniedzēja uzturētais iebildums, ja tas atšķiras no atzinumā norādītā iebilduma pamatojuma</w:t>
            </w:r>
          </w:p>
        </w:tc>
        <w:tc>
          <w:tcPr>
            <w:tcW w:w="2700" w:type="dxa"/>
            <w:tcBorders>
              <w:top w:val="single" w:color="auto" w:sz="4" w:space="0"/>
              <w:left w:val="single" w:color="auto" w:sz="4" w:space="0"/>
              <w:bottom w:val="single" w:color="auto" w:sz="4" w:space="0"/>
              <w:right w:val="single" w:color="auto" w:sz="4" w:space="0"/>
            </w:tcBorders>
            <w:vAlign w:val="center"/>
            <w:hideMark/>
          </w:tcPr>
          <w:p w:rsidRPr="006C67FA" w:rsidR="006C67FA" w:rsidP="00E250F0" w:rsidRDefault="006C67FA" w14:paraId="72109326" w14:textId="77777777">
            <w:pPr>
              <w:jc w:val="center"/>
              <w:rPr>
                <w:b/>
                <w:lang w:eastAsia="en-US"/>
              </w:rPr>
            </w:pPr>
            <w:r w:rsidRPr="006C67FA">
              <w:rPr>
                <w:b/>
                <w:lang w:eastAsia="en-US"/>
              </w:rPr>
              <w:t>Projekta attiecīgā punkta (panta) galīgā redakcija</w:t>
            </w:r>
          </w:p>
        </w:tc>
      </w:tr>
      <w:tr w:rsidRPr="006C67FA" w:rsidR="006C67FA" w:rsidTr="00E250F0" w14:paraId="4CBE0F20" w14:textId="77777777">
        <w:tc>
          <w:tcPr>
            <w:tcW w:w="828" w:type="dxa"/>
            <w:tcBorders>
              <w:top w:val="single" w:color="000000" w:sz="6" w:space="0"/>
              <w:left w:val="single" w:color="000000" w:sz="6" w:space="0"/>
              <w:bottom w:val="single" w:color="000000" w:sz="6" w:space="0"/>
              <w:right w:val="single" w:color="000000" w:sz="6" w:space="0"/>
            </w:tcBorders>
            <w:hideMark/>
          </w:tcPr>
          <w:p w:rsidRPr="006C67FA" w:rsidR="006C67FA" w:rsidP="00E250F0" w:rsidRDefault="006C67FA" w14:paraId="2D4490B4" w14:textId="77777777">
            <w:pPr>
              <w:pStyle w:val="naisc"/>
              <w:spacing w:before="0" w:after="0"/>
              <w:rPr>
                <w:lang w:eastAsia="en-US"/>
              </w:rPr>
            </w:pPr>
            <w:r w:rsidRPr="006C67FA">
              <w:rPr>
                <w:lang w:eastAsia="en-US"/>
              </w:rPr>
              <w:t>1</w:t>
            </w:r>
          </w:p>
        </w:tc>
        <w:tc>
          <w:tcPr>
            <w:tcW w:w="2580" w:type="dxa"/>
            <w:tcBorders>
              <w:top w:val="single" w:color="000000" w:sz="6" w:space="0"/>
              <w:left w:val="single" w:color="000000" w:sz="6" w:space="0"/>
              <w:bottom w:val="single" w:color="000000" w:sz="6" w:space="0"/>
              <w:right w:val="single" w:color="000000" w:sz="6" w:space="0"/>
            </w:tcBorders>
            <w:hideMark/>
          </w:tcPr>
          <w:p w:rsidRPr="006C67FA" w:rsidR="006C67FA" w:rsidP="00E250F0" w:rsidRDefault="006C67FA" w14:paraId="3A700E07" w14:textId="77777777">
            <w:pPr>
              <w:pStyle w:val="naisc"/>
              <w:spacing w:before="0" w:after="0"/>
              <w:rPr>
                <w:lang w:eastAsia="en-US"/>
              </w:rPr>
            </w:pPr>
            <w:r w:rsidRPr="006C67FA">
              <w:rPr>
                <w:lang w:eastAsia="en-US"/>
              </w:rPr>
              <w:t>2</w:t>
            </w:r>
          </w:p>
        </w:tc>
        <w:tc>
          <w:tcPr>
            <w:tcW w:w="2699" w:type="dxa"/>
            <w:tcBorders>
              <w:top w:val="single" w:color="000000" w:sz="6" w:space="0"/>
              <w:left w:val="single" w:color="000000" w:sz="6" w:space="0"/>
              <w:bottom w:val="single" w:color="000000" w:sz="6" w:space="0"/>
              <w:right w:val="single" w:color="000000" w:sz="6" w:space="0"/>
            </w:tcBorders>
            <w:hideMark/>
          </w:tcPr>
          <w:p w:rsidRPr="006C67FA" w:rsidR="006C67FA" w:rsidP="00E250F0" w:rsidRDefault="006C67FA" w14:paraId="77D6F034" w14:textId="77777777">
            <w:pPr>
              <w:pStyle w:val="naisc"/>
              <w:spacing w:before="0" w:after="0"/>
              <w:rPr>
                <w:lang w:eastAsia="en-US"/>
              </w:rPr>
            </w:pPr>
            <w:r w:rsidRPr="006C67FA">
              <w:rPr>
                <w:lang w:eastAsia="en-US"/>
              </w:rPr>
              <w:t>3</w:t>
            </w:r>
          </w:p>
        </w:tc>
        <w:tc>
          <w:tcPr>
            <w:tcW w:w="2699" w:type="dxa"/>
            <w:tcBorders>
              <w:top w:val="single" w:color="000000" w:sz="6" w:space="0"/>
              <w:left w:val="single" w:color="000000" w:sz="6" w:space="0"/>
              <w:bottom w:val="single" w:color="000000" w:sz="6" w:space="0"/>
              <w:right w:val="single" w:color="000000" w:sz="6" w:space="0"/>
            </w:tcBorders>
            <w:hideMark/>
          </w:tcPr>
          <w:p w:rsidRPr="006C67FA" w:rsidR="006C67FA" w:rsidP="00E250F0" w:rsidRDefault="006C67FA" w14:paraId="0BC9F254" w14:textId="77777777">
            <w:pPr>
              <w:pStyle w:val="naisc"/>
              <w:spacing w:before="0" w:after="0"/>
              <w:rPr>
                <w:lang w:eastAsia="en-US"/>
              </w:rPr>
            </w:pPr>
            <w:r w:rsidRPr="006C67FA">
              <w:rPr>
                <w:lang w:eastAsia="en-US"/>
              </w:rPr>
              <w:t>4</w:t>
            </w:r>
          </w:p>
        </w:tc>
        <w:tc>
          <w:tcPr>
            <w:tcW w:w="2699" w:type="dxa"/>
            <w:tcBorders>
              <w:top w:val="single" w:color="auto" w:sz="4" w:space="0"/>
              <w:left w:val="single" w:color="auto" w:sz="4" w:space="0"/>
              <w:bottom w:val="single" w:color="auto" w:sz="4" w:space="0"/>
              <w:right w:val="single" w:color="auto" w:sz="4" w:space="0"/>
            </w:tcBorders>
            <w:hideMark/>
          </w:tcPr>
          <w:p w:rsidRPr="006C67FA" w:rsidR="006C67FA" w:rsidP="00E250F0" w:rsidRDefault="006C67FA" w14:paraId="5D6248AC" w14:textId="77777777">
            <w:pPr>
              <w:jc w:val="center"/>
              <w:rPr>
                <w:lang w:eastAsia="en-US"/>
              </w:rPr>
            </w:pPr>
            <w:r w:rsidRPr="006C67FA">
              <w:rPr>
                <w:lang w:eastAsia="en-US"/>
              </w:rPr>
              <w:t>5</w:t>
            </w:r>
          </w:p>
        </w:tc>
        <w:tc>
          <w:tcPr>
            <w:tcW w:w="2700" w:type="dxa"/>
            <w:tcBorders>
              <w:top w:val="single" w:color="auto" w:sz="4" w:space="0"/>
              <w:left w:val="single" w:color="auto" w:sz="4" w:space="0"/>
              <w:bottom w:val="single" w:color="auto" w:sz="4" w:space="0"/>
              <w:right w:val="single" w:color="auto" w:sz="4" w:space="0"/>
            </w:tcBorders>
            <w:hideMark/>
          </w:tcPr>
          <w:p w:rsidRPr="006C67FA" w:rsidR="006C67FA" w:rsidP="00E250F0" w:rsidRDefault="006C67FA" w14:paraId="1E8AC541" w14:textId="77777777">
            <w:pPr>
              <w:jc w:val="center"/>
              <w:rPr>
                <w:lang w:eastAsia="en-US"/>
              </w:rPr>
            </w:pPr>
            <w:r w:rsidRPr="006C67FA">
              <w:rPr>
                <w:lang w:eastAsia="en-US"/>
              </w:rPr>
              <w:t>6</w:t>
            </w:r>
          </w:p>
        </w:tc>
      </w:tr>
      <w:tr w:rsidRPr="006C67FA" w:rsidR="006C67FA" w:rsidTr="00E250F0" w14:paraId="15738D96" w14:textId="77777777">
        <w:tc>
          <w:tcPr>
            <w:tcW w:w="828" w:type="dxa"/>
            <w:tcBorders>
              <w:top w:val="single" w:color="000000" w:sz="6" w:space="0"/>
              <w:left w:val="single" w:color="000000" w:sz="6" w:space="0"/>
              <w:bottom w:val="single" w:color="auto" w:sz="4" w:space="0"/>
              <w:right w:val="single" w:color="000000" w:sz="6" w:space="0"/>
            </w:tcBorders>
          </w:tcPr>
          <w:p w:rsidRPr="006C67FA" w:rsidR="006C67FA" w:rsidP="00E250F0" w:rsidRDefault="006C67FA" w14:paraId="32572787" w14:textId="77777777">
            <w:pPr>
              <w:pStyle w:val="naisc"/>
              <w:spacing w:before="0" w:after="0"/>
              <w:jc w:val="left"/>
              <w:rPr>
                <w:lang w:eastAsia="en-US"/>
              </w:rPr>
            </w:pPr>
            <w:r w:rsidRPr="006C67FA">
              <w:rPr>
                <w:lang w:eastAsia="en-US"/>
              </w:rPr>
              <w:t>1.</w:t>
            </w:r>
          </w:p>
        </w:tc>
        <w:tc>
          <w:tcPr>
            <w:tcW w:w="2580" w:type="dxa"/>
            <w:tcBorders>
              <w:top w:val="single" w:color="000000" w:sz="6" w:space="0"/>
              <w:left w:val="single" w:color="000000" w:sz="6" w:space="0"/>
              <w:bottom w:val="single" w:color="auto" w:sz="4" w:space="0"/>
              <w:right w:val="single" w:color="000000" w:sz="6" w:space="0"/>
            </w:tcBorders>
          </w:tcPr>
          <w:p w:rsidRPr="006C67FA" w:rsidR="006C67FA" w:rsidP="00E250F0" w:rsidRDefault="006C67FA" w14:paraId="549424E8" w14:textId="77777777">
            <w:pPr>
              <w:pStyle w:val="naisc"/>
              <w:spacing w:before="0" w:after="0"/>
              <w:jc w:val="left"/>
              <w:rPr>
                <w:lang w:eastAsia="en-US"/>
              </w:rPr>
            </w:pPr>
            <w:r w:rsidRPr="006C67FA">
              <w:rPr>
                <w:lang w:eastAsia="en-US"/>
              </w:rPr>
              <w:t>-</w:t>
            </w:r>
          </w:p>
          <w:p w:rsidRPr="006C67FA" w:rsidR="006C67FA" w:rsidP="00E250F0" w:rsidRDefault="006C67FA" w14:paraId="5258C154" w14:textId="77777777">
            <w:pPr>
              <w:pStyle w:val="naisc"/>
              <w:spacing w:before="0" w:after="0"/>
              <w:jc w:val="left"/>
              <w:rPr>
                <w:lang w:eastAsia="en-US"/>
              </w:rPr>
            </w:pPr>
          </w:p>
        </w:tc>
        <w:tc>
          <w:tcPr>
            <w:tcW w:w="2699" w:type="dxa"/>
            <w:tcBorders>
              <w:top w:val="single" w:color="000000" w:sz="6" w:space="0"/>
              <w:left w:val="single" w:color="000000" w:sz="6" w:space="0"/>
              <w:bottom w:val="single" w:color="auto" w:sz="4" w:space="0"/>
              <w:right w:val="single" w:color="000000" w:sz="6" w:space="0"/>
            </w:tcBorders>
          </w:tcPr>
          <w:p w:rsidRPr="006C67FA" w:rsidR="006C67FA" w:rsidP="006C67FA" w:rsidRDefault="006C67FA" w14:paraId="31FDA6AE" w14:textId="77777777">
            <w:pPr>
              <w:pStyle w:val="ListParagraph"/>
              <w:tabs>
                <w:tab w:val="left" w:pos="0"/>
                <w:tab w:val="left" w:pos="993"/>
              </w:tabs>
              <w:ind w:left="0" w:right="13"/>
              <w:rPr>
                <w:lang w:eastAsia="en-US"/>
              </w:rPr>
            </w:pPr>
            <w:r w:rsidRPr="006C67FA">
              <w:rPr>
                <w:lang w:eastAsia="en-US"/>
              </w:rPr>
              <w:t>-</w:t>
            </w:r>
          </w:p>
        </w:tc>
        <w:tc>
          <w:tcPr>
            <w:tcW w:w="2699" w:type="dxa"/>
            <w:tcBorders>
              <w:top w:val="single" w:color="000000" w:sz="6" w:space="0"/>
              <w:left w:val="single" w:color="000000" w:sz="6" w:space="0"/>
              <w:bottom w:val="single" w:color="auto" w:sz="4" w:space="0"/>
              <w:right w:val="single" w:color="000000" w:sz="6" w:space="0"/>
            </w:tcBorders>
          </w:tcPr>
          <w:p w:rsidRPr="006C67FA" w:rsidR="006C67FA" w:rsidP="006C67FA" w:rsidRDefault="006C67FA" w14:paraId="6AF04204" w14:textId="77777777">
            <w:pPr>
              <w:pStyle w:val="naisc"/>
              <w:spacing w:before="0" w:after="0"/>
              <w:jc w:val="left"/>
              <w:rPr>
                <w:color w:val="000000"/>
              </w:rPr>
            </w:pPr>
            <w:r w:rsidRPr="006C67FA">
              <w:rPr>
                <w:color w:val="000000"/>
              </w:rPr>
              <w:t>-</w:t>
            </w:r>
          </w:p>
        </w:tc>
        <w:tc>
          <w:tcPr>
            <w:tcW w:w="2699" w:type="dxa"/>
            <w:tcBorders>
              <w:top w:val="single" w:color="auto" w:sz="4" w:space="0"/>
              <w:left w:val="single" w:color="auto" w:sz="4" w:space="0"/>
              <w:bottom w:val="single" w:color="auto" w:sz="4" w:space="0"/>
              <w:right w:val="single" w:color="auto" w:sz="4" w:space="0"/>
            </w:tcBorders>
          </w:tcPr>
          <w:p w:rsidRPr="006C67FA" w:rsidR="006C67FA" w:rsidP="00E250F0" w:rsidRDefault="006C67FA" w14:paraId="1E21875F" w14:textId="77777777">
            <w:pPr>
              <w:jc w:val="center"/>
              <w:rPr>
                <w:lang w:eastAsia="en-US"/>
              </w:rPr>
            </w:pPr>
            <w:r w:rsidRPr="006C67FA">
              <w:rPr>
                <w:lang w:eastAsia="en-US"/>
              </w:rPr>
              <w:t>-</w:t>
            </w:r>
          </w:p>
        </w:tc>
        <w:tc>
          <w:tcPr>
            <w:tcW w:w="2700" w:type="dxa"/>
            <w:tcBorders>
              <w:top w:val="single" w:color="auto" w:sz="4" w:space="0"/>
              <w:left w:val="single" w:color="auto" w:sz="4" w:space="0"/>
              <w:bottom w:val="single" w:color="auto" w:sz="4" w:space="0"/>
              <w:right w:val="single" w:color="auto" w:sz="4" w:space="0"/>
            </w:tcBorders>
          </w:tcPr>
          <w:p w:rsidRPr="006C67FA" w:rsidR="006C67FA" w:rsidP="006C67FA" w:rsidRDefault="006C67FA" w14:paraId="0752FAFE" w14:textId="77777777">
            <w:pPr>
              <w:jc w:val="both"/>
              <w:rPr>
                <w:lang w:eastAsia="en-US"/>
              </w:rPr>
            </w:pPr>
            <w:r w:rsidRPr="006C67FA">
              <w:rPr>
                <w:lang w:eastAsia="en-US"/>
              </w:rPr>
              <w:t>-</w:t>
            </w:r>
          </w:p>
        </w:tc>
      </w:tr>
    </w:tbl>
    <w:p w:rsidRPr="006C67FA" w:rsidR="006C67FA" w:rsidP="006C67FA" w:rsidRDefault="006C67FA" w14:paraId="0D0B6686" w14:textId="77777777">
      <w:pPr>
        <w:pStyle w:val="naisf"/>
        <w:spacing w:before="0" w:after="0"/>
        <w:ind w:firstLine="0"/>
      </w:pPr>
    </w:p>
    <w:p w:rsidRPr="006C67FA" w:rsidR="006C67FA" w:rsidP="006C67FA" w:rsidRDefault="006C67FA" w14:paraId="0968CA8C" w14:textId="77777777">
      <w:pPr>
        <w:pStyle w:val="naisf"/>
        <w:spacing w:before="0" w:after="0"/>
        <w:ind w:firstLine="0"/>
        <w:rPr>
          <w:b/>
        </w:rPr>
      </w:pPr>
      <w:r w:rsidRPr="006C67FA">
        <w:rPr>
          <w:b/>
        </w:rPr>
        <w:t>Informācija par starpministriju (starpinstitūciju) sanāksmi vai elektronisko saskaņošanu</w:t>
      </w:r>
    </w:p>
    <w:p w:rsidRPr="006C67FA" w:rsidR="006C67FA" w:rsidP="006C67FA" w:rsidRDefault="006C67FA" w14:paraId="142F0240" w14:textId="77777777">
      <w:pPr>
        <w:pStyle w:val="naisf"/>
        <w:spacing w:before="0" w:after="0"/>
        <w:ind w:firstLine="0"/>
        <w:rPr>
          <w:b/>
        </w:rPr>
      </w:pPr>
    </w:p>
    <w:tbl>
      <w:tblPr>
        <w:tblW w:w="14204" w:type="dxa"/>
        <w:tblLook w:val="00A0" w:firstRow="1" w:lastRow="0" w:firstColumn="1" w:lastColumn="0" w:noHBand="0" w:noVBand="0"/>
      </w:tblPr>
      <w:tblGrid>
        <w:gridCol w:w="6345"/>
        <w:gridCol w:w="7859"/>
      </w:tblGrid>
      <w:tr w:rsidRPr="006C67FA" w:rsidR="006C67FA" w:rsidTr="00E250F0" w14:paraId="12B2D72A" w14:textId="77777777">
        <w:tc>
          <w:tcPr>
            <w:tcW w:w="6345" w:type="dxa"/>
            <w:hideMark/>
          </w:tcPr>
          <w:p w:rsidRPr="006C67FA" w:rsidR="006C67FA" w:rsidP="00E250F0" w:rsidRDefault="006C67FA" w14:paraId="6A761D3A" w14:textId="77777777">
            <w:pPr>
              <w:pStyle w:val="naisf"/>
              <w:spacing w:before="0" w:after="0"/>
              <w:ind w:firstLine="0"/>
              <w:rPr>
                <w:lang w:eastAsia="en-US"/>
              </w:rPr>
            </w:pPr>
            <w:r w:rsidRPr="006C67FA">
              <w:rPr>
                <w:lang w:eastAsia="en-US"/>
              </w:rPr>
              <w:t>Datums</w:t>
            </w:r>
          </w:p>
        </w:tc>
        <w:tc>
          <w:tcPr>
            <w:tcW w:w="7859" w:type="dxa"/>
            <w:tcBorders>
              <w:top w:val="nil"/>
              <w:left w:val="nil"/>
              <w:bottom w:val="single" w:color="auto" w:sz="4" w:space="0"/>
              <w:right w:val="nil"/>
            </w:tcBorders>
          </w:tcPr>
          <w:p w:rsidRPr="006C67FA" w:rsidR="006C67FA" w:rsidP="00E250F0" w:rsidRDefault="006C67FA" w14:paraId="504C1AF4" w14:textId="4306EFD8">
            <w:pPr>
              <w:pStyle w:val="NormalWeb"/>
              <w:spacing w:before="0" w:beforeAutospacing="0" w:after="0" w:afterAutospacing="0"/>
              <w:rPr>
                <w:lang w:eastAsia="en-US"/>
              </w:rPr>
            </w:pPr>
            <w:r w:rsidRPr="006C67FA">
              <w:rPr>
                <w:lang w:eastAsia="en-US"/>
              </w:rPr>
              <w:t xml:space="preserve">                            </w:t>
            </w:r>
            <w:r w:rsidR="00C81AF9">
              <w:rPr>
                <w:lang w:eastAsia="en-US"/>
              </w:rPr>
              <w:t>17.05.2021.</w:t>
            </w:r>
            <w:r w:rsidRPr="006C67FA">
              <w:rPr>
                <w:lang w:eastAsia="en-US"/>
              </w:rPr>
              <w:t xml:space="preserve">      (elektroniskā saskaņošana)</w:t>
            </w:r>
          </w:p>
        </w:tc>
      </w:tr>
      <w:tr w:rsidRPr="006C67FA" w:rsidR="006C67FA" w:rsidTr="00E250F0" w14:paraId="032263C3" w14:textId="77777777">
        <w:tc>
          <w:tcPr>
            <w:tcW w:w="6345" w:type="dxa"/>
          </w:tcPr>
          <w:p w:rsidRPr="006C67FA" w:rsidR="006C67FA" w:rsidP="00E250F0" w:rsidRDefault="006C67FA" w14:paraId="71F51589" w14:textId="77777777">
            <w:pPr>
              <w:pStyle w:val="naisf"/>
              <w:spacing w:before="0" w:after="0"/>
              <w:ind w:firstLine="0"/>
              <w:rPr>
                <w:lang w:eastAsia="en-US"/>
              </w:rPr>
            </w:pPr>
          </w:p>
        </w:tc>
        <w:tc>
          <w:tcPr>
            <w:tcW w:w="7859" w:type="dxa"/>
            <w:tcBorders>
              <w:top w:val="single" w:color="auto" w:sz="4" w:space="0"/>
              <w:left w:val="nil"/>
              <w:bottom w:val="nil"/>
              <w:right w:val="nil"/>
            </w:tcBorders>
          </w:tcPr>
          <w:p w:rsidRPr="006C67FA" w:rsidR="006C67FA" w:rsidP="00E250F0" w:rsidRDefault="006C67FA" w14:paraId="62481A36" w14:textId="77777777">
            <w:pPr>
              <w:pStyle w:val="NormalWeb"/>
              <w:spacing w:before="0" w:beforeAutospacing="0" w:after="0" w:afterAutospacing="0"/>
              <w:ind w:firstLine="720"/>
              <w:rPr>
                <w:lang w:eastAsia="en-US"/>
              </w:rPr>
            </w:pPr>
          </w:p>
        </w:tc>
      </w:tr>
      <w:tr w:rsidRPr="006C67FA" w:rsidR="006C67FA" w:rsidTr="00E250F0" w14:paraId="462CECB3" w14:textId="77777777">
        <w:tc>
          <w:tcPr>
            <w:tcW w:w="6345" w:type="dxa"/>
            <w:hideMark/>
          </w:tcPr>
          <w:p w:rsidRPr="006C67FA" w:rsidR="006C67FA" w:rsidP="00E250F0" w:rsidRDefault="006C67FA" w14:paraId="5959D0A8" w14:textId="77777777">
            <w:pPr>
              <w:pStyle w:val="naiskr"/>
              <w:spacing w:before="0" w:after="0"/>
              <w:rPr>
                <w:lang w:eastAsia="en-US"/>
              </w:rPr>
            </w:pPr>
            <w:r w:rsidRPr="006C67FA">
              <w:rPr>
                <w:lang w:eastAsia="en-US"/>
              </w:rPr>
              <w:t>Saskaņošanas dalībnieki</w:t>
            </w:r>
          </w:p>
        </w:tc>
        <w:tc>
          <w:tcPr>
            <w:tcW w:w="7859" w:type="dxa"/>
            <w:hideMark/>
          </w:tcPr>
          <w:p w:rsidR="00583C36" w:rsidP="00583C36" w:rsidRDefault="00583C36" w14:paraId="038EE3C8" w14:textId="77777777">
            <w:pPr>
              <w:pStyle w:val="NormalWeb"/>
              <w:spacing w:before="0" w:beforeAutospacing="0" w:after="0" w:afterAutospacing="0"/>
              <w:rPr>
                <w:rStyle w:val="spelle"/>
                <w:lang w:eastAsia="en-US"/>
              </w:rPr>
            </w:pPr>
            <w:r>
              <w:rPr>
                <w:rStyle w:val="spelle"/>
                <w:lang w:eastAsia="en-US"/>
              </w:rPr>
              <w:t>Tieslietu ministrijas 30.03</w:t>
            </w:r>
            <w:r>
              <w:rPr>
                <w:rStyle w:val="spelle"/>
              </w:rPr>
              <w:t>.2021. atzinums Nr.1-9.1/351</w:t>
            </w:r>
            <w:r>
              <w:rPr>
                <w:rStyle w:val="spelle"/>
                <w:lang w:eastAsia="en-US"/>
              </w:rPr>
              <w:t xml:space="preserve">, </w:t>
            </w:r>
          </w:p>
          <w:p w:rsidR="00583C36" w:rsidP="00583C36" w:rsidRDefault="00583C36" w14:paraId="1BC51306" w14:textId="77777777">
            <w:pPr>
              <w:pStyle w:val="NormalWeb"/>
              <w:spacing w:before="0" w:beforeAutospacing="0" w:after="0" w:afterAutospacing="0"/>
              <w:rPr>
                <w:rStyle w:val="spelle"/>
                <w:lang w:eastAsia="en-US"/>
              </w:rPr>
            </w:pPr>
            <w:r>
              <w:rPr>
                <w:rStyle w:val="spelle"/>
                <w:lang w:eastAsia="en-US"/>
              </w:rPr>
              <w:t xml:space="preserve">Finanšu ministrijas 26.03.2021. atzinums Nr.12/A-7/1731, </w:t>
            </w:r>
          </w:p>
          <w:p w:rsidRPr="006C67FA" w:rsidR="001D161B" w:rsidP="00583C36" w:rsidRDefault="00583C36" w14:paraId="65A6AC4D" w14:textId="72779CD3">
            <w:pPr>
              <w:pStyle w:val="NormalWeb"/>
              <w:spacing w:before="0" w:beforeAutospacing="0" w:after="0" w:afterAutospacing="0"/>
              <w:rPr>
                <w:lang w:eastAsia="en-US"/>
              </w:rPr>
            </w:pPr>
            <w:r>
              <w:rPr>
                <w:lang w:eastAsia="en-US"/>
              </w:rPr>
              <w:t>L</w:t>
            </w:r>
            <w:r>
              <w:t>atvijas Pašvaldību savienības 25.03.2021. atzinums Nr.202103/SAN3376/NOS212</w:t>
            </w:r>
          </w:p>
        </w:tc>
      </w:tr>
      <w:tr w:rsidRPr="006C67FA" w:rsidR="006C67FA" w:rsidTr="00E250F0" w14:paraId="78887F01" w14:textId="77777777">
        <w:trPr>
          <w:trHeight w:val="285"/>
        </w:trPr>
        <w:tc>
          <w:tcPr>
            <w:tcW w:w="6345" w:type="dxa"/>
            <w:hideMark/>
          </w:tcPr>
          <w:p w:rsidR="001D161B" w:rsidP="00E250F0" w:rsidRDefault="001D161B" w14:paraId="60FD2AD4" w14:textId="77777777">
            <w:pPr>
              <w:pStyle w:val="naiskr"/>
              <w:spacing w:before="0" w:after="0"/>
              <w:rPr>
                <w:lang w:eastAsia="en-US"/>
              </w:rPr>
            </w:pPr>
          </w:p>
          <w:p w:rsidRPr="006C67FA" w:rsidR="006C67FA" w:rsidP="00E250F0" w:rsidRDefault="006C67FA" w14:paraId="1B37E83F" w14:textId="2562F928">
            <w:pPr>
              <w:pStyle w:val="naiskr"/>
              <w:spacing w:before="0" w:after="0"/>
              <w:rPr>
                <w:lang w:eastAsia="en-US"/>
              </w:rPr>
            </w:pPr>
            <w:r w:rsidRPr="006C67FA">
              <w:rPr>
                <w:lang w:eastAsia="en-US"/>
              </w:rPr>
              <w:t>Saskaņošanas dalībnieki izskatīja šādu ministriju (citu institūciju) iebildumus</w:t>
            </w:r>
          </w:p>
        </w:tc>
        <w:tc>
          <w:tcPr>
            <w:tcW w:w="7859" w:type="dxa"/>
            <w:hideMark/>
          </w:tcPr>
          <w:p w:rsidR="001D161B" w:rsidP="006C67FA" w:rsidRDefault="001D161B" w14:paraId="7EE9BFDD" w14:textId="77777777">
            <w:pPr>
              <w:pStyle w:val="naiskr"/>
              <w:spacing w:before="0" w:after="0"/>
              <w:ind w:firstLine="12"/>
              <w:rPr>
                <w:rStyle w:val="spelle"/>
                <w:lang w:eastAsia="en-US"/>
              </w:rPr>
            </w:pPr>
          </w:p>
          <w:p w:rsidRPr="006C67FA" w:rsidR="006C67FA" w:rsidP="006C67FA" w:rsidRDefault="001D161B" w14:paraId="4AD56B77" w14:textId="34CDFF9B">
            <w:pPr>
              <w:pStyle w:val="naiskr"/>
              <w:spacing w:before="0" w:after="0"/>
              <w:ind w:firstLine="12"/>
            </w:pPr>
            <w:r>
              <w:t>Finanšu ministrijas</w:t>
            </w:r>
            <w:r w:rsidR="00C81AF9">
              <w:t xml:space="preserve">  </w:t>
            </w:r>
            <w:r w:rsidR="00C81AF9">
              <w:rPr>
                <w:rStyle w:val="spelle"/>
                <w:lang w:eastAsia="en-US"/>
              </w:rPr>
              <w:t>26.03.2021. atzinums Nr.12/A-7/1731</w:t>
            </w:r>
          </w:p>
        </w:tc>
      </w:tr>
      <w:tr w:rsidRPr="006C67FA" w:rsidR="006C67FA" w:rsidTr="00E250F0" w14:paraId="39C3F911" w14:textId="77777777">
        <w:trPr>
          <w:trHeight w:val="465"/>
        </w:trPr>
        <w:tc>
          <w:tcPr>
            <w:tcW w:w="6345" w:type="dxa"/>
          </w:tcPr>
          <w:p w:rsidR="00C81AF9" w:rsidP="00E250F0" w:rsidRDefault="00C81AF9" w14:paraId="277D5435" w14:textId="5DD3B07A">
            <w:pPr>
              <w:pStyle w:val="naiskr"/>
              <w:spacing w:before="0" w:after="0"/>
              <w:ind w:firstLine="720"/>
              <w:rPr>
                <w:lang w:eastAsia="en-US"/>
              </w:rPr>
            </w:pPr>
          </w:p>
          <w:p w:rsidRPr="00C81AF9" w:rsidR="00C81AF9" w:rsidP="00C81AF9" w:rsidRDefault="00C81AF9" w14:paraId="292F9D4C" w14:textId="77777777">
            <w:pPr>
              <w:rPr>
                <w:lang w:eastAsia="en-US"/>
              </w:rPr>
            </w:pPr>
          </w:p>
          <w:p w:rsidRPr="00C81AF9" w:rsidR="006C67FA" w:rsidP="00C81AF9" w:rsidRDefault="006C67FA" w14:paraId="1D2629FD" w14:textId="5C259770">
            <w:pPr>
              <w:ind w:firstLine="720"/>
              <w:rPr>
                <w:lang w:eastAsia="en-US"/>
              </w:rPr>
            </w:pPr>
          </w:p>
        </w:tc>
        <w:tc>
          <w:tcPr>
            <w:tcW w:w="7859" w:type="dxa"/>
            <w:tcBorders>
              <w:top w:val="single" w:color="000000" w:sz="6" w:space="0"/>
              <w:left w:val="nil"/>
              <w:bottom w:val="single" w:color="000000" w:sz="6" w:space="0"/>
              <w:right w:val="nil"/>
            </w:tcBorders>
          </w:tcPr>
          <w:p w:rsidRPr="006C67FA" w:rsidR="006C67FA" w:rsidP="00583C36" w:rsidRDefault="00583C36" w14:paraId="0E143F10" w14:textId="22FD8C7A">
            <w:pPr>
              <w:pStyle w:val="NormalWeb"/>
              <w:spacing w:before="0" w:beforeAutospacing="0" w:after="0" w:afterAutospacing="0"/>
              <w:rPr>
                <w:lang w:eastAsia="en-US"/>
              </w:rPr>
            </w:pPr>
            <w:r>
              <w:rPr>
                <w:lang w:eastAsia="en-US"/>
              </w:rPr>
              <w:t>Tieslietu ministrija</w:t>
            </w:r>
            <w:r w:rsidR="00C81AF9">
              <w:rPr>
                <w:lang w:eastAsia="en-US"/>
              </w:rPr>
              <w:t xml:space="preserve">  </w:t>
            </w:r>
            <w:r w:rsidR="00C81AF9">
              <w:rPr>
                <w:rStyle w:val="spelle"/>
                <w:lang w:eastAsia="en-US"/>
              </w:rPr>
              <w:t>30.03</w:t>
            </w:r>
            <w:r w:rsidR="00C81AF9">
              <w:rPr>
                <w:rStyle w:val="spelle"/>
              </w:rPr>
              <w:t>.2021. atzinums Nr.1-9.1/351</w:t>
            </w:r>
          </w:p>
        </w:tc>
      </w:tr>
      <w:tr w:rsidRPr="006C67FA" w:rsidR="006C67FA" w:rsidTr="00E250F0" w14:paraId="6F478053" w14:textId="77777777">
        <w:tc>
          <w:tcPr>
            <w:tcW w:w="6345" w:type="dxa"/>
            <w:hideMark/>
          </w:tcPr>
          <w:p w:rsidRPr="006C67FA" w:rsidR="006C67FA" w:rsidP="00E250F0" w:rsidRDefault="006C67FA" w14:paraId="2E36DA1E" w14:textId="77777777">
            <w:pPr>
              <w:pStyle w:val="naiskr"/>
              <w:spacing w:before="0" w:after="0"/>
              <w:rPr>
                <w:lang w:eastAsia="en-US"/>
              </w:rPr>
            </w:pPr>
            <w:r w:rsidRPr="006C67FA">
              <w:rPr>
                <w:lang w:eastAsia="en-US"/>
              </w:rPr>
              <w:lastRenderedPageBreak/>
              <w:t>Ministrijas (citas institūcijas), kuras nav ieradušās uz sanāksmi vai kuras nav atbildējušas uz uzaicinājumu piedalīties elektroniskajā saskaņošanā</w:t>
            </w:r>
          </w:p>
        </w:tc>
        <w:tc>
          <w:tcPr>
            <w:tcW w:w="7859" w:type="dxa"/>
          </w:tcPr>
          <w:p w:rsidRPr="006C67FA" w:rsidR="006C67FA" w:rsidP="00E250F0" w:rsidRDefault="006C67FA" w14:paraId="095A7BAE" w14:textId="77777777">
            <w:pPr>
              <w:pStyle w:val="naiskr"/>
              <w:spacing w:before="0" w:after="0"/>
              <w:ind w:firstLine="720"/>
              <w:rPr>
                <w:lang w:eastAsia="en-US"/>
              </w:rPr>
            </w:pPr>
          </w:p>
        </w:tc>
      </w:tr>
      <w:tr w:rsidRPr="006C67FA" w:rsidR="006C67FA" w:rsidTr="00E250F0" w14:paraId="6AE884D4" w14:textId="77777777">
        <w:tc>
          <w:tcPr>
            <w:tcW w:w="6345" w:type="dxa"/>
          </w:tcPr>
          <w:p w:rsidRPr="006C67FA" w:rsidR="006C67FA" w:rsidP="00E250F0" w:rsidRDefault="006C67FA" w14:paraId="2512E03F" w14:textId="77777777">
            <w:pPr>
              <w:pStyle w:val="naiskr"/>
              <w:spacing w:before="0" w:after="0"/>
              <w:ind w:firstLine="720"/>
              <w:rPr>
                <w:lang w:eastAsia="en-US"/>
              </w:rPr>
            </w:pPr>
          </w:p>
        </w:tc>
        <w:tc>
          <w:tcPr>
            <w:tcW w:w="7859" w:type="dxa"/>
            <w:tcBorders>
              <w:top w:val="nil"/>
              <w:left w:val="nil"/>
              <w:bottom w:val="single" w:color="000000" w:sz="6" w:space="0"/>
              <w:right w:val="nil"/>
            </w:tcBorders>
          </w:tcPr>
          <w:p w:rsidRPr="006C67FA" w:rsidR="006C67FA" w:rsidP="00E250F0" w:rsidRDefault="006C67FA" w14:paraId="6031A089" w14:textId="77777777">
            <w:pPr>
              <w:pStyle w:val="naiskr"/>
              <w:spacing w:before="0" w:after="0"/>
              <w:ind w:firstLine="720"/>
              <w:rPr>
                <w:lang w:eastAsia="en-US"/>
              </w:rPr>
            </w:pPr>
          </w:p>
        </w:tc>
      </w:tr>
    </w:tbl>
    <w:p w:rsidRPr="006C67FA" w:rsidR="006C67FA" w:rsidP="006C67FA" w:rsidRDefault="006C67FA" w14:paraId="753CA9C8" w14:textId="77777777">
      <w:pPr>
        <w:pStyle w:val="naisf"/>
        <w:spacing w:before="0" w:after="0"/>
        <w:ind w:firstLine="0"/>
        <w:jc w:val="center"/>
        <w:rPr>
          <w:b/>
        </w:rPr>
      </w:pPr>
    </w:p>
    <w:p w:rsidRPr="006C67FA" w:rsidR="006C67FA" w:rsidP="006C67FA" w:rsidRDefault="006C67FA" w14:paraId="334A45BC" w14:textId="77777777">
      <w:pPr>
        <w:pStyle w:val="naisf"/>
        <w:spacing w:before="0" w:after="0"/>
        <w:ind w:firstLine="0"/>
        <w:jc w:val="center"/>
        <w:rPr>
          <w:b/>
        </w:rPr>
      </w:pPr>
      <w:r w:rsidRPr="006C67FA">
        <w:rPr>
          <w:b/>
        </w:rPr>
        <w:t>II. Jautājumi, par kuriem saskaņošanā vienošanās ir panākta</w:t>
      </w:r>
    </w:p>
    <w:p w:rsidRPr="006C67FA" w:rsidR="006C67FA" w:rsidP="006C67FA" w:rsidRDefault="006C67FA" w14:paraId="4361FC50" w14:textId="77777777">
      <w:pPr>
        <w:pStyle w:val="naisf"/>
        <w:spacing w:before="0" w:after="0"/>
        <w:ind w:firstLine="720"/>
      </w:pPr>
    </w:p>
    <w:tbl>
      <w:tblPr>
        <w:tblW w:w="13947" w:type="dxa"/>
        <w:tblInd w:w="19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503"/>
        <w:gridCol w:w="2406"/>
        <w:gridCol w:w="961"/>
        <w:gridCol w:w="3359"/>
        <w:gridCol w:w="1858"/>
        <w:gridCol w:w="1261"/>
        <w:gridCol w:w="3599"/>
      </w:tblGrid>
      <w:tr w:rsidRPr="006C67FA" w:rsidR="006C67FA" w:rsidTr="009973A9" w14:paraId="3D5E035E" w14:textId="77777777">
        <w:tc>
          <w:tcPr>
            <w:tcW w:w="503" w:type="dxa"/>
            <w:tcBorders>
              <w:top w:val="single" w:color="000000" w:sz="6" w:space="0"/>
              <w:left w:val="single" w:color="000000" w:sz="6" w:space="0"/>
              <w:bottom w:val="single" w:color="000000" w:sz="6" w:space="0"/>
              <w:right w:val="single" w:color="000000" w:sz="6" w:space="0"/>
            </w:tcBorders>
            <w:vAlign w:val="center"/>
            <w:hideMark/>
          </w:tcPr>
          <w:p w:rsidRPr="006C67FA" w:rsidR="006C67FA" w:rsidP="00E250F0" w:rsidRDefault="006C67FA" w14:paraId="211959B0" w14:textId="77777777">
            <w:pPr>
              <w:pStyle w:val="naisc"/>
              <w:spacing w:before="0" w:after="0"/>
              <w:rPr>
                <w:b/>
                <w:lang w:eastAsia="en-US"/>
              </w:rPr>
            </w:pPr>
            <w:r w:rsidRPr="006C67FA">
              <w:rPr>
                <w:b/>
                <w:lang w:eastAsia="en-US"/>
              </w:rPr>
              <w:t>Nr. p.k.</w:t>
            </w:r>
          </w:p>
        </w:tc>
        <w:tc>
          <w:tcPr>
            <w:tcW w:w="3367" w:type="dxa"/>
            <w:gridSpan w:val="2"/>
            <w:tcBorders>
              <w:top w:val="single" w:color="000000" w:sz="6" w:space="0"/>
              <w:left w:val="single" w:color="000000" w:sz="6" w:space="0"/>
              <w:bottom w:val="single" w:color="000000" w:sz="6" w:space="0"/>
              <w:right w:val="single" w:color="000000" w:sz="6" w:space="0"/>
            </w:tcBorders>
            <w:vAlign w:val="center"/>
            <w:hideMark/>
          </w:tcPr>
          <w:p w:rsidRPr="006C67FA" w:rsidR="006C67FA" w:rsidP="00E250F0" w:rsidRDefault="006C67FA" w14:paraId="6492797F" w14:textId="77777777">
            <w:pPr>
              <w:pStyle w:val="naisc"/>
              <w:spacing w:before="0" w:after="0"/>
              <w:rPr>
                <w:b/>
                <w:lang w:eastAsia="en-US"/>
              </w:rPr>
            </w:pPr>
            <w:r w:rsidRPr="006C67FA">
              <w:rPr>
                <w:b/>
                <w:lang w:eastAsia="en-US"/>
              </w:rPr>
              <w:t>Saskaņošanai nosūtītā projekta redakcija (konkrēta punkta (panta) redakcija)</w:t>
            </w:r>
          </w:p>
        </w:tc>
        <w:tc>
          <w:tcPr>
            <w:tcW w:w="3359" w:type="dxa"/>
            <w:tcBorders>
              <w:top w:val="single" w:color="000000" w:sz="6" w:space="0"/>
              <w:left w:val="single" w:color="000000" w:sz="6" w:space="0"/>
              <w:bottom w:val="single" w:color="000000" w:sz="6" w:space="0"/>
              <w:right w:val="single" w:color="000000" w:sz="6" w:space="0"/>
            </w:tcBorders>
            <w:vAlign w:val="center"/>
            <w:hideMark/>
          </w:tcPr>
          <w:p w:rsidRPr="006C67FA" w:rsidR="006C67FA" w:rsidP="00E250F0" w:rsidRDefault="006C67FA" w14:paraId="624BDEB1" w14:textId="77777777">
            <w:pPr>
              <w:pStyle w:val="naisc"/>
              <w:spacing w:before="0" w:after="0"/>
              <w:ind w:right="3"/>
              <w:rPr>
                <w:b/>
                <w:lang w:eastAsia="en-US"/>
              </w:rPr>
            </w:pPr>
            <w:r w:rsidRPr="006C67FA">
              <w:rPr>
                <w:b/>
                <w:lang w:eastAsia="en-US"/>
              </w:rPr>
              <w:t>Atzinumā norādītais ministrijas (citas institūcijas) iebildums, kā arī saskaņošanā papildus izteiktais iebildums par projekta konkrēto punktu (pantu)</w:t>
            </w:r>
          </w:p>
        </w:tc>
        <w:tc>
          <w:tcPr>
            <w:tcW w:w="3119" w:type="dxa"/>
            <w:gridSpan w:val="2"/>
            <w:tcBorders>
              <w:top w:val="single" w:color="000000" w:sz="6" w:space="0"/>
              <w:left w:val="single" w:color="000000" w:sz="6" w:space="0"/>
              <w:bottom w:val="single" w:color="000000" w:sz="6" w:space="0"/>
              <w:right w:val="single" w:color="000000" w:sz="6" w:space="0"/>
            </w:tcBorders>
            <w:vAlign w:val="center"/>
            <w:hideMark/>
          </w:tcPr>
          <w:p w:rsidRPr="006C67FA" w:rsidR="006C67FA" w:rsidP="00E250F0" w:rsidRDefault="006C67FA" w14:paraId="13AB192D" w14:textId="77777777">
            <w:pPr>
              <w:pStyle w:val="naisc"/>
              <w:spacing w:before="0" w:after="0"/>
              <w:rPr>
                <w:b/>
                <w:lang w:eastAsia="en-US"/>
              </w:rPr>
            </w:pPr>
            <w:r w:rsidRPr="006C67FA">
              <w:rPr>
                <w:b/>
                <w:lang w:eastAsia="en-US"/>
              </w:rPr>
              <w:t>Atbildīgās ministrijas norāde par to, ka iebildums ir ņemts vērā, vai informācija par saskaņošanā panākto alternatīvo risinājumu</w:t>
            </w:r>
          </w:p>
        </w:tc>
        <w:tc>
          <w:tcPr>
            <w:tcW w:w="3599" w:type="dxa"/>
            <w:tcBorders>
              <w:top w:val="single" w:color="auto" w:sz="4" w:space="0"/>
              <w:left w:val="single" w:color="auto" w:sz="4" w:space="0"/>
              <w:bottom w:val="single" w:color="auto" w:sz="4" w:space="0"/>
              <w:right w:val="single" w:color="auto" w:sz="4" w:space="0"/>
            </w:tcBorders>
            <w:vAlign w:val="center"/>
            <w:hideMark/>
          </w:tcPr>
          <w:p w:rsidRPr="006C67FA" w:rsidR="006C67FA" w:rsidP="00E250F0" w:rsidRDefault="006C67FA" w14:paraId="25F183E7" w14:textId="77777777">
            <w:pPr>
              <w:jc w:val="center"/>
              <w:rPr>
                <w:b/>
                <w:lang w:eastAsia="en-US"/>
              </w:rPr>
            </w:pPr>
            <w:r w:rsidRPr="006C67FA">
              <w:rPr>
                <w:b/>
                <w:lang w:eastAsia="en-US"/>
              </w:rPr>
              <w:t>Projekta attiecīgā punkta (panta) galīgā redakcija</w:t>
            </w:r>
          </w:p>
        </w:tc>
      </w:tr>
      <w:tr w:rsidRPr="006C67FA" w:rsidR="006C67FA" w:rsidTr="009973A9" w14:paraId="447801B7" w14:textId="77777777">
        <w:tc>
          <w:tcPr>
            <w:tcW w:w="503" w:type="dxa"/>
            <w:tcBorders>
              <w:top w:val="single" w:color="000000" w:sz="6" w:space="0"/>
              <w:left w:val="single" w:color="000000" w:sz="6" w:space="0"/>
              <w:bottom w:val="single" w:color="000000" w:sz="6" w:space="0"/>
              <w:right w:val="single" w:color="000000" w:sz="6" w:space="0"/>
            </w:tcBorders>
            <w:hideMark/>
          </w:tcPr>
          <w:p w:rsidRPr="006C67FA" w:rsidR="006C67FA" w:rsidP="00E250F0" w:rsidRDefault="006C67FA" w14:paraId="5AB40DCE" w14:textId="77777777">
            <w:pPr>
              <w:pStyle w:val="naisc"/>
              <w:spacing w:before="0" w:after="0"/>
              <w:rPr>
                <w:lang w:eastAsia="en-US"/>
              </w:rPr>
            </w:pPr>
            <w:r w:rsidRPr="006C67FA">
              <w:rPr>
                <w:lang w:eastAsia="en-US"/>
              </w:rPr>
              <w:t>1</w:t>
            </w:r>
          </w:p>
        </w:tc>
        <w:tc>
          <w:tcPr>
            <w:tcW w:w="3367" w:type="dxa"/>
            <w:gridSpan w:val="2"/>
            <w:tcBorders>
              <w:top w:val="single" w:color="000000" w:sz="6" w:space="0"/>
              <w:left w:val="single" w:color="000000" w:sz="6" w:space="0"/>
              <w:bottom w:val="single" w:color="000000" w:sz="6" w:space="0"/>
              <w:right w:val="single" w:color="000000" w:sz="6" w:space="0"/>
            </w:tcBorders>
            <w:hideMark/>
          </w:tcPr>
          <w:p w:rsidRPr="006C67FA" w:rsidR="006C67FA" w:rsidP="00E250F0" w:rsidRDefault="006C67FA" w14:paraId="48827DD0" w14:textId="77777777">
            <w:pPr>
              <w:pStyle w:val="naisc"/>
              <w:spacing w:before="0" w:after="0"/>
              <w:rPr>
                <w:lang w:eastAsia="en-US"/>
              </w:rPr>
            </w:pPr>
            <w:r w:rsidRPr="006C67FA">
              <w:rPr>
                <w:lang w:eastAsia="en-US"/>
              </w:rPr>
              <w:t>2</w:t>
            </w:r>
          </w:p>
        </w:tc>
        <w:tc>
          <w:tcPr>
            <w:tcW w:w="3359" w:type="dxa"/>
            <w:tcBorders>
              <w:top w:val="single" w:color="000000" w:sz="6" w:space="0"/>
              <w:left w:val="single" w:color="000000" w:sz="6" w:space="0"/>
              <w:bottom w:val="single" w:color="000000" w:sz="6" w:space="0"/>
              <w:right w:val="single" w:color="000000" w:sz="6" w:space="0"/>
            </w:tcBorders>
            <w:hideMark/>
          </w:tcPr>
          <w:p w:rsidRPr="006C67FA" w:rsidR="006C67FA" w:rsidP="00E250F0" w:rsidRDefault="006C67FA" w14:paraId="51217691" w14:textId="77777777">
            <w:pPr>
              <w:pStyle w:val="naisc"/>
              <w:spacing w:before="0" w:after="0"/>
              <w:ind w:firstLine="720"/>
              <w:rPr>
                <w:lang w:eastAsia="en-US"/>
              </w:rPr>
            </w:pPr>
            <w:r w:rsidRPr="006C67FA">
              <w:rPr>
                <w:lang w:eastAsia="en-US"/>
              </w:rPr>
              <w:t>3</w:t>
            </w:r>
          </w:p>
        </w:tc>
        <w:tc>
          <w:tcPr>
            <w:tcW w:w="3119" w:type="dxa"/>
            <w:gridSpan w:val="2"/>
            <w:tcBorders>
              <w:top w:val="single" w:color="000000" w:sz="6" w:space="0"/>
              <w:left w:val="single" w:color="000000" w:sz="6" w:space="0"/>
              <w:bottom w:val="single" w:color="000000" w:sz="6" w:space="0"/>
              <w:right w:val="single" w:color="000000" w:sz="6" w:space="0"/>
            </w:tcBorders>
            <w:hideMark/>
          </w:tcPr>
          <w:p w:rsidRPr="006C67FA" w:rsidR="006C67FA" w:rsidP="00E250F0" w:rsidRDefault="006C67FA" w14:paraId="0BCE88FF" w14:textId="77777777">
            <w:pPr>
              <w:pStyle w:val="naisc"/>
              <w:spacing w:before="0" w:after="0"/>
              <w:ind w:firstLine="720"/>
              <w:rPr>
                <w:lang w:eastAsia="en-US"/>
              </w:rPr>
            </w:pPr>
            <w:r w:rsidRPr="006C67FA">
              <w:rPr>
                <w:lang w:eastAsia="en-US"/>
              </w:rPr>
              <w:t>4</w:t>
            </w:r>
          </w:p>
        </w:tc>
        <w:tc>
          <w:tcPr>
            <w:tcW w:w="3599" w:type="dxa"/>
            <w:tcBorders>
              <w:top w:val="single" w:color="auto" w:sz="4" w:space="0"/>
              <w:left w:val="single" w:color="auto" w:sz="4" w:space="0"/>
              <w:bottom w:val="single" w:color="auto" w:sz="4" w:space="0"/>
              <w:right w:val="single" w:color="auto" w:sz="4" w:space="0"/>
            </w:tcBorders>
            <w:hideMark/>
          </w:tcPr>
          <w:p w:rsidRPr="006C67FA" w:rsidR="006C67FA" w:rsidP="00E250F0" w:rsidRDefault="006C67FA" w14:paraId="0D6A5CD5" w14:textId="77777777">
            <w:pPr>
              <w:ind w:firstLine="720"/>
              <w:jc w:val="center"/>
              <w:rPr>
                <w:lang w:eastAsia="en-US"/>
              </w:rPr>
            </w:pPr>
            <w:r w:rsidRPr="006C67FA">
              <w:rPr>
                <w:lang w:eastAsia="en-US"/>
              </w:rPr>
              <w:t>5</w:t>
            </w:r>
          </w:p>
        </w:tc>
      </w:tr>
      <w:tr w:rsidRPr="006C67FA" w:rsidR="00A33A00" w:rsidTr="009973A9" w14:paraId="5EDE2C8E" w14:textId="77777777">
        <w:tc>
          <w:tcPr>
            <w:tcW w:w="503" w:type="dxa"/>
            <w:tcBorders>
              <w:top w:val="single" w:color="000000" w:sz="6" w:space="0"/>
              <w:left w:val="single" w:color="000000" w:sz="6" w:space="0"/>
              <w:bottom w:val="single" w:color="000000" w:sz="6" w:space="0"/>
              <w:right w:val="single" w:color="000000" w:sz="6" w:space="0"/>
            </w:tcBorders>
          </w:tcPr>
          <w:p w:rsidR="00A33A00" w:rsidP="00A33A00" w:rsidRDefault="00A33A00" w14:paraId="756251CB" w14:textId="77777777">
            <w:pPr>
              <w:pStyle w:val="naisc"/>
              <w:spacing w:before="0" w:after="0"/>
              <w:rPr>
                <w:lang w:eastAsia="en-US"/>
              </w:rPr>
            </w:pPr>
            <w:r w:rsidRPr="006C67FA">
              <w:rPr>
                <w:lang w:eastAsia="en-US"/>
              </w:rPr>
              <w:t>1.</w:t>
            </w:r>
          </w:p>
          <w:p w:rsidRPr="006C67FA" w:rsidR="00A33A00" w:rsidP="00E250F0" w:rsidRDefault="00A33A00" w14:paraId="25D14C3F" w14:textId="77777777">
            <w:pPr>
              <w:pStyle w:val="naisc"/>
              <w:spacing w:before="0" w:after="0"/>
              <w:rPr>
                <w:lang w:eastAsia="en-US"/>
              </w:rPr>
            </w:pPr>
          </w:p>
        </w:tc>
        <w:tc>
          <w:tcPr>
            <w:tcW w:w="3367" w:type="dxa"/>
            <w:gridSpan w:val="2"/>
            <w:tcBorders>
              <w:top w:val="single" w:color="000000" w:sz="6" w:space="0"/>
              <w:left w:val="single" w:color="000000" w:sz="6" w:space="0"/>
              <w:bottom w:val="single" w:color="000000" w:sz="6" w:space="0"/>
              <w:right w:val="single" w:color="000000" w:sz="6" w:space="0"/>
            </w:tcBorders>
          </w:tcPr>
          <w:p w:rsidRPr="00370496" w:rsidR="00A33A00" w:rsidP="00A33A00" w:rsidRDefault="00A33A00" w14:paraId="5A46AEC9" w14:textId="77777777">
            <w:pPr>
              <w:jc w:val="both"/>
              <w:rPr>
                <w:rFonts w:eastAsia="Calibri"/>
                <w:lang w:eastAsia="en-US"/>
              </w:rPr>
            </w:pPr>
            <w:r>
              <w:rPr>
                <w:rFonts w:eastAsia="Calibri"/>
                <w:lang w:eastAsia="en-US"/>
              </w:rPr>
              <w:t>Rīkojuma projekta a</w:t>
            </w:r>
            <w:r w:rsidRPr="003144DD">
              <w:rPr>
                <w:rFonts w:eastAsia="Calibri"/>
                <w:lang w:eastAsia="en-US"/>
              </w:rPr>
              <w:t>notācija</w:t>
            </w:r>
            <w:r>
              <w:rPr>
                <w:rFonts w:eastAsia="Calibri"/>
                <w:lang w:eastAsia="en-US"/>
              </w:rPr>
              <w:t>s sadaļa</w:t>
            </w:r>
            <w:r w:rsidRPr="003144DD">
              <w:rPr>
                <w:rFonts w:eastAsia="Calibri"/>
                <w:lang w:eastAsia="en-US"/>
              </w:rPr>
              <w:t xml:space="preserve"> </w:t>
            </w:r>
            <w:r>
              <w:t>“</w:t>
            </w:r>
            <w:r w:rsidRPr="00370496">
              <w:t>Tiesību akta projekta anotācijas kopsavilkums</w:t>
            </w:r>
            <w:r>
              <w:t>”:</w:t>
            </w:r>
          </w:p>
          <w:p w:rsidRPr="008F0846" w:rsidR="00A33A00" w:rsidP="00A33A00" w:rsidRDefault="00A33A00" w14:paraId="64AC2B56" w14:textId="77777777">
            <w:pPr>
              <w:ind w:firstLine="294"/>
              <w:jc w:val="both"/>
            </w:pPr>
            <w:r w:rsidRPr="008F0846">
              <w:t xml:space="preserve">Pašvaldības autonomās funkcijas īstenošanai un Eiropas Savienības finansējuma piesaistei ceļu un citas infrastruktūras sakārtošanai, darbavietu radīšanai un privāto investīciju piesaistei </w:t>
            </w:r>
            <w:r>
              <w:t xml:space="preserve">valstij Satiksmes ministrijas personā </w:t>
            </w:r>
            <w:r w:rsidRPr="00370496">
              <w:t xml:space="preserve">piekritīgais </w:t>
            </w:r>
            <w:r w:rsidRPr="008F0846">
              <w:t>nekustamais īpašums ir nododams pašvaldības īpašumā.</w:t>
            </w:r>
          </w:p>
          <w:p w:rsidRPr="006C67FA" w:rsidR="00A33A00" w:rsidP="00E250F0" w:rsidRDefault="00A33A00" w14:paraId="6966DA23" w14:textId="77777777">
            <w:pPr>
              <w:pStyle w:val="naisc"/>
              <w:spacing w:before="0" w:after="0"/>
              <w:rPr>
                <w:lang w:eastAsia="en-US"/>
              </w:rPr>
            </w:pPr>
          </w:p>
        </w:tc>
        <w:tc>
          <w:tcPr>
            <w:tcW w:w="3359" w:type="dxa"/>
            <w:tcBorders>
              <w:top w:val="single" w:color="000000" w:sz="6" w:space="0"/>
              <w:left w:val="single" w:color="000000" w:sz="6" w:space="0"/>
              <w:bottom w:val="single" w:color="000000" w:sz="6" w:space="0"/>
              <w:right w:val="single" w:color="000000" w:sz="6" w:space="0"/>
            </w:tcBorders>
          </w:tcPr>
          <w:p w:rsidR="00A33A00" w:rsidP="00A33A00" w:rsidRDefault="00A33A00" w14:paraId="07003036" w14:textId="77777777">
            <w:pPr>
              <w:pStyle w:val="naisc"/>
              <w:spacing w:before="0" w:after="0"/>
              <w:rPr>
                <w:b/>
                <w:lang w:eastAsia="en-US"/>
              </w:rPr>
            </w:pPr>
            <w:r>
              <w:rPr>
                <w:b/>
                <w:lang w:eastAsia="en-US"/>
              </w:rPr>
              <w:t>Finanšu</w:t>
            </w:r>
            <w:r w:rsidRPr="006C67FA">
              <w:rPr>
                <w:b/>
                <w:lang w:eastAsia="en-US"/>
              </w:rPr>
              <w:t xml:space="preserve"> ministrija</w:t>
            </w:r>
          </w:p>
          <w:p w:rsidR="00A33A00" w:rsidP="00A33A00" w:rsidRDefault="00A33A00" w14:paraId="2D463660" w14:textId="79F17BD2">
            <w:pPr>
              <w:pStyle w:val="naisc"/>
              <w:spacing w:before="0" w:after="0"/>
              <w:jc w:val="both"/>
            </w:pPr>
            <w:r>
              <w:rPr>
                <w:lang w:eastAsia="en-US"/>
              </w:rPr>
              <w:t xml:space="preserve">      </w:t>
            </w:r>
            <w:r w:rsidRPr="009772F8" w:rsidR="009772F8">
              <w:rPr>
                <w:lang w:eastAsia="en-US"/>
              </w:rPr>
              <w:t>Anotācijas sadaļā “Tiesību akta projekta anotācijas kopsavilkums” ir norādīts, ka Satiksmes ministrijas personā piekritīgais nekustamais īpašums ir nododams pašvaldības īpašumā.</w:t>
            </w:r>
          </w:p>
          <w:p w:rsidR="00E26174" w:rsidP="00A33A00" w:rsidRDefault="00A33A00" w14:paraId="6D8F3222" w14:textId="77777777">
            <w:pPr>
              <w:pStyle w:val="naisc"/>
              <w:spacing w:before="0" w:after="0"/>
              <w:jc w:val="both"/>
            </w:pPr>
            <w:r>
              <w:t xml:space="preserve">      </w:t>
            </w:r>
            <w:r w:rsidRPr="00FE7548">
              <w:rPr>
                <w:lang w:eastAsia="en-US"/>
              </w:rPr>
              <w:t>Saskaņā ar likuma “Par autoceļiem” 4.panta pirmo daļu valsts autoceļi un to zemes, tai skaitā ceļu zemes nodalījuma joslas, ar visām šo autoceļu kompleksā ietilpstošajām būvēm ir Latvijas Republikas īpašums</w:t>
            </w:r>
            <w:r>
              <w:rPr>
                <w:lang w:eastAsia="en-US"/>
              </w:rPr>
              <w:t xml:space="preserve"> </w:t>
            </w:r>
            <w:r w:rsidRPr="00FE7548">
              <w:rPr>
                <w:lang w:eastAsia="en-US"/>
              </w:rPr>
              <w:t xml:space="preserve">un atbilstoši Ministru kabineta 2009.gada 29.septembra </w:t>
            </w:r>
            <w:r w:rsidRPr="00FE7548">
              <w:rPr>
                <w:lang w:eastAsia="en-US"/>
              </w:rPr>
              <w:lastRenderedPageBreak/>
              <w:t>noteikumu Nr.1104 “Noteikumi par valsts autoceļu un valsts autoceļu maršrutā ietverto pašvaldībām piederošo autoceļu posmu sarakstiem” (turpmāk – MK noteikumi Nr.1104) 3.pielikumā norādītajam autoceļš V1187 “Pievedceļš Pāvilostai” (posms no 0 km līdz 3,1 km) pieder valstij. Tādējādi nekustamais īpašums pieder valstij uz likuma pamata.</w:t>
            </w:r>
            <w:r w:rsidR="009772F8">
              <w:t xml:space="preserve"> </w:t>
            </w:r>
          </w:p>
          <w:p w:rsidRPr="006C67FA" w:rsidR="009772F8" w:rsidP="00A33A00" w:rsidRDefault="009772F8" w14:paraId="29CB54F8" w14:textId="298342C8">
            <w:pPr>
              <w:pStyle w:val="naisc"/>
              <w:spacing w:before="0" w:after="0"/>
              <w:jc w:val="both"/>
              <w:rPr>
                <w:lang w:eastAsia="en-US"/>
              </w:rPr>
            </w:pPr>
            <w:r w:rsidRPr="009772F8">
              <w:rPr>
                <w:lang w:eastAsia="en-US"/>
              </w:rPr>
              <w:t>Ņemot vērā minēto, un, ievērojot, ka rīkojuma projekta nosaukums ir “Par valstij piederošā nekustamā īpašuma “V1187” Pāvilostā, Pāvilostas novadā, nodošanu Pāvilostas novada pašvaldības īpašumā”, lūdzam precizēt minētajā anotācijas sadaļā norādīto informāciju.</w:t>
            </w:r>
          </w:p>
        </w:tc>
        <w:tc>
          <w:tcPr>
            <w:tcW w:w="3119" w:type="dxa"/>
            <w:gridSpan w:val="2"/>
            <w:tcBorders>
              <w:top w:val="single" w:color="000000" w:sz="6" w:space="0"/>
              <w:left w:val="single" w:color="000000" w:sz="6" w:space="0"/>
              <w:bottom w:val="single" w:color="000000" w:sz="6" w:space="0"/>
              <w:right w:val="single" w:color="000000" w:sz="6" w:space="0"/>
            </w:tcBorders>
          </w:tcPr>
          <w:p w:rsidRPr="00E31C73" w:rsidR="00A33A00" w:rsidP="00A33A00" w:rsidRDefault="00A33A00" w14:paraId="280EF193" w14:textId="77777777">
            <w:pPr>
              <w:pStyle w:val="naisf"/>
              <w:spacing w:before="0" w:after="0"/>
              <w:ind w:firstLine="0"/>
              <w:jc w:val="center"/>
              <w:rPr>
                <w:b/>
                <w:bCs/>
              </w:rPr>
            </w:pPr>
            <w:r>
              <w:rPr>
                <w:b/>
                <w:bCs/>
              </w:rPr>
              <w:lastRenderedPageBreak/>
              <w:t>Iebildums ir ņemts vērā.</w:t>
            </w:r>
          </w:p>
          <w:p w:rsidRPr="006C67FA" w:rsidR="00A33A00" w:rsidP="00E250F0" w:rsidRDefault="00A33A00" w14:paraId="78878947" w14:textId="77777777">
            <w:pPr>
              <w:pStyle w:val="naisc"/>
              <w:spacing w:before="0" w:after="0"/>
              <w:ind w:firstLine="720"/>
              <w:rPr>
                <w:lang w:eastAsia="en-US"/>
              </w:rPr>
            </w:pPr>
          </w:p>
        </w:tc>
        <w:tc>
          <w:tcPr>
            <w:tcW w:w="3599" w:type="dxa"/>
            <w:tcBorders>
              <w:top w:val="single" w:color="auto" w:sz="4" w:space="0"/>
              <w:left w:val="single" w:color="auto" w:sz="4" w:space="0"/>
              <w:bottom w:val="single" w:color="auto" w:sz="4" w:space="0"/>
              <w:right w:val="single" w:color="auto" w:sz="4" w:space="0"/>
            </w:tcBorders>
          </w:tcPr>
          <w:p w:rsidR="00A33A00" w:rsidP="00A33A00" w:rsidRDefault="00A33A00" w14:paraId="731157F4" w14:textId="77777777">
            <w:pPr>
              <w:pStyle w:val="naisc"/>
              <w:spacing w:before="0" w:after="0"/>
              <w:jc w:val="both"/>
            </w:pPr>
            <w:r>
              <w:t xml:space="preserve">Precizēta rīkojumu projekta anotācijas sadaļa </w:t>
            </w:r>
            <w:r w:rsidRPr="008E166F">
              <w:t>“Tiesību akta projekta anotācijas kopsavilkums”</w:t>
            </w:r>
            <w:r>
              <w:t>:</w:t>
            </w:r>
          </w:p>
          <w:p w:rsidRPr="008F0846" w:rsidR="00A33A00" w:rsidP="00A33A00" w:rsidRDefault="00A33A00" w14:paraId="7B6820E6" w14:textId="77777777">
            <w:pPr>
              <w:jc w:val="both"/>
            </w:pPr>
            <w:r>
              <w:t>“</w:t>
            </w:r>
            <w:r w:rsidRPr="008F0846">
              <w:t xml:space="preserve">Pašvaldības autonomās funkcijas īstenošanai un Eiropas Savienības finansējuma piesaistei ceļu un citas infrastruktūras sakārtošanai, darbavietu radīšanai un privāto investīciju piesaistei </w:t>
            </w:r>
            <w:r>
              <w:t xml:space="preserve">valstij Satiksmes ministrijas personā </w:t>
            </w:r>
            <w:r w:rsidRPr="00A33A00">
              <w:t>piederošais</w:t>
            </w:r>
            <w:r w:rsidRPr="00F20EE7">
              <w:t xml:space="preserve"> </w:t>
            </w:r>
            <w:r w:rsidRPr="008F0846">
              <w:t>nekustamais īpašums ir nododams pašvaldības īpašumā.</w:t>
            </w:r>
            <w:r>
              <w:t>”</w:t>
            </w:r>
          </w:p>
          <w:p w:rsidRPr="006C67FA" w:rsidR="00A33A00" w:rsidP="00E250F0" w:rsidRDefault="00A33A00" w14:paraId="02AA6B2C" w14:textId="77777777">
            <w:pPr>
              <w:ind w:firstLine="720"/>
              <w:jc w:val="center"/>
              <w:rPr>
                <w:lang w:eastAsia="en-US"/>
              </w:rPr>
            </w:pPr>
          </w:p>
        </w:tc>
      </w:tr>
      <w:tr w:rsidRPr="006C67FA" w:rsidR="00A33A00" w:rsidTr="009973A9" w14:paraId="0640C372" w14:textId="77777777">
        <w:tc>
          <w:tcPr>
            <w:tcW w:w="503" w:type="dxa"/>
            <w:tcBorders>
              <w:top w:val="single" w:color="000000" w:sz="6" w:space="0"/>
              <w:left w:val="single" w:color="000000" w:sz="6" w:space="0"/>
              <w:bottom w:val="single" w:color="000000" w:sz="6" w:space="0"/>
              <w:right w:val="single" w:color="000000" w:sz="6" w:space="0"/>
            </w:tcBorders>
          </w:tcPr>
          <w:p w:rsidRPr="006C67FA" w:rsidR="00A33A00" w:rsidP="00E250F0" w:rsidRDefault="00A33A00" w14:paraId="727A585F" w14:textId="2CFFED61">
            <w:pPr>
              <w:pStyle w:val="naisc"/>
              <w:spacing w:before="0" w:after="0"/>
              <w:rPr>
                <w:lang w:eastAsia="en-US"/>
              </w:rPr>
            </w:pPr>
            <w:r>
              <w:rPr>
                <w:lang w:eastAsia="en-US"/>
              </w:rPr>
              <w:t>2.</w:t>
            </w:r>
          </w:p>
        </w:tc>
        <w:tc>
          <w:tcPr>
            <w:tcW w:w="3367" w:type="dxa"/>
            <w:gridSpan w:val="2"/>
            <w:tcBorders>
              <w:top w:val="single" w:color="000000" w:sz="6" w:space="0"/>
              <w:left w:val="single" w:color="000000" w:sz="6" w:space="0"/>
              <w:bottom w:val="single" w:color="000000" w:sz="6" w:space="0"/>
              <w:right w:val="single" w:color="000000" w:sz="6" w:space="0"/>
            </w:tcBorders>
          </w:tcPr>
          <w:p w:rsidRPr="006C67FA" w:rsidR="00A33A00" w:rsidP="00A33A00" w:rsidRDefault="00A33A00" w14:paraId="5A9D3935" w14:textId="4B13C2F7">
            <w:pPr>
              <w:pStyle w:val="naisc"/>
              <w:spacing w:before="0" w:after="0"/>
              <w:jc w:val="both"/>
              <w:rPr>
                <w:lang w:eastAsia="en-US"/>
              </w:rPr>
            </w:pPr>
            <w:r>
              <w:rPr>
                <w:lang w:eastAsia="en-US"/>
              </w:rPr>
              <w:t>Rīkojuma projekta</w:t>
            </w:r>
            <w:r w:rsidRPr="00A33A00">
              <w:rPr>
                <w:lang w:eastAsia="en-US"/>
              </w:rPr>
              <w:t xml:space="preserve"> anotācijas I sadaļas 2.punkt</w:t>
            </w:r>
            <w:r>
              <w:rPr>
                <w:lang w:eastAsia="en-US"/>
              </w:rPr>
              <w:t>s.</w:t>
            </w:r>
          </w:p>
        </w:tc>
        <w:tc>
          <w:tcPr>
            <w:tcW w:w="3359" w:type="dxa"/>
            <w:tcBorders>
              <w:top w:val="single" w:color="000000" w:sz="6" w:space="0"/>
              <w:left w:val="single" w:color="000000" w:sz="6" w:space="0"/>
              <w:bottom w:val="single" w:color="000000" w:sz="6" w:space="0"/>
              <w:right w:val="single" w:color="000000" w:sz="6" w:space="0"/>
            </w:tcBorders>
          </w:tcPr>
          <w:p w:rsidRPr="00095BC9" w:rsidR="00A33A00" w:rsidP="00A33A00" w:rsidRDefault="00A33A00" w14:paraId="49DF0510" w14:textId="77777777">
            <w:pPr>
              <w:pStyle w:val="naisc"/>
              <w:spacing w:before="0" w:after="0"/>
              <w:rPr>
                <w:b/>
                <w:bCs/>
                <w:lang w:eastAsia="en-US"/>
              </w:rPr>
            </w:pPr>
            <w:r w:rsidRPr="00095BC9">
              <w:rPr>
                <w:b/>
                <w:bCs/>
                <w:lang w:eastAsia="en-US"/>
              </w:rPr>
              <w:t>Finanšu ministrija</w:t>
            </w:r>
          </w:p>
          <w:p w:rsidRPr="00BE7111" w:rsidR="00E26174" w:rsidP="00E26174" w:rsidRDefault="00E26174" w14:paraId="31C0D798" w14:textId="77777777">
            <w:pPr>
              <w:tabs>
                <w:tab w:val="left" w:pos="993"/>
              </w:tabs>
              <w:jc w:val="both"/>
              <w:rPr>
                <w:lang w:eastAsia="en-US"/>
              </w:rPr>
            </w:pPr>
            <w:r w:rsidRPr="00BE7111">
              <w:t xml:space="preserve">Saskaņā ar anotācijas I sadaļas 2.punktā iekļauto informāciju MK noteikumu Nr.1104 3.pielikumā “Vietējie autoceļi” norādīts, ka autoceļš V1187 “Pievedceļš Pāvilostai” 3,4 km kopgarumā ir iekļauts </w:t>
            </w:r>
            <w:r w:rsidRPr="00E26174">
              <w:rPr>
                <w:u w:val="single"/>
              </w:rPr>
              <w:t>valsts vietējo autoceļu</w:t>
            </w:r>
            <w:r w:rsidRPr="00BE7111">
              <w:t xml:space="preserve"> sarakstā.</w:t>
            </w:r>
          </w:p>
          <w:p w:rsidR="00A33A00" w:rsidP="00A33A00" w:rsidRDefault="00A33A00" w14:paraId="76672630" w14:textId="77777777">
            <w:pPr>
              <w:contextualSpacing/>
              <w:jc w:val="both"/>
              <w:rPr>
                <w:rFonts w:eastAsia="Calibri"/>
              </w:rPr>
            </w:pPr>
            <w:r>
              <w:rPr>
                <w:rFonts w:eastAsia="Calibri"/>
              </w:rPr>
              <w:lastRenderedPageBreak/>
              <w:t xml:space="preserve">    </w:t>
            </w:r>
            <w:r w:rsidRPr="007D77B4">
              <w:rPr>
                <w:rFonts w:eastAsia="Calibri"/>
              </w:rPr>
              <w:t>Atbilstoši</w:t>
            </w:r>
            <w:r>
              <w:rPr>
                <w:rFonts w:eastAsia="Calibri"/>
              </w:rPr>
              <w:t xml:space="preserve"> </w:t>
            </w:r>
            <w:r w:rsidRPr="007D77B4">
              <w:rPr>
                <w:rFonts w:eastAsia="Calibri"/>
              </w:rPr>
              <w:t>MK</w:t>
            </w:r>
            <w:r>
              <w:rPr>
                <w:rFonts w:eastAsia="Calibri"/>
              </w:rPr>
              <w:t xml:space="preserve"> </w:t>
            </w:r>
            <w:r w:rsidRPr="007D77B4">
              <w:rPr>
                <w:rFonts w:eastAsia="Calibri"/>
              </w:rPr>
              <w:t>noteikumu Nr.1104 3.pielikumam, autoceļa V1187 “Pievedceļš Pāvilostai”, kura maršruta kopgarums ir 3,4 km, piederība ir norādīta valstij autoceļa maršruta posmā no 0 km līdz 3,1 km un piederība ir norādīta pašvaldībai autoceļa maršruta posmā no 3,1 km līdz 3,4 km.</w:t>
            </w:r>
            <w:r>
              <w:rPr>
                <w:rFonts w:eastAsia="Calibri"/>
              </w:rPr>
              <w:t xml:space="preserve"> </w:t>
            </w:r>
          </w:p>
          <w:p w:rsidRPr="00E26174" w:rsidR="00E26174" w:rsidP="00E26174" w:rsidRDefault="00E26174" w14:paraId="5CA89A77" w14:textId="32E41E51">
            <w:pPr>
              <w:pStyle w:val="ListParagraph"/>
              <w:ind w:left="0" w:firstLine="720"/>
              <w:jc w:val="both"/>
              <w:rPr>
                <w:lang w:eastAsia="en-US"/>
              </w:rPr>
            </w:pPr>
            <w:r>
              <w:t>Lūdzam precizēt anotācijas I sadaļas 2.punktā norādīto informāciju atbilstoši MK noteikumu Nr.1104 3.pielikumam.</w:t>
            </w:r>
          </w:p>
        </w:tc>
        <w:tc>
          <w:tcPr>
            <w:tcW w:w="3119" w:type="dxa"/>
            <w:gridSpan w:val="2"/>
            <w:tcBorders>
              <w:top w:val="single" w:color="000000" w:sz="6" w:space="0"/>
              <w:left w:val="single" w:color="000000" w:sz="6" w:space="0"/>
              <w:bottom w:val="single" w:color="000000" w:sz="6" w:space="0"/>
              <w:right w:val="single" w:color="000000" w:sz="6" w:space="0"/>
            </w:tcBorders>
          </w:tcPr>
          <w:p w:rsidRPr="000A3A1B" w:rsidR="00153C5C" w:rsidP="00153C5C" w:rsidRDefault="00153C5C" w14:paraId="7F61D90D" w14:textId="2B9CCF7D">
            <w:pPr>
              <w:pStyle w:val="naisc"/>
              <w:spacing w:before="0" w:after="0"/>
            </w:pPr>
            <w:r>
              <w:rPr>
                <w:b/>
                <w:bCs/>
              </w:rPr>
              <w:lastRenderedPageBreak/>
              <w:t>Iebildums ir ņemts vērā.</w:t>
            </w:r>
          </w:p>
          <w:p w:rsidRPr="006C67FA" w:rsidR="00A33A00" w:rsidP="00E250F0" w:rsidRDefault="00A33A00" w14:paraId="4B3ABCDE" w14:textId="77777777">
            <w:pPr>
              <w:pStyle w:val="naisc"/>
              <w:spacing w:before="0" w:after="0"/>
              <w:ind w:firstLine="720"/>
              <w:rPr>
                <w:lang w:eastAsia="en-US"/>
              </w:rPr>
            </w:pPr>
          </w:p>
        </w:tc>
        <w:tc>
          <w:tcPr>
            <w:tcW w:w="3599" w:type="dxa"/>
            <w:tcBorders>
              <w:top w:val="single" w:color="auto" w:sz="4" w:space="0"/>
              <w:left w:val="single" w:color="auto" w:sz="4" w:space="0"/>
              <w:bottom w:val="single" w:color="auto" w:sz="4" w:space="0"/>
              <w:right w:val="single" w:color="auto" w:sz="4" w:space="0"/>
            </w:tcBorders>
          </w:tcPr>
          <w:p w:rsidRPr="00DA29B0" w:rsidR="00153C5C" w:rsidP="00153C5C" w:rsidRDefault="00153C5C" w14:paraId="6EA1B84A" w14:textId="3C9E1431">
            <w:pPr>
              <w:jc w:val="both"/>
              <w:rPr>
                <w:bCs/>
              </w:rPr>
            </w:pPr>
            <w:r>
              <w:rPr>
                <w:rFonts w:eastAsia="Calibri"/>
                <w:bCs/>
                <w:lang w:eastAsia="en-US"/>
              </w:rPr>
              <w:t>Papildināts rīkojuma projekta a</w:t>
            </w:r>
            <w:r w:rsidRPr="00DA29B0">
              <w:rPr>
                <w:rFonts w:eastAsia="Calibri"/>
                <w:bCs/>
                <w:lang w:eastAsia="en-US"/>
              </w:rPr>
              <w:t>notācijas I sadaļas 2.punkt</w:t>
            </w:r>
            <w:r>
              <w:rPr>
                <w:rFonts w:eastAsia="Calibri"/>
                <w:bCs/>
                <w:lang w:eastAsia="en-US"/>
              </w:rPr>
              <w:t>s :</w:t>
            </w:r>
          </w:p>
          <w:p w:rsidRPr="00E62AF7" w:rsidR="00A33A00" w:rsidP="00E62AF7" w:rsidRDefault="00153C5C" w14:paraId="276C713C" w14:textId="5913178C">
            <w:pPr>
              <w:pStyle w:val="NoSpacing"/>
              <w:jc w:val="both"/>
              <w:rPr>
                <w:rFonts w:eastAsia="Calibri"/>
                <w:b/>
                <w:bCs/>
                <w:lang w:eastAsia="en-US"/>
              </w:rPr>
            </w:pPr>
            <w:r>
              <w:rPr>
                <w:rFonts w:eastAsia="Calibri"/>
                <w:bCs/>
              </w:rPr>
              <w:t>“</w:t>
            </w:r>
            <w:r w:rsidRPr="00B02517">
              <w:rPr>
                <w:rFonts w:eastAsia="Calibri"/>
                <w:lang w:eastAsia="en-US"/>
              </w:rPr>
              <w:t xml:space="preserve">Ministru kabineta 2009.gada 29.septembra noteikumu Nr.1104 “Noteikumi par valsts autoceļu un valsts autoceļu maršrutā ietverto pašvaldībām piederošo autoceļu posmu sarakstiem” 3.pielikumā “Vietējie autoceļi” norādīts, ka </w:t>
            </w:r>
            <w:r w:rsidRPr="00B02517">
              <w:rPr>
                <w:rFonts w:eastAsia="Calibri"/>
                <w:lang w:eastAsia="en-US"/>
              </w:rPr>
              <w:lastRenderedPageBreak/>
              <w:t xml:space="preserve">autoceļš V1187 “Pievedceļš Pāvilostai” 3,4 km kopgarumā ir iekļauts valsts vietējo autoceļu sarakstā, </w:t>
            </w:r>
            <w:r w:rsidRPr="00E62AF7">
              <w:rPr>
                <w:rFonts w:eastAsia="Calibri"/>
                <w:lang w:eastAsia="en-US"/>
              </w:rPr>
              <w:t>kā arī norādīta piederība valstij autoceļa maršruta posmā no 0 km līdz 3,1 km un piederība ir norādīta pašvaldība autoceļa maršruta posmā no 3,1 km līdz 3,4 km.”</w:t>
            </w:r>
          </w:p>
        </w:tc>
      </w:tr>
      <w:tr w:rsidRPr="006C67FA" w:rsidR="00A33A00" w:rsidTr="009973A9" w14:paraId="6EBBEFBC" w14:textId="77777777">
        <w:tc>
          <w:tcPr>
            <w:tcW w:w="503" w:type="dxa"/>
            <w:tcBorders>
              <w:top w:val="single" w:color="000000" w:sz="6" w:space="0"/>
              <w:left w:val="single" w:color="000000" w:sz="6" w:space="0"/>
              <w:bottom w:val="single" w:color="000000" w:sz="6" w:space="0"/>
              <w:right w:val="single" w:color="000000" w:sz="6" w:space="0"/>
            </w:tcBorders>
          </w:tcPr>
          <w:p w:rsidRPr="006C67FA" w:rsidR="00A33A00" w:rsidP="00E250F0" w:rsidRDefault="008464B0" w14:paraId="384CE825" w14:textId="14451D3B">
            <w:pPr>
              <w:pStyle w:val="naisc"/>
              <w:spacing w:before="0" w:after="0"/>
              <w:rPr>
                <w:lang w:eastAsia="en-US"/>
              </w:rPr>
            </w:pPr>
            <w:r>
              <w:rPr>
                <w:lang w:eastAsia="en-US"/>
              </w:rPr>
              <w:lastRenderedPageBreak/>
              <w:t>3.</w:t>
            </w:r>
          </w:p>
        </w:tc>
        <w:tc>
          <w:tcPr>
            <w:tcW w:w="3367" w:type="dxa"/>
            <w:gridSpan w:val="2"/>
            <w:tcBorders>
              <w:top w:val="single" w:color="000000" w:sz="6" w:space="0"/>
              <w:left w:val="single" w:color="000000" w:sz="6" w:space="0"/>
              <w:bottom w:val="single" w:color="000000" w:sz="6" w:space="0"/>
              <w:right w:val="single" w:color="000000" w:sz="6" w:space="0"/>
            </w:tcBorders>
          </w:tcPr>
          <w:p w:rsidRPr="006C67FA" w:rsidR="00A33A00" w:rsidP="008464B0" w:rsidRDefault="008464B0" w14:paraId="7972AD94" w14:textId="417D117B">
            <w:pPr>
              <w:pStyle w:val="naisc"/>
              <w:spacing w:before="0" w:after="0"/>
              <w:jc w:val="both"/>
              <w:rPr>
                <w:lang w:eastAsia="en-US"/>
              </w:rPr>
            </w:pPr>
            <w:r>
              <w:rPr>
                <w:lang w:eastAsia="en-US"/>
              </w:rPr>
              <w:t xml:space="preserve">Rīkojuma projekts un tā </w:t>
            </w:r>
            <w:r w:rsidRPr="00A33A00">
              <w:rPr>
                <w:lang w:eastAsia="en-US"/>
              </w:rPr>
              <w:t>anotācija</w:t>
            </w:r>
            <w:r>
              <w:rPr>
                <w:lang w:eastAsia="en-US"/>
              </w:rPr>
              <w:t>.</w:t>
            </w:r>
          </w:p>
        </w:tc>
        <w:tc>
          <w:tcPr>
            <w:tcW w:w="3359" w:type="dxa"/>
            <w:tcBorders>
              <w:top w:val="single" w:color="000000" w:sz="6" w:space="0"/>
              <w:left w:val="single" w:color="000000" w:sz="6" w:space="0"/>
              <w:bottom w:val="single" w:color="000000" w:sz="6" w:space="0"/>
              <w:right w:val="single" w:color="000000" w:sz="6" w:space="0"/>
            </w:tcBorders>
          </w:tcPr>
          <w:p w:rsidRPr="008464B0" w:rsidR="008464B0" w:rsidP="008464B0" w:rsidRDefault="008464B0" w14:paraId="44E7BE01" w14:textId="77777777">
            <w:pPr>
              <w:pStyle w:val="naisc"/>
              <w:spacing w:before="0" w:after="0"/>
              <w:rPr>
                <w:b/>
                <w:bCs/>
                <w:lang w:eastAsia="en-US"/>
              </w:rPr>
            </w:pPr>
            <w:r w:rsidRPr="008464B0">
              <w:rPr>
                <w:b/>
                <w:bCs/>
                <w:lang w:eastAsia="en-US"/>
              </w:rPr>
              <w:t>Tieslietu ministrija</w:t>
            </w:r>
          </w:p>
          <w:p w:rsidRPr="008464B0" w:rsidR="008464B0" w:rsidP="008464B0" w:rsidRDefault="008464B0" w14:paraId="2A296497" w14:textId="21B31B68">
            <w:pPr>
              <w:jc w:val="both"/>
              <w:rPr>
                <w:u w:val="single"/>
              </w:rPr>
            </w:pPr>
            <w:r w:rsidRPr="008464B0">
              <w:t xml:space="preserve">Projekta 1.punkts paredz saskaņā ar Publiskas personas mantas atsavināšanas likuma 42. panta pirmo daļu un 43.pantu un likuma "Par autoceļiem" 4. panta pirmo daļu pašvaldības autonomās funkcijas īstenošanai atbilstoši likuma "Par pašvaldībām" 15. panta pirmajai daļai atļaut Satiksmes ministrijai nodot bez atlīdzības Pāvilostas novada pašvaldības īpašumā </w:t>
            </w:r>
            <w:r w:rsidRPr="008464B0">
              <w:rPr>
                <w:u w:val="single"/>
              </w:rPr>
              <w:t>valstij piederošo</w:t>
            </w:r>
            <w:r w:rsidRPr="008464B0">
              <w:t xml:space="preserve"> nekustamo īpašumu “V1187” (nekustamā īpašuma kadastra </w:t>
            </w:r>
            <w:r w:rsidRPr="008464B0">
              <w:lastRenderedPageBreak/>
              <w:t xml:space="preserve">Nr.64130050042) – zemes vienību (zemes vienības kadastra apzīmējums 64130050055) 1.88 ha platībā, zemes vienību (zemes vienības kadastra apzīmējums 64130020265) 3.382 ha platībā, zemes vienību (zemes vienības kadastra apzīmējums 64130010297) 0.7264 ha platībā uz tām izbūvēto valsts vietējā autoceļa V1187 posmu km 0,058.-3,058 “Pievedceļš Pāvilostai” (būves kadastra apzīmējums 64130050055001) Pāvilostā,  Pāvilostas novadā. Vienlaikus projekta 3. punktā ietverts pilnvarojums Pāvilostas novada pašvaldībai parakstīt nostiprinājuma lūgumu par nekustamā īpašuma ierakstīšanu zemesgrāmatā un </w:t>
            </w:r>
            <w:r w:rsidRPr="008464B0">
              <w:rPr>
                <w:u w:val="single"/>
              </w:rPr>
              <w:t>īpašuma tiesību nostiprināšanu uz valsts vārda</w:t>
            </w:r>
            <w:r w:rsidRPr="008464B0">
              <w:t xml:space="preserve"> Satiksmes ministrijas personā, kā arī veikt citas nepieciešamās darbības attiecīgā nekustamā īpašuma ierakstīšanai zemesgrāmatā, bet projekta 4. punkts paredz ierakstīt </w:t>
            </w:r>
            <w:r w:rsidRPr="008464B0">
              <w:rPr>
                <w:u w:val="single"/>
              </w:rPr>
              <w:t xml:space="preserve">nekustamo īpašumu zemesgrāmatā uz valsts vārda Satiksmes ministrijas personā </w:t>
            </w:r>
            <w:r w:rsidRPr="008464B0">
              <w:rPr>
                <w:u w:val="single"/>
              </w:rPr>
              <w:lastRenderedPageBreak/>
              <w:t>vienlaikus ar Pāvilostas novada pašvaldības īpašuma tiesību nostiprināšanu.</w:t>
            </w:r>
          </w:p>
          <w:p w:rsidRPr="008464B0" w:rsidR="008464B0" w:rsidP="008464B0" w:rsidRDefault="008464B0" w14:paraId="1104ACE8" w14:textId="6F2F1781">
            <w:pPr>
              <w:pStyle w:val="tv2132"/>
              <w:spacing w:line="240" w:lineRule="auto"/>
              <w:ind w:firstLine="301"/>
              <w:jc w:val="both"/>
              <w:rPr>
                <w:rFonts w:eastAsia="Calibri"/>
                <w:color w:val="auto"/>
                <w:sz w:val="24"/>
                <w:szCs w:val="24"/>
              </w:rPr>
            </w:pPr>
            <w:r w:rsidRPr="008464B0">
              <w:rPr>
                <w:color w:val="auto"/>
                <w:sz w:val="24"/>
                <w:szCs w:val="24"/>
              </w:rPr>
              <w:t>Vēršam uzmanību, ka no projekta 1., 3. punkta un 4.1.apakšpunkta un sākotnējās ietekmes novērtējuma ziņojuma (anotācijas) (turpmāk – anotācija) kopsavilkumā un I sadaļas 2. punktā ietvertās informācijas nav saprotams atsavināmās nekustamās mantas</w:t>
            </w:r>
            <w:r w:rsidRPr="008464B0">
              <w:rPr>
                <w:color w:val="auto"/>
                <w:sz w:val="24"/>
                <w:szCs w:val="24"/>
                <w:lang w:eastAsia="en-US"/>
              </w:rPr>
              <w:t xml:space="preserve"> “V1187” (nekustamā īpašuma kadastra Nr.64130050042)</w:t>
            </w:r>
            <w:r w:rsidRPr="008464B0">
              <w:rPr>
                <w:color w:val="auto"/>
                <w:sz w:val="24"/>
                <w:szCs w:val="24"/>
              </w:rPr>
              <w:t xml:space="preserve"> tiesiskais statuss, t.i., valstij </w:t>
            </w:r>
            <w:r w:rsidRPr="008464B0">
              <w:rPr>
                <w:color w:val="auto"/>
                <w:sz w:val="24"/>
                <w:szCs w:val="24"/>
                <w:u w:val="single"/>
              </w:rPr>
              <w:t xml:space="preserve">piekrītošs </w:t>
            </w:r>
            <w:r w:rsidRPr="008464B0">
              <w:rPr>
                <w:color w:val="auto"/>
                <w:sz w:val="24"/>
                <w:szCs w:val="24"/>
              </w:rPr>
              <w:t xml:space="preserve">vai valsts </w:t>
            </w:r>
            <w:r w:rsidRPr="008464B0">
              <w:rPr>
                <w:color w:val="auto"/>
                <w:sz w:val="24"/>
                <w:szCs w:val="24"/>
                <w:u w:val="single"/>
              </w:rPr>
              <w:t>īpašumā esošs</w:t>
            </w:r>
            <w:r w:rsidRPr="008464B0">
              <w:rPr>
                <w:color w:val="auto"/>
                <w:sz w:val="24"/>
                <w:szCs w:val="24"/>
              </w:rPr>
              <w:t xml:space="preserve"> nekustamais īpašums (anotācijas kopsavilkumā norādīts, ka valstij Satiksmes ministrijas personā </w:t>
            </w:r>
            <w:r w:rsidRPr="008464B0">
              <w:rPr>
                <w:color w:val="auto"/>
                <w:sz w:val="24"/>
                <w:szCs w:val="24"/>
                <w:u w:val="single"/>
              </w:rPr>
              <w:t>piekritīgais nekustamais īpašums</w:t>
            </w:r>
            <w:r w:rsidRPr="008464B0">
              <w:rPr>
                <w:color w:val="auto"/>
                <w:sz w:val="24"/>
                <w:szCs w:val="24"/>
              </w:rPr>
              <w:t xml:space="preserve"> ir nododams pašvaldības īpašumā, savukārt anotācijas I sadaļas 2. punktā norādīts: "</w:t>
            </w:r>
            <w:r w:rsidRPr="008464B0">
              <w:rPr>
                <w:rFonts w:eastAsia="Calibri"/>
                <w:color w:val="auto"/>
                <w:sz w:val="24"/>
                <w:szCs w:val="24"/>
              </w:rPr>
              <w:t>Likuma „Par autoceļiem” 4.</w:t>
            </w:r>
            <w:r w:rsidRPr="008464B0">
              <w:rPr>
                <w:color w:val="auto"/>
                <w:sz w:val="24"/>
                <w:szCs w:val="24"/>
              </w:rPr>
              <w:t xml:space="preserve"> </w:t>
            </w:r>
            <w:r w:rsidRPr="008464B0">
              <w:rPr>
                <w:rFonts w:eastAsia="Calibri"/>
                <w:color w:val="auto"/>
                <w:sz w:val="24"/>
                <w:szCs w:val="24"/>
              </w:rPr>
              <w:t xml:space="preserve">panta pirmajā daļā noteikts, ka </w:t>
            </w:r>
            <w:r w:rsidRPr="008464B0">
              <w:rPr>
                <w:rFonts w:eastAsia="Calibri"/>
                <w:color w:val="auto"/>
                <w:sz w:val="24"/>
                <w:szCs w:val="24"/>
                <w:u w:val="single"/>
              </w:rPr>
              <w:t>valsts autoceļi un to zemes, tai skaitā ceļu zemes nodalījuma joslas,</w:t>
            </w:r>
            <w:r w:rsidRPr="008464B0">
              <w:rPr>
                <w:rFonts w:eastAsia="Calibri"/>
                <w:color w:val="auto"/>
                <w:sz w:val="24"/>
                <w:szCs w:val="24"/>
              </w:rPr>
              <w:t xml:space="preserve"> ar visām šo autoceļu</w:t>
            </w:r>
            <w:r w:rsidRPr="008464B0">
              <w:rPr>
                <w:rFonts w:eastAsia="Calibri"/>
                <w:b/>
                <w:color w:val="auto"/>
                <w:sz w:val="24"/>
                <w:szCs w:val="24"/>
              </w:rPr>
              <w:t xml:space="preserve"> </w:t>
            </w:r>
            <w:r w:rsidRPr="008464B0">
              <w:rPr>
                <w:rFonts w:eastAsia="Calibri"/>
                <w:color w:val="auto"/>
                <w:sz w:val="24"/>
                <w:szCs w:val="24"/>
              </w:rPr>
              <w:t xml:space="preserve">kompleksā ietilpstošajām būvēm ir </w:t>
            </w:r>
            <w:r w:rsidRPr="008464B0">
              <w:rPr>
                <w:rFonts w:eastAsia="Calibri"/>
                <w:color w:val="auto"/>
                <w:sz w:val="24"/>
                <w:szCs w:val="24"/>
                <w:u w:val="single"/>
              </w:rPr>
              <w:t>Latvijas Republikas īpašums</w:t>
            </w:r>
            <w:r w:rsidRPr="008464B0">
              <w:rPr>
                <w:color w:val="auto"/>
                <w:sz w:val="24"/>
                <w:szCs w:val="24"/>
              </w:rPr>
              <w:t>"</w:t>
            </w:r>
            <w:r w:rsidRPr="008464B0">
              <w:rPr>
                <w:rFonts w:eastAsia="Calibri"/>
                <w:color w:val="auto"/>
                <w:sz w:val="24"/>
                <w:szCs w:val="24"/>
              </w:rPr>
              <w:t>.</w:t>
            </w:r>
            <w:r w:rsidRPr="008464B0">
              <w:rPr>
                <w:color w:val="auto"/>
                <w:sz w:val="24"/>
                <w:szCs w:val="24"/>
              </w:rPr>
              <w:t xml:space="preserve"> </w:t>
            </w:r>
            <w:r w:rsidRPr="008464B0">
              <w:rPr>
                <w:color w:val="auto"/>
                <w:sz w:val="24"/>
                <w:szCs w:val="24"/>
              </w:rPr>
              <w:lastRenderedPageBreak/>
              <w:t xml:space="preserve">Paskaidrojam, ka saskaņā ar Civillikuma 1477. panta otro daļu lietu tiesības, kas pastāv uz likuma pamata, ir </w:t>
            </w:r>
            <w:r w:rsidRPr="008464B0">
              <w:rPr>
                <w:color w:val="auto"/>
                <w:sz w:val="24"/>
                <w:szCs w:val="24"/>
                <w:u w:val="single"/>
              </w:rPr>
              <w:t>spēkā arī bez ierakstīšanas zemes grāmatās</w:t>
            </w:r>
            <w:r w:rsidRPr="008464B0">
              <w:rPr>
                <w:color w:val="auto"/>
                <w:sz w:val="24"/>
                <w:szCs w:val="24"/>
              </w:rPr>
              <w:t xml:space="preserve">. Turklāt saskaņā ar Publiskas personas mantas atsavināšanas likuma </w:t>
            </w:r>
            <w:r w:rsidRPr="008464B0">
              <w:rPr>
                <w:color w:val="auto"/>
                <w:sz w:val="24"/>
                <w:szCs w:val="24"/>
                <w:u w:val="single"/>
              </w:rPr>
              <w:t>42.</w:t>
            </w:r>
            <w:r w:rsidRPr="008464B0">
              <w:rPr>
                <w:color w:val="auto"/>
                <w:sz w:val="24"/>
                <w:szCs w:val="24"/>
                <w:u w:val="single"/>
                <w:vertAlign w:val="superscript"/>
              </w:rPr>
              <w:t>1</w:t>
            </w:r>
            <w:r w:rsidRPr="008464B0">
              <w:rPr>
                <w:color w:val="auto"/>
                <w:sz w:val="24"/>
                <w:szCs w:val="24"/>
                <w:u w:val="single"/>
              </w:rPr>
              <w:t xml:space="preserve"> panta pirmo un otro daļu, kas nav projekta 1. punktā un anotācijas I  sadaļas 1. punktā norādītas kā projekta izdošanas tiesiskais pamatojums</w:t>
            </w:r>
            <w:r w:rsidRPr="008464B0">
              <w:rPr>
                <w:color w:val="auto"/>
                <w:sz w:val="24"/>
                <w:szCs w:val="24"/>
              </w:rPr>
              <w:t xml:space="preserve">, valstij vai pašvaldībai </w:t>
            </w:r>
            <w:r w:rsidRPr="008464B0">
              <w:rPr>
                <w:color w:val="auto"/>
                <w:sz w:val="24"/>
                <w:szCs w:val="24"/>
                <w:u w:val="single"/>
              </w:rPr>
              <w:t>piekrītošo</w:t>
            </w:r>
            <w:r w:rsidRPr="008464B0">
              <w:rPr>
                <w:color w:val="auto"/>
                <w:sz w:val="24"/>
                <w:szCs w:val="24"/>
              </w:rPr>
              <w:t xml:space="preserve"> nekustamo īpašumu, ievērojot normatīvajos aktos noteiktos ierobežojumus rīcībai ar piekritīgo nekustamo īpašumu un šā likuma </w:t>
            </w:r>
            <w:hyperlink w:history="1" w:anchor="p42" r:id="rId11">
              <w:r w:rsidRPr="008464B0">
                <w:rPr>
                  <w:color w:val="auto"/>
                  <w:sz w:val="24"/>
                  <w:szCs w:val="24"/>
                </w:rPr>
                <w:t>42.</w:t>
              </w:r>
            </w:hyperlink>
            <w:r w:rsidRPr="008464B0">
              <w:rPr>
                <w:color w:val="auto"/>
                <w:sz w:val="24"/>
                <w:szCs w:val="24"/>
              </w:rPr>
              <w:t> panta nosacījumus, var nodot īpašumā bez atlīdzības, ja valstij vai pašvaldībai</w:t>
            </w:r>
            <w:r w:rsidRPr="008464B0">
              <w:rPr>
                <w:color w:val="auto"/>
                <w:sz w:val="24"/>
                <w:szCs w:val="24"/>
                <w:u w:val="single"/>
              </w:rPr>
              <w:t xml:space="preserve"> piekrītošais nekustamais īpašums </w:t>
            </w:r>
            <w:r w:rsidRPr="008464B0">
              <w:rPr>
                <w:color w:val="auto"/>
                <w:sz w:val="24"/>
                <w:szCs w:val="24"/>
              </w:rPr>
              <w:t xml:space="preserve">tiek ierakstīts zemesgrāmatā uz valsts vai pašvaldības vārda </w:t>
            </w:r>
            <w:r w:rsidRPr="008464B0">
              <w:rPr>
                <w:color w:val="auto"/>
                <w:sz w:val="24"/>
                <w:szCs w:val="24"/>
                <w:u w:val="single"/>
              </w:rPr>
              <w:t>vienlaikus ar ieguvēja īpašuma tiesību nostiprināšanu uz attiecīgo īpašumu</w:t>
            </w:r>
            <w:r w:rsidRPr="008464B0">
              <w:rPr>
                <w:color w:val="auto"/>
                <w:sz w:val="24"/>
                <w:szCs w:val="24"/>
              </w:rPr>
              <w:t xml:space="preserve">, un Ministru kabineta vai pašvaldības domes lēmumā par nekustamā īpašuma nodošanu </w:t>
            </w:r>
            <w:r w:rsidRPr="008464B0">
              <w:rPr>
                <w:color w:val="auto"/>
                <w:sz w:val="24"/>
                <w:szCs w:val="24"/>
                <w:u w:val="single"/>
              </w:rPr>
              <w:t xml:space="preserve">pilnvaro nekustamā īpašuma ieguvēju parakstīt </w:t>
            </w:r>
            <w:r w:rsidRPr="008464B0">
              <w:rPr>
                <w:color w:val="auto"/>
                <w:sz w:val="24"/>
                <w:szCs w:val="24"/>
                <w:u w:val="single"/>
              </w:rPr>
              <w:lastRenderedPageBreak/>
              <w:t>nostiprinājuma lūgumu par nekustamā īpašuma ierakstīšanu zemesgrāmatā, kā arī veikt citas nepieciešamās darbības attiecīgā īpašuma ierakstīšanai zemesgrāmatā.</w:t>
            </w:r>
            <w:r w:rsidRPr="008464B0">
              <w:rPr>
                <w:color w:val="auto"/>
                <w:sz w:val="24"/>
                <w:szCs w:val="24"/>
              </w:rPr>
              <w:t xml:space="preserve"> Šajā gadījumā iestādes atbrīvojamas no kancelejas nodevas samaksas, kas saistīta ar nekustamā īpašuma ierakstīšanu un īpašuma tiesību nostiprināšanu zemesgrāmatā. Līdz ar to secināms, ka atbilstoši Publiskas personas mantas atsavināšanas likuma regulējumam vienīgi valstij </w:t>
            </w:r>
            <w:r w:rsidRPr="008464B0">
              <w:rPr>
                <w:color w:val="auto"/>
                <w:sz w:val="24"/>
                <w:szCs w:val="24"/>
                <w:u w:val="single"/>
              </w:rPr>
              <w:t>piekrītošais nekustamais īpašums</w:t>
            </w:r>
            <w:r w:rsidRPr="008464B0">
              <w:rPr>
                <w:color w:val="auto"/>
                <w:sz w:val="24"/>
                <w:szCs w:val="24"/>
              </w:rPr>
              <w:t xml:space="preserve"> tiek ierakstīts zemesgrāmatā uz valsts vārda </w:t>
            </w:r>
            <w:r w:rsidRPr="008464B0">
              <w:rPr>
                <w:color w:val="auto"/>
                <w:sz w:val="24"/>
                <w:szCs w:val="24"/>
                <w:u w:val="single"/>
              </w:rPr>
              <w:t>vienlaikus ar pašvaldības kā ieguvēja īpašuma tiesību nostiprināšanu uz attiecīgo īpašumu</w:t>
            </w:r>
            <w:r w:rsidRPr="008464B0">
              <w:rPr>
                <w:color w:val="auto"/>
                <w:sz w:val="24"/>
                <w:szCs w:val="24"/>
              </w:rPr>
              <w:t xml:space="preserve"> (sk. projekta 3. punktu un 4.1. apakšpunktu).  </w:t>
            </w:r>
          </w:p>
          <w:p w:rsidR="008464B0" w:rsidP="008464B0" w:rsidRDefault="008464B0" w14:paraId="5C69E57D" w14:textId="77777777">
            <w:pPr>
              <w:jc w:val="both"/>
            </w:pPr>
            <w:r w:rsidRPr="008464B0">
              <w:t xml:space="preserve">Turklāt saskaņā ar Ministru kabineta 2010. gada 31. maija rīkojuma Nr.297 “Par zemes vienību piederību vai piekritību valstij un nostiprināšanu zemesgrāmatā uz valsts vārda attiecīgās ministrijas vai valsts akciju sabiedrības </w:t>
            </w:r>
            <w:r w:rsidRPr="008464B0">
              <w:lastRenderedPageBreak/>
              <w:t xml:space="preserve">"Privatizācijas aģentūra" personā” 9. un 13.  punktu projekta 1. punktā minētās zemes vienības </w:t>
            </w:r>
            <w:r w:rsidRPr="008464B0">
              <w:rPr>
                <w:u w:val="single"/>
              </w:rPr>
              <w:t>ir saglabātas valsts īpašumā, un Satiksmes ministrijai uzdots tās normatīvajos aktos noteiktajā kārtībā ierakstīt zemesgrāmatā uz valsts vārda savā personā</w:t>
            </w:r>
            <w:r w:rsidRPr="008464B0">
              <w:t xml:space="preserve">, iesniedzot likuma "Par valsts un pašvaldību zemes īpašuma tiesībām un to nostiprināšanu zemesgrāmatās" </w:t>
            </w:r>
            <w:hyperlink w:history="1" w:anchor="p13" r:id="rId12">
              <w:r w:rsidRPr="008464B0">
                <w:t>13. panta</w:t>
              </w:r>
            </w:hyperlink>
            <w:r w:rsidRPr="008464B0">
              <w:t xml:space="preserve"> pirmajā daļā noteiktos dokumentus.</w:t>
            </w:r>
          </w:p>
          <w:p w:rsidRPr="008464B0" w:rsidR="00A33A00" w:rsidP="008464B0" w:rsidRDefault="008464B0" w14:paraId="3F79F450" w14:textId="675253E8">
            <w:pPr>
              <w:jc w:val="both"/>
            </w:pPr>
            <w:r w:rsidRPr="008464B0">
              <w:rPr>
                <w:bCs/>
              </w:rPr>
              <w:t xml:space="preserve">Līdz ar to lūdzam precizēt </w:t>
            </w:r>
            <w:r w:rsidRPr="008464B0">
              <w:t>projektu, kā arī anotācijas kopsavilkumu un I sadaļas 2. punktu atbilstoši atsavināmās mantas tiesiskajam statusam un Publiskas personas mantas atsavināšanas likuma 42. vai 42.</w:t>
            </w:r>
            <w:r w:rsidRPr="008464B0">
              <w:rPr>
                <w:vertAlign w:val="superscript"/>
              </w:rPr>
              <w:t>1</w:t>
            </w:r>
            <w:r w:rsidRPr="008464B0">
              <w:t xml:space="preserve"> pantam.</w:t>
            </w:r>
            <w:r w:rsidRPr="008464B0">
              <w:rPr>
                <w:b/>
                <w:bCs/>
                <w:lang w:eastAsia="en-US"/>
              </w:rPr>
              <w:t xml:space="preserve"> </w:t>
            </w:r>
          </w:p>
        </w:tc>
        <w:tc>
          <w:tcPr>
            <w:tcW w:w="3119" w:type="dxa"/>
            <w:gridSpan w:val="2"/>
            <w:tcBorders>
              <w:top w:val="single" w:color="000000" w:sz="6" w:space="0"/>
              <w:left w:val="single" w:color="000000" w:sz="6" w:space="0"/>
              <w:bottom w:val="single" w:color="000000" w:sz="6" w:space="0"/>
              <w:right w:val="single" w:color="000000" w:sz="6" w:space="0"/>
            </w:tcBorders>
          </w:tcPr>
          <w:p w:rsidR="008464B0" w:rsidP="00DB61D3" w:rsidRDefault="008464B0" w14:paraId="78CCF4C6" w14:textId="31CB8984">
            <w:pPr>
              <w:pStyle w:val="naisc"/>
              <w:spacing w:before="0" w:after="0"/>
              <w:rPr>
                <w:szCs w:val="28"/>
              </w:rPr>
            </w:pPr>
            <w:r>
              <w:rPr>
                <w:b/>
                <w:bCs/>
              </w:rPr>
              <w:lastRenderedPageBreak/>
              <w:t>Iebildums ir ņemts vērā.</w:t>
            </w:r>
          </w:p>
          <w:p w:rsidRPr="006C67FA" w:rsidR="00A33A00" w:rsidP="00E250F0" w:rsidRDefault="00A33A00" w14:paraId="449E6A1E" w14:textId="77777777">
            <w:pPr>
              <w:pStyle w:val="naisc"/>
              <w:spacing w:before="0" w:after="0"/>
              <w:ind w:firstLine="720"/>
              <w:rPr>
                <w:lang w:eastAsia="en-US"/>
              </w:rPr>
            </w:pPr>
          </w:p>
        </w:tc>
        <w:tc>
          <w:tcPr>
            <w:tcW w:w="3599" w:type="dxa"/>
            <w:tcBorders>
              <w:top w:val="single" w:color="auto" w:sz="4" w:space="0"/>
              <w:left w:val="single" w:color="auto" w:sz="4" w:space="0"/>
              <w:bottom w:val="single" w:color="auto" w:sz="4" w:space="0"/>
              <w:right w:val="single" w:color="auto" w:sz="4" w:space="0"/>
            </w:tcBorders>
          </w:tcPr>
          <w:p w:rsidRPr="006C67FA" w:rsidR="00A33A00" w:rsidP="008464B0" w:rsidRDefault="008464B0" w14:paraId="0C59DE90" w14:textId="25272F05">
            <w:pPr>
              <w:jc w:val="both"/>
              <w:rPr>
                <w:lang w:eastAsia="en-US"/>
              </w:rPr>
            </w:pPr>
            <w:r w:rsidRPr="00DA7AB3">
              <w:t>Attiecīgi precizēt</w:t>
            </w:r>
            <w:r>
              <w:t>a</w:t>
            </w:r>
            <w:r w:rsidRPr="00DA7AB3">
              <w:t xml:space="preserve"> rīkojuma projekt</w:t>
            </w:r>
            <w:r>
              <w:t>a</w:t>
            </w:r>
            <w:r w:rsidRPr="00DA7AB3">
              <w:t xml:space="preserve"> anotācija.</w:t>
            </w:r>
          </w:p>
        </w:tc>
      </w:tr>
      <w:tr w:rsidRPr="006C67FA" w:rsidR="00923905" w:rsidTr="000A7C84" w14:paraId="476CF4B1" w14:textId="77777777">
        <w:tc>
          <w:tcPr>
            <w:tcW w:w="13947" w:type="dxa"/>
            <w:gridSpan w:val="7"/>
            <w:tcBorders>
              <w:top w:val="single" w:color="000000" w:sz="6" w:space="0"/>
              <w:left w:val="single" w:color="000000" w:sz="6" w:space="0"/>
              <w:bottom w:val="single" w:color="000000" w:sz="6" w:space="0"/>
              <w:right w:val="single" w:color="auto" w:sz="4" w:space="0"/>
            </w:tcBorders>
          </w:tcPr>
          <w:p w:rsidRPr="00923905" w:rsidR="00923905" w:rsidP="00923905" w:rsidRDefault="00923905" w14:paraId="540B0FE0" w14:textId="1F2883DB">
            <w:pPr>
              <w:jc w:val="center"/>
              <w:rPr>
                <w:b/>
                <w:bCs/>
                <w:sz w:val="28"/>
                <w:szCs w:val="28"/>
              </w:rPr>
            </w:pPr>
            <w:r w:rsidRPr="00923905">
              <w:rPr>
                <w:b/>
                <w:bCs/>
                <w:sz w:val="28"/>
                <w:szCs w:val="28"/>
                <w:lang w:eastAsia="en-US"/>
              </w:rPr>
              <w:lastRenderedPageBreak/>
              <w:t>Priekšlikum</w:t>
            </w:r>
            <w:r w:rsidR="00331003">
              <w:rPr>
                <w:b/>
                <w:bCs/>
                <w:sz w:val="28"/>
                <w:szCs w:val="28"/>
                <w:lang w:eastAsia="en-US"/>
              </w:rPr>
              <w:t>s</w:t>
            </w:r>
          </w:p>
        </w:tc>
      </w:tr>
      <w:tr w:rsidRPr="006C67FA" w:rsidR="00923905" w:rsidTr="009973A9" w14:paraId="58B5E17B" w14:textId="77777777">
        <w:tc>
          <w:tcPr>
            <w:tcW w:w="503" w:type="dxa"/>
            <w:tcBorders>
              <w:top w:val="single" w:color="000000" w:sz="6" w:space="0"/>
              <w:left w:val="single" w:color="000000" w:sz="6" w:space="0"/>
              <w:bottom w:val="single" w:color="000000" w:sz="6" w:space="0"/>
              <w:right w:val="single" w:color="000000" w:sz="6" w:space="0"/>
            </w:tcBorders>
          </w:tcPr>
          <w:p w:rsidR="00923905" w:rsidP="00E250F0" w:rsidRDefault="00923905" w14:paraId="1CE599F5" w14:textId="39FDBABA">
            <w:pPr>
              <w:pStyle w:val="naisc"/>
              <w:spacing w:before="0" w:after="0"/>
              <w:rPr>
                <w:lang w:eastAsia="en-US"/>
              </w:rPr>
            </w:pPr>
            <w:r>
              <w:rPr>
                <w:lang w:eastAsia="en-US"/>
              </w:rPr>
              <w:t>4.</w:t>
            </w:r>
          </w:p>
        </w:tc>
        <w:tc>
          <w:tcPr>
            <w:tcW w:w="3367" w:type="dxa"/>
            <w:gridSpan w:val="2"/>
            <w:tcBorders>
              <w:top w:val="single" w:color="000000" w:sz="6" w:space="0"/>
              <w:left w:val="single" w:color="000000" w:sz="6" w:space="0"/>
              <w:bottom w:val="single" w:color="000000" w:sz="6" w:space="0"/>
              <w:right w:val="single" w:color="000000" w:sz="6" w:space="0"/>
            </w:tcBorders>
          </w:tcPr>
          <w:p w:rsidR="00923905" w:rsidP="008464B0" w:rsidRDefault="00923905" w14:paraId="2F5005DA" w14:textId="2EADAD61">
            <w:pPr>
              <w:pStyle w:val="naisc"/>
              <w:spacing w:before="0" w:after="0"/>
              <w:jc w:val="both"/>
              <w:rPr>
                <w:lang w:eastAsia="en-US"/>
              </w:rPr>
            </w:pPr>
            <w:r w:rsidRPr="00923905">
              <w:rPr>
                <w:lang w:eastAsia="en-US"/>
              </w:rPr>
              <w:t>Rīkojuma projekta anotācija</w:t>
            </w:r>
            <w:r>
              <w:rPr>
                <w:lang w:eastAsia="en-US"/>
              </w:rPr>
              <w:t>.</w:t>
            </w:r>
          </w:p>
        </w:tc>
        <w:tc>
          <w:tcPr>
            <w:tcW w:w="3359" w:type="dxa"/>
            <w:tcBorders>
              <w:top w:val="single" w:color="000000" w:sz="6" w:space="0"/>
              <w:left w:val="single" w:color="000000" w:sz="6" w:space="0"/>
              <w:bottom w:val="single" w:color="000000" w:sz="6" w:space="0"/>
              <w:right w:val="single" w:color="000000" w:sz="6" w:space="0"/>
            </w:tcBorders>
          </w:tcPr>
          <w:p w:rsidR="00923905" w:rsidP="00923905" w:rsidRDefault="00923905" w14:paraId="5ADCC8ED" w14:textId="631508A2">
            <w:pPr>
              <w:pStyle w:val="naisc"/>
              <w:spacing w:before="0" w:after="0"/>
              <w:rPr>
                <w:b/>
                <w:bCs/>
                <w:lang w:eastAsia="en-US"/>
              </w:rPr>
            </w:pPr>
            <w:r>
              <w:rPr>
                <w:b/>
                <w:bCs/>
                <w:lang w:eastAsia="en-US"/>
              </w:rPr>
              <w:t>Finanšu ministrija</w:t>
            </w:r>
          </w:p>
          <w:p w:rsidR="00923905" w:rsidP="00923905" w:rsidRDefault="00923905" w14:paraId="4395AE3B" w14:textId="79C02EE7">
            <w:pPr>
              <w:pStyle w:val="naisc"/>
              <w:spacing w:before="0" w:after="0"/>
              <w:jc w:val="both"/>
              <w:rPr>
                <w:lang w:eastAsia="en-US"/>
              </w:rPr>
            </w:pPr>
            <w:r>
              <w:rPr>
                <w:lang w:eastAsia="en-US"/>
              </w:rPr>
              <w:t>Lūdz</w:t>
            </w:r>
            <w:r w:rsidR="007E5B10">
              <w:rPr>
                <w:lang w:eastAsia="en-US"/>
              </w:rPr>
              <w:t>m</w:t>
            </w:r>
            <w:r>
              <w:rPr>
                <w:lang w:eastAsia="en-US"/>
              </w:rPr>
              <w:t xml:space="preserve"> anotācijas I sadaļas 1.punktā precizēt Pāvilostas novada domes lēmuma datumu.</w:t>
            </w:r>
          </w:p>
          <w:p w:rsidR="00923905" w:rsidP="00923905" w:rsidRDefault="00923905" w14:paraId="6049E134" w14:textId="77777777">
            <w:pPr>
              <w:tabs>
                <w:tab w:val="left" w:pos="993"/>
              </w:tabs>
              <w:contextualSpacing/>
              <w:jc w:val="both"/>
              <w:rPr>
                <w:rFonts w:eastAsia="Calibri"/>
                <w:lang w:eastAsia="en-US"/>
              </w:rPr>
            </w:pPr>
            <w:r>
              <w:rPr>
                <w:rFonts w:eastAsia="Calibri"/>
                <w:lang w:eastAsia="en-US"/>
              </w:rPr>
              <w:t xml:space="preserve">     </w:t>
            </w:r>
            <w:r w:rsidRPr="00275F1E">
              <w:rPr>
                <w:rFonts w:eastAsia="Calibri"/>
                <w:lang w:eastAsia="en-US"/>
              </w:rPr>
              <w:t xml:space="preserve">Anotācijas I sadaļas 1.punktā kā pamatojums ir norādīts Pāvilostas pašvaldības </w:t>
            </w:r>
            <w:r w:rsidRPr="00275F1E">
              <w:rPr>
                <w:rFonts w:eastAsia="Calibri"/>
              </w:rPr>
              <w:lastRenderedPageBreak/>
              <w:t xml:space="preserve">2020.gada </w:t>
            </w:r>
            <w:r w:rsidRPr="00275F1E">
              <w:rPr>
                <w:rFonts w:eastAsia="Calibri"/>
                <w:u w:val="single"/>
              </w:rPr>
              <w:t>27.gada</w:t>
            </w:r>
            <w:r w:rsidRPr="00275F1E">
              <w:rPr>
                <w:rFonts w:eastAsia="Calibri"/>
              </w:rPr>
              <w:t xml:space="preserve"> lēmums (protokols Nr.12., 21.§) “Par nekustamā īpašuma objekta noteikšanu”. Rīkojuma projekta paskaidrojošajos dokumentos ir pievienots </w:t>
            </w:r>
            <w:r w:rsidRPr="00275F1E">
              <w:rPr>
                <w:rFonts w:eastAsia="Calibri"/>
                <w:lang w:eastAsia="en-US"/>
              </w:rPr>
              <w:t xml:space="preserve">Pāvilostas pašvaldības </w:t>
            </w:r>
            <w:r w:rsidRPr="00275F1E">
              <w:rPr>
                <w:rFonts w:eastAsia="Calibri"/>
              </w:rPr>
              <w:t xml:space="preserve">2020.gada </w:t>
            </w:r>
            <w:r w:rsidRPr="00275F1E">
              <w:rPr>
                <w:rFonts w:eastAsia="Calibri"/>
                <w:u w:val="single"/>
              </w:rPr>
              <w:t>27.augusta</w:t>
            </w:r>
            <w:r w:rsidRPr="00275F1E">
              <w:rPr>
                <w:rFonts w:eastAsia="Calibri"/>
              </w:rPr>
              <w:t xml:space="preserve"> lēmums (protokols Nr.12., 21.§) “Par nekustamā īpašuma objekta noteikšanu”.</w:t>
            </w:r>
          </w:p>
          <w:p w:rsidRPr="00923905" w:rsidR="00923905" w:rsidP="00923905" w:rsidRDefault="00923905" w14:paraId="2BFD385D" w14:textId="71566885">
            <w:pPr>
              <w:jc w:val="both"/>
              <w:rPr>
                <w:rFonts w:eastAsia="Calibri"/>
                <w:lang w:eastAsia="en-US"/>
              </w:rPr>
            </w:pPr>
            <w:r>
              <w:rPr>
                <w:rFonts w:eastAsia="Calibri"/>
              </w:rPr>
              <w:t xml:space="preserve">     </w:t>
            </w:r>
            <w:r w:rsidRPr="00E44FA6">
              <w:rPr>
                <w:rFonts w:eastAsia="Calibri"/>
              </w:rPr>
              <w:t>Vērš uzmanību, ka rīkojuma projektam pievienotajā Pāvilostas novada domes 2020.gada 27.februāra lēmumā nav norādīts, ka nekustamā īpašuma pārņemšana sniegs iespēju pārvaldīt un uzturēt valsts autoceļa V1187 posmu pašvaldības vajadzībām. Lūdz precizēt anotācijas I sadaļas 2.punktā norādīto.</w:t>
            </w:r>
          </w:p>
        </w:tc>
        <w:tc>
          <w:tcPr>
            <w:tcW w:w="3119" w:type="dxa"/>
            <w:gridSpan w:val="2"/>
            <w:tcBorders>
              <w:top w:val="single" w:color="000000" w:sz="6" w:space="0"/>
              <w:left w:val="single" w:color="000000" w:sz="6" w:space="0"/>
              <w:bottom w:val="single" w:color="000000" w:sz="6" w:space="0"/>
              <w:right w:val="single" w:color="000000" w:sz="6" w:space="0"/>
            </w:tcBorders>
          </w:tcPr>
          <w:p w:rsidR="00923905" w:rsidP="00DB61D3" w:rsidRDefault="00923905" w14:paraId="2C681C28" w14:textId="6CF00E0B">
            <w:pPr>
              <w:pStyle w:val="naisc"/>
              <w:spacing w:before="0" w:after="0"/>
              <w:rPr>
                <w:b/>
                <w:bCs/>
              </w:rPr>
            </w:pPr>
            <w:r>
              <w:rPr>
                <w:b/>
                <w:bCs/>
              </w:rPr>
              <w:lastRenderedPageBreak/>
              <w:t>Priekšlikums ir ņemt vērā.</w:t>
            </w:r>
          </w:p>
        </w:tc>
        <w:tc>
          <w:tcPr>
            <w:tcW w:w="3599" w:type="dxa"/>
            <w:tcBorders>
              <w:top w:val="single" w:color="auto" w:sz="4" w:space="0"/>
              <w:left w:val="single" w:color="auto" w:sz="4" w:space="0"/>
              <w:bottom w:val="single" w:color="auto" w:sz="4" w:space="0"/>
              <w:right w:val="single" w:color="auto" w:sz="4" w:space="0"/>
            </w:tcBorders>
          </w:tcPr>
          <w:p w:rsidRPr="00DA7AB3" w:rsidR="00923905" w:rsidP="00D658FC" w:rsidRDefault="00D658FC" w14:paraId="310CF23D" w14:textId="309A8295">
            <w:pPr>
              <w:pStyle w:val="naisc"/>
              <w:spacing w:before="0" w:after="0"/>
              <w:jc w:val="both"/>
            </w:pPr>
            <w:r w:rsidRPr="0091029E">
              <w:t>Precizēts</w:t>
            </w:r>
            <w:r>
              <w:t xml:space="preserve"> </w:t>
            </w:r>
            <w:r>
              <w:rPr>
                <w:lang w:eastAsia="en-US"/>
              </w:rPr>
              <w:t xml:space="preserve">Pāvilostas novada domes lēmuma datumu un </w:t>
            </w:r>
            <w:r w:rsidRPr="00E44FA6">
              <w:rPr>
                <w:rFonts w:eastAsia="Calibri"/>
              </w:rPr>
              <w:t>precizēt</w:t>
            </w:r>
            <w:r>
              <w:rPr>
                <w:rFonts w:eastAsia="Calibri"/>
              </w:rPr>
              <w:t>s rīkojuma projekta</w:t>
            </w:r>
            <w:r w:rsidRPr="00E44FA6">
              <w:rPr>
                <w:rFonts w:eastAsia="Calibri"/>
              </w:rPr>
              <w:t xml:space="preserve"> anotācijas I sadaļas 2.punkt</w:t>
            </w:r>
            <w:r>
              <w:rPr>
                <w:rFonts w:eastAsia="Calibri"/>
              </w:rPr>
              <w:t>s.</w:t>
            </w:r>
          </w:p>
        </w:tc>
      </w:tr>
      <w:tr w:rsidRPr="006C67FA" w:rsidR="006C67FA" w:rsidTr="00E250F0" w14:paraId="6630B0CD" w14:textId="77777777">
        <w:tblPrEx>
          <w:tblBorders>
            <w:top w:val="none" w:color="auto" w:sz="0" w:space="0"/>
            <w:left w:val="none" w:color="auto" w:sz="0" w:space="0"/>
            <w:bottom w:val="none" w:color="auto" w:sz="0" w:space="0"/>
            <w:right w:val="none" w:color="auto" w:sz="0" w:space="0"/>
          </w:tblBorders>
        </w:tblPrEx>
        <w:trPr>
          <w:gridAfter w:val="2"/>
          <w:wAfter w:w="4860" w:type="dxa"/>
        </w:trPr>
        <w:tc>
          <w:tcPr>
            <w:tcW w:w="2909" w:type="dxa"/>
            <w:gridSpan w:val="2"/>
          </w:tcPr>
          <w:p w:rsidRPr="006C67FA" w:rsidR="006C67FA" w:rsidP="00E250F0" w:rsidRDefault="006C67FA" w14:paraId="786EF89A" w14:textId="6CE3C9C3">
            <w:pPr>
              <w:pStyle w:val="naiskr"/>
              <w:spacing w:before="0" w:after="0"/>
            </w:pPr>
          </w:p>
          <w:p w:rsidRPr="006C67FA" w:rsidR="006C67FA" w:rsidP="00E250F0" w:rsidRDefault="006C67FA" w14:paraId="54441D89" w14:textId="77777777">
            <w:pPr>
              <w:pStyle w:val="naiskr"/>
              <w:spacing w:before="0" w:after="0"/>
            </w:pPr>
          </w:p>
          <w:p w:rsidRPr="006C67FA" w:rsidR="006C67FA" w:rsidP="00E250F0" w:rsidRDefault="006C67FA" w14:paraId="542DF8B2" w14:textId="77777777">
            <w:pPr>
              <w:pStyle w:val="naiskr"/>
              <w:spacing w:before="0" w:after="0"/>
            </w:pPr>
            <w:r w:rsidRPr="006C67FA">
              <w:t>Atbildīgā amatpersona</w:t>
            </w:r>
          </w:p>
        </w:tc>
        <w:tc>
          <w:tcPr>
            <w:tcW w:w="6178" w:type="dxa"/>
            <w:gridSpan w:val="3"/>
          </w:tcPr>
          <w:p w:rsidRPr="006C67FA" w:rsidR="006C67FA" w:rsidP="00E250F0" w:rsidRDefault="006C67FA" w14:paraId="02AA9C09" w14:textId="77777777">
            <w:pPr>
              <w:pStyle w:val="naiskr"/>
              <w:spacing w:before="0" w:after="0"/>
              <w:ind w:firstLine="720"/>
            </w:pPr>
            <w:r w:rsidRPr="006C67FA">
              <w:t>  </w:t>
            </w:r>
          </w:p>
        </w:tc>
      </w:tr>
      <w:tr w:rsidRPr="006C67FA" w:rsidR="006C67FA" w:rsidTr="00E250F0" w14:paraId="44BC5249" w14:textId="77777777">
        <w:tblPrEx>
          <w:tblBorders>
            <w:top w:val="none" w:color="auto" w:sz="0" w:space="0"/>
            <w:left w:val="none" w:color="auto" w:sz="0" w:space="0"/>
            <w:bottom w:val="none" w:color="auto" w:sz="0" w:space="0"/>
            <w:right w:val="none" w:color="auto" w:sz="0" w:space="0"/>
          </w:tblBorders>
        </w:tblPrEx>
        <w:trPr>
          <w:gridAfter w:val="2"/>
          <w:wAfter w:w="4860" w:type="dxa"/>
        </w:trPr>
        <w:tc>
          <w:tcPr>
            <w:tcW w:w="2909" w:type="dxa"/>
            <w:gridSpan w:val="2"/>
          </w:tcPr>
          <w:p w:rsidRPr="006C67FA" w:rsidR="006C67FA" w:rsidP="00E250F0" w:rsidRDefault="006C67FA" w14:paraId="74FB96C4" w14:textId="77777777">
            <w:pPr>
              <w:pStyle w:val="naiskr"/>
              <w:spacing w:before="0" w:after="0"/>
              <w:ind w:firstLine="720"/>
            </w:pPr>
          </w:p>
        </w:tc>
        <w:tc>
          <w:tcPr>
            <w:tcW w:w="6178" w:type="dxa"/>
            <w:gridSpan w:val="3"/>
            <w:tcBorders>
              <w:top w:val="single" w:color="000000" w:sz="6" w:space="0"/>
              <w:left w:val="nil"/>
              <w:bottom w:val="nil"/>
              <w:right w:val="nil"/>
            </w:tcBorders>
          </w:tcPr>
          <w:p w:rsidRPr="006C67FA" w:rsidR="006C67FA" w:rsidP="00E250F0" w:rsidRDefault="006C67FA" w14:paraId="72D3DC6E" w14:textId="77777777">
            <w:pPr>
              <w:pStyle w:val="naisc"/>
              <w:spacing w:before="0" w:after="0"/>
              <w:ind w:firstLine="720"/>
            </w:pPr>
            <w:r w:rsidRPr="006C67FA">
              <w:t>(paraksts)</w:t>
            </w:r>
          </w:p>
        </w:tc>
      </w:tr>
    </w:tbl>
    <w:p w:rsidRPr="006C67FA" w:rsidR="006C67FA" w:rsidP="006C67FA" w:rsidRDefault="006C67FA" w14:paraId="07AD8AC6" w14:textId="77777777"/>
    <w:p w:rsidRPr="000C6C1A" w:rsidR="00C81AF9" w:rsidP="00C81AF9" w:rsidRDefault="00C81AF9" w14:paraId="462DCB84" w14:textId="77777777">
      <w:pPr>
        <w:rPr>
          <w:bCs/>
          <w:sz w:val="22"/>
          <w:szCs w:val="22"/>
        </w:rPr>
      </w:pPr>
      <w:r w:rsidRPr="000C6C1A">
        <w:rPr>
          <w:bCs/>
          <w:sz w:val="22"/>
          <w:szCs w:val="22"/>
        </w:rPr>
        <w:t xml:space="preserve">Anda Dundure, </w:t>
      </w:r>
    </w:p>
    <w:p w:rsidRPr="000C6C1A" w:rsidR="00C81AF9" w:rsidP="00C81AF9" w:rsidRDefault="00C81AF9" w14:paraId="65E56A75" w14:textId="77777777">
      <w:pPr>
        <w:rPr>
          <w:bCs/>
          <w:sz w:val="22"/>
          <w:szCs w:val="22"/>
        </w:rPr>
      </w:pPr>
      <w:r w:rsidRPr="000C6C1A">
        <w:rPr>
          <w:bCs/>
          <w:sz w:val="22"/>
          <w:szCs w:val="22"/>
        </w:rPr>
        <w:t>Satiksmes ministrija</w:t>
      </w:r>
    </w:p>
    <w:p w:rsidRPr="000C6C1A" w:rsidR="00C81AF9" w:rsidP="00C81AF9" w:rsidRDefault="00C81AF9" w14:paraId="2D31ECBD" w14:textId="77777777">
      <w:pPr>
        <w:rPr>
          <w:bCs/>
          <w:sz w:val="22"/>
          <w:szCs w:val="22"/>
        </w:rPr>
      </w:pPr>
      <w:r w:rsidRPr="000C6C1A">
        <w:rPr>
          <w:bCs/>
          <w:sz w:val="22"/>
          <w:szCs w:val="22"/>
        </w:rPr>
        <w:t xml:space="preserve">Juridiskais departaments </w:t>
      </w:r>
    </w:p>
    <w:p w:rsidRPr="000C6C1A" w:rsidR="00C81AF9" w:rsidP="00C81AF9" w:rsidRDefault="00C81AF9" w14:paraId="6F53C727" w14:textId="77777777">
      <w:pPr>
        <w:rPr>
          <w:bCs/>
          <w:sz w:val="22"/>
          <w:szCs w:val="22"/>
        </w:rPr>
      </w:pPr>
      <w:r w:rsidRPr="000C6C1A">
        <w:rPr>
          <w:bCs/>
          <w:sz w:val="22"/>
          <w:szCs w:val="22"/>
        </w:rPr>
        <w:t>Nekustamo īpašumu nodaļas vecākā referente</w:t>
      </w:r>
    </w:p>
    <w:p w:rsidRPr="000C6C1A" w:rsidR="00C81AF9" w:rsidP="00C81AF9" w:rsidRDefault="00C81AF9" w14:paraId="7C0C21B8" w14:textId="77777777">
      <w:pPr>
        <w:rPr>
          <w:bCs/>
          <w:sz w:val="22"/>
          <w:szCs w:val="22"/>
        </w:rPr>
      </w:pPr>
      <w:r w:rsidRPr="000C6C1A">
        <w:rPr>
          <w:sz w:val="22"/>
          <w:szCs w:val="22"/>
        </w:rPr>
        <w:t xml:space="preserve">67028249, </w:t>
      </w:r>
      <w:smartTag w:uri="urn:schemas-microsoft-com:office:smarttags" w:element="PersonName">
        <w:r w:rsidRPr="000C6C1A">
          <w:rPr>
            <w:sz w:val="22"/>
            <w:szCs w:val="22"/>
          </w:rPr>
          <w:t>anda.dundure@sam.gov.lv</w:t>
        </w:r>
      </w:smartTag>
    </w:p>
    <w:p w:rsidRPr="006C67FA" w:rsidR="00287B8A" w:rsidP="00E032A8" w:rsidRDefault="00287B8A" w14:paraId="27B16FA6" w14:textId="2F4039A2">
      <w:pPr>
        <w:pStyle w:val="naisf"/>
        <w:spacing w:before="0" w:after="0"/>
        <w:ind w:firstLine="0"/>
      </w:pPr>
    </w:p>
    <w:sectPr w:rsidRPr="006C67FA" w:rsidR="00287B8A" w:rsidSect="001E3765">
      <w:headerReference w:type="default" r:id="rId13"/>
      <w:footerReference w:type="default" r:id="rId14"/>
      <w:footerReference w:type="first" r:id="rId15"/>
      <w:pgSz w:w="16838" w:h="11906" w:orient="landscape" w:code="9"/>
      <w:pgMar w:top="1701"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09799" w14:textId="77777777" w:rsidR="0071686F" w:rsidRDefault="0071686F" w:rsidP="006C67FA">
      <w:r>
        <w:separator/>
      </w:r>
    </w:p>
  </w:endnote>
  <w:endnote w:type="continuationSeparator" w:id="0">
    <w:p w14:paraId="4DDFB993" w14:textId="77777777" w:rsidR="0071686F" w:rsidRDefault="0071686F" w:rsidP="006C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517A" w14:textId="59FA415E" w:rsidR="00786CFC" w:rsidRDefault="006C67FA" w:rsidP="00786CFC">
    <w:pPr>
      <w:pStyle w:val="Footer"/>
    </w:pPr>
    <w:r w:rsidRPr="001A114B">
      <w:rPr>
        <w:sz w:val="20"/>
        <w:szCs w:val="20"/>
      </w:rPr>
      <w:t>SMIzz_</w:t>
    </w:r>
    <w:r w:rsidR="004C0AD2">
      <w:rPr>
        <w:sz w:val="20"/>
        <w:szCs w:val="20"/>
      </w:rPr>
      <w:t>1</w:t>
    </w:r>
    <w:r w:rsidR="00C81AF9">
      <w:rPr>
        <w:sz w:val="20"/>
        <w:szCs w:val="20"/>
      </w:rPr>
      <w:t>7</w:t>
    </w:r>
    <w:r w:rsidR="00A6042C">
      <w:rPr>
        <w:sz w:val="20"/>
        <w:szCs w:val="20"/>
      </w:rPr>
      <w:t>05</w:t>
    </w:r>
    <w:r w:rsidR="00C8674F">
      <w:rPr>
        <w:sz w:val="20"/>
        <w:szCs w:val="20"/>
      </w:rPr>
      <w:t>21</w:t>
    </w:r>
    <w:r w:rsidR="00B44844">
      <w:rPr>
        <w:sz w:val="20"/>
        <w:szCs w:val="20"/>
      </w:rPr>
      <w:t>_VSS</w:t>
    </w:r>
    <w:r w:rsidR="00A87D71">
      <w:rPr>
        <w:sz w:val="20"/>
        <w:szCs w:val="20"/>
      </w:rPr>
      <w:t>_</w:t>
    </w:r>
    <w:r w:rsidR="006B0943">
      <w:rPr>
        <w:sz w:val="20"/>
        <w:szCs w:val="20"/>
      </w:rPr>
      <w:t>1</w:t>
    </w:r>
    <w:r w:rsidR="00A6042C">
      <w:rPr>
        <w:sz w:val="20"/>
        <w:szCs w:val="20"/>
      </w:rPr>
      <w:t>93</w:t>
    </w:r>
  </w:p>
  <w:p w14:paraId="7F23A76F" w14:textId="77777777" w:rsidR="00362AE8" w:rsidRPr="00955DC9" w:rsidRDefault="00E26174" w:rsidP="00362AE8">
    <w:pPr>
      <w:pStyle w:val="Footer"/>
      <w:rPr>
        <w:sz w:val="20"/>
        <w:szCs w:val="20"/>
      </w:rPr>
    </w:pPr>
  </w:p>
  <w:p w14:paraId="15DB3FAB" w14:textId="77777777" w:rsidR="00C35F17" w:rsidRPr="001B299F" w:rsidRDefault="00E26174" w:rsidP="001B299F">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D50D7" w14:textId="0EF2D704" w:rsidR="00C35F17" w:rsidRPr="00955DC9" w:rsidRDefault="006C67FA">
    <w:pPr>
      <w:pStyle w:val="Footer"/>
      <w:rPr>
        <w:sz w:val="20"/>
        <w:szCs w:val="20"/>
      </w:rPr>
    </w:pPr>
    <w:r w:rsidRPr="001A114B">
      <w:rPr>
        <w:sz w:val="20"/>
        <w:szCs w:val="20"/>
      </w:rPr>
      <w:t>SMIzz_</w:t>
    </w:r>
    <w:r w:rsidR="005440E7">
      <w:rPr>
        <w:sz w:val="20"/>
        <w:szCs w:val="20"/>
      </w:rPr>
      <w:t>1</w:t>
    </w:r>
    <w:r w:rsidR="00C81AF9">
      <w:rPr>
        <w:sz w:val="20"/>
        <w:szCs w:val="20"/>
      </w:rPr>
      <w:t>7</w:t>
    </w:r>
    <w:r w:rsidR="00D45B48">
      <w:rPr>
        <w:sz w:val="20"/>
        <w:szCs w:val="20"/>
      </w:rPr>
      <w:t>05</w:t>
    </w:r>
    <w:r w:rsidR="007A6D41">
      <w:rPr>
        <w:sz w:val="20"/>
        <w:szCs w:val="20"/>
      </w:rPr>
      <w:t>21</w:t>
    </w:r>
    <w:r w:rsidR="00D91815">
      <w:rPr>
        <w:sz w:val="20"/>
        <w:szCs w:val="20"/>
      </w:rPr>
      <w:t>_VSS</w:t>
    </w:r>
    <w:r w:rsidR="00A87D71">
      <w:rPr>
        <w:sz w:val="20"/>
        <w:szCs w:val="20"/>
      </w:rPr>
      <w:t>_</w:t>
    </w:r>
    <w:r w:rsidR="007A6D41">
      <w:rPr>
        <w:sz w:val="20"/>
        <w:szCs w:val="20"/>
      </w:rPr>
      <w:t>1</w:t>
    </w:r>
    <w:r w:rsidR="00D45B48">
      <w:rPr>
        <w:sz w:val="20"/>
        <w:szCs w:val="20"/>
      </w:rPr>
      <w:t>93</w:t>
    </w:r>
  </w:p>
  <w:p w14:paraId="4CB31582" w14:textId="77777777" w:rsidR="00C35F17" w:rsidRDefault="00E26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7AEC8" w14:textId="77777777" w:rsidR="0071686F" w:rsidRDefault="0071686F" w:rsidP="006C67FA">
      <w:r>
        <w:separator/>
      </w:r>
    </w:p>
  </w:footnote>
  <w:footnote w:type="continuationSeparator" w:id="0">
    <w:p w14:paraId="249BC5F3" w14:textId="77777777" w:rsidR="0071686F" w:rsidRDefault="0071686F" w:rsidP="006C6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849052"/>
      <w:docPartObj>
        <w:docPartGallery w:val="Page Numbers (Top of Page)"/>
        <w:docPartUnique/>
      </w:docPartObj>
    </w:sdtPr>
    <w:sdtEndPr>
      <w:rPr>
        <w:noProof/>
      </w:rPr>
    </w:sdtEndPr>
    <w:sdtContent>
      <w:p w:rsidR="00C35F17" w:rsidRDefault="00301E28" w14:paraId="0AE847FE" w14:textId="77777777">
        <w:pPr>
          <w:pStyle w:val="Header"/>
          <w:jc w:val="center"/>
        </w:pPr>
        <w:r>
          <w:fldChar w:fldCharType="begin"/>
        </w:r>
        <w:r w:rsidR="006C67FA">
          <w:instrText xml:space="preserve"> PAGE   \* MERGEFORMAT </w:instrText>
        </w:r>
        <w:r>
          <w:fldChar w:fldCharType="separate"/>
        </w:r>
        <w:r w:rsidR="00E87C94">
          <w:rPr>
            <w:noProof/>
          </w:rPr>
          <w:t>3</w:t>
        </w:r>
        <w:r>
          <w:rPr>
            <w:noProof/>
          </w:rPr>
          <w:fldChar w:fldCharType="end"/>
        </w:r>
      </w:p>
    </w:sdtContent>
  </w:sdt>
  <w:p w:rsidR="00C35F17" w:rsidRDefault="00E26174" w14:paraId="0C1E876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6A50"/>
    <w:multiLevelType w:val="hybridMultilevel"/>
    <w:tmpl w:val="7ED06D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1D47D0"/>
    <w:multiLevelType w:val="hybridMultilevel"/>
    <w:tmpl w:val="515CA57A"/>
    <w:lvl w:ilvl="0" w:tplc="582AC642">
      <w:start w:val="1"/>
      <w:numFmt w:val="decimal"/>
      <w:lvlText w:val="%1."/>
      <w:lvlJc w:val="left"/>
      <w:pPr>
        <w:ind w:left="92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51CE0C52"/>
    <w:multiLevelType w:val="hybridMultilevel"/>
    <w:tmpl w:val="96BAC5C8"/>
    <w:lvl w:ilvl="0" w:tplc="B27A8F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FA"/>
    <w:rsid w:val="00045AA4"/>
    <w:rsid w:val="00053414"/>
    <w:rsid w:val="000601DA"/>
    <w:rsid w:val="00067467"/>
    <w:rsid w:val="00080E8A"/>
    <w:rsid w:val="00095BC9"/>
    <w:rsid w:val="000A3A1B"/>
    <w:rsid w:val="000A60F1"/>
    <w:rsid w:val="000C56B2"/>
    <w:rsid w:val="00110A00"/>
    <w:rsid w:val="0012332D"/>
    <w:rsid w:val="00144F7F"/>
    <w:rsid w:val="00153C5C"/>
    <w:rsid w:val="0016184E"/>
    <w:rsid w:val="001627D2"/>
    <w:rsid w:val="00165C4F"/>
    <w:rsid w:val="001833BE"/>
    <w:rsid w:val="001B3960"/>
    <w:rsid w:val="001D161B"/>
    <w:rsid w:val="001E1354"/>
    <w:rsid w:val="0020127B"/>
    <w:rsid w:val="00235CA2"/>
    <w:rsid w:val="00244190"/>
    <w:rsid w:val="00246ACF"/>
    <w:rsid w:val="00251CB8"/>
    <w:rsid w:val="00275152"/>
    <w:rsid w:val="00275F1E"/>
    <w:rsid w:val="00281D7A"/>
    <w:rsid w:val="00287B8A"/>
    <w:rsid w:val="0029044C"/>
    <w:rsid w:val="002A14F7"/>
    <w:rsid w:val="002A41E9"/>
    <w:rsid w:val="002B5675"/>
    <w:rsid w:val="002B5789"/>
    <w:rsid w:val="002C24D6"/>
    <w:rsid w:val="00301E28"/>
    <w:rsid w:val="003049B2"/>
    <w:rsid w:val="00305C1A"/>
    <w:rsid w:val="003144DD"/>
    <w:rsid w:val="00322EC6"/>
    <w:rsid w:val="003239B5"/>
    <w:rsid w:val="00331003"/>
    <w:rsid w:val="00336BD8"/>
    <w:rsid w:val="0034604B"/>
    <w:rsid w:val="00363F59"/>
    <w:rsid w:val="00370496"/>
    <w:rsid w:val="00383080"/>
    <w:rsid w:val="003863B4"/>
    <w:rsid w:val="003E2CE7"/>
    <w:rsid w:val="00403519"/>
    <w:rsid w:val="00417CD7"/>
    <w:rsid w:val="00420506"/>
    <w:rsid w:val="00427471"/>
    <w:rsid w:val="0043245E"/>
    <w:rsid w:val="004655D8"/>
    <w:rsid w:val="0048662A"/>
    <w:rsid w:val="004910FF"/>
    <w:rsid w:val="004C0AD2"/>
    <w:rsid w:val="004C412D"/>
    <w:rsid w:val="004F154F"/>
    <w:rsid w:val="004F3095"/>
    <w:rsid w:val="00504ED3"/>
    <w:rsid w:val="00524FE8"/>
    <w:rsid w:val="00535B57"/>
    <w:rsid w:val="005440E7"/>
    <w:rsid w:val="0054655C"/>
    <w:rsid w:val="005771E4"/>
    <w:rsid w:val="00583C36"/>
    <w:rsid w:val="005972A8"/>
    <w:rsid w:val="005B0059"/>
    <w:rsid w:val="00613DF2"/>
    <w:rsid w:val="006359F3"/>
    <w:rsid w:val="00662449"/>
    <w:rsid w:val="00662895"/>
    <w:rsid w:val="006B0943"/>
    <w:rsid w:val="006B5224"/>
    <w:rsid w:val="006C67FA"/>
    <w:rsid w:val="006D015A"/>
    <w:rsid w:val="006E0E41"/>
    <w:rsid w:val="006E0E73"/>
    <w:rsid w:val="00701A86"/>
    <w:rsid w:val="0071686F"/>
    <w:rsid w:val="00722AC6"/>
    <w:rsid w:val="0074332E"/>
    <w:rsid w:val="007A6D41"/>
    <w:rsid w:val="007A76B9"/>
    <w:rsid w:val="007B0852"/>
    <w:rsid w:val="007B2E9A"/>
    <w:rsid w:val="007C203D"/>
    <w:rsid w:val="007D77B4"/>
    <w:rsid w:val="007D785B"/>
    <w:rsid w:val="007E32A1"/>
    <w:rsid w:val="007E5B10"/>
    <w:rsid w:val="007F1A0F"/>
    <w:rsid w:val="007F3D1B"/>
    <w:rsid w:val="007F77FB"/>
    <w:rsid w:val="00817EE2"/>
    <w:rsid w:val="00827290"/>
    <w:rsid w:val="008464B0"/>
    <w:rsid w:val="00882453"/>
    <w:rsid w:val="0089094A"/>
    <w:rsid w:val="008E075D"/>
    <w:rsid w:val="008E166F"/>
    <w:rsid w:val="008E5BCB"/>
    <w:rsid w:val="008E7481"/>
    <w:rsid w:val="008F6E80"/>
    <w:rsid w:val="009045E1"/>
    <w:rsid w:val="00906E01"/>
    <w:rsid w:val="0091029E"/>
    <w:rsid w:val="0092154F"/>
    <w:rsid w:val="00923905"/>
    <w:rsid w:val="00954DE9"/>
    <w:rsid w:val="0096406C"/>
    <w:rsid w:val="009668B2"/>
    <w:rsid w:val="009673F4"/>
    <w:rsid w:val="009718BE"/>
    <w:rsid w:val="009772F8"/>
    <w:rsid w:val="009973A9"/>
    <w:rsid w:val="009A3724"/>
    <w:rsid w:val="009C69B7"/>
    <w:rsid w:val="009D4C48"/>
    <w:rsid w:val="009F2D6D"/>
    <w:rsid w:val="00A02C40"/>
    <w:rsid w:val="00A10931"/>
    <w:rsid w:val="00A172C5"/>
    <w:rsid w:val="00A17593"/>
    <w:rsid w:val="00A33A00"/>
    <w:rsid w:val="00A33DFE"/>
    <w:rsid w:val="00A36605"/>
    <w:rsid w:val="00A45BC3"/>
    <w:rsid w:val="00A52EAC"/>
    <w:rsid w:val="00A6042C"/>
    <w:rsid w:val="00A749A9"/>
    <w:rsid w:val="00A762ED"/>
    <w:rsid w:val="00A81A0B"/>
    <w:rsid w:val="00A81E5F"/>
    <w:rsid w:val="00A87D71"/>
    <w:rsid w:val="00AC7577"/>
    <w:rsid w:val="00AE34BA"/>
    <w:rsid w:val="00AE6DE6"/>
    <w:rsid w:val="00AE7E47"/>
    <w:rsid w:val="00AF10F9"/>
    <w:rsid w:val="00B02517"/>
    <w:rsid w:val="00B1770E"/>
    <w:rsid w:val="00B231CA"/>
    <w:rsid w:val="00B44844"/>
    <w:rsid w:val="00B51C03"/>
    <w:rsid w:val="00B64D63"/>
    <w:rsid w:val="00B77F92"/>
    <w:rsid w:val="00BA4184"/>
    <w:rsid w:val="00BA4CC4"/>
    <w:rsid w:val="00BA5835"/>
    <w:rsid w:val="00BC6C30"/>
    <w:rsid w:val="00BC75F7"/>
    <w:rsid w:val="00BD6B45"/>
    <w:rsid w:val="00BE5DD7"/>
    <w:rsid w:val="00BE662A"/>
    <w:rsid w:val="00C00DCD"/>
    <w:rsid w:val="00C03B0A"/>
    <w:rsid w:val="00C2312D"/>
    <w:rsid w:val="00C31741"/>
    <w:rsid w:val="00C33B39"/>
    <w:rsid w:val="00C40122"/>
    <w:rsid w:val="00C64215"/>
    <w:rsid w:val="00C648DF"/>
    <w:rsid w:val="00C814A8"/>
    <w:rsid w:val="00C81AF9"/>
    <w:rsid w:val="00C82840"/>
    <w:rsid w:val="00C8674F"/>
    <w:rsid w:val="00C9086E"/>
    <w:rsid w:val="00CA4824"/>
    <w:rsid w:val="00CA7C98"/>
    <w:rsid w:val="00CE0D32"/>
    <w:rsid w:val="00CE59C0"/>
    <w:rsid w:val="00CF3D59"/>
    <w:rsid w:val="00D272E6"/>
    <w:rsid w:val="00D30E82"/>
    <w:rsid w:val="00D33438"/>
    <w:rsid w:val="00D35568"/>
    <w:rsid w:val="00D45B48"/>
    <w:rsid w:val="00D55BD5"/>
    <w:rsid w:val="00D658FC"/>
    <w:rsid w:val="00D917BB"/>
    <w:rsid w:val="00D91815"/>
    <w:rsid w:val="00DA29B0"/>
    <w:rsid w:val="00DB05FB"/>
    <w:rsid w:val="00DB0753"/>
    <w:rsid w:val="00DB61D3"/>
    <w:rsid w:val="00E032A8"/>
    <w:rsid w:val="00E14DC3"/>
    <w:rsid w:val="00E172E8"/>
    <w:rsid w:val="00E246CE"/>
    <w:rsid w:val="00E26174"/>
    <w:rsid w:val="00E31C73"/>
    <w:rsid w:val="00E32EAA"/>
    <w:rsid w:val="00E44FA6"/>
    <w:rsid w:val="00E62AF7"/>
    <w:rsid w:val="00E64885"/>
    <w:rsid w:val="00E833BE"/>
    <w:rsid w:val="00E87C94"/>
    <w:rsid w:val="00EA6CAB"/>
    <w:rsid w:val="00EB3C25"/>
    <w:rsid w:val="00EF4262"/>
    <w:rsid w:val="00F20EE7"/>
    <w:rsid w:val="00F31CB1"/>
    <w:rsid w:val="00F36D0F"/>
    <w:rsid w:val="00F60473"/>
    <w:rsid w:val="00F631FE"/>
    <w:rsid w:val="00F654A3"/>
    <w:rsid w:val="00F72B81"/>
    <w:rsid w:val="00F86690"/>
    <w:rsid w:val="00F94974"/>
    <w:rsid w:val="00FC5B91"/>
    <w:rsid w:val="00FC5D84"/>
    <w:rsid w:val="00FE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C2FBC03"/>
  <w15:docId w15:val="{AA7E55C5-5955-4962-8DF2-51E3AE67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FC"/>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C67FA"/>
    <w:rPr>
      <w:rFonts w:ascii="Times New Roman" w:hAnsi="Times New Roman" w:cs="Times New Roman" w:hint="default"/>
      <w:color w:val="0000FF"/>
      <w:u w:val="single"/>
    </w:rPr>
  </w:style>
  <w:style w:type="paragraph" w:styleId="NormalWeb">
    <w:name w:val="Normal (Web)"/>
    <w:basedOn w:val="Normal"/>
    <w:uiPriority w:val="99"/>
    <w:unhideWhenUsed/>
    <w:rsid w:val="006C67FA"/>
    <w:pPr>
      <w:spacing w:before="100" w:beforeAutospacing="1" w:after="100" w:afterAutospacing="1"/>
    </w:pPr>
  </w:style>
  <w:style w:type="paragraph" w:customStyle="1" w:styleId="naisf">
    <w:name w:val="naisf"/>
    <w:basedOn w:val="Normal"/>
    <w:rsid w:val="006C67FA"/>
    <w:pPr>
      <w:spacing w:before="75" w:after="75"/>
      <w:ind w:firstLine="375"/>
      <w:jc w:val="both"/>
    </w:pPr>
  </w:style>
  <w:style w:type="paragraph" w:customStyle="1" w:styleId="naisnod">
    <w:name w:val="naisnod"/>
    <w:basedOn w:val="Normal"/>
    <w:uiPriority w:val="99"/>
    <w:rsid w:val="006C67FA"/>
    <w:pPr>
      <w:spacing w:before="150" w:after="150"/>
      <w:jc w:val="center"/>
    </w:pPr>
    <w:rPr>
      <w:b/>
      <w:bCs/>
    </w:rPr>
  </w:style>
  <w:style w:type="paragraph" w:customStyle="1" w:styleId="naiskr">
    <w:name w:val="naiskr"/>
    <w:basedOn w:val="Normal"/>
    <w:uiPriority w:val="99"/>
    <w:rsid w:val="006C67FA"/>
    <w:pPr>
      <w:spacing w:before="75" w:after="75"/>
    </w:pPr>
  </w:style>
  <w:style w:type="paragraph" w:customStyle="1" w:styleId="naisc">
    <w:name w:val="naisc"/>
    <w:basedOn w:val="Normal"/>
    <w:uiPriority w:val="99"/>
    <w:rsid w:val="006C67FA"/>
    <w:pPr>
      <w:spacing w:before="75" w:after="75"/>
      <w:jc w:val="center"/>
    </w:pPr>
  </w:style>
  <w:style w:type="character" w:customStyle="1" w:styleId="spelle">
    <w:name w:val="spelle"/>
    <w:uiPriority w:val="99"/>
    <w:rsid w:val="006C67FA"/>
    <w:rPr>
      <w:rFonts w:ascii="Times New Roman" w:hAnsi="Times New Roman" w:cs="Times New Roman" w:hint="default"/>
    </w:rPr>
  </w:style>
  <w:style w:type="paragraph" w:styleId="Header">
    <w:name w:val="header"/>
    <w:basedOn w:val="Normal"/>
    <w:link w:val="HeaderChar"/>
    <w:uiPriority w:val="99"/>
    <w:unhideWhenUsed/>
    <w:rsid w:val="006C67FA"/>
    <w:pPr>
      <w:tabs>
        <w:tab w:val="center" w:pos="4153"/>
        <w:tab w:val="right" w:pos="8306"/>
      </w:tabs>
    </w:pPr>
  </w:style>
  <w:style w:type="character" w:customStyle="1" w:styleId="HeaderChar">
    <w:name w:val="Header Char"/>
    <w:basedOn w:val="DefaultParagraphFont"/>
    <w:link w:val="Header"/>
    <w:uiPriority w:val="99"/>
    <w:rsid w:val="006C67FA"/>
    <w:rPr>
      <w:rFonts w:eastAsia="Times New Roman" w:cs="Times New Roman"/>
      <w:sz w:val="24"/>
      <w:szCs w:val="24"/>
      <w:lang w:eastAsia="lv-LV"/>
    </w:rPr>
  </w:style>
  <w:style w:type="paragraph" w:styleId="Footer">
    <w:name w:val="footer"/>
    <w:basedOn w:val="Normal"/>
    <w:link w:val="FooterChar"/>
    <w:uiPriority w:val="99"/>
    <w:unhideWhenUsed/>
    <w:rsid w:val="006C67FA"/>
    <w:pPr>
      <w:tabs>
        <w:tab w:val="center" w:pos="4153"/>
        <w:tab w:val="right" w:pos="8306"/>
      </w:tabs>
    </w:pPr>
  </w:style>
  <w:style w:type="character" w:customStyle="1" w:styleId="FooterChar">
    <w:name w:val="Footer Char"/>
    <w:basedOn w:val="DefaultParagraphFont"/>
    <w:link w:val="Footer"/>
    <w:uiPriority w:val="99"/>
    <w:rsid w:val="006C67FA"/>
    <w:rPr>
      <w:rFonts w:eastAsia="Times New Roman" w:cs="Times New Roman"/>
      <w:sz w:val="24"/>
      <w:szCs w:val="24"/>
      <w:lang w:eastAsia="lv-LV"/>
    </w:rPr>
  </w:style>
  <w:style w:type="paragraph" w:styleId="NoSpacing">
    <w:name w:val="No Spacing"/>
    <w:uiPriority w:val="1"/>
    <w:qFormat/>
    <w:rsid w:val="006C67FA"/>
    <w:pPr>
      <w:spacing w:after="0" w:line="240" w:lineRule="auto"/>
    </w:pPr>
    <w:rPr>
      <w:rFonts w:eastAsia="Times New Roman" w:cs="Times New Roman"/>
      <w:sz w:val="24"/>
      <w:szCs w:val="24"/>
      <w:lang w:eastAsia="lv-LV"/>
    </w:rPr>
  </w:style>
  <w:style w:type="paragraph" w:styleId="ListParagraph">
    <w:name w:val="List Paragraph"/>
    <w:basedOn w:val="Normal"/>
    <w:uiPriority w:val="34"/>
    <w:qFormat/>
    <w:rsid w:val="006C67FA"/>
    <w:pPr>
      <w:ind w:left="720"/>
      <w:contextualSpacing/>
    </w:pPr>
  </w:style>
  <w:style w:type="paragraph" w:customStyle="1" w:styleId="tv2132">
    <w:name w:val="tv2132"/>
    <w:basedOn w:val="Normal"/>
    <w:rsid w:val="008464B0"/>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4319">
      <w:bodyDiv w:val="1"/>
      <w:marLeft w:val="0"/>
      <w:marRight w:val="0"/>
      <w:marTop w:val="0"/>
      <w:marBottom w:val="0"/>
      <w:divBdr>
        <w:top w:val="none" w:sz="0" w:space="0" w:color="auto"/>
        <w:left w:val="none" w:sz="0" w:space="0" w:color="auto"/>
        <w:bottom w:val="none" w:sz="0" w:space="0" w:color="auto"/>
        <w:right w:val="none" w:sz="0" w:space="0" w:color="auto"/>
      </w:divBdr>
    </w:div>
    <w:div w:id="721758071">
      <w:bodyDiv w:val="1"/>
      <w:marLeft w:val="0"/>
      <w:marRight w:val="0"/>
      <w:marTop w:val="0"/>
      <w:marBottom w:val="0"/>
      <w:divBdr>
        <w:top w:val="none" w:sz="0" w:space="0" w:color="auto"/>
        <w:left w:val="none" w:sz="0" w:space="0" w:color="auto"/>
        <w:bottom w:val="none" w:sz="0" w:space="0" w:color="auto"/>
        <w:right w:val="none" w:sz="0" w:space="0" w:color="auto"/>
      </w:divBdr>
    </w:div>
    <w:div w:id="1388602306">
      <w:bodyDiv w:val="1"/>
      <w:marLeft w:val="0"/>
      <w:marRight w:val="0"/>
      <w:marTop w:val="0"/>
      <w:marBottom w:val="0"/>
      <w:divBdr>
        <w:top w:val="none" w:sz="0" w:space="0" w:color="auto"/>
        <w:left w:val="none" w:sz="0" w:space="0" w:color="auto"/>
        <w:bottom w:val="none" w:sz="0" w:space="0" w:color="auto"/>
        <w:right w:val="none" w:sz="0" w:space="0" w:color="auto"/>
      </w:divBdr>
    </w:div>
    <w:div w:id="161108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1126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6849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C8DC248F55664091E428594551DB91" ma:contentTypeVersion="8" ma:contentTypeDescription="Create a new document." ma:contentTypeScope="" ma:versionID="8081f59b9d9c0b6a65c6ca5d2e68227c">
  <xsd:schema xmlns:xsd="http://www.w3.org/2001/XMLSchema" xmlns:xs="http://www.w3.org/2001/XMLSchema" xmlns:p="http://schemas.microsoft.com/office/2006/metadata/properties" xmlns:ns3="f9c9d28d-b1b0-4862-9d44-56f7ea90448b" targetNamespace="http://schemas.microsoft.com/office/2006/metadata/properties" ma:root="true" ma:fieldsID="1715ddccb6318138368e74592fdbaad7" ns3:_="">
    <xsd:import namespace="f9c9d28d-b1b0-4862-9d44-56f7ea9044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9d28d-b1b0-4862-9d44-56f7ea904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3A0ED-D817-4152-9282-1E03974718D5}">
  <ds:schemaRefs>
    <ds:schemaRef ds:uri="http://schemas.microsoft.com/sharepoint/v3/contenttype/forms"/>
  </ds:schemaRefs>
</ds:datastoreItem>
</file>

<file path=customXml/itemProps2.xml><?xml version="1.0" encoding="utf-8"?>
<ds:datastoreItem xmlns:ds="http://schemas.openxmlformats.org/officeDocument/2006/customXml" ds:itemID="{BBA704AE-6353-465F-A15F-5B2CE0122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9d28d-b1b0-4862-9d44-56f7ea904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09DB16-0BB6-4127-ABFC-4A1FD36956FE}">
  <ds:schemaRefs>
    <ds:schemaRef ds:uri="http://www.w3.org/XML/1998/namespace"/>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f9c9d28d-b1b0-4862-9d44-56f7ea90448b"/>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A40A3F63-70C4-491C-95E5-7A51B0CDE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1652</Words>
  <Characters>9420</Characters>
  <Application>Microsoft Office Word</Application>
  <DocSecurity>0</DocSecurity>
  <Lines>78</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valstij piederošā nekustamā īpašuma “V1187” Pāvilostā, Pāvilostas novadā, nodošanu Pāvilostas novada pašvaldības īpašumā</vt:lpstr>
      <vt:lpstr/>
    </vt:vector>
  </TitlesOfParts>
  <Company>Saiksmes ministrija</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piederošā nekustamā īpašuma “V1187” Pāvilostā, Pāvilostas novadā, nodošanu Pāvilostas novada pašvaldības īpašumā</dc:title>
  <dc:subject>izziņa</dc:subject>
  <dc:creator>Satiksmes ministrija Juridiskais departaments Nekustamo īpašumu nodaļa vec.referente Anda Dundure; Anda Dundure, 67028249, anda.dundure@sam.gov.lv</dc:creator>
  <dc:description>Satiksmes ministrija Juridiskais departaments Nekustamo īpašumu nodaļa vec.referente Anda Dundure; 67028249, anda.dundure@sam.gov.lv</dc:description>
  <cp:lastModifiedBy>Ineta Vula</cp:lastModifiedBy>
  <cp:revision>11</cp:revision>
  <cp:lastPrinted>2015-07-08T08:38:00Z</cp:lastPrinted>
  <dcterms:created xsi:type="dcterms:W3CDTF">2021-05-27T14:31:00Z</dcterms:created>
  <dcterms:modified xsi:type="dcterms:W3CDTF">2021-06-01T12:51:00Z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0x010100E5C8DC248F55664091E428594551DB91</vt:lpwstr>
  </property>
</Properties>
</file>