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16777D1B" w:rsidR="004D15A9" w:rsidRPr="00444908" w:rsidRDefault="002024D5" w:rsidP="00D46184">
      <w:pPr>
        <w:spacing w:after="0" w:line="240" w:lineRule="auto"/>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Likumprojekta "</w:t>
      </w:r>
      <w:r w:rsidR="00E158AE" w:rsidRPr="00E158AE">
        <w:rPr>
          <w:rFonts w:ascii="Times New Roman" w:eastAsia="Times New Roman" w:hAnsi="Times New Roman" w:cs="Times New Roman"/>
          <w:b/>
          <w:bCs/>
          <w:sz w:val="24"/>
          <w:szCs w:val="24"/>
          <w:lang w:eastAsia="lv-LV"/>
        </w:rPr>
        <w:t>Grozījum</w:t>
      </w:r>
      <w:r w:rsidR="008C4436">
        <w:rPr>
          <w:rFonts w:ascii="Times New Roman" w:eastAsia="Times New Roman" w:hAnsi="Times New Roman" w:cs="Times New Roman"/>
          <w:b/>
          <w:bCs/>
          <w:sz w:val="24"/>
          <w:szCs w:val="24"/>
          <w:lang w:eastAsia="lv-LV"/>
        </w:rPr>
        <w:t>s</w:t>
      </w:r>
      <w:r w:rsidR="00E158AE" w:rsidRPr="00E158AE">
        <w:rPr>
          <w:rFonts w:ascii="Times New Roman" w:eastAsia="Times New Roman" w:hAnsi="Times New Roman" w:cs="Times New Roman"/>
          <w:b/>
          <w:bCs/>
          <w:sz w:val="24"/>
          <w:szCs w:val="24"/>
          <w:lang w:eastAsia="lv-LV"/>
        </w:rPr>
        <w:t xml:space="preserve"> likumā </w:t>
      </w:r>
      <w:r w:rsidR="00331C20" w:rsidRPr="00331C20">
        <w:rPr>
          <w:rFonts w:ascii="Times New Roman" w:eastAsia="Times New Roman" w:hAnsi="Times New Roman" w:cs="Times New Roman"/>
          <w:b/>
          <w:bCs/>
          <w:sz w:val="24"/>
          <w:szCs w:val="24"/>
          <w:lang w:eastAsia="lv-LV"/>
        </w:rPr>
        <w:t>"Par Konvenciju par Eiropas Savienības dalībvalstu savstarpēju palīdzību krimināllietās, ko Padome pieņēmusi saskaņā ar Līguma par Eiropas Savienību 34.</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 Padomes Deklarāciju par Konvencijas 10.</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panta devīto daļu, Apvienotās Karalistes deklarāciju par Konvencijas 20.</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 un Konvencijas Protokolu, ko Padome pieņēmusi saskaņā ar Līguma par Eiropas Savienību 34.</w:t>
      </w:r>
      <w:r w:rsidR="00331C20">
        <w:rPr>
          <w:rFonts w:ascii="Times New Roman" w:eastAsia="Times New Roman" w:hAnsi="Times New Roman" w:cs="Times New Roman"/>
          <w:b/>
          <w:bCs/>
          <w:sz w:val="24"/>
          <w:szCs w:val="24"/>
          <w:lang w:eastAsia="lv-LV"/>
        </w:rPr>
        <w:t> </w:t>
      </w:r>
      <w:r w:rsidR="00331C20" w:rsidRPr="00331C20">
        <w:rPr>
          <w:rFonts w:ascii="Times New Roman" w:eastAsia="Times New Roman" w:hAnsi="Times New Roman" w:cs="Times New Roman"/>
          <w:b/>
          <w:bCs/>
          <w:sz w:val="24"/>
          <w:szCs w:val="24"/>
          <w:lang w:eastAsia="lv-LV"/>
        </w:rPr>
        <w:t>pantu"</w:t>
      </w:r>
      <w:r w:rsidR="00393943">
        <w:rPr>
          <w:rFonts w:ascii="Times New Roman" w:eastAsia="Times New Roman" w:hAnsi="Times New Roman" w:cs="Times New Roman"/>
          <w:b/>
          <w:bCs/>
          <w:sz w:val="24"/>
          <w:szCs w:val="24"/>
          <w:lang w:eastAsia="lv-LV"/>
        </w:rPr>
        <w:t>"</w:t>
      </w:r>
      <w:r w:rsidR="004D15A9" w:rsidRPr="00444908">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444908" w:rsidRDefault="00DA596D" w:rsidP="00D46184">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1552F" w:rsidRPr="00444908" w14:paraId="70BDCC6E" w14:textId="77777777" w:rsidTr="00CF764A">
        <w:trPr>
          <w:cantSplit/>
        </w:trPr>
        <w:tc>
          <w:tcPr>
            <w:tcW w:w="9127" w:type="dxa"/>
            <w:gridSpan w:val="2"/>
            <w:shd w:val="clear" w:color="auto" w:fill="FFFFFF"/>
            <w:vAlign w:val="center"/>
            <w:hideMark/>
          </w:tcPr>
          <w:p w14:paraId="2E3635E1" w14:textId="77777777" w:rsidR="00A1552F" w:rsidRPr="00444908" w:rsidRDefault="00A1552F" w:rsidP="00A1552F">
            <w:pPr>
              <w:spacing w:after="0" w:line="240" w:lineRule="auto"/>
              <w:ind w:firstLine="300"/>
              <w:jc w:val="center"/>
              <w:rPr>
                <w:rFonts w:ascii="Cambria" w:hAnsi="Cambria"/>
                <w:b/>
                <w:iCs/>
                <w:sz w:val="19"/>
                <w:szCs w:val="19"/>
              </w:rPr>
            </w:pPr>
            <w:r w:rsidRPr="00444908">
              <w:rPr>
                <w:rFonts w:ascii="Times New Roman" w:eastAsia="Times New Roman" w:hAnsi="Times New Roman" w:cs="Times New Roman"/>
                <w:b/>
                <w:bCs/>
                <w:sz w:val="24"/>
                <w:szCs w:val="24"/>
                <w:lang w:eastAsia="lv-LV"/>
              </w:rPr>
              <w:t>Tiesību akta projekta anotācijas kopsavilkums</w:t>
            </w:r>
          </w:p>
        </w:tc>
      </w:tr>
      <w:tr w:rsidR="00A1552F" w:rsidRPr="00444908" w14:paraId="47F047DD" w14:textId="77777777" w:rsidTr="00CF764A">
        <w:trPr>
          <w:cantSplit/>
        </w:trPr>
        <w:tc>
          <w:tcPr>
            <w:tcW w:w="3289" w:type="dxa"/>
            <w:shd w:val="clear" w:color="auto" w:fill="FFFFFF"/>
            <w:hideMark/>
          </w:tcPr>
          <w:p w14:paraId="3C58940B" w14:textId="77777777" w:rsidR="00A1552F" w:rsidRPr="00444908" w:rsidRDefault="00A1552F" w:rsidP="0043541A">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Mērķis, risinājums un projekta spēkā stāšanās laiks (500 zīmes bez atstarpēm)</w:t>
            </w:r>
          </w:p>
        </w:tc>
        <w:tc>
          <w:tcPr>
            <w:tcW w:w="5838" w:type="dxa"/>
            <w:shd w:val="clear" w:color="auto" w:fill="FFFFFF"/>
            <w:hideMark/>
          </w:tcPr>
          <w:p w14:paraId="2D343C0B" w14:textId="55FE66F1" w:rsidR="00CF764A" w:rsidRPr="00444908" w:rsidRDefault="00CF764A" w:rsidP="00D00D54">
            <w:pPr>
              <w:spacing w:after="0" w:line="240" w:lineRule="auto"/>
              <w:ind w:firstLine="819"/>
              <w:jc w:val="both"/>
              <w:rPr>
                <w:rFonts w:ascii="Times New Roman" w:eastAsia="Times New Roman" w:hAnsi="Times New Roman" w:cs="Times New Roman"/>
                <w:bCs/>
                <w:sz w:val="24"/>
                <w:szCs w:val="24"/>
                <w:lang w:eastAsia="lv-LV"/>
              </w:rPr>
            </w:pPr>
            <w:r w:rsidRPr="00CF764A">
              <w:rPr>
                <w:rFonts w:ascii="Times New Roman" w:eastAsia="Times New Roman" w:hAnsi="Times New Roman" w:cs="Times New Roman"/>
                <w:bCs/>
                <w:sz w:val="24"/>
                <w:szCs w:val="24"/>
                <w:lang w:eastAsia="lv-LV"/>
              </w:rPr>
              <w:t>Nav attiecināms</w:t>
            </w:r>
            <w:r>
              <w:rPr>
                <w:rFonts w:ascii="Times New Roman" w:eastAsia="Times New Roman" w:hAnsi="Times New Roman" w:cs="Times New Roman"/>
                <w:bCs/>
                <w:sz w:val="24"/>
                <w:szCs w:val="24"/>
                <w:lang w:eastAsia="lv-LV"/>
              </w:rPr>
              <w:t>.</w:t>
            </w:r>
          </w:p>
        </w:tc>
      </w:tr>
    </w:tbl>
    <w:p w14:paraId="38674108" w14:textId="4151F4DB" w:rsidR="00A1552F" w:rsidRPr="0044490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
        <w:gridCol w:w="79"/>
        <w:gridCol w:w="2082"/>
        <w:gridCol w:w="6770"/>
      </w:tblGrid>
      <w:tr w:rsidR="00BC2633" w:rsidRPr="00444908"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 Tiesību akta projekta izstrādes nepieciešamība</w:t>
            </w:r>
          </w:p>
        </w:tc>
      </w:tr>
      <w:tr w:rsidR="0003188E" w:rsidRPr="00444908" w14:paraId="1DE3E1EE" w14:textId="77777777" w:rsidTr="00D46184">
        <w:trPr>
          <w:trHeight w:val="1054"/>
        </w:trPr>
        <w:tc>
          <w:tcPr>
            <w:tcW w:w="199"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tcPr>
          <w:p w14:paraId="31B049B9" w14:textId="0ACF4820" w:rsidR="0082360E" w:rsidRPr="00444908" w:rsidRDefault="0003188E" w:rsidP="00D46184">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Pamatojums</w:t>
            </w:r>
          </w:p>
        </w:tc>
        <w:tc>
          <w:tcPr>
            <w:tcW w:w="3672" w:type="pct"/>
            <w:tcBorders>
              <w:top w:val="outset" w:sz="6" w:space="0" w:color="414142"/>
              <w:left w:val="outset" w:sz="6" w:space="0" w:color="414142"/>
              <w:bottom w:val="outset" w:sz="6" w:space="0" w:color="414142"/>
              <w:right w:val="outset" w:sz="6" w:space="0" w:color="414142"/>
            </w:tcBorders>
          </w:tcPr>
          <w:p w14:paraId="53091127" w14:textId="4D0EB171" w:rsidR="00A21922" w:rsidRPr="00C5025A" w:rsidRDefault="00FA6D51" w:rsidP="008C4436">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12.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Eiropas Savienības Padome pieņēma</w:t>
            </w:r>
            <w:r w:rsidRPr="00444908">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bCs/>
                <w:sz w:val="24"/>
                <w:szCs w:val="24"/>
                <w:lang w:eastAsia="lv-LV"/>
              </w:rPr>
              <w:t xml:space="preserve">(turpmāk </w:t>
            </w:r>
            <w:r w:rsidR="00915006">
              <w:rPr>
                <w:rFonts w:ascii="Times New Roman" w:eastAsia="Times New Roman" w:hAnsi="Times New Roman" w:cs="Times New Roman"/>
                <w:bCs/>
                <w:sz w:val="24"/>
                <w:szCs w:val="24"/>
                <w:lang w:eastAsia="lv-LV"/>
              </w:rPr>
              <w:t xml:space="preserve">arī </w:t>
            </w:r>
            <w:r w:rsidRPr="00444908">
              <w:rPr>
                <w:rFonts w:ascii="Times New Roman" w:eastAsia="Times New Roman" w:hAnsi="Times New Roman" w:cs="Times New Roman"/>
                <w:bCs/>
                <w:sz w:val="24"/>
                <w:szCs w:val="24"/>
                <w:lang w:eastAsia="lv-LV"/>
              </w:rPr>
              <w:t xml:space="preserve">– EPPO regula), uz kuras pamata tiks izveidota Eiropas Prokuratūra. </w:t>
            </w:r>
          </w:p>
        </w:tc>
      </w:tr>
      <w:tr w:rsidR="00DA326E" w:rsidRPr="00444908" w14:paraId="5FF7B6AF" w14:textId="77777777" w:rsidTr="00C618BA">
        <w:trPr>
          <w:trHeight w:val="517"/>
        </w:trPr>
        <w:tc>
          <w:tcPr>
            <w:tcW w:w="199"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444908" w:rsidRDefault="006F1C9A" w:rsidP="006F1C9A">
            <w:pPr>
              <w:rPr>
                <w:rFonts w:ascii="Times New Roman" w:eastAsia="Times New Roman" w:hAnsi="Times New Roman" w:cs="Times New Roman"/>
                <w:sz w:val="24"/>
                <w:szCs w:val="24"/>
                <w:lang w:eastAsia="lv-LV"/>
              </w:rPr>
            </w:pPr>
          </w:p>
          <w:p w14:paraId="7F6D045A" w14:textId="77777777" w:rsidR="006F1C9A" w:rsidRPr="00444908" w:rsidRDefault="006F1C9A" w:rsidP="006F1C9A">
            <w:pPr>
              <w:rPr>
                <w:rFonts w:ascii="Times New Roman" w:eastAsia="Times New Roman" w:hAnsi="Times New Roman" w:cs="Times New Roman"/>
                <w:sz w:val="24"/>
                <w:szCs w:val="24"/>
                <w:lang w:eastAsia="lv-LV"/>
              </w:rPr>
            </w:pPr>
          </w:p>
          <w:p w14:paraId="67FEAB13" w14:textId="77777777" w:rsidR="006F1C9A" w:rsidRPr="00444908" w:rsidRDefault="006F1C9A" w:rsidP="006F1C9A">
            <w:pPr>
              <w:rPr>
                <w:rFonts w:ascii="Times New Roman" w:eastAsia="Times New Roman" w:hAnsi="Times New Roman" w:cs="Times New Roman"/>
                <w:sz w:val="24"/>
                <w:szCs w:val="24"/>
                <w:lang w:eastAsia="lv-LV"/>
              </w:rPr>
            </w:pPr>
          </w:p>
          <w:p w14:paraId="0684804B" w14:textId="77777777" w:rsidR="006F1C9A" w:rsidRPr="00444908" w:rsidRDefault="006F1C9A" w:rsidP="006F1C9A">
            <w:pPr>
              <w:rPr>
                <w:rFonts w:ascii="Times New Roman" w:eastAsia="Times New Roman" w:hAnsi="Times New Roman" w:cs="Times New Roman"/>
                <w:sz w:val="24"/>
                <w:szCs w:val="24"/>
                <w:lang w:eastAsia="lv-LV"/>
              </w:rPr>
            </w:pPr>
          </w:p>
          <w:p w14:paraId="6E657902" w14:textId="77777777" w:rsidR="006F1C9A" w:rsidRPr="00444908" w:rsidRDefault="006F1C9A" w:rsidP="006F1C9A">
            <w:pPr>
              <w:rPr>
                <w:rFonts w:ascii="Times New Roman" w:eastAsia="Times New Roman" w:hAnsi="Times New Roman" w:cs="Times New Roman"/>
                <w:sz w:val="24"/>
                <w:szCs w:val="24"/>
                <w:lang w:eastAsia="lv-LV"/>
              </w:rPr>
            </w:pPr>
          </w:p>
          <w:p w14:paraId="4767F7F8" w14:textId="77777777" w:rsidR="006F1C9A" w:rsidRPr="00444908" w:rsidRDefault="006F1C9A" w:rsidP="006F1C9A">
            <w:pPr>
              <w:rPr>
                <w:rFonts w:ascii="Times New Roman" w:eastAsia="Times New Roman" w:hAnsi="Times New Roman" w:cs="Times New Roman"/>
                <w:sz w:val="24"/>
                <w:szCs w:val="24"/>
                <w:lang w:eastAsia="lv-LV"/>
              </w:rPr>
            </w:pPr>
          </w:p>
          <w:p w14:paraId="7B9225C8" w14:textId="45E0429A" w:rsidR="006F1C9A" w:rsidRPr="00444908" w:rsidRDefault="006F1C9A" w:rsidP="006F1C9A">
            <w:pPr>
              <w:rPr>
                <w:rFonts w:ascii="Times New Roman" w:eastAsia="Times New Roman" w:hAnsi="Times New Roman" w:cs="Times New Roman"/>
                <w:sz w:val="24"/>
                <w:szCs w:val="24"/>
                <w:lang w:eastAsia="lv-LV"/>
              </w:rPr>
            </w:pPr>
          </w:p>
        </w:tc>
        <w:tc>
          <w:tcPr>
            <w:tcW w:w="3672" w:type="pct"/>
            <w:tcBorders>
              <w:top w:val="outset" w:sz="6" w:space="0" w:color="414142"/>
              <w:left w:val="outset" w:sz="6" w:space="0" w:color="414142"/>
              <w:bottom w:val="outset" w:sz="6" w:space="0" w:color="414142"/>
              <w:right w:val="outset" w:sz="6" w:space="0" w:color="414142"/>
            </w:tcBorders>
            <w:hideMark/>
          </w:tcPr>
          <w:p w14:paraId="40BE595E" w14:textId="4E29C62D" w:rsidR="007927CF" w:rsidRPr="00444908" w:rsidRDefault="00D46184"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Prokuratūra tika</w:t>
            </w:r>
            <w:r w:rsidR="00381C62">
              <w:rPr>
                <w:rFonts w:ascii="Times New Roman" w:eastAsia="Times New Roman" w:hAnsi="Times New Roman" w:cs="Times New Roman"/>
                <w:sz w:val="24"/>
                <w:szCs w:val="24"/>
                <w:lang w:eastAsia="lv-LV"/>
              </w:rPr>
              <w:t xml:space="preserve"> veidota ar mērķi aizsargāt Eiropas Savienības (turpmāk – ES)</w:t>
            </w:r>
            <w:r w:rsidR="007927CF" w:rsidRPr="00444908">
              <w:rPr>
                <w:rFonts w:ascii="Times New Roman" w:eastAsia="Times New Roman" w:hAnsi="Times New Roman" w:cs="Times New Roman"/>
                <w:sz w:val="24"/>
                <w:szCs w:val="24"/>
                <w:lang w:eastAsia="lv-LV"/>
              </w:rPr>
              <w:t xml:space="preserve"> finanšu intereses. Eiropas Prokuratūra būs galvenā iestāde, kas </w:t>
            </w:r>
            <w:r w:rsidR="007927CF" w:rsidRPr="00444908">
              <w:rPr>
                <w:rFonts w:ascii="Times New Roman" w:eastAsia="Times New Roman" w:hAnsi="Times New Roman" w:cs="Times New Roman"/>
                <w:bCs/>
                <w:sz w:val="24"/>
                <w:szCs w:val="24"/>
                <w:lang w:eastAsia="lv-LV"/>
              </w:rPr>
              <w:t>atbildīga</w:t>
            </w:r>
            <w:r w:rsidR="007927CF" w:rsidRPr="00CF764A">
              <w:rPr>
                <w:rFonts w:ascii="Times New Roman" w:eastAsia="Times New Roman" w:hAnsi="Times New Roman" w:cs="Times New Roman"/>
                <w:sz w:val="24"/>
                <w:szCs w:val="24"/>
                <w:lang w:eastAsia="lv-LV"/>
              </w:rPr>
              <w:t xml:space="preserve"> </w:t>
            </w:r>
            <w:r w:rsidR="007927CF" w:rsidRPr="00444908">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14:paraId="6177406A" w14:textId="09C1EBBA"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sidRPr="00444908">
              <w:rPr>
                <w:rFonts w:ascii="Times New Roman" w:eastAsia="Times New Roman" w:hAnsi="Times New Roman" w:cs="Times New Roman"/>
                <w:bCs/>
                <w:sz w:val="24"/>
                <w:szCs w:val="24"/>
                <w:lang w:eastAsia="lv-LV"/>
              </w:rPr>
              <w:t xml:space="preserve"> </w:t>
            </w:r>
            <w:r w:rsidRPr="00444908">
              <w:rPr>
                <w:rFonts w:ascii="Times New Roman" w:eastAsia="Times New Roman" w:hAnsi="Times New Roman" w:cs="Times New Roman"/>
                <w:bCs/>
                <w:sz w:val="24"/>
                <w:szCs w:val="24"/>
                <w:lang w:eastAsia="lv-LV"/>
              </w:rPr>
              <w:t>Nīderlande, Portugāle, Rumānija, Slovākija, Spānija un Slovēnija.</w:t>
            </w:r>
          </w:p>
          <w:p w14:paraId="407AC402" w14:textId="33AC5BB2" w:rsidR="007927CF" w:rsidRPr="00444908"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ir uzsākusi izvērtēt tās iespējas pievienoties Eiropas Prokuratūrai nākotnē.</w:t>
            </w:r>
          </w:p>
          <w:p w14:paraId="2C23FD57" w14:textId="08012434" w:rsidR="00E41BEB"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w:t>
            </w:r>
            <w:r w:rsidR="006B256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rokuratūra </w:t>
            </w:r>
            <w:r w:rsidR="00C618BA">
              <w:rPr>
                <w:rFonts w:ascii="Times New Roman" w:eastAsia="Times New Roman" w:hAnsi="Times New Roman" w:cs="Times New Roman"/>
                <w:sz w:val="24"/>
                <w:szCs w:val="24"/>
                <w:lang w:eastAsia="lv-LV"/>
              </w:rPr>
              <w:t>ir</w:t>
            </w:r>
            <w:r w:rsidRPr="00444908">
              <w:rPr>
                <w:rFonts w:ascii="Times New Roman" w:eastAsia="Times New Roman" w:hAnsi="Times New Roman" w:cs="Times New Roman"/>
                <w:sz w:val="24"/>
                <w:szCs w:val="24"/>
                <w:lang w:eastAsia="lv-LV"/>
              </w:rPr>
              <w:t xml:space="preserve"> decentralizēta ES prokuratūra. Centrālais līmenis un galvenā Eiropas Prokuratūras mītne atradīsies Luksemburgā. Eiropa</w:t>
            </w:r>
            <w:r w:rsidR="00083F6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 xml:space="preserve">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pastāvīgie </w:t>
            </w:r>
            <w:r w:rsidRPr="00444908">
              <w:rPr>
                <w:rFonts w:ascii="Times New Roman" w:eastAsia="Times New Roman" w:hAnsi="Times New Roman" w:cs="Times New Roman"/>
                <w:sz w:val="24"/>
                <w:szCs w:val="24"/>
                <w:lang w:eastAsia="lv-LV"/>
              </w:rPr>
              <w:lastRenderedPageBreak/>
              <w:t>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p>
          <w:p w14:paraId="1242EF42" w14:textId="428A9859" w:rsidR="00F01A60"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444908">
              <w:rPr>
                <w:rFonts w:ascii="Times New Roman" w:eastAsia="Times New Roman" w:hAnsi="Times New Roman" w:cs="Times New Roman"/>
                <w:sz w:val="24"/>
                <w:szCs w:val="24"/>
                <w:lang w:eastAsia="lv-LV"/>
              </w:rPr>
              <w:t>u</w:t>
            </w:r>
            <w:r w:rsidRPr="00444908">
              <w:rPr>
                <w:rFonts w:ascii="Times New Roman" w:eastAsia="Times New Roman" w:hAnsi="Times New Roman" w:cs="Times New Roman"/>
                <w:sz w:val="24"/>
                <w:szCs w:val="24"/>
                <w:lang w:eastAsia="lv-LV"/>
              </w:rPr>
              <w:t>zdevums būs lietu izmeklēšana, kriminālvajāšana un apsūdzības uzturēšana tiesā.</w:t>
            </w:r>
          </w:p>
          <w:p w14:paraId="52E328B8" w14:textId="57C3897B" w:rsidR="007B097D" w:rsidRDefault="00B208C2" w:rsidP="00E41BEB">
            <w:pPr>
              <w:spacing w:after="0" w:line="240" w:lineRule="auto"/>
              <w:ind w:firstLine="811"/>
              <w:jc w:val="both"/>
              <w:rPr>
                <w:rFonts w:ascii="Times New Roman" w:hAnsi="Times New Roman" w:cs="Times New Roman"/>
                <w:sz w:val="24"/>
                <w:szCs w:val="24"/>
              </w:rPr>
            </w:pPr>
            <w:r w:rsidRPr="00444908">
              <w:rPr>
                <w:rFonts w:ascii="Times New Roman" w:eastAsia="Times New Roman" w:hAnsi="Times New Roman" w:cs="Times New Roman"/>
                <w:sz w:val="24"/>
                <w:szCs w:val="24"/>
                <w:lang w:eastAsia="lv-LV"/>
              </w:rPr>
              <w:t xml:space="preserve">EPPO regula ir tieši piemērojama, bet </w:t>
            </w:r>
            <w:r w:rsidR="00D00D54">
              <w:rPr>
                <w:rFonts w:ascii="Times New Roman" w:eastAsia="Times New Roman" w:hAnsi="Times New Roman" w:cs="Times New Roman"/>
                <w:sz w:val="24"/>
                <w:szCs w:val="24"/>
                <w:lang w:eastAsia="lv-LV"/>
              </w:rPr>
              <w:t>Latvijas normatīvajos aktos</w:t>
            </w:r>
            <w:r w:rsidRPr="00444908">
              <w:rPr>
                <w:rFonts w:ascii="Times New Roman" w:eastAsia="Times New Roman" w:hAnsi="Times New Roman" w:cs="Times New Roman"/>
                <w:sz w:val="24"/>
                <w:szCs w:val="24"/>
                <w:lang w:eastAsia="lv-LV"/>
              </w:rPr>
              <w:t xml:space="preserve"> nepieciešams ve</w:t>
            </w:r>
            <w:r w:rsidR="00D00D54">
              <w:rPr>
                <w:rFonts w:ascii="Times New Roman" w:eastAsia="Times New Roman" w:hAnsi="Times New Roman" w:cs="Times New Roman"/>
                <w:sz w:val="24"/>
                <w:szCs w:val="24"/>
                <w:lang w:eastAsia="lv-LV"/>
              </w:rPr>
              <w:t>ikt atsevišķus grozījumus, lai saskaņotu tos ar EPPO regulā noteikto</w:t>
            </w:r>
            <w:r w:rsidRPr="00444908">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 xml:space="preserve"> </w:t>
            </w:r>
            <w:r w:rsidR="00563735">
              <w:rPr>
                <w:rFonts w:ascii="Times New Roman" w:eastAsia="Times New Roman" w:hAnsi="Times New Roman" w:cs="Times New Roman"/>
                <w:sz w:val="24"/>
                <w:szCs w:val="24"/>
                <w:lang w:eastAsia="lv-LV"/>
              </w:rPr>
              <w:t>2021.</w:t>
            </w:r>
            <w:r w:rsidR="008C4436">
              <w:rPr>
                <w:rFonts w:ascii="Times New Roman" w:eastAsia="Times New Roman" w:hAnsi="Times New Roman" w:cs="Times New Roman"/>
                <w:sz w:val="24"/>
                <w:szCs w:val="24"/>
                <w:lang w:eastAsia="lv-LV"/>
              </w:rPr>
              <w:t> </w:t>
            </w:r>
            <w:r w:rsidR="00563735">
              <w:rPr>
                <w:rFonts w:ascii="Times New Roman" w:eastAsia="Times New Roman" w:hAnsi="Times New Roman" w:cs="Times New Roman"/>
                <w:sz w:val="24"/>
                <w:szCs w:val="24"/>
                <w:lang w:eastAsia="lv-LV"/>
              </w:rPr>
              <w:t>gada 20</w:t>
            </w:r>
            <w:r w:rsidR="008C4436">
              <w:rPr>
                <w:rFonts w:ascii="Times New Roman" w:eastAsia="Times New Roman" w:hAnsi="Times New Roman" w:cs="Times New Roman"/>
                <w:sz w:val="24"/>
                <w:szCs w:val="24"/>
                <w:lang w:eastAsia="lv-LV"/>
              </w:rPr>
              <w:t> </w:t>
            </w:r>
            <w:r w:rsidR="00563735">
              <w:rPr>
                <w:rFonts w:ascii="Times New Roman" w:eastAsia="Times New Roman" w:hAnsi="Times New Roman" w:cs="Times New Roman"/>
                <w:sz w:val="24"/>
                <w:szCs w:val="24"/>
                <w:lang w:eastAsia="lv-LV"/>
              </w:rPr>
              <w:t>janvārī sp</w:t>
            </w:r>
            <w:r w:rsidR="008C4436">
              <w:rPr>
                <w:rFonts w:ascii="Times New Roman" w:eastAsia="Times New Roman" w:hAnsi="Times New Roman" w:cs="Times New Roman"/>
                <w:sz w:val="24"/>
                <w:szCs w:val="24"/>
                <w:lang w:eastAsia="lv-LV"/>
              </w:rPr>
              <w:t>ē</w:t>
            </w:r>
            <w:r w:rsidR="00563735">
              <w:rPr>
                <w:rFonts w:ascii="Times New Roman" w:eastAsia="Times New Roman" w:hAnsi="Times New Roman" w:cs="Times New Roman"/>
                <w:sz w:val="24"/>
                <w:szCs w:val="24"/>
                <w:lang w:eastAsia="lv-LV"/>
              </w:rPr>
              <w:t>kā stājās likums</w:t>
            </w:r>
            <w:r w:rsidR="007B097D">
              <w:rPr>
                <w:rFonts w:ascii="Times New Roman" w:eastAsia="Times New Roman" w:hAnsi="Times New Roman" w:cs="Times New Roman"/>
                <w:sz w:val="24"/>
                <w:szCs w:val="24"/>
                <w:lang w:eastAsia="lv-LV"/>
              </w:rPr>
              <w:t xml:space="preserve"> </w:t>
            </w:r>
            <w:r w:rsidR="007B097D" w:rsidRPr="007B097D">
              <w:rPr>
                <w:rFonts w:ascii="Times New Roman" w:eastAsia="Times New Roman" w:hAnsi="Times New Roman" w:cs="Times New Roman"/>
                <w:sz w:val="24"/>
                <w:szCs w:val="24"/>
                <w:lang w:eastAsia="lv-LV"/>
              </w:rPr>
              <w:t>"</w:t>
            </w:r>
            <w:r w:rsidR="007B097D">
              <w:rPr>
                <w:rFonts w:ascii="Times New Roman" w:eastAsia="Times New Roman" w:hAnsi="Times New Roman" w:cs="Times New Roman"/>
                <w:sz w:val="24"/>
                <w:szCs w:val="24"/>
                <w:lang w:eastAsia="lv-LV"/>
              </w:rPr>
              <w:t>Grozījumi Kriminālprocesa likumā</w:t>
            </w:r>
            <w:r w:rsidR="007B097D" w:rsidRPr="007B097D">
              <w:rPr>
                <w:rFonts w:ascii="Times New Roman" w:eastAsia="Times New Roman" w:hAnsi="Times New Roman" w:cs="Times New Roman"/>
                <w:bCs/>
                <w:sz w:val="24"/>
                <w:szCs w:val="24"/>
                <w:lang w:eastAsia="lv-LV"/>
              </w:rPr>
              <w:t>"</w:t>
            </w:r>
            <w:r w:rsidR="00915006">
              <w:rPr>
                <w:rFonts w:ascii="Times New Roman" w:eastAsia="Times New Roman" w:hAnsi="Times New Roman" w:cs="Times New Roman"/>
                <w:sz w:val="24"/>
                <w:szCs w:val="24"/>
                <w:lang w:eastAsia="lv-LV"/>
              </w:rPr>
              <w:t>,</w:t>
            </w:r>
            <w:r w:rsidR="00563735">
              <w:rPr>
                <w:rFonts w:ascii="Times New Roman" w:hAnsi="Times New Roman" w:cs="Times New Roman"/>
                <w:sz w:val="24"/>
                <w:szCs w:val="24"/>
              </w:rPr>
              <w:t xml:space="preserve"> ar kuru tiek</w:t>
            </w:r>
            <w:r w:rsidR="007B097D">
              <w:rPr>
                <w:rFonts w:ascii="Times New Roman" w:hAnsi="Times New Roman" w:cs="Times New Roman"/>
                <w:sz w:val="24"/>
                <w:szCs w:val="24"/>
              </w:rPr>
              <w:t xml:space="preserve"> nodrošināta Eiropas Prokuratūras un tās amatpersonu darbība Kriminālprocesa likuma ietvaros. </w:t>
            </w:r>
          </w:p>
          <w:p w14:paraId="6F9A336D" w14:textId="030E5334" w:rsidR="00B208C2" w:rsidRDefault="007B097D"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Vienlaikus EPPO regul</w:t>
            </w:r>
            <w:r w:rsidR="006D4797">
              <w:rPr>
                <w:rFonts w:ascii="Times New Roman" w:hAnsi="Times New Roman" w:cs="Times New Roman"/>
                <w:sz w:val="24"/>
                <w:szCs w:val="24"/>
              </w:rPr>
              <w:t>a</w:t>
            </w:r>
            <w:r>
              <w:rPr>
                <w:rFonts w:ascii="Times New Roman" w:hAnsi="Times New Roman" w:cs="Times New Roman"/>
                <w:sz w:val="24"/>
                <w:szCs w:val="24"/>
              </w:rPr>
              <w:t xml:space="preserve">s </w:t>
            </w:r>
            <w:r w:rsidR="00563735">
              <w:rPr>
                <w:rFonts w:ascii="Times New Roman" w:hAnsi="Times New Roman" w:cs="Times New Roman"/>
                <w:sz w:val="24"/>
                <w:szCs w:val="24"/>
              </w:rPr>
              <w:t>105</w:t>
            </w:r>
            <w:r w:rsidR="00203F67">
              <w:rPr>
                <w:rFonts w:ascii="Times New Roman" w:hAnsi="Times New Roman" w:cs="Times New Roman"/>
                <w:sz w:val="24"/>
                <w:szCs w:val="24"/>
              </w:rPr>
              <w:t>.</w:t>
            </w:r>
            <w:r w:rsidR="00393943">
              <w:rPr>
                <w:rFonts w:ascii="Times New Roman" w:hAnsi="Times New Roman" w:cs="Times New Roman"/>
                <w:sz w:val="24"/>
                <w:szCs w:val="24"/>
              </w:rPr>
              <w:t> </w:t>
            </w:r>
            <w:r w:rsidR="00563735">
              <w:rPr>
                <w:rFonts w:ascii="Times New Roman" w:hAnsi="Times New Roman" w:cs="Times New Roman"/>
                <w:sz w:val="24"/>
                <w:szCs w:val="24"/>
              </w:rPr>
              <w:t>panta 3</w:t>
            </w:r>
            <w:r w:rsidR="00203F67">
              <w:rPr>
                <w:rFonts w:ascii="Times New Roman" w:hAnsi="Times New Roman" w:cs="Times New Roman"/>
                <w:sz w:val="24"/>
                <w:szCs w:val="24"/>
              </w:rPr>
              <w:t>.</w:t>
            </w:r>
            <w:r w:rsidR="00393943">
              <w:rPr>
                <w:rFonts w:ascii="Times New Roman" w:hAnsi="Times New Roman" w:cs="Times New Roman"/>
                <w:sz w:val="24"/>
                <w:szCs w:val="24"/>
              </w:rPr>
              <w:t> </w:t>
            </w:r>
            <w:r w:rsidR="00203F67">
              <w:rPr>
                <w:rFonts w:ascii="Times New Roman" w:hAnsi="Times New Roman" w:cs="Times New Roman"/>
                <w:sz w:val="24"/>
                <w:szCs w:val="24"/>
              </w:rPr>
              <w:t>punkts</w:t>
            </w:r>
            <w:r>
              <w:rPr>
                <w:rFonts w:ascii="Times New Roman" w:hAnsi="Times New Roman" w:cs="Times New Roman"/>
                <w:sz w:val="24"/>
                <w:szCs w:val="24"/>
              </w:rPr>
              <w:t xml:space="preserve"> nosaka, ka </w:t>
            </w:r>
            <w:r w:rsidR="00563735">
              <w:rPr>
                <w:rFonts w:ascii="Times New Roman" w:hAnsi="Times New Roman" w:cs="Times New Roman"/>
                <w:sz w:val="24"/>
                <w:szCs w:val="24"/>
              </w:rPr>
              <w:t>g</w:t>
            </w:r>
            <w:r w:rsidR="00563735" w:rsidRPr="00563735">
              <w:rPr>
                <w:rFonts w:ascii="Times New Roman" w:hAnsi="Times New Roman" w:cs="Times New Roman"/>
                <w:sz w:val="24"/>
                <w:szCs w:val="24"/>
              </w:rPr>
              <w:t>adījumā, ja starp</w:t>
            </w:r>
            <w:r w:rsidR="00C618BA">
              <w:rPr>
                <w:rFonts w:ascii="Times New Roman" w:hAnsi="Times New Roman" w:cs="Times New Roman"/>
                <w:sz w:val="24"/>
                <w:szCs w:val="24"/>
              </w:rPr>
              <w:t xml:space="preserve"> Eiropas Prokuratūru</w:t>
            </w:r>
            <w:r w:rsidR="00563735" w:rsidRPr="00563735">
              <w:rPr>
                <w:rFonts w:ascii="Times New Roman" w:hAnsi="Times New Roman" w:cs="Times New Roman"/>
                <w:sz w:val="24"/>
                <w:szCs w:val="24"/>
              </w:rPr>
              <w:t xml:space="preserve"> un to </w:t>
            </w:r>
            <w:r w:rsidR="00915006">
              <w:rPr>
                <w:rFonts w:ascii="Times New Roman" w:hAnsi="Times New Roman" w:cs="Times New Roman"/>
                <w:sz w:val="24"/>
                <w:szCs w:val="24"/>
              </w:rPr>
              <w:t>ES</w:t>
            </w:r>
            <w:r w:rsidR="00563735" w:rsidRPr="00563735">
              <w:rPr>
                <w:rFonts w:ascii="Times New Roman" w:hAnsi="Times New Roman" w:cs="Times New Roman"/>
                <w:sz w:val="24"/>
                <w:szCs w:val="24"/>
              </w:rPr>
              <w:t xml:space="preserve"> dalībvalstu kompetentajām iestādēm, kuras neiesaistās ciešākā sadarbībā</w:t>
            </w:r>
            <w:r w:rsidR="00C618BA">
              <w:rPr>
                <w:rFonts w:ascii="Times New Roman" w:hAnsi="Times New Roman" w:cs="Times New Roman"/>
                <w:sz w:val="24"/>
                <w:szCs w:val="24"/>
              </w:rPr>
              <w:t xml:space="preserve"> Eiropas Prokuratūras</w:t>
            </w:r>
            <w:r w:rsidR="00563735" w:rsidRPr="00563735">
              <w:rPr>
                <w:rFonts w:ascii="Times New Roman" w:hAnsi="Times New Roman" w:cs="Times New Roman"/>
                <w:sz w:val="24"/>
                <w:szCs w:val="24"/>
              </w:rPr>
              <w:t xml:space="preserve"> izveidei, nepastāv tiesību instruments, kas attiecas uz sadarbību krimināllietās un nodošanu, dalībvalstis paziņo</w:t>
            </w:r>
            <w:r w:rsidR="00C618BA">
              <w:rPr>
                <w:rFonts w:ascii="Times New Roman" w:hAnsi="Times New Roman" w:cs="Times New Roman"/>
                <w:sz w:val="24"/>
                <w:szCs w:val="24"/>
              </w:rPr>
              <w:t xml:space="preserve"> Eiropas Prokuratūru</w:t>
            </w:r>
            <w:r w:rsidR="00563735" w:rsidRPr="00563735">
              <w:rPr>
                <w:rFonts w:ascii="Times New Roman" w:hAnsi="Times New Roman" w:cs="Times New Roman"/>
                <w:sz w:val="24"/>
                <w:szCs w:val="24"/>
              </w:rPr>
              <w:t xml:space="preserve"> kā kompetento iestādi nolūkā īstenot piemērojamos Savienības aktus par tiesu iestāžu sadarbību krimināllietās attiecībā uz gadījumiem, kas ir</w:t>
            </w:r>
            <w:r w:rsidR="00C618BA">
              <w:rPr>
                <w:rFonts w:ascii="Times New Roman" w:hAnsi="Times New Roman" w:cs="Times New Roman"/>
                <w:sz w:val="24"/>
                <w:szCs w:val="24"/>
              </w:rPr>
              <w:t xml:space="preserve"> Eiropas Prokuratūras</w:t>
            </w:r>
            <w:r w:rsidR="00563735" w:rsidRPr="00563735">
              <w:rPr>
                <w:rFonts w:ascii="Times New Roman" w:hAnsi="Times New Roman" w:cs="Times New Roman"/>
                <w:sz w:val="24"/>
                <w:szCs w:val="24"/>
              </w:rPr>
              <w:t xml:space="preserve"> kompetencē, savās attiecībās ar </w:t>
            </w:r>
            <w:r w:rsidR="00915006">
              <w:rPr>
                <w:rFonts w:ascii="Times New Roman" w:hAnsi="Times New Roman" w:cs="Times New Roman"/>
                <w:sz w:val="24"/>
                <w:szCs w:val="24"/>
              </w:rPr>
              <w:t>ES</w:t>
            </w:r>
            <w:r w:rsidR="00563735" w:rsidRPr="00563735">
              <w:rPr>
                <w:rFonts w:ascii="Times New Roman" w:hAnsi="Times New Roman" w:cs="Times New Roman"/>
                <w:sz w:val="24"/>
                <w:szCs w:val="24"/>
              </w:rPr>
              <w:t xml:space="preserve"> dalībvalstīm, kuras neiesaistās ciešākā sadarbībā</w:t>
            </w:r>
            <w:r w:rsidR="00C618BA">
              <w:rPr>
                <w:rFonts w:ascii="Times New Roman" w:hAnsi="Times New Roman" w:cs="Times New Roman"/>
                <w:sz w:val="24"/>
                <w:szCs w:val="24"/>
              </w:rPr>
              <w:t xml:space="preserve"> Eiropas Prokuratūras</w:t>
            </w:r>
            <w:r w:rsidR="00563735">
              <w:rPr>
                <w:rFonts w:ascii="Times New Roman" w:hAnsi="Times New Roman" w:cs="Times New Roman"/>
                <w:sz w:val="24"/>
                <w:szCs w:val="24"/>
              </w:rPr>
              <w:t xml:space="preserve"> izveidei</w:t>
            </w:r>
            <w:r w:rsidRPr="007B097D">
              <w:rPr>
                <w:rFonts w:ascii="Times New Roman" w:hAnsi="Times New Roman" w:cs="Times New Roman"/>
                <w:sz w:val="24"/>
                <w:szCs w:val="24"/>
              </w:rPr>
              <w:t>.</w:t>
            </w:r>
            <w:r>
              <w:rPr>
                <w:rFonts w:ascii="Times New Roman" w:hAnsi="Times New Roman" w:cs="Times New Roman"/>
                <w:sz w:val="24"/>
                <w:szCs w:val="24"/>
              </w:rPr>
              <w:t xml:space="preserve"> Eiropas Komisijas un dalībvalstu ieskatā</w:t>
            </w:r>
            <w:r w:rsidR="00FD1412">
              <w:rPr>
                <w:rFonts w:ascii="Times New Roman" w:hAnsi="Times New Roman" w:cs="Times New Roman"/>
                <w:sz w:val="24"/>
                <w:szCs w:val="24"/>
              </w:rPr>
              <w:t>,</w:t>
            </w:r>
            <w:r>
              <w:rPr>
                <w:rFonts w:ascii="Times New Roman" w:hAnsi="Times New Roman" w:cs="Times New Roman"/>
                <w:sz w:val="24"/>
                <w:szCs w:val="24"/>
              </w:rPr>
              <w:t xml:space="preserve"> š</w:t>
            </w:r>
            <w:r w:rsidR="006D4797">
              <w:rPr>
                <w:rFonts w:ascii="Times New Roman" w:hAnsi="Times New Roman" w:cs="Times New Roman"/>
                <w:sz w:val="24"/>
                <w:szCs w:val="24"/>
              </w:rPr>
              <w:t>āds</w:t>
            </w:r>
            <w:r w:rsidR="00563735">
              <w:rPr>
                <w:rFonts w:ascii="Times New Roman" w:hAnsi="Times New Roman" w:cs="Times New Roman"/>
                <w:sz w:val="24"/>
                <w:szCs w:val="24"/>
              </w:rPr>
              <w:t xml:space="preserve"> </w:t>
            </w:r>
            <w:r w:rsidR="00915006">
              <w:rPr>
                <w:rFonts w:ascii="Times New Roman" w:hAnsi="Times New Roman" w:cs="Times New Roman"/>
                <w:sz w:val="24"/>
                <w:szCs w:val="24"/>
              </w:rPr>
              <w:t>ES</w:t>
            </w:r>
            <w:r w:rsidR="006D4797">
              <w:rPr>
                <w:rFonts w:ascii="Times New Roman" w:hAnsi="Times New Roman" w:cs="Times New Roman"/>
                <w:sz w:val="24"/>
                <w:szCs w:val="24"/>
              </w:rPr>
              <w:t xml:space="preserve"> </w:t>
            </w:r>
            <w:r w:rsidR="00563735">
              <w:rPr>
                <w:rFonts w:ascii="Times New Roman" w:hAnsi="Times New Roman" w:cs="Times New Roman"/>
                <w:sz w:val="24"/>
                <w:szCs w:val="24"/>
              </w:rPr>
              <w:t>tiesiskās sadarbības instruments</w:t>
            </w:r>
            <w:r>
              <w:rPr>
                <w:rFonts w:ascii="Times New Roman" w:hAnsi="Times New Roman" w:cs="Times New Roman"/>
                <w:sz w:val="24"/>
                <w:szCs w:val="24"/>
              </w:rPr>
              <w:t>, kur</w:t>
            </w:r>
            <w:r w:rsidR="006D4797">
              <w:rPr>
                <w:rFonts w:ascii="Times New Roman" w:hAnsi="Times New Roman" w:cs="Times New Roman"/>
                <w:sz w:val="24"/>
                <w:szCs w:val="24"/>
              </w:rPr>
              <w:t>ā nepiecieš</w:t>
            </w:r>
            <w:r>
              <w:rPr>
                <w:rFonts w:ascii="Times New Roman" w:hAnsi="Times New Roman" w:cs="Times New Roman"/>
                <w:sz w:val="24"/>
                <w:szCs w:val="24"/>
              </w:rPr>
              <w:t>ams Eiropas Prokuratūru pazi</w:t>
            </w:r>
            <w:r w:rsidR="006D4797">
              <w:rPr>
                <w:rFonts w:ascii="Times New Roman" w:hAnsi="Times New Roman" w:cs="Times New Roman"/>
                <w:sz w:val="24"/>
                <w:szCs w:val="24"/>
              </w:rPr>
              <w:t>ņot kā</w:t>
            </w:r>
            <w:r>
              <w:rPr>
                <w:rFonts w:ascii="Times New Roman" w:hAnsi="Times New Roman" w:cs="Times New Roman"/>
                <w:sz w:val="24"/>
                <w:szCs w:val="24"/>
              </w:rPr>
              <w:t xml:space="preserve"> kompetento iestādi</w:t>
            </w:r>
            <w:r w:rsidR="00FD1412">
              <w:rPr>
                <w:rFonts w:ascii="Times New Roman" w:hAnsi="Times New Roman" w:cs="Times New Roman"/>
                <w:sz w:val="24"/>
                <w:szCs w:val="24"/>
              </w:rPr>
              <w:t>,</w:t>
            </w:r>
            <w:r>
              <w:rPr>
                <w:rFonts w:ascii="Times New Roman" w:hAnsi="Times New Roman" w:cs="Times New Roman"/>
                <w:sz w:val="24"/>
                <w:szCs w:val="24"/>
              </w:rPr>
              <w:t xml:space="preserve"> ir </w:t>
            </w:r>
            <w:r w:rsidR="00563735">
              <w:rPr>
                <w:rFonts w:ascii="Times New Roman" w:hAnsi="Times New Roman" w:cs="Times New Roman"/>
                <w:sz w:val="24"/>
                <w:szCs w:val="24"/>
              </w:rPr>
              <w:t>Konvencija</w:t>
            </w:r>
            <w:r w:rsidR="00563735" w:rsidRPr="00563735">
              <w:rPr>
                <w:rFonts w:ascii="Times New Roman" w:hAnsi="Times New Roman" w:cs="Times New Roman"/>
                <w:sz w:val="24"/>
                <w:szCs w:val="24"/>
              </w:rPr>
              <w:t xml:space="preserve"> par Eiropas Savienības dalībvalstu savstarpēju palīdzību krimināllietās, ko Padome pieņēmusi saskaņā ar Līguma par Eiropas Savienību 34.</w:t>
            </w:r>
            <w:r w:rsidR="008C4436">
              <w:rPr>
                <w:rFonts w:ascii="Times New Roman" w:hAnsi="Times New Roman" w:cs="Times New Roman"/>
                <w:sz w:val="24"/>
                <w:szCs w:val="24"/>
              </w:rPr>
              <w:t> </w:t>
            </w:r>
            <w:r w:rsidR="00563735" w:rsidRPr="00563735">
              <w:rPr>
                <w:rFonts w:ascii="Times New Roman" w:hAnsi="Times New Roman" w:cs="Times New Roman"/>
                <w:sz w:val="24"/>
                <w:szCs w:val="24"/>
              </w:rPr>
              <w:t>pantu</w:t>
            </w:r>
            <w:r w:rsidR="00563735" w:rsidRPr="00563735">
              <w:rPr>
                <w:rFonts w:ascii="Times New Roman" w:hAnsi="Times New Roman" w:cs="Times New Roman"/>
                <w:bCs/>
                <w:sz w:val="24"/>
                <w:szCs w:val="24"/>
              </w:rPr>
              <w:t xml:space="preserve"> </w:t>
            </w:r>
            <w:r w:rsidR="006D4797">
              <w:rPr>
                <w:rFonts w:ascii="Times New Roman" w:eastAsia="Times New Roman" w:hAnsi="Times New Roman" w:cs="Times New Roman"/>
                <w:bCs/>
                <w:sz w:val="24"/>
                <w:szCs w:val="24"/>
                <w:lang w:eastAsia="lv-LV"/>
              </w:rPr>
              <w:t>(turpmāk – Konvencija)</w:t>
            </w:r>
            <w:r w:rsidR="00E158AE">
              <w:rPr>
                <w:rFonts w:ascii="Times New Roman" w:eastAsia="Times New Roman" w:hAnsi="Times New Roman" w:cs="Times New Roman"/>
                <w:bCs/>
                <w:sz w:val="24"/>
                <w:szCs w:val="24"/>
                <w:lang w:eastAsia="lv-LV"/>
              </w:rPr>
              <w:t>.</w:t>
            </w:r>
          </w:p>
          <w:p w14:paraId="4D09BF5D" w14:textId="34264EF1" w:rsidR="00103BA8" w:rsidRDefault="00E158AE" w:rsidP="00E41BEB">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Tāpēc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w:t>
            </w:r>
            <w:r w:rsidR="00103BA8">
              <w:rPr>
                <w:rFonts w:ascii="Times New Roman" w:eastAsia="Times New Roman" w:hAnsi="Times New Roman" w:cs="Times New Roman"/>
                <w:bCs/>
                <w:sz w:val="24"/>
                <w:szCs w:val="24"/>
                <w:lang w:eastAsia="lv-LV"/>
              </w:rPr>
              <w:t>kumprojekts paredz grozīt likumu</w:t>
            </w:r>
            <w:r w:rsidRPr="00E158AE">
              <w:rPr>
                <w:rFonts w:ascii="Times New Roman" w:eastAsia="Times New Roman" w:hAnsi="Times New Roman" w:cs="Times New Roman"/>
                <w:bCs/>
                <w:sz w:val="24"/>
                <w:szCs w:val="24"/>
                <w:lang w:eastAsia="lv-LV"/>
              </w:rPr>
              <w:t xml:space="preserve"> "</w:t>
            </w:r>
            <w:r w:rsidR="00563735" w:rsidRPr="00563735">
              <w:rPr>
                <w:rFonts w:ascii="Times New Roman" w:eastAsia="Times New Roman" w:hAnsi="Times New Roman" w:cs="Times New Roman"/>
                <w:bCs/>
                <w:sz w:val="24"/>
                <w:szCs w:val="24"/>
                <w:lang w:eastAsia="lv-LV"/>
              </w:rPr>
              <w:t>Par Konvenciju par Eiropas Savienības dalībvalstu savstarpēju palīdzību krimināllietās, ko Padome pieņēmusi saskaņā ar Līguma par Eiropas Savienību 34.</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 Padomes Deklarāciju par Konvencijas 10.</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panta devīto daļu, Apvienotās Karalistes deklarāciju par Konvencijas 20.</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 un Konvencijas Protokolu, ko Padome pieņēmusi saskaņā ar Līguma par Eiropas Savienību 34.</w:t>
            </w:r>
            <w:r w:rsidR="008C4436">
              <w:rPr>
                <w:rFonts w:ascii="Times New Roman" w:eastAsia="Times New Roman" w:hAnsi="Times New Roman" w:cs="Times New Roman"/>
                <w:bCs/>
                <w:sz w:val="24"/>
                <w:szCs w:val="24"/>
                <w:lang w:eastAsia="lv-LV"/>
              </w:rPr>
              <w:t> </w:t>
            </w:r>
            <w:r w:rsidR="00563735" w:rsidRPr="00563735">
              <w:rPr>
                <w:rFonts w:ascii="Times New Roman" w:eastAsia="Times New Roman" w:hAnsi="Times New Roman" w:cs="Times New Roman"/>
                <w:bCs/>
                <w:sz w:val="24"/>
                <w:szCs w:val="24"/>
                <w:lang w:eastAsia="lv-LV"/>
              </w:rPr>
              <w:t>pantu</w:t>
            </w:r>
            <w:r w:rsidRPr="00E158AE">
              <w:rPr>
                <w:rFonts w:ascii="Times New Roman" w:eastAsia="Times New Roman" w:hAnsi="Times New Roman" w:cs="Times New Roman"/>
                <w:bCs/>
                <w:sz w:val="24"/>
                <w:szCs w:val="24"/>
                <w:lang w:eastAsia="lv-LV"/>
              </w:rPr>
              <w:t>"</w:t>
            </w:r>
            <w:r w:rsidR="006D4797">
              <w:rPr>
                <w:rFonts w:ascii="Times New Roman" w:eastAsia="Times New Roman" w:hAnsi="Times New Roman" w:cs="Times New Roman"/>
                <w:bCs/>
                <w:sz w:val="24"/>
                <w:szCs w:val="24"/>
                <w:lang w:eastAsia="lv-LV"/>
              </w:rPr>
              <w:t xml:space="preserve"> (turpmāk – Ratifikācijas likums)</w:t>
            </w:r>
            <w:r w:rsidR="00103BA8">
              <w:rPr>
                <w:rFonts w:ascii="Times New Roman" w:eastAsia="Times New Roman" w:hAnsi="Times New Roman" w:cs="Times New Roman"/>
                <w:bCs/>
                <w:sz w:val="24"/>
                <w:szCs w:val="24"/>
                <w:lang w:eastAsia="lv-LV"/>
              </w:rPr>
              <w:t>.</w:t>
            </w:r>
          </w:p>
          <w:p w14:paraId="5A05C29D" w14:textId="1819C21D" w:rsidR="00246FE0" w:rsidRDefault="00793F4D" w:rsidP="00246FE0">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Likumprojekts paredz </w:t>
            </w:r>
            <w:r w:rsidR="0009534D">
              <w:rPr>
                <w:rFonts w:ascii="Times New Roman" w:eastAsia="Times New Roman" w:hAnsi="Times New Roman" w:cs="Times New Roman"/>
                <w:bCs/>
                <w:sz w:val="24"/>
                <w:szCs w:val="24"/>
                <w:lang w:eastAsia="lv-LV"/>
              </w:rPr>
              <w:t>Eiropas Prokura</w:t>
            </w:r>
            <w:r w:rsidR="007144C1">
              <w:rPr>
                <w:rFonts w:ascii="Times New Roman" w:eastAsia="Times New Roman" w:hAnsi="Times New Roman" w:cs="Times New Roman"/>
                <w:bCs/>
                <w:sz w:val="24"/>
                <w:szCs w:val="24"/>
                <w:lang w:eastAsia="lv-LV"/>
              </w:rPr>
              <w:t>t</w:t>
            </w:r>
            <w:r w:rsidR="0009534D">
              <w:rPr>
                <w:rFonts w:ascii="Times New Roman" w:eastAsia="Times New Roman" w:hAnsi="Times New Roman" w:cs="Times New Roman"/>
                <w:bCs/>
                <w:sz w:val="24"/>
                <w:szCs w:val="24"/>
                <w:lang w:eastAsia="lv-LV"/>
              </w:rPr>
              <w:t>ūru noteikt kā kompetento iestādi sadarbībai Konvencijas 18.</w:t>
            </w:r>
            <w:r w:rsidR="008C4436">
              <w:rPr>
                <w:rFonts w:ascii="Times New Roman" w:eastAsia="Times New Roman" w:hAnsi="Times New Roman" w:cs="Times New Roman"/>
                <w:bCs/>
                <w:sz w:val="24"/>
                <w:szCs w:val="24"/>
                <w:lang w:eastAsia="lv-LV"/>
              </w:rPr>
              <w:t> panta</w:t>
            </w:r>
            <w:r w:rsidR="0009534D">
              <w:rPr>
                <w:rFonts w:ascii="Times New Roman" w:eastAsia="Times New Roman" w:hAnsi="Times New Roman" w:cs="Times New Roman"/>
                <w:bCs/>
                <w:sz w:val="24"/>
                <w:szCs w:val="24"/>
                <w:lang w:eastAsia="lv-LV"/>
              </w:rPr>
              <w:t xml:space="preserve"> (</w:t>
            </w:r>
            <w:r w:rsidR="00915006">
              <w:rPr>
                <w:rFonts w:ascii="Times New Roman" w:eastAsia="Times New Roman" w:hAnsi="Times New Roman" w:cs="Times New Roman"/>
                <w:bCs/>
                <w:sz w:val="24"/>
                <w:szCs w:val="24"/>
                <w:lang w:eastAsia="lv-LV"/>
              </w:rPr>
              <w:t>T</w:t>
            </w:r>
            <w:r w:rsidR="0009534D" w:rsidRPr="0009534D">
              <w:rPr>
                <w:rFonts w:ascii="Times New Roman" w:eastAsia="Times New Roman" w:hAnsi="Times New Roman" w:cs="Times New Roman"/>
                <w:bCs/>
                <w:sz w:val="24"/>
                <w:szCs w:val="24"/>
                <w:lang w:eastAsia="lv-LV"/>
              </w:rPr>
              <w:t>elekomunikāciju sakaru pārtveršanas lūgumi</w:t>
            </w:r>
            <w:r w:rsidR="0009534D">
              <w:rPr>
                <w:rFonts w:ascii="Times New Roman" w:eastAsia="Times New Roman" w:hAnsi="Times New Roman" w:cs="Times New Roman"/>
                <w:bCs/>
                <w:sz w:val="24"/>
                <w:szCs w:val="24"/>
                <w:lang w:eastAsia="lv-LV"/>
              </w:rPr>
              <w:t>), 19.</w:t>
            </w:r>
            <w:r w:rsidR="008C4436">
              <w:rPr>
                <w:rFonts w:ascii="Times New Roman" w:eastAsia="Times New Roman" w:hAnsi="Times New Roman" w:cs="Times New Roman"/>
                <w:bCs/>
                <w:sz w:val="24"/>
                <w:szCs w:val="24"/>
                <w:lang w:eastAsia="lv-LV"/>
              </w:rPr>
              <w:t xml:space="preserve"> panta </w:t>
            </w:r>
            <w:r w:rsidR="0009534D">
              <w:rPr>
                <w:rFonts w:ascii="Times New Roman" w:eastAsia="Times New Roman" w:hAnsi="Times New Roman" w:cs="Times New Roman"/>
                <w:bCs/>
                <w:sz w:val="24"/>
                <w:szCs w:val="24"/>
                <w:lang w:eastAsia="lv-LV"/>
              </w:rPr>
              <w:t>(</w:t>
            </w:r>
            <w:r w:rsidR="00915006">
              <w:rPr>
                <w:rFonts w:ascii="Times New Roman" w:eastAsia="Times New Roman" w:hAnsi="Times New Roman" w:cs="Times New Roman"/>
                <w:bCs/>
                <w:sz w:val="24"/>
                <w:szCs w:val="24"/>
                <w:lang w:eastAsia="lv-LV"/>
              </w:rPr>
              <w:t>T</w:t>
            </w:r>
            <w:r w:rsidR="0009534D" w:rsidRPr="0009534D">
              <w:rPr>
                <w:rFonts w:ascii="Times New Roman" w:eastAsia="Times New Roman" w:hAnsi="Times New Roman" w:cs="Times New Roman"/>
                <w:bCs/>
                <w:sz w:val="24"/>
                <w:szCs w:val="24"/>
                <w:lang w:eastAsia="lv-LV"/>
              </w:rPr>
              <w:t>elekomunikāciju sakaru pārtveršana attiecīgās valsts teritorijā, izmantojot pakalpojumu sniedzējus</w:t>
            </w:r>
            <w:r w:rsidR="0009534D">
              <w:rPr>
                <w:rFonts w:ascii="Times New Roman" w:eastAsia="Times New Roman" w:hAnsi="Times New Roman" w:cs="Times New Roman"/>
                <w:bCs/>
                <w:sz w:val="24"/>
                <w:szCs w:val="24"/>
                <w:lang w:eastAsia="lv-LV"/>
              </w:rPr>
              <w:t>) un 20.</w:t>
            </w:r>
            <w:r w:rsidR="008C4436">
              <w:rPr>
                <w:rFonts w:ascii="Times New Roman" w:eastAsia="Times New Roman" w:hAnsi="Times New Roman" w:cs="Times New Roman"/>
                <w:bCs/>
                <w:sz w:val="24"/>
                <w:szCs w:val="24"/>
                <w:lang w:eastAsia="lv-LV"/>
              </w:rPr>
              <w:t> </w:t>
            </w:r>
            <w:r w:rsidR="0009534D">
              <w:rPr>
                <w:rFonts w:ascii="Times New Roman" w:eastAsia="Times New Roman" w:hAnsi="Times New Roman" w:cs="Times New Roman"/>
                <w:bCs/>
                <w:sz w:val="24"/>
                <w:szCs w:val="24"/>
                <w:lang w:eastAsia="lv-LV"/>
              </w:rPr>
              <w:t xml:space="preserve">panta </w:t>
            </w:r>
            <w:r w:rsidR="0009534D" w:rsidRPr="0009534D">
              <w:rPr>
                <w:rFonts w:ascii="Times New Roman" w:eastAsia="Times New Roman" w:hAnsi="Times New Roman" w:cs="Times New Roman"/>
                <w:bCs/>
                <w:sz w:val="24"/>
                <w:szCs w:val="24"/>
                <w:lang w:eastAsia="lv-LV"/>
              </w:rPr>
              <w:t>(Telekomunikāciju sakaru pārtveršana bez citas dalībvalsts tehniskās palīdzības)</w:t>
            </w:r>
            <w:r w:rsidR="0009534D">
              <w:rPr>
                <w:rFonts w:ascii="Times New Roman" w:eastAsia="Times New Roman" w:hAnsi="Times New Roman" w:cs="Times New Roman"/>
                <w:bCs/>
                <w:sz w:val="24"/>
                <w:szCs w:val="24"/>
                <w:lang w:eastAsia="lv-LV"/>
              </w:rPr>
              <w:t xml:space="preserve"> ietvaros. </w:t>
            </w:r>
          </w:p>
          <w:p w14:paraId="30C06537" w14:textId="2B37DCC8" w:rsidR="00A21922" w:rsidRPr="00103BA8" w:rsidRDefault="000C1C0F" w:rsidP="000C1C0F">
            <w:pPr>
              <w:spacing w:after="0" w:line="240" w:lineRule="auto"/>
              <w:ind w:firstLine="8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 paredzēts par kompetentajām iestādēm sadarbībai Konvencijas 18., 19. un 20.</w:t>
            </w:r>
            <w:r w:rsidR="008C443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 ietvaros noteikt Valsts policiju un Ģenerālprokuratūru, ņemot vērā, ka jau šobrīd praksē saskaņā ar Kriminālprocesa likuma 846.</w:t>
            </w:r>
            <w:r w:rsidR="008C443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panta </w:t>
            </w:r>
            <w:r w:rsidR="004C4856">
              <w:rPr>
                <w:rFonts w:ascii="Times New Roman" w:eastAsia="Times New Roman" w:hAnsi="Times New Roman" w:cs="Times New Roman"/>
                <w:bCs/>
                <w:sz w:val="24"/>
                <w:szCs w:val="24"/>
                <w:lang w:eastAsia="lv-LV"/>
              </w:rPr>
              <w:t>pirmo daļu</w:t>
            </w:r>
            <w:r>
              <w:rPr>
                <w:rFonts w:ascii="Times New Roman" w:eastAsia="Times New Roman" w:hAnsi="Times New Roman" w:cs="Times New Roman"/>
                <w:bCs/>
                <w:sz w:val="24"/>
                <w:szCs w:val="24"/>
                <w:lang w:eastAsia="lv-LV"/>
              </w:rPr>
              <w:t xml:space="preserve"> </w:t>
            </w:r>
            <w:r w:rsidR="007144C1">
              <w:rPr>
                <w:rFonts w:ascii="Times New Roman" w:eastAsia="Times New Roman" w:hAnsi="Times New Roman" w:cs="Times New Roman"/>
                <w:bCs/>
                <w:sz w:val="24"/>
                <w:szCs w:val="24"/>
                <w:lang w:eastAsia="lv-LV"/>
              </w:rPr>
              <w:t>p</w:t>
            </w:r>
            <w:r w:rsidRPr="000C1C0F">
              <w:rPr>
                <w:rFonts w:ascii="Times New Roman" w:eastAsia="Times New Roman" w:hAnsi="Times New Roman" w:cs="Times New Roman"/>
                <w:bCs/>
                <w:sz w:val="24"/>
                <w:szCs w:val="24"/>
                <w:lang w:eastAsia="lv-LV"/>
              </w:rPr>
              <w:t>irmstiesas procesā ārvalsts lūgumu izskata un izlemj Ģenerālprokuratūra, bet līdz kriminālvajāšanas u</w:t>
            </w:r>
            <w:r>
              <w:rPr>
                <w:rFonts w:ascii="Times New Roman" w:eastAsia="Times New Roman" w:hAnsi="Times New Roman" w:cs="Times New Roman"/>
                <w:bCs/>
                <w:sz w:val="24"/>
                <w:szCs w:val="24"/>
                <w:lang w:eastAsia="lv-LV"/>
              </w:rPr>
              <w:t xml:space="preserve">zsākšanai </w:t>
            </w:r>
            <w:r w:rsidR="008C443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arī Valsts policija, nevis tikai Valsts </w:t>
            </w:r>
            <w:r>
              <w:rPr>
                <w:rFonts w:ascii="Times New Roman" w:eastAsia="Times New Roman" w:hAnsi="Times New Roman" w:cs="Times New Roman"/>
                <w:bCs/>
                <w:sz w:val="24"/>
                <w:szCs w:val="24"/>
                <w:lang w:eastAsia="lv-LV"/>
              </w:rPr>
              <w:lastRenderedPageBreak/>
              <w:t>policijas Galvenā kriminālpolicijas pārvalde, kā tas šobrīd noteikts Ratifikācijas likumā.</w:t>
            </w:r>
            <w:r w:rsidR="00073805" w:rsidRPr="00073805">
              <w:rPr>
                <w:rFonts w:ascii="Times New Roman" w:eastAsia="Times New Roman" w:hAnsi="Times New Roman" w:cs="Times New Roman"/>
                <w:bCs/>
                <w:sz w:val="24"/>
                <w:szCs w:val="24"/>
                <w:lang w:eastAsia="lv-LV"/>
              </w:rPr>
              <w:t xml:space="preserve"> </w:t>
            </w:r>
          </w:p>
        </w:tc>
      </w:tr>
      <w:tr w:rsidR="00DA326E" w:rsidRPr="00444908" w14:paraId="1AA028D9" w14:textId="77777777" w:rsidTr="00D46184">
        <w:trPr>
          <w:trHeight w:val="465"/>
        </w:trPr>
        <w:tc>
          <w:tcPr>
            <w:tcW w:w="199" w:type="pct"/>
            <w:gridSpan w:val="2"/>
            <w:tcBorders>
              <w:top w:val="outset" w:sz="6" w:space="0" w:color="414142"/>
              <w:left w:val="outset" w:sz="6" w:space="0" w:color="414142"/>
              <w:bottom w:val="outset" w:sz="6" w:space="0" w:color="414142"/>
              <w:right w:val="outset" w:sz="6" w:space="0" w:color="414142"/>
            </w:tcBorders>
            <w:hideMark/>
          </w:tcPr>
          <w:p w14:paraId="3D285142" w14:textId="2A07F1F4"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3.</w:t>
            </w:r>
          </w:p>
        </w:tc>
        <w:tc>
          <w:tcPr>
            <w:tcW w:w="112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izstrādē iesaistītās institūcijas</w:t>
            </w:r>
            <w:r w:rsidR="00A1552F" w:rsidRPr="00444908">
              <w:rPr>
                <w:rFonts w:ascii="Times New Roman" w:eastAsia="Times New Roman" w:hAnsi="Times New Roman" w:cs="Times New Roman"/>
                <w:sz w:val="24"/>
                <w:szCs w:val="24"/>
                <w:lang w:eastAsia="lv-LV"/>
              </w:rPr>
              <w:t xml:space="preserve"> un publiskas personas kapitālsabiedrības</w:t>
            </w:r>
          </w:p>
        </w:tc>
        <w:tc>
          <w:tcPr>
            <w:tcW w:w="3672" w:type="pct"/>
            <w:tcBorders>
              <w:top w:val="outset" w:sz="6" w:space="0" w:color="414142"/>
              <w:left w:val="outset" w:sz="6" w:space="0" w:color="414142"/>
              <w:bottom w:val="outset" w:sz="6" w:space="0" w:color="414142"/>
              <w:right w:val="outset" w:sz="6" w:space="0" w:color="414142"/>
            </w:tcBorders>
            <w:hideMark/>
          </w:tcPr>
          <w:p w14:paraId="09DA66A3" w14:textId="191DBA9A" w:rsidR="00A21922" w:rsidRPr="00444908" w:rsidRDefault="007E3B77" w:rsidP="006D479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6D4797">
              <w:rPr>
                <w:rFonts w:ascii="Times New Roman" w:eastAsia="Times New Roman" w:hAnsi="Times New Roman" w:cs="Times New Roman"/>
                <w:sz w:val="24"/>
                <w:szCs w:val="24"/>
                <w:lang w:eastAsia="lv-LV"/>
              </w:rPr>
              <w:t xml:space="preserve">Likumprojekts tika </w:t>
            </w:r>
            <w:r w:rsidR="00246FE0">
              <w:rPr>
                <w:rFonts w:ascii="Times New Roman" w:eastAsia="Times New Roman" w:hAnsi="Times New Roman" w:cs="Times New Roman"/>
                <w:sz w:val="24"/>
                <w:szCs w:val="24"/>
                <w:lang w:eastAsia="lv-LV"/>
              </w:rPr>
              <w:t xml:space="preserve">izstrādāts sadarbībā ar </w:t>
            </w:r>
            <w:r w:rsidR="006D4797">
              <w:rPr>
                <w:rFonts w:ascii="Times New Roman" w:eastAsia="Times New Roman" w:hAnsi="Times New Roman" w:cs="Times New Roman"/>
                <w:sz w:val="24"/>
                <w:szCs w:val="24"/>
                <w:lang w:eastAsia="lv-LV"/>
              </w:rPr>
              <w:t xml:space="preserve">Kriminālprocesa likuma C daļas darba </w:t>
            </w:r>
            <w:r w:rsidR="004C4856">
              <w:rPr>
                <w:rFonts w:ascii="Times New Roman" w:eastAsia="Times New Roman" w:hAnsi="Times New Roman" w:cs="Times New Roman"/>
                <w:sz w:val="24"/>
                <w:szCs w:val="24"/>
                <w:lang w:eastAsia="lv-LV"/>
              </w:rPr>
              <w:t>grupu</w:t>
            </w:r>
            <w:r w:rsidR="006D4797">
              <w:rPr>
                <w:rFonts w:ascii="Times New Roman" w:eastAsia="Times New Roman" w:hAnsi="Times New Roman" w:cs="Times New Roman"/>
                <w:sz w:val="24"/>
                <w:szCs w:val="24"/>
                <w:lang w:eastAsia="lv-LV"/>
              </w:rPr>
              <w:t>, kurā piedalās</w:t>
            </w:r>
            <w:r w:rsidR="00793716" w:rsidRPr="00444908">
              <w:t xml:space="preserve"> </w:t>
            </w:r>
            <w:r w:rsidR="006D4797">
              <w:rPr>
                <w:rFonts w:ascii="Times New Roman" w:eastAsia="Times New Roman" w:hAnsi="Times New Roman" w:cs="Times New Roman"/>
                <w:sz w:val="24"/>
                <w:szCs w:val="24"/>
                <w:lang w:eastAsia="lv-LV"/>
              </w:rPr>
              <w:t>pārstāvji</w:t>
            </w:r>
            <w:r w:rsidR="00793716" w:rsidRPr="00444908">
              <w:rPr>
                <w:rFonts w:ascii="Times New Roman" w:eastAsia="Times New Roman" w:hAnsi="Times New Roman" w:cs="Times New Roman"/>
                <w:sz w:val="24"/>
                <w:szCs w:val="24"/>
                <w:lang w:eastAsia="lv-LV"/>
              </w:rPr>
              <w:t xml:space="preserve"> no Augstākās tiesas, rajona</w:t>
            </w:r>
            <w:r w:rsidR="00E96541">
              <w:rPr>
                <w:rFonts w:ascii="Times New Roman" w:eastAsia="Times New Roman" w:hAnsi="Times New Roman" w:cs="Times New Roman"/>
                <w:sz w:val="24"/>
                <w:szCs w:val="24"/>
                <w:lang w:eastAsia="lv-LV"/>
              </w:rPr>
              <w:t xml:space="preserve"> (pilsētas)</w:t>
            </w:r>
            <w:r w:rsidR="00793716" w:rsidRPr="00444908">
              <w:rPr>
                <w:rFonts w:ascii="Times New Roman" w:eastAsia="Times New Roman" w:hAnsi="Times New Roman" w:cs="Times New Roman"/>
                <w:sz w:val="24"/>
                <w:szCs w:val="24"/>
                <w:lang w:eastAsia="lv-LV"/>
              </w:rPr>
              <w:t xml:space="preserve"> tiesām, Ģenerālprokuratūras, Valsts policijas, Valsts probācijas dienesta, Korupcijas novēršanas un apkarošanas biroja, Latvijas Universitātes, Valsts ieņēmumu dienest</w:t>
            </w:r>
            <w:r w:rsidR="006D4797">
              <w:rPr>
                <w:rFonts w:ascii="Times New Roman" w:eastAsia="Times New Roman" w:hAnsi="Times New Roman" w:cs="Times New Roman"/>
                <w:sz w:val="24"/>
                <w:szCs w:val="24"/>
                <w:lang w:eastAsia="lv-LV"/>
              </w:rPr>
              <w:t>a, Ieslodzījuma vietu pārvaldes, kā arī viedokļa sniegšanai tika pieaicināta Ārlietu ministrija.</w:t>
            </w:r>
          </w:p>
        </w:tc>
      </w:tr>
      <w:tr w:rsidR="00DA326E" w:rsidRPr="00444908" w14:paraId="4416C82A" w14:textId="77777777" w:rsidTr="00D46184">
        <w:tc>
          <w:tcPr>
            <w:tcW w:w="199"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672" w:type="pct"/>
            <w:tcBorders>
              <w:top w:val="outset" w:sz="6" w:space="0" w:color="414142"/>
              <w:left w:val="outset" w:sz="6" w:space="0" w:color="414142"/>
              <w:bottom w:val="outset" w:sz="6" w:space="0" w:color="414142"/>
              <w:right w:val="outset" w:sz="6" w:space="0" w:color="414142"/>
            </w:tcBorders>
            <w:hideMark/>
          </w:tcPr>
          <w:p w14:paraId="1182056C" w14:textId="248C6689" w:rsidR="00A21922"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tc>
      </w:tr>
      <w:tr w:rsidR="005D4E8A" w:rsidRPr="00444908"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44490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444908"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444908" w14:paraId="6BBAC112" w14:textId="77777777" w:rsidTr="00D46184">
        <w:trPr>
          <w:trHeight w:val="383"/>
        </w:trPr>
        <w:tc>
          <w:tcPr>
            <w:tcW w:w="156" w:type="pct"/>
            <w:tcBorders>
              <w:top w:val="nil"/>
              <w:left w:val="outset" w:sz="6" w:space="0" w:color="414142"/>
              <w:bottom w:val="single" w:sz="4" w:space="0" w:color="auto"/>
              <w:right w:val="outset" w:sz="6" w:space="0" w:color="414142"/>
            </w:tcBorders>
          </w:tcPr>
          <w:p w14:paraId="1A22ED86" w14:textId="4A6D8C5B"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1.</w:t>
            </w:r>
          </w:p>
        </w:tc>
        <w:tc>
          <w:tcPr>
            <w:tcW w:w="1171" w:type="pct"/>
            <w:gridSpan w:val="2"/>
            <w:tcBorders>
              <w:top w:val="nil"/>
              <w:left w:val="outset" w:sz="6" w:space="0" w:color="414142"/>
              <w:bottom w:val="single" w:sz="4" w:space="0" w:color="auto"/>
              <w:right w:val="outset" w:sz="6" w:space="0" w:color="414142"/>
            </w:tcBorders>
          </w:tcPr>
          <w:p w14:paraId="48FEFB4E" w14:textId="0AA4625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Sabiedrības mērķgrupas, kuras tiesiskais regulējums ietekmē vai varētu ietekmēt</w:t>
            </w:r>
          </w:p>
        </w:tc>
        <w:tc>
          <w:tcPr>
            <w:tcW w:w="3672" w:type="pct"/>
            <w:tcBorders>
              <w:top w:val="nil"/>
              <w:left w:val="outset" w:sz="6" w:space="0" w:color="414142"/>
              <w:bottom w:val="single" w:sz="4" w:space="0" w:color="auto"/>
              <w:right w:val="outset" w:sz="6" w:space="0" w:color="414142"/>
            </w:tcBorders>
          </w:tcPr>
          <w:p w14:paraId="1AACA175" w14:textId="7AC606C9" w:rsidR="00794E79" w:rsidRPr="00444908" w:rsidRDefault="00A3217A" w:rsidP="00C5025A">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iCs/>
                <w:sz w:val="24"/>
                <w:szCs w:val="24"/>
                <w:lang w:eastAsia="lv-LV"/>
              </w:rPr>
              <w:t>Amatpersonas un institūcijas, kas veic kriminālprocesu</w:t>
            </w:r>
            <w:r w:rsidR="00B04973" w:rsidRPr="00444908">
              <w:rPr>
                <w:rFonts w:ascii="Times New Roman" w:eastAsia="Times New Roman" w:hAnsi="Times New Roman" w:cs="Times New Roman"/>
                <w:bCs/>
                <w:iCs/>
                <w:sz w:val="24"/>
                <w:szCs w:val="24"/>
                <w:lang w:eastAsia="lv-LV"/>
              </w:rPr>
              <w:t xml:space="preserve">, </w:t>
            </w:r>
            <w:r w:rsidR="00DB5342">
              <w:rPr>
                <w:rFonts w:ascii="Times New Roman" w:eastAsia="Times New Roman" w:hAnsi="Times New Roman" w:cs="Times New Roman"/>
                <w:bCs/>
                <w:iCs/>
                <w:sz w:val="24"/>
                <w:szCs w:val="24"/>
                <w:lang w:eastAsia="lv-LV"/>
              </w:rPr>
              <w:t xml:space="preserve">un </w:t>
            </w:r>
            <w:r w:rsidR="00B04973" w:rsidRPr="00444908">
              <w:rPr>
                <w:rFonts w:ascii="Times New Roman" w:eastAsia="Times New Roman" w:hAnsi="Times New Roman" w:cs="Times New Roman"/>
                <w:bCs/>
                <w:iCs/>
                <w:sz w:val="24"/>
                <w:szCs w:val="24"/>
                <w:lang w:eastAsia="lv-LV"/>
              </w:rPr>
              <w:t xml:space="preserve">personas, </w:t>
            </w:r>
            <w:r w:rsidR="00C5025A">
              <w:rPr>
                <w:rFonts w:ascii="Times New Roman" w:eastAsia="Times New Roman" w:hAnsi="Times New Roman" w:cs="Times New Roman"/>
                <w:bCs/>
                <w:iCs/>
                <w:sz w:val="24"/>
                <w:szCs w:val="24"/>
                <w:lang w:eastAsia="lv-LV"/>
              </w:rPr>
              <w:t>kurām ir tiesības uz aizstāvību</w:t>
            </w:r>
            <w:r w:rsidR="00793716" w:rsidRPr="00444908">
              <w:rPr>
                <w:rFonts w:ascii="Times New Roman" w:eastAsia="Times New Roman" w:hAnsi="Times New Roman" w:cs="Times New Roman"/>
                <w:bCs/>
                <w:iCs/>
                <w:sz w:val="24"/>
                <w:szCs w:val="24"/>
                <w:lang w:eastAsia="lv-LV"/>
              </w:rPr>
              <w:t xml:space="preserve">. </w:t>
            </w:r>
          </w:p>
        </w:tc>
      </w:tr>
      <w:tr w:rsidR="00794E79" w:rsidRPr="00444908" w14:paraId="54125F04" w14:textId="77777777" w:rsidTr="00D46184">
        <w:trPr>
          <w:trHeight w:val="383"/>
        </w:trPr>
        <w:tc>
          <w:tcPr>
            <w:tcW w:w="156" w:type="pct"/>
            <w:tcBorders>
              <w:top w:val="single" w:sz="4" w:space="0" w:color="auto"/>
              <w:left w:val="outset" w:sz="6" w:space="0" w:color="414142"/>
              <w:bottom w:val="outset" w:sz="6" w:space="0" w:color="414142"/>
              <w:right w:val="outset" w:sz="6" w:space="0" w:color="414142"/>
            </w:tcBorders>
          </w:tcPr>
          <w:p w14:paraId="0B49AC46" w14:textId="25FA083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2.</w:t>
            </w:r>
          </w:p>
        </w:tc>
        <w:tc>
          <w:tcPr>
            <w:tcW w:w="1171"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Tiesiskā regulējuma ietekme uz tautsaimniecību un administratīvo slogu</w:t>
            </w:r>
          </w:p>
        </w:tc>
        <w:tc>
          <w:tcPr>
            <w:tcW w:w="3672" w:type="pct"/>
            <w:tcBorders>
              <w:top w:val="single" w:sz="4" w:space="0" w:color="auto"/>
              <w:left w:val="outset" w:sz="6" w:space="0" w:color="414142"/>
              <w:bottom w:val="outset" w:sz="6" w:space="0" w:color="414142"/>
              <w:right w:val="outset" w:sz="6" w:space="0" w:color="414142"/>
            </w:tcBorders>
          </w:tcPr>
          <w:p w14:paraId="77FD8634" w14:textId="3EFF6027" w:rsidR="00794E79" w:rsidRPr="00444908" w:rsidRDefault="00C5025A" w:rsidP="00B12C7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93716" w:rsidRPr="00444908">
              <w:rPr>
                <w:rFonts w:ascii="Times New Roman" w:eastAsia="Times New Roman" w:hAnsi="Times New Roman" w:cs="Times New Roman"/>
                <w:bCs/>
                <w:sz w:val="24"/>
                <w:szCs w:val="24"/>
                <w:lang w:eastAsia="lv-LV"/>
              </w:rPr>
              <w:t>apildu administratīvais slogs netiks radīts</w:t>
            </w:r>
            <w:r>
              <w:rPr>
                <w:rFonts w:ascii="Times New Roman" w:eastAsia="Times New Roman" w:hAnsi="Times New Roman" w:cs="Times New Roman"/>
                <w:bCs/>
                <w:sz w:val="24"/>
                <w:szCs w:val="24"/>
                <w:lang w:eastAsia="lv-LV"/>
              </w:rPr>
              <w:t xml:space="preserve">. Ar </w:t>
            </w:r>
            <w:r w:rsidR="00E96541">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ikumprojektu paredzēts noteikt to, ka Eiropas Prokuratūra</w:t>
            </w:r>
            <w:r w:rsidR="00C618BA">
              <w:rPr>
                <w:rFonts w:ascii="Times New Roman" w:eastAsia="Times New Roman" w:hAnsi="Times New Roman" w:cs="Times New Roman"/>
                <w:bCs/>
                <w:sz w:val="24"/>
                <w:szCs w:val="24"/>
                <w:lang w:eastAsia="lv-LV"/>
              </w:rPr>
              <w:t xml:space="preserve"> un Ģenerālprokuratūra</w:t>
            </w:r>
            <w:r w:rsidR="00B12C74">
              <w:rPr>
                <w:rFonts w:ascii="Times New Roman" w:eastAsia="Times New Roman" w:hAnsi="Times New Roman" w:cs="Times New Roman"/>
                <w:bCs/>
                <w:sz w:val="24"/>
                <w:szCs w:val="24"/>
                <w:lang w:eastAsia="lv-LV"/>
              </w:rPr>
              <w:t xml:space="preserve"> ir uzskatāma par ko</w:t>
            </w:r>
            <w:r w:rsidR="00915006">
              <w:rPr>
                <w:rFonts w:ascii="Times New Roman" w:eastAsia="Times New Roman" w:hAnsi="Times New Roman" w:cs="Times New Roman"/>
                <w:bCs/>
                <w:sz w:val="24"/>
                <w:szCs w:val="24"/>
                <w:lang w:eastAsia="lv-LV"/>
              </w:rPr>
              <w:t>m</w:t>
            </w:r>
            <w:r w:rsidR="00C618BA">
              <w:rPr>
                <w:rFonts w:ascii="Times New Roman" w:eastAsia="Times New Roman" w:hAnsi="Times New Roman" w:cs="Times New Roman"/>
                <w:bCs/>
                <w:sz w:val="24"/>
                <w:szCs w:val="24"/>
                <w:lang w:eastAsia="lv-LV"/>
              </w:rPr>
              <w:t xml:space="preserve">petento </w:t>
            </w:r>
            <w:r w:rsidR="00B12C74">
              <w:rPr>
                <w:rFonts w:ascii="Times New Roman" w:eastAsia="Times New Roman" w:hAnsi="Times New Roman" w:cs="Times New Roman"/>
                <w:bCs/>
                <w:sz w:val="24"/>
                <w:szCs w:val="24"/>
                <w:lang w:eastAsia="lv-LV"/>
              </w:rPr>
              <w:t>iestādi Konvencijas izpratnē</w:t>
            </w:r>
            <w:r>
              <w:rPr>
                <w:rFonts w:ascii="Times New Roman" w:eastAsia="Times New Roman" w:hAnsi="Times New Roman" w:cs="Times New Roman"/>
                <w:bCs/>
                <w:sz w:val="24"/>
                <w:szCs w:val="24"/>
                <w:lang w:eastAsia="lv-LV"/>
              </w:rPr>
              <w:t>.</w:t>
            </w:r>
          </w:p>
        </w:tc>
      </w:tr>
      <w:tr w:rsidR="00794E79" w:rsidRPr="00444908" w14:paraId="4898334A"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21C95F16" w14:textId="6D81BD24"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3.</w:t>
            </w:r>
          </w:p>
        </w:tc>
        <w:tc>
          <w:tcPr>
            <w:tcW w:w="1171" w:type="pct"/>
            <w:gridSpan w:val="2"/>
            <w:tcBorders>
              <w:top w:val="nil"/>
              <w:left w:val="outset" w:sz="6" w:space="0" w:color="414142"/>
              <w:bottom w:val="outset" w:sz="6" w:space="0" w:color="414142"/>
              <w:right w:val="outset" w:sz="6" w:space="0" w:color="414142"/>
            </w:tcBorders>
          </w:tcPr>
          <w:p w14:paraId="45519427" w14:textId="546D6FC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Administratīvo izmaksu monetārs novērtējums</w:t>
            </w:r>
          </w:p>
        </w:tc>
        <w:tc>
          <w:tcPr>
            <w:tcW w:w="3672" w:type="pct"/>
            <w:tcBorders>
              <w:top w:val="nil"/>
              <w:left w:val="outset" w:sz="6" w:space="0" w:color="414142"/>
              <w:bottom w:val="outset" w:sz="6" w:space="0" w:color="414142"/>
              <w:right w:val="outset" w:sz="6" w:space="0" w:color="414142"/>
            </w:tcBorders>
          </w:tcPr>
          <w:p w14:paraId="65AD68BE" w14:textId="382361B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857A7" w:rsidRPr="00444908" w14:paraId="0F1BDC8F"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406EB5F5" w14:textId="1BA06A28"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4.</w:t>
            </w:r>
          </w:p>
        </w:tc>
        <w:tc>
          <w:tcPr>
            <w:tcW w:w="1171" w:type="pct"/>
            <w:gridSpan w:val="2"/>
            <w:tcBorders>
              <w:top w:val="nil"/>
              <w:left w:val="outset" w:sz="6" w:space="0" w:color="414142"/>
              <w:bottom w:val="outset" w:sz="6" w:space="0" w:color="414142"/>
              <w:right w:val="outset" w:sz="6" w:space="0" w:color="414142"/>
            </w:tcBorders>
          </w:tcPr>
          <w:p w14:paraId="724753F0" w14:textId="12ADD545"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iCs/>
                <w:sz w:val="24"/>
                <w:szCs w:val="24"/>
                <w:lang w:eastAsia="lv-LV"/>
              </w:rPr>
              <w:t>Atbilstības izmaksu monetārs novērtējums</w:t>
            </w:r>
          </w:p>
        </w:tc>
        <w:tc>
          <w:tcPr>
            <w:tcW w:w="3672" w:type="pct"/>
            <w:tcBorders>
              <w:top w:val="nil"/>
              <w:left w:val="outset" w:sz="6" w:space="0" w:color="414142"/>
              <w:bottom w:val="outset" w:sz="6" w:space="0" w:color="414142"/>
              <w:right w:val="outset" w:sz="6" w:space="0" w:color="414142"/>
            </w:tcBorders>
          </w:tcPr>
          <w:p w14:paraId="356C1985" w14:textId="2429D1C9"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D075F" w:rsidRPr="00444908" w14:paraId="3E376753" w14:textId="77777777" w:rsidTr="00D46184">
        <w:trPr>
          <w:trHeight w:val="383"/>
        </w:trPr>
        <w:tc>
          <w:tcPr>
            <w:tcW w:w="156" w:type="pct"/>
            <w:tcBorders>
              <w:top w:val="nil"/>
              <w:left w:val="outset" w:sz="6" w:space="0" w:color="414142"/>
              <w:bottom w:val="outset" w:sz="6" w:space="0" w:color="414142"/>
              <w:right w:val="outset" w:sz="6" w:space="0" w:color="414142"/>
            </w:tcBorders>
          </w:tcPr>
          <w:p w14:paraId="1133A6C0" w14:textId="50408996" w:rsidR="004D075F"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5</w:t>
            </w:r>
            <w:r w:rsidR="004D075F" w:rsidRPr="00444908">
              <w:rPr>
                <w:rFonts w:ascii="Times New Roman" w:eastAsia="Times New Roman" w:hAnsi="Times New Roman" w:cs="Times New Roman"/>
                <w:bCs/>
                <w:sz w:val="24"/>
                <w:szCs w:val="24"/>
                <w:lang w:eastAsia="lv-LV"/>
              </w:rPr>
              <w:t>.</w:t>
            </w:r>
          </w:p>
        </w:tc>
        <w:tc>
          <w:tcPr>
            <w:tcW w:w="1171" w:type="pct"/>
            <w:gridSpan w:val="2"/>
            <w:tcBorders>
              <w:top w:val="nil"/>
              <w:left w:val="outset" w:sz="6" w:space="0" w:color="414142"/>
              <w:bottom w:val="outset" w:sz="6" w:space="0" w:color="414142"/>
              <w:right w:val="outset" w:sz="6" w:space="0" w:color="414142"/>
            </w:tcBorders>
          </w:tcPr>
          <w:p w14:paraId="0590CCC6" w14:textId="68EE351F"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Cita informācija</w:t>
            </w:r>
          </w:p>
        </w:tc>
        <w:tc>
          <w:tcPr>
            <w:tcW w:w="3672" w:type="pct"/>
            <w:tcBorders>
              <w:top w:val="nil"/>
              <w:left w:val="outset" w:sz="6" w:space="0" w:color="414142"/>
              <w:bottom w:val="outset" w:sz="6" w:space="0" w:color="414142"/>
              <w:right w:val="outset" w:sz="6" w:space="0" w:color="414142"/>
            </w:tcBorders>
          </w:tcPr>
          <w:p w14:paraId="1F0C842D" w14:textId="28869BA7"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59057E" w:rsidRPr="00444908"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44490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444908"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444908"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444908" w:rsidRDefault="00E71A36" w:rsidP="006C0072">
            <w:pPr>
              <w:spacing w:after="0" w:line="240" w:lineRule="auto"/>
              <w:ind w:firstLine="12"/>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2024D5" w:rsidRPr="00444908">
              <w:rPr>
                <w:rFonts w:ascii="Times New Roman" w:eastAsia="Times New Roman" w:hAnsi="Times New Roman" w:cs="Times New Roman"/>
                <w:bCs/>
                <w:sz w:val="24"/>
                <w:szCs w:val="24"/>
                <w:lang w:eastAsia="lv-LV"/>
              </w:rPr>
              <w:t>rojekts šo jomu neskar.</w:t>
            </w:r>
          </w:p>
        </w:tc>
      </w:tr>
    </w:tbl>
    <w:p w14:paraId="717F7F2B" w14:textId="553CEE65"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444908"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IV. Tiesību akta projekta ietekme uz spēkā esošo tiesību normu sistēmu</w:t>
            </w:r>
          </w:p>
        </w:tc>
      </w:tr>
      <w:tr w:rsidR="00372B53" w:rsidRPr="00444908" w14:paraId="0B379FE7" w14:textId="77777777" w:rsidTr="008140E8">
        <w:trPr>
          <w:trHeight w:val="416"/>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7F084314" w:rsidR="00372B53" w:rsidRPr="00444908" w:rsidRDefault="00372B53" w:rsidP="00CF764A">
            <w:pPr>
              <w:spacing w:after="0" w:line="240" w:lineRule="auto"/>
              <w:jc w:val="center"/>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Likumprojekts šo jomu neskar.</w:t>
            </w:r>
          </w:p>
        </w:tc>
      </w:tr>
    </w:tbl>
    <w:p w14:paraId="2CBEBB4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94"/>
        <w:gridCol w:w="6280"/>
      </w:tblGrid>
      <w:tr w:rsidR="00BC2633" w:rsidRPr="00444908"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444908"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461CBBF6" w:rsidR="00F31948" w:rsidRPr="00444908" w:rsidRDefault="00F31948"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bCs/>
                <w:sz w:val="24"/>
                <w:szCs w:val="24"/>
                <w:lang w:eastAsia="lv-LV"/>
              </w:rPr>
              <w:t xml:space="preserve">Padomes </w:t>
            </w:r>
            <w:r w:rsidR="00E71A36" w:rsidRPr="00444908">
              <w:rPr>
                <w:rFonts w:ascii="Times New Roman" w:eastAsia="Times New Roman" w:hAnsi="Times New Roman" w:cs="Times New Roman"/>
                <w:bCs/>
                <w:sz w:val="24"/>
                <w:szCs w:val="24"/>
                <w:lang w:eastAsia="lv-LV"/>
              </w:rPr>
              <w:t xml:space="preserve">2017. gada 12. oktobra </w:t>
            </w:r>
            <w:r w:rsidRPr="00444908">
              <w:rPr>
                <w:rFonts w:ascii="Times New Roman" w:eastAsia="Times New Roman" w:hAnsi="Times New Roman" w:cs="Times New Roman"/>
                <w:bCs/>
                <w:sz w:val="24"/>
                <w:szCs w:val="24"/>
                <w:lang w:eastAsia="lv-LV"/>
              </w:rPr>
              <w:t>regula (ES) 2017/1939, ar ko īsteno ciešāku sadarbību Eiropas Prokuratūras (EPPO) izveidei</w:t>
            </w:r>
            <w:r w:rsidR="00381733">
              <w:rPr>
                <w:rFonts w:ascii="Times New Roman" w:eastAsia="Times New Roman" w:hAnsi="Times New Roman" w:cs="Times New Roman"/>
                <w:bCs/>
                <w:sz w:val="24"/>
                <w:szCs w:val="24"/>
                <w:lang w:eastAsia="lv-LV"/>
              </w:rPr>
              <w:t>.</w:t>
            </w:r>
          </w:p>
        </w:tc>
      </w:tr>
      <w:tr w:rsidR="00BC2633" w:rsidRPr="00444908"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444908" w:rsidRDefault="00F31948" w:rsidP="00964EA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49207E" w:rsidRPr="00444908">
              <w:rPr>
                <w:rFonts w:ascii="Times New Roman" w:eastAsia="Times New Roman" w:hAnsi="Times New Roman" w:cs="Times New Roman"/>
                <w:sz w:val="24"/>
                <w:szCs w:val="24"/>
                <w:lang w:eastAsia="lv-LV"/>
              </w:rPr>
              <w:t>.</w:t>
            </w:r>
          </w:p>
        </w:tc>
      </w:tr>
      <w:tr w:rsidR="004D15A9" w:rsidRPr="00444908"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11037BD" w14:textId="77777777" w:rsidR="004D15A9" w:rsidRDefault="004D15A9" w:rsidP="00612A92">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p w14:paraId="0A4DF4BA" w14:textId="5A248F1D" w:rsidR="00A21922" w:rsidRPr="00444908" w:rsidRDefault="00A21922" w:rsidP="00612A92">
            <w:pPr>
              <w:spacing w:after="0" w:line="240" w:lineRule="auto"/>
              <w:rPr>
                <w:rFonts w:ascii="Times New Roman" w:eastAsia="Times New Roman" w:hAnsi="Times New Roman" w:cs="Times New Roman"/>
                <w:sz w:val="24"/>
                <w:szCs w:val="24"/>
                <w:lang w:eastAsia="lv-LV"/>
              </w:rPr>
            </w:pPr>
          </w:p>
        </w:tc>
      </w:tr>
    </w:tbl>
    <w:p w14:paraId="31665CF8" w14:textId="77777777" w:rsidR="004D15A9" w:rsidRPr="0044490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9"/>
        <w:gridCol w:w="2022"/>
        <w:gridCol w:w="2197"/>
        <w:gridCol w:w="2933"/>
      </w:tblGrid>
      <w:tr w:rsidR="00C37222" w:rsidRPr="00444908"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444908"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lastRenderedPageBreak/>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C37222" w:rsidRPr="00444908"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54FE7276" w:rsidR="00C37222" w:rsidRPr="00444908" w:rsidRDefault="00C37222" w:rsidP="00203F67">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Padomes 2017. gada 12. oktobra regula (ES) 2017/1939, ar ko īsteno ciešāku sadarbību Eiropas Prokuratūras (EPPO) izveidei</w:t>
            </w:r>
            <w:r w:rsidR="00203F67">
              <w:rPr>
                <w:rFonts w:ascii="Times New Roman" w:eastAsia="Times New Roman" w:hAnsi="Times New Roman" w:cs="Times New Roman"/>
                <w:bCs/>
                <w:sz w:val="24"/>
                <w:szCs w:val="24"/>
                <w:lang w:eastAsia="lv-LV"/>
              </w:rPr>
              <w:t>.</w:t>
            </w:r>
          </w:p>
        </w:tc>
      </w:tr>
      <w:tr w:rsidR="00C37222" w:rsidRPr="00444908"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C37222" w:rsidRPr="00444908"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11CFBB4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694F57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D8C4D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444908"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2CDFD711" w:rsidR="00C37222" w:rsidRPr="00444908" w:rsidRDefault="0035537F" w:rsidP="009500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EPPO regulas 105</w:t>
            </w:r>
            <w:r w:rsidR="00C37222" w:rsidRPr="00444908">
              <w:rPr>
                <w:rFonts w:ascii="Times New Roman" w:eastAsia="Times New Roman" w:hAnsi="Times New Roman" w:cs="Times New Roman"/>
                <w:sz w:val="24"/>
                <w:szCs w:val="24"/>
                <w:lang w:eastAsia="lv-LV"/>
              </w:rPr>
              <w:t>.</w:t>
            </w:r>
            <w:r w:rsidR="00CD2B8D" w:rsidRPr="004449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3</w:t>
            </w:r>
            <w:r w:rsidR="00203F67">
              <w:rPr>
                <w:rFonts w:ascii="Times New Roman" w:eastAsia="Times New Roman" w:hAnsi="Times New Roman" w:cs="Times New Roman"/>
                <w:sz w:val="24"/>
                <w:szCs w:val="24"/>
                <w:lang w:eastAsia="lv-LV"/>
              </w:rPr>
              <w:t>.</w:t>
            </w:r>
            <w:r w:rsidR="00393943">
              <w:rPr>
                <w:rFonts w:ascii="Times New Roman" w:eastAsia="Times New Roman" w:hAnsi="Times New Roman" w:cs="Times New Roman"/>
                <w:sz w:val="24"/>
                <w:szCs w:val="24"/>
                <w:lang w:eastAsia="lv-LV"/>
              </w:rPr>
              <w:t> </w:t>
            </w:r>
            <w:r w:rsidR="00203F67">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250A3773" w:rsidR="00C37222" w:rsidRPr="00444908" w:rsidRDefault="00203F67" w:rsidP="00203F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7BC23688" w14:textId="50115271" w:rsidR="009C55C9" w:rsidRPr="00444908" w:rsidRDefault="009C55C9" w:rsidP="00381733">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C37222" w:rsidRPr="00444908">
              <w:rPr>
                <w:rFonts w:ascii="Times New Roman" w:eastAsia="Times New Roman" w:hAnsi="Times New Roman" w:cs="Times New Roman"/>
                <w:sz w:val="24"/>
                <w:szCs w:val="24"/>
                <w:lang w:eastAsia="lv-LV"/>
              </w:rPr>
              <w:t xml:space="preserve">EPPO regula neparedz rīcības brīvību pārņemt vai ieviest konkrētas normas. EPPO regula ir tieši piemērojama, vienlaikus dalībvalstu tiesību sistēmai ir jābūt pielāgotai, lai Eiropas Prokuratūra varētu pildīt savas funkcijas veicot kriminālprocesu, tāpēc ir izstrādāts </w:t>
            </w:r>
            <w:r w:rsidR="00E96541">
              <w:rPr>
                <w:rFonts w:ascii="Times New Roman" w:eastAsia="Times New Roman" w:hAnsi="Times New Roman" w:cs="Times New Roman"/>
                <w:sz w:val="24"/>
                <w:szCs w:val="24"/>
                <w:lang w:eastAsia="lv-LV"/>
              </w:rPr>
              <w:t>l</w:t>
            </w:r>
            <w:r w:rsidR="00C37222" w:rsidRPr="00444908">
              <w:rPr>
                <w:rFonts w:ascii="Times New Roman" w:eastAsia="Times New Roman" w:hAnsi="Times New Roman" w:cs="Times New Roman"/>
                <w:sz w:val="24"/>
                <w:szCs w:val="24"/>
                <w:lang w:eastAsia="lv-LV"/>
              </w:rPr>
              <w:t>ikumprojekts.</w:t>
            </w:r>
          </w:p>
        </w:tc>
      </w:tr>
      <w:tr w:rsidR="00C37222" w:rsidRPr="00444908"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 attiecināms.</w:t>
            </w:r>
          </w:p>
        </w:tc>
      </w:tr>
      <w:tr w:rsidR="00C37222" w:rsidRPr="00444908"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4E749A12" w14:textId="7A56FD71" w:rsidR="00A21922" w:rsidRPr="00444908" w:rsidRDefault="00C37222" w:rsidP="00203F67">
            <w:pPr>
              <w:spacing w:after="0" w:line="240" w:lineRule="auto"/>
              <w:jc w:val="both"/>
              <w:rPr>
                <w:rFonts w:ascii="Times New Roman" w:eastAsia="Times New Roman" w:hAnsi="Times New Roman" w:cs="Times New Roman"/>
                <w:sz w:val="24"/>
                <w:szCs w:val="24"/>
                <w:lang w:eastAsia="lv-LV"/>
              </w:rPr>
            </w:pPr>
            <w:r w:rsidRPr="00203F67">
              <w:rPr>
                <w:rFonts w:ascii="Times New Roman" w:eastAsia="Times New Roman" w:hAnsi="Times New Roman" w:cs="Times New Roman"/>
                <w:sz w:val="24"/>
                <w:szCs w:val="24"/>
                <w:lang w:eastAsia="lv-LV"/>
              </w:rPr>
              <w:t>Ņemot vērā, ka EPPO regula ir tieši piemērojama, tās normas, kas</w:t>
            </w:r>
            <w:r w:rsidR="00203F67">
              <w:rPr>
                <w:rFonts w:ascii="Times New Roman" w:eastAsia="Times New Roman" w:hAnsi="Times New Roman" w:cs="Times New Roman"/>
                <w:sz w:val="24"/>
                <w:szCs w:val="24"/>
                <w:lang w:eastAsia="lv-LV"/>
              </w:rPr>
              <w:t xml:space="preserve"> attiecas uz Kriminālprocesa likuma regulējumu ietvertas likum</w:t>
            </w:r>
            <w:r w:rsidR="00246FE0">
              <w:rPr>
                <w:rFonts w:ascii="Times New Roman" w:eastAsia="Times New Roman" w:hAnsi="Times New Roman" w:cs="Times New Roman"/>
                <w:sz w:val="24"/>
                <w:szCs w:val="24"/>
                <w:lang w:eastAsia="lv-LV"/>
              </w:rPr>
              <w:t>ā</w:t>
            </w:r>
            <w:r w:rsidR="00203F67">
              <w:rPr>
                <w:rFonts w:ascii="Times New Roman" w:eastAsia="Times New Roman" w:hAnsi="Times New Roman" w:cs="Times New Roman"/>
                <w:sz w:val="24"/>
                <w:szCs w:val="24"/>
                <w:lang w:eastAsia="lv-LV"/>
              </w:rPr>
              <w:t xml:space="preserve"> </w:t>
            </w:r>
            <w:r w:rsidR="00203F67" w:rsidRPr="00203F67">
              <w:rPr>
                <w:rFonts w:ascii="Times New Roman" w:eastAsia="Times New Roman" w:hAnsi="Times New Roman" w:cs="Times New Roman"/>
                <w:sz w:val="24"/>
                <w:szCs w:val="24"/>
                <w:lang w:eastAsia="lv-LV"/>
              </w:rPr>
              <w:t>"Grozījumi Kriminālprocesa likumā</w:t>
            </w:r>
            <w:r w:rsidR="00203F67" w:rsidRPr="00203F67">
              <w:rPr>
                <w:rFonts w:ascii="Times New Roman" w:eastAsia="Times New Roman" w:hAnsi="Times New Roman" w:cs="Times New Roman"/>
                <w:bCs/>
                <w:sz w:val="24"/>
                <w:szCs w:val="24"/>
                <w:lang w:eastAsia="lv-LV"/>
              </w:rPr>
              <w:t>"</w:t>
            </w:r>
            <w:r w:rsidR="00203F67" w:rsidRPr="00203F67">
              <w:rPr>
                <w:rFonts w:ascii="Times New Roman" w:eastAsia="Times New Roman" w:hAnsi="Times New Roman" w:cs="Times New Roman"/>
                <w:sz w:val="24"/>
                <w:szCs w:val="24"/>
                <w:lang w:eastAsia="lv-LV"/>
              </w:rPr>
              <w:t xml:space="preserve"> (</w:t>
            </w:r>
            <w:r w:rsidR="00A535E3">
              <w:rPr>
                <w:rFonts w:ascii="Times New Roman" w:eastAsia="Times New Roman" w:hAnsi="Times New Roman" w:cs="Times New Roman"/>
                <w:sz w:val="24"/>
                <w:szCs w:val="24"/>
                <w:lang w:eastAsia="lv-LV"/>
              </w:rPr>
              <w:t>spēkā stājās 2021. gada 20. janvārī</w:t>
            </w:r>
            <w:r w:rsidR="00203F67" w:rsidRPr="00203F67">
              <w:rPr>
                <w:rFonts w:ascii="Times New Roman" w:eastAsia="Times New Roman" w:hAnsi="Times New Roman" w:cs="Times New Roman"/>
                <w:sz w:val="24"/>
                <w:szCs w:val="24"/>
                <w:lang w:eastAsia="lv-LV"/>
              </w:rPr>
              <w:t>)</w:t>
            </w:r>
            <w:r w:rsidR="00203F67">
              <w:rPr>
                <w:rFonts w:ascii="Times New Roman" w:eastAsia="Times New Roman" w:hAnsi="Times New Roman" w:cs="Times New Roman"/>
                <w:sz w:val="24"/>
                <w:szCs w:val="24"/>
                <w:lang w:eastAsia="lv-LV"/>
              </w:rPr>
              <w:t xml:space="preserve">. </w:t>
            </w:r>
          </w:p>
        </w:tc>
      </w:tr>
      <w:tr w:rsidR="00BC2633" w:rsidRPr="00444908"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2.</w:t>
            </w:r>
            <w:r w:rsidR="00BC2633" w:rsidRPr="00444908">
              <w:rPr>
                <w:rFonts w:ascii="Times New Roman" w:eastAsia="Times New Roman" w:hAnsi="Times New Roman" w:cs="Times New Roman"/>
                <w:b/>
                <w:bCs/>
                <w:sz w:val="24"/>
                <w:szCs w:val="24"/>
                <w:lang w:eastAsia="lv-LV"/>
              </w:rPr>
              <w:t> </w:t>
            </w:r>
            <w:r w:rsidRPr="00444908">
              <w:rPr>
                <w:rFonts w:ascii="Times New Roman" w:eastAsia="Times New Roman" w:hAnsi="Times New Roman" w:cs="Times New Roman"/>
                <w:b/>
                <w:bCs/>
                <w:sz w:val="24"/>
                <w:szCs w:val="24"/>
                <w:lang w:eastAsia="lv-LV"/>
              </w:rPr>
              <w:t>tabula</w:t>
            </w:r>
            <w:r w:rsidRPr="0044490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44908">
              <w:rPr>
                <w:rFonts w:ascii="Times New Roman" w:eastAsia="Times New Roman" w:hAnsi="Times New Roman" w:cs="Times New Roman"/>
                <w:b/>
                <w:bCs/>
                <w:sz w:val="24"/>
                <w:szCs w:val="24"/>
                <w:lang w:eastAsia="lv-LV"/>
              </w:rPr>
              <w:br/>
              <w:t>Pasākumi šo saistību izpildei</w:t>
            </w:r>
          </w:p>
        </w:tc>
      </w:tr>
      <w:tr w:rsidR="00C37222" w:rsidRPr="00444908" w14:paraId="48F3CC1B" w14:textId="77777777" w:rsidTr="00A21922">
        <w:trPr>
          <w:trHeight w:val="422"/>
        </w:trPr>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444908"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Cs/>
                <w:sz w:val="24"/>
                <w:szCs w:val="24"/>
                <w:lang w:eastAsia="lv-LV"/>
              </w:rPr>
              <w:t>Likumprojekts šo jomu neskar.</w:t>
            </w:r>
          </w:p>
        </w:tc>
      </w:tr>
    </w:tbl>
    <w:p w14:paraId="55D582AA" w14:textId="77777777" w:rsidR="008A3CDD" w:rsidRPr="00444908"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4449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 Sabiedrības līdzdalība un komunikācijas aktivitātes</w:t>
            </w:r>
          </w:p>
        </w:tc>
      </w:tr>
      <w:tr w:rsidR="009C55C9" w:rsidRPr="004449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3B2C411" w:rsidR="009C55C9" w:rsidRPr="008D5D1B" w:rsidRDefault="009C55C9" w:rsidP="00246FE0">
            <w:pPr>
              <w:spacing w:after="0" w:line="240" w:lineRule="auto"/>
              <w:jc w:val="both"/>
              <w:rPr>
                <w:rFonts w:ascii="Times New Roman" w:hAnsi="Times New Roman" w:cs="Times New Roman"/>
                <w:sz w:val="24"/>
                <w:szCs w:val="24"/>
              </w:rPr>
            </w:pPr>
            <w:r w:rsidRPr="008D5D1B">
              <w:rPr>
                <w:rFonts w:ascii="Times New Roman" w:hAnsi="Times New Roman"/>
                <w:sz w:val="24"/>
                <w:szCs w:val="24"/>
                <w:lang w:eastAsia="lv-LV"/>
              </w:rPr>
              <w:t xml:space="preserve">Lai informētu sabiedrību par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 xml:space="preserve">ikumprojektu un dotu iespēju izteikt viedokli, </w:t>
            </w:r>
            <w:r w:rsidR="00E96541" w:rsidRPr="008D5D1B">
              <w:rPr>
                <w:rFonts w:ascii="Times New Roman" w:hAnsi="Times New Roman"/>
                <w:sz w:val="24"/>
                <w:szCs w:val="24"/>
                <w:lang w:eastAsia="lv-LV"/>
              </w:rPr>
              <w:t>l</w:t>
            </w:r>
            <w:r w:rsidRPr="008D5D1B">
              <w:rPr>
                <w:rFonts w:ascii="Times New Roman" w:hAnsi="Times New Roman"/>
                <w:sz w:val="24"/>
                <w:szCs w:val="24"/>
                <w:lang w:eastAsia="lv-LV"/>
              </w:rPr>
              <w:t>ikumprojekts saskaņā ar Ministru kabineta 2009. gada 25. augusta noteikumiem Nr. 970 ''Sabiedrības līdzdalības kārtība attī</w:t>
            </w:r>
            <w:r w:rsidR="00246FE0">
              <w:rPr>
                <w:rFonts w:ascii="Times New Roman" w:hAnsi="Times New Roman"/>
                <w:sz w:val="24"/>
                <w:szCs w:val="24"/>
                <w:lang w:eastAsia="lv-LV"/>
              </w:rPr>
              <w:t xml:space="preserve">stības plānošanas procesā'' </w:t>
            </w:r>
            <w:r w:rsidR="00246FE0" w:rsidRPr="00671DCB">
              <w:rPr>
                <w:rFonts w:ascii="Times New Roman" w:hAnsi="Times New Roman"/>
                <w:sz w:val="24"/>
                <w:szCs w:val="24"/>
                <w:lang w:eastAsia="lv-LV"/>
              </w:rPr>
              <w:t>2021</w:t>
            </w:r>
            <w:r w:rsidRPr="00671DCB">
              <w:rPr>
                <w:rFonts w:ascii="Times New Roman" w:hAnsi="Times New Roman"/>
                <w:sz w:val="24"/>
                <w:szCs w:val="24"/>
                <w:lang w:eastAsia="lv-LV"/>
              </w:rPr>
              <w:t xml:space="preserve">. gada </w:t>
            </w:r>
            <w:r w:rsidR="00671DCB">
              <w:rPr>
                <w:rFonts w:ascii="Times New Roman" w:hAnsi="Times New Roman"/>
                <w:sz w:val="24"/>
                <w:szCs w:val="24"/>
                <w:lang w:eastAsia="lv-LV"/>
              </w:rPr>
              <w:t xml:space="preserve"> 12.</w:t>
            </w:r>
            <w:r w:rsidR="002C1FF3">
              <w:rPr>
                <w:rFonts w:ascii="Times New Roman" w:hAnsi="Times New Roman"/>
                <w:sz w:val="24"/>
                <w:szCs w:val="24"/>
                <w:lang w:eastAsia="lv-LV"/>
              </w:rPr>
              <w:t> </w:t>
            </w:r>
            <w:r w:rsidR="00671DCB">
              <w:rPr>
                <w:rFonts w:ascii="Times New Roman" w:hAnsi="Times New Roman"/>
                <w:sz w:val="24"/>
                <w:szCs w:val="24"/>
                <w:lang w:eastAsia="lv-LV"/>
              </w:rPr>
              <w:t>martā</w:t>
            </w:r>
            <w:r w:rsidR="00246FE0">
              <w:rPr>
                <w:rFonts w:ascii="Times New Roman" w:hAnsi="Times New Roman"/>
                <w:sz w:val="24"/>
                <w:szCs w:val="24"/>
                <w:lang w:eastAsia="lv-LV"/>
              </w:rPr>
              <w:t xml:space="preserve"> </w:t>
            </w:r>
            <w:r w:rsidRPr="008D5D1B">
              <w:rPr>
                <w:rFonts w:ascii="Times New Roman" w:hAnsi="Times New Roman"/>
                <w:sz w:val="24"/>
                <w:szCs w:val="24"/>
                <w:lang w:eastAsia="lv-LV"/>
              </w:rPr>
              <w:t xml:space="preserve">tika ievietots Tieslietu ministrijas tīmekļvietnē, kā arī iesniegts Valsts kancelejā publicēšanai tās tīmekļvietnē </w:t>
            </w:r>
            <w:hyperlink r:id="rId8" w:history="1">
              <w:r w:rsidRPr="008D5D1B">
                <w:rPr>
                  <w:rStyle w:val="Hyperlink"/>
                  <w:rFonts w:ascii="Times New Roman" w:hAnsi="Times New Roman"/>
                  <w:sz w:val="24"/>
                  <w:szCs w:val="24"/>
                  <w:lang w:eastAsia="lv-LV"/>
                </w:rPr>
                <w:t>https://mk.gov.lv/lv/content/ministru-kabineta-diskusiju-dokumenti</w:t>
              </w:r>
            </w:hyperlink>
            <w:r w:rsidRPr="008D5D1B">
              <w:rPr>
                <w:rFonts w:ascii="Times New Roman" w:hAnsi="Times New Roman"/>
                <w:sz w:val="24"/>
                <w:szCs w:val="24"/>
                <w:lang w:eastAsia="lv-LV"/>
              </w:rPr>
              <w:t>.</w:t>
            </w:r>
          </w:p>
        </w:tc>
      </w:tr>
      <w:tr w:rsidR="009C55C9" w:rsidRPr="004449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209EC8AA" w:rsidR="009C55C9" w:rsidRPr="008D5D1B" w:rsidRDefault="009C55C9" w:rsidP="00203F67">
            <w:pPr>
              <w:spacing w:after="0" w:line="240" w:lineRule="auto"/>
              <w:jc w:val="both"/>
              <w:rPr>
                <w:rFonts w:ascii="Times New Roman" w:eastAsia="Times New Roman" w:hAnsi="Times New Roman" w:cs="Times New Roman"/>
                <w:sz w:val="24"/>
                <w:szCs w:val="24"/>
                <w:lang w:eastAsia="lv-LV"/>
              </w:rPr>
            </w:pPr>
            <w:r w:rsidRPr="008D5D1B">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8D5D1B">
              <w:rPr>
                <w:rFonts w:ascii="Times New Roman" w:eastAsia="Times New Roman" w:hAnsi="Times New Roman" w:cs="Times New Roman"/>
                <w:sz w:val="24"/>
                <w:szCs w:val="24"/>
                <w:vertAlign w:val="superscript"/>
                <w:lang w:eastAsia="lv-LV"/>
              </w:rPr>
              <w:t>1</w:t>
            </w:r>
            <w:r w:rsidRPr="008D5D1B">
              <w:rPr>
                <w:rFonts w:ascii="Times New Roman" w:eastAsia="Times New Roman" w:hAnsi="Times New Roman" w:cs="Times New Roman"/>
                <w:sz w:val="24"/>
                <w:szCs w:val="24"/>
                <w:lang w:eastAsia="lv-LV"/>
              </w:rPr>
              <w:t xml:space="preserve"> apakšpunktam, sabiedrībai bija tiesības izteikt viedokli par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 xml:space="preserve">ikumprojektu ne mazāk kā 14 dienu laikā no </w:t>
            </w:r>
            <w:r w:rsidR="00E96541" w:rsidRPr="008D5D1B">
              <w:rPr>
                <w:rFonts w:ascii="Times New Roman" w:eastAsia="Times New Roman" w:hAnsi="Times New Roman" w:cs="Times New Roman"/>
                <w:sz w:val="24"/>
                <w:szCs w:val="24"/>
                <w:lang w:eastAsia="lv-LV"/>
              </w:rPr>
              <w:t>l</w:t>
            </w:r>
            <w:r w:rsidRPr="008D5D1B">
              <w:rPr>
                <w:rFonts w:ascii="Times New Roman" w:eastAsia="Times New Roman" w:hAnsi="Times New Roman" w:cs="Times New Roman"/>
                <w:sz w:val="24"/>
                <w:szCs w:val="24"/>
                <w:lang w:eastAsia="lv-LV"/>
              </w:rPr>
              <w:t>ikumprojekta un tā sākotnējās ietekmes novērtējuma ziņojuma (ano</w:t>
            </w:r>
            <w:r w:rsidR="008140E8" w:rsidRPr="008D5D1B">
              <w:rPr>
                <w:rFonts w:ascii="Times New Roman" w:eastAsia="Times New Roman" w:hAnsi="Times New Roman" w:cs="Times New Roman"/>
                <w:sz w:val="24"/>
                <w:szCs w:val="24"/>
                <w:lang w:eastAsia="lv-LV"/>
              </w:rPr>
              <w:t>tāc</w:t>
            </w:r>
            <w:r w:rsidR="00246FE0">
              <w:rPr>
                <w:rFonts w:ascii="Times New Roman" w:eastAsia="Times New Roman" w:hAnsi="Times New Roman" w:cs="Times New Roman"/>
                <w:sz w:val="24"/>
                <w:szCs w:val="24"/>
                <w:lang w:eastAsia="lv-LV"/>
              </w:rPr>
              <w:t xml:space="preserve">ijas) publicēšanas dienas </w:t>
            </w:r>
            <w:r w:rsidR="00671DCB" w:rsidRPr="00671DCB">
              <w:rPr>
                <w:rFonts w:ascii="Times New Roman" w:eastAsia="Times New Roman" w:hAnsi="Times New Roman" w:cs="Times New Roman"/>
                <w:sz w:val="24"/>
                <w:szCs w:val="24"/>
                <w:lang w:eastAsia="lv-LV"/>
              </w:rPr>
              <w:t>(12.03</w:t>
            </w:r>
            <w:r w:rsidR="00246FE0" w:rsidRPr="00671DCB">
              <w:rPr>
                <w:rFonts w:ascii="Times New Roman" w:eastAsia="Times New Roman" w:hAnsi="Times New Roman" w:cs="Times New Roman"/>
                <w:sz w:val="24"/>
                <w:szCs w:val="24"/>
                <w:lang w:eastAsia="lv-LV"/>
              </w:rPr>
              <w:t>.2021</w:t>
            </w:r>
            <w:r w:rsidRPr="00671DCB">
              <w:rPr>
                <w:rFonts w:ascii="Times New Roman" w:eastAsia="Times New Roman" w:hAnsi="Times New Roman" w:cs="Times New Roman"/>
                <w:sz w:val="24"/>
                <w:szCs w:val="24"/>
                <w:lang w:eastAsia="lv-LV"/>
              </w:rPr>
              <w:t>.)</w:t>
            </w:r>
            <w:r w:rsidRPr="008D5D1B">
              <w:rPr>
                <w:rFonts w:ascii="Times New Roman" w:eastAsia="Times New Roman" w:hAnsi="Times New Roman" w:cs="Times New Roman"/>
                <w:sz w:val="24"/>
                <w:szCs w:val="24"/>
                <w:lang w:eastAsia="lv-LV"/>
              </w:rPr>
              <w:t xml:space="preserve"> Tieslietu ministrijas tīmekļvietnē </w:t>
            </w:r>
            <w:hyperlink r:id="rId9" w:history="1">
              <w:r w:rsidRPr="008D5D1B">
                <w:rPr>
                  <w:rStyle w:val="Hyperlink"/>
                  <w:rFonts w:ascii="Times New Roman" w:eastAsia="Times New Roman" w:hAnsi="Times New Roman" w:cs="Times New Roman"/>
                  <w:sz w:val="24"/>
                  <w:szCs w:val="24"/>
                  <w:lang w:eastAsia="lv-LV"/>
                </w:rPr>
                <w:t>https://www.tm.gov.lv/lv/sabiedribas-lidzdaliba/diskusiju-dokumenti/tiesibu-akti</w:t>
              </w:r>
            </w:hyperlink>
            <w:r w:rsidRPr="008D5D1B">
              <w:rPr>
                <w:rFonts w:ascii="Times New Roman" w:eastAsia="Times New Roman" w:hAnsi="Times New Roman" w:cs="Times New Roman"/>
                <w:sz w:val="24"/>
                <w:szCs w:val="24"/>
                <w:lang w:eastAsia="lv-LV"/>
              </w:rPr>
              <w:t xml:space="preserve">. </w:t>
            </w:r>
          </w:p>
        </w:tc>
      </w:tr>
      <w:tr w:rsidR="00BC2633" w:rsidRPr="004449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66F8C20" w:rsidR="004D15A9" w:rsidRPr="008D5D1B" w:rsidRDefault="009C55C9" w:rsidP="001C5969">
            <w:pPr>
              <w:spacing w:after="0" w:line="240" w:lineRule="auto"/>
              <w:jc w:val="both"/>
              <w:rPr>
                <w:rFonts w:ascii="Times New Roman" w:eastAsia="Times New Roman" w:hAnsi="Times New Roman" w:cs="Times New Roman"/>
                <w:sz w:val="24"/>
                <w:szCs w:val="24"/>
                <w:lang w:eastAsia="lv-LV"/>
              </w:rPr>
            </w:pPr>
            <w:r w:rsidRPr="00671DCB">
              <w:rPr>
                <w:rFonts w:ascii="Times New Roman" w:eastAsia="Times New Roman" w:hAnsi="Times New Roman" w:cs="Times New Roman"/>
                <w:sz w:val="24"/>
                <w:szCs w:val="24"/>
                <w:lang w:eastAsia="lv-LV"/>
              </w:rPr>
              <w:t xml:space="preserve">Sabiedrības viedokļi par </w:t>
            </w:r>
            <w:r w:rsidR="00E96541" w:rsidRPr="00671DCB">
              <w:rPr>
                <w:rFonts w:ascii="Times New Roman" w:eastAsia="Times New Roman" w:hAnsi="Times New Roman" w:cs="Times New Roman"/>
                <w:sz w:val="24"/>
                <w:szCs w:val="24"/>
                <w:lang w:eastAsia="lv-LV"/>
              </w:rPr>
              <w:t>l</w:t>
            </w:r>
            <w:r w:rsidRPr="00671DCB">
              <w:rPr>
                <w:rFonts w:ascii="Times New Roman" w:eastAsia="Times New Roman" w:hAnsi="Times New Roman" w:cs="Times New Roman"/>
                <w:sz w:val="24"/>
                <w:szCs w:val="24"/>
                <w:lang w:eastAsia="lv-LV"/>
              </w:rPr>
              <w:t>ikumprojektu organizētās sabiedrības līdzdalības ietvaros netika saņemti.</w:t>
            </w:r>
          </w:p>
        </w:tc>
      </w:tr>
      <w:tr w:rsidR="004D15A9" w:rsidRPr="004449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7047F3" w:rsidRPr="00444908">
              <w:rPr>
                <w:rFonts w:ascii="Times New Roman" w:eastAsia="Times New Roman" w:hAnsi="Times New Roman" w:cs="Times New Roman"/>
                <w:sz w:val="24"/>
                <w:szCs w:val="24"/>
                <w:lang w:eastAsia="lv-LV"/>
              </w:rPr>
              <w:t>.</w:t>
            </w:r>
          </w:p>
        </w:tc>
      </w:tr>
    </w:tbl>
    <w:p w14:paraId="569A45C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12C74" w14:paraId="4BBD5D65" w14:textId="77777777" w:rsidTr="00B12C7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399BB" w14:textId="77777777" w:rsidR="00B12C74" w:rsidRDefault="00B12C7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B12C74" w14:paraId="27B5D339" w14:textId="77777777" w:rsidTr="008D5D1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C9F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44B45C7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64B7434" w14:textId="7645CA9D" w:rsidR="00B12C74" w:rsidRDefault="00B12C74" w:rsidP="00246F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E9654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ikumprojekta spēkā stāšanās, Ārlietu ministrijai nepieciešams iesniegt Eiropas</w:t>
            </w:r>
            <w:r w:rsidR="00246FE0">
              <w:rPr>
                <w:rFonts w:ascii="Times New Roman" w:eastAsia="Times New Roman" w:hAnsi="Times New Roman" w:cs="Times New Roman"/>
                <w:sz w:val="24"/>
                <w:szCs w:val="24"/>
                <w:lang w:eastAsia="lv-LV"/>
              </w:rPr>
              <w:t xml:space="preserve"> Savienības Padomes Ģenerālsekretariātam</w:t>
            </w:r>
            <w:r>
              <w:rPr>
                <w:rFonts w:ascii="Times New Roman" w:eastAsia="Times New Roman" w:hAnsi="Times New Roman" w:cs="Times New Roman"/>
                <w:sz w:val="24"/>
                <w:szCs w:val="24"/>
                <w:lang w:eastAsia="lv-LV"/>
              </w:rPr>
              <w:t xml:space="preserve"> </w:t>
            </w:r>
            <w:r w:rsidR="00897DED">
              <w:rPr>
                <w:rFonts w:ascii="Times New Roman" w:eastAsia="Times New Roman" w:hAnsi="Times New Roman" w:cs="Times New Roman"/>
                <w:sz w:val="24"/>
                <w:szCs w:val="24"/>
                <w:lang w:eastAsia="lv-LV"/>
              </w:rPr>
              <w:t>deklar</w:t>
            </w:r>
            <w:r w:rsidR="00246FE0">
              <w:rPr>
                <w:rFonts w:ascii="Times New Roman" w:eastAsia="Times New Roman" w:hAnsi="Times New Roman" w:cs="Times New Roman"/>
                <w:sz w:val="24"/>
                <w:szCs w:val="24"/>
                <w:lang w:eastAsia="lv-LV"/>
              </w:rPr>
              <w:t>āciju saskaņā ar Konvencijas 24.</w:t>
            </w:r>
            <w:r w:rsidR="008C4436">
              <w:rPr>
                <w:rFonts w:ascii="Times New Roman" w:eastAsia="Times New Roman" w:hAnsi="Times New Roman" w:cs="Times New Roman"/>
                <w:sz w:val="24"/>
                <w:szCs w:val="24"/>
                <w:lang w:eastAsia="lv-LV"/>
              </w:rPr>
              <w:t> </w:t>
            </w:r>
            <w:r w:rsidR="00246FE0">
              <w:rPr>
                <w:rFonts w:ascii="Times New Roman" w:eastAsia="Times New Roman" w:hAnsi="Times New Roman" w:cs="Times New Roman"/>
                <w:sz w:val="24"/>
                <w:szCs w:val="24"/>
                <w:lang w:eastAsia="lv-LV"/>
              </w:rPr>
              <w:t>pantu</w:t>
            </w:r>
            <w:r>
              <w:rPr>
                <w:rFonts w:ascii="Times New Roman" w:eastAsia="Times New Roman" w:hAnsi="Times New Roman" w:cs="Times New Roman"/>
                <w:sz w:val="24"/>
                <w:szCs w:val="24"/>
                <w:lang w:eastAsia="lv-LV"/>
              </w:rPr>
              <w:t>.</w:t>
            </w:r>
          </w:p>
        </w:tc>
      </w:tr>
      <w:tr w:rsidR="00B12C74" w14:paraId="2216B508" w14:textId="77777777" w:rsidTr="008D5D1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574ED8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71C81F63"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5691BA4"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C563406" w14:textId="6FC2C8E8"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neietekmē pārvaldes funkcijas un institucionālo strukturu. Nav paredzeta jaunu institūciju izveidošana vai esošo institūciju likvidācija vai reorganizācija.</w:t>
            </w:r>
          </w:p>
        </w:tc>
      </w:tr>
      <w:tr w:rsidR="00B12C74" w14:paraId="7FD8CD64" w14:textId="77777777" w:rsidTr="008D5D1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C2BA821"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11DDEAFC" w14:textId="77777777" w:rsidR="00B12C74" w:rsidRDefault="00B12C7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C8D328A" w14:textId="3C0995C3" w:rsidR="00B12C74" w:rsidRDefault="00B12C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8EDA78" w14:textId="77777777" w:rsidR="004D15A9" w:rsidRPr="00102434" w:rsidRDefault="004D15A9" w:rsidP="00102434">
      <w:pPr>
        <w:spacing w:after="0" w:line="240" w:lineRule="auto"/>
        <w:ind w:firstLine="709"/>
        <w:rPr>
          <w:rFonts w:ascii="Times New Roman" w:hAnsi="Times New Roman" w:cs="Times New Roman"/>
          <w:sz w:val="28"/>
          <w:szCs w:val="28"/>
        </w:rPr>
      </w:pPr>
    </w:p>
    <w:p w14:paraId="1EFCE0B0" w14:textId="77777777" w:rsidR="00102434" w:rsidRPr="00102434" w:rsidRDefault="00102434" w:rsidP="00102434">
      <w:pPr>
        <w:spacing w:after="0" w:line="240" w:lineRule="auto"/>
        <w:ind w:firstLine="709"/>
        <w:rPr>
          <w:rFonts w:ascii="Times New Roman" w:hAnsi="Times New Roman" w:cs="Times New Roman"/>
          <w:sz w:val="28"/>
          <w:szCs w:val="28"/>
        </w:rPr>
      </w:pPr>
    </w:p>
    <w:p w14:paraId="4A2B0889" w14:textId="77777777" w:rsidR="00E758D0" w:rsidRPr="00102434" w:rsidRDefault="00E758D0" w:rsidP="00102434">
      <w:pPr>
        <w:spacing w:after="0" w:line="240" w:lineRule="auto"/>
        <w:ind w:firstLine="709"/>
        <w:jc w:val="both"/>
        <w:rPr>
          <w:rFonts w:ascii="Times New Roman" w:eastAsia="Times New Roman" w:hAnsi="Times New Roman" w:cs="Times New Roman"/>
          <w:sz w:val="28"/>
          <w:szCs w:val="28"/>
        </w:rPr>
      </w:pPr>
    </w:p>
    <w:p w14:paraId="18E02A07" w14:textId="47BA1E59" w:rsidR="003013D9" w:rsidRPr="00102434" w:rsidRDefault="003013D9" w:rsidP="00102434">
      <w:pPr>
        <w:spacing w:after="0" w:line="240" w:lineRule="auto"/>
        <w:ind w:firstLine="709"/>
        <w:jc w:val="both"/>
        <w:rPr>
          <w:rFonts w:ascii="Times New Roman" w:eastAsia="Times New Roman" w:hAnsi="Times New Roman" w:cs="Times New Roman"/>
          <w:sz w:val="28"/>
          <w:szCs w:val="28"/>
        </w:rPr>
      </w:pPr>
      <w:r w:rsidRPr="00102434">
        <w:rPr>
          <w:rFonts w:ascii="Times New Roman" w:eastAsia="Times New Roman" w:hAnsi="Times New Roman" w:cs="Times New Roman"/>
          <w:sz w:val="28"/>
          <w:szCs w:val="28"/>
        </w:rPr>
        <w:t>Ministru prezidenta biedrs,</w:t>
      </w:r>
    </w:p>
    <w:p w14:paraId="6AB9193F" w14:textId="6CCA110C" w:rsidR="003013D9" w:rsidRPr="00102434" w:rsidRDefault="00102434" w:rsidP="00102434">
      <w:pPr>
        <w:tabs>
          <w:tab w:val="left" w:pos="6521"/>
        </w:tabs>
        <w:spacing w:after="0" w:line="240" w:lineRule="auto"/>
        <w:ind w:firstLine="709"/>
        <w:jc w:val="both"/>
        <w:rPr>
          <w:rFonts w:ascii="Times New Roman" w:eastAsia="Times New Roman" w:hAnsi="Times New Roman" w:cs="Times New Roman"/>
          <w:sz w:val="28"/>
          <w:szCs w:val="28"/>
        </w:rPr>
      </w:pPr>
      <w:r w:rsidRPr="00102434">
        <w:rPr>
          <w:rFonts w:ascii="Times New Roman" w:eastAsia="Times New Roman" w:hAnsi="Times New Roman" w:cs="Times New Roman"/>
          <w:sz w:val="28"/>
          <w:szCs w:val="28"/>
        </w:rPr>
        <w:t>tieslietu ministrs</w:t>
      </w:r>
      <w:r w:rsidRPr="00102434">
        <w:rPr>
          <w:rFonts w:ascii="Times New Roman" w:eastAsia="Times New Roman" w:hAnsi="Times New Roman" w:cs="Times New Roman"/>
          <w:sz w:val="28"/>
          <w:szCs w:val="28"/>
        </w:rPr>
        <w:tab/>
      </w:r>
      <w:r w:rsidR="003013D9" w:rsidRPr="00102434">
        <w:rPr>
          <w:rFonts w:ascii="Times New Roman" w:eastAsia="Times New Roman" w:hAnsi="Times New Roman" w:cs="Times New Roman"/>
          <w:sz w:val="28"/>
          <w:szCs w:val="28"/>
        </w:rPr>
        <w:t>J</w:t>
      </w:r>
      <w:r w:rsidR="00E758D0" w:rsidRPr="00102434">
        <w:rPr>
          <w:rFonts w:ascii="Times New Roman" w:eastAsia="Times New Roman" w:hAnsi="Times New Roman" w:cs="Times New Roman"/>
          <w:sz w:val="28"/>
          <w:szCs w:val="28"/>
        </w:rPr>
        <w:t>.</w:t>
      </w:r>
      <w:r w:rsidRPr="00102434">
        <w:rPr>
          <w:rFonts w:ascii="Times New Roman" w:eastAsia="Times New Roman" w:hAnsi="Times New Roman" w:cs="Times New Roman"/>
          <w:sz w:val="28"/>
          <w:szCs w:val="28"/>
        </w:rPr>
        <w:t> </w:t>
      </w:r>
      <w:r w:rsidR="003013D9" w:rsidRPr="00102434">
        <w:rPr>
          <w:rFonts w:ascii="Times New Roman" w:eastAsia="Times New Roman" w:hAnsi="Times New Roman" w:cs="Times New Roman"/>
          <w:sz w:val="28"/>
          <w:szCs w:val="28"/>
        </w:rPr>
        <w:t>Bordāns</w:t>
      </w:r>
    </w:p>
    <w:p w14:paraId="63071606" w14:textId="77777777" w:rsidR="004D15A9" w:rsidRDefault="004D15A9" w:rsidP="00DA596D">
      <w:pPr>
        <w:pStyle w:val="StyleRight"/>
        <w:spacing w:after="0"/>
        <w:ind w:firstLine="0"/>
        <w:jc w:val="both"/>
        <w:rPr>
          <w:sz w:val="22"/>
          <w:szCs w:val="22"/>
        </w:rPr>
      </w:pPr>
    </w:p>
    <w:p w14:paraId="26B9B19F" w14:textId="77777777" w:rsidR="00102434" w:rsidRPr="00444908" w:rsidRDefault="00102434" w:rsidP="00DA596D">
      <w:pPr>
        <w:pStyle w:val="StyleRight"/>
        <w:spacing w:after="0"/>
        <w:ind w:firstLine="0"/>
        <w:jc w:val="both"/>
        <w:rPr>
          <w:sz w:val="22"/>
          <w:szCs w:val="22"/>
        </w:rPr>
      </w:pPr>
    </w:p>
    <w:p w14:paraId="21E4DA6B" w14:textId="77777777" w:rsidR="003A2A0B" w:rsidRPr="00444908" w:rsidRDefault="003A2A0B" w:rsidP="00DA596D">
      <w:pPr>
        <w:pStyle w:val="StyleRight"/>
        <w:spacing w:after="0"/>
        <w:ind w:firstLine="0"/>
        <w:jc w:val="both"/>
        <w:rPr>
          <w:sz w:val="22"/>
          <w:szCs w:val="22"/>
        </w:rPr>
      </w:pPr>
    </w:p>
    <w:p w14:paraId="310E1BEA" w14:textId="6400DBB6" w:rsidR="00377B8C" w:rsidRPr="00444908" w:rsidRDefault="00CE4DD2"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rPr>
        <w:t>Ozola</w:t>
      </w:r>
      <w:r w:rsidR="00377B8C" w:rsidRPr="00444908">
        <w:rPr>
          <w:rFonts w:ascii="Times New Roman" w:eastAsia="Calibri" w:hAnsi="Times New Roman" w:cs="Times New Roman"/>
          <w:sz w:val="20"/>
          <w:szCs w:val="20"/>
        </w:rPr>
        <w:t xml:space="preserve"> </w:t>
      </w:r>
      <w:r w:rsidR="0049207E" w:rsidRPr="00444908">
        <w:rPr>
          <w:rFonts w:ascii="Times New Roman" w:eastAsia="Calibri" w:hAnsi="Times New Roman" w:cs="Times New Roman"/>
          <w:sz w:val="20"/>
          <w:szCs w:val="20"/>
        </w:rPr>
        <w:t>67036</w:t>
      </w:r>
      <w:r w:rsidRPr="00444908">
        <w:rPr>
          <w:rFonts w:ascii="Times New Roman" w:eastAsia="Calibri" w:hAnsi="Times New Roman" w:cs="Times New Roman"/>
          <w:sz w:val="20"/>
          <w:szCs w:val="20"/>
        </w:rPr>
        <w:t>970</w:t>
      </w:r>
    </w:p>
    <w:p w14:paraId="534CC3A7" w14:textId="0E7E4C75" w:rsidR="0082360E" w:rsidRDefault="00102434" w:rsidP="002D5358">
      <w:pPr>
        <w:spacing w:after="0" w:line="240" w:lineRule="auto"/>
        <w:rPr>
          <w:rFonts w:ascii="Times New Roman" w:eastAsia="Calibri" w:hAnsi="Times New Roman" w:cs="Times New Roman"/>
          <w:sz w:val="20"/>
          <w:szCs w:val="20"/>
          <w:u w:val="single"/>
        </w:rPr>
      </w:pPr>
      <w:hyperlink r:id="rId10" w:history="1">
        <w:r w:rsidRPr="00BF49FB">
          <w:rPr>
            <w:rStyle w:val="Hyperlink"/>
            <w:rFonts w:ascii="Times New Roman" w:eastAsia="Calibri" w:hAnsi="Times New Roman" w:cs="Times New Roman"/>
            <w:sz w:val="20"/>
            <w:szCs w:val="20"/>
          </w:rPr>
          <w:t>Zane.Ozola@tm.gov.lv</w:t>
        </w:r>
      </w:hyperlink>
      <w:bookmarkStart w:id="0" w:name="_GoBack"/>
      <w:bookmarkEnd w:id="0"/>
    </w:p>
    <w:p w14:paraId="3CDFE0D3" w14:textId="77777777" w:rsidR="00102434" w:rsidRDefault="00102434" w:rsidP="002D5358">
      <w:pPr>
        <w:spacing w:after="0" w:line="240" w:lineRule="auto"/>
        <w:rPr>
          <w:rFonts w:ascii="Times New Roman" w:eastAsia="Calibri" w:hAnsi="Times New Roman" w:cs="Times New Roman"/>
          <w:sz w:val="20"/>
          <w:szCs w:val="20"/>
          <w:u w:val="single"/>
        </w:rPr>
      </w:pPr>
    </w:p>
    <w:p w14:paraId="1E47D9A1" w14:textId="77777777" w:rsidR="00102434" w:rsidRDefault="00102434" w:rsidP="002D5358">
      <w:pPr>
        <w:spacing w:after="0" w:line="240" w:lineRule="auto"/>
        <w:rPr>
          <w:rFonts w:ascii="Times New Roman" w:eastAsia="Calibri" w:hAnsi="Times New Roman" w:cs="Times New Roman"/>
          <w:sz w:val="20"/>
          <w:szCs w:val="20"/>
          <w:u w:val="single"/>
        </w:rPr>
      </w:pPr>
    </w:p>
    <w:p w14:paraId="4574C703" w14:textId="77777777" w:rsidR="00102434" w:rsidRDefault="00102434" w:rsidP="002D5358">
      <w:pPr>
        <w:spacing w:after="0" w:line="240" w:lineRule="auto"/>
        <w:rPr>
          <w:rFonts w:ascii="Times New Roman" w:eastAsia="Calibri" w:hAnsi="Times New Roman" w:cs="Times New Roman"/>
          <w:sz w:val="20"/>
          <w:szCs w:val="20"/>
          <w:u w:val="single"/>
        </w:rPr>
      </w:pPr>
    </w:p>
    <w:p w14:paraId="68DEFC51" w14:textId="77777777" w:rsidR="00102434" w:rsidRPr="005A3098" w:rsidRDefault="00102434" w:rsidP="00102434">
      <w:pPr>
        <w:pStyle w:val="Footer"/>
        <w:rPr>
          <w:rFonts w:ascii="Times New Roman" w:hAnsi="Times New Roman"/>
          <w:sz w:val="16"/>
          <w:szCs w:val="16"/>
        </w:rPr>
      </w:pP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1530</w:t>
      </w:r>
      <w:r w:rsidRPr="008709C1">
        <w:rPr>
          <w:rFonts w:ascii="Times New Roman" w:hAnsi="Times New Roman"/>
          <w:sz w:val="16"/>
          <w:szCs w:val="16"/>
        </w:rPr>
        <w:fldChar w:fldCharType="end"/>
      </w:r>
    </w:p>
    <w:sectPr w:rsidR="00102434" w:rsidRPr="005A3098" w:rsidSect="004D15A9">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FCAC" w14:textId="77777777" w:rsidR="00F826E4" w:rsidRDefault="00F826E4" w:rsidP="004D15A9">
      <w:pPr>
        <w:spacing w:after="0" w:line="240" w:lineRule="auto"/>
      </w:pPr>
      <w:r>
        <w:separator/>
      </w:r>
    </w:p>
  </w:endnote>
  <w:endnote w:type="continuationSeparator" w:id="0">
    <w:p w14:paraId="720326F2" w14:textId="77777777" w:rsidR="00F826E4" w:rsidRDefault="00F826E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349E" w14:textId="77777777" w:rsidR="00102434" w:rsidRPr="00892486" w:rsidRDefault="00102434" w:rsidP="00102434">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TMAnot_250521_</w:t>
    </w:r>
    <w:r w:rsidRPr="0045264A">
      <w:rPr>
        <w:rFonts w:ascii="Times New Roman" w:eastAsia="Calibri" w:hAnsi="Times New Roman" w:cs="Times New Roman"/>
        <w:noProof/>
        <w:sz w:val="20"/>
        <w:szCs w:val="20"/>
      </w:rPr>
      <w:t>Konv_2000</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(TA-1265)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05328572"/>
  <w:bookmarkStart w:id="2" w:name="_Hlk505328573"/>
  <w:p w14:paraId="0854F658" w14:textId="4E7EB911" w:rsidR="00542677" w:rsidRPr="00892486" w:rsidRDefault="0054267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C1FF3">
      <w:rPr>
        <w:rFonts w:ascii="Times New Roman" w:hAnsi="Times New Roman" w:cs="Times New Roman"/>
        <w:noProof/>
        <w:sz w:val="20"/>
        <w:szCs w:val="20"/>
      </w:rPr>
      <w:t>TMAnot_</w:t>
    </w:r>
    <w:r w:rsidR="0045264A">
      <w:rPr>
        <w:rFonts w:ascii="Times New Roman" w:hAnsi="Times New Roman" w:cs="Times New Roman"/>
        <w:noProof/>
        <w:sz w:val="20"/>
        <w:szCs w:val="20"/>
      </w:rPr>
      <w:t>25</w:t>
    </w:r>
    <w:r w:rsidR="002C1FF3">
      <w:rPr>
        <w:rFonts w:ascii="Times New Roman" w:hAnsi="Times New Roman" w:cs="Times New Roman"/>
        <w:noProof/>
        <w:sz w:val="20"/>
        <w:szCs w:val="20"/>
      </w:rPr>
      <w:t>0521_</w:t>
    </w:r>
    <w:r w:rsidR="002C1FF3" w:rsidRPr="0045264A">
      <w:rPr>
        <w:rFonts w:ascii="Times New Roman" w:eastAsia="Calibri" w:hAnsi="Times New Roman" w:cs="Times New Roman"/>
        <w:noProof/>
        <w:sz w:val="20"/>
        <w:szCs w:val="20"/>
      </w:rPr>
      <w:t>Konv_2000</w:t>
    </w:r>
    <w:r w:rsidRPr="0042645D">
      <w:rPr>
        <w:rFonts w:ascii="Times New Roman" w:hAnsi="Times New Roman" w:cs="Times New Roman"/>
        <w:sz w:val="20"/>
        <w:szCs w:val="20"/>
      </w:rPr>
      <w:fldChar w:fldCharType="end"/>
    </w:r>
    <w:bookmarkEnd w:id="1"/>
    <w:bookmarkEnd w:id="2"/>
    <w:r w:rsidR="00102434">
      <w:rPr>
        <w:rFonts w:ascii="Times New Roman" w:hAnsi="Times New Roman" w:cs="Times New Roman"/>
        <w:sz w:val="20"/>
        <w:szCs w:val="20"/>
      </w:rPr>
      <w:t xml:space="preserve">  (TA-1265)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B912" w14:textId="77777777" w:rsidR="00F826E4" w:rsidRDefault="00F826E4" w:rsidP="004D15A9">
      <w:pPr>
        <w:spacing w:after="0" w:line="240" w:lineRule="auto"/>
      </w:pPr>
      <w:r>
        <w:separator/>
      </w:r>
    </w:p>
  </w:footnote>
  <w:footnote w:type="continuationSeparator" w:id="0">
    <w:p w14:paraId="5CA7D523" w14:textId="77777777" w:rsidR="00F826E4" w:rsidRDefault="00F826E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542677" w:rsidRPr="004D15A9" w:rsidRDefault="005426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02434">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E7D154D" w14:textId="77777777" w:rsidR="00542677" w:rsidRDefault="00542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D43"/>
    <w:rsid w:val="00004600"/>
    <w:rsid w:val="0000675E"/>
    <w:rsid w:val="0002102B"/>
    <w:rsid w:val="00022B6A"/>
    <w:rsid w:val="00025D62"/>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73805"/>
    <w:rsid w:val="00082D5D"/>
    <w:rsid w:val="00083736"/>
    <w:rsid w:val="00083F6E"/>
    <w:rsid w:val="00084207"/>
    <w:rsid w:val="000860B0"/>
    <w:rsid w:val="0009534D"/>
    <w:rsid w:val="000A022A"/>
    <w:rsid w:val="000A07B5"/>
    <w:rsid w:val="000A4BF7"/>
    <w:rsid w:val="000B725A"/>
    <w:rsid w:val="000C1C0F"/>
    <w:rsid w:val="000C52FE"/>
    <w:rsid w:val="000C6A1B"/>
    <w:rsid w:val="000C6AD8"/>
    <w:rsid w:val="000D3052"/>
    <w:rsid w:val="000D3223"/>
    <w:rsid w:val="000E3461"/>
    <w:rsid w:val="000E42FD"/>
    <w:rsid w:val="000E57F2"/>
    <w:rsid w:val="000F38AF"/>
    <w:rsid w:val="00101CD5"/>
    <w:rsid w:val="00102434"/>
    <w:rsid w:val="00103BA8"/>
    <w:rsid w:val="00106293"/>
    <w:rsid w:val="00113870"/>
    <w:rsid w:val="00121CCC"/>
    <w:rsid w:val="00125762"/>
    <w:rsid w:val="00135A21"/>
    <w:rsid w:val="00162849"/>
    <w:rsid w:val="00173399"/>
    <w:rsid w:val="0017415A"/>
    <w:rsid w:val="00174AD0"/>
    <w:rsid w:val="0017519D"/>
    <w:rsid w:val="001806EF"/>
    <w:rsid w:val="001941E6"/>
    <w:rsid w:val="001946AE"/>
    <w:rsid w:val="00194A69"/>
    <w:rsid w:val="001A40EF"/>
    <w:rsid w:val="001B328C"/>
    <w:rsid w:val="001B5EFE"/>
    <w:rsid w:val="001B780B"/>
    <w:rsid w:val="001C1692"/>
    <w:rsid w:val="001C5969"/>
    <w:rsid w:val="001D1383"/>
    <w:rsid w:val="001D478E"/>
    <w:rsid w:val="001D58F0"/>
    <w:rsid w:val="001F0454"/>
    <w:rsid w:val="001F4327"/>
    <w:rsid w:val="001F5678"/>
    <w:rsid w:val="001F668A"/>
    <w:rsid w:val="001F68D7"/>
    <w:rsid w:val="002024D5"/>
    <w:rsid w:val="00203F67"/>
    <w:rsid w:val="00216464"/>
    <w:rsid w:val="00220682"/>
    <w:rsid w:val="00223738"/>
    <w:rsid w:val="00225CDD"/>
    <w:rsid w:val="0024012E"/>
    <w:rsid w:val="00246FE0"/>
    <w:rsid w:val="0025308A"/>
    <w:rsid w:val="00253292"/>
    <w:rsid w:val="0025687C"/>
    <w:rsid w:val="00262E25"/>
    <w:rsid w:val="00263A8D"/>
    <w:rsid w:val="00263A95"/>
    <w:rsid w:val="002678E8"/>
    <w:rsid w:val="002731AE"/>
    <w:rsid w:val="00275C84"/>
    <w:rsid w:val="0027727E"/>
    <w:rsid w:val="002859F8"/>
    <w:rsid w:val="00291E89"/>
    <w:rsid w:val="00294DFF"/>
    <w:rsid w:val="002971F4"/>
    <w:rsid w:val="002A0987"/>
    <w:rsid w:val="002B32D8"/>
    <w:rsid w:val="002C066C"/>
    <w:rsid w:val="002C1FF3"/>
    <w:rsid w:val="002C31B3"/>
    <w:rsid w:val="002C5C3A"/>
    <w:rsid w:val="002D5358"/>
    <w:rsid w:val="002D5E77"/>
    <w:rsid w:val="002D66BC"/>
    <w:rsid w:val="002E1D9A"/>
    <w:rsid w:val="002E1F42"/>
    <w:rsid w:val="002E3A19"/>
    <w:rsid w:val="002E3C24"/>
    <w:rsid w:val="002F115D"/>
    <w:rsid w:val="003013D9"/>
    <w:rsid w:val="0030291E"/>
    <w:rsid w:val="003112D4"/>
    <w:rsid w:val="00313DE8"/>
    <w:rsid w:val="00314D64"/>
    <w:rsid w:val="003156F0"/>
    <w:rsid w:val="00320A2D"/>
    <w:rsid w:val="00322AE7"/>
    <w:rsid w:val="00323704"/>
    <w:rsid w:val="00326632"/>
    <w:rsid w:val="00331C20"/>
    <w:rsid w:val="003402A0"/>
    <w:rsid w:val="0034104B"/>
    <w:rsid w:val="00343D4B"/>
    <w:rsid w:val="0035066A"/>
    <w:rsid w:val="00352241"/>
    <w:rsid w:val="0035537F"/>
    <w:rsid w:val="00363ADF"/>
    <w:rsid w:val="003651E5"/>
    <w:rsid w:val="00366546"/>
    <w:rsid w:val="00372B53"/>
    <w:rsid w:val="00374948"/>
    <w:rsid w:val="003758B0"/>
    <w:rsid w:val="00377B8C"/>
    <w:rsid w:val="003803BC"/>
    <w:rsid w:val="00381733"/>
    <w:rsid w:val="00381A0E"/>
    <w:rsid w:val="00381C62"/>
    <w:rsid w:val="00381F7C"/>
    <w:rsid w:val="003842F5"/>
    <w:rsid w:val="0038683A"/>
    <w:rsid w:val="003922B0"/>
    <w:rsid w:val="00393943"/>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4908"/>
    <w:rsid w:val="00445B47"/>
    <w:rsid w:val="0045264A"/>
    <w:rsid w:val="00452AB6"/>
    <w:rsid w:val="00456FAF"/>
    <w:rsid w:val="00461275"/>
    <w:rsid w:val="00464AF4"/>
    <w:rsid w:val="004746DF"/>
    <w:rsid w:val="00482E7A"/>
    <w:rsid w:val="004857A7"/>
    <w:rsid w:val="0049207E"/>
    <w:rsid w:val="0049426D"/>
    <w:rsid w:val="004A0367"/>
    <w:rsid w:val="004B21B5"/>
    <w:rsid w:val="004C3B12"/>
    <w:rsid w:val="004C4856"/>
    <w:rsid w:val="004C51DD"/>
    <w:rsid w:val="004D015C"/>
    <w:rsid w:val="004D075F"/>
    <w:rsid w:val="004D15A9"/>
    <w:rsid w:val="004D34E1"/>
    <w:rsid w:val="004D4402"/>
    <w:rsid w:val="004D50F9"/>
    <w:rsid w:val="004D57DF"/>
    <w:rsid w:val="004F1EC1"/>
    <w:rsid w:val="00500B32"/>
    <w:rsid w:val="00513571"/>
    <w:rsid w:val="005144BC"/>
    <w:rsid w:val="00515CEE"/>
    <w:rsid w:val="005165D6"/>
    <w:rsid w:val="00524CB9"/>
    <w:rsid w:val="00525097"/>
    <w:rsid w:val="00533712"/>
    <w:rsid w:val="005337E5"/>
    <w:rsid w:val="00540927"/>
    <w:rsid w:val="00542677"/>
    <w:rsid w:val="00544090"/>
    <w:rsid w:val="0054644F"/>
    <w:rsid w:val="005534BA"/>
    <w:rsid w:val="00563735"/>
    <w:rsid w:val="0056459F"/>
    <w:rsid w:val="0057324A"/>
    <w:rsid w:val="00580AE9"/>
    <w:rsid w:val="00584B43"/>
    <w:rsid w:val="0059057E"/>
    <w:rsid w:val="00592698"/>
    <w:rsid w:val="00597943"/>
    <w:rsid w:val="005A015F"/>
    <w:rsid w:val="005A19DF"/>
    <w:rsid w:val="005A46FB"/>
    <w:rsid w:val="005A6816"/>
    <w:rsid w:val="005A77CA"/>
    <w:rsid w:val="005B1E96"/>
    <w:rsid w:val="005B3392"/>
    <w:rsid w:val="005C0266"/>
    <w:rsid w:val="005D41DD"/>
    <w:rsid w:val="005D4E8A"/>
    <w:rsid w:val="005E5438"/>
    <w:rsid w:val="005F3971"/>
    <w:rsid w:val="00600CD4"/>
    <w:rsid w:val="006030CC"/>
    <w:rsid w:val="0060652B"/>
    <w:rsid w:val="00612A92"/>
    <w:rsid w:val="00613B3B"/>
    <w:rsid w:val="00632158"/>
    <w:rsid w:val="0063443E"/>
    <w:rsid w:val="006369D8"/>
    <w:rsid w:val="00647F58"/>
    <w:rsid w:val="00652888"/>
    <w:rsid w:val="006550E0"/>
    <w:rsid w:val="00655AB8"/>
    <w:rsid w:val="006641E1"/>
    <w:rsid w:val="006662AD"/>
    <w:rsid w:val="006714DA"/>
    <w:rsid w:val="00671DCB"/>
    <w:rsid w:val="00673682"/>
    <w:rsid w:val="00675AD5"/>
    <w:rsid w:val="00681DED"/>
    <w:rsid w:val="00684DC0"/>
    <w:rsid w:val="006925E0"/>
    <w:rsid w:val="006A1475"/>
    <w:rsid w:val="006A3071"/>
    <w:rsid w:val="006A6EC7"/>
    <w:rsid w:val="006B256D"/>
    <w:rsid w:val="006B2A2A"/>
    <w:rsid w:val="006B5165"/>
    <w:rsid w:val="006C0072"/>
    <w:rsid w:val="006C268B"/>
    <w:rsid w:val="006D1EE8"/>
    <w:rsid w:val="006D44E5"/>
    <w:rsid w:val="006D4797"/>
    <w:rsid w:val="006E4EE5"/>
    <w:rsid w:val="006E508F"/>
    <w:rsid w:val="006F1B36"/>
    <w:rsid w:val="006F1C9A"/>
    <w:rsid w:val="006F22C0"/>
    <w:rsid w:val="006F5EDF"/>
    <w:rsid w:val="00702637"/>
    <w:rsid w:val="00702F64"/>
    <w:rsid w:val="007047F3"/>
    <w:rsid w:val="007144C1"/>
    <w:rsid w:val="00726F5D"/>
    <w:rsid w:val="0073730D"/>
    <w:rsid w:val="007503C1"/>
    <w:rsid w:val="007521C7"/>
    <w:rsid w:val="007579C3"/>
    <w:rsid w:val="00761EEE"/>
    <w:rsid w:val="00774D87"/>
    <w:rsid w:val="0077723C"/>
    <w:rsid w:val="00780287"/>
    <w:rsid w:val="0078124B"/>
    <w:rsid w:val="0078703F"/>
    <w:rsid w:val="007927CF"/>
    <w:rsid w:val="00792966"/>
    <w:rsid w:val="00793716"/>
    <w:rsid w:val="00793F4D"/>
    <w:rsid w:val="00794E79"/>
    <w:rsid w:val="007A3E43"/>
    <w:rsid w:val="007B0035"/>
    <w:rsid w:val="007B097D"/>
    <w:rsid w:val="007B2814"/>
    <w:rsid w:val="007B4D41"/>
    <w:rsid w:val="007B688C"/>
    <w:rsid w:val="007C1F85"/>
    <w:rsid w:val="007C66CC"/>
    <w:rsid w:val="007C76FD"/>
    <w:rsid w:val="007D4E96"/>
    <w:rsid w:val="007E0805"/>
    <w:rsid w:val="007E3B77"/>
    <w:rsid w:val="007E3E32"/>
    <w:rsid w:val="008045A9"/>
    <w:rsid w:val="0081203F"/>
    <w:rsid w:val="00812CEB"/>
    <w:rsid w:val="008140E8"/>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180"/>
    <w:rsid w:val="00856430"/>
    <w:rsid w:val="00856A48"/>
    <w:rsid w:val="00857FE7"/>
    <w:rsid w:val="00862B4B"/>
    <w:rsid w:val="00872FCF"/>
    <w:rsid w:val="00873F05"/>
    <w:rsid w:val="00875AD5"/>
    <w:rsid w:val="008826E9"/>
    <w:rsid w:val="0089064E"/>
    <w:rsid w:val="00892486"/>
    <w:rsid w:val="008926B7"/>
    <w:rsid w:val="00896F5F"/>
    <w:rsid w:val="00897DED"/>
    <w:rsid w:val="008A1553"/>
    <w:rsid w:val="008A356C"/>
    <w:rsid w:val="008A3CDD"/>
    <w:rsid w:val="008A3D96"/>
    <w:rsid w:val="008A55B2"/>
    <w:rsid w:val="008B374B"/>
    <w:rsid w:val="008B522B"/>
    <w:rsid w:val="008B5581"/>
    <w:rsid w:val="008C4436"/>
    <w:rsid w:val="008D3C4F"/>
    <w:rsid w:val="008D5D1B"/>
    <w:rsid w:val="008E4E93"/>
    <w:rsid w:val="008E5928"/>
    <w:rsid w:val="008E6848"/>
    <w:rsid w:val="008E6B74"/>
    <w:rsid w:val="008E78B2"/>
    <w:rsid w:val="008F101C"/>
    <w:rsid w:val="00904141"/>
    <w:rsid w:val="00906D51"/>
    <w:rsid w:val="00915006"/>
    <w:rsid w:val="00916543"/>
    <w:rsid w:val="00916BA4"/>
    <w:rsid w:val="00917B16"/>
    <w:rsid w:val="00924DB6"/>
    <w:rsid w:val="0092642F"/>
    <w:rsid w:val="009344B1"/>
    <w:rsid w:val="00941BF4"/>
    <w:rsid w:val="00945698"/>
    <w:rsid w:val="00946CD6"/>
    <w:rsid w:val="00955454"/>
    <w:rsid w:val="009629ED"/>
    <w:rsid w:val="00962EE4"/>
    <w:rsid w:val="009632F0"/>
    <w:rsid w:val="00964EA7"/>
    <w:rsid w:val="0096547B"/>
    <w:rsid w:val="0096735C"/>
    <w:rsid w:val="009721AA"/>
    <w:rsid w:val="0097690A"/>
    <w:rsid w:val="009822F5"/>
    <w:rsid w:val="00987F96"/>
    <w:rsid w:val="00993AAC"/>
    <w:rsid w:val="00997954"/>
    <w:rsid w:val="009A0E54"/>
    <w:rsid w:val="009A35C5"/>
    <w:rsid w:val="009B1FAE"/>
    <w:rsid w:val="009B634B"/>
    <w:rsid w:val="009C4732"/>
    <w:rsid w:val="009C55C9"/>
    <w:rsid w:val="009C5C8F"/>
    <w:rsid w:val="009D18DF"/>
    <w:rsid w:val="009D34C5"/>
    <w:rsid w:val="009D472E"/>
    <w:rsid w:val="009D536D"/>
    <w:rsid w:val="009E4A2D"/>
    <w:rsid w:val="009E62C3"/>
    <w:rsid w:val="009F2947"/>
    <w:rsid w:val="009F31B0"/>
    <w:rsid w:val="00A07860"/>
    <w:rsid w:val="00A10FA7"/>
    <w:rsid w:val="00A1552F"/>
    <w:rsid w:val="00A16553"/>
    <w:rsid w:val="00A17764"/>
    <w:rsid w:val="00A217BD"/>
    <w:rsid w:val="00A21922"/>
    <w:rsid w:val="00A273B0"/>
    <w:rsid w:val="00A3217A"/>
    <w:rsid w:val="00A374BC"/>
    <w:rsid w:val="00A421E3"/>
    <w:rsid w:val="00A45617"/>
    <w:rsid w:val="00A53145"/>
    <w:rsid w:val="00A535E3"/>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025"/>
    <w:rsid w:val="00B02713"/>
    <w:rsid w:val="00B04973"/>
    <w:rsid w:val="00B12C74"/>
    <w:rsid w:val="00B208C2"/>
    <w:rsid w:val="00B25ED3"/>
    <w:rsid w:val="00B3487D"/>
    <w:rsid w:val="00B50319"/>
    <w:rsid w:val="00B5392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C3701"/>
    <w:rsid w:val="00BD2B47"/>
    <w:rsid w:val="00BD370E"/>
    <w:rsid w:val="00BD3ECE"/>
    <w:rsid w:val="00BD43BA"/>
    <w:rsid w:val="00BE1F08"/>
    <w:rsid w:val="00BF0660"/>
    <w:rsid w:val="00BF327D"/>
    <w:rsid w:val="00BF3A34"/>
    <w:rsid w:val="00C0072B"/>
    <w:rsid w:val="00C05A83"/>
    <w:rsid w:val="00C13A15"/>
    <w:rsid w:val="00C15F86"/>
    <w:rsid w:val="00C235AF"/>
    <w:rsid w:val="00C251E2"/>
    <w:rsid w:val="00C323CB"/>
    <w:rsid w:val="00C330B0"/>
    <w:rsid w:val="00C34A6F"/>
    <w:rsid w:val="00C368A0"/>
    <w:rsid w:val="00C37222"/>
    <w:rsid w:val="00C430EF"/>
    <w:rsid w:val="00C5025A"/>
    <w:rsid w:val="00C549B9"/>
    <w:rsid w:val="00C618BA"/>
    <w:rsid w:val="00C83048"/>
    <w:rsid w:val="00C8447B"/>
    <w:rsid w:val="00C97535"/>
    <w:rsid w:val="00CA02CA"/>
    <w:rsid w:val="00CB36AE"/>
    <w:rsid w:val="00CC631D"/>
    <w:rsid w:val="00CD0F5E"/>
    <w:rsid w:val="00CD1D1D"/>
    <w:rsid w:val="00CD2B8D"/>
    <w:rsid w:val="00CD4A03"/>
    <w:rsid w:val="00CD55FD"/>
    <w:rsid w:val="00CD617B"/>
    <w:rsid w:val="00CE4371"/>
    <w:rsid w:val="00CE4DD2"/>
    <w:rsid w:val="00CF0121"/>
    <w:rsid w:val="00CF4322"/>
    <w:rsid w:val="00CF764A"/>
    <w:rsid w:val="00D00D54"/>
    <w:rsid w:val="00D102CE"/>
    <w:rsid w:val="00D1107A"/>
    <w:rsid w:val="00D215C2"/>
    <w:rsid w:val="00D2163C"/>
    <w:rsid w:val="00D234A6"/>
    <w:rsid w:val="00D313D5"/>
    <w:rsid w:val="00D31ADE"/>
    <w:rsid w:val="00D34B94"/>
    <w:rsid w:val="00D409FE"/>
    <w:rsid w:val="00D425E3"/>
    <w:rsid w:val="00D46184"/>
    <w:rsid w:val="00D51348"/>
    <w:rsid w:val="00D565A0"/>
    <w:rsid w:val="00D56BFD"/>
    <w:rsid w:val="00D56E87"/>
    <w:rsid w:val="00D6242F"/>
    <w:rsid w:val="00D666BA"/>
    <w:rsid w:val="00D743D5"/>
    <w:rsid w:val="00D839D5"/>
    <w:rsid w:val="00D84C42"/>
    <w:rsid w:val="00D86724"/>
    <w:rsid w:val="00D91FAD"/>
    <w:rsid w:val="00D95BA9"/>
    <w:rsid w:val="00D97BAA"/>
    <w:rsid w:val="00DA1C3A"/>
    <w:rsid w:val="00DA326E"/>
    <w:rsid w:val="00DA52AC"/>
    <w:rsid w:val="00DA596D"/>
    <w:rsid w:val="00DA6F9F"/>
    <w:rsid w:val="00DB3753"/>
    <w:rsid w:val="00DB5342"/>
    <w:rsid w:val="00DB7069"/>
    <w:rsid w:val="00DB7589"/>
    <w:rsid w:val="00DC3DFE"/>
    <w:rsid w:val="00DC61C6"/>
    <w:rsid w:val="00DC64C0"/>
    <w:rsid w:val="00DD3A5B"/>
    <w:rsid w:val="00DD67B8"/>
    <w:rsid w:val="00DD796C"/>
    <w:rsid w:val="00DE564E"/>
    <w:rsid w:val="00DE78C6"/>
    <w:rsid w:val="00DF13E7"/>
    <w:rsid w:val="00E02193"/>
    <w:rsid w:val="00E02EA6"/>
    <w:rsid w:val="00E058CF"/>
    <w:rsid w:val="00E12C82"/>
    <w:rsid w:val="00E134A0"/>
    <w:rsid w:val="00E158AE"/>
    <w:rsid w:val="00E2482D"/>
    <w:rsid w:val="00E343D8"/>
    <w:rsid w:val="00E41BEB"/>
    <w:rsid w:val="00E44C94"/>
    <w:rsid w:val="00E4786B"/>
    <w:rsid w:val="00E557CC"/>
    <w:rsid w:val="00E5586E"/>
    <w:rsid w:val="00E62B76"/>
    <w:rsid w:val="00E659E2"/>
    <w:rsid w:val="00E71A36"/>
    <w:rsid w:val="00E73F25"/>
    <w:rsid w:val="00E758D0"/>
    <w:rsid w:val="00E80953"/>
    <w:rsid w:val="00E819A2"/>
    <w:rsid w:val="00E8350C"/>
    <w:rsid w:val="00E84113"/>
    <w:rsid w:val="00E8613F"/>
    <w:rsid w:val="00E91606"/>
    <w:rsid w:val="00E9181C"/>
    <w:rsid w:val="00E96541"/>
    <w:rsid w:val="00EA18B2"/>
    <w:rsid w:val="00EC4C28"/>
    <w:rsid w:val="00ED280A"/>
    <w:rsid w:val="00ED573E"/>
    <w:rsid w:val="00EE15FF"/>
    <w:rsid w:val="00EE2ADD"/>
    <w:rsid w:val="00EE3CFA"/>
    <w:rsid w:val="00EE7BEA"/>
    <w:rsid w:val="00EE7FF7"/>
    <w:rsid w:val="00EF05C4"/>
    <w:rsid w:val="00EF2A0A"/>
    <w:rsid w:val="00EF60F3"/>
    <w:rsid w:val="00F01A60"/>
    <w:rsid w:val="00F022D3"/>
    <w:rsid w:val="00F041F4"/>
    <w:rsid w:val="00F04E5D"/>
    <w:rsid w:val="00F0555E"/>
    <w:rsid w:val="00F1612F"/>
    <w:rsid w:val="00F17E72"/>
    <w:rsid w:val="00F21473"/>
    <w:rsid w:val="00F21595"/>
    <w:rsid w:val="00F239F2"/>
    <w:rsid w:val="00F23F67"/>
    <w:rsid w:val="00F27098"/>
    <w:rsid w:val="00F27DC6"/>
    <w:rsid w:val="00F31948"/>
    <w:rsid w:val="00F33F87"/>
    <w:rsid w:val="00F34E90"/>
    <w:rsid w:val="00F4000D"/>
    <w:rsid w:val="00F41801"/>
    <w:rsid w:val="00F4548A"/>
    <w:rsid w:val="00F45E5D"/>
    <w:rsid w:val="00F50A42"/>
    <w:rsid w:val="00F517B2"/>
    <w:rsid w:val="00F51907"/>
    <w:rsid w:val="00F57535"/>
    <w:rsid w:val="00F60943"/>
    <w:rsid w:val="00F61D56"/>
    <w:rsid w:val="00F62BFC"/>
    <w:rsid w:val="00F76C09"/>
    <w:rsid w:val="00F77A2C"/>
    <w:rsid w:val="00F80D5D"/>
    <w:rsid w:val="00F80F7A"/>
    <w:rsid w:val="00F813AE"/>
    <w:rsid w:val="00F826E4"/>
    <w:rsid w:val="00F83994"/>
    <w:rsid w:val="00F852CE"/>
    <w:rsid w:val="00F852FD"/>
    <w:rsid w:val="00F90524"/>
    <w:rsid w:val="00F91583"/>
    <w:rsid w:val="00F929B4"/>
    <w:rsid w:val="00FA1853"/>
    <w:rsid w:val="00FA6D51"/>
    <w:rsid w:val="00FB1ABE"/>
    <w:rsid w:val="00FB2959"/>
    <w:rsid w:val="00FB347C"/>
    <w:rsid w:val="00FB372B"/>
    <w:rsid w:val="00FC382A"/>
    <w:rsid w:val="00FC77D3"/>
    <w:rsid w:val="00FD1412"/>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9D0AF545-9737-4C0A-B589-FFBE5BBE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character" w:customStyle="1" w:styleId="italic">
    <w:name w:val="italic"/>
    <w:basedOn w:val="DefaultParagraphFont"/>
    <w:rsid w:val="007B097D"/>
  </w:style>
  <w:style w:type="paragraph" w:styleId="Revision">
    <w:name w:val="Revision"/>
    <w:hidden/>
    <w:uiPriority w:val="99"/>
    <w:semiHidden/>
    <w:rsid w:val="0037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7602323">
      <w:bodyDiv w:val="1"/>
      <w:marLeft w:val="0"/>
      <w:marRight w:val="0"/>
      <w:marTop w:val="0"/>
      <w:marBottom w:val="0"/>
      <w:divBdr>
        <w:top w:val="none" w:sz="0" w:space="0" w:color="auto"/>
        <w:left w:val="none" w:sz="0" w:space="0" w:color="auto"/>
        <w:bottom w:val="none" w:sz="0" w:space="0" w:color="auto"/>
        <w:right w:val="none" w:sz="0" w:space="0" w:color="auto"/>
      </w:divBdr>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ne.Ozola@tm.gov.lv"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9507-6DAD-4329-8ADB-778B43B7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1574</Words>
  <Characters>11176</Characters>
  <Application>Microsoft Office Word</Application>
  <DocSecurity>0</DocSecurity>
  <Lines>399</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Konvenciju par Eiropas Savienības dalībvalstu savstarpēju palīdzību krimināllietās, ko Padome pieņēmusi saskaņā ar Līguma par Eiropas Savienību 34. pantu, Padomes Deklarāciju par Konvencijas 10. panta devīto daļu, Apvi</vt:lpstr>
      <vt:lpstr>Likumprojekta "Grozījumi Kriminālprocesa likumā" sākotnējās ietekmes novērtējuma ziņojums (anotācija)</vt:lpstr>
    </vt:vector>
  </TitlesOfParts>
  <Company>Tieslietu ministrija</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Konvenciju par Eiropas Savienības dalībvalstu savstarpēju palīdzību krimināllietās, ko Padome pieņēmusi saskaņā ar Līguma par Eiropas Savienību 34. pantu, Padomes Deklarāciju par Konvencijas 10. panta devīto daļu, Apvienotās Karalistes deklarāciju par Konvencijas 20. pantu un Konvencijas Protokolu, ko Padome pieņēmusi saskaņā ar Līguma par Eiropas Savienību 34. pantu"" sākotnējās ietekmes novērtējuma ziņojums (anotācija)</dc:title>
  <dc:subject>Anotācija</dc:subject>
  <dc:creator>Zane Ozola</dc:creator>
  <dc:description>67036970, Zane.Ozola@tm.gov.lv</dc:description>
  <cp:lastModifiedBy>User</cp:lastModifiedBy>
  <cp:revision>10</cp:revision>
  <cp:lastPrinted>2020-03-26T12:47:00Z</cp:lastPrinted>
  <dcterms:created xsi:type="dcterms:W3CDTF">2021-05-12T12:05:00Z</dcterms:created>
  <dcterms:modified xsi:type="dcterms:W3CDTF">2021-06-07T06:50:00Z</dcterms:modified>
</cp:coreProperties>
</file>