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B3BD" w14:textId="77777777" w:rsidR="00AE1B7D" w:rsidRDefault="00AE1B7D" w:rsidP="00A741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385C5" w14:textId="77777777" w:rsidR="00A7415C" w:rsidRDefault="00A7415C" w:rsidP="00A741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9FAAA2" w14:textId="77777777" w:rsidR="00A7415C" w:rsidRPr="00A7415C" w:rsidRDefault="00A7415C" w:rsidP="00A741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8F10C" w14:textId="5F820292" w:rsidR="00A7415C" w:rsidRPr="00A7415C" w:rsidRDefault="00A7415C" w:rsidP="00A7415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15C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7415C">
        <w:rPr>
          <w:rFonts w:ascii="Times New Roman" w:hAnsi="Times New Roman" w:cs="Times New Roman"/>
          <w:sz w:val="28"/>
          <w:szCs w:val="28"/>
        </w:rPr>
        <w:t xml:space="preserve">. gada </w:t>
      </w:r>
      <w:r w:rsidR="00BE75C7">
        <w:rPr>
          <w:rFonts w:ascii="Times New Roman" w:hAnsi="Times New Roman" w:cs="Times New Roman"/>
          <w:sz w:val="28"/>
          <w:szCs w:val="28"/>
        </w:rPr>
        <w:t>22. jūnijā</w:t>
      </w:r>
      <w:r w:rsidRPr="00A7415C">
        <w:rPr>
          <w:rFonts w:ascii="Times New Roman" w:hAnsi="Times New Roman" w:cs="Times New Roman"/>
          <w:sz w:val="28"/>
          <w:szCs w:val="28"/>
        </w:rPr>
        <w:tab/>
        <w:t>Instrukcija</w:t>
      </w:r>
      <w:r w:rsidRPr="00A7415C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BE75C7">
        <w:rPr>
          <w:rFonts w:ascii="Times New Roman" w:eastAsia="Times New Roman" w:hAnsi="Times New Roman" w:cs="Times New Roman"/>
          <w:sz w:val="28"/>
          <w:szCs w:val="28"/>
        </w:rPr>
        <w:t> 4</w:t>
      </w:r>
    </w:p>
    <w:p w14:paraId="5074390B" w14:textId="240B24A8" w:rsidR="00A7415C" w:rsidRPr="00A7415C" w:rsidRDefault="00A7415C" w:rsidP="00A7415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15C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7415C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BE75C7">
        <w:rPr>
          <w:rFonts w:ascii="Times New Roman" w:eastAsia="Times New Roman" w:hAnsi="Times New Roman" w:cs="Times New Roman"/>
          <w:sz w:val="28"/>
          <w:szCs w:val="28"/>
        </w:rPr>
        <w:t> 49 20</w:t>
      </w:r>
      <w:bookmarkStart w:id="0" w:name="_GoBack"/>
      <w:bookmarkEnd w:id="0"/>
      <w:r w:rsidRPr="00A7415C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46147DD" w14:textId="77777777" w:rsidR="00163F88" w:rsidRPr="00A7415C" w:rsidRDefault="00163F88" w:rsidP="00A7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E2C572" w14:textId="56845C8C" w:rsidR="00C415C8" w:rsidRPr="00A7415C" w:rsidRDefault="00C415C8" w:rsidP="00A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Tulkojumu pieprasīšanas un nodrošināšanas kārtība</w:t>
      </w:r>
    </w:p>
    <w:p w14:paraId="02EB378F" w14:textId="77777777" w:rsidR="00C415C8" w:rsidRPr="00A7415C" w:rsidRDefault="00C415C8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0DC50F" w14:textId="77777777" w:rsidR="005E723B" w:rsidRPr="00A7415C" w:rsidRDefault="00C415C8" w:rsidP="00A7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Izdota saskaņā ar</w:t>
      </w:r>
    </w:p>
    <w:p w14:paraId="1D0BB14B" w14:textId="77777777" w:rsidR="00AE1B7D" w:rsidRPr="00A7415C" w:rsidRDefault="00C415C8" w:rsidP="00A7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iekārtas likuma</w:t>
      </w:r>
      <w:r w:rsidR="005E723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1505701" w14:textId="4BB29505" w:rsidR="00C415C8" w:rsidRPr="00A7415C" w:rsidRDefault="00C415C8" w:rsidP="00A7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72.</w:t>
      </w:r>
      <w:r w:rsidR="00AE1B7D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pirmās daļas 2.</w:t>
      </w:r>
      <w:r w:rsidR="00AE1B7D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</w:p>
    <w:p w14:paraId="103F48BC" w14:textId="66D61D5A" w:rsidR="004A3B12" w:rsidRPr="00892973" w:rsidRDefault="004A3B12" w:rsidP="00A74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7A4CDC" w14:textId="37E475C8" w:rsidR="004A3B12" w:rsidRPr="00A7415C" w:rsidRDefault="00F11D16" w:rsidP="00A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784C89"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4A3B12"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Vispārīgais jautājums</w:t>
      </w:r>
    </w:p>
    <w:p w14:paraId="41C8F396" w14:textId="77777777" w:rsidR="005E723B" w:rsidRPr="00A7415C" w:rsidRDefault="005E723B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4E46EC" w14:textId="17A616D0" w:rsidR="00C415C8" w:rsidRPr="00A7415C" w:rsidRDefault="00915007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Instrukcija nosaka kārtību, kādā:</w:t>
      </w:r>
    </w:p>
    <w:p w14:paraId="0124EBDA" w14:textId="381F7D14" w:rsidR="00C415C8" w:rsidRPr="00A7415C" w:rsidRDefault="00C415C8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915007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C2ED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valodas centrs (turpmāk 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– centrs) veic dokument</w:t>
      </w:r>
      <w:r w:rsidR="001C2ED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u tulkošanu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5081097" w14:textId="565781D0" w:rsidR="00C415C8" w:rsidRPr="00A7415C" w:rsidRDefault="00915007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1.2. 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tiek pieprasīti dokumentu tulkojumi;</w:t>
      </w:r>
    </w:p>
    <w:p w14:paraId="43AA9663" w14:textId="7E418DB7" w:rsidR="00C415C8" w:rsidRPr="00A7415C" w:rsidRDefault="00915007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1.3. 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 un valsts pārvaldes iestādes (turpmāk</w:t>
      </w:r>
      <w:r w:rsidR="001C2ED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– iestādes) sadarbojas dokumentu tulkojumu tapšanas gaitā.</w:t>
      </w:r>
    </w:p>
    <w:p w14:paraId="3086524F" w14:textId="77777777" w:rsidR="00915007" w:rsidRPr="00A7415C" w:rsidRDefault="00915007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66BB67" w14:textId="5AC29DFC" w:rsidR="76C99C21" w:rsidRPr="00A7415C" w:rsidRDefault="00F11D16" w:rsidP="00A7415C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</w:t>
      </w:r>
      <w:r w:rsidR="00784C89"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76C99C21"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Starptautisko tiesību aktu tulkojum</w:t>
      </w:r>
      <w:r w:rsidR="00C07C9A"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54198A6C" w14:textId="1050F631" w:rsidR="36CA0810" w:rsidRPr="00A7415C" w:rsidRDefault="36CA0810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48F5E6" w14:textId="52D789D0" w:rsidR="002C2EB2" w:rsidRPr="00A7415C" w:rsidRDefault="00784C89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2C2EB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 nodrošina šādu starptautisko tiesību aktu tulkojumus:</w:t>
      </w:r>
    </w:p>
    <w:p w14:paraId="650E3120" w14:textId="7DCB6CDC" w:rsidR="002C2EB2" w:rsidRPr="00A7415C" w:rsidRDefault="00E26C00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.1. </w:t>
      </w:r>
      <w:r w:rsidR="002C2EB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Republikai saistošo starptautisko līgumu tulkojumus latviešu valodā atbilstoši likuma "Par Latvijas Republikas starptautiskajiem līgumiem" 11.</w:t>
      </w:r>
      <w:r w:rsidR="002C2EB2" w:rsidRPr="00A741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2C2EB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pantam;</w:t>
      </w:r>
    </w:p>
    <w:p w14:paraId="6C7F77C8" w14:textId="038A40F1" w:rsidR="002C2EB2" w:rsidRPr="00A7415C" w:rsidRDefault="00E26C00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.2. </w:t>
      </w:r>
      <w:r w:rsidR="002C2EB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Saeimā vai Ministru kabinetā apstiprināmo starptautisko līgumu un to projektu tulkojumus</w:t>
      </w:r>
      <w:r w:rsidR="0038419F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latviešu valodā</w:t>
      </w:r>
      <w:r w:rsidR="002C2EB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likuma "Par Latvijas Republikas starptautiskajiem līgumiem" 11.</w:t>
      </w:r>
      <w:r w:rsidR="002C2EB2" w:rsidRPr="00A741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163F8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2EB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pantam;</w:t>
      </w:r>
    </w:p>
    <w:p w14:paraId="712327B8" w14:textId="789307C9" w:rsidR="002C2EB2" w:rsidRPr="00A7415C" w:rsidRDefault="00E26C00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.3. </w:t>
      </w:r>
      <w:r w:rsidR="002C2EB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ar Eiropas Savienības tiesību aktu un Latvijas Republikai saistošo starptautisko līgumu piemērošanu saistīto dokumentu ofici</w:t>
      </w:r>
      <w:r w:rsidR="00914B9C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ālos tulkojumus latviešu valodā.</w:t>
      </w:r>
    </w:p>
    <w:p w14:paraId="4C0C84A1" w14:textId="77777777" w:rsidR="002C2EB2" w:rsidRPr="00A7415C" w:rsidRDefault="002C2EB2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4ACCA2" w14:textId="118ABE9C" w:rsidR="76C99C21" w:rsidRPr="00A7415C" w:rsidRDefault="00E26C00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Centrs reizi ceturksnī (līdz </w:t>
      </w:r>
      <w:r w:rsidR="009E12B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1C2ED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12B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martam, 10</w:t>
      </w:r>
      <w:r w:rsidR="001C2ED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12B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jūnijam, 10</w:t>
      </w:r>
      <w:r w:rsidR="001C2ED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12B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septembrim un 10</w:t>
      </w:r>
      <w:r w:rsidR="001C2ED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decembrim) nosūta iestādēm aicinājumu iesniegt nepieciešamo starptautisko tiesību aktu</w:t>
      </w:r>
      <w:r w:rsidR="2047D3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tulkojumu pieprasījumu.</w:t>
      </w:r>
    </w:p>
    <w:p w14:paraId="07239052" w14:textId="3BC8793C" w:rsidR="36CA0810" w:rsidRPr="00A7415C" w:rsidRDefault="36CA0810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76EB3" w14:textId="5176C01E" w:rsidR="76C99C21" w:rsidRPr="00A7415C" w:rsidRDefault="00E26C00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15C">
        <w:rPr>
          <w:rFonts w:ascii="Times New Roman" w:eastAsia="Times New Roman" w:hAnsi="Times New Roman" w:cs="Times New Roman"/>
          <w:sz w:val="28"/>
          <w:szCs w:val="28"/>
        </w:rPr>
        <w:t>4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</w:rPr>
        <w:t> 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triju nedēļu laikā pēc </w:t>
      </w:r>
      <w:r w:rsidR="00613D3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instrukcijas 3. punktā minētā 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aicinājuma saņemšanas sagatavo un nosūta c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</w:rPr>
        <w:t xml:space="preserve">entram starptautisko tiesību aktu tulkojumu 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pieprasījumu, </w:t>
      </w:r>
      <w:proofErr w:type="gramStart"/>
      <w:r w:rsidR="76C99C21" w:rsidRPr="00A7415C">
        <w:rPr>
          <w:rFonts w:ascii="Times New Roman" w:eastAsia="Times New Roman" w:hAnsi="Times New Roman" w:cs="Times New Roman"/>
          <w:sz w:val="28"/>
          <w:szCs w:val="28"/>
        </w:rPr>
        <w:t xml:space="preserve">noformējot to atbilstoši </w:t>
      </w:r>
      <w:r w:rsidR="00E508AB" w:rsidRPr="00A7415C">
        <w:rPr>
          <w:rFonts w:ascii="Times New Roman" w:eastAsia="Times New Roman" w:hAnsi="Times New Roman" w:cs="Times New Roman"/>
          <w:sz w:val="28"/>
          <w:szCs w:val="28"/>
        </w:rPr>
        <w:t>šīs instrukcijas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C2ED4" w:rsidRPr="00A7415C">
        <w:rPr>
          <w:rFonts w:ascii="Times New Roman" w:eastAsia="Times New Roman" w:hAnsi="Times New Roman" w:cs="Times New Roman"/>
          <w:sz w:val="28"/>
          <w:szCs w:val="28"/>
        </w:rPr>
        <w:t> 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</w:rPr>
        <w:t>pielikumam</w:t>
      </w:r>
      <w:r w:rsidR="00E10353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E10353" w:rsidRPr="00A74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</w:rPr>
        <w:t>dokumentus</w:t>
      </w:r>
      <w:proofErr w:type="gramEnd"/>
      <w:r w:rsidR="76C99C21" w:rsidRPr="00A7415C">
        <w:rPr>
          <w:rFonts w:ascii="Times New Roman" w:eastAsia="Times New Roman" w:hAnsi="Times New Roman" w:cs="Times New Roman"/>
          <w:sz w:val="28"/>
          <w:szCs w:val="28"/>
        </w:rPr>
        <w:t xml:space="preserve"> norādot prioritārā secībā</w:t>
      </w:r>
      <w:r w:rsidR="73604EC8" w:rsidRPr="00A741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F9A87" w14:textId="00B75AE6" w:rsidR="36CA0810" w:rsidRPr="00A7415C" w:rsidRDefault="36CA0810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F331B3" w14:textId="53B50CEF" w:rsidR="76C99C21" w:rsidRPr="00A7415C" w:rsidRDefault="00E26C00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Starptautisko tiesību aktu tulkojumu pieprasījumu </w:t>
      </w:r>
      <w:r w:rsidR="33B75EF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nosūta elektroniski uz centra oficiālo e</w:t>
      </w:r>
      <w:r w:rsidR="00FD10E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lektronisko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adresi</w:t>
      </w:r>
      <w:r w:rsidR="00EA260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B2069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centra </w:t>
      </w:r>
      <w:r w:rsidR="00EA260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FD10E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lektronisk</w:t>
      </w:r>
      <w:r w:rsidR="00B2069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FD10E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pasta </w:t>
      </w:r>
      <w:r w:rsidR="00EA260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adresi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, pievienojot tulkojamo dokumentu vai norādot tīmekļvietnes adresi, kur</w:t>
      </w:r>
      <w:r w:rsidR="00613D3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76C99C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tulkojamais dokuments ir pieejams</w:t>
      </w:r>
      <w:r w:rsidR="1BD1769C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61EAA22" w14:textId="4171BC35" w:rsidR="00E92CE5" w:rsidRPr="00A7415C" w:rsidRDefault="00E92CE5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4E1FA3" w14:textId="69ADC71C" w:rsidR="00E92CE5" w:rsidRPr="00A7415C" w:rsidRDefault="00E26C00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92C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Pirms tulkojamā dokumenta iesniegšanas centrā iestāde, ja nepieciešams, nodrošina, ka nepastāv autortiesību ierobežojumi attiecībā uz tulkojamo dokumentu, kā arī autortiesību vai blakustiesību subjekta piekrišanu dokumenta tulkošanai.</w:t>
      </w:r>
    </w:p>
    <w:p w14:paraId="77A992C9" w14:textId="3F712E51" w:rsidR="003C7F90" w:rsidRPr="00A7415C" w:rsidRDefault="003C7F90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5B0010" w14:textId="4BCBC7B5" w:rsidR="003C7F90" w:rsidRPr="00A7415C" w:rsidRDefault="00784C89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3C7F9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 apkopo iestāžu starptautisko tiesību aktu tulkojumu pieprasījumus</w:t>
      </w:r>
      <w:r w:rsidR="000711CE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3C7F9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sastāda </w:t>
      </w:r>
      <w:r w:rsidR="00BF14FC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nākamajā </w:t>
      </w:r>
      <w:r w:rsidR="003C7F9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ceturksnī tulkojamo dokumentu sarakstu</w:t>
      </w:r>
      <w:r w:rsidR="00D4231D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8810EFC" w14:textId="77777777" w:rsidR="00915007" w:rsidRPr="00A7415C" w:rsidRDefault="00915007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227305" w14:textId="63B95B85" w:rsidR="003C7F90" w:rsidRPr="00A7415C" w:rsidRDefault="00784C89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A677F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Starptautisko tiesību aktu tulkojumu sarakstu apstiprina Vecāko amatpersonu sanāksme Eiropas</w:t>
      </w:r>
      <w:r w:rsidR="00B811A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Savienības jautājumos (turpmāk </w:t>
      </w:r>
      <w:r w:rsidR="00A677F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BF14FC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Vecāko </w:t>
      </w:r>
      <w:r w:rsidR="00A677F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amatpersonu sanāksme).</w:t>
      </w:r>
    </w:p>
    <w:p w14:paraId="1D9FBD99" w14:textId="7BA302E2" w:rsidR="003C7F90" w:rsidRPr="00A7415C" w:rsidRDefault="003C7F90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C020C8" w14:textId="649AE029" w:rsidR="0059706F" w:rsidRPr="00A7415C" w:rsidRDefault="00F11D16" w:rsidP="00A7415C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</w:t>
      </w:r>
      <w:r w:rsidR="00784C89"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59706F"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Republikas tiesību aktu tulk</w:t>
      </w:r>
      <w:r w:rsidR="00C808FB"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ojumi</w:t>
      </w:r>
    </w:p>
    <w:p w14:paraId="02AC65D4" w14:textId="2ACB27EB" w:rsidR="00C808FB" w:rsidRPr="00892973" w:rsidRDefault="00C808FB" w:rsidP="00A7415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B9B861" w14:textId="67D7E642" w:rsidR="00CA20B3" w:rsidRPr="00A7415C" w:rsidRDefault="00CA20B3" w:rsidP="00A7415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9. Centrs nodrošina Latvijas Republikas tiesību aktu aktuālo redakciju tulkojumus Eiropas Savienības dalībvalstu valodās. Prioritāri nodrošin</w:t>
      </w:r>
      <w:r w:rsidR="00613D3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likumu tulkojum</w:t>
      </w:r>
      <w:r w:rsidR="00613D3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cita veida tiesību aktu tulkojum</w:t>
      </w:r>
      <w:r w:rsidR="00613D3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ir būtiski valsts starptautisko saistību izpildei vai </w:t>
      </w:r>
      <w:bookmarkStart w:id="1" w:name="_Hlk47437206"/>
      <w:r w:rsidRPr="00A7415C">
        <w:rPr>
          <w:rFonts w:ascii="Times New Roman" w:hAnsi="Times New Roman" w:cs="Times New Roman"/>
          <w:sz w:val="28"/>
          <w:szCs w:val="28"/>
        </w:rPr>
        <w:t>Ministru kabineta noteikto mērķu sasniegšanai starptautisko attiecību jomā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End w:id="1"/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netulkot </w:t>
      </w:r>
      <w:r w:rsidR="00E55FB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tiesību aktus, kas drīzumā zaudēs spēku, vienreiz piemērojamos tiesību aktus vai tiesību aktus, kuru tulkojumiem nav būtiskas nozīmes tiesību sistēmā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0E363FC" w14:textId="77777777" w:rsidR="00CA20B3" w:rsidRPr="00A7415C" w:rsidRDefault="00CA20B3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7FB966" w14:textId="22C95B7B" w:rsidR="00CA20B3" w:rsidRPr="00A7415C" w:rsidRDefault="00CA20B3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10. Tieslietu ministrija sadarbībā ar centru sastāda tulkojamo likumu sarakstu (turpmāk – likumu saraksts) nākamajiem diviem gadiem. Likumu saraks</w:t>
      </w:r>
      <w:r w:rsidR="00613D3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tu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nosūt</w:t>
      </w:r>
      <w:r w:rsidR="00613D3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iestādēm kopā ar aicinājumu iesniegt nepieciešamo tiesību aktu tulkojumu pieprasījumu.</w:t>
      </w:r>
    </w:p>
    <w:p w14:paraId="64F86BD3" w14:textId="77777777" w:rsidR="00CA20B3" w:rsidRPr="00A7415C" w:rsidRDefault="00CA20B3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4D5B77" w14:textId="77777777" w:rsidR="00CA20B3" w:rsidRPr="00A7415C" w:rsidRDefault="00CA20B3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11. Centrs divreiz gadā (līdz 10. jūnijam un 10. decembrim) nosūta iestādēm aicinājumu iesniegt:</w:t>
      </w:r>
    </w:p>
    <w:p w14:paraId="17BAA798" w14:textId="77777777" w:rsidR="00CA20B3" w:rsidRPr="00A7415C" w:rsidRDefault="00CA20B3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11.1. nepieciešamo Ministru kabineta noteikumu tulkojumu pieprasījumu;</w:t>
      </w:r>
    </w:p>
    <w:p w14:paraId="6EBC3102" w14:textId="63BE20A9" w:rsidR="00CA20B3" w:rsidRPr="00A7415C" w:rsidRDefault="00CA20B3" w:rsidP="00A7415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11.2. </w:t>
      </w:r>
      <w:r w:rsidRPr="00A7415C">
        <w:rPr>
          <w:rFonts w:ascii="Times New Roman" w:hAnsi="Times New Roman" w:cs="Times New Roman"/>
          <w:sz w:val="28"/>
          <w:szCs w:val="28"/>
        </w:rPr>
        <w:t xml:space="preserve">informāciju par </w:t>
      </w:r>
      <w:r w:rsidR="003C1569" w:rsidRPr="00A7415C">
        <w:rPr>
          <w:rFonts w:ascii="Times New Roman" w:hAnsi="Times New Roman" w:cs="Times New Roman"/>
          <w:sz w:val="28"/>
          <w:szCs w:val="28"/>
        </w:rPr>
        <w:t>nozar</w:t>
      </w:r>
      <w:r w:rsidR="003C1569">
        <w:rPr>
          <w:rFonts w:ascii="Times New Roman" w:hAnsi="Times New Roman" w:cs="Times New Roman"/>
          <w:sz w:val="28"/>
          <w:szCs w:val="28"/>
        </w:rPr>
        <w:t>ei</w:t>
      </w:r>
      <w:r w:rsidR="003C1569" w:rsidRPr="00A7415C">
        <w:rPr>
          <w:rFonts w:ascii="Times New Roman" w:hAnsi="Times New Roman" w:cs="Times New Roman"/>
          <w:sz w:val="28"/>
          <w:szCs w:val="28"/>
        </w:rPr>
        <w:t xml:space="preserve"> </w:t>
      </w:r>
      <w:r w:rsidRPr="00A7415C">
        <w:rPr>
          <w:rFonts w:ascii="Times New Roman" w:hAnsi="Times New Roman" w:cs="Times New Roman"/>
          <w:sz w:val="28"/>
          <w:szCs w:val="28"/>
        </w:rPr>
        <w:t>prioritāri</w:t>
      </w:r>
      <w:r w:rsidR="003C1569" w:rsidRPr="00A7415C">
        <w:rPr>
          <w:rFonts w:ascii="Times New Roman" w:hAnsi="Times New Roman" w:cs="Times New Roman"/>
          <w:sz w:val="28"/>
          <w:szCs w:val="28"/>
        </w:rPr>
        <w:t xml:space="preserve"> </w:t>
      </w:r>
      <w:r w:rsidRPr="00A7415C">
        <w:rPr>
          <w:rFonts w:ascii="Times New Roman" w:hAnsi="Times New Roman" w:cs="Times New Roman"/>
          <w:sz w:val="28"/>
          <w:szCs w:val="28"/>
        </w:rPr>
        <w:t>tulkojamajiem likumiem vai iztulkoto likumu aktualizāciju, ja likumu sarakstā nepieciešamas izmaiņas (</w:t>
      </w:r>
      <w:proofErr w:type="gramStart"/>
      <w:r w:rsidRPr="00A7415C">
        <w:rPr>
          <w:rFonts w:ascii="Times New Roman" w:hAnsi="Times New Roman" w:cs="Times New Roman"/>
          <w:sz w:val="28"/>
          <w:szCs w:val="28"/>
        </w:rPr>
        <w:t>lai centrs varētu koriģēt šīs instrukcijas 10. punktā minēto</w:t>
      </w:r>
      <w:proofErr w:type="gramEnd"/>
      <w:r w:rsidRPr="00A7415C">
        <w:rPr>
          <w:rFonts w:ascii="Times New Roman" w:hAnsi="Times New Roman" w:cs="Times New Roman"/>
          <w:sz w:val="28"/>
          <w:szCs w:val="28"/>
        </w:rPr>
        <w:t xml:space="preserve"> likumu sarakstu)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4B0FBCF" w14:textId="77777777" w:rsidR="00CA20B3" w:rsidRPr="00A7415C" w:rsidRDefault="00CA20B3" w:rsidP="00A7415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11.3. informāciju par cita veida tiesību aktu tulkojumiem, </w:t>
      </w:r>
      <w:proofErr w:type="gramStart"/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kas ir būtiski valsts starptautisko saistību izpildei</w:t>
      </w:r>
      <w:proofErr w:type="gramEnd"/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Pr="00A7415C">
        <w:rPr>
          <w:rFonts w:ascii="Times New Roman" w:hAnsi="Times New Roman" w:cs="Times New Roman"/>
          <w:sz w:val="28"/>
          <w:szCs w:val="28"/>
        </w:rPr>
        <w:t>Ministru kabineta noteikto mērķu sasniegšanai starptautisko attiecību jomā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4B90532" w14:textId="77777777" w:rsidR="00CA20B3" w:rsidRPr="00A7415C" w:rsidRDefault="00CA20B3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093690" w14:textId="2CA6E348" w:rsidR="00CA20B3" w:rsidRPr="00A7415C" w:rsidRDefault="00CA20B3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12. </w:t>
      </w:r>
      <w:r w:rsidR="000678A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triju nedēļu laikā pēc aicinājuma saņemšanas nosūta centram uz oficiālo elektronisko adresi vai </w:t>
      </w:r>
      <w:r w:rsidR="00B2069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centra </w:t>
      </w:r>
      <w:r w:rsidR="000678A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</w:t>
      </w:r>
      <w:r w:rsidR="00B2069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678A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pasta adresi nepieciešamo tulkojumu pieprasījumu, </w:t>
      </w:r>
      <w:proofErr w:type="gramStart"/>
      <w:r w:rsidR="000678A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noformējot to atbilstoši šīs instrukcijas 2. pielikumam</w:t>
      </w:r>
      <w:r w:rsidR="003C15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3C156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78A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dokumentus</w:t>
      </w:r>
      <w:proofErr w:type="gramEnd"/>
      <w:r w:rsidR="000678A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norādot prioritārā secībā. 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 apkopo tulkojumu pieprasījumus un sastāda nākamajā pusgadā tulkojamo dokumentu sarakstu</w:t>
      </w:r>
      <w:r w:rsidR="003C156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4497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C1569"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</w:t>
      </w:r>
      <w:r w:rsidR="003C156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veic nepieciešamās korekcijas likumu sarakstā.</w:t>
      </w:r>
    </w:p>
    <w:p w14:paraId="517F25A0" w14:textId="77777777" w:rsidR="00CA20B3" w:rsidRPr="00A7415C" w:rsidRDefault="00CA20B3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D359DF" w14:textId="123E4472" w:rsidR="00CA20B3" w:rsidRPr="00A7415C" w:rsidRDefault="00CA20B3" w:rsidP="00A7415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13. </w:t>
      </w:r>
      <w:r w:rsidR="00BE2D62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ikumu sarakstu, kā arī šīs instrukcijas 12. punktā minēto tulkojamo dokumentu sarakstu apstiprina Vecāko amatpersonu sanāksmē.</w:t>
      </w:r>
    </w:p>
    <w:p w14:paraId="51278F85" w14:textId="77777777" w:rsidR="00CA20B3" w:rsidRPr="00A7415C" w:rsidRDefault="00CA20B3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CC16F7" w14:textId="33A9532D" w:rsidR="00C415C8" w:rsidRPr="00A7415C" w:rsidRDefault="00F11D16" w:rsidP="00A7415C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IV</w:t>
      </w:r>
      <w:r w:rsidR="00F26101"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163F88"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79E3FD49"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Tulkojumu nodrošināšana</w:t>
      </w:r>
    </w:p>
    <w:p w14:paraId="59CFFDBE" w14:textId="77777777" w:rsidR="001C2ED4" w:rsidRPr="00A7415C" w:rsidRDefault="001C2ED4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9A0614" w14:textId="31BED797" w:rsidR="00C415C8" w:rsidRPr="00A7415C" w:rsidRDefault="00784C89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C74D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</w:t>
      </w:r>
      <w:r w:rsidR="00E26C0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14DA9EB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nosak</w:t>
      </w:r>
      <w:r w:rsidR="000A044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tulkojamo dokument</w:t>
      </w:r>
      <w:r w:rsidR="000A044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044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apjomu, aprēķina to </w:t>
      </w:r>
      <w:proofErr w:type="spellStart"/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standartlapu</w:t>
      </w:r>
      <w:proofErr w:type="spellEnd"/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itu (</w:t>
      </w:r>
      <w:proofErr w:type="gramEnd"/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viena </w:t>
      </w:r>
      <w:proofErr w:type="spellStart"/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standartlapa</w:t>
      </w:r>
      <w:proofErr w:type="spellEnd"/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1500 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rakstzīmes bez atstarpēm)</w:t>
      </w:r>
      <w:r w:rsidR="003C7F9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F71D93A" w14:textId="5DA76BAC" w:rsidR="00C77068" w:rsidRPr="00A7415C" w:rsidRDefault="00C77068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2BDA64" w14:textId="2223E7AE" w:rsidR="00E92CE5" w:rsidRPr="00A7415C" w:rsidRDefault="00E26C00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C74D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7706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</w:t>
      </w:r>
      <w:r w:rsidR="00DF0FF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7706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sastādot tulkojamo dokumentu sarakstu, ņ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 vērā </w:t>
      </w:r>
      <w:r w:rsidR="00C7706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piešķirto 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budžeta finansējumu</w:t>
      </w:r>
      <w:r w:rsidR="00C7706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tulkojumu veikšanai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tulkojum</w:t>
      </w:r>
      <w:r w:rsidR="00570597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steidzamību</w:t>
      </w:r>
      <w:r w:rsidR="00C7706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656B9AB" w14:textId="77777777" w:rsidR="005E723B" w:rsidRPr="00A7415C" w:rsidRDefault="005E723B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31503B" w14:textId="5A23286B" w:rsidR="00C415C8" w:rsidRPr="00A7415C" w:rsidRDefault="10112A47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C74D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</w:t>
      </w:r>
      <w:r w:rsidR="00163F8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instrukcijas </w:t>
      </w:r>
      <w:r w:rsidR="00BD63A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DE470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, 10.</w:t>
      </w:r>
      <w:r w:rsidR="00BD63A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1</w:t>
      </w:r>
      <w:r w:rsidR="00DE470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D63A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punktā minēt</w:t>
      </w:r>
      <w:r w:rsidR="00E9046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BD63A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70467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tulkojamo dokumentu </w:t>
      </w:r>
      <w:r w:rsidR="17C719F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sarakstu 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apstiprināšanas</w:t>
      </w:r>
      <w:r w:rsidR="00BD63A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0FF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entrs informē iestādes par tulkošanai apstiprinātajiem </w:t>
      </w:r>
      <w:r w:rsidR="00070467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dokumentiem. 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Piecu darbdienu laikā pēc </w:t>
      </w:r>
      <w:r w:rsidR="008849D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sarakstu apstiprināšanas</w:t>
      </w:r>
      <w:r w:rsidR="00DE470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var ierosināt </w:t>
      </w:r>
      <w:r w:rsidR="0054497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tulkojamā 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nomaiņu ar citu pēc apjoma līdzvērtīgu dokumentu</w:t>
      </w:r>
      <w:r w:rsidR="00F8503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AF85E40" w14:textId="77777777" w:rsidR="00F85039" w:rsidRPr="00A7415C" w:rsidRDefault="00F85039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F4852B" w14:textId="79D493AA" w:rsidR="00C415C8" w:rsidRPr="00A7415C" w:rsidRDefault="00C415C8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7061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Ja iestādei steidzami nepieciešami š</w:t>
      </w:r>
      <w:r w:rsidR="0000489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ajā 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instrukcij</w:t>
      </w:r>
      <w:r w:rsidR="0000489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dokumentu tulkojumi</w:t>
      </w:r>
      <w:r w:rsidR="0052016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0489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nav iekļauti </w:t>
      </w:r>
      <w:r w:rsidR="00E1035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vispār</w:t>
      </w:r>
      <w:r w:rsidR="00E10353">
        <w:rPr>
          <w:rFonts w:ascii="Times New Roman" w:eastAsia="Times New Roman" w:hAnsi="Times New Roman" w:cs="Times New Roman"/>
          <w:sz w:val="28"/>
          <w:szCs w:val="28"/>
          <w:lang w:eastAsia="lv-LV"/>
        </w:rPr>
        <w:t>īg</w:t>
      </w:r>
      <w:r w:rsidR="00E1035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00489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kārtībā apstiprināt</w:t>
      </w:r>
      <w:r w:rsidR="00E10353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00489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ā tulkoj</w:t>
      </w:r>
      <w:r w:rsidR="0054497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0489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4497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o dokumentu</w:t>
      </w:r>
      <w:r w:rsidR="0000489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sarakstā, 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uz centra oficiālo </w:t>
      </w:r>
      <w:r w:rsidR="00FD10E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elektronisko 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adresi</w:t>
      </w:r>
      <w:r w:rsidR="00EA260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B2069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centra </w:t>
      </w:r>
      <w:r w:rsidR="00FD10E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001F7E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lektro</w:t>
      </w:r>
      <w:r w:rsidR="00D462C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001F7E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isk</w:t>
      </w:r>
      <w:r w:rsidR="00B2069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FD10E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pasta</w:t>
      </w:r>
      <w:r w:rsidR="00D462C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A260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adresi</w:t>
      </w:r>
      <w:r w:rsidR="005A635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nosūta centram pieprasījumu</w:t>
      </w:r>
      <w:r w:rsidR="00B270B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98798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98798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atkarībā no </w:t>
      </w:r>
      <w:r w:rsidR="0054497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tulkojamā dokumenta veida</w:t>
      </w:r>
      <w:r w:rsidR="0098798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70B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noformējot to atbilstoši šī</w:t>
      </w:r>
      <w:r w:rsidR="00B37617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s instrukcijas 1. vai 2. </w:t>
      </w:r>
      <w:r w:rsidR="00B270B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pielikumam</w:t>
      </w:r>
      <w:r w:rsidR="0098798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B270B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17A7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70B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C17A7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irms </w:t>
      </w:r>
      <w:r w:rsidR="00B270B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starptautisko tiesību</w:t>
      </w:r>
      <w:r w:rsidR="00614207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aktu tulkojumu pieprasīšanas </w:t>
      </w:r>
      <w:r w:rsidR="00B270B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pārliecinās</w:t>
      </w:r>
      <w:r w:rsidR="00C17A7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 netiek pārkāpti </w:t>
      </w:r>
      <w:r w:rsidR="00F11D16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šīs instrukcijas </w:t>
      </w:r>
      <w:r w:rsidR="00C17A7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6. punktā minētie ierobežojumi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0489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Šajā instrukcijā minēto</w:t>
      </w:r>
      <w:r w:rsidR="00B270B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0489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200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dokumentus, kurus nepieciešams tulkot steidzami ārpus kārtas,</w:t>
      </w:r>
      <w:r w:rsidR="00B270B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uzskaites nodrošināšanai iekļauj </w:t>
      </w:r>
      <w:r w:rsidR="00BF14FC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Vecāko </w:t>
      </w:r>
      <w:r w:rsidR="00B270B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amatpersonu sanāksmes nākamā ceturkšņa vai pusgada apstiprinātajā tulkošanas plānā</w:t>
      </w:r>
      <w:r w:rsidR="00F5508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0489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Centrs vienojas ar iestādi par darba izpildes termiņu, ņemot vērā dokumenta apjomu un tā saskaņošanas, apstiprināšanas un parakstīšanas termiņus.</w:t>
      </w:r>
    </w:p>
    <w:p w14:paraId="06CA97B0" w14:textId="77777777" w:rsidR="00F85039" w:rsidRPr="00A7415C" w:rsidRDefault="00F85039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ACB6E6" w14:textId="50D3708A" w:rsidR="00C415C8" w:rsidRPr="00A7415C" w:rsidRDefault="00A70614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A6DA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var jebkurā laikā atsaukt </w:t>
      </w:r>
      <w:r w:rsidR="00BF14FC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tulkošanai apstiprinātā tiesību akta pieprasījumu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F57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iespējas ātrāk </w:t>
      </w:r>
      <w:r w:rsidR="00BD24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nosūtot </w:t>
      </w:r>
      <w:r w:rsidR="00670A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uz centra oficiālo e</w:t>
      </w:r>
      <w:r w:rsidR="00385877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lektronisko </w:t>
      </w:r>
      <w:r w:rsidR="00670A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adresi</w:t>
      </w:r>
      <w:r w:rsidR="00EA260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B2069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centra </w:t>
      </w:r>
      <w:r w:rsidR="00001F7E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</w:t>
      </w:r>
      <w:r w:rsidR="00B2069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85877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pasta </w:t>
      </w:r>
      <w:r w:rsidR="00EA2604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adresi</w:t>
      </w:r>
      <w:r w:rsidR="00BD242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drošu elektronisko parakstu parakstītu atsaukumu</w:t>
      </w:r>
      <w:r w:rsidR="00670A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AFACA96" w14:textId="77777777" w:rsidR="00F85039" w:rsidRPr="00A7415C" w:rsidRDefault="00F85039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40B90E" w14:textId="70F9124B" w:rsidR="00C415C8" w:rsidRPr="00A7415C" w:rsidRDefault="00F85039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</w:t>
      </w:r>
      <w:r w:rsidR="000B3BD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Dokumenta tulkojumu centrs nosūta iestādei</w:t>
      </w:r>
      <w:r w:rsidR="0063283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saskaņošanai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pieprasījumā norādīto e</w:t>
      </w:r>
      <w:r w:rsidR="003E661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lektroniskā 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pasta adresi, pievienojot terminu saskaņošanas tabulas veidlapu (</w:t>
      </w:r>
      <w:r w:rsidR="0059774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atkarībā no tulkošanas virziena 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šīs instrukcijas </w:t>
      </w:r>
      <w:r w:rsidR="001A4F0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vai </w:t>
      </w:r>
      <w:r w:rsidR="001A4F0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59774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pielikums). </w:t>
      </w:r>
      <w:r w:rsidR="00EA2604" w:rsidRPr="00A7415C">
        <w:rPr>
          <w:rFonts w:ascii="Times New Roman" w:hAnsi="Times New Roman" w:cs="Times New Roman"/>
          <w:sz w:val="28"/>
          <w:szCs w:val="28"/>
        </w:rPr>
        <w:t xml:space="preserve">Normatīvos aktus, kas nav tulkoti pēc konkrētas iestādes pieprasījuma, </w:t>
      </w:r>
      <w:proofErr w:type="gramStart"/>
      <w:r w:rsidR="00EA2604" w:rsidRPr="00A7415C">
        <w:rPr>
          <w:rFonts w:ascii="Times New Roman" w:hAnsi="Times New Roman" w:cs="Times New Roman"/>
          <w:sz w:val="28"/>
          <w:szCs w:val="28"/>
        </w:rPr>
        <w:t>bet</w:t>
      </w:r>
      <w:proofErr w:type="gramEnd"/>
      <w:r w:rsidR="00EA2604" w:rsidRPr="00A7415C">
        <w:rPr>
          <w:rFonts w:ascii="Times New Roman" w:hAnsi="Times New Roman" w:cs="Times New Roman"/>
          <w:sz w:val="28"/>
          <w:szCs w:val="28"/>
        </w:rPr>
        <w:t xml:space="preserve"> kuru darbības joma skar iestādes kompetenci, Valsts valodas centrs var nosūtīt saskaņošanai uz šīs iestādes </w:t>
      </w:r>
      <w:r w:rsidR="008457B8" w:rsidRPr="00A7415C">
        <w:rPr>
          <w:rFonts w:ascii="Times New Roman" w:hAnsi="Times New Roman" w:cs="Times New Roman"/>
          <w:sz w:val="28"/>
          <w:szCs w:val="28"/>
        </w:rPr>
        <w:t>kontaktpersonas</w:t>
      </w:r>
      <w:r w:rsidR="00EA2604" w:rsidRPr="00A7415C">
        <w:rPr>
          <w:rFonts w:ascii="Times New Roman" w:hAnsi="Times New Roman" w:cs="Times New Roman"/>
          <w:sz w:val="28"/>
          <w:szCs w:val="28"/>
        </w:rPr>
        <w:t xml:space="preserve"> e</w:t>
      </w:r>
      <w:r w:rsidR="00D32312" w:rsidRPr="00A7415C">
        <w:rPr>
          <w:rFonts w:ascii="Times New Roman" w:hAnsi="Times New Roman" w:cs="Times New Roman"/>
          <w:sz w:val="28"/>
          <w:szCs w:val="28"/>
        </w:rPr>
        <w:t xml:space="preserve">lektroniskā </w:t>
      </w:r>
      <w:r w:rsidR="00EA2604" w:rsidRPr="00A7415C">
        <w:rPr>
          <w:rFonts w:ascii="Times New Roman" w:hAnsi="Times New Roman" w:cs="Times New Roman"/>
          <w:sz w:val="28"/>
          <w:szCs w:val="28"/>
        </w:rPr>
        <w:t xml:space="preserve">pasta adresi. </w:t>
      </w:r>
      <w:r w:rsidR="67C762D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iestādes pieprasījuma </w:t>
      </w:r>
      <w:r w:rsidR="00E1035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centrs </w:t>
      </w:r>
      <w:r w:rsidR="3E430CB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eizi mēnesī informē iestād</w:t>
      </w:r>
      <w:r w:rsidR="008C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attiecīgajā laikposmā </w:t>
      </w:r>
      <w:r w:rsidR="0063283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iestādei 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nosūtītajiem dokumentu tulkojumiem</w:t>
      </w:r>
      <w:r w:rsidR="00E103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E1035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norād</w:t>
      </w:r>
      <w:r w:rsidR="00E1035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1035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personu, uz kuras e</w:t>
      </w:r>
      <w:r w:rsidR="00D3231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lektroniskā </w:t>
      </w:r>
      <w:r w:rsidR="2834F5E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pasta adresi tulkojums nosūtīts.</w:t>
      </w:r>
    </w:p>
    <w:p w14:paraId="4101652C" w14:textId="77777777" w:rsidR="005E723B" w:rsidRPr="00A7415C" w:rsidRDefault="005E723B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99056E" w14:textId="60F89EC8" w:rsidR="005E723B" w:rsidRPr="00A7415C" w:rsidRDefault="00B37617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Iestāde </w:t>
      </w:r>
      <w:r w:rsidR="00D74A2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(t</w:t>
      </w:r>
      <w:r w:rsidR="0022200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skaitā </w:t>
      </w:r>
      <w:r w:rsidR="00D74A2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neatkarīgā</w:t>
      </w:r>
      <w:r w:rsidR="0059774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74A2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iestāde</w:t>
      </w:r>
      <w:r w:rsidR="0059774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74A2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nav padota</w:t>
      </w:r>
      <w:r w:rsidR="0059774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74A25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Ministru kabinetam) 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mēneša laikā pēc dokumenta tulkojuma saņemšanas izskata to un </w:t>
      </w:r>
      <w:r w:rsidR="00BF14FC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centra kontaktpersonas </w:t>
      </w:r>
      <w:r w:rsidR="003E661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elektroniskā </w:t>
      </w:r>
      <w:r w:rsidR="00BF14FC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pasta adresi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2200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nosūta 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aizpildītu terminu saskaņošanas tabulu, ja dokumenta tulkojumā nepieciešams izdarīt labojumus vai precizējumus, vai nosūta dokumenta tulkojuma saskaņojumu</w:t>
      </w:r>
      <w:r w:rsidR="0009144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centra </w:t>
      </w:r>
      <w:r w:rsidR="00BF14FC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kontaktpersonas </w:t>
      </w:r>
      <w:r w:rsidR="0009144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3E6612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lektroniskā </w:t>
      </w:r>
      <w:r w:rsidR="0009144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pasta adresi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 Ja mēneša laikā pēc dokumenta tulkojuma saņemšanas iestāde nav sniegusi atbildi, uzskat</w:t>
      </w:r>
      <w:r w:rsidR="0022200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āms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, ka dokumenta tulkojums saskaņots bez iebildumiem un priekšlikumiem.</w:t>
      </w:r>
    </w:p>
    <w:p w14:paraId="589B1431" w14:textId="77777777" w:rsidR="00F85039" w:rsidRPr="00A7415C" w:rsidRDefault="00F85039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D195BF" w14:textId="6C5FF76F" w:rsidR="00C415C8" w:rsidRPr="00A7415C" w:rsidRDefault="00B37617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Ja iestādei nepieciešams garāks termiņš, lai izskatītu dokumenta tulkojumu un sagatavotu terminu saskaņošanas tabulu, iestāde par to informē centr</w:t>
      </w:r>
      <w:r w:rsidR="00BF14FC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 kontaktpersonu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divu nedēļu laikā pēc dokumenta tulkojuma saņemšanas.</w:t>
      </w:r>
    </w:p>
    <w:p w14:paraId="0C08B0DD" w14:textId="77777777" w:rsidR="00F85039" w:rsidRPr="00A7415C" w:rsidRDefault="00F85039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B0C209" w14:textId="0EA2D506" w:rsidR="00C415C8" w:rsidRPr="00A7415C" w:rsidRDefault="001A4F08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37617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Ja dokumenta tulkojuma izskatīšanā ir iesaistīt</w:t>
      </w:r>
      <w:r w:rsidR="0022200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vairāk</w:t>
      </w:r>
      <w:r w:rsidR="0022200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iestādes </w:t>
      </w:r>
      <w:r w:rsidR="00222001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(tai skaitā padotības iestāžu)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darbinieki, viņi savstarpēji saskaņo viedokļus un iestāde nosūta centram vienotu terminu saskaņošanas tabulu.</w:t>
      </w:r>
    </w:p>
    <w:p w14:paraId="4DDBEF00" w14:textId="77777777" w:rsidR="005E723B" w:rsidRPr="00A7415C" w:rsidRDefault="005E723B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ACE5CA" w14:textId="2E8EDAE5" w:rsidR="00F85039" w:rsidRPr="00A7415C" w:rsidRDefault="0EE0CB38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37617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pēc dokumenta tulkojuma saskaņošanas procesa beigām tulkojumā tiek konstatēta kļūda, informāciju par </w:t>
      </w:r>
      <w:r w:rsidR="00B9126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nepieciešamajiem 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labojumiem</w:t>
      </w:r>
      <w:r w:rsidR="00B9126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035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</w:t>
      </w:r>
      <w:r w:rsidR="00E1035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1035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9126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uz centra oficiālo e</w:t>
      </w:r>
      <w:r w:rsidR="0004086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lektronisko</w:t>
      </w:r>
      <w:r w:rsidR="00B9126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adresi</w:t>
      </w:r>
      <w:r w:rsidR="00A66D9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04086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069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centra </w:t>
      </w:r>
      <w:r w:rsidR="00001F7E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elektronisk</w:t>
      </w:r>
      <w:r w:rsidR="00B2069A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4086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pasta </w:t>
      </w:r>
      <w:r w:rsidR="00A66D90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adresi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461D779" w14:textId="77777777" w:rsidR="005E723B" w:rsidRPr="00A7415C" w:rsidRDefault="005E723B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CE0A41" w14:textId="23975125" w:rsidR="005E723B" w:rsidRPr="00A7415C" w:rsidRDefault="7759A519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37617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4C89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Visus saskaņotos dokumentu tulkojumus</w:t>
      </w:r>
      <w:proofErr w:type="gramEnd"/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izņemot oficiālajā izdevumā </w:t>
      </w:r>
      <w:r w:rsidR="001D072D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"Latvijas Vēstnesis" </w:t>
      </w:r>
      <w:r w:rsidR="00C415C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publicētos starptautiskos līgumus, publisko centra tīmekļvietnē, ja tiem nav noteikts ierobežotas pieejamības statuss.</w:t>
      </w:r>
      <w:r w:rsidR="00CD0AF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Centrs oficiāl</w:t>
      </w:r>
      <w:r w:rsidR="001D072D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CD0AF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izdev</w:t>
      </w:r>
      <w:r w:rsidR="001D072D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uma</w:t>
      </w:r>
      <w:r w:rsidR="00CD0AF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3F8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D0AF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163F88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D072D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izdevējam</w:t>
      </w:r>
      <w:r w:rsidR="00CD0AF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sniedz piekļuvi Latvijas Republikas tiesību aktu tulkojumiem, lai nodrošinātu šo tulkojumu pieejamību tīmekļvietnē </w:t>
      </w:r>
      <w:hyperlink r:id="rId8" w:history="1">
        <w:r w:rsidR="00CB78AF" w:rsidRPr="00892973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www.likumi.lv</w:t>
        </w:r>
      </w:hyperlink>
      <w:r w:rsidR="00CD0AF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C090FAD" w14:textId="5778220D" w:rsidR="00CB78AF" w:rsidRPr="00A7415C" w:rsidRDefault="00CB78AF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DCFD06" w14:textId="77777777" w:rsidR="00A7415C" w:rsidRDefault="00A7415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 w:type="page"/>
      </w:r>
    </w:p>
    <w:p w14:paraId="36BF30C1" w14:textId="71620169" w:rsidR="00501360" w:rsidRPr="00A7415C" w:rsidRDefault="00501360" w:rsidP="00A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V. Noslēguma jautājums</w:t>
      </w:r>
    </w:p>
    <w:p w14:paraId="1C3A6512" w14:textId="77777777" w:rsidR="00501360" w:rsidRPr="00A7415C" w:rsidRDefault="00501360" w:rsidP="00A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ACBFCC" w14:textId="7F10C038" w:rsidR="00CB78AF" w:rsidRPr="00A7415C" w:rsidRDefault="00B37617" w:rsidP="00A741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E10353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103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78AF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zaudējušu Ministru kabineta 2014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B78AF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CB78AF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jūlija 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instrukciju Nr. </w:t>
      </w:r>
      <w:r w:rsidR="00CB78AF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3 "Tulkojumu pieprasīšanas un nodrošināšanas kārtība" (Latvijas Vēstnesis, 2014, 149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B78AF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B9126B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; 2019, 87. nr.</w:t>
      </w:r>
      <w:r w:rsidR="00CB78AF"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5F527A63" w14:textId="77777777" w:rsidR="00A7415C" w:rsidRDefault="00A7415C" w:rsidP="00A7415C">
      <w:pPr>
        <w:pStyle w:val="Header"/>
        <w:tabs>
          <w:tab w:val="clear" w:pos="4680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3E3ADF7" w14:textId="77777777" w:rsidR="00A7415C" w:rsidRPr="00A7415C" w:rsidRDefault="00A7415C" w:rsidP="00A7415C">
      <w:pPr>
        <w:pStyle w:val="Header"/>
        <w:tabs>
          <w:tab w:val="clear" w:pos="4680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7A2E161B" w14:textId="77777777" w:rsidR="00A7415C" w:rsidRPr="00A7415C" w:rsidRDefault="00A7415C" w:rsidP="00A7415C">
      <w:pPr>
        <w:pStyle w:val="Header"/>
        <w:tabs>
          <w:tab w:val="clear" w:pos="4680"/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55130A76" w14:textId="77777777" w:rsidR="00A7415C" w:rsidRPr="00A7415C" w:rsidRDefault="00A7415C" w:rsidP="00892973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15C">
        <w:rPr>
          <w:rFonts w:ascii="Times New Roman" w:hAnsi="Times New Roman" w:cs="Times New Roman"/>
          <w:sz w:val="28"/>
          <w:szCs w:val="28"/>
        </w:rPr>
        <w:t>Ministru prezidents</w:t>
      </w:r>
      <w:r w:rsidRPr="00A7415C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685260F" w14:textId="77777777" w:rsidR="00A7415C" w:rsidRPr="00A7415C" w:rsidRDefault="00A7415C" w:rsidP="00A7415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D11FB72" w14:textId="77777777" w:rsidR="00A7415C" w:rsidRPr="00A7415C" w:rsidRDefault="00A7415C" w:rsidP="00A7415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5E810C4" w14:textId="77777777" w:rsidR="00A7415C" w:rsidRPr="00A7415C" w:rsidRDefault="00A7415C" w:rsidP="00A7415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48D0112" w14:textId="77777777" w:rsidR="00A7415C" w:rsidRPr="00A7415C" w:rsidRDefault="00A7415C" w:rsidP="00A741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006ED8D3" w14:textId="77777777" w:rsidR="00A7415C" w:rsidRPr="00A7415C" w:rsidRDefault="00A7415C" w:rsidP="00892973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A7415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 Bordāns</w:t>
      </w:r>
    </w:p>
    <w:sectPr w:rsidR="00A7415C" w:rsidRPr="00A7415C" w:rsidSect="00A741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BA713" w14:textId="77777777" w:rsidR="00B83B3C" w:rsidRDefault="00B83B3C">
      <w:pPr>
        <w:spacing w:after="0" w:line="240" w:lineRule="auto"/>
      </w:pPr>
      <w:r>
        <w:separator/>
      </w:r>
    </w:p>
  </w:endnote>
  <w:endnote w:type="continuationSeparator" w:id="0">
    <w:p w14:paraId="57142871" w14:textId="77777777" w:rsidR="00B83B3C" w:rsidRDefault="00B8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1407F" w14:textId="77777777" w:rsidR="00A7415C" w:rsidRPr="00A7415C" w:rsidRDefault="00A7415C" w:rsidP="00A7415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S0502_1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98E1" w14:textId="55D3461A" w:rsidR="00A7415C" w:rsidRPr="00A7415C" w:rsidRDefault="00A7415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S0502_1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0D82" w14:textId="77777777" w:rsidR="00B83B3C" w:rsidRDefault="00B83B3C">
      <w:pPr>
        <w:spacing w:after="0" w:line="240" w:lineRule="auto"/>
      </w:pPr>
      <w:r>
        <w:separator/>
      </w:r>
    </w:p>
  </w:footnote>
  <w:footnote w:type="continuationSeparator" w:id="0">
    <w:p w14:paraId="53DC1FE0" w14:textId="77777777" w:rsidR="00B83B3C" w:rsidRDefault="00B8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793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3F18DC" w14:textId="7AFA6D1C" w:rsidR="00460D14" w:rsidRPr="00A7415C" w:rsidRDefault="00460D1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1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1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41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1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41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EE83" w14:textId="476F9E59" w:rsidR="00577DFB" w:rsidRPr="00A7415C" w:rsidRDefault="00577DFB" w:rsidP="00A7415C">
    <w:pPr>
      <w:pStyle w:val="Header"/>
      <w:rPr>
        <w:rFonts w:ascii="Times New Roman" w:hAnsi="Times New Roman" w:cs="Times New Roman"/>
        <w:sz w:val="24"/>
        <w:szCs w:val="24"/>
      </w:rPr>
    </w:pPr>
  </w:p>
  <w:p w14:paraId="0A80B294" w14:textId="77777777" w:rsidR="00A7415C" w:rsidRDefault="00A7415C" w:rsidP="00A7415C">
    <w:pPr>
      <w:pStyle w:val="Header"/>
    </w:pPr>
    <w:r>
      <w:rPr>
        <w:noProof/>
        <w:lang w:eastAsia="lv-LV"/>
      </w:rPr>
      <w:drawing>
        <wp:inline distT="0" distB="0" distL="0" distR="0" wp14:anchorId="064F8314" wp14:editId="3364494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A7C"/>
    <w:multiLevelType w:val="hybridMultilevel"/>
    <w:tmpl w:val="25267596"/>
    <w:lvl w:ilvl="0" w:tplc="6A6C1D78">
      <w:start w:val="1"/>
      <w:numFmt w:val="decimal"/>
      <w:lvlText w:val="%1."/>
      <w:lvlJc w:val="left"/>
      <w:pPr>
        <w:ind w:left="720" w:hanging="360"/>
      </w:pPr>
    </w:lvl>
    <w:lvl w:ilvl="1" w:tplc="EB082FE0">
      <w:start w:val="1"/>
      <w:numFmt w:val="lowerLetter"/>
      <w:lvlText w:val="%2."/>
      <w:lvlJc w:val="left"/>
      <w:pPr>
        <w:ind w:left="1440" w:hanging="360"/>
      </w:pPr>
    </w:lvl>
    <w:lvl w:ilvl="2" w:tplc="FA8ED886">
      <w:start w:val="1"/>
      <w:numFmt w:val="lowerRoman"/>
      <w:lvlText w:val="%3."/>
      <w:lvlJc w:val="right"/>
      <w:pPr>
        <w:ind w:left="2160" w:hanging="180"/>
      </w:pPr>
    </w:lvl>
    <w:lvl w:ilvl="3" w:tplc="1700E090">
      <w:start w:val="1"/>
      <w:numFmt w:val="decimal"/>
      <w:lvlText w:val="%4."/>
      <w:lvlJc w:val="left"/>
      <w:pPr>
        <w:ind w:left="2880" w:hanging="360"/>
      </w:pPr>
    </w:lvl>
    <w:lvl w:ilvl="4" w:tplc="A4DAD5F6">
      <w:start w:val="1"/>
      <w:numFmt w:val="lowerLetter"/>
      <w:lvlText w:val="%5."/>
      <w:lvlJc w:val="left"/>
      <w:pPr>
        <w:ind w:left="3600" w:hanging="360"/>
      </w:pPr>
    </w:lvl>
    <w:lvl w:ilvl="5" w:tplc="FBE2CF52">
      <w:start w:val="1"/>
      <w:numFmt w:val="lowerRoman"/>
      <w:lvlText w:val="%6."/>
      <w:lvlJc w:val="right"/>
      <w:pPr>
        <w:ind w:left="4320" w:hanging="180"/>
      </w:pPr>
    </w:lvl>
    <w:lvl w:ilvl="6" w:tplc="1F06A882">
      <w:start w:val="1"/>
      <w:numFmt w:val="decimal"/>
      <w:lvlText w:val="%7."/>
      <w:lvlJc w:val="left"/>
      <w:pPr>
        <w:ind w:left="5040" w:hanging="360"/>
      </w:pPr>
    </w:lvl>
    <w:lvl w:ilvl="7" w:tplc="29AADE3E">
      <w:start w:val="1"/>
      <w:numFmt w:val="lowerLetter"/>
      <w:lvlText w:val="%8."/>
      <w:lvlJc w:val="left"/>
      <w:pPr>
        <w:ind w:left="5760" w:hanging="360"/>
      </w:pPr>
    </w:lvl>
    <w:lvl w:ilvl="8" w:tplc="A350AF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C8"/>
    <w:rsid w:val="000006A6"/>
    <w:rsid w:val="00000B95"/>
    <w:rsid w:val="00001F7E"/>
    <w:rsid w:val="00004895"/>
    <w:rsid w:val="0001212D"/>
    <w:rsid w:val="0001630A"/>
    <w:rsid w:val="0002225D"/>
    <w:rsid w:val="00032D78"/>
    <w:rsid w:val="00040869"/>
    <w:rsid w:val="00050131"/>
    <w:rsid w:val="0005440E"/>
    <w:rsid w:val="000563D1"/>
    <w:rsid w:val="00064684"/>
    <w:rsid w:val="000647DB"/>
    <w:rsid w:val="000678A8"/>
    <w:rsid w:val="00070467"/>
    <w:rsid w:val="000711CE"/>
    <w:rsid w:val="00072072"/>
    <w:rsid w:val="00074557"/>
    <w:rsid w:val="00084AC3"/>
    <w:rsid w:val="0009144B"/>
    <w:rsid w:val="000A0441"/>
    <w:rsid w:val="000B3BDB"/>
    <w:rsid w:val="000B5422"/>
    <w:rsid w:val="000C4E3C"/>
    <w:rsid w:val="000E0BF9"/>
    <w:rsid w:val="000E0F51"/>
    <w:rsid w:val="000E77FB"/>
    <w:rsid w:val="000F42C1"/>
    <w:rsid w:val="0010121C"/>
    <w:rsid w:val="00145DCA"/>
    <w:rsid w:val="0015544A"/>
    <w:rsid w:val="00163F88"/>
    <w:rsid w:val="00182687"/>
    <w:rsid w:val="00191417"/>
    <w:rsid w:val="00192F4E"/>
    <w:rsid w:val="001945BD"/>
    <w:rsid w:val="00196D83"/>
    <w:rsid w:val="001A37ED"/>
    <w:rsid w:val="001A3924"/>
    <w:rsid w:val="001A4F08"/>
    <w:rsid w:val="001B3566"/>
    <w:rsid w:val="001B3D5C"/>
    <w:rsid w:val="001C2ED4"/>
    <w:rsid w:val="001D072D"/>
    <w:rsid w:val="001D35CC"/>
    <w:rsid w:val="001D5AE3"/>
    <w:rsid w:val="001E19BA"/>
    <w:rsid w:val="001E3405"/>
    <w:rsid w:val="001E701F"/>
    <w:rsid w:val="001E78D7"/>
    <w:rsid w:val="001F0B76"/>
    <w:rsid w:val="001F36D5"/>
    <w:rsid w:val="00200EA2"/>
    <w:rsid w:val="00222001"/>
    <w:rsid w:val="0023263E"/>
    <w:rsid w:val="002326EA"/>
    <w:rsid w:val="0023291F"/>
    <w:rsid w:val="00233834"/>
    <w:rsid w:val="002465D1"/>
    <w:rsid w:val="00272FE2"/>
    <w:rsid w:val="002809DB"/>
    <w:rsid w:val="00286666"/>
    <w:rsid w:val="00294DAE"/>
    <w:rsid w:val="00296A52"/>
    <w:rsid w:val="002A5EA5"/>
    <w:rsid w:val="002C2EB2"/>
    <w:rsid w:val="002C6A96"/>
    <w:rsid w:val="002C7AA9"/>
    <w:rsid w:val="002D0487"/>
    <w:rsid w:val="002D6783"/>
    <w:rsid w:val="002E2867"/>
    <w:rsid w:val="002E648D"/>
    <w:rsid w:val="002F0D92"/>
    <w:rsid w:val="002F450E"/>
    <w:rsid w:val="002F7FE1"/>
    <w:rsid w:val="00304151"/>
    <w:rsid w:val="00323E24"/>
    <w:rsid w:val="003360D9"/>
    <w:rsid w:val="00344BCA"/>
    <w:rsid w:val="00352EE3"/>
    <w:rsid w:val="0036091A"/>
    <w:rsid w:val="0038419F"/>
    <w:rsid w:val="00385877"/>
    <w:rsid w:val="00396662"/>
    <w:rsid w:val="003973A8"/>
    <w:rsid w:val="003A114C"/>
    <w:rsid w:val="003B2DCE"/>
    <w:rsid w:val="003B3247"/>
    <w:rsid w:val="003C1569"/>
    <w:rsid w:val="003C4C7A"/>
    <w:rsid w:val="003C4F82"/>
    <w:rsid w:val="003C7F90"/>
    <w:rsid w:val="003E0054"/>
    <w:rsid w:val="003E244C"/>
    <w:rsid w:val="003E2DBB"/>
    <w:rsid w:val="003E4193"/>
    <w:rsid w:val="003E6612"/>
    <w:rsid w:val="003F2000"/>
    <w:rsid w:val="004030CF"/>
    <w:rsid w:val="0041656C"/>
    <w:rsid w:val="00432182"/>
    <w:rsid w:val="004476DE"/>
    <w:rsid w:val="0045556A"/>
    <w:rsid w:val="00460D14"/>
    <w:rsid w:val="00476175"/>
    <w:rsid w:val="004800F6"/>
    <w:rsid w:val="004856AF"/>
    <w:rsid w:val="00495C16"/>
    <w:rsid w:val="004A1B0A"/>
    <w:rsid w:val="004A3B12"/>
    <w:rsid w:val="004A41AC"/>
    <w:rsid w:val="004B3357"/>
    <w:rsid w:val="004B4694"/>
    <w:rsid w:val="004B5A2D"/>
    <w:rsid w:val="004C130F"/>
    <w:rsid w:val="004C28DE"/>
    <w:rsid w:val="004C78DF"/>
    <w:rsid w:val="004D5F16"/>
    <w:rsid w:val="004E1395"/>
    <w:rsid w:val="004E5B2B"/>
    <w:rsid w:val="004E673F"/>
    <w:rsid w:val="00501360"/>
    <w:rsid w:val="005025D5"/>
    <w:rsid w:val="00504380"/>
    <w:rsid w:val="0050510F"/>
    <w:rsid w:val="005107E1"/>
    <w:rsid w:val="005143A0"/>
    <w:rsid w:val="00516793"/>
    <w:rsid w:val="0052016B"/>
    <w:rsid w:val="00525F2C"/>
    <w:rsid w:val="00530540"/>
    <w:rsid w:val="00535A1B"/>
    <w:rsid w:val="00544970"/>
    <w:rsid w:val="005560A4"/>
    <w:rsid w:val="00556735"/>
    <w:rsid w:val="00570597"/>
    <w:rsid w:val="00577DFB"/>
    <w:rsid w:val="00595AE0"/>
    <w:rsid w:val="0059706F"/>
    <w:rsid w:val="0059774B"/>
    <w:rsid w:val="005A635B"/>
    <w:rsid w:val="005B0F3B"/>
    <w:rsid w:val="005C7217"/>
    <w:rsid w:val="005D0B9E"/>
    <w:rsid w:val="005E1229"/>
    <w:rsid w:val="005E5253"/>
    <w:rsid w:val="005E723B"/>
    <w:rsid w:val="006033DB"/>
    <w:rsid w:val="00607D08"/>
    <w:rsid w:val="00610232"/>
    <w:rsid w:val="006123D7"/>
    <w:rsid w:val="0061260D"/>
    <w:rsid w:val="00613D3A"/>
    <w:rsid w:val="00614207"/>
    <w:rsid w:val="00627E07"/>
    <w:rsid w:val="006319F1"/>
    <w:rsid w:val="00632839"/>
    <w:rsid w:val="00637BFF"/>
    <w:rsid w:val="00642390"/>
    <w:rsid w:val="00655BCD"/>
    <w:rsid w:val="006657C4"/>
    <w:rsid w:val="00670A89"/>
    <w:rsid w:val="00681A35"/>
    <w:rsid w:val="00685477"/>
    <w:rsid w:val="00694A0E"/>
    <w:rsid w:val="0069511A"/>
    <w:rsid w:val="006B4959"/>
    <w:rsid w:val="006B7214"/>
    <w:rsid w:val="006D2A64"/>
    <w:rsid w:val="006D4D26"/>
    <w:rsid w:val="006D759B"/>
    <w:rsid w:val="006F6CD0"/>
    <w:rsid w:val="0070011B"/>
    <w:rsid w:val="00711091"/>
    <w:rsid w:val="007308EA"/>
    <w:rsid w:val="007379AB"/>
    <w:rsid w:val="007465E5"/>
    <w:rsid w:val="00754137"/>
    <w:rsid w:val="00756A5F"/>
    <w:rsid w:val="007600B2"/>
    <w:rsid w:val="007723EB"/>
    <w:rsid w:val="00784C89"/>
    <w:rsid w:val="0079208A"/>
    <w:rsid w:val="007935C1"/>
    <w:rsid w:val="007A4A2C"/>
    <w:rsid w:val="007A4B99"/>
    <w:rsid w:val="007A7781"/>
    <w:rsid w:val="007B5F8B"/>
    <w:rsid w:val="007C2E5E"/>
    <w:rsid w:val="007C7226"/>
    <w:rsid w:val="007C74DB"/>
    <w:rsid w:val="007E1C36"/>
    <w:rsid w:val="007F354C"/>
    <w:rsid w:val="007F5305"/>
    <w:rsid w:val="00802B7D"/>
    <w:rsid w:val="008031A1"/>
    <w:rsid w:val="00815EBA"/>
    <w:rsid w:val="00823F3E"/>
    <w:rsid w:val="00826577"/>
    <w:rsid w:val="00832CC7"/>
    <w:rsid w:val="008457B8"/>
    <w:rsid w:val="008514C9"/>
    <w:rsid w:val="008515C9"/>
    <w:rsid w:val="0085161C"/>
    <w:rsid w:val="008531EC"/>
    <w:rsid w:val="0086505A"/>
    <w:rsid w:val="00881B4A"/>
    <w:rsid w:val="008849D8"/>
    <w:rsid w:val="00892973"/>
    <w:rsid w:val="008A21B9"/>
    <w:rsid w:val="008A7809"/>
    <w:rsid w:val="008B77A7"/>
    <w:rsid w:val="008B7AED"/>
    <w:rsid w:val="008C15C8"/>
    <w:rsid w:val="008C1816"/>
    <w:rsid w:val="008C3294"/>
    <w:rsid w:val="008C3F9B"/>
    <w:rsid w:val="008C7425"/>
    <w:rsid w:val="008D4821"/>
    <w:rsid w:val="008F39B3"/>
    <w:rsid w:val="008F4E9B"/>
    <w:rsid w:val="00914B9C"/>
    <w:rsid w:val="00915007"/>
    <w:rsid w:val="00924108"/>
    <w:rsid w:val="00934251"/>
    <w:rsid w:val="00937C0E"/>
    <w:rsid w:val="0094062D"/>
    <w:rsid w:val="00976834"/>
    <w:rsid w:val="00977474"/>
    <w:rsid w:val="00982A13"/>
    <w:rsid w:val="00987985"/>
    <w:rsid w:val="00990666"/>
    <w:rsid w:val="009A129F"/>
    <w:rsid w:val="009A27BD"/>
    <w:rsid w:val="009A64A9"/>
    <w:rsid w:val="009B63B5"/>
    <w:rsid w:val="009E12B1"/>
    <w:rsid w:val="009E4509"/>
    <w:rsid w:val="009E6A83"/>
    <w:rsid w:val="009F0DFE"/>
    <w:rsid w:val="009F0E47"/>
    <w:rsid w:val="00A018F3"/>
    <w:rsid w:val="00A06905"/>
    <w:rsid w:val="00A06AD6"/>
    <w:rsid w:val="00A0778B"/>
    <w:rsid w:val="00A1107F"/>
    <w:rsid w:val="00A113DC"/>
    <w:rsid w:val="00A36DEB"/>
    <w:rsid w:val="00A41D2A"/>
    <w:rsid w:val="00A66D90"/>
    <w:rsid w:val="00A677F2"/>
    <w:rsid w:val="00A70614"/>
    <w:rsid w:val="00A7415C"/>
    <w:rsid w:val="00A84A86"/>
    <w:rsid w:val="00A92C7E"/>
    <w:rsid w:val="00A94BF8"/>
    <w:rsid w:val="00AA1136"/>
    <w:rsid w:val="00AA18D3"/>
    <w:rsid w:val="00AA6DA2"/>
    <w:rsid w:val="00AE1B7D"/>
    <w:rsid w:val="00AE6069"/>
    <w:rsid w:val="00AF1ABA"/>
    <w:rsid w:val="00AF20D4"/>
    <w:rsid w:val="00AF2DA1"/>
    <w:rsid w:val="00AF5AC7"/>
    <w:rsid w:val="00B002DC"/>
    <w:rsid w:val="00B155FD"/>
    <w:rsid w:val="00B2069A"/>
    <w:rsid w:val="00B25FB4"/>
    <w:rsid w:val="00B270B3"/>
    <w:rsid w:val="00B3632A"/>
    <w:rsid w:val="00B371AE"/>
    <w:rsid w:val="00B37617"/>
    <w:rsid w:val="00B60E40"/>
    <w:rsid w:val="00B60EC0"/>
    <w:rsid w:val="00B70173"/>
    <w:rsid w:val="00B7109F"/>
    <w:rsid w:val="00B811AA"/>
    <w:rsid w:val="00B83B3C"/>
    <w:rsid w:val="00B87F10"/>
    <w:rsid w:val="00B91141"/>
    <w:rsid w:val="00B9126B"/>
    <w:rsid w:val="00B91798"/>
    <w:rsid w:val="00B94BFA"/>
    <w:rsid w:val="00BC3683"/>
    <w:rsid w:val="00BC562F"/>
    <w:rsid w:val="00BC75FC"/>
    <w:rsid w:val="00BD2421"/>
    <w:rsid w:val="00BD4611"/>
    <w:rsid w:val="00BD63A3"/>
    <w:rsid w:val="00BE2D62"/>
    <w:rsid w:val="00BE3445"/>
    <w:rsid w:val="00BE75C7"/>
    <w:rsid w:val="00BF14FC"/>
    <w:rsid w:val="00BF36E5"/>
    <w:rsid w:val="00BF573E"/>
    <w:rsid w:val="00C00E9A"/>
    <w:rsid w:val="00C07C9A"/>
    <w:rsid w:val="00C1724E"/>
    <w:rsid w:val="00C17A78"/>
    <w:rsid w:val="00C22383"/>
    <w:rsid w:val="00C415C8"/>
    <w:rsid w:val="00C77068"/>
    <w:rsid w:val="00C808FB"/>
    <w:rsid w:val="00C82267"/>
    <w:rsid w:val="00C83140"/>
    <w:rsid w:val="00C90527"/>
    <w:rsid w:val="00C9353B"/>
    <w:rsid w:val="00C93A22"/>
    <w:rsid w:val="00CA20B3"/>
    <w:rsid w:val="00CB78AF"/>
    <w:rsid w:val="00CC086D"/>
    <w:rsid w:val="00CC3F79"/>
    <w:rsid w:val="00CC78C5"/>
    <w:rsid w:val="00CD0AF3"/>
    <w:rsid w:val="00CD476D"/>
    <w:rsid w:val="00CE2D62"/>
    <w:rsid w:val="00CE61DD"/>
    <w:rsid w:val="00D06954"/>
    <w:rsid w:val="00D21573"/>
    <w:rsid w:val="00D25280"/>
    <w:rsid w:val="00D32312"/>
    <w:rsid w:val="00D4231D"/>
    <w:rsid w:val="00D430DA"/>
    <w:rsid w:val="00D462C4"/>
    <w:rsid w:val="00D611E6"/>
    <w:rsid w:val="00D6459D"/>
    <w:rsid w:val="00D7083B"/>
    <w:rsid w:val="00D7296A"/>
    <w:rsid w:val="00D7429D"/>
    <w:rsid w:val="00D74A25"/>
    <w:rsid w:val="00D914F7"/>
    <w:rsid w:val="00DA0E9A"/>
    <w:rsid w:val="00DA7B15"/>
    <w:rsid w:val="00DB7995"/>
    <w:rsid w:val="00DD0F21"/>
    <w:rsid w:val="00DD74DD"/>
    <w:rsid w:val="00DE470A"/>
    <w:rsid w:val="00DF08AF"/>
    <w:rsid w:val="00DF0FF1"/>
    <w:rsid w:val="00DF4D4B"/>
    <w:rsid w:val="00E01DCD"/>
    <w:rsid w:val="00E037C7"/>
    <w:rsid w:val="00E10353"/>
    <w:rsid w:val="00E11698"/>
    <w:rsid w:val="00E17DE3"/>
    <w:rsid w:val="00E2114D"/>
    <w:rsid w:val="00E2693B"/>
    <w:rsid w:val="00E26C00"/>
    <w:rsid w:val="00E37B16"/>
    <w:rsid w:val="00E45091"/>
    <w:rsid w:val="00E47ABF"/>
    <w:rsid w:val="00E508AB"/>
    <w:rsid w:val="00E536E0"/>
    <w:rsid w:val="00E546EF"/>
    <w:rsid w:val="00E55FB4"/>
    <w:rsid w:val="00E7688D"/>
    <w:rsid w:val="00E842D2"/>
    <w:rsid w:val="00E859D2"/>
    <w:rsid w:val="00E90463"/>
    <w:rsid w:val="00E90E82"/>
    <w:rsid w:val="00E92CE5"/>
    <w:rsid w:val="00E95B31"/>
    <w:rsid w:val="00E9608A"/>
    <w:rsid w:val="00EA2604"/>
    <w:rsid w:val="00EB6FB3"/>
    <w:rsid w:val="00EC0F40"/>
    <w:rsid w:val="00EC3984"/>
    <w:rsid w:val="00EC5FAA"/>
    <w:rsid w:val="00ED01DC"/>
    <w:rsid w:val="00EE32D8"/>
    <w:rsid w:val="00EF4240"/>
    <w:rsid w:val="00EF480F"/>
    <w:rsid w:val="00EF650F"/>
    <w:rsid w:val="00F019F6"/>
    <w:rsid w:val="00F11D16"/>
    <w:rsid w:val="00F132C7"/>
    <w:rsid w:val="00F26101"/>
    <w:rsid w:val="00F2610B"/>
    <w:rsid w:val="00F3440B"/>
    <w:rsid w:val="00F36320"/>
    <w:rsid w:val="00F4728B"/>
    <w:rsid w:val="00F51BC5"/>
    <w:rsid w:val="00F537F0"/>
    <w:rsid w:val="00F55082"/>
    <w:rsid w:val="00F579CF"/>
    <w:rsid w:val="00F644B8"/>
    <w:rsid w:val="00F66908"/>
    <w:rsid w:val="00F70363"/>
    <w:rsid w:val="00F739BF"/>
    <w:rsid w:val="00F84F99"/>
    <w:rsid w:val="00F85039"/>
    <w:rsid w:val="00F911A9"/>
    <w:rsid w:val="00F93EB7"/>
    <w:rsid w:val="00F94564"/>
    <w:rsid w:val="00F95C8D"/>
    <w:rsid w:val="00FB4FC8"/>
    <w:rsid w:val="00FB59EC"/>
    <w:rsid w:val="00FB71E5"/>
    <w:rsid w:val="00FC52B9"/>
    <w:rsid w:val="00FD10E2"/>
    <w:rsid w:val="00FD45BD"/>
    <w:rsid w:val="00FF5AEB"/>
    <w:rsid w:val="00FF63DC"/>
    <w:rsid w:val="00FF7F66"/>
    <w:rsid w:val="02E25642"/>
    <w:rsid w:val="0328BD38"/>
    <w:rsid w:val="035DEBAF"/>
    <w:rsid w:val="04F149F6"/>
    <w:rsid w:val="05C3F9B3"/>
    <w:rsid w:val="0623A757"/>
    <w:rsid w:val="0671DA3B"/>
    <w:rsid w:val="06A4DFAD"/>
    <w:rsid w:val="06D18849"/>
    <w:rsid w:val="0738AF00"/>
    <w:rsid w:val="0866E856"/>
    <w:rsid w:val="08751BFF"/>
    <w:rsid w:val="087C3659"/>
    <w:rsid w:val="09C5EB44"/>
    <w:rsid w:val="09F10376"/>
    <w:rsid w:val="0A507C07"/>
    <w:rsid w:val="0DB06FCB"/>
    <w:rsid w:val="0ECAAF2B"/>
    <w:rsid w:val="0EE0CB38"/>
    <w:rsid w:val="0F5F39BF"/>
    <w:rsid w:val="0FDE0982"/>
    <w:rsid w:val="100D7C6D"/>
    <w:rsid w:val="10112A47"/>
    <w:rsid w:val="11206449"/>
    <w:rsid w:val="11404624"/>
    <w:rsid w:val="11405EAD"/>
    <w:rsid w:val="11452D3F"/>
    <w:rsid w:val="1165D817"/>
    <w:rsid w:val="12A63F0E"/>
    <w:rsid w:val="13D80CE4"/>
    <w:rsid w:val="147DFE29"/>
    <w:rsid w:val="14C71056"/>
    <w:rsid w:val="14DA9EBA"/>
    <w:rsid w:val="15A9A4C9"/>
    <w:rsid w:val="16857A52"/>
    <w:rsid w:val="16F911E7"/>
    <w:rsid w:val="179996C8"/>
    <w:rsid w:val="17C719F9"/>
    <w:rsid w:val="186314B3"/>
    <w:rsid w:val="186985BB"/>
    <w:rsid w:val="18C5A65D"/>
    <w:rsid w:val="1A4C3DF7"/>
    <w:rsid w:val="1A57A1FA"/>
    <w:rsid w:val="1AFD6ABB"/>
    <w:rsid w:val="1BD1769C"/>
    <w:rsid w:val="1BEA43C5"/>
    <w:rsid w:val="1C0C2F4D"/>
    <w:rsid w:val="1C5467C0"/>
    <w:rsid w:val="1EBEA16F"/>
    <w:rsid w:val="1F22808C"/>
    <w:rsid w:val="1F3994F6"/>
    <w:rsid w:val="1FF8B938"/>
    <w:rsid w:val="2047D3E5"/>
    <w:rsid w:val="20D3650C"/>
    <w:rsid w:val="2156488C"/>
    <w:rsid w:val="2221DCD2"/>
    <w:rsid w:val="2282924F"/>
    <w:rsid w:val="229B5D50"/>
    <w:rsid w:val="22CD71F8"/>
    <w:rsid w:val="232905AB"/>
    <w:rsid w:val="24C7A249"/>
    <w:rsid w:val="24D738FC"/>
    <w:rsid w:val="2518CFD5"/>
    <w:rsid w:val="25EA4B13"/>
    <w:rsid w:val="26CEA924"/>
    <w:rsid w:val="2834F5E5"/>
    <w:rsid w:val="28531575"/>
    <w:rsid w:val="28D4A1D2"/>
    <w:rsid w:val="291F9923"/>
    <w:rsid w:val="2AB415BD"/>
    <w:rsid w:val="2ABDAD4E"/>
    <w:rsid w:val="2C52AE2F"/>
    <w:rsid w:val="2DEEFB64"/>
    <w:rsid w:val="2E7143EF"/>
    <w:rsid w:val="2EBFB0AE"/>
    <w:rsid w:val="2F030F06"/>
    <w:rsid w:val="2F31D9C5"/>
    <w:rsid w:val="2F3B6C49"/>
    <w:rsid w:val="2F46C8FE"/>
    <w:rsid w:val="2F555FB8"/>
    <w:rsid w:val="2F68F384"/>
    <w:rsid w:val="2F9B2458"/>
    <w:rsid w:val="2FB1E294"/>
    <w:rsid w:val="3012F136"/>
    <w:rsid w:val="3078E50D"/>
    <w:rsid w:val="307F5E70"/>
    <w:rsid w:val="30DB9BFD"/>
    <w:rsid w:val="30F770CA"/>
    <w:rsid w:val="315102C7"/>
    <w:rsid w:val="3227D1B7"/>
    <w:rsid w:val="3245CBA5"/>
    <w:rsid w:val="3291AF3F"/>
    <w:rsid w:val="32C03564"/>
    <w:rsid w:val="331F4BB7"/>
    <w:rsid w:val="33B75EF0"/>
    <w:rsid w:val="343B1595"/>
    <w:rsid w:val="343E99B4"/>
    <w:rsid w:val="35372D7E"/>
    <w:rsid w:val="35C750EC"/>
    <w:rsid w:val="35DC29A6"/>
    <w:rsid w:val="3635F05D"/>
    <w:rsid w:val="36CA0810"/>
    <w:rsid w:val="39E4B469"/>
    <w:rsid w:val="3A074DEB"/>
    <w:rsid w:val="3A227602"/>
    <w:rsid w:val="3A371D48"/>
    <w:rsid w:val="3A7AEC09"/>
    <w:rsid w:val="3A81B0EC"/>
    <w:rsid w:val="3AA4167C"/>
    <w:rsid w:val="3B54F302"/>
    <w:rsid w:val="3C95D2BB"/>
    <w:rsid w:val="3DF68DE8"/>
    <w:rsid w:val="3E430CB3"/>
    <w:rsid w:val="3E4C35AA"/>
    <w:rsid w:val="3E6C2A21"/>
    <w:rsid w:val="4052EA15"/>
    <w:rsid w:val="405D740D"/>
    <w:rsid w:val="4097EE5F"/>
    <w:rsid w:val="4130BC5E"/>
    <w:rsid w:val="428483A5"/>
    <w:rsid w:val="42D9E1E4"/>
    <w:rsid w:val="442801C5"/>
    <w:rsid w:val="44601CD9"/>
    <w:rsid w:val="44F9056F"/>
    <w:rsid w:val="4500DBA5"/>
    <w:rsid w:val="46ED1093"/>
    <w:rsid w:val="46F2A732"/>
    <w:rsid w:val="479C95AD"/>
    <w:rsid w:val="47BEF441"/>
    <w:rsid w:val="47F82522"/>
    <w:rsid w:val="4846747C"/>
    <w:rsid w:val="48C4E6B4"/>
    <w:rsid w:val="4947DFAD"/>
    <w:rsid w:val="4992CB60"/>
    <w:rsid w:val="4A8ACBCD"/>
    <w:rsid w:val="4AF86C7E"/>
    <w:rsid w:val="4B094BA9"/>
    <w:rsid w:val="4B096EA8"/>
    <w:rsid w:val="4BF5CBDD"/>
    <w:rsid w:val="4BF8BD4B"/>
    <w:rsid w:val="4DE35147"/>
    <w:rsid w:val="4E3F5ED1"/>
    <w:rsid w:val="4E5F35D1"/>
    <w:rsid w:val="4E6CF019"/>
    <w:rsid w:val="4EA1429E"/>
    <w:rsid w:val="4F1188DF"/>
    <w:rsid w:val="4FB31B56"/>
    <w:rsid w:val="506079F6"/>
    <w:rsid w:val="50B8B8EA"/>
    <w:rsid w:val="50F50500"/>
    <w:rsid w:val="52751546"/>
    <w:rsid w:val="55F4A1B1"/>
    <w:rsid w:val="567EBFB0"/>
    <w:rsid w:val="56955E0D"/>
    <w:rsid w:val="574B1FA9"/>
    <w:rsid w:val="578BF34B"/>
    <w:rsid w:val="5827DDC4"/>
    <w:rsid w:val="58986050"/>
    <w:rsid w:val="5A2C6912"/>
    <w:rsid w:val="5A38E810"/>
    <w:rsid w:val="5BD6EF9C"/>
    <w:rsid w:val="5BFB1FC8"/>
    <w:rsid w:val="5C437320"/>
    <w:rsid w:val="5C6AF3CA"/>
    <w:rsid w:val="5CFA2298"/>
    <w:rsid w:val="5CFDBB28"/>
    <w:rsid w:val="5D284DBB"/>
    <w:rsid w:val="5EF0440E"/>
    <w:rsid w:val="5F5E13FD"/>
    <w:rsid w:val="5FE10314"/>
    <w:rsid w:val="602077CA"/>
    <w:rsid w:val="603AFE95"/>
    <w:rsid w:val="61249BF9"/>
    <w:rsid w:val="61DC831C"/>
    <w:rsid w:val="6295D201"/>
    <w:rsid w:val="62A103E9"/>
    <w:rsid w:val="62E4527E"/>
    <w:rsid w:val="63E7470B"/>
    <w:rsid w:val="64913678"/>
    <w:rsid w:val="64F69762"/>
    <w:rsid w:val="660D17D5"/>
    <w:rsid w:val="66ED895E"/>
    <w:rsid w:val="67218882"/>
    <w:rsid w:val="67401589"/>
    <w:rsid w:val="674989AA"/>
    <w:rsid w:val="67C762DA"/>
    <w:rsid w:val="685590FD"/>
    <w:rsid w:val="68F9F988"/>
    <w:rsid w:val="6A46A716"/>
    <w:rsid w:val="6A862FF0"/>
    <w:rsid w:val="6B07BD35"/>
    <w:rsid w:val="6B35E356"/>
    <w:rsid w:val="6BE1C6E7"/>
    <w:rsid w:val="6C9701C7"/>
    <w:rsid w:val="6D14D8DC"/>
    <w:rsid w:val="6D24B3D0"/>
    <w:rsid w:val="6D9551FA"/>
    <w:rsid w:val="6DBECBF4"/>
    <w:rsid w:val="6EA022F2"/>
    <w:rsid w:val="6F1F1501"/>
    <w:rsid w:val="6F2976F0"/>
    <w:rsid w:val="7217DF44"/>
    <w:rsid w:val="7321B77F"/>
    <w:rsid w:val="73604EC8"/>
    <w:rsid w:val="739668EA"/>
    <w:rsid w:val="74077AB9"/>
    <w:rsid w:val="7421DF5B"/>
    <w:rsid w:val="74FDB6C6"/>
    <w:rsid w:val="75828F4B"/>
    <w:rsid w:val="76253232"/>
    <w:rsid w:val="7654CE3E"/>
    <w:rsid w:val="766A3982"/>
    <w:rsid w:val="767C5288"/>
    <w:rsid w:val="76BBDE1A"/>
    <w:rsid w:val="76C99C21"/>
    <w:rsid w:val="7759A519"/>
    <w:rsid w:val="7868627D"/>
    <w:rsid w:val="79E3FD49"/>
    <w:rsid w:val="7A2230D2"/>
    <w:rsid w:val="7A46A96B"/>
    <w:rsid w:val="7AE5132A"/>
    <w:rsid w:val="7B4FB711"/>
    <w:rsid w:val="7B907ADE"/>
    <w:rsid w:val="7BD79A47"/>
    <w:rsid w:val="7BF93B5F"/>
    <w:rsid w:val="7C4B30BA"/>
    <w:rsid w:val="7CA0E6D8"/>
    <w:rsid w:val="7CAD2D5B"/>
    <w:rsid w:val="7CAD74E4"/>
    <w:rsid w:val="7CF9FAE6"/>
    <w:rsid w:val="7DBD26B1"/>
    <w:rsid w:val="7F3FB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0DED89"/>
  <w15:chartTrackingRefBased/>
  <w15:docId w15:val="{0C928B59-E5BF-40EF-86FA-1341FE16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5C8"/>
    <w:rPr>
      <w:color w:val="0000FF"/>
      <w:u w:val="single"/>
    </w:rPr>
  </w:style>
  <w:style w:type="paragraph" w:customStyle="1" w:styleId="tv213">
    <w:name w:val="tv213"/>
    <w:basedOn w:val="Normal"/>
    <w:rsid w:val="00C4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4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C4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1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24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70B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8A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62C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">
    <w:name w:val="Body"/>
    <w:rsid w:val="00A7415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29244-7E00-4924-92D8-8039FD9B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5557</Words>
  <Characters>3168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instrukcijas projekts "Tulkojumu pieprasīšanas un nodrošināšanas kārtība"</vt:lpstr>
      <vt:lpstr>Ministru kabineta instrukcijas projekts "Tulkojumu pieprasīšanas un nodrošināšanas kārtība"</vt:lpstr>
    </vt:vector>
  </TitlesOfParts>
  <Company>Tieslietu ministrija (Valsts valodas centrs)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"Tulkojumu pieprasīšanas un nodrošināšanas kārtība"</dc:title>
  <dc:subject>Instrukcijas projekts</dc:subject>
  <dc:creator>Arturs.Krastins@VVC.GOV.LV</dc:creator>
  <cp:keywords/>
  <dc:description>67336026, arturs.krastins@vvc.gov.lv</dc:description>
  <cp:lastModifiedBy>Leontine Babkina</cp:lastModifiedBy>
  <cp:revision>46</cp:revision>
  <dcterms:created xsi:type="dcterms:W3CDTF">2020-11-12T13:36:00Z</dcterms:created>
  <dcterms:modified xsi:type="dcterms:W3CDTF">2021-06-28T08:46:00Z</dcterms:modified>
</cp:coreProperties>
</file>