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93CF7" w:rsidR="004E6680" w:rsidP="00D06D8D" w:rsidRDefault="00C5761C" w14:paraId="45652358" w14:textId="77777777">
      <w:pPr>
        <w:pStyle w:val="Nosaukums"/>
        <w:outlineLvl w:val="0"/>
        <w:rPr>
          <w:b/>
          <w:bCs/>
          <w:sz w:val="24"/>
          <w:szCs w:val="24"/>
          <w:lang w:val="lv-LV"/>
        </w:rPr>
      </w:pPr>
      <w:bookmarkStart w:name="OLE_LINK1" w:id="0"/>
      <w:bookmarkStart w:name="OLE_LINK2" w:id="1"/>
      <w:bookmarkStart w:name="_Hlk10017759" w:id="2"/>
      <w:r w:rsidRPr="00293CF7">
        <w:rPr>
          <w:b/>
          <w:bCs/>
          <w:sz w:val="24"/>
          <w:szCs w:val="24"/>
          <w:lang w:val="lv-LV"/>
        </w:rPr>
        <w:t>Informatīvais ziņojums</w:t>
      </w:r>
    </w:p>
    <w:p w:rsidRPr="00293CF7" w:rsidR="00C5761C" w:rsidP="00D06D8D" w:rsidRDefault="005E0465" w14:paraId="5409B591" w14:textId="7CDA3F88">
      <w:pPr>
        <w:pStyle w:val="Nosaukums"/>
        <w:outlineLvl w:val="0"/>
        <w:rPr>
          <w:b/>
          <w:bCs/>
          <w:sz w:val="24"/>
          <w:szCs w:val="24"/>
          <w:lang w:val="lv-LV"/>
        </w:rPr>
      </w:pPr>
      <w:r w:rsidRPr="00293CF7">
        <w:rPr>
          <w:b/>
          <w:sz w:val="24"/>
          <w:szCs w:val="24"/>
          <w:lang w:val="lv-LV"/>
        </w:rPr>
        <w:t>"</w:t>
      </w:r>
      <w:r w:rsidRPr="00293CF7" w:rsidR="00282B62">
        <w:rPr>
          <w:b/>
          <w:sz w:val="24"/>
          <w:szCs w:val="24"/>
          <w:lang w:val="lv-LV"/>
        </w:rPr>
        <w:t>P</w:t>
      </w:r>
      <w:r w:rsidRPr="00293CF7" w:rsidR="00C5761C">
        <w:rPr>
          <w:b/>
          <w:sz w:val="24"/>
          <w:szCs w:val="24"/>
          <w:lang w:val="lv-LV"/>
        </w:rPr>
        <w:t xml:space="preserve">ar Eiropas Savienības </w:t>
      </w:r>
      <w:r w:rsidRPr="00293CF7" w:rsidR="00C86232">
        <w:rPr>
          <w:b/>
          <w:sz w:val="24"/>
          <w:szCs w:val="24"/>
          <w:lang w:val="lv-LV"/>
        </w:rPr>
        <w:t>Tieslietu un iekšlietu ministru</w:t>
      </w:r>
      <w:r w:rsidRPr="00293CF7">
        <w:rPr>
          <w:b/>
          <w:sz w:val="24"/>
          <w:szCs w:val="24"/>
          <w:lang w:val="lv-LV"/>
        </w:rPr>
        <w:t xml:space="preserve"> </w:t>
      </w:r>
      <w:r w:rsidRPr="00293CF7" w:rsidR="00C5761C">
        <w:rPr>
          <w:b/>
          <w:sz w:val="24"/>
          <w:szCs w:val="24"/>
          <w:lang w:val="lv-LV"/>
        </w:rPr>
        <w:t>padom</w:t>
      </w:r>
      <w:r w:rsidR="007E27F3">
        <w:rPr>
          <w:b/>
          <w:sz w:val="24"/>
          <w:szCs w:val="24"/>
          <w:lang w:val="lv-LV"/>
        </w:rPr>
        <w:t>es</w:t>
      </w:r>
      <w:r w:rsidRPr="00293CF7" w:rsidR="00C5761C">
        <w:rPr>
          <w:b/>
          <w:sz w:val="24"/>
          <w:szCs w:val="24"/>
          <w:lang w:val="lv-LV"/>
        </w:rPr>
        <w:t xml:space="preserve"> </w:t>
      </w:r>
      <w:r w:rsidRPr="00293CF7" w:rsidR="007E27F3">
        <w:rPr>
          <w:b/>
          <w:sz w:val="24"/>
          <w:szCs w:val="24"/>
          <w:lang w:val="lv-LV"/>
        </w:rPr>
        <w:t xml:space="preserve">2021. gada 7.-8. jūnija </w:t>
      </w:r>
      <w:r w:rsidR="007E27F3">
        <w:rPr>
          <w:b/>
          <w:sz w:val="24"/>
          <w:szCs w:val="24"/>
          <w:lang w:val="lv-LV"/>
        </w:rPr>
        <w:t xml:space="preserve">sanāksmē </w:t>
      </w:r>
      <w:r w:rsidRPr="00293CF7" w:rsidR="00C5761C">
        <w:rPr>
          <w:b/>
          <w:sz w:val="24"/>
          <w:szCs w:val="24"/>
          <w:lang w:val="lv-LV"/>
        </w:rPr>
        <w:t>izskatāmajiem jautājumiem</w:t>
      </w:r>
      <w:r w:rsidRPr="00293CF7">
        <w:rPr>
          <w:b/>
          <w:sz w:val="24"/>
          <w:szCs w:val="24"/>
          <w:lang w:val="lv-LV"/>
        </w:rPr>
        <w:t>"</w:t>
      </w:r>
    </w:p>
    <w:bookmarkEnd w:id="0"/>
    <w:bookmarkEnd w:id="1"/>
    <w:p w:rsidRPr="00293CF7" w:rsidR="008965D2" w:rsidP="00D06D8D" w:rsidRDefault="008965D2" w14:paraId="13876A46" w14:textId="77777777"/>
    <w:p w:rsidRPr="00293CF7" w:rsidR="00C05B7F" w:rsidP="007E27F3" w:rsidRDefault="008233ED" w14:paraId="095C6A65" w14:textId="5D62C081">
      <w:pPr>
        <w:pStyle w:val="Virsraksts1"/>
        <w:suppressAutoHyphens/>
        <w:ind w:firstLine="720"/>
        <w:rPr>
          <w:i w:val="0"/>
          <w:iCs w:val="0"/>
          <w:sz w:val="24"/>
          <w:szCs w:val="24"/>
          <w:lang w:val="lv-LV"/>
        </w:rPr>
      </w:pPr>
      <w:r w:rsidRPr="00293CF7">
        <w:rPr>
          <w:i w:val="0"/>
          <w:iCs w:val="0"/>
          <w:sz w:val="24"/>
          <w:szCs w:val="24"/>
          <w:lang w:val="lv-LV"/>
        </w:rPr>
        <w:t>20</w:t>
      </w:r>
      <w:r w:rsidRPr="00293CF7" w:rsidR="005612BF">
        <w:rPr>
          <w:i w:val="0"/>
          <w:iCs w:val="0"/>
          <w:sz w:val="24"/>
          <w:szCs w:val="24"/>
          <w:lang w:val="lv-LV"/>
        </w:rPr>
        <w:t>21</w:t>
      </w:r>
      <w:r w:rsidRPr="00293CF7" w:rsidR="008965D2">
        <w:rPr>
          <w:i w:val="0"/>
          <w:iCs w:val="0"/>
          <w:sz w:val="24"/>
          <w:szCs w:val="24"/>
          <w:lang w:val="lv-LV"/>
        </w:rPr>
        <w:t xml:space="preserve">. gada </w:t>
      </w:r>
      <w:r w:rsidRPr="00293CF7" w:rsidR="005612BF">
        <w:rPr>
          <w:i w:val="0"/>
          <w:iCs w:val="0"/>
          <w:sz w:val="24"/>
          <w:szCs w:val="24"/>
          <w:lang w:val="lv-LV"/>
        </w:rPr>
        <w:t>7</w:t>
      </w:r>
      <w:r w:rsidRPr="00293CF7" w:rsidR="00AA361A">
        <w:rPr>
          <w:i w:val="0"/>
          <w:sz w:val="24"/>
          <w:szCs w:val="24"/>
          <w:lang w:val="lv-LV"/>
        </w:rPr>
        <w:t>.-</w:t>
      </w:r>
      <w:r w:rsidRPr="00293CF7" w:rsidR="005612BF">
        <w:rPr>
          <w:i w:val="0"/>
          <w:sz w:val="24"/>
          <w:szCs w:val="24"/>
          <w:lang w:val="lv-LV"/>
        </w:rPr>
        <w:t>8</w:t>
      </w:r>
      <w:r w:rsidRPr="00293CF7" w:rsidR="00AA361A">
        <w:rPr>
          <w:i w:val="0"/>
          <w:sz w:val="24"/>
          <w:szCs w:val="24"/>
          <w:lang w:val="lv-LV"/>
        </w:rPr>
        <w:t>.</w:t>
      </w:r>
      <w:r w:rsidRPr="00293CF7" w:rsidR="004F57CA">
        <w:rPr>
          <w:i w:val="0"/>
          <w:sz w:val="24"/>
          <w:szCs w:val="24"/>
          <w:lang w:val="lv-LV"/>
        </w:rPr>
        <w:t> </w:t>
      </w:r>
      <w:r w:rsidRPr="00293CF7" w:rsidR="00AE3C11">
        <w:rPr>
          <w:i w:val="0"/>
          <w:sz w:val="24"/>
          <w:szCs w:val="24"/>
          <w:lang w:val="lv-LV"/>
        </w:rPr>
        <w:t>jūnijā</w:t>
      </w:r>
      <w:r w:rsidRPr="00293CF7" w:rsidR="008965D2">
        <w:rPr>
          <w:i w:val="0"/>
          <w:sz w:val="24"/>
          <w:szCs w:val="24"/>
          <w:lang w:val="lv-LV"/>
        </w:rPr>
        <w:t xml:space="preserve"> </w:t>
      </w:r>
      <w:r w:rsidRPr="00293CF7" w:rsidR="001C207A">
        <w:rPr>
          <w:i w:val="0"/>
          <w:sz w:val="24"/>
          <w:szCs w:val="24"/>
          <w:lang w:val="lv-LV"/>
        </w:rPr>
        <w:t>Luksemburgā</w:t>
      </w:r>
      <w:r w:rsidRPr="00293CF7" w:rsidR="008965D2">
        <w:rPr>
          <w:i w:val="0"/>
          <w:iCs w:val="0"/>
          <w:sz w:val="24"/>
          <w:szCs w:val="24"/>
          <w:lang w:val="lv-LV"/>
        </w:rPr>
        <w:t xml:space="preserve"> notiks Eiropas Savienības</w:t>
      </w:r>
      <w:r w:rsidRPr="00293CF7" w:rsidR="008965D2">
        <w:rPr>
          <w:i w:val="0"/>
          <w:sz w:val="24"/>
          <w:szCs w:val="24"/>
          <w:lang w:val="lv-LV"/>
        </w:rPr>
        <w:t xml:space="preserve"> </w:t>
      </w:r>
      <w:r w:rsidRPr="00293CF7" w:rsidR="008965D2">
        <w:rPr>
          <w:i w:val="0"/>
          <w:iCs w:val="0"/>
          <w:sz w:val="24"/>
          <w:szCs w:val="24"/>
          <w:lang w:val="lv-LV"/>
        </w:rPr>
        <w:t>Tieslietu un iekšlietu ministru padomes sanāksme (turpm</w:t>
      </w:r>
      <w:r w:rsidRPr="00293CF7" w:rsidR="00EA2265">
        <w:rPr>
          <w:i w:val="0"/>
          <w:iCs w:val="0"/>
          <w:sz w:val="24"/>
          <w:szCs w:val="24"/>
          <w:lang w:val="lv-LV"/>
        </w:rPr>
        <w:t>āk – Padomes sanāksme).</w:t>
      </w:r>
    </w:p>
    <w:p w:rsidRPr="00293CF7" w:rsidR="00C05B7F" w:rsidP="007E27F3" w:rsidRDefault="00C05B7F" w14:paraId="732B5F45" w14:textId="77777777">
      <w:pPr>
        <w:pStyle w:val="Virsraksts1"/>
        <w:suppressAutoHyphens/>
        <w:ind w:firstLine="720"/>
        <w:rPr>
          <w:i w:val="0"/>
          <w:iCs w:val="0"/>
          <w:sz w:val="24"/>
          <w:szCs w:val="24"/>
          <w:lang w:val="lv-LV"/>
        </w:rPr>
      </w:pPr>
    </w:p>
    <w:p w:rsidRPr="00293CF7" w:rsidR="00D10AA8" w:rsidP="007E27F3" w:rsidRDefault="0000068E" w14:paraId="5FA91BF2" w14:textId="3D4E94B1">
      <w:pPr>
        <w:pStyle w:val="Virsraksts1"/>
        <w:suppressAutoHyphens/>
        <w:ind w:firstLine="720"/>
        <w:rPr>
          <w:i w:val="0"/>
          <w:iCs w:val="0"/>
          <w:sz w:val="24"/>
          <w:szCs w:val="24"/>
          <w:lang w:val="lv-LV"/>
        </w:rPr>
      </w:pPr>
      <w:r w:rsidRPr="00293CF7">
        <w:rPr>
          <w:i w:val="0"/>
          <w:iCs w:val="0"/>
          <w:sz w:val="24"/>
          <w:szCs w:val="24"/>
          <w:lang w:val="lv-LV"/>
        </w:rPr>
        <w:t>Padomes sanāksmes</w:t>
      </w:r>
      <w:r w:rsidRPr="00293CF7" w:rsidR="00EA2265">
        <w:rPr>
          <w:i w:val="0"/>
          <w:iCs w:val="0"/>
          <w:sz w:val="24"/>
          <w:szCs w:val="24"/>
          <w:lang w:val="lv-LV"/>
        </w:rPr>
        <w:t xml:space="preserve"> tieslietu sadaļā ir </w:t>
      </w:r>
      <w:r w:rsidRPr="00293CF7" w:rsidR="001655F2">
        <w:rPr>
          <w:i w:val="0"/>
          <w:iCs w:val="0"/>
          <w:sz w:val="24"/>
          <w:szCs w:val="24"/>
          <w:lang w:val="lv-LV"/>
        </w:rPr>
        <w:t xml:space="preserve">ietverti </w:t>
      </w:r>
      <w:r w:rsidRPr="00293CF7" w:rsidR="00EA2265">
        <w:rPr>
          <w:i w:val="0"/>
          <w:iCs w:val="0"/>
          <w:sz w:val="24"/>
          <w:szCs w:val="24"/>
          <w:lang w:val="lv-LV"/>
        </w:rPr>
        <w:t>šā</w:t>
      </w:r>
      <w:r w:rsidRPr="00293CF7" w:rsidR="00A366EE">
        <w:rPr>
          <w:i w:val="0"/>
          <w:iCs w:val="0"/>
          <w:sz w:val="24"/>
          <w:szCs w:val="24"/>
          <w:lang w:val="lv-LV"/>
        </w:rPr>
        <w:t xml:space="preserve">di </w:t>
      </w:r>
      <w:r w:rsidRPr="00293CF7" w:rsidR="00447628">
        <w:rPr>
          <w:i w:val="0"/>
          <w:iCs w:val="0"/>
          <w:sz w:val="24"/>
          <w:szCs w:val="24"/>
          <w:u w:val="single"/>
          <w:lang w:val="lv-LV"/>
        </w:rPr>
        <w:t xml:space="preserve">leģislatīvie </w:t>
      </w:r>
      <w:r w:rsidRPr="00293CF7" w:rsidR="0008583F">
        <w:rPr>
          <w:i w:val="0"/>
          <w:iCs w:val="0"/>
          <w:sz w:val="24"/>
          <w:szCs w:val="24"/>
          <w:u w:val="single"/>
          <w:lang w:val="lv-LV"/>
        </w:rPr>
        <w:t>darba kārtības jautājumi</w:t>
      </w:r>
      <w:r w:rsidRPr="00293CF7" w:rsidR="008965D2">
        <w:rPr>
          <w:i w:val="0"/>
          <w:iCs w:val="0"/>
          <w:sz w:val="24"/>
          <w:szCs w:val="24"/>
          <w:lang w:val="lv-LV"/>
        </w:rPr>
        <w:t>:</w:t>
      </w:r>
    </w:p>
    <w:p w:rsidRPr="00293CF7" w:rsidR="00377579" w:rsidP="007E27F3" w:rsidRDefault="00377579" w14:paraId="0AAB2F63" w14:textId="77777777">
      <w:pPr>
        <w:ind w:firstLine="720"/>
        <w:rPr>
          <w:lang w:eastAsia="x-none"/>
        </w:rPr>
      </w:pPr>
    </w:p>
    <w:p w:rsidRPr="00293CF7" w:rsidR="00593A1E" w:rsidP="007E27F3" w:rsidRDefault="00CF7F4A" w14:paraId="3831EFFC" w14:textId="20E5138A">
      <w:pPr>
        <w:pStyle w:val="Sarakstarindkopa"/>
        <w:ind w:left="0" w:firstLine="720"/>
        <w:jc w:val="both"/>
        <w:rPr>
          <w:rFonts w:eastAsia="Calibri"/>
          <w:b/>
          <w:iCs/>
          <w:lang w:eastAsia="lv-LV"/>
        </w:rPr>
      </w:pPr>
      <w:r w:rsidRPr="00293CF7">
        <w:rPr>
          <w:b/>
        </w:rPr>
        <w:t>1. </w:t>
      </w:r>
      <w:r w:rsidRPr="00293CF7" w:rsidR="00593A1E">
        <w:rPr>
          <w:b/>
        </w:rPr>
        <w:t>Priekšlikums Eiropas Parlamenta un Padomes regulai par tiesību aktiem, kas piemērojami prasījumu cesijas sekām attiecībā uz trešām personām</w:t>
      </w:r>
      <w:r w:rsidRPr="00293CF7" w:rsidR="00593A1E">
        <w:rPr>
          <w:rFonts w:eastAsia="Calibri"/>
          <w:b/>
          <w:iCs/>
          <w:lang w:eastAsia="lv-LV"/>
        </w:rPr>
        <w:t xml:space="preserve"> </w:t>
      </w:r>
      <w:r w:rsidRPr="00293CF7" w:rsidR="00593A1E">
        <w:t>(</w:t>
      </w:r>
      <w:r w:rsidRPr="00293CF7" w:rsidR="00593A1E">
        <w:rPr>
          <w:i/>
          <w:iCs/>
        </w:rPr>
        <w:t>vispārējā pieeja</w:t>
      </w:r>
      <w:r w:rsidRPr="00293CF7" w:rsidR="00593A1E">
        <w:t>)</w:t>
      </w:r>
      <w:r w:rsidRPr="00293CF7" w:rsidR="00593A1E">
        <w:rPr>
          <w:rStyle w:val="Vresatsauce"/>
        </w:rPr>
        <w:footnoteReference w:id="1"/>
      </w:r>
    </w:p>
    <w:p w:rsidRPr="00293CF7" w:rsidR="00754CF4" w:rsidP="00293CF7" w:rsidRDefault="00593A1E" w14:paraId="33A83028" w14:textId="2521AFCE">
      <w:pPr>
        <w:pStyle w:val="xxmsolistparagraph"/>
        <w:ind w:firstLine="720"/>
        <w:jc w:val="both"/>
        <w:rPr>
          <w:rFonts w:ascii="Times New Roman" w:hAnsi="Times New Roman" w:cs="Times New Roman"/>
          <w:sz w:val="24"/>
          <w:szCs w:val="24"/>
        </w:rPr>
      </w:pPr>
      <w:r w:rsidRPr="00293CF7">
        <w:rPr>
          <w:rFonts w:ascii="Times New Roman" w:hAnsi="Times New Roman" w:eastAsia="Calibri" w:cs="Times New Roman"/>
          <w:iCs/>
          <w:sz w:val="24"/>
          <w:szCs w:val="24"/>
        </w:rPr>
        <w:t>Regulas priekšlikums</w:t>
      </w:r>
      <w:r w:rsidRPr="00293CF7">
        <w:rPr>
          <w:rStyle w:val="Vresatsauce"/>
          <w:rFonts w:ascii="Times New Roman" w:hAnsi="Times New Roman" w:eastAsia="Calibri" w:cs="Times New Roman"/>
          <w:iCs/>
          <w:sz w:val="24"/>
          <w:szCs w:val="24"/>
        </w:rPr>
        <w:footnoteReference w:id="2"/>
      </w:r>
      <w:r w:rsidRPr="00293CF7">
        <w:rPr>
          <w:rFonts w:ascii="Times New Roman" w:hAnsi="Times New Roman" w:eastAsia="Calibri" w:cs="Times New Roman"/>
          <w:iCs/>
          <w:sz w:val="24"/>
          <w:szCs w:val="24"/>
          <w:vertAlign w:val="superscript"/>
        </w:rPr>
        <w:t>,</w:t>
      </w:r>
      <w:r w:rsidRPr="00293CF7">
        <w:rPr>
          <w:rStyle w:val="Vresatsauce"/>
          <w:rFonts w:ascii="Times New Roman" w:hAnsi="Times New Roman" w:eastAsia="Calibri" w:cs="Times New Roman"/>
          <w:iCs/>
          <w:sz w:val="24"/>
          <w:szCs w:val="24"/>
        </w:rPr>
        <w:footnoteReference w:id="3"/>
      </w:r>
      <w:r w:rsidRPr="00293CF7">
        <w:rPr>
          <w:rFonts w:ascii="Times New Roman" w:hAnsi="Times New Roman" w:eastAsia="Calibri" w:cs="Times New Roman"/>
          <w:iCs/>
          <w:sz w:val="24"/>
          <w:szCs w:val="24"/>
        </w:rPr>
        <w:t xml:space="preserve"> </w:t>
      </w:r>
      <w:r w:rsidRPr="00293CF7" w:rsidR="00754CF4">
        <w:rPr>
          <w:rFonts w:ascii="Times New Roman" w:hAnsi="Times New Roman" w:cs="Times New Roman"/>
          <w:sz w:val="24"/>
          <w:szCs w:val="24"/>
        </w:rPr>
        <w:t>paredz vienotus noteikumus, kuras valsts tiesību aktiem būtu jānosaka prasījuma īpašumtiesības pēc tam, kad prasījums ir cedēts pārrobežu darījumā, tādējādi novēršot juridisko risku un potenciālas sistēmiskās sekas. Juridiskās noteiktības ieviešana sekmēs pārrobežu ieguldījumus, piekļuvi lētākiem kredītiem un Eiropas finanšu tirgus integrāciju.</w:t>
      </w:r>
    </w:p>
    <w:p w:rsidRPr="00293CF7" w:rsidR="00754CF4" w:rsidP="007E27F3" w:rsidRDefault="00754CF4" w14:paraId="564C315E" w14:textId="45128FDF">
      <w:pPr>
        <w:pStyle w:val="xxmsonormal"/>
        <w:ind w:firstLine="720"/>
        <w:jc w:val="both"/>
        <w:rPr>
          <w:rFonts w:ascii="Times New Roman" w:hAnsi="Times New Roman" w:cs="Times New Roman"/>
          <w:sz w:val="24"/>
          <w:szCs w:val="24"/>
        </w:rPr>
      </w:pPr>
      <w:r w:rsidRPr="00293CF7">
        <w:rPr>
          <w:rFonts w:ascii="Times New Roman" w:hAnsi="Times New Roman" w:cs="Times New Roman"/>
          <w:sz w:val="24"/>
          <w:szCs w:val="24"/>
        </w:rPr>
        <w:t xml:space="preserve">Regulas priekšlikums ir piemērojams tiesību normu kolīziju gadījumos, kad civillietās un komerclietās tiek risināts jautājums par līgumiskas cesijas vai subrogācijas tiesiskajām sekām attiecībā trešajām personām. Regulas priekšlikums nav piemērojams gadījumos, kad notikusi nevis tikai prasījuma (t.i., tiesību) pāreja, bet pašas līgumiskās attiecības (t.i., tiesību un pienākumu) pāreja, kā arī gadījumos, kad līgumiskā saistība tiek pārjaunota. Regulas priekšlikums nosaka piemērojamos tiesību aktus prasījumu prioritātes konflikta risināšanai starp </w:t>
      </w:r>
      <w:r w:rsidRPr="00293CF7">
        <w:rPr>
          <w:rFonts w:ascii="Times New Roman" w:hAnsi="Times New Roman" w:cs="Times New Roman"/>
          <w:sz w:val="24"/>
          <w:szCs w:val="24"/>
          <w:shd w:val="clear" w:color="auto" w:fill="FFFFFF"/>
        </w:rPr>
        <w:t>cesionāru un citu tā paša prasījuma cesionāru, cesionāru un cedenta kreditoru, kā arī cesionāru un tā paša prasījuma labuma guvēju.</w:t>
      </w:r>
    </w:p>
    <w:p w:rsidRPr="00293CF7" w:rsidR="00754CF4" w:rsidP="007E27F3" w:rsidRDefault="00754CF4" w14:paraId="440EBDE3" w14:textId="29F8874A">
      <w:pPr>
        <w:pStyle w:val="xxmsonormal"/>
        <w:ind w:firstLine="720"/>
        <w:jc w:val="both"/>
        <w:rPr>
          <w:rFonts w:ascii="Times New Roman" w:hAnsi="Times New Roman" w:cs="Times New Roman"/>
          <w:sz w:val="24"/>
          <w:szCs w:val="24"/>
        </w:rPr>
      </w:pPr>
      <w:r w:rsidRPr="00293CF7">
        <w:rPr>
          <w:rFonts w:ascii="Times New Roman" w:hAnsi="Times New Roman" w:cs="Times New Roman"/>
          <w:sz w:val="24"/>
          <w:szCs w:val="24"/>
        </w:rPr>
        <w:t>Portugāles prezidentūras laikā regulas priekšlikuma darba grupas neformālajā</w:t>
      </w:r>
      <w:r w:rsidR="00323C1D">
        <w:rPr>
          <w:rFonts w:ascii="Times New Roman" w:hAnsi="Times New Roman" w:cs="Times New Roman"/>
          <w:sz w:val="24"/>
          <w:szCs w:val="24"/>
        </w:rPr>
        <w:t>s</w:t>
      </w:r>
      <w:r w:rsidRPr="00293CF7">
        <w:rPr>
          <w:rFonts w:ascii="Times New Roman" w:hAnsi="Times New Roman" w:cs="Times New Roman"/>
          <w:sz w:val="24"/>
          <w:szCs w:val="24"/>
        </w:rPr>
        <w:t xml:space="preserve"> videokonferences sanāksmēs tika panākts dalībvalstu kompromiss par vairākiem aspektiem regulas piemērošanas jomā. Pirmkārt, no regulas piemērošanas jomas ir izslēgta tiesību uz finanšu instrumentiem, tostarp vērtspapīriem un atvasināto finanšu instrumentiem tālāknodošana (īpašumtiesību uz pašu finanšu instrumentu pāreja), tiesību uz virtuālo aktīvu (</w:t>
      </w:r>
      <w:r w:rsidRPr="00293CF7">
        <w:rPr>
          <w:rFonts w:ascii="Times New Roman" w:hAnsi="Times New Roman" w:cs="Times New Roman"/>
          <w:i/>
          <w:iCs/>
          <w:sz w:val="24"/>
          <w:szCs w:val="24"/>
        </w:rPr>
        <w:t>crypto assets</w:t>
      </w:r>
      <w:r w:rsidRPr="00293CF7">
        <w:rPr>
          <w:rFonts w:ascii="Times New Roman" w:hAnsi="Times New Roman" w:cs="Times New Roman"/>
          <w:sz w:val="24"/>
          <w:szCs w:val="24"/>
        </w:rPr>
        <w:t xml:space="preserve">) īpašumtiesību tālāknodošana un tādu prasījumu cesija, </w:t>
      </w:r>
      <w:proofErr w:type="gramStart"/>
      <w:r w:rsidRPr="00293CF7">
        <w:rPr>
          <w:rFonts w:ascii="Times New Roman" w:hAnsi="Times New Roman" w:cs="Times New Roman"/>
          <w:sz w:val="24"/>
          <w:szCs w:val="24"/>
        </w:rPr>
        <w:t>kur prasījums</w:t>
      </w:r>
      <w:proofErr w:type="gramEnd"/>
      <w:r w:rsidRPr="00293CF7">
        <w:rPr>
          <w:rFonts w:ascii="Times New Roman" w:hAnsi="Times New Roman" w:cs="Times New Roman"/>
          <w:sz w:val="24"/>
          <w:szCs w:val="24"/>
        </w:rPr>
        <w:t xml:space="preserve"> ir iekļauts papīra formāta sertifikātā, vai tiek iegrāmatots reģistrā vai kontā. Tāpat izslēgta ir prasījumu, kas izriet no pārvedamiem vērtspapīriem, naudas tirgus instrumentiem vai kolektīvo ieguldījumu uzņēmumu sertifikātiem (apliecībām) cesija. Otrkārt, ņemot vērā to, ka regulas priekšlikums ir piemērojams </w:t>
      </w:r>
      <w:r w:rsidRPr="00293CF7">
        <w:rPr>
          <w:rFonts w:ascii="Times New Roman" w:hAnsi="Times New Roman" w:cs="Times New Roman"/>
          <w:sz w:val="24"/>
          <w:szCs w:val="24"/>
          <w:shd w:val="clear" w:color="auto" w:fill="FFFFFF"/>
        </w:rPr>
        <w:t>kredītiestādes kontā kreditētu finanšu līdzekļu cesija</w:t>
      </w:r>
      <w:r w:rsidRPr="00293CF7">
        <w:rPr>
          <w:rFonts w:ascii="Times New Roman" w:hAnsi="Times New Roman" w:cs="Times New Roman"/>
          <w:sz w:val="24"/>
          <w:szCs w:val="24"/>
        </w:rPr>
        <w:t>i, līdzīgs regulējums tiek attiecināts uz prasījumu, kas izriet no elektroniskās naudas vai virtuālajiem aktīviem (</w:t>
      </w:r>
      <w:r w:rsidRPr="00293CF7">
        <w:rPr>
          <w:rFonts w:ascii="Times New Roman" w:hAnsi="Times New Roman" w:cs="Times New Roman"/>
          <w:i/>
          <w:iCs/>
          <w:sz w:val="24"/>
          <w:szCs w:val="24"/>
        </w:rPr>
        <w:t>crypto assets</w:t>
      </w:r>
      <w:r w:rsidRPr="00293CF7">
        <w:rPr>
          <w:rFonts w:ascii="Times New Roman" w:hAnsi="Times New Roman" w:cs="Times New Roman"/>
          <w:sz w:val="24"/>
          <w:szCs w:val="24"/>
        </w:rPr>
        <w:t>)</w:t>
      </w:r>
      <w:r w:rsidR="00323C1D">
        <w:rPr>
          <w:rFonts w:ascii="Times New Roman" w:hAnsi="Times New Roman" w:cs="Times New Roman"/>
          <w:sz w:val="24"/>
          <w:szCs w:val="24"/>
        </w:rPr>
        <w:t>,</w:t>
      </w:r>
      <w:r w:rsidRPr="00293CF7">
        <w:rPr>
          <w:rFonts w:ascii="Times New Roman" w:hAnsi="Times New Roman" w:cs="Times New Roman"/>
          <w:sz w:val="24"/>
          <w:szCs w:val="24"/>
        </w:rPr>
        <w:t xml:space="preserve"> cesiju (piemēram, virtuālā aktīva turētāja prasība pret emitentu). Treškārt, no regulas priekšlikuma piemērošanas jomas izslēgtas trešo personu sekas attiecībā uz nodrošinājumu, kas saistīts ar cedēto prasījumu. Tā kā dalībvalstīs pastāv ļoti atšķirīgs nacionālais regulējums attiecībā uz nodrošinājuma vai cedētā prasījuma reģistrēšanu publiskos reģistros, kā arī, ņemot vērā, ka atsevišķās dalībvalstīs cedētā prasījuma spēkā esamība ir tieši atkarīga no tā, vai nodrošinājuma pāreja uz cesionāru ir reģistrēta, regulas priekšlikums nav piemērojams, lai risinātu prioritātes konfliktu, nosakot tiesību uz nodrošinājumu esamību.</w:t>
      </w:r>
    </w:p>
    <w:p w:rsidRPr="00293CF7" w:rsidR="00754CF4" w:rsidP="007E27F3" w:rsidRDefault="00754CF4" w14:paraId="04978609" w14:textId="0F38B608">
      <w:pPr>
        <w:pStyle w:val="xxmsonormal"/>
        <w:ind w:firstLine="720"/>
        <w:jc w:val="both"/>
        <w:rPr>
          <w:rFonts w:ascii="Times New Roman" w:hAnsi="Times New Roman" w:cs="Times New Roman"/>
          <w:sz w:val="24"/>
          <w:szCs w:val="24"/>
        </w:rPr>
      </w:pPr>
      <w:r w:rsidRPr="00293CF7">
        <w:rPr>
          <w:rFonts w:ascii="Times New Roman" w:hAnsi="Times New Roman" w:cs="Times New Roman"/>
          <w:sz w:val="24"/>
          <w:szCs w:val="24"/>
        </w:rPr>
        <w:t>Portugāles prezidentūras laikā regulas priekšlikuma darba grupas neformālajā</w:t>
      </w:r>
      <w:r w:rsidR="00323C1D">
        <w:rPr>
          <w:rFonts w:ascii="Times New Roman" w:hAnsi="Times New Roman" w:cs="Times New Roman"/>
          <w:sz w:val="24"/>
          <w:szCs w:val="24"/>
        </w:rPr>
        <w:t>s</w:t>
      </w:r>
      <w:r w:rsidRPr="00293CF7">
        <w:rPr>
          <w:rFonts w:ascii="Times New Roman" w:hAnsi="Times New Roman" w:cs="Times New Roman"/>
          <w:sz w:val="24"/>
          <w:szCs w:val="24"/>
        </w:rPr>
        <w:t xml:space="preserve"> videokonferences sanāksmēs tika panākts dalībvalstu kompromiss par piemērojamo likumu. Kā pamatnoteikums regulas priekšlikumā ir iekļauta norma, kas paredz </w:t>
      </w:r>
      <w:r w:rsidRPr="00293CF7">
        <w:rPr>
          <w:rFonts w:ascii="Times New Roman" w:hAnsi="Times New Roman" w:cs="Times New Roman"/>
          <w:sz w:val="24"/>
          <w:szCs w:val="24"/>
          <w:shd w:val="clear" w:color="auto" w:fill="FFFFFF"/>
        </w:rPr>
        <w:t>prasījumu cesijas radītās sekas attiecībā uz trešām personām reglamentēt pēc tās valsts tiesību aktiem, kurā atrodas cedenta pastāvīgā mītnesvieta</w:t>
      </w:r>
      <w:r w:rsidRPr="00293CF7">
        <w:rPr>
          <w:rFonts w:ascii="Times New Roman" w:hAnsi="Times New Roman" w:cs="Times New Roman"/>
          <w:sz w:val="24"/>
          <w:szCs w:val="24"/>
        </w:rPr>
        <w:t xml:space="preserve">. Vienlaikus regulas priekšlikums paredz izņēmuma gadījumus, kad piemērojams ir cedētā prasījuma likums, proti: (i) finanšu līdzekļu prasījumi un </w:t>
      </w:r>
      <w:r w:rsidRPr="00293CF7">
        <w:rPr>
          <w:rFonts w:ascii="Times New Roman" w:hAnsi="Times New Roman" w:cs="Times New Roman"/>
          <w:sz w:val="24"/>
          <w:szCs w:val="24"/>
        </w:rPr>
        <w:lastRenderedPageBreak/>
        <w:t xml:space="preserve">elektroniskās naudas prasījumi, (ii) prasījumi, kas izriet no finanšu instrumentiem, piemēram, no finanšu instrumenta izrietošo tiesību uz procentu vai citu maksājumu saņemšanu tālāknodošana </w:t>
      </w:r>
      <w:proofErr w:type="gramStart"/>
      <w:r w:rsidRPr="00293CF7">
        <w:rPr>
          <w:rFonts w:ascii="Times New Roman" w:hAnsi="Times New Roman" w:cs="Times New Roman"/>
          <w:sz w:val="24"/>
          <w:szCs w:val="24"/>
        </w:rPr>
        <w:t>(</w:t>
      </w:r>
      <w:proofErr w:type="gramEnd"/>
      <w:r w:rsidRPr="00293CF7">
        <w:rPr>
          <w:rFonts w:ascii="Times New Roman" w:hAnsi="Times New Roman" w:cs="Times New Roman"/>
          <w:sz w:val="24"/>
          <w:szCs w:val="24"/>
        </w:rPr>
        <w:t>izņemot pārvedamiem vērtspapīriem, naudas tirgus instrumentiem vai kolektīvo ieguldījumu uzņēmumu sertifikātiem (apliecībām)), finanšu līgumiem vai ar tiem saistītajiem nodrošinājuma līgumiem un saistītajiem ieskaita līgumiem, kā arī prasījumi, kas izriet no tūlītējiem ārvalstu valūtu maiņas darījumiem. Savukārt vērtspapīrošanas un segto obligāciju emisijas gadījumā regulas priekšlikums paredz cedentam un cesionāram tiesības vienoties par piemērojamā likuma izvēli.</w:t>
      </w:r>
    </w:p>
    <w:p w:rsidRPr="00293CF7" w:rsidR="00754CF4" w:rsidP="007E27F3" w:rsidRDefault="00754CF4" w14:paraId="43FDAF35" w14:textId="7E13DEDD">
      <w:pPr>
        <w:pStyle w:val="xxmsonormal"/>
        <w:ind w:firstLine="720"/>
        <w:jc w:val="both"/>
        <w:rPr>
          <w:rFonts w:ascii="Times New Roman" w:hAnsi="Times New Roman" w:cs="Times New Roman"/>
          <w:sz w:val="24"/>
          <w:szCs w:val="24"/>
        </w:rPr>
      </w:pPr>
      <w:r w:rsidRPr="00293CF7">
        <w:rPr>
          <w:rFonts w:ascii="Times New Roman" w:hAnsi="Times New Roman" w:cs="Times New Roman"/>
          <w:sz w:val="24"/>
          <w:szCs w:val="24"/>
          <w:shd w:val="clear" w:color="auto" w:fill="FFFFFF"/>
        </w:rPr>
        <w:t xml:space="preserve">Regulas priekšlikuma kompromisa redakcija paredz regulas </w:t>
      </w:r>
      <w:r w:rsidRPr="00293CF7" w:rsidR="007D722A">
        <w:rPr>
          <w:rFonts w:ascii="Times New Roman" w:hAnsi="Times New Roman" w:cs="Times New Roman"/>
          <w:sz w:val="24"/>
          <w:szCs w:val="24"/>
          <w:shd w:val="clear" w:color="auto" w:fill="FFFFFF"/>
        </w:rPr>
        <w:t>universālo</w:t>
      </w:r>
      <w:r w:rsidRPr="00293CF7">
        <w:rPr>
          <w:rFonts w:ascii="Times New Roman" w:hAnsi="Times New Roman" w:cs="Times New Roman"/>
          <w:sz w:val="24"/>
          <w:szCs w:val="24"/>
          <w:shd w:val="clear" w:color="auto" w:fill="FFFFFF"/>
        </w:rPr>
        <w:t xml:space="preserve"> piemērošanu, proti, </w:t>
      </w:r>
      <w:r w:rsidRPr="00293CF7">
        <w:rPr>
          <w:rFonts w:ascii="Times New Roman" w:hAnsi="Times New Roman" w:cs="Times New Roman"/>
          <w:sz w:val="24"/>
          <w:szCs w:val="24"/>
        </w:rPr>
        <w:t>jebkuri tiesību akti, kas tiek noteikti ar regulu, piemērojami neatkarīgi no tā, vai tie ir</w:t>
      </w:r>
      <w:r w:rsidRPr="00293CF7" w:rsidR="007D722A">
        <w:rPr>
          <w:rFonts w:ascii="Times New Roman" w:hAnsi="Times New Roman" w:cs="Times New Roman"/>
          <w:sz w:val="24"/>
          <w:szCs w:val="24"/>
        </w:rPr>
        <w:t>,</w:t>
      </w:r>
      <w:r w:rsidRPr="00293CF7">
        <w:rPr>
          <w:rFonts w:ascii="Times New Roman" w:hAnsi="Times New Roman" w:cs="Times New Roman"/>
          <w:sz w:val="24"/>
          <w:szCs w:val="24"/>
        </w:rPr>
        <w:t xml:space="preserve"> vai nav dalībvalsts tiesību akti. Regulas universālā piemērošana ir atbalstīta E</w:t>
      </w:r>
      <w:r w:rsidR="00323C1D">
        <w:rPr>
          <w:rFonts w:ascii="Times New Roman" w:hAnsi="Times New Roman" w:cs="Times New Roman"/>
          <w:sz w:val="24"/>
          <w:szCs w:val="24"/>
        </w:rPr>
        <w:t>iropas Savienības</w:t>
      </w:r>
      <w:r w:rsidRPr="00293CF7">
        <w:rPr>
          <w:rFonts w:ascii="Times New Roman" w:hAnsi="Times New Roman" w:cs="Times New Roman"/>
          <w:sz w:val="24"/>
          <w:szCs w:val="24"/>
        </w:rPr>
        <w:t xml:space="preserve"> Tieslietu un iekšlietu ministru padomes </w:t>
      </w:r>
      <w:r w:rsidRPr="00293CF7" w:rsidR="00B45F6F">
        <w:rPr>
          <w:rFonts w:ascii="Times New Roman" w:hAnsi="Times New Roman" w:cs="Times New Roman"/>
          <w:sz w:val="24"/>
          <w:szCs w:val="24"/>
        </w:rPr>
        <w:t xml:space="preserve">2020. gada 4. jūnija </w:t>
      </w:r>
      <w:r w:rsidRPr="00293CF7">
        <w:rPr>
          <w:rFonts w:ascii="Times New Roman" w:hAnsi="Times New Roman" w:cs="Times New Roman"/>
          <w:sz w:val="24"/>
          <w:szCs w:val="24"/>
        </w:rPr>
        <w:t xml:space="preserve">sanāksmē. Tāpat </w:t>
      </w:r>
      <w:r w:rsidR="00323C1D">
        <w:rPr>
          <w:rFonts w:ascii="Times New Roman" w:hAnsi="Times New Roman" w:cs="Times New Roman"/>
          <w:sz w:val="24"/>
          <w:szCs w:val="24"/>
          <w:shd w:val="clear" w:color="auto" w:fill="FFFFFF"/>
        </w:rPr>
        <w:t>r</w:t>
      </w:r>
      <w:r w:rsidRPr="00293CF7">
        <w:rPr>
          <w:rFonts w:ascii="Times New Roman" w:hAnsi="Times New Roman" w:cs="Times New Roman"/>
          <w:sz w:val="24"/>
          <w:szCs w:val="24"/>
          <w:shd w:val="clear" w:color="auto" w:fill="FFFFFF"/>
        </w:rPr>
        <w:t>egulas priekšlikuma kompromisa redakcija paredz noteikt regulu kā horizontāli piemērojamu instrumentu, kas ir piemērojams visos gadījumos, ja vien nav paredzēts speciāls regulējums citos Eiropas Savienības tiesību aktos.</w:t>
      </w:r>
    </w:p>
    <w:p w:rsidRPr="00293CF7" w:rsidR="00754CF4" w:rsidP="007E27F3" w:rsidRDefault="00754CF4" w14:paraId="763756F9" w14:textId="5B59B234">
      <w:pPr>
        <w:pStyle w:val="xxmsonormal"/>
        <w:ind w:firstLine="720"/>
        <w:jc w:val="both"/>
        <w:rPr>
          <w:rFonts w:ascii="Times New Roman" w:hAnsi="Times New Roman" w:cs="Times New Roman"/>
          <w:sz w:val="24"/>
          <w:szCs w:val="24"/>
        </w:rPr>
      </w:pPr>
      <w:r w:rsidRPr="00293CF7">
        <w:rPr>
          <w:rFonts w:ascii="Times New Roman" w:hAnsi="Times New Roman" w:cs="Times New Roman"/>
          <w:b/>
          <w:bCs/>
          <w:sz w:val="24"/>
          <w:szCs w:val="24"/>
        </w:rPr>
        <w:t>Latvija atbalsta</w:t>
      </w:r>
      <w:r w:rsidRPr="00293CF7">
        <w:rPr>
          <w:rFonts w:ascii="Times New Roman" w:hAnsi="Times New Roman" w:cs="Times New Roman"/>
          <w:sz w:val="24"/>
          <w:szCs w:val="24"/>
        </w:rPr>
        <w:t xml:space="preserve"> </w:t>
      </w:r>
      <w:r w:rsidR="00323C1D">
        <w:rPr>
          <w:rFonts w:ascii="Times New Roman" w:hAnsi="Times New Roman" w:cs="Times New Roman"/>
          <w:sz w:val="24"/>
          <w:szCs w:val="24"/>
        </w:rPr>
        <w:t>r</w:t>
      </w:r>
      <w:r w:rsidRPr="00293CF7">
        <w:rPr>
          <w:rFonts w:ascii="Times New Roman" w:hAnsi="Times New Roman" w:cs="Times New Roman"/>
          <w:sz w:val="24"/>
          <w:szCs w:val="24"/>
        </w:rPr>
        <w:t>egulas priekšlikuma mērķi veicināt tiesisko noteiktību pārrobežu lietās, jo šī mērķa sasniegšana nākotnē sekmēs pārrobežu darījumu aktivitāti un dalībvalstu finanšu tirgu kopējo izaugsmi.</w:t>
      </w:r>
    </w:p>
    <w:p w:rsidRPr="00293CF7" w:rsidR="00754CF4" w:rsidP="007E27F3" w:rsidRDefault="00754CF4" w14:paraId="44107CAD" w14:textId="77777777">
      <w:pPr>
        <w:pStyle w:val="xxmsonormal"/>
        <w:ind w:firstLine="720"/>
        <w:jc w:val="both"/>
        <w:rPr>
          <w:rFonts w:ascii="Times New Roman" w:hAnsi="Times New Roman" w:cs="Times New Roman"/>
          <w:sz w:val="24"/>
          <w:szCs w:val="24"/>
        </w:rPr>
      </w:pPr>
      <w:r w:rsidRPr="00293CF7">
        <w:rPr>
          <w:rFonts w:ascii="Times New Roman" w:hAnsi="Times New Roman" w:cs="Times New Roman"/>
          <w:b/>
          <w:bCs/>
          <w:sz w:val="24"/>
          <w:szCs w:val="24"/>
        </w:rPr>
        <w:t xml:space="preserve">Latvija atbalsta </w:t>
      </w:r>
      <w:r w:rsidRPr="00293CF7">
        <w:rPr>
          <w:rFonts w:ascii="Times New Roman" w:hAnsi="Times New Roman" w:cs="Times New Roman"/>
          <w:sz w:val="24"/>
          <w:szCs w:val="24"/>
        </w:rPr>
        <w:t xml:space="preserve">kā regulas priekšlikuma pamatnoteikumu paredzēt, ka </w:t>
      </w:r>
      <w:r w:rsidRPr="00293CF7">
        <w:rPr>
          <w:rFonts w:ascii="Times New Roman" w:hAnsi="Times New Roman" w:cs="Times New Roman"/>
          <w:sz w:val="24"/>
          <w:szCs w:val="24"/>
          <w:shd w:val="clear" w:color="auto" w:fill="FFFFFF"/>
        </w:rPr>
        <w:t>prasījumu cesijas radītās sekas attiecībā uz trešām personām reglamentē pēc tās valsts tiesību aktiem, kurā atrodas cedenta pastāvīgā mītnesvieta</w:t>
      </w:r>
      <w:r w:rsidRPr="00293CF7">
        <w:rPr>
          <w:rFonts w:ascii="Times New Roman" w:hAnsi="Times New Roman" w:cs="Times New Roman"/>
          <w:sz w:val="24"/>
          <w:szCs w:val="24"/>
        </w:rPr>
        <w:t>.</w:t>
      </w:r>
    </w:p>
    <w:p w:rsidRPr="00293CF7" w:rsidR="00754CF4" w:rsidP="007E27F3" w:rsidRDefault="00754CF4" w14:paraId="478BDA2E" w14:textId="1B1660B7">
      <w:pPr>
        <w:pStyle w:val="xxmsonormal"/>
        <w:ind w:firstLine="720"/>
        <w:jc w:val="both"/>
        <w:rPr>
          <w:rFonts w:ascii="Times New Roman" w:hAnsi="Times New Roman" w:cs="Times New Roman"/>
          <w:sz w:val="24"/>
          <w:szCs w:val="24"/>
        </w:rPr>
      </w:pPr>
      <w:r w:rsidRPr="00293CF7">
        <w:rPr>
          <w:rFonts w:ascii="Times New Roman" w:hAnsi="Times New Roman" w:cs="Times New Roman"/>
          <w:b/>
          <w:bCs/>
          <w:sz w:val="24"/>
          <w:szCs w:val="24"/>
        </w:rPr>
        <w:t>Latvija</w:t>
      </w:r>
      <w:r w:rsidRPr="00293CF7">
        <w:rPr>
          <w:rFonts w:ascii="Times New Roman" w:hAnsi="Times New Roman" w:cs="Times New Roman"/>
          <w:sz w:val="24"/>
          <w:szCs w:val="24"/>
        </w:rPr>
        <w:t xml:space="preserve"> pozitīvi raugās uz </w:t>
      </w:r>
      <w:r w:rsidR="00323C1D">
        <w:rPr>
          <w:rFonts w:ascii="Times New Roman" w:hAnsi="Times New Roman" w:cs="Times New Roman"/>
          <w:sz w:val="24"/>
          <w:szCs w:val="24"/>
        </w:rPr>
        <w:t>r</w:t>
      </w:r>
      <w:r w:rsidRPr="00293CF7">
        <w:rPr>
          <w:rFonts w:ascii="Times New Roman" w:hAnsi="Times New Roman" w:cs="Times New Roman"/>
          <w:sz w:val="24"/>
          <w:szCs w:val="24"/>
        </w:rPr>
        <w:t>egulas priekšlikumā paredzēto regulas piemērošanas jomu attiecināt uz prasījumiem, kas izriet no virtuālajiem aktīviem. B</w:t>
      </w:r>
      <w:r w:rsidRPr="00293CF7">
        <w:rPr>
          <w:rFonts w:ascii="Times New Roman" w:hAnsi="Times New Roman" w:cs="Times New Roman"/>
          <w:sz w:val="24"/>
          <w:szCs w:val="24"/>
          <w:shd w:val="clear" w:color="auto" w:fill="FFFFFF"/>
        </w:rPr>
        <w:t>lokķēdes tehnoloģijas pielietošanu finanšu jomā</w:t>
      </w:r>
      <w:r w:rsidRPr="00293CF7">
        <w:rPr>
          <w:rFonts w:ascii="Times New Roman" w:hAnsi="Times New Roman" w:cs="Times New Roman"/>
          <w:sz w:val="24"/>
          <w:szCs w:val="24"/>
        </w:rPr>
        <w:t xml:space="preserve"> plašāk iecerēts regulēt ar 2020.</w:t>
      </w:r>
      <w:r w:rsidRPr="00293CF7" w:rsidR="007D722A">
        <w:rPr>
          <w:rFonts w:ascii="Times New Roman" w:hAnsi="Times New Roman" w:cs="Times New Roman"/>
          <w:sz w:val="24"/>
          <w:szCs w:val="24"/>
        </w:rPr>
        <w:t> </w:t>
      </w:r>
      <w:r w:rsidRPr="00293CF7">
        <w:rPr>
          <w:rFonts w:ascii="Times New Roman" w:hAnsi="Times New Roman" w:cs="Times New Roman"/>
          <w:sz w:val="24"/>
          <w:szCs w:val="24"/>
        </w:rPr>
        <w:t>gada 24.</w:t>
      </w:r>
      <w:r w:rsidRPr="00293CF7" w:rsidR="00293CF7">
        <w:rPr>
          <w:rFonts w:ascii="Times New Roman" w:hAnsi="Times New Roman" w:cs="Times New Roman"/>
          <w:sz w:val="24"/>
          <w:szCs w:val="24"/>
        </w:rPr>
        <w:t> </w:t>
      </w:r>
      <w:r w:rsidRPr="00293CF7">
        <w:rPr>
          <w:rFonts w:ascii="Times New Roman" w:hAnsi="Times New Roman" w:cs="Times New Roman"/>
          <w:sz w:val="24"/>
          <w:szCs w:val="24"/>
        </w:rPr>
        <w:t>septembrī Eiropas Komisijas publicēto regulas priekšlikumu par kriptoaktīvu tirgiem un ar ko groza direktīvu (ES) 2019/1937 (MiCA regula), tāpēc virtuālo aktīvu definīcijas neesamība šobrīd nav šķērslis regulas priekšlikuma piemērošanas jomas paplašināšanai uz prasījumiem, kas izriet no šādiem aktīviem.</w:t>
      </w:r>
    </w:p>
    <w:p w:rsidRPr="00293CF7" w:rsidR="00D437D2" w:rsidP="007E27F3" w:rsidRDefault="00754CF4" w14:paraId="3AB87148" w14:textId="5900B275">
      <w:pPr>
        <w:pStyle w:val="xxmsolistparagraph"/>
        <w:ind w:firstLine="720"/>
        <w:jc w:val="both"/>
        <w:rPr>
          <w:rFonts w:ascii="Times New Roman" w:hAnsi="Times New Roman" w:cs="Times New Roman"/>
          <w:i/>
          <w:iCs/>
          <w:sz w:val="24"/>
          <w:szCs w:val="24"/>
        </w:rPr>
      </w:pPr>
      <w:r w:rsidRPr="00293CF7">
        <w:rPr>
          <w:rFonts w:ascii="Times New Roman" w:hAnsi="Times New Roman" w:cs="Times New Roman"/>
          <w:b/>
          <w:bCs/>
          <w:sz w:val="24"/>
          <w:szCs w:val="24"/>
        </w:rPr>
        <w:t>Latvija atbalsta</w:t>
      </w:r>
      <w:r w:rsidRPr="00293CF7">
        <w:rPr>
          <w:rFonts w:ascii="Times New Roman" w:hAnsi="Times New Roman" w:cs="Times New Roman"/>
          <w:sz w:val="24"/>
          <w:szCs w:val="24"/>
        </w:rPr>
        <w:t xml:space="preserve"> Portugāles prezidentūras ieceri apstiprināt vispārējo pieeju </w:t>
      </w:r>
      <w:r w:rsidR="00323C1D">
        <w:rPr>
          <w:rFonts w:ascii="Times New Roman" w:hAnsi="Times New Roman" w:cs="Times New Roman"/>
          <w:sz w:val="24"/>
          <w:szCs w:val="24"/>
        </w:rPr>
        <w:t>r</w:t>
      </w:r>
      <w:r w:rsidRPr="00293CF7">
        <w:rPr>
          <w:rFonts w:ascii="Times New Roman" w:hAnsi="Times New Roman" w:cs="Times New Roman"/>
          <w:sz w:val="24"/>
          <w:szCs w:val="24"/>
        </w:rPr>
        <w:t xml:space="preserve">egulas priekšlikumam. Portugāles prezidentūras sagatavotais </w:t>
      </w:r>
      <w:r w:rsidR="00323C1D">
        <w:rPr>
          <w:rFonts w:ascii="Times New Roman" w:hAnsi="Times New Roman" w:cs="Times New Roman"/>
          <w:sz w:val="24"/>
          <w:szCs w:val="24"/>
        </w:rPr>
        <w:t>r</w:t>
      </w:r>
      <w:r w:rsidRPr="00293CF7">
        <w:rPr>
          <w:rFonts w:ascii="Times New Roman" w:hAnsi="Times New Roman" w:cs="Times New Roman"/>
          <w:sz w:val="24"/>
          <w:szCs w:val="24"/>
        </w:rPr>
        <w:t>egulas priekšlikums ir Latvijai pieņemams kompromiss</w:t>
      </w:r>
      <w:r w:rsidRPr="00293CF7" w:rsidR="00FE0FA5">
        <w:rPr>
          <w:rFonts w:ascii="Times New Roman" w:hAnsi="Times New Roman" w:cs="Times New Roman"/>
          <w:sz w:val="24"/>
          <w:szCs w:val="24"/>
        </w:rPr>
        <w:t>.</w:t>
      </w:r>
    </w:p>
    <w:p w:rsidRPr="00293CF7" w:rsidR="00447D9D" w:rsidP="007E27F3" w:rsidRDefault="00447D9D" w14:paraId="2749CAF5" w14:textId="425DE016">
      <w:pPr>
        <w:ind w:firstLine="720"/>
        <w:jc w:val="both"/>
      </w:pPr>
    </w:p>
    <w:p w:rsidRPr="00293CF7" w:rsidR="0035541B" w:rsidP="007E27F3" w:rsidRDefault="00814C89" w14:paraId="6BC25F7A" w14:textId="16111D90">
      <w:pPr>
        <w:ind w:firstLine="720"/>
        <w:jc w:val="both"/>
      </w:pPr>
      <w:r w:rsidRPr="00293CF7">
        <w:rPr>
          <w:b/>
          <w:bCs/>
        </w:rPr>
        <w:t>2</w:t>
      </w:r>
      <w:r w:rsidRPr="00293CF7" w:rsidR="00481439">
        <w:rPr>
          <w:b/>
          <w:bCs/>
        </w:rPr>
        <w:t>.</w:t>
      </w:r>
      <w:r w:rsidRPr="00293CF7" w:rsidR="00293CF7">
        <w:rPr>
          <w:b/>
          <w:bCs/>
        </w:rPr>
        <w:t> </w:t>
      </w:r>
      <w:r w:rsidRPr="00293CF7" w:rsidR="009B38E5">
        <w:rPr>
          <w:b/>
          <w:bCs/>
        </w:rPr>
        <w:t>P</w:t>
      </w:r>
      <w:r w:rsidRPr="00293CF7" w:rsidR="00F30A07">
        <w:rPr>
          <w:rFonts w:eastAsia="Calibri"/>
          <w:b/>
          <w:bCs/>
        </w:rPr>
        <w:t>riekšlikum</w:t>
      </w:r>
      <w:r w:rsidRPr="00293CF7" w:rsidR="009B38E5">
        <w:rPr>
          <w:rFonts w:eastAsia="Calibri"/>
          <w:b/>
          <w:bCs/>
        </w:rPr>
        <w:t>s</w:t>
      </w:r>
      <w:r w:rsidRPr="00293CF7" w:rsidR="00F30A07">
        <w:rPr>
          <w:rFonts w:eastAsia="Calibri"/>
          <w:b/>
          <w:bCs/>
        </w:rPr>
        <w:t xml:space="preserve"> Eiropas Parlamenta un Padomes regulai par datorizētu sistēmu saziņai pārrobežu civilprocesos un kriminālprocesos (e-CODEX sistēma)</w:t>
      </w:r>
      <w:r w:rsidRPr="00293CF7" w:rsidR="00CE3007">
        <w:rPr>
          <w:rFonts w:eastAsia="Calibri"/>
          <w:b/>
          <w:bCs/>
        </w:rPr>
        <w:t>,</w:t>
      </w:r>
      <w:r w:rsidRPr="00293CF7" w:rsidR="00F30A07">
        <w:rPr>
          <w:rFonts w:eastAsia="Calibri"/>
          <w:b/>
          <w:bCs/>
        </w:rPr>
        <w:t xml:space="preserve"> un ar ko groza Regulu (ES) 2018/1726 </w:t>
      </w:r>
      <w:r w:rsidRPr="00293CF7" w:rsidR="000B19A6">
        <w:t>(</w:t>
      </w:r>
      <w:r w:rsidRPr="00293CF7" w:rsidR="000B19A6">
        <w:rPr>
          <w:i/>
          <w:iCs/>
        </w:rPr>
        <w:t>vispārējā pieeja</w:t>
      </w:r>
      <w:r w:rsidRPr="00293CF7" w:rsidR="000B19A6">
        <w:t xml:space="preserve">) </w:t>
      </w:r>
    </w:p>
    <w:p w:rsidRPr="00293CF7" w:rsidR="004A4EA7" w:rsidP="00293CF7" w:rsidRDefault="004A4EA7" w14:paraId="5368E17B" w14:textId="20BD3067">
      <w:pPr>
        <w:ind w:firstLine="720"/>
        <w:jc w:val="both"/>
      </w:pPr>
      <w:r w:rsidRPr="00293CF7">
        <w:t>Eiropas Komisija 2020.</w:t>
      </w:r>
      <w:r w:rsidRPr="00293CF7" w:rsidR="00E50050">
        <w:t> </w:t>
      </w:r>
      <w:r w:rsidRPr="00293CF7">
        <w:t>gada 4.</w:t>
      </w:r>
      <w:r w:rsidRPr="00293CF7" w:rsidR="00E50050">
        <w:t> </w:t>
      </w:r>
      <w:r w:rsidRPr="00293CF7">
        <w:t xml:space="preserve">decembrī nāca klajā ar </w:t>
      </w:r>
      <w:r w:rsidRPr="00293CF7">
        <w:rPr>
          <w:lang w:eastAsia="fr-BE"/>
        </w:rPr>
        <w:t>priekšlikumu</w:t>
      </w:r>
      <w:r w:rsidRPr="00293CF7">
        <w:rPr>
          <w:rStyle w:val="Vresatsauce"/>
          <w:lang w:eastAsia="fr-BE"/>
        </w:rPr>
        <w:footnoteReference w:id="4"/>
      </w:r>
      <w:r w:rsidRPr="00293CF7">
        <w:rPr>
          <w:lang w:eastAsia="fr-BE"/>
        </w:rPr>
        <w:t xml:space="preserve"> Eiropas Parlamenta un Padomes regulai </w:t>
      </w:r>
      <w:r w:rsidRPr="00293CF7">
        <w:rPr>
          <w:rFonts w:eastAsia="Calibri"/>
        </w:rPr>
        <w:t>par datorizētu sistēmu saziņai pārrobežu civilprocesos un kriminālprocesos (e-CODEX</w:t>
      </w:r>
      <w:r w:rsidRPr="00293CF7">
        <w:rPr>
          <w:rStyle w:val="Vresatsauce"/>
          <w:rFonts w:eastAsia="Calibri"/>
        </w:rPr>
        <w:footnoteReference w:id="5"/>
      </w:r>
      <w:r w:rsidRPr="00293CF7">
        <w:rPr>
          <w:rFonts w:eastAsia="Calibri"/>
        </w:rPr>
        <w:t xml:space="preserve"> sistēma), un ar ko groza Regulu (ES) 2018/1726</w:t>
      </w:r>
      <w:r w:rsidRPr="00293CF7">
        <w:rPr>
          <w:rStyle w:val="Vresatsauce"/>
          <w:rFonts w:eastAsia="Calibri"/>
        </w:rPr>
        <w:footnoteReference w:id="6"/>
      </w:r>
      <w:r w:rsidRPr="00293CF7">
        <w:rPr>
          <w:lang w:eastAsia="fr-BE"/>
        </w:rPr>
        <w:t xml:space="preserve"> (turpmāk – Regulas priekšlikums).</w:t>
      </w:r>
      <w:r w:rsidRPr="00293CF7">
        <w:t xml:space="preserve"> </w:t>
      </w:r>
    </w:p>
    <w:p w:rsidRPr="00293CF7" w:rsidR="0039129E" w:rsidP="007E27F3" w:rsidRDefault="0039129E" w14:paraId="492F0FD3" w14:textId="7DAA8A95">
      <w:pPr>
        <w:ind w:firstLine="720"/>
        <w:jc w:val="both"/>
      </w:pPr>
      <w:r w:rsidRPr="00F62C6B">
        <w:t>E-CODEX</w:t>
      </w:r>
      <w:r w:rsidRPr="00293CF7">
        <w:t xml:space="preserve"> ir </w:t>
      </w:r>
      <w:r w:rsidRPr="00293CF7" w:rsidR="000E7C5A">
        <w:t>informācijas tehnoloģij</w:t>
      </w:r>
      <w:r w:rsidRPr="00293CF7" w:rsidR="00BD201B">
        <w:t>u</w:t>
      </w:r>
      <w:r w:rsidRPr="00293CF7" w:rsidR="000E7C5A">
        <w:t xml:space="preserve"> (turpmāk – </w:t>
      </w:r>
      <w:r w:rsidRPr="00293CF7">
        <w:t>IT</w:t>
      </w:r>
      <w:r w:rsidRPr="00293CF7" w:rsidR="000E7C5A">
        <w:t>)</w:t>
      </w:r>
      <w:r w:rsidRPr="00293CF7">
        <w:t xml:space="preserve"> </w:t>
      </w:r>
      <w:r w:rsidRPr="00293CF7" w:rsidR="00B40CFA">
        <w:t>risinājums, kas izveidots</w:t>
      </w:r>
      <w:r w:rsidRPr="00293CF7">
        <w:t xml:space="preserve"> pārrobežu tiesu iestāžu sadarbībai. E-CODEX sistēma ir rīks, kas īpaši izstrādāts, lai atvieglotu jebkāda elektroniska satura elektronisku pārrobežu apmaiņu tieslietu jomā. E-CODEX sistēmas mērķis ir uzlabot pārrobežu saziņas efektivitāti starp kompetentajām iestādēm un atvieglot iedzīvotāju un uzņēmumu piekļuvi tiesu iestādēm. Šī sistēma, neatkarīgi no tā, vai tās ir tiesu iestādes, praktizējoši juristi vai iedzīvotāji, ļauj drošā veidā nosūtīt un saņemt dokumentus, juridiskas veidlapas, pierādījumus vai citu informāciju.</w:t>
      </w:r>
    </w:p>
    <w:p w:rsidRPr="00293CF7" w:rsidR="002A6DE2" w:rsidP="007E27F3" w:rsidRDefault="00B40CFA" w14:paraId="257E7B7B" w14:textId="3F93CD94">
      <w:pPr>
        <w:ind w:firstLine="720"/>
        <w:jc w:val="both"/>
      </w:pPr>
      <w:r w:rsidRPr="00293CF7">
        <w:lastRenderedPageBreak/>
        <w:t xml:space="preserve">E-CODEX darbojas kā decentralizēts piekļuves punktu tīkls, savstarpēji savienojot nacionālās un Eiropas IT sistēmas. Lai izveidotu </w:t>
      </w:r>
      <w:r w:rsidR="009C601A">
        <w:t>e</w:t>
      </w:r>
      <w:r w:rsidRPr="00293CF7">
        <w:t>-CODEX piekļuves punktu, ir nepieciešama speciāla programmatūra</w:t>
      </w:r>
      <w:r w:rsidR="009C601A">
        <w:t>.</w:t>
      </w:r>
      <w:r w:rsidRPr="00293CF7">
        <w:t xml:space="preserve"> E-CODEX nav lietotne gala lietotājam. </w:t>
      </w:r>
      <w:r w:rsidRPr="00293CF7" w:rsidR="0039129E">
        <w:t>E</w:t>
      </w:r>
      <w:r w:rsidRPr="00293CF7" w:rsidR="0039129E">
        <w:rPr>
          <w:i/>
          <w:iCs/>
        </w:rPr>
        <w:t>-</w:t>
      </w:r>
      <w:r w:rsidRPr="00293CF7" w:rsidR="0039129E">
        <w:t>CODEX sistēmu izstrādāja 21 E</w:t>
      </w:r>
      <w:r w:rsidR="009C601A">
        <w:t>iropas Savienības</w:t>
      </w:r>
      <w:r w:rsidRPr="00293CF7" w:rsidR="0039129E">
        <w:t xml:space="preserve"> dalībvalsts</w:t>
      </w:r>
      <w:r w:rsidRPr="00293CF7" w:rsidR="00FE0FA5">
        <w:rPr>
          <w:rStyle w:val="Vresatsauce"/>
        </w:rPr>
        <w:footnoteReference w:id="7"/>
      </w:r>
      <w:r w:rsidRPr="00293CF7" w:rsidR="0039129E">
        <w:t xml:space="preserve"> konsorcijs laikposmā no 2010. līdz 2016. gadam ar E</w:t>
      </w:r>
      <w:r w:rsidR="009C601A">
        <w:t>iropas Savienības</w:t>
      </w:r>
      <w:r w:rsidRPr="00293CF7" w:rsidR="0039129E">
        <w:t xml:space="preserve"> finansējumu no Konkurētspējas un inovāciju pamatprogrammas (</w:t>
      </w:r>
      <w:r w:rsidRPr="00293CF7" w:rsidR="0039129E">
        <w:rPr>
          <w:i/>
          <w:iCs/>
        </w:rPr>
        <w:t>CIP</w:t>
      </w:r>
      <w:r w:rsidRPr="00293CF7" w:rsidR="0039129E">
        <w:t xml:space="preserve">) politikas atbalsta programmas. Līdz šim dalībvalstis ir izmantojušas e-CODEX sistēmu tādām procedūrām, kā Eiropas maksājuma rīkojums </w:t>
      </w:r>
      <w:r w:rsidRPr="00293CF7" w:rsidR="0046112F">
        <w:t>un</w:t>
      </w:r>
      <w:r w:rsidRPr="00293CF7" w:rsidR="0039129E">
        <w:t xml:space="preserve"> Eiropas procedūra maza apmēra prasības. Eiropas Komisija paralēli izstrādā e-pierādījumu digitālās apmaiņas sistēmu (</w:t>
      </w:r>
      <w:r w:rsidRPr="00293CF7" w:rsidR="0039129E">
        <w:rPr>
          <w:i/>
          <w:iCs/>
        </w:rPr>
        <w:t>eEDES</w:t>
      </w:r>
      <w:r w:rsidRPr="00293CF7" w:rsidR="0039129E">
        <w:t>), izmantojot e</w:t>
      </w:r>
      <w:r w:rsidRPr="00293CF7" w:rsidR="0039129E">
        <w:rPr>
          <w:i/>
          <w:iCs/>
        </w:rPr>
        <w:t>-</w:t>
      </w:r>
      <w:r w:rsidRPr="00F62C6B" w:rsidR="0039129E">
        <w:t>CODEX</w:t>
      </w:r>
      <w:r w:rsidRPr="00293CF7" w:rsidR="0039129E">
        <w:t xml:space="preserve"> kā saziņas kanālu. Paredzams, ka dalībvalstis pievienosies </w:t>
      </w:r>
      <w:r w:rsidRPr="00293CF7" w:rsidR="0039129E">
        <w:rPr>
          <w:i/>
          <w:iCs/>
        </w:rPr>
        <w:t>eEDES</w:t>
      </w:r>
      <w:r w:rsidRPr="00293CF7" w:rsidR="0039129E">
        <w:t xml:space="preserve"> 2021. gadā. </w:t>
      </w:r>
    </w:p>
    <w:p w:rsidRPr="00293CF7" w:rsidR="0039129E" w:rsidP="007E27F3" w:rsidRDefault="0039129E" w14:paraId="4900A9AE" w14:textId="790673C2">
      <w:pPr>
        <w:ind w:firstLine="720"/>
        <w:jc w:val="both"/>
      </w:pPr>
      <w:r w:rsidRPr="00293CF7">
        <w:t xml:space="preserve">Regulas priekšlikuma mērķis ir nodrošināt ilgtspējīgu sistēmas tiesisko regulējumu, nododot tās pārvaldību Eiropas Savienības Aģentūrai liela mēroga IT sistēmu darbības pārvaldībai brīvības, drošības un tiesiskuma telpā (eu-LISA), kas izveidota saskaņā ar </w:t>
      </w:r>
      <w:r w:rsidRPr="00293CF7" w:rsidR="002A6DE2">
        <w:t>r</w:t>
      </w:r>
      <w:r w:rsidRPr="00293CF7">
        <w:t>egulu Nr.</w:t>
      </w:r>
      <w:r w:rsidRPr="00293CF7" w:rsidR="00293CF7">
        <w:t> </w:t>
      </w:r>
      <w:r w:rsidRPr="00293CF7">
        <w:t xml:space="preserve">2018/1726. Regulas priekšlikums ierosina eu-LISA atbildībā nodot e-CODEX tehnisko uzturēšanu, attīstību un atbalsta sniegšanu autorizētajiem e-CODEX piekļuves punktiem, kā arī apmācību nodrošināšanu. </w:t>
      </w:r>
      <w:r w:rsidRPr="00293CF7" w:rsidR="009217E0">
        <w:t>Regulas p</w:t>
      </w:r>
      <w:r w:rsidRPr="00293CF7">
        <w:t xml:space="preserve">riekšlikumā tiek definēts, kas veido e-CODEX sistēmas komponentus, kā arī </w:t>
      </w:r>
      <w:r w:rsidR="009C601A">
        <w:t xml:space="preserve">tajā </w:t>
      </w:r>
      <w:r w:rsidRPr="00293CF7">
        <w:t>ir iekļauti noteikumi par tās darbību un attīstību, lai garantētu tās ilgtspējību ilgtermiņā. Regulas priekšlikumā ir izklāstīts process, kādā e-CODEX sistēma tiek pārnesta no dalībvalstu konsorcija, kas pašlaik pārvalda e-CODEX sistēmu, uz eu-LISA, kā arī darba procesiem, ka</w:t>
      </w:r>
      <w:r w:rsidRPr="00293CF7" w:rsidR="001C0251">
        <w:t>s</w:t>
      </w:r>
      <w:r w:rsidRPr="00293CF7">
        <w:t xml:space="preserve"> stāsies spēkā pie sistēmas nodošanas. Lai garantētu sistēmas nepārtrauktu darbību un uzturēšanu, e-CODEX nodošana eu-LISA būtu jāveic ne ātrāk kā 2023.</w:t>
      </w:r>
      <w:r w:rsidR="00293CF7">
        <w:t> </w:t>
      </w:r>
      <w:r w:rsidRPr="00293CF7">
        <w:t>gada jūlijā.</w:t>
      </w:r>
    </w:p>
    <w:p w:rsidRPr="00293CF7" w:rsidR="002A6DE2" w:rsidP="007E27F3" w:rsidRDefault="0039129E" w14:paraId="4434FE88" w14:textId="4D166218">
      <w:pPr>
        <w:autoSpaceDE w:val="0"/>
        <w:autoSpaceDN w:val="0"/>
        <w:adjustRightInd w:val="0"/>
        <w:ind w:firstLine="720"/>
        <w:jc w:val="both"/>
      </w:pPr>
      <w:r w:rsidRPr="00293CF7">
        <w:t xml:space="preserve">Eu-LISA pārvaldības struktūra ļauj dalībvalstīm iesaistīties e-CODEX sistēmas pārvaldībā, piedaloties </w:t>
      </w:r>
      <w:proofErr w:type="spellStart"/>
      <w:r w:rsidRPr="00293CF7" w:rsidR="009B57FD">
        <w:t>eu-LISA</w:t>
      </w:r>
      <w:proofErr w:type="spellEnd"/>
      <w:r w:rsidRPr="00293CF7" w:rsidR="009B57FD">
        <w:t xml:space="preserve"> </w:t>
      </w:r>
      <w:r w:rsidRPr="00293CF7">
        <w:t xml:space="preserve">valdē, e-CODEX padomdevēju grupā un e-CODEX programmas vadības valdē. Dalībvalstu atbildība būs autorizēt e-CODEX piekļuves punktus, kas darbojas tās teritorijā, uzturēt sarakstu ar tās autorizētajiem piekļuves punktiem un elektronisko procedūru standartiem, kurus šie punkti pielietotu. Tāpat dalībvalsts būs tiesīga nozīmēt e-CODEX korespondentus, kuriem ir tiesības pieprasīt un saņemt tehnisko atbalstu no eu-LISA. Tāpat arī dalībvalsts pienākums būs </w:t>
      </w:r>
      <w:r w:rsidRPr="00293CF7" w:rsidR="007D722A">
        <w:t xml:space="preserve">katru gadu </w:t>
      </w:r>
      <w:r w:rsidRPr="00293CF7">
        <w:t>līdz 31.</w:t>
      </w:r>
      <w:r w:rsidR="00293CF7">
        <w:t> </w:t>
      </w:r>
      <w:r w:rsidRPr="00293CF7">
        <w:t>janvārim eu-LISA sniegt informāciju par e-CODEX lietojumu statistiku, kā arī informāciju par fiksētajiem drošības incidentiem.</w:t>
      </w:r>
    </w:p>
    <w:p w:rsidRPr="00293CF7" w:rsidR="0039129E" w:rsidP="007E27F3" w:rsidRDefault="0039129E" w14:paraId="240F5561" w14:textId="2442754B">
      <w:pPr>
        <w:autoSpaceDE w:val="0"/>
        <w:autoSpaceDN w:val="0"/>
        <w:adjustRightInd w:val="0"/>
        <w:ind w:firstLine="720"/>
        <w:jc w:val="both"/>
      </w:pPr>
      <w:r w:rsidRPr="00293CF7">
        <w:t>Regulas priekšlikumā ir ieviestas garantijas tiesu iestāžu neatkarībai attiecībā uz e-CODEX sistēmas darbību, paredzot sistēmas pārraudzību, ko veic e-CODEX programmas valde. Papildinot dalībvalstu uzraudzību, šai struktūrai būtu jānodrošina, ka visi eu-LISA veiktie pasākumi attiecībā uz e-CODEX sistēmu – gan tehniskie, gan organizatoriskie, garantē tiesu iestāžu neatkarību. Turklāt ir precizēts, ka e-CODEX programmas vadības valdes darbā ir jāiesaista ieinteresētās personas un eksperti, tostarp tiesu varas pārstāvji, praktizējoši juristi un profesionālās organizācijas, kuras saistītas ar e-CODEX sistēmas izmantošanu</w:t>
      </w:r>
      <w:r w:rsidRPr="00293CF7" w:rsidR="00C77F39">
        <w:t>.</w:t>
      </w:r>
      <w:r w:rsidRPr="00293CF7" w:rsidR="002A6DE2">
        <w:t xml:space="preserve"> </w:t>
      </w:r>
      <w:r w:rsidRPr="00293CF7" w:rsidR="00C77F39">
        <w:t>Š</w:t>
      </w:r>
      <w:r w:rsidRPr="00293CF7">
        <w:t>ādas iesai</w:t>
      </w:r>
      <w:r w:rsidRPr="00293CF7" w:rsidR="002A6DE2">
        <w:t>s</w:t>
      </w:r>
      <w:r w:rsidRPr="00293CF7">
        <w:t xml:space="preserve">tes garantijas ietvertas arī attiecībā uz e-CODEX </w:t>
      </w:r>
      <w:r w:rsidR="009C601A">
        <w:t>p</w:t>
      </w:r>
      <w:r w:rsidRPr="00293CF7">
        <w:t>adomdevēj</w:t>
      </w:r>
      <w:r w:rsidR="009C601A">
        <w:t xml:space="preserve">u </w:t>
      </w:r>
      <w:r w:rsidRPr="00293CF7">
        <w:t>grupas darbu</w:t>
      </w:r>
      <w:r w:rsidRPr="00293CF7" w:rsidR="002A6DE2">
        <w:t>.</w:t>
      </w:r>
    </w:p>
    <w:p w:rsidRPr="00293CF7" w:rsidR="002A6DE2" w:rsidP="007E27F3" w:rsidRDefault="002A6DE2" w14:paraId="5C5C791D" w14:textId="77777777">
      <w:pPr>
        <w:autoSpaceDE w:val="0"/>
        <w:autoSpaceDN w:val="0"/>
        <w:adjustRightInd w:val="0"/>
        <w:ind w:firstLine="720"/>
        <w:jc w:val="both"/>
        <w:rPr>
          <w:sz w:val="12"/>
          <w:szCs w:val="12"/>
        </w:rPr>
      </w:pPr>
    </w:p>
    <w:p w:rsidRPr="00293CF7" w:rsidR="002A6DE2" w:rsidP="007E27F3" w:rsidRDefault="002A6DE2" w14:paraId="77C286F1" w14:textId="561A8015">
      <w:pPr>
        <w:ind w:firstLine="720"/>
        <w:jc w:val="both"/>
        <w:rPr>
          <w:bCs/>
        </w:rPr>
      </w:pPr>
      <w:r w:rsidRPr="00293CF7">
        <w:rPr>
          <w:b/>
        </w:rPr>
        <w:t>Latvija</w:t>
      </w:r>
      <w:r w:rsidRPr="00293CF7">
        <w:rPr>
          <w:bCs/>
        </w:rPr>
        <w:t xml:space="preserve"> pozitīvi raugās uz </w:t>
      </w:r>
      <w:r w:rsidR="009C601A">
        <w:rPr>
          <w:bCs/>
        </w:rPr>
        <w:t>r</w:t>
      </w:r>
      <w:r w:rsidRPr="00293CF7">
        <w:rPr>
          <w:bCs/>
        </w:rPr>
        <w:t>egulas priekšlikumā iekļauto mērķi nodrošināt institucionālu un stabilu pamatu turpmākai e-CODEX sistēmas uzturēšanai un attīstībai, kas ir iezīmēts kā centrālais tehnoloģiskās sadarbspējas mehānisms turpmākajos centienos tieslietu jomas digitalizācijā.</w:t>
      </w:r>
    </w:p>
    <w:p w:rsidRPr="00293CF7" w:rsidR="002A6DE2" w:rsidP="007E27F3" w:rsidRDefault="002A6DE2" w14:paraId="22765B62" w14:textId="18C67B11">
      <w:pPr>
        <w:ind w:firstLine="720"/>
        <w:jc w:val="both"/>
        <w:rPr>
          <w:bCs/>
        </w:rPr>
      </w:pPr>
      <w:r w:rsidRPr="00293CF7">
        <w:rPr>
          <w:b/>
        </w:rPr>
        <w:t>Latvijai</w:t>
      </w:r>
      <w:r w:rsidRPr="00293CF7">
        <w:rPr>
          <w:bCs/>
        </w:rPr>
        <w:t xml:space="preserve"> ir būtiski, lai jaunie eu-LISA pienākumi, kas saistīti ar e-CODEX, </w:t>
      </w:r>
      <w:r w:rsidRPr="00293CF7">
        <w:t>negatīvi neietekmē iekšlietu lielapjoma informācijas sistēmu</w:t>
      </w:r>
      <w:r w:rsidRPr="00293CF7">
        <w:rPr>
          <w:rStyle w:val="Vresatsauce"/>
        </w:rPr>
        <w:footnoteReference w:id="8"/>
      </w:r>
      <w:r w:rsidRPr="00293CF7">
        <w:t xml:space="preserve"> un sadarbspējas ieviešanu</w:t>
      </w:r>
      <w:r w:rsidRPr="00293CF7">
        <w:rPr>
          <w:bCs/>
        </w:rPr>
        <w:t>, kurai jānoslēdzas 2023.</w:t>
      </w:r>
      <w:r w:rsidRPr="00293CF7" w:rsidR="007D722A">
        <w:rPr>
          <w:bCs/>
        </w:rPr>
        <w:t> </w:t>
      </w:r>
      <w:r w:rsidRPr="00293CF7">
        <w:rPr>
          <w:bCs/>
        </w:rPr>
        <w:t>gadā.</w:t>
      </w:r>
    </w:p>
    <w:p w:rsidRPr="00293CF7" w:rsidR="002A6DE2" w:rsidP="007E27F3" w:rsidRDefault="002A6DE2" w14:paraId="60720ABF" w14:textId="51B08802">
      <w:pPr>
        <w:ind w:firstLine="720"/>
        <w:jc w:val="both"/>
        <w:rPr>
          <w:bCs/>
        </w:rPr>
      </w:pPr>
      <w:r w:rsidRPr="00293CF7">
        <w:rPr>
          <w:b/>
        </w:rPr>
        <w:lastRenderedPageBreak/>
        <w:t xml:space="preserve">Latvija </w:t>
      </w:r>
      <w:r w:rsidRPr="00293CF7">
        <w:rPr>
          <w:bCs/>
        </w:rPr>
        <w:t>pauž cerības, ka vienlaikus ar e-CODEX tehniskā risinājuma nonākšanu eu-LISA paspārnē šis tehniskais risinājums attīstīsies un pilnveidosies kopsolī ar mūsdienu tehnoloģiskajām iespējām un risinājumiem, lai tādējādi e-CODEX izmantošana E</w:t>
      </w:r>
      <w:r w:rsidR="009C601A">
        <w:rPr>
          <w:bCs/>
        </w:rPr>
        <w:t>iropas Savienības</w:t>
      </w:r>
      <w:r w:rsidRPr="00293CF7">
        <w:rPr>
          <w:bCs/>
        </w:rPr>
        <w:t xml:space="preserve"> instrumentu darbībā, savienojumā ar dalībvalstu nacionālajām IT sistēmām kļūtu optimālāk ieviešama un pārvaldāma arī no dalībvalstu autorizētajiem e-CODEX piekļuves punktiem.</w:t>
      </w:r>
    </w:p>
    <w:p w:rsidRPr="00293CF7" w:rsidR="00CC223E" w:rsidP="007E27F3" w:rsidRDefault="00CC223E" w14:paraId="3E65BFEC" w14:textId="556761A1">
      <w:pPr>
        <w:pStyle w:val="ListParagraph1"/>
        <w:ind w:left="0" w:firstLine="720"/>
        <w:jc w:val="both"/>
      </w:pPr>
      <w:r w:rsidRPr="00293CF7">
        <w:rPr>
          <w:b/>
        </w:rPr>
        <w:t>Latvija atbalsta</w:t>
      </w:r>
      <w:r w:rsidRPr="00293CF7">
        <w:t xml:space="preserve"> </w:t>
      </w:r>
      <w:r w:rsidRPr="00293CF7" w:rsidR="001320B9">
        <w:t>Portugāles</w:t>
      </w:r>
      <w:r w:rsidRPr="00293CF7">
        <w:t xml:space="preserve"> prezidentūras ieceri apstiprināt vispārējo</w:t>
      </w:r>
      <w:r w:rsidRPr="00293CF7" w:rsidR="00767E26">
        <w:t xml:space="preserve"> pieeju </w:t>
      </w:r>
      <w:r w:rsidR="009C601A">
        <w:t>r</w:t>
      </w:r>
      <w:r w:rsidRPr="00293CF7">
        <w:t>egul</w:t>
      </w:r>
      <w:r w:rsidRPr="00293CF7" w:rsidR="001320B9">
        <w:t>as</w:t>
      </w:r>
      <w:r w:rsidRPr="00293CF7">
        <w:t xml:space="preserve"> priekšlikum</w:t>
      </w:r>
      <w:r w:rsidRPr="00293CF7" w:rsidR="001320B9">
        <w:t>am</w:t>
      </w:r>
      <w:r w:rsidRPr="00293CF7">
        <w:t xml:space="preserve">. </w:t>
      </w:r>
      <w:r w:rsidRPr="00293CF7" w:rsidR="001320B9">
        <w:t xml:space="preserve">Portugāles </w:t>
      </w:r>
      <w:r w:rsidRPr="00293CF7">
        <w:t xml:space="preserve">prezidentūras sagatavotais </w:t>
      </w:r>
      <w:r w:rsidR="009C601A">
        <w:t>r</w:t>
      </w:r>
      <w:r w:rsidRPr="00293CF7" w:rsidR="001320B9">
        <w:t xml:space="preserve">egulas </w:t>
      </w:r>
      <w:r w:rsidRPr="00293CF7">
        <w:rPr>
          <w:lang w:eastAsia="fr-BE"/>
        </w:rPr>
        <w:t xml:space="preserve">priekšlikums </w:t>
      </w:r>
      <w:r w:rsidRPr="00293CF7">
        <w:t>ir Latvijai pieņemams kompromiss.</w:t>
      </w:r>
    </w:p>
    <w:p w:rsidRPr="00293CF7" w:rsidR="00CC223E" w:rsidP="007E27F3" w:rsidRDefault="00CC223E" w14:paraId="6080964D" w14:textId="7A193022">
      <w:pPr>
        <w:ind w:firstLine="720"/>
        <w:jc w:val="both"/>
      </w:pPr>
      <w:r w:rsidRPr="00293CF7">
        <w:rPr>
          <w:lang w:eastAsia="lv-LV"/>
        </w:rPr>
        <w:t>Latvija</w:t>
      </w:r>
      <w:r w:rsidRPr="00293CF7" w:rsidR="00355E97">
        <w:rPr>
          <w:lang w:eastAsia="lv-LV"/>
        </w:rPr>
        <w:t>i</w:t>
      </w:r>
      <w:r w:rsidRPr="00293CF7">
        <w:rPr>
          <w:lang w:eastAsia="lv-LV"/>
        </w:rPr>
        <w:t xml:space="preserve"> ir sagatavota nacionālā pozīcija p</w:t>
      </w:r>
      <w:r w:rsidRPr="00293CF7">
        <w:t xml:space="preserve">ar </w:t>
      </w:r>
      <w:r w:rsidR="009C601A">
        <w:t>r</w:t>
      </w:r>
      <w:r w:rsidRPr="00293CF7">
        <w:t>egul</w:t>
      </w:r>
      <w:r w:rsidRPr="00293CF7" w:rsidR="001320B9">
        <w:t>as</w:t>
      </w:r>
      <w:r w:rsidRPr="00293CF7">
        <w:t xml:space="preserve"> priekšlikum</w:t>
      </w:r>
      <w:r w:rsidRPr="00293CF7" w:rsidR="001320B9">
        <w:t>u</w:t>
      </w:r>
      <w:r w:rsidRPr="00293CF7">
        <w:t>.</w:t>
      </w:r>
    </w:p>
    <w:p w:rsidRPr="00293CF7" w:rsidR="00814C89" w:rsidP="007E27F3" w:rsidRDefault="00814C89" w14:paraId="4698E3B6" w14:textId="72649EAC">
      <w:pPr>
        <w:ind w:firstLine="720"/>
        <w:jc w:val="both"/>
      </w:pPr>
    </w:p>
    <w:p w:rsidRPr="00293CF7" w:rsidR="00814C89" w:rsidP="007E27F3" w:rsidRDefault="00FD7F9C" w14:paraId="32618F0D" w14:textId="0CCA0941">
      <w:pPr>
        <w:ind w:firstLine="720"/>
        <w:jc w:val="both"/>
        <w:rPr>
          <w:bCs/>
        </w:rPr>
      </w:pPr>
      <w:r w:rsidRPr="00293CF7">
        <w:rPr>
          <w:b/>
        </w:rPr>
        <w:t>3</w:t>
      </w:r>
      <w:r w:rsidRPr="00293CF7" w:rsidR="00814C89">
        <w:rPr>
          <w:b/>
        </w:rPr>
        <w:t xml:space="preserve">. Priekšlikums </w:t>
      </w:r>
      <w:r w:rsidRPr="00293CF7" w:rsidR="00814C89">
        <w:rPr>
          <w:b/>
          <w:iCs/>
        </w:rPr>
        <w:t>Padomes regulai, ar kuru groza Padomes regulu Nr.</w:t>
      </w:r>
      <w:r w:rsidR="00293CF7">
        <w:rPr>
          <w:b/>
          <w:iCs/>
        </w:rPr>
        <w:t> </w:t>
      </w:r>
      <w:r w:rsidRPr="00293CF7" w:rsidR="00814C89">
        <w:rPr>
          <w:b/>
          <w:iCs/>
        </w:rPr>
        <w:t>168/2007, ar ko izveido Eiropas Savienības Pamattiesību aģentūru</w:t>
      </w:r>
      <w:r w:rsidRPr="00293CF7" w:rsidR="00814C89">
        <w:rPr>
          <w:rFonts w:eastAsia="Calibri"/>
          <w:b/>
          <w:iCs/>
          <w:lang w:eastAsia="lv-LV"/>
        </w:rPr>
        <w:t xml:space="preserve"> </w:t>
      </w:r>
      <w:r w:rsidRPr="00293CF7" w:rsidR="00814C89">
        <w:rPr>
          <w:bCs/>
        </w:rPr>
        <w:t>(</w:t>
      </w:r>
      <w:r w:rsidRPr="00293CF7" w:rsidR="00814C89">
        <w:rPr>
          <w:bCs/>
          <w:i/>
          <w:iCs/>
        </w:rPr>
        <w:t>vispārējā pieeja</w:t>
      </w:r>
      <w:r w:rsidRPr="00293CF7" w:rsidR="00814C89">
        <w:rPr>
          <w:bCs/>
        </w:rPr>
        <w:t>)</w:t>
      </w:r>
      <w:r w:rsidRPr="00293CF7" w:rsidR="00814C89">
        <w:rPr>
          <w:rStyle w:val="Vresatsauce"/>
          <w:b/>
        </w:rPr>
        <w:footnoteReference w:id="9"/>
      </w:r>
    </w:p>
    <w:p w:rsidRPr="00293CF7" w:rsidR="006A0712" w:rsidP="00293CF7" w:rsidRDefault="006A0712" w14:paraId="3D4F18D1" w14:textId="473BE737">
      <w:pPr>
        <w:pStyle w:val="Pamatteksts2"/>
        <w:spacing w:after="0" w:line="240" w:lineRule="auto"/>
        <w:ind w:firstLine="720"/>
        <w:jc w:val="both"/>
        <w:rPr>
          <w:lang w:eastAsia="lv-LV"/>
        </w:rPr>
      </w:pPr>
      <w:r w:rsidRPr="00293CF7">
        <w:rPr>
          <w:lang w:eastAsia="lv-LV"/>
        </w:rPr>
        <w:t>2020.</w:t>
      </w:r>
      <w:r w:rsidRPr="00293CF7" w:rsidR="00E50050">
        <w:rPr>
          <w:lang w:eastAsia="lv-LV"/>
        </w:rPr>
        <w:t xml:space="preserve"> </w:t>
      </w:r>
      <w:r w:rsidRPr="00293CF7">
        <w:rPr>
          <w:lang w:eastAsia="lv-LV"/>
        </w:rPr>
        <w:t xml:space="preserve">gada </w:t>
      </w:r>
      <w:r w:rsidRPr="00293CF7" w:rsidR="00C50817">
        <w:rPr>
          <w:lang w:eastAsia="lv-LV"/>
        </w:rPr>
        <w:t>5</w:t>
      </w:r>
      <w:r w:rsidRPr="00293CF7">
        <w:rPr>
          <w:lang w:eastAsia="lv-LV"/>
        </w:rPr>
        <w:t>.</w:t>
      </w:r>
      <w:r w:rsidRPr="00293CF7" w:rsidR="00E50050">
        <w:rPr>
          <w:lang w:eastAsia="lv-LV"/>
        </w:rPr>
        <w:t> </w:t>
      </w:r>
      <w:r w:rsidRPr="00293CF7">
        <w:rPr>
          <w:lang w:eastAsia="lv-LV"/>
        </w:rPr>
        <w:t xml:space="preserve">jūnijā </w:t>
      </w:r>
      <w:r w:rsidRPr="00293CF7" w:rsidR="00C50817">
        <w:rPr>
          <w:lang w:eastAsia="lv-LV"/>
        </w:rPr>
        <w:t>Eiropas Komisija</w:t>
      </w:r>
      <w:r w:rsidRPr="00293CF7">
        <w:rPr>
          <w:lang w:eastAsia="lv-LV"/>
        </w:rPr>
        <w:t xml:space="preserve"> publicēja priekšlikumu </w:t>
      </w:r>
      <w:r w:rsidR="00155D42">
        <w:rPr>
          <w:lang w:eastAsia="lv-LV"/>
        </w:rPr>
        <w:t xml:space="preserve">Padomes </w:t>
      </w:r>
      <w:r w:rsidRPr="00293CF7">
        <w:rPr>
          <w:lang w:eastAsia="lv-LV"/>
        </w:rPr>
        <w:t>regulai, ar kuru groza Padomes regulu Nr.</w:t>
      </w:r>
      <w:r w:rsidR="00293CF7">
        <w:rPr>
          <w:lang w:eastAsia="lv-LV"/>
        </w:rPr>
        <w:t> </w:t>
      </w:r>
      <w:r w:rsidRPr="00293CF7">
        <w:rPr>
          <w:lang w:eastAsia="lv-LV"/>
        </w:rPr>
        <w:t xml:space="preserve">168/2007, ar ko izveido Eiropas Savienības Pamattiesību aģentūru (turpmāk – Regulas priekšlikums). </w:t>
      </w:r>
    </w:p>
    <w:p w:rsidRPr="00293CF7" w:rsidR="0081609A" w:rsidP="007E27F3" w:rsidRDefault="006A0712" w14:paraId="7F57978F" w14:textId="33586F9B">
      <w:pPr>
        <w:pStyle w:val="Pamatteksts2"/>
        <w:spacing w:after="0" w:line="240" w:lineRule="auto"/>
        <w:ind w:firstLine="720"/>
        <w:jc w:val="both"/>
        <w:rPr>
          <w:lang w:eastAsia="lv-LV"/>
        </w:rPr>
      </w:pPr>
      <w:r w:rsidRPr="00293CF7">
        <w:rPr>
          <w:lang w:eastAsia="lv-LV"/>
        </w:rPr>
        <w:t>Regulas priekšlikumā ir ietverti redakcionāli precizējumi, kas veicina Regulas Nr.</w:t>
      </w:r>
      <w:r w:rsidR="00293CF7">
        <w:rPr>
          <w:lang w:eastAsia="lv-LV"/>
        </w:rPr>
        <w:t> </w:t>
      </w:r>
      <w:r w:rsidRPr="00293CF7">
        <w:rPr>
          <w:lang w:eastAsia="lv-LV"/>
        </w:rPr>
        <w:t>168/2007</w:t>
      </w:r>
      <w:r w:rsidRPr="00293CF7">
        <w:rPr>
          <w:rStyle w:val="Vresatsauce"/>
          <w:lang w:eastAsia="lv-LV"/>
        </w:rPr>
        <w:footnoteReference w:id="10"/>
      </w:r>
      <w:r w:rsidRPr="00293CF7">
        <w:rPr>
          <w:lang w:eastAsia="lv-LV"/>
        </w:rPr>
        <w:t xml:space="preserve"> uztveramību, kā arī </w:t>
      </w:r>
      <w:r w:rsidR="00155D42">
        <w:rPr>
          <w:lang w:eastAsia="lv-LV"/>
        </w:rPr>
        <w:t xml:space="preserve">tajā </w:t>
      </w:r>
      <w:r w:rsidRPr="00293CF7">
        <w:rPr>
          <w:lang w:eastAsia="lv-LV"/>
        </w:rPr>
        <w:t xml:space="preserve">ir ietverti saturiski grozījumi attiecībā uz Eiropas Savienības </w:t>
      </w:r>
      <w:r w:rsidR="00155D42">
        <w:rPr>
          <w:lang w:eastAsia="lv-LV"/>
        </w:rPr>
        <w:t>P</w:t>
      </w:r>
      <w:r w:rsidRPr="00293CF7">
        <w:rPr>
          <w:lang w:eastAsia="lv-LV"/>
        </w:rPr>
        <w:t xml:space="preserve">amattiesību aģentūras (turpmāk – FRA) amatpersonu </w:t>
      </w:r>
      <w:r w:rsidRPr="00293CF7" w:rsidR="00C23E8C">
        <w:rPr>
          <w:lang w:eastAsia="lv-LV"/>
        </w:rPr>
        <w:t>un</w:t>
      </w:r>
      <w:r w:rsidRPr="00293CF7">
        <w:rPr>
          <w:lang w:eastAsia="lv-LV"/>
        </w:rPr>
        <w:t xml:space="preserve"> institūciju</w:t>
      </w:r>
      <w:r w:rsidRPr="00293CF7" w:rsidR="001C4833">
        <w:rPr>
          <w:lang w:eastAsia="lv-LV"/>
        </w:rPr>
        <w:t>, tostarp direktora, valdes</w:t>
      </w:r>
      <w:r w:rsidRPr="00293CF7" w:rsidR="0094537F">
        <w:rPr>
          <w:lang w:eastAsia="lv-LV"/>
        </w:rPr>
        <w:t xml:space="preserve"> un</w:t>
      </w:r>
      <w:r w:rsidRPr="00293CF7" w:rsidR="001C4833">
        <w:rPr>
          <w:lang w:eastAsia="lv-LV"/>
        </w:rPr>
        <w:t xml:space="preserve"> zinātniskās komitejas</w:t>
      </w:r>
      <w:r w:rsidRPr="00293CF7" w:rsidR="00C23E8C">
        <w:rPr>
          <w:lang w:eastAsia="lv-LV"/>
        </w:rPr>
        <w:t>,</w:t>
      </w:r>
      <w:r w:rsidRPr="00293CF7" w:rsidR="001C4833">
        <w:rPr>
          <w:lang w:eastAsia="lv-LV"/>
        </w:rPr>
        <w:t xml:space="preserve"> </w:t>
      </w:r>
      <w:r w:rsidRPr="00293CF7">
        <w:rPr>
          <w:lang w:eastAsia="lv-LV"/>
        </w:rPr>
        <w:t>funkcijām, ar mērķi uzlabot</w:t>
      </w:r>
      <w:r w:rsidRPr="00293CF7">
        <w:t xml:space="preserve"> </w:t>
      </w:r>
      <w:r w:rsidRPr="00293CF7" w:rsidR="0081609A">
        <w:t>FRA</w:t>
      </w:r>
      <w:r w:rsidRPr="00293CF7">
        <w:t xml:space="preserve"> efektivitāti, nozīmīgumu un pārvaldību,</w:t>
      </w:r>
      <w:r w:rsidRPr="00293CF7">
        <w:rPr>
          <w:lang w:eastAsia="lv-LV"/>
        </w:rPr>
        <w:t xml:space="preserve"> </w:t>
      </w:r>
      <w:r w:rsidRPr="00293CF7" w:rsidR="0081609A">
        <w:rPr>
          <w:lang w:eastAsia="lv-LV"/>
        </w:rPr>
        <w:t>kā a</w:t>
      </w:r>
      <w:r w:rsidRPr="00293CF7" w:rsidR="00E50050">
        <w:rPr>
          <w:lang w:eastAsia="lv-LV"/>
        </w:rPr>
        <w:t>r</w:t>
      </w:r>
      <w:r w:rsidRPr="00293CF7" w:rsidR="0081609A">
        <w:rPr>
          <w:lang w:eastAsia="lv-LV"/>
        </w:rPr>
        <w:t xml:space="preserve">ī veikt </w:t>
      </w:r>
      <w:r w:rsidRPr="00293CF7">
        <w:rPr>
          <w:lang w:eastAsia="lv-LV"/>
        </w:rPr>
        <w:t>FRA darbības izvērtējum</w:t>
      </w:r>
      <w:r w:rsidRPr="00293CF7" w:rsidR="008E1D67">
        <w:rPr>
          <w:lang w:eastAsia="lv-LV"/>
        </w:rPr>
        <w:t>u</w:t>
      </w:r>
      <w:r w:rsidRPr="00293CF7">
        <w:rPr>
          <w:lang w:eastAsia="lv-LV"/>
        </w:rPr>
        <w:t>.</w:t>
      </w:r>
    </w:p>
    <w:p w:rsidRPr="00293CF7" w:rsidR="006A0712" w:rsidP="007E27F3" w:rsidRDefault="006A0712" w14:paraId="3B5C892F" w14:textId="48E956A2">
      <w:pPr>
        <w:pStyle w:val="Pamatteksts2"/>
        <w:spacing w:after="0" w:line="240" w:lineRule="auto"/>
        <w:ind w:firstLine="720"/>
        <w:jc w:val="both"/>
      </w:pPr>
      <w:r w:rsidRPr="00293CF7">
        <w:rPr>
          <w:lang w:eastAsia="lv-LV"/>
        </w:rPr>
        <w:t xml:space="preserve">Tāpat Regulas priekšlikumā ir ietverts skaidrojums, ka </w:t>
      </w:r>
      <w:r w:rsidRPr="00293CF7">
        <w:t>līdz ar Lisabonas līguma</w:t>
      </w:r>
      <w:r w:rsidRPr="00293CF7" w:rsidR="0051372C">
        <w:rPr>
          <w:rStyle w:val="Vresatsauce"/>
        </w:rPr>
        <w:footnoteReference w:id="11"/>
      </w:r>
      <w:r w:rsidRPr="00293CF7">
        <w:t xml:space="preserve"> </w:t>
      </w:r>
      <w:r w:rsidRPr="00293CF7" w:rsidR="000E6AD7">
        <w:t xml:space="preserve">spēkā </w:t>
      </w:r>
      <w:r w:rsidRPr="00293CF7">
        <w:t>stāšanos FRA darbības tvērumā</w:t>
      </w:r>
      <w:r w:rsidRPr="00293CF7">
        <w:rPr>
          <w:rStyle w:val="Vresatsauce"/>
        </w:rPr>
        <w:footnoteReference w:id="12"/>
      </w:r>
      <w:r w:rsidRPr="00293CF7">
        <w:t xml:space="preserve"> ir </w:t>
      </w:r>
      <w:r w:rsidRPr="00293CF7" w:rsidR="0051372C">
        <w:t>iekļaut</w:t>
      </w:r>
      <w:r w:rsidRPr="00293CF7" w:rsidR="000E6AD7">
        <w:t>s</w:t>
      </w:r>
      <w:r w:rsidRPr="00293CF7" w:rsidR="0051372C">
        <w:t xml:space="preserve"> </w:t>
      </w:r>
      <w:r w:rsidRPr="00293CF7" w:rsidR="000E6AD7">
        <w:t xml:space="preserve">viens no </w:t>
      </w:r>
      <w:r w:rsidRPr="00293CF7">
        <w:t>E</w:t>
      </w:r>
      <w:r w:rsidR="00155D42">
        <w:t>iropas Savienības</w:t>
      </w:r>
      <w:r w:rsidRPr="00293CF7">
        <w:t xml:space="preserve"> kompetences</w:t>
      </w:r>
      <w:r w:rsidRPr="00293CF7" w:rsidR="0051372C">
        <w:t xml:space="preserve"> </w:t>
      </w:r>
      <w:r w:rsidRPr="00293CF7" w:rsidR="000E6AD7">
        <w:t xml:space="preserve">jautājumiem </w:t>
      </w:r>
      <w:r w:rsidR="00155D42">
        <w:t>–</w:t>
      </w:r>
      <w:r w:rsidRPr="00293CF7" w:rsidR="00155D42">
        <w:t xml:space="preserve"> </w:t>
      </w:r>
      <w:r w:rsidRPr="00293CF7">
        <w:t>policijas sadarbība un tiesu iestāžu sadarbība krimināllietās</w:t>
      </w:r>
      <w:r w:rsidRPr="00293CF7" w:rsidR="0081609A">
        <w:t xml:space="preserve">. Savukārt no FRA </w:t>
      </w:r>
      <w:r w:rsidRPr="00293CF7" w:rsidR="00A22527">
        <w:t xml:space="preserve">kompetences </w:t>
      </w:r>
      <w:r w:rsidRPr="00293CF7" w:rsidR="0081609A">
        <w:t xml:space="preserve">tiek izslēgta </w:t>
      </w:r>
      <w:r w:rsidRPr="00293CF7" w:rsidR="00A22527">
        <w:t>kopējās ārpolitikas un drošības politikas joma.</w:t>
      </w:r>
    </w:p>
    <w:p w:rsidRPr="00293CF7" w:rsidR="006A0712" w:rsidP="007E27F3" w:rsidRDefault="006A0712" w14:paraId="072B5D69" w14:textId="7A7226CF">
      <w:pPr>
        <w:pStyle w:val="Pamatteksts2"/>
        <w:spacing w:after="0" w:line="240" w:lineRule="auto"/>
        <w:ind w:firstLine="720"/>
        <w:jc w:val="both"/>
        <w:rPr>
          <w:lang w:val="lv"/>
        </w:rPr>
      </w:pPr>
      <w:r w:rsidRPr="00293CF7">
        <w:rPr>
          <w:lang w:val="lv"/>
        </w:rPr>
        <w:t>Sākot ar 2020.</w:t>
      </w:r>
      <w:r w:rsidR="00293CF7">
        <w:rPr>
          <w:lang w:val="lv"/>
        </w:rPr>
        <w:t> </w:t>
      </w:r>
      <w:r w:rsidRPr="00293CF7">
        <w:rPr>
          <w:lang w:val="lv"/>
        </w:rPr>
        <w:t>gada 11.</w:t>
      </w:r>
      <w:r w:rsidR="00293CF7">
        <w:rPr>
          <w:lang w:val="lv"/>
        </w:rPr>
        <w:t> </w:t>
      </w:r>
      <w:r w:rsidRPr="00293CF7">
        <w:rPr>
          <w:lang w:val="lv"/>
        </w:rPr>
        <w:t>jūniju</w:t>
      </w:r>
      <w:r w:rsidR="00144E10">
        <w:rPr>
          <w:lang w:val="lv"/>
        </w:rPr>
        <w:t>,</w:t>
      </w:r>
      <w:r w:rsidRPr="00293CF7">
        <w:rPr>
          <w:lang w:val="lv"/>
        </w:rPr>
        <w:t xml:space="preserve"> Regulas priekšlikums tik</w:t>
      </w:r>
      <w:r w:rsidRPr="00293CF7" w:rsidR="00E8458A">
        <w:rPr>
          <w:lang w:val="lv"/>
        </w:rPr>
        <w:t>a</w:t>
      </w:r>
      <w:r w:rsidRPr="00293CF7">
        <w:rPr>
          <w:lang w:val="lv"/>
        </w:rPr>
        <w:t xml:space="preserve"> skatīts E</w:t>
      </w:r>
      <w:r w:rsidR="00155D42">
        <w:rPr>
          <w:lang w:val="lv"/>
        </w:rPr>
        <w:t>iropas Savienības</w:t>
      </w:r>
      <w:r w:rsidRPr="00293CF7">
        <w:rPr>
          <w:lang w:val="lv"/>
        </w:rPr>
        <w:t xml:space="preserve"> Padomes </w:t>
      </w:r>
      <w:r w:rsidRPr="00293CF7" w:rsidR="00FA5061">
        <w:rPr>
          <w:bCs/>
        </w:rPr>
        <w:t>Pamattiesību, pilsoņu tiesību un personu brīvas pārvietošanās jautājumu (</w:t>
      </w:r>
      <w:r w:rsidRPr="00293CF7">
        <w:rPr>
          <w:lang w:val="lv"/>
        </w:rPr>
        <w:t>FREMP</w:t>
      </w:r>
      <w:r w:rsidRPr="00293CF7" w:rsidR="00FA5061">
        <w:rPr>
          <w:lang w:val="lv"/>
        </w:rPr>
        <w:t>)</w:t>
      </w:r>
      <w:r w:rsidRPr="00293CF7">
        <w:rPr>
          <w:lang w:val="lv"/>
        </w:rPr>
        <w:t xml:space="preserve"> darba grupu formātā. Šo sanāksmju rezultātā tika panākts </w:t>
      </w:r>
      <w:r w:rsidRPr="00293CF7" w:rsidR="00FA5061">
        <w:rPr>
          <w:lang w:val="lv"/>
        </w:rPr>
        <w:t>dalībvalstu</w:t>
      </w:r>
      <w:r w:rsidRPr="00293CF7">
        <w:rPr>
          <w:lang w:val="lv"/>
        </w:rPr>
        <w:t xml:space="preserve"> kompromiss par šādiem punktiem: i)</w:t>
      </w:r>
      <w:r w:rsidR="00293CF7">
        <w:rPr>
          <w:lang w:val="lv"/>
        </w:rPr>
        <w:t> </w:t>
      </w:r>
      <w:r w:rsidRPr="00293CF7">
        <w:rPr>
          <w:lang w:val="lv"/>
        </w:rPr>
        <w:t xml:space="preserve">FRA darbības jomas </w:t>
      </w:r>
      <w:r w:rsidRPr="00293CF7" w:rsidR="00881331">
        <w:rPr>
          <w:lang w:val="lv"/>
        </w:rPr>
        <w:t>paplašināšana, iekļaujot E</w:t>
      </w:r>
      <w:r w:rsidR="00155D42">
        <w:rPr>
          <w:lang w:val="lv"/>
        </w:rPr>
        <w:t>iropas Savienības</w:t>
      </w:r>
      <w:r w:rsidRPr="00293CF7" w:rsidR="00881331">
        <w:rPr>
          <w:lang w:val="lv"/>
        </w:rPr>
        <w:t xml:space="preserve"> tiesību aktus, tostarp par </w:t>
      </w:r>
      <w:r w:rsidRPr="00293CF7">
        <w:rPr>
          <w:lang w:val="lv"/>
        </w:rPr>
        <w:t>policijas sadarbīb</w:t>
      </w:r>
      <w:r w:rsidRPr="00293CF7" w:rsidR="00881331">
        <w:rPr>
          <w:lang w:val="lv"/>
        </w:rPr>
        <w:t>u</w:t>
      </w:r>
      <w:r w:rsidRPr="00293CF7">
        <w:rPr>
          <w:lang w:val="lv"/>
        </w:rPr>
        <w:t xml:space="preserve"> un tiesu iestāžu </w:t>
      </w:r>
      <w:r w:rsidRPr="00293CF7" w:rsidR="00FA5061">
        <w:rPr>
          <w:lang w:val="lv"/>
        </w:rPr>
        <w:t>krimināltiesisk</w:t>
      </w:r>
      <w:r w:rsidRPr="00293CF7" w:rsidR="00C626BA">
        <w:rPr>
          <w:lang w:val="lv"/>
        </w:rPr>
        <w:t>o</w:t>
      </w:r>
      <w:r w:rsidRPr="00293CF7" w:rsidR="00FA5061">
        <w:rPr>
          <w:lang w:val="lv"/>
        </w:rPr>
        <w:t xml:space="preserve"> </w:t>
      </w:r>
      <w:r w:rsidRPr="00293CF7">
        <w:rPr>
          <w:lang w:val="lv"/>
        </w:rPr>
        <w:t>sadarbīb</w:t>
      </w:r>
      <w:r w:rsidRPr="00293CF7" w:rsidR="00881331">
        <w:rPr>
          <w:lang w:val="lv"/>
        </w:rPr>
        <w:t>u</w:t>
      </w:r>
      <w:r w:rsidRPr="00293CF7">
        <w:rPr>
          <w:lang w:val="lv"/>
        </w:rPr>
        <w:t>, ii)</w:t>
      </w:r>
      <w:r w:rsidR="00293CF7">
        <w:rPr>
          <w:lang w:val="lv"/>
        </w:rPr>
        <w:t> </w:t>
      </w:r>
      <w:bookmarkStart w:name="_Hlk72395620" w:id="3"/>
      <w:r w:rsidRPr="00293CF7">
        <w:rPr>
          <w:lang w:val="lv"/>
        </w:rPr>
        <w:t>kopējās ārpolitikas un drošības politikas jomas izslēgšana no FRA kompetences</w:t>
      </w:r>
      <w:bookmarkEnd w:id="3"/>
      <w:r w:rsidRPr="00293CF7">
        <w:rPr>
          <w:lang w:val="lv"/>
        </w:rPr>
        <w:t>, iii)</w:t>
      </w:r>
      <w:r w:rsidR="00293CF7">
        <w:rPr>
          <w:lang w:val="lv"/>
        </w:rPr>
        <w:t> </w:t>
      </w:r>
      <w:r w:rsidRPr="00293CF7">
        <w:rPr>
          <w:lang w:val="lv"/>
        </w:rPr>
        <w:t xml:space="preserve">daudzgadu </w:t>
      </w:r>
      <w:r w:rsidRPr="00293CF7" w:rsidR="00724695">
        <w:rPr>
          <w:lang w:val="lv"/>
        </w:rPr>
        <w:t xml:space="preserve">plānošanas </w:t>
      </w:r>
      <w:r w:rsidRPr="00293CF7">
        <w:rPr>
          <w:lang w:val="lv"/>
        </w:rPr>
        <w:t xml:space="preserve">shēmas aizstāšana ar jaunu gada un daudzgadu plānošanas procedūru. </w:t>
      </w:r>
      <w:r w:rsidRPr="00293CF7" w:rsidR="00B70053">
        <w:rPr>
          <w:lang w:val="lv"/>
        </w:rPr>
        <w:t xml:space="preserve">Tāpat tiek ieviesti grozījumi attiecībā uz FRA institucionālo darbību, tai skaitā </w:t>
      </w:r>
      <w:r w:rsidRPr="00293CF7" w:rsidR="00CF692C">
        <w:rPr>
          <w:lang w:val="lv"/>
        </w:rPr>
        <w:t xml:space="preserve">valdes, zinātniskās komitejas un direktora iecelšanu, </w:t>
      </w:r>
      <w:r w:rsidRPr="00293CF7" w:rsidR="00CF692C">
        <w:rPr>
          <w:noProof/>
          <w:lang w:val="lv"/>
        </w:rPr>
        <w:t xml:space="preserve">termiņu, </w:t>
      </w:r>
      <w:r w:rsidRPr="00293CF7" w:rsidR="00CF692C">
        <w:rPr>
          <w:lang w:val="lv"/>
        </w:rPr>
        <w:t xml:space="preserve">kompetenci un/vai </w:t>
      </w:r>
      <w:r w:rsidRPr="00293CF7" w:rsidR="00CF692C">
        <w:rPr>
          <w:noProof/>
          <w:lang w:val="lv"/>
        </w:rPr>
        <w:t>darbību,</w:t>
      </w:r>
      <w:r w:rsidRPr="00293CF7" w:rsidR="00CF692C">
        <w:rPr>
          <w:lang w:val="lv"/>
        </w:rPr>
        <w:t xml:space="preserve"> kā arī FRA novērtējumu un tās</w:t>
      </w:r>
      <w:r w:rsidRPr="00293CF7" w:rsidR="00CF692C">
        <w:rPr>
          <w:noProof/>
          <w:lang w:val="lv"/>
        </w:rPr>
        <w:t xml:space="preserve"> pilnvaru pārskatīšanu.</w:t>
      </w:r>
    </w:p>
    <w:p w:rsidRPr="00293CF7" w:rsidR="005F50AA" w:rsidP="007E27F3" w:rsidRDefault="0053396A" w14:paraId="77A79C0A" w14:textId="77777777">
      <w:pPr>
        <w:ind w:firstLine="720"/>
        <w:jc w:val="both"/>
        <w:rPr>
          <w:b/>
        </w:rPr>
      </w:pPr>
      <w:r w:rsidRPr="00293CF7">
        <w:rPr>
          <w:b/>
          <w:bCs/>
        </w:rPr>
        <w:t>Latvija atbalsta</w:t>
      </w:r>
      <w:r w:rsidRPr="00293CF7">
        <w:t xml:space="preserve"> Regulas priekšlikumu un uzskata, ka ar Regulas priekšlikumu veiktie grozījumi ir nepieciešami, lai skaidrāk noteiktu FRA darbīb</w:t>
      </w:r>
      <w:r w:rsidRPr="00293CF7" w:rsidR="000F640E">
        <w:t>as tvērumu</w:t>
      </w:r>
      <w:r w:rsidRPr="00293CF7">
        <w:t>.</w:t>
      </w:r>
      <w:r w:rsidRPr="00293CF7" w:rsidR="005F50AA">
        <w:rPr>
          <w:b/>
        </w:rPr>
        <w:t xml:space="preserve"> </w:t>
      </w:r>
    </w:p>
    <w:p w:rsidRPr="00293CF7" w:rsidR="005F50AA" w:rsidP="007E27F3" w:rsidRDefault="005F50AA" w14:paraId="1D82FE8A" w14:textId="15E804D1">
      <w:pPr>
        <w:ind w:firstLine="720"/>
        <w:jc w:val="both"/>
        <w:rPr>
          <w:i/>
          <w:iCs/>
        </w:rPr>
      </w:pPr>
      <w:r w:rsidRPr="00293CF7">
        <w:rPr>
          <w:b/>
        </w:rPr>
        <w:t>Latvija atbalsta</w:t>
      </w:r>
      <w:r w:rsidRPr="00293CF7">
        <w:t xml:space="preserve"> vispārējās pieejas par Regulas priekšlikumu apstiprināšanu.</w:t>
      </w:r>
    </w:p>
    <w:p w:rsidRPr="00293CF7" w:rsidR="00CA2E56" w:rsidP="007E27F3" w:rsidRDefault="00CA2E56" w14:paraId="31ACF031" w14:textId="77777777">
      <w:pPr>
        <w:ind w:firstLine="720"/>
        <w:jc w:val="both"/>
        <w:rPr>
          <w:rFonts w:eastAsia="SimSun"/>
          <w:sz w:val="22"/>
          <w:szCs w:val="26"/>
          <w:lang w:eastAsia="en-GB"/>
        </w:rPr>
      </w:pPr>
    </w:p>
    <w:p w:rsidRPr="007E27F3" w:rsidR="009448AD" w:rsidP="009B57FD" w:rsidRDefault="00280A15" w14:paraId="6E75360A" w14:textId="5D6B8BB0">
      <w:pPr>
        <w:jc w:val="center"/>
        <w:rPr>
          <w:u w:val="single"/>
        </w:rPr>
      </w:pPr>
      <w:bookmarkStart w:name="_Hlk9954409" w:id="4"/>
      <w:r w:rsidRPr="007E27F3">
        <w:rPr>
          <w:u w:val="single"/>
        </w:rPr>
        <w:t>N</w:t>
      </w:r>
      <w:r w:rsidRPr="007E27F3" w:rsidR="009E47CC">
        <w:rPr>
          <w:u w:val="single"/>
        </w:rPr>
        <w:t>eleģislatīvie jautājumi</w:t>
      </w:r>
    </w:p>
    <w:p w:rsidRPr="00293CF7" w:rsidR="00931560" w:rsidP="007E27F3" w:rsidRDefault="00931560" w14:paraId="70D7CB38" w14:textId="77777777">
      <w:pPr>
        <w:ind w:firstLine="720"/>
        <w:jc w:val="both"/>
        <w:rPr>
          <w:u w:val="single"/>
        </w:rPr>
      </w:pPr>
    </w:p>
    <w:p w:rsidRPr="00293CF7" w:rsidR="00131EEC" w:rsidP="007E27F3" w:rsidRDefault="00293CF7" w14:paraId="60A4CA03" w14:textId="46A4A7F0">
      <w:pPr>
        <w:pStyle w:val="mt-translation"/>
        <w:spacing w:before="0" w:beforeAutospacing="0" w:after="0" w:afterAutospacing="0"/>
        <w:ind w:firstLine="720"/>
        <w:jc w:val="both"/>
        <w:rPr>
          <w:bCs/>
          <w:color w:val="auto"/>
        </w:rPr>
      </w:pPr>
      <w:r>
        <w:rPr>
          <w:b/>
          <w:color w:val="auto"/>
        </w:rPr>
        <w:t>1. </w:t>
      </w:r>
      <w:r w:rsidRPr="00293CF7" w:rsidR="00C4744E">
        <w:rPr>
          <w:b/>
          <w:color w:val="auto"/>
        </w:rPr>
        <w:t>Cīņa pret nelikumīgu saturu tiešsaistē saistībā ar Digitālo pakalpojumu akt</w:t>
      </w:r>
      <w:r w:rsidRPr="00293CF7" w:rsidR="00D536EB">
        <w:rPr>
          <w:b/>
          <w:color w:val="auto"/>
        </w:rPr>
        <w:t>a regulas priekšlikumu</w:t>
      </w:r>
      <w:r w:rsidRPr="00293CF7" w:rsidR="009431D0">
        <w:rPr>
          <w:rStyle w:val="Vresatsauce"/>
          <w:b/>
          <w:color w:val="auto"/>
        </w:rPr>
        <w:footnoteReference w:id="13"/>
      </w:r>
      <w:r w:rsidRPr="00293CF7" w:rsidR="001403A0">
        <w:rPr>
          <w:b/>
          <w:color w:val="auto"/>
        </w:rPr>
        <w:t xml:space="preserve"> </w:t>
      </w:r>
      <w:r w:rsidRPr="00293CF7" w:rsidR="00931560">
        <w:rPr>
          <w:bCs/>
          <w:color w:val="auto"/>
        </w:rPr>
        <w:t>(</w:t>
      </w:r>
      <w:r w:rsidRPr="00293CF7" w:rsidR="00931560">
        <w:rPr>
          <w:bCs/>
          <w:i/>
          <w:color w:val="auto"/>
        </w:rPr>
        <w:t>politiskā debate</w:t>
      </w:r>
      <w:r w:rsidRPr="00293CF7" w:rsidR="00931560">
        <w:rPr>
          <w:bCs/>
          <w:color w:val="auto"/>
        </w:rPr>
        <w:t>)</w:t>
      </w:r>
    </w:p>
    <w:p w:rsidRPr="00293CF7" w:rsidR="00131EEC" w:rsidP="00293CF7" w:rsidRDefault="00131EEC" w14:paraId="07A1DA8C" w14:textId="7C96E4E5">
      <w:pPr>
        <w:pStyle w:val="mt-translation"/>
        <w:spacing w:before="0" w:beforeAutospacing="0" w:after="0" w:afterAutospacing="0"/>
        <w:ind w:firstLine="720"/>
        <w:jc w:val="both"/>
        <w:rPr>
          <w:bCs/>
          <w:color w:val="auto"/>
        </w:rPr>
      </w:pPr>
      <w:r w:rsidRPr="00293CF7">
        <w:rPr>
          <w:bCs/>
          <w:color w:val="auto"/>
        </w:rPr>
        <w:lastRenderedPageBreak/>
        <w:t>2020.</w:t>
      </w:r>
      <w:r w:rsidR="00293CF7">
        <w:rPr>
          <w:bCs/>
          <w:color w:val="auto"/>
        </w:rPr>
        <w:t> </w:t>
      </w:r>
      <w:r w:rsidRPr="00293CF7">
        <w:rPr>
          <w:bCs/>
          <w:color w:val="auto"/>
        </w:rPr>
        <w:t>gada 15.</w:t>
      </w:r>
      <w:r w:rsidR="00293CF7">
        <w:rPr>
          <w:bCs/>
          <w:color w:val="auto"/>
        </w:rPr>
        <w:t> </w:t>
      </w:r>
      <w:r w:rsidRPr="00293CF7">
        <w:rPr>
          <w:bCs/>
          <w:color w:val="auto"/>
        </w:rPr>
        <w:t xml:space="preserve">decembrī </w:t>
      </w:r>
      <w:r w:rsidRPr="00293CF7" w:rsidR="001403A0">
        <w:rPr>
          <w:bCs/>
          <w:color w:val="auto"/>
        </w:rPr>
        <w:t xml:space="preserve">Eiropas Komisija </w:t>
      </w:r>
      <w:r w:rsidRPr="00293CF7">
        <w:rPr>
          <w:bCs/>
          <w:color w:val="auto"/>
        </w:rPr>
        <w:t xml:space="preserve">nāca klajā ar </w:t>
      </w:r>
      <w:r w:rsidRPr="00293CF7" w:rsidR="001403A0">
        <w:rPr>
          <w:bCs/>
          <w:color w:val="auto"/>
        </w:rPr>
        <w:t>p</w:t>
      </w:r>
      <w:r w:rsidRPr="00293CF7" w:rsidR="001403A0">
        <w:rPr>
          <w:color w:val="auto"/>
        </w:rPr>
        <w:t>riekšlikumu Eiropas Parlamenta un Padomes Regulai par digitālo pakalpojumu vienoto tirgu (digitālo pakalpojumu tiesību akts), ar ko groza Direktīvu 2000/31/EK</w:t>
      </w:r>
      <w:r w:rsidRPr="00293CF7" w:rsidR="001403A0">
        <w:rPr>
          <w:rStyle w:val="Vresatsauce"/>
          <w:color w:val="auto"/>
        </w:rPr>
        <w:footnoteReference w:id="14"/>
      </w:r>
      <w:r w:rsidRPr="00293CF7" w:rsidR="001403A0">
        <w:rPr>
          <w:color w:val="auto"/>
        </w:rPr>
        <w:t xml:space="preserve"> (turpmāk </w:t>
      </w:r>
      <w:r w:rsidRPr="00293CF7" w:rsidR="0086604C">
        <w:rPr>
          <w:color w:val="auto"/>
        </w:rPr>
        <w:t xml:space="preserve">– </w:t>
      </w:r>
      <w:r w:rsidRPr="00293CF7" w:rsidR="001403A0">
        <w:rPr>
          <w:color w:val="auto"/>
        </w:rPr>
        <w:t xml:space="preserve">DPA </w:t>
      </w:r>
      <w:r w:rsidRPr="00293CF7" w:rsidR="009608AF">
        <w:rPr>
          <w:color w:val="auto"/>
        </w:rPr>
        <w:t>priekšlikums)</w:t>
      </w:r>
      <w:r w:rsidRPr="00293CF7" w:rsidR="009608AF">
        <w:rPr>
          <w:bCs/>
          <w:color w:val="auto"/>
        </w:rPr>
        <w:t>.</w:t>
      </w:r>
      <w:r w:rsidRPr="00293CF7" w:rsidR="00D270D4">
        <w:rPr>
          <w:bCs/>
          <w:color w:val="auto"/>
        </w:rPr>
        <w:t xml:space="preserve"> </w:t>
      </w:r>
      <w:r w:rsidRPr="00293CF7" w:rsidR="002C0566">
        <w:rPr>
          <w:bCs/>
          <w:color w:val="auto"/>
        </w:rPr>
        <w:t>DPA priekšlikums</w:t>
      </w:r>
      <w:r w:rsidRPr="00293CF7" w:rsidR="007A36C8">
        <w:rPr>
          <w:bCs/>
          <w:color w:val="auto"/>
        </w:rPr>
        <w:t xml:space="preserve"> nosaka skaidrus pienākumus un atbildīb</w:t>
      </w:r>
      <w:r w:rsidRPr="00293CF7" w:rsidR="00985261">
        <w:rPr>
          <w:bCs/>
          <w:color w:val="auto"/>
        </w:rPr>
        <w:t>u</w:t>
      </w:r>
      <w:r w:rsidRPr="00293CF7" w:rsidR="007A36C8">
        <w:rPr>
          <w:bCs/>
          <w:color w:val="auto"/>
        </w:rPr>
        <w:t xml:space="preserve"> starpniecības pakalpojumu sniedzējiem, īpaši tiešsaistes platformām, piemēram, sociālajiem plašsaziņas līdzekļiem un tirdzniecības vietām. </w:t>
      </w:r>
      <w:r w:rsidRPr="00293CF7" w:rsidR="009608AF">
        <w:rPr>
          <w:bCs/>
          <w:color w:val="auto"/>
        </w:rPr>
        <w:t xml:space="preserve">DPA priekšlikumā tiek noteikti </w:t>
      </w:r>
      <w:r w:rsidRPr="00293CF7" w:rsidR="007A36C8">
        <w:rPr>
          <w:bCs/>
          <w:color w:val="auto"/>
        </w:rPr>
        <w:t>skaidr</w:t>
      </w:r>
      <w:r w:rsidRPr="00293CF7" w:rsidR="009608AF">
        <w:rPr>
          <w:bCs/>
          <w:color w:val="auto"/>
        </w:rPr>
        <w:t>i</w:t>
      </w:r>
      <w:r w:rsidRPr="00293CF7" w:rsidR="007A36C8">
        <w:rPr>
          <w:bCs/>
          <w:color w:val="auto"/>
        </w:rPr>
        <w:t xml:space="preserve"> uzticamības pārbaudes pienākum</w:t>
      </w:r>
      <w:r w:rsidRPr="00293CF7" w:rsidR="009608AF">
        <w:rPr>
          <w:bCs/>
          <w:color w:val="auto"/>
        </w:rPr>
        <w:t xml:space="preserve">i </w:t>
      </w:r>
      <w:r w:rsidRPr="00293CF7" w:rsidR="007A36C8">
        <w:rPr>
          <w:bCs/>
          <w:color w:val="auto"/>
        </w:rPr>
        <w:t>noteiktiem starpniecības pakalpojumiem, ieskaitot paziņošanas un rīcības procedūras attiecībā uz nelikumīgu saturu un iespēju apstrīdēt platformu lēmumus</w:t>
      </w:r>
      <w:r w:rsidRPr="00293CF7" w:rsidR="009608AF">
        <w:rPr>
          <w:bCs/>
          <w:color w:val="auto"/>
        </w:rPr>
        <w:t>,</w:t>
      </w:r>
      <w:r w:rsidRPr="00293CF7" w:rsidR="007A36C8">
        <w:rPr>
          <w:bCs/>
          <w:color w:val="auto"/>
        </w:rPr>
        <w:t xml:space="preserve"> izņemt vai citādi moderēt trešo personu ievietoto saturu</w:t>
      </w:r>
      <w:r w:rsidRPr="00293CF7" w:rsidR="009608AF">
        <w:rPr>
          <w:bCs/>
          <w:color w:val="auto"/>
        </w:rPr>
        <w:t xml:space="preserve">. DPA </w:t>
      </w:r>
      <w:r w:rsidRPr="00293CF7" w:rsidR="007A36C8">
        <w:rPr>
          <w:bCs/>
          <w:color w:val="auto"/>
        </w:rPr>
        <w:t xml:space="preserve">priekšlikuma </w:t>
      </w:r>
      <w:r w:rsidRPr="00293CF7" w:rsidR="009608AF">
        <w:rPr>
          <w:bCs/>
          <w:color w:val="auto"/>
        </w:rPr>
        <w:t xml:space="preserve">mērķis </w:t>
      </w:r>
      <w:r w:rsidRPr="00293CF7" w:rsidR="007A36C8">
        <w:rPr>
          <w:bCs/>
          <w:color w:val="auto"/>
        </w:rPr>
        <w:t>ir uzlabot lietotāju drošību tiešsaistē visā E</w:t>
      </w:r>
      <w:r w:rsidR="00155D42">
        <w:rPr>
          <w:bCs/>
          <w:color w:val="auto"/>
        </w:rPr>
        <w:t>iropas Savienībā</w:t>
      </w:r>
      <w:r w:rsidRPr="00293CF7" w:rsidR="007A36C8">
        <w:rPr>
          <w:bCs/>
          <w:color w:val="auto"/>
        </w:rPr>
        <w:t xml:space="preserve"> un viņu pamattiesību aizsardzību.</w:t>
      </w:r>
    </w:p>
    <w:p w:rsidRPr="00293CF7" w:rsidR="00C603CC" w:rsidP="007E27F3" w:rsidRDefault="00C603CC" w14:paraId="023BC795" w14:textId="7FA61253">
      <w:pPr>
        <w:pStyle w:val="mt-translation"/>
        <w:spacing w:before="0" w:beforeAutospacing="0" w:after="0" w:afterAutospacing="0"/>
        <w:ind w:firstLine="720"/>
        <w:jc w:val="both"/>
        <w:rPr>
          <w:bCs/>
          <w:color w:val="auto"/>
        </w:rPr>
      </w:pPr>
      <w:r w:rsidRPr="00293CF7">
        <w:rPr>
          <w:bCs/>
          <w:color w:val="auto"/>
        </w:rPr>
        <w:t>Portugāles prezidentūra</w:t>
      </w:r>
      <w:r w:rsidRPr="00293CF7" w:rsidR="009D1763">
        <w:rPr>
          <w:bCs/>
          <w:color w:val="auto"/>
        </w:rPr>
        <w:t xml:space="preserve"> plāno sagatavot diskusiju dokumentu</w:t>
      </w:r>
      <w:r w:rsidRPr="00293CF7" w:rsidR="003E6CE9">
        <w:rPr>
          <w:rStyle w:val="Vresatsauce"/>
          <w:bCs/>
          <w:color w:val="auto"/>
        </w:rPr>
        <w:footnoteReference w:id="15"/>
      </w:r>
      <w:r w:rsidRPr="00293CF7" w:rsidR="009D1763">
        <w:rPr>
          <w:bCs/>
          <w:color w:val="auto"/>
        </w:rPr>
        <w:t xml:space="preserve"> un</w:t>
      </w:r>
      <w:r w:rsidRPr="00293CF7">
        <w:rPr>
          <w:bCs/>
          <w:color w:val="auto"/>
        </w:rPr>
        <w:t xml:space="preserve"> </w:t>
      </w:r>
      <w:r w:rsidRPr="00293CF7" w:rsidR="009D1763">
        <w:rPr>
          <w:bCs/>
          <w:color w:val="auto"/>
        </w:rPr>
        <w:t xml:space="preserve">Padomes sanāksmē </w:t>
      </w:r>
      <w:r w:rsidRPr="00293CF7">
        <w:rPr>
          <w:bCs/>
          <w:color w:val="auto"/>
        </w:rPr>
        <w:t>aicinā</w:t>
      </w:r>
      <w:r w:rsidRPr="00293CF7" w:rsidR="009D1763">
        <w:rPr>
          <w:bCs/>
          <w:color w:val="auto"/>
        </w:rPr>
        <w:t>t</w:t>
      </w:r>
      <w:r w:rsidRPr="00293CF7">
        <w:rPr>
          <w:bCs/>
          <w:color w:val="auto"/>
        </w:rPr>
        <w:t xml:space="preserve"> tieslietu </w:t>
      </w:r>
      <w:r w:rsidRPr="00293CF7" w:rsidR="009D1763">
        <w:rPr>
          <w:bCs/>
          <w:color w:val="auto"/>
        </w:rPr>
        <w:t xml:space="preserve">ministrus </w:t>
      </w:r>
      <w:r w:rsidRPr="00293CF7">
        <w:rPr>
          <w:bCs/>
          <w:color w:val="auto"/>
        </w:rPr>
        <w:t>izteikties par jautājumiem saistībā ar nelikumīgu saturu tiešsaistē</w:t>
      </w:r>
      <w:r w:rsidRPr="00293CF7" w:rsidR="003E7C99">
        <w:rPr>
          <w:bCs/>
          <w:color w:val="auto"/>
        </w:rPr>
        <w:t xml:space="preserve"> D</w:t>
      </w:r>
      <w:r w:rsidRPr="00293CF7" w:rsidR="005B2E4B">
        <w:rPr>
          <w:bCs/>
          <w:color w:val="auto"/>
        </w:rPr>
        <w:t>P</w:t>
      </w:r>
      <w:r w:rsidRPr="00293CF7" w:rsidR="003E7C99">
        <w:rPr>
          <w:bCs/>
          <w:color w:val="auto"/>
        </w:rPr>
        <w:t>A priekšlikuma kontekst</w:t>
      </w:r>
      <w:r w:rsidRPr="00293CF7" w:rsidR="00695FD2">
        <w:rPr>
          <w:bCs/>
          <w:color w:val="auto"/>
        </w:rPr>
        <w:t>ā.</w:t>
      </w:r>
      <w:r w:rsidRPr="00293CF7" w:rsidR="00534FE0">
        <w:rPr>
          <w:bCs/>
          <w:color w:val="auto"/>
        </w:rPr>
        <w:t xml:space="preserve"> Latvijas viedoklis tiks pausts atbilstoši apspirinātajai pozīcijai</w:t>
      </w:r>
      <w:r w:rsidRPr="00293CF7" w:rsidR="00534FE0">
        <w:rPr>
          <w:rStyle w:val="Vresatsauce"/>
          <w:bCs/>
          <w:color w:val="auto"/>
        </w:rPr>
        <w:footnoteReference w:id="16"/>
      </w:r>
      <w:r w:rsidRPr="00293CF7" w:rsidR="00534FE0">
        <w:rPr>
          <w:bCs/>
          <w:color w:val="auto"/>
        </w:rPr>
        <w:t xml:space="preserve">. </w:t>
      </w:r>
    </w:p>
    <w:p w:rsidRPr="00293CF7" w:rsidR="00242366" w:rsidP="007E27F3" w:rsidRDefault="00242366" w14:paraId="2718092F" w14:textId="43D8234C">
      <w:pPr>
        <w:ind w:firstLine="720"/>
        <w:jc w:val="both"/>
      </w:pPr>
      <w:r w:rsidRPr="00293CF7">
        <w:t xml:space="preserve">Latvija </w:t>
      </w:r>
      <w:r w:rsidRPr="00293CF7">
        <w:rPr>
          <w:b/>
          <w:bCs/>
        </w:rPr>
        <w:t>atbalsta</w:t>
      </w:r>
      <w:r w:rsidRPr="00293CF7">
        <w:t xml:space="preserve"> pamatprincipu </w:t>
      </w:r>
      <w:r w:rsidR="00155D42">
        <w:t>–</w:t>
      </w:r>
      <w:r w:rsidRPr="00293CF7" w:rsidR="00155D42">
        <w:t xml:space="preserve"> </w:t>
      </w:r>
      <w:r w:rsidRPr="00293CF7">
        <w:t xml:space="preserve">starpnieku pakalpojumu sniedzēju atbrīvojumu no pienākuma aktīvi meklēt nelegālo saturu, kā arī izcelsmes valsts principa saglabāšanu. Vienlaikus Latvija </w:t>
      </w:r>
      <w:r w:rsidRPr="00293CF7">
        <w:rPr>
          <w:b/>
          <w:bCs/>
        </w:rPr>
        <w:t>uzskata</w:t>
      </w:r>
      <w:r w:rsidRPr="00293CF7">
        <w:t xml:space="preserve">, ka nepieciešams nodrošināt tiesisko noteiktību attiecībā uz to, kādus starpniecības pakalpojumu sniedzējus regula aptver, un kāds atbildības režīms attiecas uz katru no starpniecības pakalpojumu sniedzējiem, kas ir regulas tvērumā. </w:t>
      </w:r>
    </w:p>
    <w:p w:rsidRPr="00293CF7" w:rsidR="00242366" w:rsidP="007E27F3" w:rsidRDefault="00242366" w14:paraId="60250B1E" w14:textId="77777777">
      <w:pPr>
        <w:ind w:firstLine="720"/>
        <w:jc w:val="both"/>
      </w:pPr>
      <w:r w:rsidRPr="00293CF7">
        <w:t xml:space="preserve">Latvija </w:t>
      </w:r>
      <w:r w:rsidRPr="00293CF7">
        <w:rPr>
          <w:b/>
          <w:bCs/>
        </w:rPr>
        <w:t>uzskata</w:t>
      </w:r>
      <w:r w:rsidRPr="00293CF7">
        <w:t xml:space="preserve">, ka ir </w:t>
      </w:r>
      <w:r w:rsidRPr="00293CF7">
        <w:rPr>
          <w:bCs/>
        </w:rPr>
        <w:t>svarīgi nodrošināt augstus pārredzamības un atbildības standartus</w:t>
      </w:r>
      <w:r w:rsidRPr="00293CF7">
        <w:t xml:space="preserve"> attiecībā uz to, kā starpniecības pakalpojumu nodrošinātāji (tai skaitā ļoti lielas tiešsaistes platformas) veic satura moderāciju, lai novērstu nepamatotas vārda un informācijas brīvības ierobežošanas riskus. Latvijas ieskatā DPA priekšlikums rada pienācīgu līdzsvaru starp tiešsaistes starpnieku pakalpojumu sniedzēju profesionālās rūpības pienākumiem nelikumīga satura izplatības ierobežošanā, un lietotāju vārda brīvības un tiesību uz informāciju nodrošināšanu, paredzot iespēju lietotājiem ziņot par nelikumīgu saturu, pienākumu starpniekam skaidrot satura izņemšanas iemeslus, un pienākumu izveidot sūdzību izskatīšanas mehānismu par platformas pieņemtiem lēmumiem par lietotāju satura izņemšanu, kas nebalstītos uz automatizētiem rīkiem. </w:t>
      </w:r>
    </w:p>
    <w:p w:rsidRPr="00293CF7" w:rsidR="00242366" w:rsidP="007E27F3" w:rsidRDefault="00242366" w14:paraId="08285CD6" w14:textId="26C982CA">
      <w:pPr>
        <w:ind w:firstLine="720"/>
        <w:jc w:val="both"/>
        <w:rPr>
          <w:highlight w:val="yellow"/>
        </w:rPr>
      </w:pPr>
      <w:r w:rsidRPr="00293CF7">
        <w:t xml:space="preserve">Latvija </w:t>
      </w:r>
      <w:r w:rsidRPr="00293CF7">
        <w:rPr>
          <w:b/>
          <w:bCs/>
        </w:rPr>
        <w:t>atbalsta</w:t>
      </w:r>
      <w:r w:rsidRPr="00293CF7">
        <w:t xml:space="preserve"> DPA priekšlikuma prasību attiecināšanu arī uz trešo valstu pakalpojumu sniedzējiem, kas ir reģistrēti vai atrodas ārpus E</w:t>
      </w:r>
      <w:r w:rsidR="00155D42">
        <w:t>iropas Savienības</w:t>
      </w:r>
      <w:r w:rsidRPr="00293CF7">
        <w:t xml:space="preserve">, bet piedāvā savus pakalpojumus </w:t>
      </w:r>
      <w:r w:rsidRPr="00293CF7" w:rsidR="00155D42">
        <w:t>E</w:t>
      </w:r>
      <w:r w:rsidR="00155D42">
        <w:t>iropas Savienības</w:t>
      </w:r>
      <w:r w:rsidRPr="00293CF7">
        <w:t xml:space="preserve"> rezidentiem. </w:t>
      </w:r>
      <w:r w:rsidRPr="00293CF7" w:rsidR="00155D42">
        <w:t>E</w:t>
      </w:r>
      <w:r w:rsidR="00155D42">
        <w:t xml:space="preserve">iropas Savienībā </w:t>
      </w:r>
      <w:r w:rsidRPr="00293CF7">
        <w:t xml:space="preserve">reģistrētiem un trešo valstu starpnieku pakalpojumu sniedzējiem ir jābūt vienlīdzīgām prasībām, lai nodrošinātu līdzvērtīgus konkurences apstākļus. Vienlaikus Latvija </w:t>
      </w:r>
      <w:r w:rsidRPr="00293CF7">
        <w:rPr>
          <w:b/>
          <w:bCs/>
        </w:rPr>
        <w:t>uzskata</w:t>
      </w:r>
      <w:r w:rsidRPr="00293CF7">
        <w:t>, ka regulā ir jāparedz efektīvi un iedarbīgi līdzekļi, lai panāktu, ka trešo valstu starpnieku pakalpojumu sniedzēji ievēro šo regulu.</w:t>
      </w:r>
    </w:p>
    <w:p w:rsidRPr="00293CF7" w:rsidR="00242366" w:rsidP="007E27F3" w:rsidRDefault="00242366" w14:paraId="0F7E368B" w14:textId="5E202A7D">
      <w:pPr>
        <w:ind w:firstLine="720"/>
        <w:jc w:val="both"/>
        <w:rPr>
          <w:b/>
          <w:bCs/>
        </w:rPr>
      </w:pPr>
      <w:r w:rsidRPr="00293CF7">
        <w:t xml:space="preserve">Latvijai </w:t>
      </w:r>
      <w:r w:rsidRPr="00293CF7">
        <w:rPr>
          <w:b/>
          <w:bCs/>
        </w:rPr>
        <w:t>ir bažas</w:t>
      </w:r>
      <w:r w:rsidRPr="00293CF7">
        <w:t xml:space="preserve"> par regulas projektā iekļauto prasību pienācīgu uzraudzību un īstenošanu, ņemot vērā to, ka </w:t>
      </w:r>
      <w:r w:rsidR="00155D42">
        <w:t xml:space="preserve">DPA </w:t>
      </w:r>
      <w:r w:rsidRPr="00293CF7">
        <w:t xml:space="preserve">priekšlikums nenosaka jaunas pilnvaras vai tiesības iestādēm, nenosaka starpnieku pakalpojumu sniedzēju pienākumu izpildīt iestāžu rīkojumus nelikumīgā satura izņemšanai, kā arī neparedz papildu rīkus vai sadarbības mehānismus pārrobežu pakalpojumu sniegšanas gadījumā, balstot </w:t>
      </w:r>
      <w:r w:rsidR="00155D42">
        <w:t xml:space="preserve">DPA </w:t>
      </w:r>
      <w:r w:rsidRPr="00293CF7">
        <w:t>priekšlikuma uzraudzību uz pastāvošo dalībvalstu likumdošanu, ko ir problemātiski piemērot ārpus dalībvalsts jurisdikcijas.</w:t>
      </w:r>
    </w:p>
    <w:p w:rsidRPr="00293CF7" w:rsidR="00242366" w:rsidP="007E27F3" w:rsidRDefault="00242366" w14:paraId="57710D4C" w14:textId="77777777">
      <w:pPr>
        <w:pStyle w:val="mt-translation"/>
        <w:spacing w:before="0" w:beforeAutospacing="0" w:after="0" w:afterAutospacing="0"/>
        <w:ind w:firstLine="720"/>
        <w:jc w:val="both"/>
        <w:rPr>
          <w:bCs/>
          <w:color w:val="auto"/>
        </w:rPr>
      </w:pPr>
    </w:p>
    <w:p w:rsidRPr="00293CF7" w:rsidR="00BB6CFF" w:rsidP="007E27F3" w:rsidRDefault="00293CF7" w14:paraId="1A0D4891" w14:textId="1BAB3B1A">
      <w:pPr>
        <w:pStyle w:val="mt-translation"/>
        <w:spacing w:before="0" w:beforeAutospacing="0" w:after="0" w:afterAutospacing="0"/>
        <w:ind w:firstLine="720"/>
        <w:jc w:val="both"/>
        <w:rPr>
          <w:b/>
          <w:color w:val="auto"/>
        </w:rPr>
      </w:pPr>
      <w:r>
        <w:rPr>
          <w:b/>
          <w:color w:val="auto"/>
        </w:rPr>
        <w:t>2. </w:t>
      </w:r>
      <w:r w:rsidRPr="00293CF7" w:rsidR="00BB6CFF">
        <w:rPr>
          <w:b/>
          <w:color w:val="auto"/>
        </w:rPr>
        <w:t>E</w:t>
      </w:r>
      <w:r w:rsidR="00155D42">
        <w:rPr>
          <w:b/>
          <w:color w:val="auto"/>
        </w:rPr>
        <w:t>iropas Savienības</w:t>
      </w:r>
      <w:r w:rsidRPr="00293CF7" w:rsidR="00BB6CFF">
        <w:rPr>
          <w:b/>
          <w:color w:val="auto"/>
        </w:rPr>
        <w:t xml:space="preserve"> pievienošanās Eiropas Cilvēktiesību konvencijai</w:t>
      </w:r>
      <w:r w:rsidRPr="00293CF7" w:rsidR="00BB6CFF">
        <w:rPr>
          <w:rStyle w:val="Vresatsauce"/>
          <w:b/>
          <w:color w:val="auto"/>
        </w:rPr>
        <w:footnoteReference w:id="17"/>
      </w:r>
      <w:r w:rsidRPr="00293CF7" w:rsidR="00BB6CFF">
        <w:rPr>
          <w:b/>
          <w:color w:val="auto"/>
        </w:rPr>
        <w:t xml:space="preserve"> </w:t>
      </w:r>
      <w:r w:rsidRPr="00293CF7" w:rsidR="00BB6CFF">
        <w:rPr>
          <w:color w:val="auto"/>
        </w:rPr>
        <w:t>(</w:t>
      </w:r>
      <w:r w:rsidRPr="00293CF7" w:rsidR="00BB6CFF">
        <w:rPr>
          <w:i/>
          <w:color w:val="auto"/>
        </w:rPr>
        <w:t>informācija no Eiropas Komisijas</w:t>
      </w:r>
      <w:r w:rsidRPr="00293CF7" w:rsidR="00BB6CFF">
        <w:rPr>
          <w:color w:val="auto"/>
        </w:rPr>
        <w:t>)</w:t>
      </w:r>
    </w:p>
    <w:p w:rsidRPr="00293CF7" w:rsidR="00EF2C9D" w:rsidP="00293CF7" w:rsidRDefault="00EF2C9D" w14:paraId="354DA164" w14:textId="48497039">
      <w:pPr>
        <w:ind w:firstLine="720"/>
        <w:jc w:val="both"/>
      </w:pPr>
      <w:r w:rsidRPr="00293CF7">
        <w:t xml:space="preserve">Pēc Eiropas Savienības Tiesas (turpmāk </w:t>
      </w:r>
      <w:r w:rsidR="00155D42">
        <w:t>–</w:t>
      </w:r>
      <w:r w:rsidRPr="00293CF7" w:rsidR="00155D42">
        <w:t xml:space="preserve"> </w:t>
      </w:r>
      <w:r w:rsidRPr="00293CF7">
        <w:t>EST) 2014.</w:t>
      </w:r>
      <w:r w:rsidRPr="00293CF7" w:rsidR="0026517B">
        <w:t> </w:t>
      </w:r>
      <w:r w:rsidRPr="00293CF7">
        <w:t>gada 18.</w:t>
      </w:r>
      <w:r w:rsidRPr="00293CF7" w:rsidR="0026517B">
        <w:t> </w:t>
      </w:r>
      <w:r w:rsidRPr="00293CF7">
        <w:t>decembra viedokļa Nr.</w:t>
      </w:r>
      <w:r w:rsidR="00293CF7">
        <w:t> </w:t>
      </w:r>
      <w:r w:rsidRPr="00293CF7">
        <w:t>2/13, kas izstrādāto Pievienošanās Eiropas Cilvēktiesību konvencijai līguma (</w:t>
      </w:r>
      <w:r w:rsidRPr="00293CF7" w:rsidR="0026517B">
        <w:t>turpmāk – Pi</w:t>
      </w:r>
      <w:r w:rsidRPr="00293CF7">
        <w:t xml:space="preserve">evienošanās līgums) projektu atzina par neatbilstošu </w:t>
      </w:r>
      <w:r w:rsidRPr="00293CF7" w:rsidR="00155D42">
        <w:t>E</w:t>
      </w:r>
      <w:r w:rsidR="00155D42">
        <w:t>iropas Savienības</w:t>
      </w:r>
      <w:r w:rsidRPr="00293CF7">
        <w:t xml:space="preserve"> līgumiem, sarunas </w:t>
      </w:r>
      <w:r w:rsidRPr="00293CF7">
        <w:lastRenderedPageBreak/>
        <w:t xml:space="preserve">par </w:t>
      </w:r>
      <w:r w:rsidRPr="00293CF7" w:rsidR="00155D42">
        <w:t>E</w:t>
      </w:r>
      <w:r w:rsidR="00155D42">
        <w:t>iropas Savienības</w:t>
      </w:r>
      <w:r w:rsidRPr="00293CF7">
        <w:t xml:space="preserve"> pievienošanos Eiropas Cilvēktiesību konvencijai </w:t>
      </w:r>
      <w:proofErr w:type="gramStart"/>
      <w:r w:rsidR="00742B39">
        <w:t>(</w:t>
      </w:r>
      <w:proofErr w:type="gramEnd"/>
      <w:r w:rsidR="00742B39">
        <w:t xml:space="preserve">turpmāk – ECK) </w:t>
      </w:r>
      <w:r w:rsidRPr="00293CF7">
        <w:t>faktiski tika apturētas. Sarunas atsākās 2019.</w:t>
      </w:r>
      <w:r w:rsidRPr="00293CF7" w:rsidR="0026517B">
        <w:t> </w:t>
      </w:r>
      <w:r w:rsidRPr="00293CF7">
        <w:t>gada nogalē pēc tam, kad Pamattiesību, pilsoņu tiesību un personu brīvas pārvietošanās jautājumu (FREMP) darba grupā</w:t>
      </w:r>
      <w:r w:rsidRPr="00293CF7">
        <w:rPr>
          <w:b/>
          <w:bCs/>
        </w:rPr>
        <w:t xml:space="preserve"> </w:t>
      </w:r>
      <w:r w:rsidRPr="00293CF7">
        <w:t xml:space="preserve">bija panākta konceptuāla vienošanās par grozījumiem Pievienošanās līgumā, kas nepieciešami, lai novērstu EST identificētos trūkumus. Sarunu turpināšanai Strasbūrā tika atjaunota Eiropas Padomes darba grupa </w:t>
      </w:r>
      <w:r w:rsidR="00293CF7">
        <w:t>"</w:t>
      </w:r>
      <w:r w:rsidRPr="00293CF7">
        <w:t>47+1</w:t>
      </w:r>
      <w:r w:rsidR="00293CF7">
        <w:t>"</w:t>
      </w:r>
      <w:r w:rsidRPr="00293CF7">
        <w:t xml:space="preserve">, kura izstrādāja arī iepriekšējo Pievienošanās līguma projektu. </w:t>
      </w:r>
    </w:p>
    <w:p w:rsidRPr="00293CF7" w:rsidR="00EF2C9D" w:rsidP="00293CF7" w:rsidRDefault="002541C6" w14:paraId="7E355676" w14:textId="3DAC5A63">
      <w:pPr>
        <w:ind w:firstLine="720"/>
        <w:jc w:val="both"/>
        <w:rPr>
          <w:rFonts w:ascii="Calibri" w:hAnsi="Calibri" w:cs="Calibri"/>
          <w:sz w:val="22"/>
          <w:szCs w:val="22"/>
        </w:rPr>
      </w:pPr>
      <w:r w:rsidRPr="00293CF7">
        <w:t>Līdz šim</w:t>
      </w:r>
      <w:r w:rsidRPr="00293CF7" w:rsidR="00EF2C9D">
        <w:t xml:space="preserve"> </w:t>
      </w:r>
      <w:r w:rsidRPr="00293CF7">
        <w:t>tika</w:t>
      </w:r>
      <w:r w:rsidRPr="00293CF7" w:rsidR="00EF2C9D">
        <w:t xml:space="preserve"> diskutē</w:t>
      </w:r>
      <w:r w:rsidRPr="00293CF7">
        <w:t>ts</w:t>
      </w:r>
      <w:r w:rsidRPr="00293CF7" w:rsidR="00EF2C9D">
        <w:t xml:space="preserve"> par jautājumiem, kas saistīti ar savstarpējās uzticēšanās un atzīšanas principiem, kas pastāv </w:t>
      </w:r>
      <w:r w:rsidRPr="00293CF7" w:rsidR="00155D42">
        <w:t>E</w:t>
      </w:r>
      <w:r w:rsidR="00155D42">
        <w:t>iropas Savienībā</w:t>
      </w:r>
      <w:r w:rsidRPr="00293CF7" w:rsidR="00EF2C9D">
        <w:t>, kā arī par Eiropas Cilvēktiesību tiesas (</w:t>
      </w:r>
      <w:r w:rsidR="00B45F6F">
        <w:t xml:space="preserve">turpmāk – </w:t>
      </w:r>
      <w:r w:rsidRPr="00293CF7" w:rsidR="00EF2C9D">
        <w:t xml:space="preserve">ECT) un EST jurisdikciju jautājumos, kas skar </w:t>
      </w:r>
      <w:r w:rsidRPr="00293CF7" w:rsidR="00155D42">
        <w:t>E</w:t>
      </w:r>
      <w:r w:rsidR="00155D42">
        <w:t>iropas Savienības</w:t>
      </w:r>
      <w:r w:rsidRPr="00293CF7" w:rsidR="00EF2C9D">
        <w:t xml:space="preserve"> kopējo ārējo un drošības politiku (</w:t>
      </w:r>
      <w:r w:rsidR="00155D42">
        <w:t xml:space="preserve">turpmāk – </w:t>
      </w:r>
      <w:r w:rsidRPr="00293CF7" w:rsidR="00EF2C9D">
        <w:t xml:space="preserve">KĀDP). </w:t>
      </w:r>
    </w:p>
    <w:p w:rsidRPr="00293CF7" w:rsidR="00EF2C9D" w:rsidP="007E27F3" w:rsidRDefault="00EF2C9D" w14:paraId="17C5FC1B" w14:textId="5421596C">
      <w:pPr>
        <w:ind w:firstLine="720"/>
        <w:jc w:val="both"/>
      </w:pPr>
      <w:r w:rsidRPr="00293CF7">
        <w:t xml:space="preserve">Viens no </w:t>
      </w:r>
      <w:proofErr w:type="gramStart"/>
      <w:r w:rsidRPr="00293CF7">
        <w:t>svarīgākajiem risināmiem jautājumiem</w:t>
      </w:r>
      <w:proofErr w:type="gramEnd"/>
      <w:r w:rsidRPr="00293CF7">
        <w:t xml:space="preserve"> ir par to, kā KĀDP jautājumos tiktu sadalīta atbildība starp E</w:t>
      </w:r>
      <w:r w:rsidR="00155D42">
        <w:t>iropas Savienību</w:t>
      </w:r>
      <w:r w:rsidRPr="00293CF7">
        <w:t xml:space="preserve"> un dalībvalstīm par iespējamiem cilvēktiesību pārkāpumiem. Dalībvalstu svarīgākais jautājums ir nepieciešamība pēc skaidra mehānisma atbildības noteikšanai, kritērijiem tās noteikšanai, jo īpaši attiecībā uz militārām operācijām, dalībvalstu kompetencēm tajās. </w:t>
      </w:r>
    </w:p>
    <w:p w:rsidRPr="00293CF7" w:rsidR="00FC14ED" w:rsidP="007E27F3" w:rsidRDefault="00EF2C9D" w14:paraId="55CEF70C" w14:textId="30146ABB">
      <w:pPr>
        <w:ind w:firstLine="720"/>
        <w:jc w:val="both"/>
      </w:pPr>
      <w:r w:rsidRPr="00293CF7">
        <w:t>Tāpat jāņem vērā, ka Līgums par Eiropas Savienību neparedz EST jurisdikciju KĀDP jautājumos, kas skar cilvēktiesības, izņemot sankcijas pret indivīdiem un uzņēmumiem. KĀDP izslēgšana no EST jurisdikcijas nozīmē, ka personām nav pieejams mehānisms savu cilvēktiesību aizsardzībai, izņemot, ja tas ir jautājums par līdzekļu iesaldēšanu vai ceļošanas aizliegumu</w:t>
      </w:r>
      <w:r w:rsidRPr="00293CF7" w:rsidR="00FC14ED">
        <w:t xml:space="preserve">. </w:t>
      </w:r>
    </w:p>
    <w:p w:rsidRPr="00293CF7" w:rsidR="004E52B0" w:rsidP="007E27F3" w:rsidRDefault="004E52B0" w14:paraId="2D35C780" w14:textId="77777777">
      <w:pPr>
        <w:pStyle w:val="mt-translation"/>
        <w:spacing w:before="0" w:beforeAutospacing="0" w:after="0" w:afterAutospacing="0"/>
        <w:ind w:firstLine="720"/>
        <w:jc w:val="both"/>
        <w:rPr>
          <w:b/>
          <w:color w:val="auto"/>
        </w:rPr>
      </w:pPr>
    </w:p>
    <w:p w:rsidRPr="00293CF7" w:rsidR="004E52B0" w:rsidP="007E27F3" w:rsidRDefault="00293CF7" w14:paraId="7B3E64E8" w14:textId="5E698AFE">
      <w:pPr>
        <w:pStyle w:val="mt-translation"/>
        <w:spacing w:before="0" w:beforeAutospacing="0" w:after="0" w:afterAutospacing="0"/>
        <w:ind w:firstLine="720"/>
        <w:jc w:val="both"/>
        <w:rPr>
          <w:b/>
          <w:color w:val="auto"/>
        </w:rPr>
      </w:pPr>
      <w:r>
        <w:rPr>
          <w:b/>
          <w:color w:val="auto"/>
        </w:rPr>
        <w:t>3. </w:t>
      </w:r>
      <w:r w:rsidRPr="00F62C6B" w:rsidR="00B45F6F">
        <w:rPr>
          <w:b/>
          <w:bCs/>
          <w:color w:val="auto"/>
        </w:rPr>
        <w:t>E</w:t>
      </w:r>
      <w:r w:rsidRPr="00F62C6B" w:rsidR="00B45F6F">
        <w:rPr>
          <w:b/>
          <w:bCs/>
        </w:rPr>
        <w:t>iropas Savienības</w:t>
      </w:r>
      <w:r w:rsidRPr="00293CF7" w:rsidR="00515CE3">
        <w:rPr>
          <w:b/>
          <w:color w:val="auto"/>
        </w:rPr>
        <w:t xml:space="preserve"> Padomes secinājumi par </w:t>
      </w:r>
      <w:r w:rsidRPr="00293CF7" w:rsidR="00515CE3">
        <w:rPr>
          <w:b/>
          <w:bCs/>
          <w:color w:val="auto"/>
        </w:rPr>
        <w:t>neaizsargātiem pieaugušajiem pārrobežu situācijās</w:t>
      </w:r>
      <w:r w:rsidRPr="00293CF7" w:rsidR="00515CE3">
        <w:rPr>
          <w:color w:val="auto"/>
        </w:rPr>
        <w:t xml:space="preserve"> </w:t>
      </w:r>
      <w:r w:rsidRPr="00293CF7" w:rsidR="00515CE3">
        <w:rPr>
          <w:bCs/>
          <w:color w:val="auto"/>
        </w:rPr>
        <w:t>(</w:t>
      </w:r>
      <w:r w:rsidRPr="00293CF7" w:rsidR="00515CE3">
        <w:rPr>
          <w:bCs/>
          <w:i/>
          <w:iCs/>
          <w:color w:val="auto"/>
        </w:rPr>
        <w:t>apstiprināšana</w:t>
      </w:r>
      <w:r w:rsidRPr="00293CF7" w:rsidR="00515CE3">
        <w:rPr>
          <w:bCs/>
          <w:color w:val="auto"/>
        </w:rPr>
        <w:t>)</w:t>
      </w:r>
    </w:p>
    <w:p w:rsidRPr="00293CF7" w:rsidR="004E52B0" w:rsidP="00293CF7" w:rsidRDefault="004E52B0" w14:paraId="7CAC4572" w14:textId="05D239C0">
      <w:pPr>
        <w:pStyle w:val="mt-translation"/>
        <w:spacing w:before="0" w:beforeAutospacing="0" w:after="0" w:afterAutospacing="0"/>
        <w:ind w:firstLine="720"/>
        <w:jc w:val="both"/>
        <w:rPr>
          <w:bCs/>
          <w:color w:val="auto"/>
        </w:rPr>
      </w:pPr>
      <w:r w:rsidRPr="00293CF7">
        <w:rPr>
          <w:bCs/>
          <w:color w:val="auto"/>
        </w:rPr>
        <w:t>Ņemot vērā 2021.</w:t>
      </w:r>
      <w:r w:rsidRPr="00293CF7" w:rsidR="002541C6">
        <w:rPr>
          <w:bCs/>
          <w:color w:val="auto"/>
        </w:rPr>
        <w:t> </w:t>
      </w:r>
      <w:r w:rsidRPr="00293CF7">
        <w:rPr>
          <w:bCs/>
          <w:color w:val="auto"/>
        </w:rPr>
        <w:t>gada 29.</w:t>
      </w:r>
      <w:r w:rsidRPr="00293CF7" w:rsidR="002541C6">
        <w:rPr>
          <w:bCs/>
          <w:color w:val="auto"/>
        </w:rPr>
        <w:t> </w:t>
      </w:r>
      <w:r w:rsidRPr="00293CF7">
        <w:rPr>
          <w:bCs/>
          <w:color w:val="auto"/>
        </w:rPr>
        <w:t xml:space="preserve">janvārī notikušās tieslietu ministru diskusijas par neaizsargātu pieaugušo aizsardzību </w:t>
      </w:r>
      <w:r w:rsidRPr="00293CF7" w:rsidR="00B45F6F">
        <w:rPr>
          <w:color w:val="auto"/>
        </w:rPr>
        <w:t>E</w:t>
      </w:r>
      <w:r w:rsidR="00B45F6F">
        <w:t>iropas Savienībā</w:t>
      </w:r>
      <w:r w:rsidRPr="00293CF7">
        <w:rPr>
          <w:bCs/>
          <w:color w:val="auto"/>
        </w:rPr>
        <w:t xml:space="preserve">, kas nereti saskaras ar grūtībām aizsargāt savas intereses un tiesības, tai skaitā procesuālās tiesības, Portugāles prezidentūra ir izstrādājusi </w:t>
      </w:r>
      <w:r w:rsidRPr="00293CF7" w:rsidR="00B45F6F">
        <w:rPr>
          <w:color w:val="auto"/>
        </w:rPr>
        <w:t>E</w:t>
      </w:r>
      <w:r w:rsidR="00B45F6F">
        <w:t>iropas Savienības</w:t>
      </w:r>
      <w:r w:rsidRPr="00293CF7" w:rsidR="00294990">
        <w:rPr>
          <w:bCs/>
          <w:color w:val="auto"/>
        </w:rPr>
        <w:t xml:space="preserve"> </w:t>
      </w:r>
      <w:r w:rsidRPr="00293CF7">
        <w:rPr>
          <w:bCs/>
          <w:color w:val="auto"/>
        </w:rPr>
        <w:t xml:space="preserve">Padomes secinājumu projektu par neaizsargātiem pieaugušajiem pārrobežu situācijās </w:t>
      </w:r>
      <w:proofErr w:type="gramStart"/>
      <w:r w:rsidRPr="00293CF7">
        <w:rPr>
          <w:bCs/>
          <w:color w:val="auto"/>
        </w:rPr>
        <w:t>(</w:t>
      </w:r>
      <w:proofErr w:type="gramEnd"/>
      <w:r w:rsidRPr="00293CF7">
        <w:rPr>
          <w:bCs/>
          <w:color w:val="auto"/>
        </w:rPr>
        <w:t xml:space="preserve">turpmāk – Padomes secinājumi). Padomes secinājumi izstrādāti ar mērķi uzlabot minētajai sabiedrības grupai aizsardzību </w:t>
      </w:r>
      <w:r w:rsidRPr="00293CF7" w:rsidR="00B45F6F">
        <w:rPr>
          <w:color w:val="auto"/>
        </w:rPr>
        <w:t>E</w:t>
      </w:r>
      <w:r w:rsidR="00B45F6F">
        <w:t>iropas Savienībā</w:t>
      </w:r>
      <w:r w:rsidRPr="00293CF7">
        <w:rPr>
          <w:bCs/>
          <w:color w:val="auto"/>
        </w:rPr>
        <w:t xml:space="preserve"> gan civiltiesību, gan krimināltiesību jomā.</w:t>
      </w:r>
    </w:p>
    <w:p w:rsidRPr="00293CF7" w:rsidR="004E52B0" w:rsidP="007E27F3" w:rsidRDefault="004E52B0" w14:paraId="77F127E3" w14:textId="6CFE320B">
      <w:pPr>
        <w:pStyle w:val="mt-translation"/>
        <w:spacing w:before="0" w:beforeAutospacing="0" w:after="0" w:afterAutospacing="0"/>
        <w:ind w:firstLine="720"/>
        <w:jc w:val="both"/>
        <w:rPr>
          <w:bCs/>
          <w:color w:val="auto"/>
        </w:rPr>
      </w:pPr>
      <w:r w:rsidRPr="00293CF7">
        <w:rPr>
          <w:bCs/>
          <w:color w:val="auto"/>
        </w:rPr>
        <w:t xml:space="preserve">Portugāles prezidentūra lūdz Padomes sanāksmi apstiprināt </w:t>
      </w:r>
      <w:r w:rsidRPr="00293CF7" w:rsidR="00B45F6F">
        <w:rPr>
          <w:color w:val="auto"/>
        </w:rPr>
        <w:t>E</w:t>
      </w:r>
      <w:r w:rsidR="00B45F6F">
        <w:t>iropas Savienības</w:t>
      </w:r>
      <w:r w:rsidRPr="00293CF7" w:rsidR="00294990">
        <w:rPr>
          <w:bCs/>
          <w:color w:val="auto"/>
        </w:rPr>
        <w:t xml:space="preserve"> </w:t>
      </w:r>
      <w:r w:rsidRPr="00293CF7">
        <w:rPr>
          <w:bCs/>
          <w:color w:val="auto"/>
        </w:rPr>
        <w:t xml:space="preserve">Padomes secinājumus, kurā dalībvalstis un </w:t>
      </w:r>
      <w:r w:rsidRPr="00293CF7" w:rsidR="008D741E">
        <w:rPr>
          <w:bCs/>
          <w:color w:val="auto"/>
        </w:rPr>
        <w:t>Eiropas Komisija</w:t>
      </w:r>
      <w:r w:rsidRPr="00293CF7" w:rsidR="009C0530">
        <w:rPr>
          <w:bCs/>
          <w:color w:val="auto"/>
        </w:rPr>
        <w:t xml:space="preserve"> ir</w:t>
      </w:r>
      <w:r w:rsidRPr="00293CF7">
        <w:rPr>
          <w:bCs/>
          <w:color w:val="auto"/>
        </w:rPr>
        <w:t xml:space="preserve"> aicināti uz vienotu pieeju risināt jautājumus saistībā ar neaizsargātu pieaugušo tiesību ievērošanu un nodrošināšanu.</w:t>
      </w:r>
    </w:p>
    <w:p w:rsidRPr="00293CF7" w:rsidR="004E52B0" w:rsidP="007E27F3" w:rsidRDefault="004E52B0" w14:paraId="3FC5BF10" w14:textId="3DDCE327">
      <w:pPr>
        <w:pStyle w:val="mt-translation"/>
        <w:spacing w:before="0" w:beforeAutospacing="0" w:after="0" w:afterAutospacing="0"/>
        <w:ind w:firstLine="720"/>
        <w:jc w:val="both"/>
        <w:rPr>
          <w:bCs/>
          <w:color w:val="auto"/>
        </w:rPr>
      </w:pPr>
      <w:r w:rsidRPr="00293CF7">
        <w:rPr>
          <w:b/>
          <w:color w:val="auto"/>
        </w:rPr>
        <w:t>Latvija atbalsta</w:t>
      </w:r>
      <w:r w:rsidRPr="00293CF7">
        <w:rPr>
          <w:bCs/>
          <w:color w:val="auto"/>
        </w:rPr>
        <w:t xml:space="preserve"> Padomes secinājumu </w:t>
      </w:r>
      <w:r w:rsidRPr="00293CF7" w:rsidR="0050350B">
        <w:rPr>
          <w:bCs/>
          <w:color w:val="auto"/>
        </w:rPr>
        <w:t>apstiprināšanu</w:t>
      </w:r>
      <w:r w:rsidRPr="00293CF7">
        <w:rPr>
          <w:bCs/>
          <w:color w:val="auto"/>
        </w:rPr>
        <w:t>.</w:t>
      </w:r>
    </w:p>
    <w:p w:rsidRPr="00293CF7" w:rsidR="004E52B0" w:rsidP="007E27F3" w:rsidRDefault="004E52B0" w14:paraId="68A7E266" w14:textId="77777777">
      <w:pPr>
        <w:pStyle w:val="mt-translation"/>
        <w:spacing w:before="0" w:beforeAutospacing="0" w:after="0" w:afterAutospacing="0"/>
        <w:ind w:firstLine="720"/>
        <w:jc w:val="both"/>
        <w:rPr>
          <w:bCs/>
          <w:color w:val="auto"/>
        </w:rPr>
      </w:pPr>
    </w:p>
    <w:p w:rsidRPr="00293CF7" w:rsidR="00361ED2" w:rsidP="007E27F3" w:rsidRDefault="00293CF7" w14:paraId="322C0EC0" w14:textId="751BA571">
      <w:pPr>
        <w:pStyle w:val="mt-translation"/>
        <w:spacing w:before="0" w:beforeAutospacing="0" w:after="0" w:afterAutospacing="0"/>
        <w:ind w:firstLine="720"/>
        <w:jc w:val="both"/>
        <w:rPr>
          <w:b/>
          <w:color w:val="auto"/>
        </w:rPr>
      </w:pPr>
      <w:r>
        <w:rPr>
          <w:b/>
          <w:bCs/>
          <w:color w:val="auto"/>
        </w:rPr>
        <w:t>4. </w:t>
      </w:r>
      <w:r w:rsidRPr="00293CF7" w:rsidR="00361ED2">
        <w:rPr>
          <w:b/>
          <w:bCs/>
          <w:color w:val="auto"/>
        </w:rPr>
        <w:t>P</w:t>
      </w:r>
      <w:r w:rsidRPr="00293CF7" w:rsidR="00361ED2">
        <w:rPr>
          <w:b/>
          <w:color w:val="auto"/>
        </w:rPr>
        <w:t>ārrobežu piekļuve elektroniskajiem pierādījumiem</w:t>
      </w:r>
      <w:r w:rsidRPr="00293CF7" w:rsidR="00002556">
        <w:rPr>
          <w:b/>
          <w:color w:val="auto"/>
        </w:rPr>
        <w:t xml:space="preserve"> </w:t>
      </w:r>
      <w:r w:rsidRPr="00293CF7" w:rsidR="00002556">
        <w:rPr>
          <w:bCs/>
          <w:color w:val="auto"/>
        </w:rPr>
        <w:t>(</w:t>
      </w:r>
      <w:r w:rsidRPr="00293CF7" w:rsidR="00002556">
        <w:rPr>
          <w:i/>
          <w:color w:val="auto"/>
        </w:rPr>
        <w:t>informācija no Eiropas Komisijas</w:t>
      </w:r>
      <w:r w:rsidRPr="00293CF7" w:rsidR="00002556">
        <w:rPr>
          <w:bCs/>
          <w:color w:val="auto"/>
        </w:rPr>
        <w:t>)</w:t>
      </w:r>
    </w:p>
    <w:p w:rsidRPr="00293CF7" w:rsidR="00302BA7" w:rsidP="007E27F3" w:rsidRDefault="00C148D6" w14:paraId="7F516E2B" w14:textId="28D4C2EA">
      <w:pPr>
        <w:ind w:firstLine="720"/>
        <w:jc w:val="both"/>
      </w:pPr>
      <w:r w:rsidRPr="00293CF7">
        <w:rPr>
          <w:bCs/>
        </w:rPr>
        <w:t>Eiropas Komisija</w:t>
      </w:r>
      <w:r w:rsidRPr="00293CF7" w:rsidR="00302BA7">
        <w:t xml:space="preserve"> sniegs aktuālo informāciju par pašreizējo situāciju un sarunu stadiju par </w:t>
      </w:r>
      <w:r w:rsidRPr="00293CF7" w:rsidR="00B45F6F">
        <w:t>E</w:t>
      </w:r>
      <w:r w:rsidR="00B45F6F">
        <w:t>iropas Savienības</w:t>
      </w:r>
      <w:r w:rsidRPr="00293CF7" w:rsidR="00302BA7">
        <w:t xml:space="preserve"> un </w:t>
      </w:r>
      <w:r w:rsidRPr="00B45F6F" w:rsidR="00B45F6F">
        <w:t>Amerikas Savienoto Valstu</w:t>
      </w:r>
      <w:r w:rsidRPr="00293CF7" w:rsidR="00302BA7">
        <w:t xml:space="preserve"> nolīgumu, kas tiesu iestādēm paredz pārrobežu piekļuvi elektroniskajiem pierādījumiem kriminālprocesa ietvaros</w:t>
      </w:r>
      <w:r w:rsidRPr="00293CF7" w:rsidR="002541C6">
        <w:rPr>
          <w:rStyle w:val="Vresatsauce"/>
        </w:rPr>
        <w:footnoteReference w:id="18"/>
      </w:r>
      <w:r w:rsidRPr="00293CF7" w:rsidR="00302BA7">
        <w:t xml:space="preserve">. </w:t>
      </w:r>
    </w:p>
    <w:p w:rsidRPr="00293CF7" w:rsidR="00302BA7" w:rsidP="007E27F3" w:rsidRDefault="00302BA7" w14:paraId="71FC6247" w14:textId="77777777">
      <w:pPr>
        <w:ind w:firstLine="720"/>
        <w:jc w:val="both"/>
      </w:pPr>
      <w:r w:rsidRPr="00293CF7">
        <w:rPr>
          <w:b/>
          <w:bCs/>
        </w:rPr>
        <w:t>Latvija pieņem zināšanai</w:t>
      </w:r>
      <w:r w:rsidRPr="00293CF7">
        <w:t xml:space="preserve"> sniegto informāciju.</w:t>
      </w:r>
    </w:p>
    <w:p w:rsidRPr="00144E10" w:rsidR="00302BA7" w:rsidP="007E27F3" w:rsidRDefault="00302BA7" w14:paraId="66204705" w14:textId="77777777">
      <w:pPr>
        <w:pStyle w:val="Sarakstarindkopa"/>
        <w:ind w:left="417" w:firstLine="720"/>
        <w:jc w:val="both"/>
        <w:rPr>
          <w:i/>
          <w:iCs/>
          <w:sz w:val="12"/>
          <w:szCs w:val="12"/>
        </w:rPr>
      </w:pPr>
    </w:p>
    <w:p w:rsidRPr="00293CF7" w:rsidR="00302BA7" w:rsidP="00293CF7" w:rsidRDefault="002541C6" w14:paraId="6D49AD86" w14:textId="4D8C7540">
      <w:pPr>
        <w:pStyle w:val="Sarakstarindkopa"/>
        <w:ind w:left="0" w:firstLine="720"/>
        <w:jc w:val="both"/>
      </w:pPr>
      <w:r w:rsidRPr="00293CF7">
        <w:rPr>
          <w:bCs/>
        </w:rPr>
        <w:t xml:space="preserve">Tāpat </w:t>
      </w:r>
      <w:r w:rsidRPr="00293CF7" w:rsidR="00C148D6">
        <w:rPr>
          <w:bCs/>
        </w:rPr>
        <w:t>Eiropas Komisija</w:t>
      </w:r>
      <w:r w:rsidRPr="00293CF7" w:rsidR="00302BA7">
        <w:t xml:space="preserve"> sniegs aktuālo informāciju par pašreizējo situāciju sarunās ar Eiropas Padomi par Budapeštas konvencijas otro papildprotokolu</w:t>
      </w:r>
      <w:r w:rsidRPr="00293CF7">
        <w:rPr>
          <w:rStyle w:val="Vresatsauce"/>
        </w:rPr>
        <w:footnoteReference w:id="19"/>
      </w:r>
      <w:r w:rsidRPr="00293CF7" w:rsidR="00302BA7">
        <w:t>.</w:t>
      </w:r>
    </w:p>
    <w:p w:rsidRPr="00293CF7" w:rsidR="00302BA7" w:rsidP="007E27F3" w:rsidRDefault="00302BA7" w14:paraId="75B2D16F" w14:textId="564212A6">
      <w:pPr>
        <w:pStyle w:val="Sarakstarindkopa"/>
        <w:ind w:left="0" w:firstLine="720"/>
        <w:jc w:val="both"/>
        <w:rPr>
          <w:b/>
          <w:bCs/>
        </w:rPr>
      </w:pPr>
      <w:r w:rsidRPr="00293CF7">
        <w:rPr>
          <w:b/>
          <w:bCs/>
        </w:rPr>
        <w:t xml:space="preserve">Latvija pieņem zināšanai </w:t>
      </w:r>
      <w:r w:rsidRPr="00293CF7">
        <w:t>sniegto informāciju</w:t>
      </w:r>
      <w:r w:rsidRPr="00293CF7" w:rsidR="00624766">
        <w:t>.</w:t>
      </w:r>
    </w:p>
    <w:p w:rsidR="00302BA7" w:rsidP="007E27F3" w:rsidRDefault="00302BA7" w14:paraId="06AD02A0" w14:textId="25134894">
      <w:pPr>
        <w:pStyle w:val="Sarakstarindkopa"/>
        <w:ind w:left="0" w:firstLine="720"/>
        <w:jc w:val="both"/>
        <w:rPr>
          <w:b/>
          <w:bCs/>
        </w:rPr>
      </w:pPr>
    </w:p>
    <w:p w:rsidRPr="00293CF7" w:rsidR="00144E10" w:rsidP="007E27F3" w:rsidRDefault="00144E10" w14:paraId="6FD429E8" w14:textId="77777777">
      <w:pPr>
        <w:pStyle w:val="Sarakstarindkopa"/>
        <w:ind w:left="0" w:firstLine="720"/>
        <w:jc w:val="both"/>
        <w:rPr>
          <w:b/>
          <w:bCs/>
        </w:rPr>
      </w:pPr>
    </w:p>
    <w:p w:rsidRPr="00293CF7" w:rsidR="00624766" w:rsidP="007E27F3" w:rsidRDefault="00293CF7" w14:paraId="2F429DD7" w14:textId="15CDEC95">
      <w:pPr>
        <w:pStyle w:val="Sarakstarindkopa"/>
        <w:ind w:left="0" w:firstLine="720"/>
        <w:jc w:val="both"/>
        <w:rPr>
          <w:b/>
          <w:bCs/>
        </w:rPr>
      </w:pPr>
      <w:r>
        <w:rPr>
          <w:b/>
        </w:rPr>
        <w:lastRenderedPageBreak/>
        <w:t>5. </w:t>
      </w:r>
      <w:r w:rsidRPr="00293CF7" w:rsidR="00FB17D7">
        <w:rPr>
          <w:b/>
        </w:rPr>
        <w:t xml:space="preserve">Regulas par Eiropas Prokuratūras izveidi īstenošana </w:t>
      </w:r>
      <w:r w:rsidRPr="00293CF7" w:rsidR="00FB17D7">
        <w:t>(</w:t>
      </w:r>
      <w:r w:rsidRPr="00293CF7" w:rsidR="00FB17D7">
        <w:rPr>
          <w:i/>
        </w:rPr>
        <w:t>informācija no Eiropas Komisijas</w:t>
      </w:r>
      <w:r w:rsidRPr="00293CF7" w:rsidR="00624766">
        <w:t>)</w:t>
      </w:r>
    </w:p>
    <w:p w:rsidRPr="00293CF7" w:rsidR="00624766" w:rsidP="00293CF7" w:rsidRDefault="00624766" w14:paraId="6EA18D3B" w14:textId="71FD6705">
      <w:pPr>
        <w:pStyle w:val="Sarakstarindkopa"/>
        <w:ind w:left="0" w:firstLine="720"/>
        <w:jc w:val="both"/>
      </w:pPr>
      <w:r w:rsidRPr="00293CF7">
        <w:t>Eiropas Prokuratūra (turpmāk – EPPO)</w:t>
      </w:r>
      <w:r w:rsidRPr="00293CF7" w:rsidR="003134B7">
        <w:rPr>
          <w:rStyle w:val="Vresatsauce"/>
        </w:rPr>
        <w:footnoteReference w:id="20"/>
      </w:r>
      <w:r w:rsidRPr="00293CF7">
        <w:t xml:space="preserve"> tiek veidota ar mērķi aizsargāt </w:t>
      </w:r>
      <w:r w:rsidRPr="00293CF7" w:rsidR="00B45F6F">
        <w:t>E</w:t>
      </w:r>
      <w:r w:rsidR="00B45F6F">
        <w:t>iropas Savienības</w:t>
      </w:r>
      <w:r w:rsidRPr="00293CF7">
        <w:t xml:space="preserve"> finanšu intereses. EPPO būs galvenā iestāde, kas būs atbildīga par izmeklēšanu, kriminālvajāšanu un apsūdzības uzturēšanu tiesā par tādiem noziedzīgajiem nodarījumiem, kas skar </w:t>
      </w:r>
      <w:r w:rsidRPr="00293CF7" w:rsidR="00B45F6F">
        <w:t>E</w:t>
      </w:r>
      <w:r w:rsidR="00B45F6F">
        <w:t>iropas Savienības</w:t>
      </w:r>
      <w:r w:rsidRPr="00293CF7">
        <w:t xml:space="preserve"> finanšu intereses (piemēram, krāpšana, kas skar </w:t>
      </w:r>
      <w:r w:rsidRPr="00293CF7" w:rsidR="00B45F6F">
        <w:t>E</w:t>
      </w:r>
      <w:r w:rsidR="00B45F6F">
        <w:t>iropas Savienības</w:t>
      </w:r>
      <w:r w:rsidRPr="00293CF7">
        <w:t xml:space="preserve"> fondus).  </w:t>
      </w:r>
    </w:p>
    <w:p w:rsidRPr="00293CF7" w:rsidR="00624766" w:rsidP="007E27F3" w:rsidRDefault="005F45EB" w14:paraId="46B40D90" w14:textId="405D907B">
      <w:pPr>
        <w:ind w:firstLine="720"/>
        <w:jc w:val="both"/>
      </w:pPr>
      <w:r w:rsidRPr="00293CF7">
        <w:t>I</w:t>
      </w:r>
      <w:r w:rsidRPr="00293CF7" w:rsidR="00581ED6">
        <w:t xml:space="preserve">esaistītās </w:t>
      </w:r>
      <w:r w:rsidRPr="00293CF7" w:rsidR="00451CD3">
        <w:t xml:space="preserve">dalībvalstis ir veikušas nepieciešamos nacionālo tiesību aktu pielāgošanas soļus, lai </w:t>
      </w:r>
      <w:r w:rsidRPr="00293CF7" w:rsidR="00581ED6">
        <w:t>no šā gada 1.</w:t>
      </w:r>
      <w:r w:rsidRPr="00293CF7" w:rsidR="00705274">
        <w:t> </w:t>
      </w:r>
      <w:r w:rsidRPr="00293CF7" w:rsidR="00581ED6">
        <w:t xml:space="preserve">jūnija </w:t>
      </w:r>
      <w:r w:rsidRPr="00293CF7" w:rsidR="00451CD3">
        <w:t xml:space="preserve">darbu varētu uzsākt </w:t>
      </w:r>
      <w:r w:rsidRPr="00293CF7" w:rsidR="00581ED6">
        <w:t xml:space="preserve">EPPO un tās </w:t>
      </w:r>
      <w:r w:rsidRPr="00293CF7" w:rsidR="00451CD3">
        <w:t>Eiropas deleģētie prokurori.</w:t>
      </w:r>
    </w:p>
    <w:p w:rsidRPr="00293CF7" w:rsidR="00624766" w:rsidP="007E27F3" w:rsidRDefault="00624766" w14:paraId="04793458" w14:textId="3E5200CA">
      <w:pPr>
        <w:pStyle w:val="Sarakstarindkopa"/>
        <w:ind w:left="0" w:firstLine="720"/>
        <w:jc w:val="both"/>
      </w:pPr>
      <w:r w:rsidRPr="00293CF7">
        <w:t xml:space="preserve">Padomes sanāksmē </w:t>
      </w:r>
      <w:r w:rsidRPr="00293CF7" w:rsidR="00AD6DC0">
        <w:rPr>
          <w:bCs/>
        </w:rPr>
        <w:t>Eiropas Komisija</w:t>
      </w:r>
      <w:r w:rsidRPr="00293CF7">
        <w:t xml:space="preserve"> sniegs aktuālo informāciju saistībā ar EPPO.</w:t>
      </w:r>
      <w:r w:rsidRPr="00293CF7" w:rsidR="00581ED6">
        <w:t xml:space="preserve"> </w:t>
      </w:r>
    </w:p>
    <w:p w:rsidRPr="00293CF7" w:rsidR="00624766" w:rsidP="00293CF7" w:rsidRDefault="00624766" w14:paraId="55CF1C33" w14:textId="29AE02E5">
      <w:pPr>
        <w:pStyle w:val="Sarakstarindkopa"/>
        <w:ind w:left="0" w:firstLine="720"/>
        <w:jc w:val="both"/>
      </w:pPr>
      <w:r w:rsidRPr="00293CF7">
        <w:rPr>
          <w:b/>
          <w:bCs/>
        </w:rPr>
        <w:t>Latvija pieņem zināšanai</w:t>
      </w:r>
      <w:r w:rsidRPr="00293CF7">
        <w:t xml:space="preserve"> sniegto informāciju.</w:t>
      </w:r>
    </w:p>
    <w:p w:rsidRPr="00293CF7" w:rsidR="00624766" w:rsidP="007E27F3" w:rsidRDefault="00624766" w14:paraId="13B1D11A" w14:textId="77777777">
      <w:pPr>
        <w:pStyle w:val="Sarakstarindkopa"/>
        <w:ind w:left="0" w:firstLine="720"/>
        <w:jc w:val="both"/>
      </w:pPr>
    </w:p>
    <w:p w:rsidRPr="00293CF7" w:rsidR="00931560" w:rsidP="007E27F3" w:rsidRDefault="00293CF7" w14:paraId="461FC257" w14:textId="46F1029B">
      <w:pPr>
        <w:pStyle w:val="Sarakstarindkopa"/>
        <w:ind w:left="0" w:firstLine="720"/>
        <w:rPr>
          <w:lang w:eastAsia="lv-LV"/>
        </w:rPr>
      </w:pPr>
      <w:bookmarkStart w:name="_Hlk73091330" w:id="6"/>
      <w:r>
        <w:rPr>
          <w:b/>
          <w:bCs/>
          <w:lang w:eastAsia="lv-LV"/>
        </w:rPr>
        <w:t>6. </w:t>
      </w:r>
      <w:r w:rsidRPr="00293CF7" w:rsidR="00E810DE">
        <w:rPr>
          <w:b/>
          <w:bCs/>
          <w:lang w:eastAsia="lv-LV"/>
        </w:rPr>
        <w:t xml:space="preserve">Prokuratūru darbības galvenie elementi </w:t>
      </w:r>
      <w:r w:rsidRPr="00293CF7" w:rsidR="00931560">
        <w:rPr>
          <w:bCs/>
        </w:rPr>
        <w:t>(</w:t>
      </w:r>
      <w:r w:rsidRPr="00293CF7" w:rsidR="00002556">
        <w:rPr>
          <w:bCs/>
          <w:i/>
        </w:rPr>
        <w:t>viedokļu apmaiņa</w:t>
      </w:r>
      <w:r w:rsidRPr="00293CF7" w:rsidR="00931560">
        <w:rPr>
          <w:bCs/>
        </w:rPr>
        <w:t>)</w:t>
      </w:r>
    </w:p>
    <w:bookmarkEnd w:id="4"/>
    <w:bookmarkEnd w:id="6"/>
    <w:p w:rsidRPr="00293CF7" w:rsidR="00F033D3" w:rsidP="00293CF7" w:rsidRDefault="00F033D3" w14:paraId="4BAE1AD9" w14:textId="1F5D4A6E">
      <w:pPr>
        <w:ind w:firstLine="720"/>
        <w:jc w:val="both"/>
        <w:rPr>
          <w:bCs/>
        </w:rPr>
      </w:pPr>
      <w:r w:rsidRPr="00293CF7">
        <w:rPr>
          <w:bCs/>
        </w:rPr>
        <w:t xml:space="preserve">Dalībvalstu prokuratūrām ir būtiska nozīme tiesiskuma nodrošināšanai </w:t>
      </w:r>
      <w:r w:rsidRPr="00293CF7" w:rsidR="00B45F6F">
        <w:t>E</w:t>
      </w:r>
      <w:r w:rsidR="00B45F6F">
        <w:t>iropas Savienībā</w:t>
      </w:r>
      <w:r w:rsidRPr="00293CF7">
        <w:rPr>
          <w:bCs/>
        </w:rPr>
        <w:t>.  Prokuratūras savā ikdienas darbā sastopas ar dažādiem izaicinājumiem. Portugāles prezidentūra, ņemot vērā gaidāmo 2021.</w:t>
      </w:r>
      <w:r w:rsidR="00293CF7">
        <w:rPr>
          <w:bCs/>
        </w:rPr>
        <w:t> </w:t>
      </w:r>
      <w:r w:rsidRPr="00293CF7">
        <w:rPr>
          <w:bCs/>
        </w:rPr>
        <w:t xml:space="preserve">gada </w:t>
      </w:r>
      <w:r w:rsidRPr="00293CF7" w:rsidR="00B45F6F">
        <w:t>E</w:t>
      </w:r>
      <w:r w:rsidR="00B45F6F">
        <w:t>iropas Savienības</w:t>
      </w:r>
      <w:r w:rsidRPr="00293CF7">
        <w:rPr>
          <w:bCs/>
        </w:rPr>
        <w:t xml:space="preserve"> rezultātu apkopojumu tiesiskuma jomā (</w:t>
      </w:r>
      <w:r w:rsidRPr="00293CF7">
        <w:rPr>
          <w:bCs/>
          <w:i/>
          <w:iCs/>
        </w:rPr>
        <w:t>2021 EU Justice Scoreboard</w:t>
      </w:r>
      <w:r w:rsidRPr="00293CF7">
        <w:rPr>
          <w:bCs/>
        </w:rPr>
        <w:t>) un 2021.</w:t>
      </w:r>
      <w:r w:rsidR="00293CF7">
        <w:rPr>
          <w:bCs/>
        </w:rPr>
        <w:t> </w:t>
      </w:r>
      <w:r w:rsidRPr="00293CF7">
        <w:rPr>
          <w:bCs/>
        </w:rPr>
        <w:t>gada ziņojumu par tiesiskumu (</w:t>
      </w:r>
      <w:r w:rsidRPr="00293CF7">
        <w:rPr>
          <w:rFonts w:eastAsia="Calibri"/>
          <w:i/>
          <w:iCs/>
          <w:lang w:val="en-IE"/>
        </w:rPr>
        <w:t>2021 Rule of Law Report)</w:t>
      </w:r>
      <w:r w:rsidRPr="00293CF7">
        <w:rPr>
          <w:bCs/>
          <w:i/>
          <w:iCs/>
        </w:rPr>
        <w:t>,</w:t>
      </w:r>
      <w:r w:rsidRPr="00293CF7">
        <w:rPr>
          <w:bCs/>
        </w:rPr>
        <w:t xml:space="preserve"> aicinās ministrus izteikt savas pārdomas par izaicinājumiem prokuratūrām, lai nodrošinātu to efektīvu darbību. </w:t>
      </w:r>
    </w:p>
    <w:p w:rsidRPr="00293CF7" w:rsidR="0008352A" w:rsidP="007E27F3" w:rsidRDefault="00F033D3" w14:paraId="00C76245" w14:textId="665D006F">
      <w:pPr>
        <w:ind w:firstLine="720"/>
        <w:jc w:val="both"/>
        <w:rPr>
          <w:bCs/>
        </w:rPr>
      </w:pPr>
      <w:r w:rsidRPr="00293CF7">
        <w:rPr>
          <w:b/>
        </w:rPr>
        <w:t xml:space="preserve">Latvija atbalsta </w:t>
      </w:r>
      <w:r w:rsidRPr="00293CF7">
        <w:rPr>
          <w:bCs/>
        </w:rPr>
        <w:t xml:space="preserve">Portugāles </w:t>
      </w:r>
      <w:r w:rsidR="00B45F6F">
        <w:rPr>
          <w:bCs/>
        </w:rPr>
        <w:t>p</w:t>
      </w:r>
      <w:r w:rsidRPr="00293CF7">
        <w:rPr>
          <w:bCs/>
        </w:rPr>
        <w:t xml:space="preserve">rezidentūras iniciatīvu. Efektīva </w:t>
      </w:r>
      <w:r w:rsidRPr="00293CF7" w:rsidR="00B45F6F">
        <w:t>E</w:t>
      </w:r>
      <w:r w:rsidR="00B45F6F">
        <w:t>iropas Savienības</w:t>
      </w:r>
      <w:r w:rsidRPr="00293CF7">
        <w:rPr>
          <w:bCs/>
        </w:rPr>
        <w:t xml:space="preserve"> dalībvalstu prokuratūru darbība, ir būtisks priekšnoteikums tiesiskuma nodrošināšanai </w:t>
      </w:r>
      <w:r w:rsidRPr="00293CF7" w:rsidR="00B45F6F">
        <w:t>E</w:t>
      </w:r>
      <w:r w:rsidR="00B45F6F">
        <w:t>iropas Savienībā</w:t>
      </w:r>
      <w:r w:rsidRPr="00293CF7">
        <w:rPr>
          <w:bCs/>
        </w:rPr>
        <w:t>.</w:t>
      </w:r>
    </w:p>
    <w:p w:rsidRPr="00293CF7" w:rsidR="00C71ACF" w:rsidP="00C71ACF" w:rsidRDefault="00C71ACF" w14:paraId="41D7153C" w14:textId="73566DD8">
      <w:pPr>
        <w:jc w:val="both"/>
        <w:rPr>
          <w:bCs/>
        </w:rPr>
      </w:pPr>
    </w:p>
    <w:p w:rsidRPr="00293CF7" w:rsidR="002F2D7C" w:rsidP="002F2D7C" w:rsidRDefault="002F2D7C" w14:paraId="5715007C" w14:textId="77AD537A">
      <w:pPr>
        <w:jc w:val="center"/>
        <w:rPr>
          <w:b/>
        </w:rPr>
      </w:pPr>
      <w:r w:rsidRPr="00293CF7">
        <w:rPr>
          <w:b/>
        </w:rPr>
        <w:t>Delegācija</w:t>
      </w:r>
    </w:p>
    <w:p w:rsidRPr="00293CF7" w:rsidR="002F2D7C" w:rsidP="002F2D7C" w:rsidRDefault="002F2D7C" w14:paraId="5BC08464" w14:textId="77777777">
      <w:pPr>
        <w:jc w:val="center"/>
        <w:rPr>
          <w:b/>
        </w:rPr>
      </w:pPr>
    </w:p>
    <w:p w:rsidRPr="00293CF7" w:rsidR="002F2D7C" w:rsidP="002F2D7C" w:rsidRDefault="002F2D7C" w14:paraId="03A3C706" w14:textId="77777777">
      <w:pPr>
        <w:tabs>
          <w:tab w:val="left" w:pos="2835"/>
        </w:tabs>
      </w:pPr>
      <w:r w:rsidRPr="00293CF7">
        <w:t>Delegācijas vadītājs:</w:t>
      </w:r>
      <w:r w:rsidRPr="00293CF7">
        <w:tab/>
        <w:t>Jānis Bordāns, Ministru prezidenta biedrs, tieslietu ministrs</w:t>
      </w:r>
    </w:p>
    <w:p w:rsidRPr="00293CF7" w:rsidR="002F2D7C" w:rsidP="002F2D7C" w:rsidRDefault="002F2D7C" w14:paraId="3D16EABA" w14:textId="77777777">
      <w:pPr>
        <w:ind w:left="2835" w:hanging="2835"/>
        <w:jc w:val="both"/>
      </w:pPr>
    </w:p>
    <w:p w:rsidRPr="00293CF7" w:rsidR="002F2D7C" w:rsidP="002F2D7C" w:rsidRDefault="002F2D7C" w14:paraId="3337A83B" w14:textId="2F1C77B2">
      <w:pPr>
        <w:ind w:left="2835" w:hanging="2835"/>
        <w:jc w:val="both"/>
      </w:pPr>
      <w:r w:rsidRPr="00293CF7">
        <w:t>Delegācijas dalībnieki:</w:t>
      </w:r>
      <w:r w:rsidRPr="00293CF7">
        <w:tab/>
      </w:r>
      <w:r w:rsidRPr="00293CF7" w:rsidR="009D78D4">
        <w:t>Andris Vītols,</w:t>
      </w:r>
      <w:r w:rsidRPr="00293CF7" w:rsidR="009D78D4">
        <w:rPr>
          <w:b/>
          <w:bCs/>
        </w:rPr>
        <w:t xml:space="preserve"> </w:t>
      </w:r>
      <w:r w:rsidRPr="00293CF7" w:rsidR="009D78D4">
        <w:t>Tieslietu ministrijas parlamentārais sekretārs</w:t>
      </w:r>
      <w:r w:rsidRPr="00293CF7">
        <w:t>;</w:t>
      </w:r>
    </w:p>
    <w:p w:rsidRPr="00293CF7" w:rsidR="002F2D7C" w:rsidP="002F2D7C" w:rsidRDefault="002F2D7C" w14:paraId="793D9DEC" w14:textId="77777777">
      <w:pPr>
        <w:ind w:left="2835" w:hanging="4"/>
        <w:jc w:val="both"/>
      </w:pPr>
      <w:r w:rsidRPr="00293CF7">
        <w:t>Vineta Krutko</w:t>
      </w:r>
      <w:r w:rsidRPr="00293CF7">
        <w:rPr>
          <w:bCs/>
        </w:rPr>
        <w:t>,</w:t>
      </w:r>
      <w:r w:rsidRPr="00293CF7">
        <w:rPr>
          <w:b/>
        </w:rPr>
        <w:t xml:space="preserve"> </w:t>
      </w:r>
      <w:r w:rsidRPr="00293CF7">
        <w:t xml:space="preserve">tieslietu nozares padomniece; </w:t>
      </w:r>
    </w:p>
    <w:p w:rsidRPr="00293CF7" w:rsidR="002F2D7C" w:rsidP="002F2D7C" w:rsidRDefault="002F2D7C" w14:paraId="4BE0534E" w14:textId="77777777">
      <w:pPr>
        <w:ind w:left="2835" w:hanging="4"/>
        <w:jc w:val="both"/>
      </w:pPr>
      <w:r w:rsidRPr="00293CF7">
        <w:t>Anda Smiltēna, tieslietu nozares padomniece.</w:t>
      </w:r>
    </w:p>
    <w:p w:rsidRPr="00293CF7" w:rsidR="002F2D7C" w:rsidP="002F2D7C" w:rsidRDefault="002F2D7C" w14:paraId="77E8B8D1" w14:textId="77777777">
      <w:pPr>
        <w:jc w:val="both"/>
      </w:pPr>
    </w:p>
    <w:p w:rsidRPr="00293CF7" w:rsidR="002F2D7C" w:rsidP="002F2D7C" w:rsidRDefault="002F2D7C" w14:paraId="36070FD4" w14:textId="77777777">
      <w:pPr>
        <w:jc w:val="both"/>
      </w:pPr>
    </w:p>
    <w:p w:rsidRPr="00293CF7" w:rsidR="002F2D7C" w:rsidP="002F2D7C" w:rsidRDefault="002F2D7C" w14:paraId="47F7130E" w14:textId="77777777">
      <w:r w:rsidRPr="00293CF7">
        <w:t xml:space="preserve">Ministru prezidenta biedrs, </w:t>
      </w:r>
    </w:p>
    <w:p w:rsidRPr="00293CF7" w:rsidR="002F2D7C" w:rsidP="002F2D7C" w:rsidRDefault="002F2D7C" w14:paraId="6CA2CE29" w14:textId="77777777">
      <w:pPr>
        <w:jc w:val="both"/>
        <w:rPr>
          <w:sz w:val="20"/>
          <w:lang w:eastAsia="x-none"/>
        </w:rPr>
      </w:pPr>
      <w:r w:rsidRPr="00293CF7">
        <w:t>tieslietu ministrs</w:t>
      </w:r>
      <w:r w:rsidRPr="00293CF7">
        <w:tab/>
      </w:r>
      <w:r w:rsidRPr="00293CF7">
        <w:tab/>
      </w:r>
      <w:r w:rsidRPr="00293CF7">
        <w:tab/>
      </w:r>
      <w:r w:rsidRPr="00293CF7">
        <w:tab/>
      </w:r>
      <w:r w:rsidRPr="00293CF7">
        <w:tab/>
      </w:r>
      <w:r w:rsidRPr="00293CF7">
        <w:tab/>
      </w:r>
      <w:r w:rsidRPr="00293CF7">
        <w:tab/>
      </w:r>
      <w:r w:rsidRPr="00293CF7">
        <w:tab/>
        <w:t>Jānis Bordāns</w:t>
      </w:r>
      <w:r w:rsidRPr="00293CF7">
        <w:rPr>
          <w:sz w:val="26"/>
          <w:szCs w:val="26"/>
        </w:rPr>
        <w:t xml:space="preserve"> </w:t>
      </w:r>
    </w:p>
    <w:p w:rsidRPr="007E27F3" w:rsidR="008965D2" w:rsidP="00D06D8D" w:rsidRDefault="008965D2" w14:paraId="438DE7B6" w14:textId="75997D18">
      <w:pPr>
        <w:jc w:val="both"/>
      </w:pPr>
    </w:p>
    <w:p w:rsidRPr="007E27F3" w:rsidR="008E18E7" w:rsidP="008E18E7" w:rsidRDefault="008E18E7" w14:paraId="19277C78" w14:textId="77777777">
      <w:pPr>
        <w:jc w:val="both"/>
        <w:rPr>
          <w:szCs w:val="32"/>
        </w:rPr>
      </w:pPr>
    </w:p>
    <w:p w:rsidRPr="00293CF7" w:rsidR="000136EC" w:rsidP="000136EC" w:rsidRDefault="000136EC" w14:paraId="123C0DA5" w14:textId="6DA552E0">
      <w:pPr>
        <w:jc w:val="both"/>
        <w:rPr>
          <w:sz w:val="20"/>
          <w:lang w:eastAsia="x-none"/>
        </w:rPr>
      </w:pPr>
      <w:r w:rsidRPr="00293CF7">
        <w:rPr>
          <w:sz w:val="20"/>
          <w:lang w:eastAsia="x-none"/>
        </w:rPr>
        <w:t>Poiša 67036912</w:t>
      </w:r>
    </w:p>
    <w:p w:rsidRPr="00293CF7" w:rsidR="000136EC" w:rsidP="000136EC" w:rsidRDefault="000136EC" w14:paraId="24E4261F" w14:textId="77777777">
      <w:pPr>
        <w:jc w:val="both"/>
        <w:rPr>
          <w:sz w:val="20"/>
          <w:lang w:eastAsia="x-none"/>
        </w:rPr>
      </w:pPr>
      <w:r w:rsidRPr="00293CF7">
        <w:rPr>
          <w:sz w:val="20"/>
          <w:lang w:eastAsia="x-none"/>
        </w:rPr>
        <w:t>Arta.Poisa@tm.gov.lv</w:t>
      </w:r>
    </w:p>
    <w:p w:rsidRPr="00293CF7" w:rsidR="000136EC" w:rsidP="008E18E7" w:rsidRDefault="000136EC" w14:paraId="450F0E53" w14:textId="77777777">
      <w:pPr>
        <w:jc w:val="both"/>
        <w:rPr>
          <w:sz w:val="20"/>
        </w:rPr>
      </w:pPr>
    </w:p>
    <w:p w:rsidRPr="00293CF7" w:rsidR="008E18E7" w:rsidP="008E18E7" w:rsidRDefault="008E18E7" w14:paraId="20A4F183" w14:textId="5F97290F">
      <w:pPr>
        <w:jc w:val="both"/>
        <w:rPr>
          <w:sz w:val="20"/>
        </w:rPr>
      </w:pPr>
      <w:r w:rsidRPr="00293CF7">
        <w:rPr>
          <w:sz w:val="20"/>
        </w:rPr>
        <w:t>Linde 67036914</w:t>
      </w:r>
    </w:p>
    <w:p w:rsidRPr="00293CF7" w:rsidR="00457727" w:rsidP="00D06D8D" w:rsidRDefault="008E18E7" w14:paraId="1C610838" w14:textId="035A1DD2">
      <w:pPr>
        <w:jc w:val="both"/>
        <w:rPr>
          <w:sz w:val="26"/>
          <w:szCs w:val="26"/>
        </w:rPr>
      </w:pPr>
      <w:r w:rsidRPr="00293CF7">
        <w:rPr>
          <w:sz w:val="20"/>
        </w:rPr>
        <w:t>Ieva.Linde@tm.gov.lv</w:t>
      </w:r>
      <w:bookmarkEnd w:id="2"/>
    </w:p>
    <w:sectPr w:rsidRPr="00293CF7" w:rsidR="00457727" w:rsidSect="00E12F7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FCB5" w14:textId="77777777" w:rsidR="00F63DD4" w:rsidRDefault="00F63DD4" w:rsidP="00C5761C">
      <w:r>
        <w:separator/>
      </w:r>
    </w:p>
  </w:endnote>
  <w:endnote w:type="continuationSeparator" w:id="0">
    <w:p w14:paraId="5D001CA4" w14:textId="77777777" w:rsidR="00F63DD4" w:rsidRDefault="00F63DD4"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BF76" w14:textId="39EF2773" w:rsidR="00D37C6E" w:rsidRPr="000B32DA" w:rsidRDefault="00476E86" w:rsidP="00131415">
    <w:pPr>
      <w:pStyle w:val="Kjene"/>
      <w:rPr>
        <w:lang w:val="lv-LV"/>
      </w:rPr>
    </w:pPr>
    <w:proofErr w:type="spellStart"/>
    <w:r w:rsidRPr="00B4408E">
      <w:rPr>
        <w:iCs/>
        <w:sz w:val="20"/>
        <w:szCs w:val="20"/>
      </w:rPr>
      <w:t>TM</w:t>
    </w:r>
    <w:r w:rsidR="004E6680">
      <w:rPr>
        <w:iCs/>
        <w:sz w:val="20"/>
        <w:szCs w:val="20"/>
        <w:lang w:val="lv-LV"/>
      </w:rPr>
      <w:t>z</w:t>
    </w:r>
    <w:proofErr w:type="spellEnd"/>
    <w:r w:rsidRPr="00B4408E">
      <w:rPr>
        <w:iCs/>
        <w:sz w:val="20"/>
        <w:szCs w:val="20"/>
      </w:rPr>
      <w:t>in</w:t>
    </w:r>
    <w:r w:rsidRPr="00017F39">
      <w:rPr>
        <w:iCs/>
        <w:sz w:val="20"/>
        <w:szCs w:val="20"/>
      </w:rPr>
      <w:t>_</w:t>
    </w:r>
    <w:r w:rsidR="00FF55FE">
      <w:rPr>
        <w:iCs/>
        <w:sz w:val="20"/>
        <w:szCs w:val="20"/>
        <w:lang w:val="lv-LV"/>
      </w:rPr>
      <w:t>28</w:t>
    </w:r>
    <w:r w:rsidR="00377579">
      <w:rPr>
        <w:iCs/>
        <w:sz w:val="20"/>
        <w:szCs w:val="20"/>
        <w:lang w:val="lv-LV"/>
      </w:rPr>
      <w:t>05</w:t>
    </w:r>
    <w:r w:rsidR="00FF55FE">
      <w:rPr>
        <w:iCs/>
        <w:sz w:val="20"/>
        <w:szCs w:val="20"/>
        <w:lang w:val="lv-LV"/>
      </w:rPr>
      <w:t>21</w:t>
    </w:r>
    <w:r w:rsidRPr="00B4408E">
      <w:rPr>
        <w:iCs/>
        <w:sz w:val="20"/>
        <w:szCs w:val="20"/>
      </w:rPr>
      <w:t>_JHAC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E9D5" w14:textId="3F2A9E1E" w:rsidR="00D37C6E" w:rsidRPr="00282B62" w:rsidRDefault="00DA5D5A" w:rsidP="00B86A01">
    <w:pPr>
      <w:pStyle w:val="Nosaukums"/>
      <w:jc w:val="both"/>
      <w:outlineLvl w:val="0"/>
      <w:rPr>
        <w:iCs/>
        <w:sz w:val="20"/>
        <w:szCs w:val="20"/>
        <w:lang w:val="lv-LV"/>
      </w:rPr>
    </w:pPr>
    <w:proofErr w:type="spellStart"/>
    <w:r w:rsidRPr="002B102F">
      <w:rPr>
        <w:iCs/>
        <w:sz w:val="20"/>
        <w:szCs w:val="20"/>
      </w:rPr>
      <w:t>TM</w:t>
    </w:r>
    <w:r w:rsidR="004E6680">
      <w:rPr>
        <w:iCs/>
        <w:sz w:val="20"/>
        <w:szCs w:val="20"/>
        <w:lang w:val="lv-LV"/>
      </w:rPr>
      <w:t>z</w:t>
    </w:r>
    <w:proofErr w:type="spellEnd"/>
    <w:r w:rsidRPr="002B102F">
      <w:rPr>
        <w:iCs/>
        <w:sz w:val="20"/>
        <w:szCs w:val="20"/>
      </w:rPr>
      <w:t>i</w:t>
    </w:r>
    <w:r w:rsidRPr="00017F39">
      <w:rPr>
        <w:iCs/>
        <w:sz w:val="20"/>
        <w:szCs w:val="20"/>
      </w:rPr>
      <w:t>n_</w:t>
    </w:r>
    <w:r w:rsidR="00FF55FE">
      <w:rPr>
        <w:iCs/>
        <w:sz w:val="20"/>
        <w:szCs w:val="20"/>
        <w:lang w:val="lv-LV"/>
      </w:rPr>
      <w:t>28</w:t>
    </w:r>
    <w:r w:rsidR="00EE20B3">
      <w:rPr>
        <w:iCs/>
        <w:sz w:val="20"/>
        <w:szCs w:val="20"/>
        <w:lang w:val="lv-LV"/>
      </w:rPr>
      <w:t>05</w:t>
    </w:r>
    <w:r w:rsidR="00FF55FE">
      <w:rPr>
        <w:iCs/>
        <w:sz w:val="20"/>
        <w:szCs w:val="20"/>
        <w:lang w:val="lv-LV"/>
      </w:rPr>
      <w:t>21</w:t>
    </w:r>
    <w:r w:rsidRPr="007E203B">
      <w:rPr>
        <w:iCs/>
        <w:sz w:val="20"/>
        <w:szCs w:val="20"/>
      </w:rPr>
      <w:t>_</w:t>
    </w:r>
    <w:r w:rsidRPr="002B102F">
      <w:rPr>
        <w:iCs/>
        <w:sz w:val="20"/>
        <w:szCs w:val="20"/>
      </w:rPr>
      <w:t>JHAC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F0F5" w14:textId="77777777" w:rsidR="00F63DD4" w:rsidRDefault="00F63DD4" w:rsidP="00C5761C">
      <w:r>
        <w:separator/>
      </w:r>
    </w:p>
  </w:footnote>
  <w:footnote w:type="continuationSeparator" w:id="0">
    <w:p w14:paraId="737ADC6C" w14:textId="77777777" w:rsidR="00F63DD4" w:rsidRDefault="00F63DD4" w:rsidP="00C5761C">
      <w:r>
        <w:continuationSeparator/>
      </w:r>
    </w:p>
  </w:footnote>
  <w:footnote w:id="1">
    <w:p w14:paraId="4A9478BE" w14:textId="77777777" w:rsidR="00593A1E" w:rsidRPr="00D44A18" w:rsidRDefault="00593A1E" w:rsidP="00593A1E">
      <w:pPr>
        <w:pStyle w:val="Vresteksts"/>
        <w:rPr>
          <w:sz w:val="18"/>
          <w:szCs w:val="18"/>
          <w:lang w:val="lv-LV"/>
        </w:rPr>
      </w:pPr>
      <w:r w:rsidRPr="00D44A18">
        <w:rPr>
          <w:rStyle w:val="Vresatsauce"/>
          <w:sz w:val="18"/>
          <w:szCs w:val="18"/>
        </w:rPr>
        <w:footnoteRef/>
      </w:r>
      <w:r w:rsidRPr="00D44A18">
        <w:rPr>
          <w:sz w:val="18"/>
          <w:szCs w:val="18"/>
        </w:rPr>
        <w:t xml:space="preserve"> </w:t>
      </w:r>
      <w:r w:rsidRPr="00D44A18">
        <w:rPr>
          <w:sz w:val="18"/>
          <w:szCs w:val="18"/>
          <w:lang w:val="lv-LV"/>
        </w:rPr>
        <w:t xml:space="preserve">Finanšu ministrijas kompetences jautājums. </w:t>
      </w:r>
    </w:p>
  </w:footnote>
  <w:footnote w:id="2">
    <w:p w14:paraId="3CE8FDBF" w14:textId="77777777" w:rsidR="00593A1E" w:rsidRPr="00D44A18" w:rsidRDefault="00593A1E" w:rsidP="00593A1E">
      <w:pPr>
        <w:pStyle w:val="Vresteksts"/>
        <w:jc w:val="both"/>
        <w:rPr>
          <w:sz w:val="18"/>
          <w:szCs w:val="18"/>
          <w:lang w:val="lv-LV"/>
        </w:rPr>
      </w:pPr>
      <w:r w:rsidRPr="00D44A18">
        <w:rPr>
          <w:rStyle w:val="Vresatsauce"/>
          <w:sz w:val="18"/>
          <w:szCs w:val="18"/>
        </w:rPr>
        <w:footnoteRef/>
      </w:r>
      <w:r w:rsidRPr="00D44A18">
        <w:rPr>
          <w:sz w:val="18"/>
          <w:szCs w:val="18"/>
        </w:rPr>
        <w:t xml:space="preserve"> </w:t>
      </w:r>
      <w:r w:rsidRPr="00D44A18">
        <w:rPr>
          <w:sz w:val="18"/>
          <w:szCs w:val="18"/>
          <w:lang w:val="lv-LV"/>
        </w:rPr>
        <w:t xml:space="preserve">Pieejams: </w:t>
      </w:r>
      <w:hyperlink r:id="rId1" w:history="1">
        <w:r w:rsidRPr="00D44A18">
          <w:rPr>
            <w:rStyle w:val="Hipersaite"/>
            <w:sz w:val="18"/>
            <w:szCs w:val="18"/>
            <w:lang w:val="lv-LV"/>
          </w:rPr>
          <w:t>https://eur-lex.europa.eu/legal-content/LV/TXT/?uri=CELEX:52018PC0096</w:t>
        </w:r>
      </w:hyperlink>
      <w:r w:rsidRPr="00D44A18">
        <w:rPr>
          <w:sz w:val="18"/>
          <w:szCs w:val="18"/>
          <w:lang w:val="lv-LV"/>
        </w:rPr>
        <w:t xml:space="preserve"> </w:t>
      </w:r>
    </w:p>
  </w:footnote>
  <w:footnote w:id="3">
    <w:p w14:paraId="515B515E" w14:textId="6EBE04EA" w:rsidR="00593A1E" w:rsidRPr="00235FF3" w:rsidRDefault="00593A1E" w:rsidP="00593A1E">
      <w:pPr>
        <w:jc w:val="both"/>
      </w:pPr>
      <w:r w:rsidRPr="00D44A18">
        <w:rPr>
          <w:rStyle w:val="Vresatsauce"/>
          <w:sz w:val="18"/>
          <w:szCs w:val="18"/>
        </w:rPr>
        <w:footnoteRef/>
      </w:r>
      <w:r w:rsidRPr="00D44A18">
        <w:rPr>
          <w:sz w:val="18"/>
          <w:szCs w:val="18"/>
        </w:rPr>
        <w:t xml:space="preserve"> </w:t>
      </w:r>
      <w:r w:rsidRPr="00D44A18">
        <w:rPr>
          <w:color w:val="000000"/>
          <w:sz w:val="18"/>
          <w:szCs w:val="18"/>
        </w:rPr>
        <w:t xml:space="preserve">Eiropas Parlaments 2019. gada 13. februārī pirmajā lasījumā pieņēma nostāju par </w:t>
      </w:r>
      <w:r w:rsidR="00323C1D">
        <w:rPr>
          <w:color w:val="000000"/>
          <w:sz w:val="18"/>
          <w:szCs w:val="18"/>
        </w:rPr>
        <w:t>r</w:t>
      </w:r>
      <w:r w:rsidRPr="00D44A18">
        <w:rPr>
          <w:color w:val="000000"/>
          <w:sz w:val="18"/>
          <w:szCs w:val="18"/>
        </w:rPr>
        <w:t>egulas priekšlikumu</w:t>
      </w:r>
    </w:p>
  </w:footnote>
  <w:footnote w:id="4">
    <w:p w14:paraId="38ABDB3E" w14:textId="77777777" w:rsidR="004A4EA7" w:rsidRPr="00B40CFA" w:rsidRDefault="004A4EA7" w:rsidP="004A4EA7">
      <w:pPr>
        <w:pStyle w:val="Vresteksts"/>
        <w:rPr>
          <w:sz w:val="18"/>
          <w:szCs w:val="18"/>
          <w:lang w:val="lv-LV"/>
        </w:rPr>
      </w:pPr>
      <w:r w:rsidRPr="00B40CFA">
        <w:rPr>
          <w:rStyle w:val="Vresatsauce"/>
          <w:sz w:val="18"/>
          <w:szCs w:val="18"/>
        </w:rPr>
        <w:footnoteRef/>
      </w:r>
      <w:r w:rsidRPr="00B40CFA">
        <w:rPr>
          <w:sz w:val="18"/>
          <w:szCs w:val="18"/>
        </w:rPr>
        <w:t xml:space="preserve"> </w:t>
      </w:r>
      <w:hyperlink r:id="rId2" w:history="1">
        <w:r w:rsidRPr="00B40CFA">
          <w:rPr>
            <w:rStyle w:val="Hipersaite"/>
            <w:sz w:val="18"/>
            <w:szCs w:val="18"/>
          </w:rPr>
          <w:t>https://eur-lex.europa.eu/legal-content/LV/TXT/?uri=CELEX:52020PC0712</w:t>
        </w:r>
      </w:hyperlink>
      <w:r w:rsidRPr="00B40CFA">
        <w:rPr>
          <w:sz w:val="18"/>
          <w:szCs w:val="18"/>
          <w:lang w:val="lv-LV"/>
        </w:rPr>
        <w:t xml:space="preserve"> </w:t>
      </w:r>
    </w:p>
  </w:footnote>
  <w:footnote w:id="5">
    <w:p w14:paraId="20DB1B04" w14:textId="1EC54BAF" w:rsidR="004A4EA7" w:rsidRPr="00B40CFA" w:rsidRDefault="004A4EA7" w:rsidP="004A4EA7">
      <w:pPr>
        <w:pStyle w:val="Vresteksts"/>
        <w:rPr>
          <w:color w:val="0D0D0D" w:themeColor="text1" w:themeTint="F2"/>
          <w:sz w:val="18"/>
          <w:szCs w:val="18"/>
          <w:lang w:val="lv-LV"/>
        </w:rPr>
      </w:pPr>
      <w:r w:rsidRPr="00B40CFA">
        <w:rPr>
          <w:rStyle w:val="Vresatsauce"/>
          <w:color w:val="0D0D0D" w:themeColor="text1" w:themeTint="F2"/>
          <w:sz w:val="18"/>
          <w:szCs w:val="18"/>
        </w:rPr>
        <w:footnoteRef/>
      </w:r>
      <w:r w:rsidRPr="00B40CFA">
        <w:rPr>
          <w:color w:val="0D0D0D" w:themeColor="text1" w:themeTint="F2"/>
          <w:sz w:val="18"/>
          <w:szCs w:val="18"/>
        </w:rPr>
        <w:t xml:space="preserve"> </w:t>
      </w:r>
      <w:r w:rsidR="00B40CFA" w:rsidRPr="003E0FA1">
        <w:rPr>
          <w:i/>
          <w:iCs/>
          <w:color w:val="000000"/>
          <w:sz w:val="18"/>
          <w:szCs w:val="18"/>
          <w:shd w:val="clear" w:color="auto" w:fill="FFFFFF"/>
        </w:rPr>
        <w:t>e-Justice Communication via On-line Data Exchange</w:t>
      </w:r>
    </w:p>
  </w:footnote>
  <w:footnote w:id="6">
    <w:p w14:paraId="10A83A81" w14:textId="2865CCEF" w:rsidR="004A4EA7" w:rsidRPr="00FE0FA5" w:rsidRDefault="004A4EA7" w:rsidP="004A4EA7">
      <w:pPr>
        <w:pStyle w:val="Vresteksts"/>
        <w:jc w:val="both"/>
        <w:rPr>
          <w:color w:val="0D0D0D" w:themeColor="text1" w:themeTint="F2"/>
          <w:lang w:val="lv-LV"/>
        </w:rPr>
      </w:pPr>
      <w:r w:rsidRPr="00B40CFA">
        <w:rPr>
          <w:rStyle w:val="Vresatsauce"/>
          <w:color w:val="0D0D0D" w:themeColor="text1" w:themeTint="F2"/>
          <w:sz w:val="18"/>
          <w:szCs w:val="18"/>
        </w:rPr>
        <w:footnoteRef/>
      </w:r>
      <w:r w:rsidRPr="00B40CFA">
        <w:rPr>
          <w:color w:val="0D0D0D" w:themeColor="text1" w:themeTint="F2"/>
          <w:sz w:val="18"/>
          <w:szCs w:val="18"/>
        </w:rPr>
        <w:t xml:space="preserve"> </w:t>
      </w:r>
      <w:r w:rsidRPr="00293CF7">
        <w:rPr>
          <w:color w:val="0D0D0D" w:themeColor="text1" w:themeTint="F2"/>
          <w:sz w:val="18"/>
          <w:szCs w:val="18"/>
          <w:lang w:val="lv-LV"/>
        </w:rPr>
        <w:t xml:space="preserve">Eiropas Parlamenta un Padomes </w:t>
      </w:r>
      <w:r w:rsidR="009C601A" w:rsidRPr="00293CF7">
        <w:rPr>
          <w:color w:val="0D0D0D" w:themeColor="text1" w:themeTint="F2"/>
          <w:sz w:val="18"/>
          <w:szCs w:val="18"/>
          <w:lang w:val="lv-LV"/>
        </w:rPr>
        <w:t>2018.</w:t>
      </w:r>
      <w:r w:rsidR="009C601A">
        <w:rPr>
          <w:color w:val="0D0D0D" w:themeColor="text1" w:themeTint="F2"/>
          <w:sz w:val="18"/>
          <w:szCs w:val="18"/>
          <w:lang w:val="lv-LV"/>
        </w:rPr>
        <w:t> </w:t>
      </w:r>
      <w:r w:rsidR="009C601A" w:rsidRPr="00293CF7">
        <w:rPr>
          <w:color w:val="0D0D0D" w:themeColor="text1" w:themeTint="F2"/>
          <w:sz w:val="18"/>
          <w:szCs w:val="18"/>
          <w:lang w:val="lv-LV"/>
        </w:rPr>
        <w:t>gada 14.</w:t>
      </w:r>
      <w:r w:rsidR="009C601A">
        <w:rPr>
          <w:color w:val="0D0D0D" w:themeColor="text1" w:themeTint="F2"/>
          <w:sz w:val="18"/>
          <w:szCs w:val="18"/>
          <w:lang w:val="lv-LV"/>
        </w:rPr>
        <w:t> </w:t>
      </w:r>
      <w:r w:rsidR="009C601A" w:rsidRPr="00293CF7">
        <w:rPr>
          <w:color w:val="0D0D0D" w:themeColor="text1" w:themeTint="F2"/>
          <w:sz w:val="18"/>
          <w:szCs w:val="18"/>
          <w:lang w:val="lv-LV"/>
        </w:rPr>
        <w:t xml:space="preserve">novembra </w:t>
      </w:r>
      <w:r w:rsidRPr="00293CF7">
        <w:rPr>
          <w:color w:val="0D0D0D" w:themeColor="text1" w:themeTint="F2"/>
          <w:sz w:val="18"/>
          <w:szCs w:val="18"/>
          <w:lang w:val="lv-LV"/>
        </w:rPr>
        <w:t>Regula (ES) 2018/1726 par Eiropas Savienības Aģentūru lielapjoma IT sistēmu darbības pārvaldībai brīvības, drošības un tiesiskuma telpā (eu-LISA) un ar ko groza Regulu (EK) Nr.</w:t>
      </w:r>
      <w:r w:rsidR="00293CF7">
        <w:rPr>
          <w:color w:val="0D0D0D" w:themeColor="text1" w:themeTint="F2"/>
          <w:sz w:val="18"/>
          <w:szCs w:val="18"/>
          <w:lang w:val="lv-LV"/>
        </w:rPr>
        <w:t> </w:t>
      </w:r>
      <w:r w:rsidRPr="00293CF7">
        <w:rPr>
          <w:color w:val="0D0D0D" w:themeColor="text1" w:themeTint="F2"/>
          <w:sz w:val="18"/>
          <w:szCs w:val="18"/>
          <w:lang w:val="lv-LV"/>
        </w:rPr>
        <w:t xml:space="preserve">1987/2006 un Padomes Lēmumu 2007/533/TI un atceļ Regulu </w:t>
      </w:r>
      <w:proofErr w:type="gramStart"/>
      <w:r w:rsidRPr="00293CF7">
        <w:rPr>
          <w:color w:val="0D0D0D" w:themeColor="text1" w:themeTint="F2"/>
          <w:sz w:val="18"/>
          <w:szCs w:val="18"/>
          <w:lang w:val="lv-LV"/>
        </w:rPr>
        <w:t>(</w:t>
      </w:r>
      <w:proofErr w:type="gramEnd"/>
      <w:r w:rsidRPr="00293CF7">
        <w:rPr>
          <w:color w:val="0D0D0D" w:themeColor="text1" w:themeTint="F2"/>
          <w:sz w:val="18"/>
          <w:szCs w:val="18"/>
          <w:lang w:val="lv-LV"/>
        </w:rPr>
        <w:t>ES) Nr.</w:t>
      </w:r>
      <w:r w:rsidR="00293CF7">
        <w:rPr>
          <w:color w:val="0D0D0D" w:themeColor="text1" w:themeTint="F2"/>
          <w:sz w:val="18"/>
          <w:szCs w:val="18"/>
          <w:lang w:val="lv-LV"/>
        </w:rPr>
        <w:t> </w:t>
      </w:r>
      <w:r w:rsidRPr="00293CF7">
        <w:rPr>
          <w:color w:val="0D0D0D" w:themeColor="text1" w:themeTint="F2"/>
          <w:sz w:val="18"/>
          <w:szCs w:val="18"/>
          <w:lang w:val="lv-LV"/>
        </w:rPr>
        <w:t>1077/2011</w:t>
      </w:r>
    </w:p>
  </w:footnote>
  <w:footnote w:id="7">
    <w:p w14:paraId="3392026B" w14:textId="6B015308" w:rsidR="00FE0FA5" w:rsidRPr="00D44A18" w:rsidRDefault="00FE0FA5" w:rsidP="003E0FA1">
      <w:pPr>
        <w:jc w:val="both"/>
        <w:rPr>
          <w:sz w:val="18"/>
          <w:szCs w:val="18"/>
        </w:rPr>
      </w:pPr>
      <w:r w:rsidRPr="00D44A18">
        <w:rPr>
          <w:rStyle w:val="Vresatsauce"/>
          <w:sz w:val="18"/>
          <w:szCs w:val="18"/>
        </w:rPr>
        <w:footnoteRef/>
      </w:r>
      <w:r w:rsidRPr="00D44A18">
        <w:rPr>
          <w:sz w:val="18"/>
          <w:szCs w:val="18"/>
        </w:rPr>
        <w:t xml:space="preserve"> </w:t>
      </w:r>
      <w:r w:rsidR="00D44A18" w:rsidRPr="00D44A18">
        <w:rPr>
          <w:sz w:val="18"/>
          <w:szCs w:val="18"/>
          <w:lang w:eastAsia="en-GB"/>
        </w:rPr>
        <w:t>Austrija, Beļģija, Horvātija, Čehija, Igaunija, Somija, Francija, Vācija, Grieķija, Ungārija, Īrija, Itālija, Latvija, Lietuva, Malta, Nīderlande, Polija, Portugāle, Rumānija, Spānija un Apvienotā Karaliste</w:t>
      </w:r>
    </w:p>
  </w:footnote>
  <w:footnote w:id="8">
    <w:p w14:paraId="6D8782FC" w14:textId="22A613CD" w:rsidR="002A6DE2" w:rsidRPr="00D44A18" w:rsidRDefault="002A6DE2" w:rsidP="002A6DE2">
      <w:pPr>
        <w:pStyle w:val="Vresteksts"/>
        <w:jc w:val="both"/>
        <w:rPr>
          <w:rFonts w:eastAsiaTheme="minorEastAsia"/>
          <w:sz w:val="18"/>
          <w:szCs w:val="18"/>
          <w:lang w:val="lv-LV"/>
        </w:rPr>
      </w:pPr>
      <w:r w:rsidRPr="00D44A18">
        <w:rPr>
          <w:rStyle w:val="Vresatsauce"/>
          <w:sz w:val="18"/>
          <w:szCs w:val="18"/>
          <w:lang w:val="lv-LV"/>
        </w:rPr>
        <w:footnoteRef/>
      </w:r>
      <w:r w:rsidR="00756B6B" w:rsidRPr="00D44A18">
        <w:rPr>
          <w:sz w:val="18"/>
          <w:szCs w:val="18"/>
          <w:lang w:val="lv-LV"/>
        </w:rPr>
        <w:t xml:space="preserve"> </w:t>
      </w:r>
      <w:r w:rsidRPr="00D44A18">
        <w:rPr>
          <w:sz w:val="18"/>
          <w:szCs w:val="18"/>
          <w:lang w:val="lv-LV"/>
        </w:rPr>
        <w:t>Ieceļošanas un izceļošanas sistēmas (</w:t>
      </w:r>
      <w:r w:rsidRPr="00D44A18">
        <w:rPr>
          <w:b/>
          <w:sz w:val="18"/>
          <w:szCs w:val="18"/>
          <w:lang w:val="lv-LV"/>
        </w:rPr>
        <w:t>IIS</w:t>
      </w:r>
      <w:r w:rsidRPr="00D44A18">
        <w:rPr>
          <w:sz w:val="18"/>
          <w:szCs w:val="18"/>
          <w:lang w:val="lv-LV"/>
        </w:rPr>
        <w:t>), Eiropas ceļošanas informācijas un atļauju sistēmas (</w:t>
      </w:r>
      <w:r w:rsidRPr="00D44A18">
        <w:rPr>
          <w:b/>
          <w:sz w:val="18"/>
          <w:szCs w:val="18"/>
          <w:lang w:val="lv-LV"/>
        </w:rPr>
        <w:t>ETIAS</w:t>
      </w:r>
      <w:r w:rsidRPr="00D44A18">
        <w:rPr>
          <w:sz w:val="18"/>
          <w:szCs w:val="18"/>
          <w:lang w:val="lv-LV"/>
        </w:rPr>
        <w:t>) un Eiropas Sodāmības reģistru informācijas sistēmas papildināšanai izveidotas centralizētu sistēmas trešo valstu pilsoņiem (</w:t>
      </w:r>
      <w:r w:rsidRPr="00D44A18">
        <w:rPr>
          <w:b/>
          <w:sz w:val="18"/>
          <w:szCs w:val="18"/>
          <w:lang w:val="lv-LV"/>
        </w:rPr>
        <w:t>ECRIS-TCN</w:t>
      </w:r>
      <w:r w:rsidRPr="00D44A18">
        <w:rPr>
          <w:sz w:val="18"/>
          <w:szCs w:val="18"/>
          <w:lang w:val="lv-LV"/>
        </w:rPr>
        <w:t>) izveidi, kā arī izmaiņas Šengenas informācijas sistēmā (</w:t>
      </w:r>
      <w:r w:rsidRPr="00D44A18">
        <w:rPr>
          <w:b/>
          <w:sz w:val="18"/>
          <w:szCs w:val="18"/>
          <w:lang w:val="lv-LV"/>
        </w:rPr>
        <w:t>SIS</w:t>
      </w:r>
      <w:r w:rsidRPr="00D44A18">
        <w:rPr>
          <w:sz w:val="18"/>
          <w:szCs w:val="18"/>
          <w:lang w:val="lv-LV"/>
        </w:rPr>
        <w:t>) un Vīzu informācijas sistēmā (</w:t>
      </w:r>
      <w:r w:rsidRPr="00D44A18">
        <w:rPr>
          <w:b/>
          <w:sz w:val="18"/>
          <w:szCs w:val="18"/>
          <w:lang w:val="lv-LV"/>
        </w:rPr>
        <w:t>VIS</w:t>
      </w:r>
      <w:r w:rsidRPr="00D44A18">
        <w:rPr>
          <w:sz w:val="18"/>
          <w:szCs w:val="18"/>
          <w:lang w:val="lv-LV"/>
        </w:rPr>
        <w:t xml:space="preserve">).  </w:t>
      </w:r>
    </w:p>
  </w:footnote>
  <w:footnote w:id="9">
    <w:p w14:paraId="674D309D" w14:textId="77777777" w:rsidR="00814C89" w:rsidRPr="00D44A18" w:rsidRDefault="00814C89" w:rsidP="00814C89">
      <w:pPr>
        <w:pStyle w:val="Vresteksts"/>
        <w:rPr>
          <w:sz w:val="18"/>
          <w:szCs w:val="18"/>
          <w:lang w:val="lv-LV"/>
        </w:rPr>
      </w:pPr>
      <w:r w:rsidRPr="00D44A18">
        <w:rPr>
          <w:rStyle w:val="Vresatsauce"/>
          <w:sz w:val="18"/>
          <w:szCs w:val="18"/>
          <w:lang w:val="lv-LV"/>
        </w:rPr>
        <w:footnoteRef/>
      </w:r>
      <w:r w:rsidRPr="00D44A18">
        <w:rPr>
          <w:sz w:val="18"/>
          <w:szCs w:val="18"/>
          <w:lang w:val="lv-LV"/>
        </w:rPr>
        <w:t xml:space="preserve"> Finanšu ministrijas kompetences jautājums. </w:t>
      </w:r>
    </w:p>
  </w:footnote>
  <w:footnote w:id="10">
    <w:p w14:paraId="0794A64D" w14:textId="47E0B2FB" w:rsidR="006A0712" w:rsidRPr="00116A3F" w:rsidRDefault="006A0712" w:rsidP="006A0712">
      <w:pPr>
        <w:pStyle w:val="Vresteksts"/>
        <w:jc w:val="both"/>
        <w:rPr>
          <w:sz w:val="18"/>
          <w:szCs w:val="18"/>
          <w:lang w:val="lv-LV"/>
        </w:rPr>
      </w:pPr>
      <w:r w:rsidRPr="00D44A18">
        <w:rPr>
          <w:rStyle w:val="Vresatsauce"/>
          <w:sz w:val="18"/>
          <w:szCs w:val="18"/>
          <w:lang w:val="lv-LV"/>
        </w:rPr>
        <w:footnoteRef/>
      </w:r>
      <w:r w:rsidRPr="00D44A18">
        <w:rPr>
          <w:sz w:val="18"/>
          <w:szCs w:val="18"/>
          <w:lang w:val="lv-LV"/>
        </w:rPr>
        <w:t xml:space="preserve"> </w:t>
      </w:r>
      <w:r w:rsidRPr="00D44A18">
        <w:rPr>
          <w:color w:val="0D0D0D" w:themeColor="text1" w:themeTint="F2"/>
          <w:sz w:val="18"/>
          <w:szCs w:val="18"/>
          <w:lang w:val="lv-LV"/>
        </w:rPr>
        <w:t xml:space="preserve">Padomes </w:t>
      </w:r>
      <w:r w:rsidR="007B41DD" w:rsidRPr="00D44A18">
        <w:rPr>
          <w:color w:val="0D0D0D" w:themeColor="text1" w:themeTint="F2"/>
          <w:sz w:val="18"/>
          <w:szCs w:val="18"/>
          <w:lang w:val="lv-LV"/>
        </w:rPr>
        <w:t>2007.</w:t>
      </w:r>
      <w:r w:rsidR="007B41DD">
        <w:rPr>
          <w:color w:val="0D0D0D" w:themeColor="text1" w:themeTint="F2"/>
          <w:sz w:val="18"/>
          <w:szCs w:val="18"/>
          <w:lang w:val="lv-LV"/>
        </w:rPr>
        <w:t> </w:t>
      </w:r>
      <w:r w:rsidR="007B41DD" w:rsidRPr="00D44A18">
        <w:rPr>
          <w:color w:val="0D0D0D" w:themeColor="text1" w:themeTint="F2"/>
          <w:sz w:val="18"/>
          <w:szCs w:val="18"/>
          <w:lang w:val="lv-LV"/>
        </w:rPr>
        <w:t>gada 15.</w:t>
      </w:r>
      <w:r w:rsidR="007B41DD">
        <w:rPr>
          <w:color w:val="0D0D0D" w:themeColor="text1" w:themeTint="F2"/>
          <w:sz w:val="18"/>
          <w:szCs w:val="18"/>
          <w:lang w:val="lv-LV"/>
        </w:rPr>
        <w:t> </w:t>
      </w:r>
      <w:r w:rsidR="007B41DD" w:rsidRPr="00D44A18">
        <w:rPr>
          <w:color w:val="0D0D0D" w:themeColor="text1" w:themeTint="F2"/>
          <w:sz w:val="18"/>
          <w:szCs w:val="18"/>
          <w:lang w:val="lv-LV"/>
        </w:rPr>
        <w:t>februār</w:t>
      </w:r>
      <w:r w:rsidR="007B41DD" w:rsidRPr="00116A3F">
        <w:rPr>
          <w:color w:val="0D0D0D" w:themeColor="text1" w:themeTint="F2"/>
          <w:sz w:val="18"/>
          <w:szCs w:val="18"/>
          <w:lang w:val="lv-LV"/>
        </w:rPr>
        <w:t>a</w:t>
      </w:r>
      <w:r w:rsidR="007B41DD" w:rsidRPr="00D44A18">
        <w:rPr>
          <w:color w:val="0D0D0D" w:themeColor="text1" w:themeTint="F2"/>
          <w:sz w:val="18"/>
          <w:szCs w:val="18"/>
          <w:lang w:val="lv-LV"/>
        </w:rPr>
        <w:t xml:space="preserve"> </w:t>
      </w:r>
      <w:r w:rsidRPr="00D44A18">
        <w:rPr>
          <w:color w:val="0D0D0D" w:themeColor="text1" w:themeTint="F2"/>
          <w:sz w:val="18"/>
          <w:szCs w:val="18"/>
          <w:lang w:val="lv-LV"/>
        </w:rPr>
        <w:t>Regula (EK) Nr. 168/2007, ar ko izveido Eiropas Savienības Pamattiesību aģentūru</w:t>
      </w:r>
      <w:r w:rsidRPr="00116A3F">
        <w:rPr>
          <w:color w:val="0D0D0D" w:themeColor="text1" w:themeTint="F2"/>
          <w:sz w:val="18"/>
          <w:szCs w:val="18"/>
          <w:lang w:val="lv-LV"/>
        </w:rPr>
        <w:t xml:space="preserve"> </w:t>
      </w:r>
      <w:r w:rsidRPr="00D44A18">
        <w:rPr>
          <w:sz w:val="18"/>
          <w:szCs w:val="18"/>
          <w:lang w:val="lv-LV"/>
        </w:rPr>
        <w:t>https://eur-lex.europa.eu/eli/reg/2007/168/oj/?locale=LV</w:t>
      </w:r>
    </w:p>
  </w:footnote>
  <w:footnote w:id="11">
    <w:p w14:paraId="7697AF19" w14:textId="05B8DF85" w:rsidR="0051372C" w:rsidRPr="00D44A18" w:rsidRDefault="0051372C">
      <w:pPr>
        <w:pStyle w:val="Vresteksts"/>
        <w:rPr>
          <w:sz w:val="18"/>
          <w:szCs w:val="18"/>
          <w:lang w:val="lv-LV"/>
        </w:rPr>
      </w:pPr>
      <w:r w:rsidRPr="00D44A18">
        <w:rPr>
          <w:rStyle w:val="Vresatsauce"/>
          <w:sz w:val="18"/>
          <w:szCs w:val="18"/>
          <w:lang w:val="lv-LV"/>
        </w:rPr>
        <w:footnoteRef/>
      </w:r>
      <w:r w:rsidRPr="00D44A18">
        <w:rPr>
          <w:sz w:val="18"/>
          <w:szCs w:val="18"/>
          <w:lang w:val="lv-LV"/>
        </w:rPr>
        <w:t xml:space="preserve"> https://eur-lex.europa.eu/legal-content/LV/ALL/?uri=celex:12007L/TXT</w:t>
      </w:r>
    </w:p>
  </w:footnote>
  <w:footnote w:id="12">
    <w:p w14:paraId="6CBC9842" w14:textId="735DC873" w:rsidR="006A0712" w:rsidRPr="0059617C" w:rsidRDefault="006A0712" w:rsidP="006A0712">
      <w:pPr>
        <w:pStyle w:val="Vresteksts"/>
        <w:jc w:val="both"/>
        <w:rPr>
          <w:lang w:val="lv-LV"/>
        </w:rPr>
      </w:pPr>
      <w:r w:rsidRPr="00D44A18">
        <w:rPr>
          <w:rStyle w:val="Vresatsauce"/>
          <w:sz w:val="18"/>
          <w:szCs w:val="18"/>
          <w:lang w:val="lv-LV"/>
        </w:rPr>
        <w:footnoteRef/>
      </w:r>
      <w:r w:rsidRPr="00D44A18">
        <w:rPr>
          <w:sz w:val="18"/>
          <w:szCs w:val="18"/>
          <w:lang w:val="lv-LV"/>
        </w:rPr>
        <w:t xml:space="preserve"> </w:t>
      </w:r>
      <w:r w:rsidRPr="00116A3F">
        <w:rPr>
          <w:sz w:val="18"/>
          <w:szCs w:val="18"/>
          <w:lang w:val="lv-LV"/>
        </w:rPr>
        <w:t>Regulas 2.</w:t>
      </w:r>
      <w:r w:rsidR="00293CF7">
        <w:rPr>
          <w:sz w:val="18"/>
          <w:szCs w:val="18"/>
          <w:lang w:val="lv-LV"/>
        </w:rPr>
        <w:t> </w:t>
      </w:r>
      <w:r w:rsidRPr="00116A3F">
        <w:rPr>
          <w:sz w:val="18"/>
          <w:szCs w:val="18"/>
          <w:lang w:val="lv-LV"/>
        </w:rPr>
        <w:t xml:space="preserve">pants </w:t>
      </w:r>
      <w:r w:rsidRPr="00D44A18">
        <w:rPr>
          <w:color w:val="000000"/>
          <w:sz w:val="18"/>
          <w:szCs w:val="18"/>
          <w:lang w:val="lv-LV"/>
        </w:rPr>
        <w:t>Aģentūras mērķis ir sniegt palīdzību un speciālas zināšanas pamattiesību jomā attiecīgām Kopienas un dalībvalstu struktūrām, iestādēm, birojiem un aģentūrām, īstenojot Kopienas tiesību aktus, tādējādi sniedzot tām atbalstu pasākumu veikšanā vai darbības virzienu noteikšanā to attiecīgās kompetences jomās, lai pilnībā ievērotu pamattiesības</w:t>
      </w:r>
    </w:p>
  </w:footnote>
  <w:footnote w:id="13">
    <w:p w14:paraId="7922E41C" w14:textId="6BD63FEA" w:rsidR="009431D0" w:rsidRPr="00D44A18" w:rsidRDefault="009431D0">
      <w:pPr>
        <w:pStyle w:val="Vresteksts"/>
        <w:rPr>
          <w:sz w:val="18"/>
          <w:szCs w:val="18"/>
          <w:lang w:val="lv-LV"/>
        </w:rPr>
      </w:pPr>
      <w:r w:rsidRPr="00D44A18">
        <w:rPr>
          <w:rStyle w:val="Vresatsauce"/>
          <w:sz w:val="18"/>
          <w:szCs w:val="18"/>
        </w:rPr>
        <w:footnoteRef/>
      </w:r>
      <w:r w:rsidRPr="00D44A18">
        <w:rPr>
          <w:sz w:val="18"/>
          <w:szCs w:val="18"/>
        </w:rPr>
        <w:t xml:space="preserve"> </w:t>
      </w:r>
      <w:r w:rsidRPr="00D44A18">
        <w:rPr>
          <w:sz w:val="18"/>
          <w:szCs w:val="18"/>
          <w:lang w:val="lv-LV"/>
        </w:rPr>
        <w:t>Ekonomikas ministrijas, Iekšlietu ministrijas</w:t>
      </w:r>
      <w:r w:rsidR="00AA32BB" w:rsidRPr="00D44A18">
        <w:rPr>
          <w:sz w:val="18"/>
          <w:szCs w:val="18"/>
          <w:lang w:val="lv-LV"/>
        </w:rPr>
        <w:t xml:space="preserve"> </w:t>
      </w:r>
      <w:r w:rsidRPr="00D44A18">
        <w:rPr>
          <w:sz w:val="18"/>
          <w:szCs w:val="18"/>
          <w:lang w:val="lv-LV"/>
        </w:rPr>
        <w:t>un Tieslietu ministrijas līdzatbildības jautājums.</w:t>
      </w:r>
    </w:p>
  </w:footnote>
  <w:footnote w:id="14">
    <w:p w14:paraId="11F25F24" w14:textId="5C3B0D90" w:rsidR="001403A0" w:rsidRPr="00B335DE" w:rsidRDefault="001403A0">
      <w:pPr>
        <w:pStyle w:val="Vresteksts"/>
        <w:rPr>
          <w:color w:val="0D0D0D" w:themeColor="text1" w:themeTint="F2"/>
          <w:sz w:val="18"/>
          <w:szCs w:val="18"/>
          <w:lang w:val="lv-LV"/>
        </w:rPr>
      </w:pPr>
      <w:r w:rsidRPr="00D44A18">
        <w:rPr>
          <w:rStyle w:val="Vresatsauce"/>
          <w:sz w:val="18"/>
          <w:szCs w:val="18"/>
        </w:rPr>
        <w:footnoteRef/>
      </w:r>
      <w:r w:rsidRPr="00D44A18">
        <w:rPr>
          <w:sz w:val="18"/>
          <w:szCs w:val="18"/>
        </w:rPr>
        <w:t xml:space="preserve"> </w:t>
      </w:r>
      <w:hyperlink r:id="rId3" w:history="1">
        <w:r w:rsidR="00B335DE" w:rsidRPr="0099740C">
          <w:rPr>
            <w:rStyle w:val="Hipersaite"/>
            <w:sz w:val="18"/>
            <w:szCs w:val="18"/>
          </w:rPr>
          <w:t>https://eur-lex.europa.eu/legal-content/LV/TXT/?uri=CELEX:52020PC0825</w:t>
        </w:r>
      </w:hyperlink>
      <w:r w:rsidR="00B335DE">
        <w:rPr>
          <w:color w:val="0D0D0D" w:themeColor="text1" w:themeTint="F2"/>
          <w:sz w:val="18"/>
          <w:szCs w:val="18"/>
          <w:lang w:val="lv-LV"/>
        </w:rPr>
        <w:t xml:space="preserve"> </w:t>
      </w:r>
    </w:p>
  </w:footnote>
  <w:footnote w:id="15">
    <w:p w14:paraId="10C1EB91" w14:textId="123F10D7" w:rsidR="003E6CE9" w:rsidRPr="00D44A18" w:rsidRDefault="003E6CE9">
      <w:pPr>
        <w:pStyle w:val="Vresteksts"/>
        <w:rPr>
          <w:sz w:val="18"/>
          <w:szCs w:val="18"/>
          <w:lang w:val="lv-LV"/>
        </w:rPr>
      </w:pPr>
      <w:r w:rsidRPr="00D44A18">
        <w:rPr>
          <w:rStyle w:val="Vresatsauce"/>
          <w:sz w:val="18"/>
          <w:szCs w:val="18"/>
        </w:rPr>
        <w:footnoteRef/>
      </w:r>
      <w:r w:rsidRPr="00D44A18">
        <w:rPr>
          <w:sz w:val="18"/>
          <w:szCs w:val="18"/>
        </w:rPr>
        <w:t xml:space="preserve"> </w:t>
      </w:r>
      <w:r w:rsidRPr="00293CF7">
        <w:rPr>
          <w:bCs/>
          <w:sz w:val="18"/>
          <w:szCs w:val="18"/>
          <w:lang w:val="lv-LV"/>
        </w:rPr>
        <w:t>Diskusiju</w:t>
      </w:r>
      <w:r w:rsidRPr="007B6197">
        <w:rPr>
          <w:bCs/>
          <w:sz w:val="18"/>
          <w:szCs w:val="18"/>
        </w:rPr>
        <w:t xml:space="preserve"> </w:t>
      </w:r>
      <w:r w:rsidRPr="00293CF7">
        <w:rPr>
          <w:bCs/>
          <w:sz w:val="18"/>
          <w:szCs w:val="18"/>
          <w:lang w:val="lv-LV"/>
        </w:rPr>
        <w:t>dokuments</w:t>
      </w:r>
      <w:r w:rsidRPr="007B6197">
        <w:rPr>
          <w:bCs/>
          <w:sz w:val="18"/>
          <w:szCs w:val="18"/>
        </w:rPr>
        <w:t xml:space="preserve"> </w:t>
      </w:r>
      <w:r w:rsidR="00242366" w:rsidRPr="00D14C91">
        <w:rPr>
          <w:bCs/>
          <w:sz w:val="18"/>
          <w:szCs w:val="18"/>
          <w:lang w:val="lv-LV"/>
        </w:rPr>
        <w:t xml:space="preserve">uz </w:t>
      </w:r>
      <w:r w:rsidR="00155D42">
        <w:rPr>
          <w:bCs/>
          <w:sz w:val="18"/>
          <w:szCs w:val="18"/>
          <w:lang w:val="lv-LV"/>
        </w:rPr>
        <w:t>i</w:t>
      </w:r>
      <w:r w:rsidR="00242366" w:rsidRPr="00D14C91">
        <w:rPr>
          <w:bCs/>
          <w:sz w:val="18"/>
          <w:szCs w:val="18"/>
          <w:lang w:val="lv-LV"/>
        </w:rPr>
        <w:t xml:space="preserve">nformatīvā </w:t>
      </w:r>
      <w:r w:rsidR="008A6043" w:rsidRPr="007B6197">
        <w:rPr>
          <w:bCs/>
          <w:sz w:val="18"/>
          <w:szCs w:val="18"/>
          <w:lang w:val="lv-LV"/>
        </w:rPr>
        <w:t>ziņojuma</w:t>
      </w:r>
      <w:r w:rsidR="00242366" w:rsidRPr="007B6197">
        <w:rPr>
          <w:bCs/>
          <w:sz w:val="18"/>
          <w:szCs w:val="18"/>
          <w:lang w:val="lv-LV"/>
        </w:rPr>
        <w:t xml:space="preserve"> sagatavošanas brīdi nav pieejams. </w:t>
      </w:r>
    </w:p>
  </w:footnote>
  <w:footnote w:id="16">
    <w:p w14:paraId="2119E6F3" w14:textId="0C0E865E" w:rsidR="00534FE0" w:rsidRPr="00D44A18" w:rsidRDefault="00534FE0">
      <w:pPr>
        <w:pStyle w:val="Vresteksts"/>
        <w:rPr>
          <w:sz w:val="18"/>
          <w:szCs w:val="18"/>
          <w:lang w:val="lv-LV"/>
        </w:rPr>
      </w:pPr>
      <w:r w:rsidRPr="00D44A18">
        <w:rPr>
          <w:rStyle w:val="Vresatsauce"/>
          <w:sz w:val="18"/>
          <w:szCs w:val="18"/>
        </w:rPr>
        <w:footnoteRef/>
      </w:r>
      <w:r w:rsidRPr="00D44A18">
        <w:rPr>
          <w:sz w:val="18"/>
          <w:szCs w:val="18"/>
        </w:rPr>
        <w:t xml:space="preserve"> </w:t>
      </w:r>
      <w:r w:rsidRPr="00D44A18">
        <w:rPr>
          <w:sz w:val="18"/>
          <w:szCs w:val="18"/>
          <w:lang w:val="lv-LV"/>
        </w:rPr>
        <w:t>Latvijas nacionālā pozīcija apstiprināta š.g. 26.</w:t>
      </w:r>
      <w:r w:rsidR="00293CF7">
        <w:rPr>
          <w:sz w:val="18"/>
          <w:szCs w:val="18"/>
          <w:lang w:val="lv-LV"/>
        </w:rPr>
        <w:t> </w:t>
      </w:r>
      <w:r w:rsidRPr="00D44A18">
        <w:rPr>
          <w:sz w:val="18"/>
          <w:szCs w:val="18"/>
          <w:lang w:val="lv-LV"/>
        </w:rPr>
        <w:t>maij</w:t>
      </w:r>
      <w:r w:rsidR="00D44A18">
        <w:rPr>
          <w:sz w:val="18"/>
          <w:szCs w:val="18"/>
          <w:lang w:val="lv-LV"/>
        </w:rPr>
        <w:t>ā</w:t>
      </w:r>
      <w:r w:rsidRPr="00D44A18">
        <w:rPr>
          <w:sz w:val="18"/>
          <w:szCs w:val="18"/>
          <w:lang w:val="lv-LV"/>
        </w:rPr>
        <w:t xml:space="preserve"> Saeimas Eiropas lietu komisijas sēdē.</w:t>
      </w:r>
    </w:p>
  </w:footnote>
  <w:footnote w:id="17">
    <w:p w14:paraId="032888AD" w14:textId="490EC263" w:rsidR="00BB6CFF" w:rsidRPr="00BB6CFF" w:rsidRDefault="00BB6CFF">
      <w:pPr>
        <w:pStyle w:val="Vresteksts"/>
        <w:rPr>
          <w:lang w:val="lv-LV"/>
        </w:rPr>
      </w:pPr>
      <w:r w:rsidRPr="00D44A18">
        <w:rPr>
          <w:rStyle w:val="Vresatsauce"/>
          <w:sz w:val="18"/>
          <w:szCs w:val="18"/>
        </w:rPr>
        <w:footnoteRef/>
      </w:r>
      <w:r w:rsidRPr="00D44A18">
        <w:rPr>
          <w:sz w:val="18"/>
          <w:szCs w:val="18"/>
        </w:rPr>
        <w:t xml:space="preserve"> </w:t>
      </w:r>
      <w:r w:rsidRPr="00D44A18">
        <w:rPr>
          <w:sz w:val="18"/>
          <w:szCs w:val="18"/>
          <w:lang w:val="lv-LV"/>
        </w:rPr>
        <w:t>Ārlietu ministrijas kompetences jautājums</w:t>
      </w:r>
    </w:p>
  </w:footnote>
  <w:footnote w:id="18">
    <w:p w14:paraId="238ABFB9" w14:textId="1875D0CA" w:rsidR="002541C6" w:rsidRPr="00D44A18" w:rsidRDefault="002541C6" w:rsidP="00D44A18">
      <w:pPr>
        <w:jc w:val="both"/>
        <w:rPr>
          <w:sz w:val="18"/>
          <w:szCs w:val="18"/>
        </w:rPr>
      </w:pPr>
      <w:r w:rsidRPr="00D44A18">
        <w:rPr>
          <w:rStyle w:val="Vresatsauce"/>
          <w:sz w:val="18"/>
          <w:szCs w:val="18"/>
        </w:rPr>
        <w:footnoteRef/>
      </w:r>
      <w:r w:rsidRPr="00D44A18">
        <w:rPr>
          <w:sz w:val="18"/>
          <w:szCs w:val="18"/>
        </w:rPr>
        <w:t xml:space="preserve"> Padomes lēmumprojekts, ar ko pilnvaro sākt sarunas, lai noslēgtu </w:t>
      </w:r>
      <w:r w:rsidR="00B45F6F" w:rsidRPr="00B45F6F">
        <w:rPr>
          <w:sz w:val="18"/>
          <w:szCs w:val="18"/>
        </w:rPr>
        <w:t>Eiropas Savienības</w:t>
      </w:r>
      <w:r w:rsidRPr="00D44A18">
        <w:rPr>
          <w:sz w:val="18"/>
          <w:szCs w:val="18"/>
        </w:rPr>
        <w:t xml:space="preserve"> un Amerikas Savienoto Valstu nolīgumu par pārrobežu piekļuvi elektroniskajiem pierādījumiem tiesu iestāžu sadarbībai krimināllietās</w:t>
      </w:r>
    </w:p>
  </w:footnote>
  <w:footnote w:id="19">
    <w:p w14:paraId="207AFF0E" w14:textId="7AD79033" w:rsidR="002541C6" w:rsidRPr="00D44A18" w:rsidRDefault="002541C6" w:rsidP="002541C6">
      <w:pPr>
        <w:jc w:val="both"/>
        <w:rPr>
          <w:sz w:val="18"/>
          <w:szCs w:val="18"/>
        </w:rPr>
      </w:pPr>
      <w:r w:rsidRPr="00D44A18">
        <w:rPr>
          <w:rStyle w:val="Vresatsauce"/>
          <w:sz w:val="18"/>
          <w:szCs w:val="18"/>
        </w:rPr>
        <w:footnoteRef/>
      </w:r>
      <w:r w:rsidRPr="00D44A18">
        <w:rPr>
          <w:sz w:val="18"/>
          <w:szCs w:val="18"/>
        </w:rPr>
        <w:t xml:space="preserve"> </w:t>
      </w:r>
      <w:bookmarkStart w:id="5" w:name="_Hlk9844675"/>
      <w:r w:rsidRPr="00D44A18">
        <w:rPr>
          <w:sz w:val="18"/>
          <w:szCs w:val="18"/>
        </w:rPr>
        <w:t xml:space="preserve">Padomes lēmumprojekts, ar ko pilnvaro Eiropas Komisiju </w:t>
      </w:r>
      <w:r w:rsidR="00B45F6F" w:rsidRPr="00B45F6F">
        <w:rPr>
          <w:sz w:val="18"/>
          <w:szCs w:val="18"/>
        </w:rPr>
        <w:t>Eiropas Savienības</w:t>
      </w:r>
      <w:r w:rsidRPr="00D44A18">
        <w:rPr>
          <w:sz w:val="18"/>
          <w:szCs w:val="18"/>
        </w:rPr>
        <w:t xml:space="preserve"> vārdā piedalīties sarunās par otro papildu protokolu Eiropas Padomes konvencijai par kibernoziegumiem (CETS Nr. 185)</w:t>
      </w:r>
      <w:bookmarkEnd w:id="5"/>
      <w:r w:rsidR="00407DE2" w:rsidRPr="00D44A18">
        <w:rPr>
          <w:sz w:val="18"/>
          <w:szCs w:val="18"/>
        </w:rPr>
        <w:t>.</w:t>
      </w:r>
    </w:p>
  </w:footnote>
  <w:footnote w:id="20">
    <w:p w14:paraId="28286CD9" w14:textId="74215B1C" w:rsidR="003134B7" w:rsidRPr="002541C6" w:rsidRDefault="003134B7">
      <w:pPr>
        <w:pStyle w:val="Vresteksts"/>
        <w:rPr>
          <w:lang w:val="lv-LV"/>
        </w:rPr>
      </w:pPr>
      <w:r w:rsidRPr="00D44A18">
        <w:rPr>
          <w:rStyle w:val="Vresatsauce"/>
          <w:sz w:val="18"/>
          <w:szCs w:val="18"/>
        </w:rPr>
        <w:footnoteRef/>
      </w:r>
      <w:r w:rsidRPr="00D44A18">
        <w:rPr>
          <w:sz w:val="18"/>
          <w:szCs w:val="18"/>
        </w:rPr>
        <w:t xml:space="preserve"> EPPO </w:t>
      </w:r>
      <w:r w:rsidRPr="00293CF7">
        <w:rPr>
          <w:sz w:val="18"/>
          <w:szCs w:val="18"/>
          <w:lang w:val="lv-LV"/>
        </w:rPr>
        <w:t>izveidē piedalās 22 ES dalībvalstis – Austrija, Beļģija, Bulgārija, Ungārija, Kipra, Čehija, Igaunija, Somija, Francija, Vācija, Grieķija, Itālija, Latvija, Lietuva, Luksemburga, Malta, Nīderlande, Portugāle Rumānija, Slovākija, Slovēnija, Spānija.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7C6E" w:rsidRDefault="00D37C6E" w14:paraId="1300BA8A" w14:textId="3849E634">
    <w:pPr>
      <w:pStyle w:val="Galvene"/>
      <w:jc w:val="center"/>
    </w:pPr>
    <w:r>
      <w:fldChar w:fldCharType="begin"/>
    </w:r>
    <w:r>
      <w:instrText xml:space="preserve"> PAGE   \* MERGEFORMAT </w:instrText>
    </w:r>
    <w:r>
      <w:fldChar w:fldCharType="separate"/>
    </w:r>
    <w:r w:rsidR="00294E39">
      <w:rPr>
        <w:noProof/>
      </w:rPr>
      <w:t>4</w:t>
    </w:r>
    <w:r>
      <w:fldChar w:fldCharType="end"/>
    </w:r>
  </w:p>
  <w:p w:rsidR="00D37C6E" w:rsidRDefault="00D37C6E" w14:paraId="1E01060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7318"/>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4101B5"/>
    <w:multiLevelType w:val="hybridMultilevel"/>
    <w:tmpl w:val="8982C320"/>
    <w:lvl w:ilvl="0" w:tplc="D1D0AAA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EC55725"/>
    <w:multiLevelType w:val="hybridMultilevel"/>
    <w:tmpl w:val="01384030"/>
    <w:lvl w:ilvl="0" w:tplc="0BF04B02">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564D59"/>
    <w:multiLevelType w:val="hybridMultilevel"/>
    <w:tmpl w:val="0C1A7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935A0E"/>
    <w:multiLevelType w:val="hybridMultilevel"/>
    <w:tmpl w:val="7A9E976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29362AF2"/>
    <w:multiLevelType w:val="hybridMultilevel"/>
    <w:tmpl w:val="68B0AA3E"/>
    <w:lvl w:ilvl="0" w:tplc="E898ACC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315D60"/>
    <w:multiLevelType w:val="hybridMultilevel"/>
    <w:tmpl w:val="4A68CE98"/>
    <w:lvl w:ilvl="0" w:tplc="389E78D6">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291D45"/>
    <w:multiLevelType w:val="hybridMultilevel"/>
    <w:tmpl w:val="80E2DBFE"/>
    <w:lvl w:ilvl="0" w:tplc="74E616F2">
      <w:start w:val="1"/>
      <w:numFmt w:val="lowerRoman"/>
      <w:lvlText w:val="%1)"/>
      <w:lvlJc w:val="left"/>
      <w:pPr>
        <w:ind w:left="720" w:hanging="720"/>
      </w:pPr>
      <w:rPr>
        <w:rFonts w:hint="default"/>
        <w:b/>
      </w:rPr>
    </w:lvl>
    <w:lvl w:ilvl="1" w:tplc="20000019">
      <w:start w:val="1"/>
      <w:numFmt w:val="lowerLetter"/>
      <w:lvlText w:val="%2."/>
      <w:lvlJc w:val="left"/>
      <w:pPr>
        <w:ind w:left="121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0" w15:restartNumberingAfterBreak="0">
    <w:nsid w:val="372D6D7A"/>
    <w:multiLevelType w:val="hybridMultilevel"/>
    <w:tmpl w:val="4EDA89B0"/>
    <w:lvl w:ilvl="0" w:tplc="DC1A4C30">
      <w:start w:val="1"/>
      <w:numFmt w:val="decimal"/>
      <w:lvlText w:val="%1."/>
      <w:lvlJc w:val="left"/>
      <w:pPr>
        <w:ind w:left="720" w:hanging="360"/>
      </w:pPr>
      <w:rPr>
        <w:rFonts w:hint="default"/>
        <w:b w:val="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D5140D"/>
    <w:multiLevelType w:val="hybridMultilevel"/>
    <w:tmpl w:val="F39416C8"/>
    <w:lvl w:ilvl="0" w:tplc="7FD0C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3" w15:restartNumberingAfterBreak="0">
    <w:nsid w:val="4274138A"/>
    <w:multiLevelType w:val="hybridMultilevel"/>
    <w:tmpl w:val="0F6AA6E8"/>
    <w:lvl w:ilvl="0" w:tplc="85F4628C">
      <w:start w:val="1"/>
      <w:numFmt w:val="decimal"/>
      <w:lvlText w:val="%1."/>
      <w:lvlJc w:val="left"/>
      <w:pPr>
        <w:ind w:left="720" w:hanging="360"/>
      </w:pPr>
      <w:rPr>
        <w:rFonts w:hint="default"/>
        <w:b/>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EF14A9"/>
    <w:multiLevelType w:val="hybridMultilevel"/>
    <w:tmpl w:val="3C76D2AA"/>
    <w:lvl w:ilvl="0" w:tplc="99748A26">
      <w:start w:val="2017"/>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6"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64322A4"/>
    <w:multiLevelType w:val="hybridMultilevel"/>
    <w:tmpl w:val="132859C6"/>
    <w:lvl w:ilvl="0" w:tplc="E60619B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CE57B67"/>
    <w:multiLevelType w:val="hybridMultilevel"/>
    <w:tmpl w:val="3FA29A34"/>
    <w:lvl w:ilvl="0" w:tplc="4DD8B326">
      <w:numFmt w:val="bullet"/>
      <w:lvlText w:val="-"/>
      <w:lvlJc w:val="left"/>
      <w:pPr>
        <w:ind w:left="720" w:hanging="360"/>
      </w:pPr>
      <w:rPr>
        <w:rFonts w:ascii="Times New Roman" w:eastAsiaTheme="minorHAnsi" w:hAnsi="Times New Roman" w:cs="Times New Roman" w:hint="default"/>
        <w:b/>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2" w15:restartNumberingAfterBreak="0">
    <w:nsid w:val="707917DC"/>
    <w:multiLevelType w:val="hybridMultilevel"/>
    <w:tmpl w:val="46E07F1E"/>
    <w:lvl w:ilvl="0" w:tplc="F6768D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0FA7CAD"/>
    <w:multiLevelType w:val="hybridMultilevel"/>
    <w:tmpl w:val="DF8C94C2"/>
    <w:lvl w:ilvl="0" w:tplc="96B05BAC">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5"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6"/>
  </w:num>
  <w:num w:numId="2">
    <w:abstractNumId w:val="18"/>
  </w:num>
  <w:num w:numId="3">
    <w:abstractNumId w:val="12"/>
  </w:num>
  <w:num w:numId="4">
    <w:abstractNumId w:val="9"/>
  </w:num>
  <w:num w:numId="5">
    <w:abstractNumId w:val="4"/>
  </w:num>
  <w:num w:numId="6">
    <w:abstractNumId w:val="21"/>
  </w:num>
  <w:num w:numId="7">
    <w:abstractNumId w:val="24"/>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25"/>
  </w:num>
  <w:num w:numId="12">
    <w:abstractNumId w:val="13"/>
  </w:num>
  <w:num w:numId="13">
    <w:abstractNumId w:val="17"/>
  </w:num>
  <w:num w:numId="14">
    <w:abstractNumId w:val="22"/>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3"/>
  </w:num>
  <w:num w:numId="19">
    <w:abstractNumId w:val="15"/>
  </w:num>
  <w:num w:numId="20">
    <w:abstractNumId w:val="19"/>
  </w:num>
  <w:num w:numId="21">
    <w:abstractNumId w:val="11"/>
  </w:num>
  <w:num w:numId="22">
    <w:abstractNumId w:val="10"/>
  </w:num>
  <w:num w:numId="23">
    <w:abstractNumId w:val="6"/>
  </w:num>
  <w:num w:numId="24">
    <w:abstractNumId w:val="8"/>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7"/>
  </w:num>
  <w:num w:numId="29">
    <w:abstractNumId w:val="1"/>
  </w:num>
  <w:num w:numId="30">
    <w:abstractNumId w:val="2"/>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1C"/>
    <w:rsid w:val="0000068E"/>
    <w:rsid w:val="000015C5"/>
    <w:rsid w:val="000018E9"/>
    <w:rsid w:val="00001C4B"/>
    <w:rsid w:val="00002556"/>
    <w:rsid w:val="00002CAF"/>
    <w:rsid w:val="00004A5B"/>
    <w:rsid w:val="00004F40"/>
    <w:rsid w:val="00010695"/>
    <w:rsid w:val="00010754"/>
    <w:rsid w:val="000120FA"/>
    <w:rsid w:val="000136EC"/>
    <w:rsid w:val="0001381E"/>
    <w:rsid w:val="00015758"/>
    <w:rsid w:val="00015DF6"/>
    <w:rsid w:val="00016ECE"/>
    <w:rsid w:val="00017737"/>
    <w:rsid w:val="00017DED"/>
    <w:rsid w:val="00017F39"/>
    <w:rsid w:val="00020926"/>
    <w:rsid w:val="00021F10"/>
    <w:rsid w:val="00023F8C"/>
    <w:rsid w:val="00024EB2"/>
    <w:rsid w:val="00025B8C"/>
    <w:rsid w:val="0002649F"/>
    <w:rsid w:val="0002745D"/>
    <w:rsid w:val="00031041"/>
    <w:rsid w:val="00031902"/>
    <w:rsid w:val="0003248D"/>
    <w:rsid w:val="00032518"/>
    <w:rsid w:val="0003328F"/>
    <w:rsid w:val="00033DB3"/>
    <w:rsid w:val="000341C4"/>
    <w:rsid w:val="000344F8"/>
    <w:rsid w:val="00035B68"/>
    <w:rsid w:val="00035EEB"/>
    <w:rsid w:val="00037A29"/>
    <w:rsid w:val="00037DBA"/>
    <w:rsid w:val="00040A43"/>
    <w:rsid w:val="000411C3"/>
    <w:rsid w:val="000413E5"/>
    <w:rsid w:val="0004174C"/>
    <w:rsid w:val="00041FA3"/>
    <w:rsid w:val="000424D4"/>
    <w:rsid w:val="00046D03"/>
    <w:rsid w:val="00047470"/>
    <w:rsid w:val="000500DC"/>
    <w:rsid w:val="000509EC"/>
    <w:rsid w:val="0005144A"/>
    <w:rsid w:val="00052435"/>
    <w:rsid w:val="00054B84"/>
    <w:rsid w:val="00055757"/>
    <w:rsid w:val="000569E7"/>
    <w:rsid w:val="0005709D"/>
    <w:rsid w:val="00057DDC"/>
    <w:rsid w:val="000600A3"/>
    <w:rsid w:val="00061267"/>
    <w:rsid w:val="00064500"/>
    <w:rsid w:val="00065FC0"/>
    <w:rsid w:val="00066431"/>
    <w:rsid w:val="00066F49"/>
    <w:rsid w:val="0007032D"/>
    <w:rsid w:val="00070AE3"/>
    <w:rsid w:val="00070C36"/>
    <w:rsid w:val="0007232A"/>
    <w:rsid w:val="0007321B"/>
    <w:rsid w:val="000738E5"/>
    <w:rsid w:val="00074716"/>
    <w:rsid w:val="00075D5B"/>
    <w:rsid w:val="000766C9"/>
    <w:rsid w:val="00076CA5"/>
    <w:rsid w:val="0007736B"/>
    <w:rsid w:val="00080A94"/>
    <w:rsid w:val="000818AE"/>
    <w:rsid w:val="0008352A"/>
    <w:rsid w:val="0008414D"/>
    <w:rsid w:val="00084BCC"/>
    <w:rsid w:val="000857A8"/>
    <w:rsid w:val="0008583F"/>
    <w:rsid w:val="00086800"/>
    <w:rsid w:val="00086F78"/>
    <w:rsid w:val="000870E8"/>
    <w:rsid w:val="0008710C"/>
    <w:rsid w:val="0008736B"/>
    <w:rsid w:val="00087450"/>
    <w:rsid w:val="00087709"/>
    <w:rsid w:val="00090634"/>
    <w:rsid w:val="000908F5"/>
    <w:rsid w:val="00090990"/>
    <w:rsid w:val="00090E9D"/>
    <w:rsid w:val="00092D19"/>
    <w:rsid w:val="00093B78"/>
    <w:rsid w:val="00094E08"/>
    <w:rsid w:val="00096118"/>
    <w:rsid w:val="00096EB4"/>
    <w:rsid w:val="000A005B"/>
    <w:rsid w:val="000A07E3"/>
    <w:rsid w:val="000A0E80"/>
    <w:rsid w:val="000A51A0"/>
    <w:rsid w:val="000A685A"/>
    <w:rsid w:val="000A6BD4"/>
    <w:rsid w:val="000A7B2C"/>
    <w:rsid w:val="000A7E3C"/>
    <w:rsid w:val="000B0B17"/>
    <w:rsid w:val="000B19A6"/>
    <w:rsid w:val="000B2F8E"/>
    <w:rsid w:val="000B32DA"/>
    <w:rsid w:val="000B3AED"/>
    <w:rsid w:val="000B4DCB"/>
    <w:rsid w:val="000B5E76"/>
    <w:rsid w:val="000B7A4B"/>
    <w:rsid w:val="000C0243"/>
    <w:rsid w:val="000C0DD9"/>
    <w:rsid w:val="000C1439"/>
    <w:rsid w:val="000C1BEC"/>
    <w:rsid w:val="000C2029"/>
    <w:rsid w:val="000C3FB3"/>
    <w:rsid w:val="000C52FB"/>
    <w:rsid w:val="000C71F4"/>
    <w:rsid w:val="000D0A7C"/>
    <w:rsid w:val="000D229C"/>
    <w:rsid w:val="000D22A9"/>
    <w:rsid w:val="000D2C40"/>
    <w:rsid w:val="000D4742"/>
    <w:rsid w:val="000D48A7"/>
    <w:rsid w:val="000D4AB4"/>
    <w:rsid w:val="000D4AEE"/>
    <w:rsid w:val="000D5244"/>
    <w:rsid w:val="000D79EF"/>
    <w:rsid w:val="000E04B8"/>
    <w:rsid w:val="000E06A3"/>
    <w:rsid w:val="000E084B"/>
    <w:rsid w:val="000E1D49"/>
    <w:rsid w:val="000E22C9"/>
    <w:rsid w:val="000E33C0"/>
    <w:rsid w:val="000E34EC"/>
    <w:rsid w:val="000E44A0"/>
    <w:rsid w:val="000E6AD7"/>
    <w:rsid w:val="000E72DD"/>
    <w:rsid w:val="000E75C0"/>
    <w:rsid w:val="000E7C5A"/>
    <w:rsid w:val="000E7F92"/>
    <w:rsid w:val="000F0629"/>
    <w:rsid w:val="000F0752"/>
    <w:rsid w:val="000F0AED"/>
    <w:rsid w:val="000F0C3F"/>
    <w:rsid w:val="000F0ECB"/>
    <w:rsid w:val="000F0FF0"/>
    <w:rsid w:val="000F1EF4"/>
    <w:rsid w:val="000F34EC"/>
    <w:rsid w:val="000F40B2"/>
    <w:rsid w:val="000F4E5D"/>
    <w:rsid w:val="000F5727"/>
    <w:rsid w:val="000F5926"/>
    <w:rsid w:val="000F640E"/>
    <w:rsid w:val="000F68FD"/>
    <w:rsid w:val="000F6DDC"/>
    <w:rsid w:val="000F7233"/>
    <w:rsid w:val="000F7686"/>
    <w:rsid w:val="000F7AD6"/>
    <w:rsid w:val="0010078F"/>
    <w:rsid w:val="00100B90"/>
    <w:rsid w:val="00100BF2"/>
    <w:rsid w:val="00100D62"/>
    <w:rsid w:val="00101216"/>
    <w:rsid w:val="0010325F"/>
    <w:rsid w:val="00103663"/>
    <w:rsid w:val="00105647"/>
    <w:rsid w:val="00105870"/>
    <w:rsid w:val="00105F8E"/>
    <w:rsid w:val="001076BE"/>
    <w:rsid w:val="00107CB7"/>
    <w:rsid w:val="00110EB7"/>
    <w:rsid w:val="00111C92"/>
    <w:rsid w:val="00112CFA"/>
    <w:rsid w:val="00115F9E"/>
    <w:rsid w:val="00116A3F"/>
    <w:rsid w:val="00116E75"/>
    <w:rsid w:val="00116F97"/>
    <w:rsid w:val="001203FD"/>
    <w:rsid w:val="0012223E"/>
    <w:rsid w:val="00122519"/>
    <w:rsid w:val="001232F9"/>
    <w:rsid w:val="001233D3"/>
    <w:rsid w:val="0012409E"/>
    <w:rsid w:val="0012608C"/>
    <w:rsid w:val="001268A2"/>
    <w:rsid w:val="001303A1"/>
    <w:rsid w:val="00130941"/>
    <w:rsid w:val="00131044"/>
    <w:rsid w:val="00131415"/>
    <w:rsid w:val="00131EEC"/>
    <w:rsid w:val="001320B9"/>
    <w:rsid w:val="001324CF"/>
    <w:rsid w:val="00133366"/>
    <w:rsid w:val="00135D35"/>
    <w:rsid w:val="00136229"/>
    <w:rsid w:val="001362BF"/>
    <w:rsid w:val="001402AE"/>
    <w:rsid w:val="001403A0"/>
    <w:rsid w:val="001408B9"/>
    <w:rsid w:val="001413E4"/>
    <w:rsid w:val="0014146D"/>
    <w:rsid w:val="001417C5"/>
    <w:rsid w:val="00144B19"/>
    <w:rsid w:val="00144E10"/>
    <w:rsid w:val="00152AB9"/>
    <w:rsid w:val="00153970"/>
    <w:rsid w:val="00153D85"/>
    <w:rsid w:val="001544C0"/>
    <w:rsid w:val="0015474E"/>
    <w:rsid w:val="00154CE9"/>
    <w:rsid w:val="00154D93"/>
    <w:rsid w:val="00155390"/>
    <w:rsid w:val="00155D42"/>
    <w:rsid w:val="00156781"/>
    <w:rsid w:val="00160C5D"/>
    <w:rsid w:val="001621F1"/>
    <w:rsid w:val="001628EC"/>
    <w:rsid w:val="00162B65"/>
    <w:rsid w:val="00162ECA"/>
    <w:rsid w:val="001635DE"/>
    <w:rsid w:val="001652E8"/>
    <w:rsid w:val="001655F2"/>
    <w:rsid w:val="0016702E"/>
    <w:rsid w:val="00167210"/>
    <w:rsid w:val="00167E09"/>
    <w:rsid w:val="00170968"/>
    <w:rsid w:val="00172F32"/>
    <w:rsid w:val="001745D5"/>
    <w:rsid w:val="00175BA3"/>
    <w:rsid w:val="001763EF"/>
    <w:rsid w:val="00176588"/>
    <w:rsid w:val="001806A4"/>
    <w:rsid w:val="00181EF3"/>
    <w:rsid w:val="00183081"/>
    <w:rsid w:val="00183A67"/>
    <w:rsid w:val="00184517"/>
    <w:rsid w:val="00186FD8"/>
    <w:rsid w:val="001906A5"/>
    <w:rsid w:val="00190AC1"/>
    <w:rsid w:val="00190F2F"/>
    <w:rsid w:val="00191603"/>
    <w:rsid w:val="00191A1B"/>
    <w:rsid w:val="00192F1A"/>
    <w:rsid w:val="001931E7"/>
    <w:rsid w:val="00194358"/>
    <w:rsid w:val="00196220"/>
    <w:rsid w:val="001A1AB7"/>
    <w:rsid w:val="001A511D"/>
    <w:rsid w:val="001A63E5"/>
    <w:rsid w:val="001A7B71"/>
    <w:rsid w:val="001B045A"/>
    <w:rsid w:val="001B153B"/>
    <w:rsid w:val="001B17B8"/>
    <w:rsid w:val="001B22D4"/>
    <w:rsid w:val="001B29BD"/>
    <w:rsid w:val="001B2A77"/>
    <w:rsid w:val="001B2B80"/>
    <w:rsid w:val="001B2F2A"/>
    <w:rsid w:val="001B397C"/>
    <w:rsid w:val="001B3D5E"/>
    <w:rsid w:val="001B445E"/>
    <w:rsid w:val="001B457F"/>
    <w:rsid w:val="001B6019"/>
    <w:rsid w:val="001B7260"/>
    <w:rsid w:val="001C000C"/>
    <w:rsid w:val="001C0251"/>
    <w:rsid w:val="001C0EBD"/>
    <w:rsid w:val="001C124C"/>
    <w:rsid w:val="001C207A"/>
    <w:rsid w:val="001C2921"/>
    <w:rsid w:val="001C331C"/>
    <w:rsid w:val="001C37DB"/>
    <w:rsid w:val="001C4714"/>
    <w:rsid w:val="001C4833"/>
    <w:rsid w:val="001C5198"/>
    <w:rsid w:val="001C662A"/>
    <w:rsid w:val="001C7887"/>
    <w:rsid w:val="001D06AD"/>
    <w:rsid w:val="001D0A64"/>
    <w:rsid w:val="001D2283"/>
    <w:rsid w:val="001D3306"/>
    <w:rsid w:val="001D3792"/>
    <w:rsid w:val="001D6A1D"/>
    <w:rsid w:val="001D75A6"/>
    <w:rsid w:val="001E1461"/>
    <w:rsid w:val="001E253E"/>
    <w:rsid w:val="001E3D98"/>
    <w:rsid w:val="001E4C78"/>
    <w:rsid w:val="001E4E71"/>
    <w:rsid w:val="001E5C40"/>
    <w:rsid w:val="001E6302"/>
    <w:rsid w:val="001E6A3E"/>
    <w:rsid w:val="001E6AB7"/>
    <w:rsid w:val="001E7D82"/>
    <w:rsid w:val="001E7FE7"/>
    <w:rsid w:val="001F0D86"/>
    <w:rsid w:val="001F0DB3"/>
    <w:rsid w:val="001F156C"/>
    <w:rsid w:val="001F1F47"/>
    <w:rsid w:val="001F203E"/>
    <w:rsid w:val="001F2EB8"/>
    <w:rsid w:val="001F355F"/>
    <w:rsid w:val="001F3ED6"/>
    <w:rsid w:val="001F56FF"/>
    <w:rsid w:val="001F65A3"/>
    <w:rsid w:val="001F68A8"/>
    <w:rsid w:val="001F7840"/>
    <w:rsid w:val="002020E3"/>
    <w:rsid w:val="0020316D"/>
    <w:rsid w:val="00204CE9"/>
    <w:rsid w:val="002068E6"/>
    <w:rsid w:val="00206DBE"/>
    <w:rsid w:val="00207092"/>
    <w:rsid w:val="00211317"/>
    <w:rsid w:val="0021147C"/>
    <w:rsid w:val="00212D33"/>
    <w:rsid w:val="002137C2"/>
    <w:rsid w:val="0021536C"/>
    <w:rsid w:val="002169FB"/>
    <w:rsid w:val="00216ADA"/>
    <w:rsid w:val="00216F6C"/>
    <w:rsid w:val="00216F95"/>
    <w:rsid w:val="00217443"/>
    <w:rsid w:val="002176B8"/>
    <w:rsid w:val="002179EE"/>
    <w:rsid w:val="00221FDB"/>
    <w:rsid w:val="0022334E"/>
    <w:rsid w:val="00223CF2"/>
    <w:rsid w:val="0022636F"/>
    <w:rsid w:val="00226557"/>
    <w:rsid w:val="002276AB"/>
    <w:rsid w:val="00230832"/>
    <w:rsid w:val="00230D7A"/>
    <w:rsid w:val="00231C0B"/>
    <w:rsid w:val="00232DC5"/>
    <w:rsid w:val="002330EE"/>
    <w:rsid w:val="00235221"/>
    <w:rsid w:val="0023668B"/>
    <w:rsid w:val="0023693C"/>
    <w:rsid w:val="0023743C"/>
    <w:rsid w:val="002374AC"/>
    <w:rsid w:val="002377BB"/>
    <w:rsid w:val="00237A07"/>
    <w:rsid w:val="00240D90"/>
    <w:rsid w:val="0024111B"/>
    <w:rsid w:val="00241232"/>
    <w:rsid w:val="00242366"/>
    <w:rsid w:val="0024363B"/>
    <w:rsid w:val="002474AE"/>
    <w:rsid w:val="00247BB3"/>
    <w:rsid w:val="00250BE0"/>
    <w:rsid w:val="00250E63"/>
    <w:rsid w:val="00251C96"/>
    <w:rsid w:val="002522B0"/>
    <w:rsid w:val="002535B8"/>
    <w:rsid w:val="00253772"/>
    <w:rsid w:val="002539E1"/>
    <w:rsid w:val="00253B14"/>
    <w:rsid w:val="002541C6"/>
    <w:rsid w:val="002554BA"/>
    <w:rsid w:val="00255CA1"/>
    <w:rsid w:val="00255DA2"/>
    <w:rsid w:val="00255E6C"/>
    <w:rsid w:val="0025625C"/>
    <w:rsid w:val="00260380"/>
    <w:rsid w:val="002648F2"/>
    <w:rsid w:val="0026517B"/>
    <w:rsid w:val="002652A4"/>
    <w:rsid w:val="00265798"/>
    <w:rsid w:val="002664E8"/>
    <w:rsid w:val="00267A17"/>
    <w:rsid w:val="0027077D"/>
    <w:rsid w:val="00270B6A"/>
    <w:rsid w:val="00270BED"/>
    <w:rsid w:val="00272093"/>
    <w:rsid w:val="00275A58"/>
    <w:rsid w:val="00276B45"/>
    <w:rsid w:val="00277766"/>
    <w:rsid w:val="0027781B"/>
    <w:rsid w:val="00280662"/>
    <w:rsid w:val="00280A15"/>
    <w:rsid w:val="002818DD"/>
    <w:rsid w:val="00282034"/>
    <w:rsid w:val="00282B62"/>
    <w:rsid w:val="002847D2"/>
    <w:rsid w:val="002849CC"/>
    <w:rsid w:val="00285271"/>
    <w:rsid w:val="00286B66"/>
    <w:rsid w:val="00290529"/>
    <w:rsid w:val="0029095D"/>
    <w:rsid w:val="00292120"/>
    <w:rsid w:val="00292ED6"/>
    <w:rsid w:val="00293CF7"/>
    <w:rsid w:val="0029470C"/>
    <w:rsid w:val="00294990"/>
    <w:rsid w:val="00294E39"/>
    <w:rsid w:val="00297BBB"/>
    <w:rsid w:val="002A02F0"/>
    <w:rsid w:val="002A07ED"/>
    <w:rsid w:val="002A0958"/>
    <w:rsid w:val="002A2101"/>
    <w:rsid w:val="002A2445"/>
    <w:rsid w:val="002A4209"/>
    <w:rsid w:val="002A5909"/>
    <w:rsid w:val="002A6067"/>
    <w:rsid w:val="002A6DE2"/>
    <w:rsid w:val="002A6F93"/>
    <w:rsid w:val="002A77C5"/>
    <w:rsid w:val="002B0A2D"/>
    <w:rsid w:val="002B0C3B"/>
    <w:rsid w:val="002B0DAA"/>
    <w:rsid w:val="002B102F"/>
    <w:rsid w:val="002B1E59"/>
    <w:rsid w:val="002B3631"/>
    <w:rsid w:val="002B395F"/>
    <w:rsid w:val="002B49D1"/>
    <w:rsid w:val="002B4EF8"/>
    <w:rsid w:val="002B551D"/>
    <w:rsid w:val="002B5FFA"/>
    <w:rsid w:val="002B61C7"/>
    <w:rsid w:val="002B69AF"/>
    <w:rsid w:val="002B6F59"/>
    <w:rsid w:val="002C0566"/>
    <w:rsid w:val="002C3690"/>
    <w:rsid w:val="002C38D8"/>
    <w:rsid w:val="002C3EE8"/>
    <w:rsid w:val="002C404B"/>
    <w:rsid w:val="002C4680"/>
    <w:rsid w:val="002C4993"/>
    <w:rsid w:val="002C5916"/>
    <w:rsid w:val="002C7434"/>
    <w:rsid w:val="002C7984"/>
    <w:rsid w:val="002D15C8"/>
    <w:rsid w:val="002D4CEE"/>
    <w:rsid w:val="002D6BF9"/>
    <w:rsid w:val="002D6C7A"/>
    <w:rsid w:val="002D707B"/>
    <w:rsid w:val="002D7F66"/>
    <w:rsid w:val="002E0116"/>
    <w:rsid w:val="002E14C7"/>
    <w:rsid w:val="002E4A2E"/>
    <w:rsid w:val="002E4C5A"/>
    <w:rsid w:val="002E5C6B"/>
    <w:rsid w:val="002E60A7"/>
    <w:rsid w:val="002E66B8"/>
    <w:rsid w:val="002F18EC"/>
    <w:rsid w:val="002F1A1F"/>
    <w:rsid w:val="002F2D7C"/>
    <w:rsid w:val="002F38A7"/>
    <w:rsid w:val="002F46EC"/>
    <w:rsid w:val="002F5B13"/>
    <w:rsid w:val="002F5B2C"/>
    <w:rsid w:val="002F6573"/>
    <w:rsid w:val="002F7947"/>
    <w:rsid w:val="00300563"/>
    <w:rsid w:val="00300D1D"/>
    <w:rsid w:val="003011C2"/>
    <w:rsid w:val="00301C3C"/>
    <w:rsid w:val="00302BA7"/>
    <w:rsid w:val="0030345D"/>
    <w:rsid w:val="00304F78"/>
    <w:rsid w:val="0030789C"/>
    <w:rsid w:val="00307ACC"/>
    <w:rsid w:val="0031018D"/>
    <w:rsid w:val="0031025C"/>
    <w:rsid w:val="00310D2E"/>
    <w:rsid w:val="00311555"/>
    <w:rsid w:val="0031208A"/>
    <w:rsid w:val="00312DFE"/>
    <w:rsid w:val="003134B7"/>
    <w:rsid w:val="0031462F"/>
    <w:rsid w:val="003159C7"/>
    <w:rsid w:val="00316112"/>
    <w:rsid w:val="00316230"/>
    <w:rsid w:val="003204DC"/>
    <w:rsid w:val="0032221B"/>
    <w:rsid w:val="00323C1D"/>
    <w:rsid w:val="00324C57"/>
    <w:rsid w:val="00326336"/>
    <w:rsid w:val="003264F1"/>
    <w:rsid w:val="003269EA"/>
    <w:rsid w:val="003279E5"/>
    <w:rsid w:val="00331019"/>
    <w:rsid w:val="00331379"/>
    <w:rsid w:val="00332A9A"/>
    <w:rsid w:val="00332CD4"/>
    <w:rsid w:val="003343E0"/>
    <w:rsid w:val="00335187"/>
    <w:rsid w:val="00336345"/>
    <w:rsid w:val="00337053"/>
    <w:rsid w:val="00337DA4"/>
    <w:rsid w:val="003406D2"/>
    <w:rsid w:val="003412BE"/>
    <w:rsid w:val="00342405"/>
    <w:rsid w:val="003427DB"/>
    <w:rsid w:val="00343E08"/>
    <w:rsid w:val="00343E16"/>
    <w:rsid w:val="00344388"/>
    <w:rsid w:val="00346E43"/>
    <w:rsid w:val="00350136"/>
    <w:rsid w:val="00350C0A"/>
    <w:rsid w:val="00350DA5"/>
    <w:rsid w:val="00352757"/>
    <w:rsid w:val="00352ED8"/>
    <w:rsid w:val="0035328D"/>
    <w:rsid w:val="0035346A"/>
    <w:rsid w:val="00354413"/>
    <w:rsid w:val="003547DE"/>
    <w:rsid w:val="0035499F"/>
    <w:rsid w:val="00354DD4"/>
    <w:rsid w:val="0035541B"/>
    <w:rsid w:val="00355E97"/>
    <w:rsid w:val="0035628A"/>
    <w:rsid w:val="00356968"/>
    <w:rsid w:val="00357AE0"/>
    <w:rsid w:val="00360A21"/>
    <w:rsid w:val="00360FA8"/>
    <w:rsid w:val="00361ED2"/>
    <w:rsid w:val="00364855"/>
    <w:rsid w:val="00364986"/>
    <w:rsid w:val="00365656"/>
    <w:rsid w:val="0036639F"/>
    <w:rsid w:val="003668C8"/>
    <w:rsid w:val="0037037E"/>
    <w:rsid w:val="00370B23"/>
    <w:rsid w:val="00372109"/>
    <w:rsid w:val="003726DA"/>
    <w:rsid w:val="00373E31"/>
    <w:rsid w:val="003744DB"/>
    <w:rsid w:val="00374830"/>
    <w:rsid w:val="00374CBB"/>
    <w:rsid w:val="00377093"/>
    <w:rsid w:val="0037725D"/>
    <w:rsid w:val="003773D6"/>
    <w:rsid w:val="00377579"/>
    <w:rsid w:val="0038015B"/>
    <w:rsid w:val="003818F7"/>
    <w:rsid w:val="00382045"/>
    <w:rsid w:val="00382449"/>
    <w:rsid w:val="00383515"/>
    <w:rsid w:val="0038351B"/>
    <w:rsid w:val="003839B5"/>
    <w:rsid w:val="003849D6"/>
    <w:rsid w:val="00385B1F"/>
    <w:rsid w:val="00385BD3"/>
    <w:rsid w:val="00386311"/>
    <w:rsid w:val="00386641"/>
    <w:rsid w:val="00386733"/>
    <w:rsid w:val="00386E94"/>
    <w:rsid w:val="00387E2D"/>
    <w:rsid w:val="0039129E"/>
    <w:rsid w:val="00392523"/>
    <w:rsid w:val="00392FD1"/>
    <w:rsid w:val="0039317F"/>
    <w:rsid w:val="0039356D"/>
    <w:rsid w:val="00393E92"/>
    <w:rsid w:val="0039403B"/>
    <w:rsid w:val="00394135"/>
    <w:rsid w:val="00395347"/>
    <w:rsid w:val="003953FA"/>
    <w:rsid w:val="00396A13"/>
    <w:rsid w:val="00397586"/>
    <w:rsid w:val="0039799C"/>
    <w:rsid w:val="003A1B1D"/>
    <w:rsid w:val="003A268F"/>
    <w:rsid w:val="003A33A5"/>
    <w:rsid w:val="003A5AF6"/>
    <w:rsid w:val="003B0760"/>
    <w:rsid w:val="003B23E5"/>
    <w:rsid w:val="003B4059"/>
    <w:rsid w:val="003B45B1"/>
    <w:rsid w:val="003B70C8"/>
    <w:rsid w:val="003B7FEA"/>
    <w:rsid w:val="003C1A39"/>
    <w:rsid w:val="003C30E4"/>
    <w:rsid w:val="003C3933"/>
    <w:rsid w:val="003C3D19"/>
    <w:rsid w:val="003C56BB"/>
    <w:rsid w:val="003C61C8"/>
    <w:rsid w:val="003C6EA5"/>
    <w:rsid w:val="003C731A"/>
    <w:rsid w:val="003D08F5"/>
    <w:rsid w:val="003D1512"/>
    <w:rsid w:val="003D2596"/>
    <w:rsid w:val="003D3D65"/>
    <w:rsid w:val="003D4F6C"/>
    <w:rsid w:val="003D4F9F"/>
    <w:rsid w:val="003D5A91"/>
    <w:rsid w:val="003E0933"/>
    <w:rsid w:val="003E0FA1"/>
    <w:rsid w:val="003E11EF"/>
    <w:rsid w:val="003E1B98"/>
    <w:rsid w:val="003E34F6"/>
    <w:rsid w:val="003E43A2"/>
    <w:rsid w:val="003E5750"/>
    <w:rsid w:val="003E5FC0"/>
    <w:rsid w:val="003E6375"/>
    <w:rsid w:val="003E6C4E"/>
    <w:rsid w:val="003E6CE9"/>
    <w:rsid w:val="003E70E1"/>
    <w:rsid w:val="003E7142"/>
    <w:rsid w:val="003E7C99"/>
    <w:rsid w:val="003F026C"/>
    <w:rsid w:val="003F3879"/>
    <w:rsid w:val="003F3E53"/>
    <w:rsid w:val="003F561C"/>
    <w:rsid w:val="003F571E"/>
    <w:rsid w:val="003F5DF7"/>
    <w:rsid w:val="003F5E3A"/>
    <w:rsid w:val="003F5FBF"/>
    <w:rsid w:val="003F6C59"/>
    <w:rsid w:val="003F7603"/>
    <w:rsid w:val="0040051A"/>
    <w:rsid w:val="00400A1E"/>
    <w:rsid w:val="00402354"/>
    <w:rsid w:val="00402710"/>
    <w:rsid w:val="0040284E"/>
    <w:rsid w:val="0040364A"/>
    <w:rsid w:val="00405ACE"/>
    <w:rsid w:val="004064BE"/>
    <w:rsid w:val="00406820"/>
    <w:rsid w:val="00407DE2"/>
    <w:rsid w:val="004102F6"/>
    <w:rsid w:val="00411D75"/>
    <w:rsid w:val="004129CB"/>
    <w:rsid w:val="004136F1"/>
    <w:rsid w:val="00413890"/>
    <w:rsid w:val="004147EB"/>
    <w:rsid w:val="00414A9F"/>
    <w:rsid w:val="0042103B"/>
    <w:rsid w:val="00425E85"/>
    <w:rsid w:val="00430101"/>
    <w:rsid w:val="004304E8"/>
    <w:rsid w:val="00431ED8"/>
    <w:rsid w:val="00432147"/>
    <w:rsid w:val="004321DD"/>
    <w:rsid w:val="00433122"/>
    <w:rsid w:val="004371DE"/>
    <w:rsid w:val="00437B0F"/>
    <w:rsid w:val="004421E1"/>
    <w:rsid w:val="004426AB"/>
    <w:rsid w:val="00442743"/>
    <w:rsid w:val="00442821"/>
    <w:rsid w:val="00443CF9"/>
    <w:rsid w:val="00443E30"/>
    <w:rsid w:val="004441F0"/>
    <w:rsid w:val="00444C22"/>
    <w:rsid w:val="00445083"/>
    <w:rsid w:val="0044518E"/>
    <w:rsid w:val="00445452"/>
    <w:rsid w:val="0044753B"/>
    <w:rsid w:val="00447628"/>
    <w:rsid w:val="00447D9D"/>
    <w:rsid w:val="00447EEA"/>
    <w:rsid w:val="00447F14"/>
    <w:rsid w:val="004500AC"/>
    <w:rsid w:val="00450537"/>
    <w:rsid w:val="00451A95"/>
    <w:rsid w:val="00451CD3"/>
    <w:rsid w:val="00453075"/>
    <w:rsid w:val="004535EB"/>
    <w:rsid w:val="00453D92"/>
    <w:rsid w:val="004543BF"/>
    <w:rsid w:val="00457449"/>
    <w:rsid w:val="00457727"/>
    <w:rsid w:val="0045783B"/>
    <w:rsid w:val="00457848"/>
    <w:rsid w:val="00457876"/>
    <w:rsid w:val="0046112F"/>
    <w:rsid w:val="00462E1B"/>
    <w:rsid w:val="0046381B"/>
    <w:rsid w:val="00463B0C"/>
    <w:rsid w:val="00464731"/>
    <w:rsid w:val="0046568F"/>
    <w:rsid w:val="00466988"/>
    <w:rsid w:val="00467286"/>
    <w:rsid w:val="0046795E"/>
    <w:rsid w:val="00467EF8"/>
    <w:rsid w:val="00470599"/>
    <w:rsid w:val="004712F9"/>
    <w:rsid w:val="00472233"/>
    <w:rsid w:val="004728F9"/>
    <w:rsid w:val="00475012"/>
    <w:rsid w:val="0047506B"/>
    <w:rsid w:val="0047519F"/>
    <w:rsid w:val="00476E86"/>
    <w:rsid w:val="00477D23"/>
    <w:rsid w:val="00480411"/>
    <w:rsid w:val="00480E9E"/>
    <w:rsid w:val="00481439"/>
    <w:rsid w:val="0048411D"/>
    <w:rsid w:val="004867BE"/>
    <w:rsid w:val="00486A22"/>
    <w:rsid w:val="00486F33"/>
    <w:rsid w:val="00487054"/>
    <w:rsid w:val="004872E0"/>
    <w:rsid w:val="00490743"/>
    <w:rsid w:val="0049098D"/>
    <w:rsid w:val="00490E1A"/>
    <w:rsid w:val="00493C36"/>
    <w:rsid w:val="00493EFA"/>
    <w:rsid w:val="00495343"/>
    <w:rsid w:val="004954F8"/>
    <w:rsid w:val="00495973"/>
    <w:rsid w:val="00495EB9"/>
    <w:rsid w:val="00495F01"/>
    <w:rsid w:val="0049621E"/>
    <w:rsid w:val="00496417"/>
    <w:rsid w:val="00496F89"/>
    <w:rsid w:val="004A07D3"/>
    <w:rsid w:val="004A07D9"/>
    <w:rsid w:val="004A0F5E"/>
    <w:rsid w:val="004A179A"/>
    <w:rsid w:val="004A1AA9"/>
    <w:rsid w:val="004A4693"/>
    <w:rsid w:val="004A4EA7"/>
    <w:rsid w:val="004A6885"/>
    <w:rsid w:val="004A7432"/>
    <w:rsid w:val="004A7D40"/>
    <w:rsid w:val="004B0651"/>
    <w:rsid w:val="004B0DF0"/>
    <w:rsid w:val="004B10C1"/>
    <w:rsid w:val="004B1C39"/>
    <w:rsid w:val="004B1ED2"/>
    <w:rsid w:val="004B2883"/>
    <w:rsid w:val="004B422E"/>
    <w:rsid w:val="004B427E"/>
    <w:rsid w:val="004B6687"/>
    <w:rsid w:val="004B759D"/>
    <w:rsid w:val="004B7860"/>
    <w:rsid w:val="004C1152"/>
    <w:rsid w:val="004C14D0"/>
    <w:rsid w:val="004C1969"/>
    <w:rsid w:val="004C2ADE"/>
    <w:rsid w:val="004C5938"/>
    <w:rsid w:val="004C7B20"/>
    <w:rsid w:val="004D0178"/>
    <w:rsid w:val="004D06A1"/>
    <w:rsid w:val="004D0811"/>
    <w:rsid w:val="004D0C5E"/>
    <w:rsid w:val="004D1760"/>
    <w:rsid w:val="004D1B4E"/>
    <w:rsid w:val="004D2DE6"/>
    <w:rsid w:val="004D5032"/>
    <w:rsid w:val="004D569E"/>
    <w:rsid w:val="004D589A"/>
    <w:rsid w:val="004D61B5"/>
    <w:rsid w:val="004D7625"/>
    <w:rsid w:val="004E0331"/>
    <w:rsid w:val="004E07D1"/>
    <w:rsid w:val="004E1F81"/>
    <w:rsid w:val="004E2C28"/>
    <w:rsid w:val="004E3C4A"/>
    <w:rsid w:val="004E52B0"/>
    <w:rsid w:val="004E56F4"/>
    <w:rsid w:val="004E5CD1"/>
    <w:rsid w:val="004E62D1"/>
    <w:rsid w:val="004E6585"/>
    <w:rsid w:val="004E6680"/>
    <w:rsid w:val="004E6FEA"/>
    <w:rsid w:val="004E724A"/>
    <w:rsid w:val="004E7D48"/>
    <w:rsid w:val="004F0229"/>
    <w:rsid w:val="004F0E2F"/>
    <w:rsid w:val="004F2445"/>
    <w:rsid w:val="004F351A"/>
    <w:rsid w:val="004F36F6"/>
    <w:rsid w:val="004F392C"/>
    <w:rsid w:val="004F4750"/>
    <w:rsid w:val="004F4FAE"/>
    <w:rsid w:val="004F54DC"/>
    <w:rsid w:val="004F57CA"/>
    <w:rsid w:val="004F5D81"/>
    <w:rsid w:val="004F6254"/>
    <w:rsid w:val="004F63C0"/>
    <w:rsid w:val="004F7146"/>
    <w:rsid w:val="004F7843"/>
    <w:rsid w:val="004F7C60"/>
    <w:rsid w:val="004F7CAF"/>
    <w:rsid w:val="005007C7"/>
    <w:rsid w:val="005024C3"/>
    <w:rsid w:val="005025D4"/>
    <w:rsid w:val="0050350B"/>
    <w:rsid w:val="005045AE"/>
    <w:rsid w:val="00504A20"/>
    <w:rsid w:val="00504DD1"/>
    <w:rsid w:val="00506577"/>
    <w:rsid w:val="005065C3"/>
    <w:rsid w:val="00506E64"/>
    <w:rsid w:val="00510326"/>
    <w:rsid w:val="005106AF"/>
    <w:rsid w:val="00510F28"/>
    <w:rsid w:val="00510FB8"/>
    <w:rsid w:val="00511035"/>
    <w:rsid w:val="0051134F"/>
    <w:rsid w:val="005127F5"/>
    <w:rsid w:val="0051372C"/>
    <w:rsid w:val="005139CB"/>
    <w:rsid w:val="00513BDF"/>
    <w:rsid w:val="00515CE3"/>
    <w:rsid w:val="005160F2"/>
    <w:rsid w:val="0051635A"/>
    <w:rsid w:val="00516AD9"/>
    <w:rsid w:val="00517333"/>
    <w:rsid w:val="00517E48"/>
    <w:rsid w:val="005202C2"/>
    <w:rsid w:val="00520C01"/>
    <w:rsid w:val="00520F38"/>
    <w:rsid w:val="00522512"/>
    <w:rsid w:val="00522F7D"/>
    <w:rsid w:val="00523BB9"/>
    <w:rsid w:val="00523F5C"/>
    <w:rsid w:val="005247FA"/>
    <w:rsid w:val="00524BDE"/>
    <w:rsid w:val="00527A1D"/>
    <w:rsid w:val="00527F16"/>
    <w:rsid w:val="00530229"/>
    <w:rsid w:val="00531A6B"/>
    <w:rsid w:val="0053330B"/>
    <w:rsid w:val="0053396A"/>
    <w:rsid w:val="00533DAA"/>
    <w:rsid w:val="00534542"/>
    <w:rsid w:val="00534FE0"/>
    <w:rsid w:val="005354A4"/>
    <w:rsid w:val="00535520"/>
    <w:rsid w:val="0053603D"/>
    <w:rsid w:val="005365C0"/>
    <w:rsid w:val="00536B55"/>
    <w:rsid w:val="005377D2"/>
    <w:rsid w:val="005400AE"/>
    <w:rsid w:val="00540F0C"/>
    <w:rsid w:val="00542127"/>
    <w:rsid w:val="0054379A"/>
    <w:rsid w:val="00544FF2"/>
    <w:rsid w:val="00545916"/>
    <w:rsid w:val="00545FFB"/>
    <w:rsid w:val="00547BC5"/>
    <w:rsid w:val="00550D1D"/>
    <w:rsid w:val="00551307"/>
    <w:rsid w:val="00552CE7"/>
    <w:rsid w:val="005530A7"/>
    <w:rsid w:val="0055461D"/>
    <w:rsid w:val="00554808"/>
    <w:rsid w:val="00556820"/>
    <w:rsid w:val="005569A2"/>
    <w:rsid w:val="005577EB"/>
    <w:rsid w:val="005612BF"/>
    <w:rsid w:val="0056165D"/>
    <w:rsid w:val="00561863"/>
    <w:rsid w:val="0056289E"/>
    <w:rsid w:val="00562ADF"/>
    <w:rsid w:val="00563457"/>
    <w:rsid w:val="0056410B"/>
    <w:rsid w:val="005657F5"/>
    <w:rsid w:val="00565B76"/>
    <w:rsid w:val="0056642E"/>
    <w:rsid w:val="00566655"/>
    <w:rsid w:val="00566AF7"/>
    <w:rsid w:val="005706AD"/>
    <w:rsid w:val="005711C8"/>
    <w:rsid w:val="00571AED"/>
    <w:rsid w:val="005722DE"/>
    <w:rsid w:val="00572966"/>
    <w:rsid w:val="00572F92"/>
    <w:rsid w:val="00574B3D"/>
    <w:rsid w:val="00574C9B"/>
    <w:rsid w:val="0057547E"/>
    <w:rsid w:val="005766BD"/>
    <w:rsid w:val="00581ED6"/>
    <w:rsid w:val="00582E9D"/>
    <w:rsid w:val="0058338A"/>
    <w:rsid w:val="0058386D"/>
    <w:rsid w:val="0058462F"/>
    <w:rsid w:val="00584FCD"/>
    <w:rsid w:val="0058675A"/>
    <w:rsid w:val="00586A40"/>
    <w:rsid w:val="00586F51"/>
    <w:rsid w:val="00587754"/>
    <w:rsid w:val="00587DAA"/>
    <w:rsid w:val="0059109F"/>
    <w:rsid w:val="0059209D"/>
    <w:rsid w:val="00592233"/>
    <w:rsid w:val="00592277"/>
    <w:rsid w:val="00593281"/>
    <w:rsid w:val="00593A1E"/>
    <w:rsid w:val="00593D50"/>
    <w:rsid w:val="005940C4"/>
    <w:rsid w:val="00594249"/>
    <w:rsid w:val="00594269"/>
    <w:rsid w:val="00594F8B"/>
    <w:rsid w:val="0059537F"/>
    <w:rsid w:val="00595914"/>
    <w:rsid w:val="00596562"/>
    <w:rsid w:val="0059686C"/>
    <w:rsid w:val="005972D8"/>
    <w:rsid w:val="005A0266"/>
    <w:rsid w:val="005A08C2"/>
    <w:rsid w:val="005A13EE"/>
    <w:rsid w:val="005A25E1"/>
    <w:rsid w:val="005A2963"/>
    <w:rsid w:val="005A2D76"/>
    <w:rsid w:val="005A33A3"/>
    <w:rsid w:val="005A5636"/>
    <w:rsid w:val="005A7FD6"/>
    <w:rsid w:val="005B12DF"/>
    <w:rsid w:val="005B1A09"/>
    <w:rsid w:val="005B2E4B"/>
    <w:rsid w:val="005B3F1B"/>
    <w:rsid w:val="005B4945"/>
    <w:rsid w:val="005B5E6B"/>
    <w:rsid w:val="005B6FC6"/>
    <w:rsid w:val="005B7861"/>
    <w:rsid w:val="005C021B"/>
    <w:rsid w:val="005C1910"/>
    <w:rsid w:val="005C1DF4"/>
    <w:rsid w:val="005C213B"/>
    <w:rsid w:val="005C2238"/>
    <w:rsid w:val="005C2869"/>
    <w:rsid w:val="005C36E2"/>
    <w:rsid w:val="005C39C5"/>
    <w:rsid w:val="005C4544"/>
    <w:rsid w:val="005C50AC"/>
    <w:rsid w:val="005C5689"/>
    <w:rsid w:val="005C6C2F"/>
    <w:rsid w:val="005C6F1D"/>
    <w:rsid w:val="005D24D6"/>
    <w:rsid w:val="005D2B7D"/>
    <w:rsid w:val="005D5AF2"/>
    <w:rsid w:val="005D634A"/>
    <w:rsid w:val="005D6438"/>
    <w:rsid w:val="005D6983"/>
    <w:rsid w:val="005D6ABA"/>
    <w:rsid w:val="005D6E3A"/>
    <w:rsid w:val="005D71F5"/>
    <w:rsid w:val="005D7A40"/>
    <w:rsid w:val="005D7A7B"/>
    <w:rsid w:val="005E0465"/>
    <w:rsid w:val="005E25F4"/>
    <w:rsid w:val="005E5D27"/>
    <w:rsid w:val="005E5D82"/>
    <w:rsid w:val="005E61C4"/>
    <w:rsid w:val="005E6F2A"/>
    <w:rsid w:val="005E6FA7"/>
    <w:rsid w:val="005F0E5F"/>
    <w:rsid w:val="005F2130"/>
    <w:rsid w:val="005F3E95"/>
    <w:rsid w:val="005F428D"/>
    <w:rsid w:val="005F43D0"/>
    <w:rsid w:val="005F45EB"/>
    <w:rsid w:val="005F4E1D"/>
    <w:rsid w:val="005F50AA"/>
    <w:rsid w:val="005F5580"/>
    <w:rsid w:val="005F65D8"/>
    <w:rsid w:val="005F6B6D"/>
    <w:rsid w:val="005F6F58"/>
    <w:rsid w:val="005F780A"/>
    <w:rsid w:val="005F7FF1"/>
    <w:rsid w:val="00600452"/>
    <w:rsid w:val="00601202"/>
    <w:rsid w:val="006020AD"/>
    <w:rsid w:val="00602903"/>
    <w:rsid w:val="00602B64"/>
    <w:rsid w:val="00602FCD"/>
    <w:rsid w:val="0060309F"/>
    <w:rsid w:val="00603C57"/>
    <w:rsid w:val="006053AE"/>
    <w:rsid w:val="0060598B"/>
    <w:rsid w:val="0060666B"/>
    <w:rsid w:val="0060743A"/>
    <w:rsid w:val="0060778B"/>
    <w:rsid w:val="006100E0"/>
    <w:rsid w:val="00612040"/>
    <w:rsid w:val="00612DDD"/>
    <w:rsid w:val="006130F9"/>
    <w:rsid w:val="006132BA"/>
    <w:rsid w:val="006157E3"/>
    <w:rsid w:val="00615CF1"/>
    <w:rsid w:val="00616C25"/>
    <w:rsid w:val="00617042"/>
    <w:rsid w:val="006179A1"/>
    <w:rsid w:val="00617BBE"/>
    <w:rsid w:val="00620308"/>
    <w:rsid w:val="00620B17"/>
    <w:rsid w:val="00623159"/>
    <w:rsid w:val="00624738"/>
    <w:rsid w:val="00624766"/>
    <w:rsid w:val="00624E70"/>
    <w:rsid w:val="00625177"/>
    <w:rsid w:val="006252E8"/>
    <w:rsid w:val="00625769"/>
    <w:rsid w:val="00625D45"/>
    <w:rsid w:val="00626728"/>
    <w:rsid w:val="00627518"/>
    <w:rsid w:val="00627956"/>
    <w:rsid w:val="00627B75"/>
    <w:rsid w:val="006318FF"/>
    <w:rsid w:val="00632127"/>
    <w:rsid w:val="0063231B"/>
    <w:rsid w:val="0063316E"/>
    <w:rsid w:val="006338D7"/>
    <w:rsid w:val="00634B32"/>
    <w:rsid w:val="00634C98"/>
    <w:rsid w:val="00634D8C"/>
    <w:rsid w:val="006350F8"/>
    <w:rsid w:val="00635927"/>
    <w:rsid w:val="00635C24"/>
    <w:rsid w:val="00636729"/>
    <w:rsid w:val="006423B6"/>
    <w:rsid w:val="0064325C"/>
    <w:rsid w:val="00645E42"/>
    <w:rsid w:val="00646760"/>
    <w:rsid w:val="006474C8"/>
    <w:rsid w:val="0064767C"/>
    <w:rsid w:val="00650841"/>
    <w:rsid w:val="006525F9"/>
    <w:rsid w:val="006529C9"/>
    <w:rsid w:val="006534CB"/>
    <w:rsid w:val="00653801"/>
    <w:rsid w:val="006553C4"/>
    <w:rsid w:val="006558FB"/>
    <w:rsid w:val="00655AEC"/>
    <w:rsid w:val="00657174"/>
    <w:rsid w:val="00657A95"/>
    <w:rsid w:val="00660BFB"/>
    <w:rsid w:val="00660CF1"/>
    <w:rsid w:val="0066197E"/>
    <w:rsid w:val="00662F57"/>
    <w:rsid w:val="00663120"/>
    <w:rsid w:val="006634AE"/>
    <w:rsid w:val="006635F5"/>
    <w:rsid w:val="00665847"/>
    <w:rsid w:val="0066699A"/>
    <w:rsid w:val="00667187"/>
    <w:rsid w:val="00667478"/>
    <w:rsid w:val="00670255"/>
    <w:rsid w:val="006705A3"/>
    <w:rsid w:val="00670E6C"/>
    <w:rsid w:val="006716AD"/>
    <w:rsid w:val="00671A46"/>
    <w:rsid w:val="00671BE4"/>
    <w:rsid w:val="00672686"/>
    <w:rsid w:val="00672724"/>
    <w:rsid w:val="00672CD9"/>
    <w:rsid w:val="00673708"/>
    <w:rsid w:val="00674478"/>
    <w:rsid w:val="00674872"/>
    <w:rsid w:val="006751BE"/>
    <w:rsid w:val="00675A07"/>
    <w:rsid w:val="00675E7F"/>
    <w:rsid w:val="00675F7B"/>
    <w:rsid w:val="006763A1"/>
    <w:rsid w:val="00676D85"/>
    <w:rsid w:val="00677200"/>
    <w:rsid w:val="00681F0F"/>
    <w:rsid w:val="00682046"/>
    <w:rsid w:val="00682CFD"/>
    <w:rsid w:val="00682D01"/>
    <w:rsid w:val="00684D39"/>
    <w:rsid w:val="00685B8B"/>
    <w:rsid w:val="00686919"/>
    <w:rsid w:val="00687A7B"/>
    <w:rsid w:val="00690423"/>
    <w:rsid w:val="00690D80"/>
    <w:rsid w:val="00691B64"/>
    <w:rsid w:val="006921D0"/>
    <w:rsid w:val="00692409"/>
    <w:rsid w:val="006934CC"/>
    <w:rsid w:val="00694398"/>
    <w:rsid w:val="006948FE"/>
    <w:rsid w:val="00695FD2"/>
    <w:rsid w:val="0069775F"/>
    <w:rsid w:val="00697A2B"/>
    <w:rsid w:val="006A05ED"/>
    <w:rsid w:val="006A0712"/>
    <w:rsid w:val="006A0AD7"/>
    <w:rsid w:val="006A275E"/>
    <w:rsid w:val="006A3340"/>
    <w:rsid w:val="006A36FB"/>
    <w:rsid w:val="006A3CFB"/>
    <w:rsid w:val="006A486B"/>
    <w:rsid w:val="006A5B85"/>
    <w:rsid w:val="006A6575"/>
    <w:rsid w:val="006A6C25"/>
    <w:rsid w:val="006A6DF7"/>
    <w:rsid w:val="006B0125"/>
    <w:rsid w:val="006B020D"/>
    <w:rsid w:val="006B037B"/>
    <w:rsid w:val="006B15A2"/>
    <w:rsid w:val="006B1689"/>
    <w:rsid w:val="006B17FF"/>
    <w:rsid w:val="006B195C"/>
    <w:rsid w:val="006B6FA7"/>
    <w:rsid w:val="006C0502"/>
    <w:rsid w:val="006C0CB9"/>
    <w:rsid w:val="006C1CFD"/>
    <w:rsid w:val="006C207B"/>
    <w:rsid w:val="006C21F7"/>
    <w:rsid w:val="006C22EB"/>
    <w:rsid w:val="006C2C7C"/>
    <w:rsid w:val="006C3311"/>
    <w:rsid w:val="006C3807"/>
    <w:rsid w:val="006C3FE5"/>
    <w:rsid w:val="006C49FE"/>
    <w:rsid w:val="006C5B52"/>
    <w:rsid w:val="006C6B51"/>
    <w:rsid w:val="006D1E8F"/>
    <w:rsid w:val="006D2C1A"/>
    <w:rsid w:val="006D3163"/>
    <w:rsid w:val="006D38C5"/>
    <w:rsid w:val="006D5910"/>
    <w:rsid w:val="006D70AF"/>
    <w:rsid w:val="006E02BA"/>
    <w:rsid w:val="006E085A"/>
    <w:rsid w:val="006E20F1"/>
    <w:rsid w:val="006E3544"/>
    <w:rsid w:val="006E3E18"/>
    <w:rsid w:val="006E5006"/>
    <w:rsid w:val="006E687A"/>
    <w:rsid w:val="006E784A"/>
    <w:rsid w:val="006E7EB0"/>
    <w:rsid w:val="006F2257"/>
    <w:rsid w:val="006F26C5"/>
    <w:rsid w:val="006F2F22"/>
    <w:rsid w:val="006F414D"/>
    <w:rsid w:val="006F4A18"/>
    <w:rsid w:val="006F4F74"/>
    <w:rsid w:val="006F741C"/>
    <w:rsid w:val="006F7A50"/>
    <w:rsid w:val="00701834"/>
    <w:rsid w:val="007021B3"/>
    <w:rsid w:val="00702589"/>
    <w:rsid w:val="007025E8"/>
    <w:rsid w:val="00703043"/>
    <w:rsid w:val="00703C34"/>
    <w:rsid w:val="00703C8E"/>
    <w:rsid w:val="00703DAA"/>
    <w:rsid w:val="00705274"/>
    <w:rsid w:val="0070677F"/>
    <w:rsid w:val="007067C6"/>
    <w:rsid w:val="00706D89"/>
    <w:rsid w:val="00707983"/>
    <w:rsid w:val="007103A9"/>
    <w:rsid w:val="00710AE8"/>
    <w:rsid w:val="0071176A"/>
    <w:rsid w:val="00712369"/>
    <w:rsid w:val="00712CE7"/>
    <w:rsid w:val="00713169"/>
    <w:rsid w:val="00713C0F"/>
    <w:rsid w:val="00716BA4"/>
    <w:rsid w:val="00717A3B"/>
    <w:rsid w:val="007210B8"/>
    <w:rsid w:val="007237F2"/>
    <w:rsid w:val="00724695"/>
    <w:rsid w:val="00724DD1"/>
    <w:rsid w:val="00724F18"/>
    <w:rsid w:val="00725BFB"/>
    <w:rsid w:val="00726D38"/>
    <w:rsid w:val="00726DDA"/>
    <w:rsid w:val="00727724"/>
    <w:rsid w:val="0073041E"/>
    <w:rsid w:val="00730D05"/>
    <w:rsid w:val="00733537"/>
    <w:rsid w:val="00734D18"/>
    <w:rsid w:val="00734EB8"/>
    <w:rsid w:val="00736421"/>
    <w:rsid w:val="00736B12"/>
    <w:rsid w:val="0073701B"/>
    <w:rsid w:val="0073749D"/>
    <w:rsid w:val="00740A5F"/>
    <w:rsid w:val="00740AF5"/>
    <w:rsid w:val="00742809"/>
    <w:rsid w:val="00742B39"/>
    <w:rsid w:val="0074375C"/>
    <w:rsid w:val="007437FD"/>
    <w:rsid w:val="007438BE"/>
    <w:rsid w:val="00744472"/>
    <w:rsid w:val="00745B20"/>
    <w:rsid w:val="00745BCC"/>
    <w:rsid w:val="0074661B"/>
    <w:rsid w:val="00746F49"/>
    <w:rsid w:val="00747351"/>
    <w:rsid w:val="00747BAC"/>
    <w:rsid w:val="007513D9"/>
    <w:rsid w:val="007526C5"/>
    <w:rsid w:val="00752EDC"/>
    <w:rsid w:val="00752FD3"/>
    <w:rsid w:val="00754CF4"/>
    <w:rsid w:val="007566BC"/>
    <w:rsid w:val="00756B6B"/>
    <w:rsid w:val="00756F2D"/>
    <w:rsid w:val="00757661"/>
    <w:rsid w:val="00757F9E"/>
    <w:rsid w:val="00760674"/>
    <w:rsid w:val="007608A5"/>
    <w:rsid w:val="00760F6B"/>
    <w:rsid w:val="0076127D"/>
    <w:rsid w:val="00761E0F"/>
    <w:rsid w:val="007627D6"/>
    <w:rsid w:val="00762820"/>
    <w:rsid w:val="00762DED"/>
    <w:rsid w:val="00764A4E"/>
    <w:rsid w:val="00766784"/>
    <w:rsid w:val="00766958"/>
    <w:rsid w:val="0076715D"/>
    <w:rsid w:val="007672D8"/>
    <w:rsid w:val="00767E26"/>
    <w:rsid w:val="00767F8C"/>
    <w:rsid w:val="0077092B"/>
    <w:rsid w:val="00770FF7"/>
    <w:rsid w:val="0077300B"/>
    <w:rsid w:val="00773151"/>
    <w:rsid w:val="007735B6"/>
    <w:rsid w:val="00773DBD"/>
    <w:rsid w:val="00774309"/>
    <w:rsid w:val="00775576"/>
    <w:rsid w:val="00777085"/>
    <w:rsid w:val="00777F7B"/>
    <w:rsid w:val="0078159C"/>
    <w:rsid w:val="0078278F"/>
    <w:rsid w:val="00782965"/>
    <w:rsid w:val="00783184"/>
    <w:rsid w:val="00783F13"/>
    <w:rsid w:val="00785D4A"/>
    <w:rsid w:val="007865CD"/>
    <w:rsid w:val="00786E38"/>
    <w:rsid w:val="00790147"/>
    <w:rsid w:val="00791099"/>
    <w:rsid w:val="00791AEC"/>
    <w:rsid w:val="007926AE"/>
    <w:rsid w:val="00792E6C"/>
    <w:rsid w:val="00793D5C"/>
    <w:rsid w:val="00794127"/>
    <w:rsid w:val="00794624"/>
    <w:rsid w:val="0079486D"/>
    <w:rsid w:val="00794875"/>
    <w:rsid w:val="0079500E"/>
    <w:rsid w:val="007957DF"/>
    <w:rsid w:val="00795A46"/>
    <w:rsid w:val="00795DFB"/>
    <w:rsid w:val="00796038"/>
    <w:rsid w:val="00796721"/>
    <w:rsid w:val="00797685"/>
    <w:rsid w:val="00797D75"/>
    <w:rsid w:val="007A107E"/>
    <w:rsid w:val="007A1BC1"/>
    <w:rsid w:val="007A36C8"/>
    <w:rsid w:val="007A38F5"/>
    <w:rsid w:val="007A421D"/>
    <w:rsid w:val="007A45FD"/>
    <w:rsid w:val="007A4A28"/>
    <w:rsid w:val="007A7FB2"/>
    <w:rsid w:val="007B0C62"/>
    <w:rsid w:val="007B112E"/>
    <w:rsid w:val="007B1A83"/>
    <w:rsid w:val="007B2679"/>
    <w:rsid w:val="007B2B33"/>
    <w:rsid w:val="007B3869"/>
    <w:rsid w:val="007B41DD"/>
    <w:rsid w:val="007B5629"/>
    <w:rsid w:val="007B5D2C"/>
    <w:rsid w:val="007B6197"/>
    <w:rsid w:val="007B6C2F"/>
    <w:rsid w:val="007C0068"/>
    <w:rsid w:val="007C03BA"/>
    <w:rsid w:val="007C088F"/>
    <w:rsid w:val="007C1823"/>
    <w:rsid w:val="007C1B95"/>
    <w:rsid w:val="007C2A78"/>
    <w:rsid w:val="007C30A6"/>
    <w:rsid w:val="007C4802"/>
    <w:rsid w:val="007C5907"/>
    <w:rsid w:val="007C72EA"/>
    <w:rsid w:val="007D04EA"/>
    <w:rsid w:val="007D0801"/>
    <w:rsid w:val="007D0852"/>
    <w:rsid w:val="007D34C5"/>
    <w:rsid w:val="007D37DD"/>
    <w:rsid w:val="007D532C"/>
    <w:rsid w:val="007D54C3"/>
    <w:rsid w:val="007D60C6"/>
    <w:rsid w:val="007D6AB9"/>
    <w:rsid w:val="007D6E9E"/>
    <w:rsid w:val="007D722A"/>
    <w:rsid w:val="007D778C"/>
    <w:rsid w:val="007E0078"/>
    <w:rsid w:val="007E04A4"/>
    <w:rsid w:val="007E0E94"/>
    <w:rsid w:val="007E1D7F"/>
    <w:rsid w:val="007E203B"/>
    <w:rsid w:val="007E27F3"/>
    <w:rsid w:val="007E2C97"/>
    <w:rsid w:val="007E2F4F"/>
    <w:rsid w:val="007E340C"/>
    <w:rsid w:val="007E47D0"/>
    <w:rsid w:val="007E47F8"/>
    <w:rsid w:val="007E4838"/>
    <w:rsid w:val="007E532E"/>
    <w:rsid w:val="007E5A53"/>
    <w:rsid w:val="007E6A15"/>
    <w:rsid w:val="007E6E69"/>
    <w:rsid w:val="007E6F58"/>
    <w:rsid w:val="007F01C7"/>
    <w:rsid w:val="007F04D2"/>
    <w:rsid w:val="007F12E9"/>
    <w:rsid w:val="007F2C8B"/>
    <w:rsid w:val="007F448F"/>
    <w:rsid w:val="007F56BF"/>
    <w:rsid w:val="007F5A55"/>
    <w:rsid w:val="007F6143"/>
    <w:rsid w:val="007F63BF"/>
    <w:rsid w:val="0080024A"/>
    <w:rsid w:val="00801477"/>
    <w:rsid w:val="008021D4"/>
    <w:rsid w:val="008022AA"/>
    <w:rsid w:val="00802768"/>
    <w:rsid w:val="00802DDF"/>
    <w:rsid w:val="00803F16"/>
    <w:rsid w:val="0080554D"/>
    <w:rsid w:val="00805933"/>
    <w:rsid w:val="00805EE2"/>
    <w:rsid w:val="00805F01"/>
    <w:rsid w:val="00810F25"/>
    <w:rsid w:val="0081215E"/>
    <w:rsid w:val="00812255"/>
    <w:rsid w:val="00813194"/>
    <w:rsid w:val="00814388"/>
    <w:rsid w:val="00814508"/>
    <w:rsid w:val="00814C89"/>
    <w:rsid w:val="00815331"/>
    <w:rsid w:val="0081609A"/>
    <w:rsid w:val="0081658A"/>
    <w:rsid w:val="00817878"/>
    <w:rsid w:val="00817997"/>
    <w:rsid w:val="00817A70"/>
    <w:rsid w:val="00817C2F"/>
    <w:rsid w:val="00820901"/>
    <w:rsid w:val="008210D4"/>
    <w:rsid w:val="00821534"/>
    <w:rsid w:val="0082273E"/>
    <w:rsid w:val="008233ED"/>
    <w:rsid w:val="00823508"/>
    <w:rsid w:val="0082363A"/>
    <w:rsid w:val="00823A85"/>
    <w:rsid w:val="00824DF3"/>
    <w:rsid w:val="008259B6"/>
    <w:rsid w:val="00825B44"/>
    <w:rsid w:val="00826B12"/>
    <w:rsid w:val="0082724D"/>
    <w:rsid w:val="00827D57"/>
    <w:rsid w:val="008308B4"/>
    <w:rsid w:val="00832C49"/>
    <w:rsid w:val="00833CF6"/>
    <w:rsid w:val="00834215"/>
    <w:rsid w:val="00834FE6"/>
    <w:rsid w:val="00835A77"/>
    <w:rsid w:val="00835EA1"/>
    <w:rsid w:val="00835F85"/>
    <w:rsid w:val="0083670F"/>
    <w:rsid w:val="00836792"/>
    <w:rsid w:val="00836D40"/>
    <w:rsid w:val="00840E3E"/>
    <w:rsid w:val="0084272A"/>
    <w:rsid w:val="00844DDC"/>
    <w:rsid w:val="00846424"/>
    <w:rsid w:val="00846A23"/>
    <w:rsid w:val="00847570"/>
    <w:rsid w:val="008479F4"/>
    <w:rsid w:val="00856B42"/>
    <w:rsid w:val="00857A8B"/>
    <w:rsid w:val="00860A15"/>
    <w:rsid w:val="00860D8C"/>
    <w:rsid w:val="00861026"/>
    <w:rsid w:val="00863B5C"/>
    <w:rsid w:val="00863C18"/>
    <w:rsid w:val="008641EF"/>
    <w:rsid w:val="0086604C"/>
    <w:rsid w:val="00867661"/>
    <w:rsid w:val="008677A6"/>
    <w:rsid w:val="0087009E"/>
    <w:rsid w:val="0087206C"/>
    <w:rsid w:val="008722CB"/>
    <w:rsid w:val="008738CB"/>
    <w:rsid w:val="0087393D"/>
    <w:rsid w:val="008749EC"/>
    <w:rsid w:val="00874E3F"/>
    <w:rsid w:val="00875F81"/>
    <w:rsid w:val="00876284"/>
    <w:rsid w:val="0087635F"/>
    <w:rsid w:val="0087641E"/>
    <w:rsid w:val="00876EDC"/>
    <w:rsid w:val="008809AC"/>
    <w:rsid w:val="00881331"/>
    <w:rsid w:val="008822B0"/>
    <w:rsid w:val="00883ECB"/>
    <w:rsid w:val="00884827"/>
    <w:rsid w:val="008851C2"/>
    <w:rsid w:val="008858BF"/>
    <w:rsid w:val="00887F47"/>
    <w:rsid w:val="0089100A"/>
    <w:rsid w:val="00891220"/>
    <w:rsid w:val="00891E39"/>
    <w:rsid w:val="00891EA4"/>
    <w:rsid w:val="00892352"/>
    <w:rsid w:val="00892BF5"/>
    <w:rsid w:val="00894012"/>
    <w:rsid w:val="00895EC0"/>
    <w:rsid w:val="00895F08"/>
    <w:rsid w:val="008962F0"/>
    <w:rsid w:val="008965D2"/>
    <w:rsid w:val="00897214"/>
    <w:rsid w:val="008A12EB"/>
    <w:rsid w:val="008A3DD2"/>
    <w:rsid w:val="008A5184"/>
    <w:rsid w:val="008A6043"/>
    <w:rsid w:val="008B29D9"/>
    <w:rsid w:val="008B332E"/>
    <w:rsid w:val="008B385B"/>
    <w:rsid w:val="008B51CB"/>
    <w:rsid w:val="008B5BB8"/>
    <w:rsid w:val="008B5F21"/>
    <w:rsid w:val="008B6895"/>
    <w:rsid w:val="008C0645"/>
    <w:rsid w:val="008C0F2A"/>
    <w:rsid w:val="008C1D0E"/>
    <w:rsid w:val="008C2519"/>
    <w:rsid w:val="008C2B38"/>
    <w:rsid w:val="008C2DC3"/>
    <w:rsid w:val="008C3BEE"/>
    <w:rsid w:val="008C3D55"/>
    <w:rsid w:val="008C5CC0"/>
    <w:rsid w:val="008C697C"/>
    <w:rsid w:val="008C6F92"/>
    <w:rsid w:val="008C7CCB"/>
    <w:rsid w:val="008D0680"/>
    <w:rsid w:val="008D16C7"/>
    <w:rsid w:val="008D1FD9"/>
    <w:rsid w:val="008D227F"/>
    <w:rsid w:val="008D262B"/>
    <w:rsid w:val="008D2A19"/>
    <w:rsid w:val="008D3FA8"/>
    <w:rsid w:val="008D42E0"/>
    <w:rsid w:val="008D4509"/>
    <w:rsid w:val="008D52EC"/>
    <w:rsid w:val="008D6092"/>
    <w:rsid w:val="008D673D"/>
    <w:rsid w:val="008D71F7"/>
    <w:rsid w:val="008D73C1"/>
    <w:rsid w:val="008D741E"/>
    <w:rsid w:val="008E0803"/>
    <w:rsid w:val="008E18E7"/>
    <w:rsid w:val="008E191A"/>
    <w:rsid w:val="008E1D67"/>
    <w:rsid w:val="008E1EDB"/>
    <w:rsid w:val="008E210F"/>
    <w:rsid w:val="008E232D"/>
    <w:rsid w:val="008E2E70"/>
    <w:rsid w:val="008E41B1"/>
    <w:rsid w:val="008E5DC6"/>
    <w:rsid w:val="008E6B3B"/>
    <w:rsid w:val="008E6B8D"/>
    <w:rsid w:val="008E7615"/>
    <w:rsid w:val="008F014F"/>
    <w:rsid w:val="008F1061"/>
    <w:rsid w:val="008F1374"/>
    <w:rsid w:val="008F2ADA"/>
    <w:rsid w:val="008F307F"/>
    <w:rsid w:val="008F3EA6"/>
    <w:rsid w:val="008F4DC8"/>
    <w:rsid w:val="008F4FA0"/>
    <w:rsid w:val="008F50BD"/>
    <w:rsid w:val="008F5226"/>
    <w:rsid w:val="008F55FE"/>
    <w:rsid w:val="008F6014"/>
    <w:rsid w:val="008F6466"/>
    <w:rsid w:val="008F759B"/>
    <w:rsid w:val="008F77F6"/>
    <w:rsid w:val="008F7F0E"/>
    <w:rsid w:val="00900A1F"/>
    <w:rsid w:val="0090107B"/>
    <w:rsid w:val="00901396"/>
    <w:rsid w:val="00901C88"/>
    <w:rsid w:val="00901D2E"/>
    <w:rsid w:val="009022A0"/>
    <w:rsid w:val="00904E06"/>
    <w:rsid w:val="009062F0"/>
    <w:rsid w:val="00906F55"/>
    <w:rsid w:val="00910646"/>
    <w:rsid w:val="009114FC"/>
    <w:rsid w:val="00911792"/>
    <w:rsid w:val="00912043"/>
    <w:rsid w:val="00912BBF"/>
    <w:rsid w:val="0091339D"/>
    <w:rsid w:val="009148C4"/>
    <w:rsid w:val="00914DB9"/>
    <w:rsid w:val="009209E5"/>
    <w:rsid w:val="00920F0F"/>
    <w:rsid w:val="00920F61"/>
    <w:rsid w:val="009217E0"/>
    <w:rsid w:val="00922ED3"/>
    <w:rsid w:val="00922FB6"/>
    <w:rsid w:val="0092334F"/>
    <w:rsid w:val="00923FB2"/>
    <w:rsid w:val="00925C49"/>
    <w:rsid w:val="009270AB"/>
    <w:rsid w:val="00927799"/>
    <w:rsid w:val="00931560"/>
    <w:rsid w:val="00932222"/>
    <w:rsid w:val="00932AAA"/>
    <w:rsid w:val="009337CD"/>
    <w:rsid w:val="009340FC"/>
    <w:rsid w:val="009341C4"/>
    <w:rsid w:val="00934470"/>
    <w:rsid w:val="00934F41"/>
    <w:rsid w:val="00935280"/>
    <w:rsid w:val="009356E1"/>
    <w:rsid w:val="0093593D"/>
    <w:rsid w:val="0093675B"/>
    <w:rsid w:val="009367E9"/>
    <w:rsid w:val="00937430"/>
    <w:rsid w:val="00937717"/>
    <w:rsid w:val="00937B02"/>
    <w:rsid w:val="0094004A"/>
    <w:rsid w:val="0094086D"/>
    <w:rsid w:val="00941062"/>
    <w:rsid w:val="009412DF"/>
    <w:rsid w:val="00941F7B"/>
    <w:rsid w:val="0094245B"/>
    <w:rsid w:val="009431D0"/>
    <w:rsid w:val="00944867"/>
    <w:rsid w:val="009448AD"/>
    <w:rsid w:val="0094537F"/>
    <w:rsid w:val="00945879"/>
    <w:rsid w:val="00945959"/>
    <w:rsid w:val="00945B1C"/>
    <w:rsid w:val="009467D6"/>
    <w:rsid w:val="009471D6"/>
    <w:rsid w:val="009475D5"/>
    <w:rsid w:val="00947E65"/>
    <w:rsid w:val="00952422"/>
    <w:rsid w:val="009548E3"/>
    <w:rsid w:val="00956538"/>
    <w:rsid w:val="009574AF"/>
    <w:rsid w:val="00960498"/>
    <w:rsid w:val="009608AF"/>
    <w:rsid w:val="00961FC9"/>
    <w:rsid w:val="009629A9"/>
    <w:rsid w:val="00963BA7"/>
    <w:rsid w:val="00964168"/>
    <w:rsid w:val="00965F0C"/>
    <w:rsid w:val="00967A57"/>
    <w:rsid w:val="00967D3F"/>
    <w:rsid w:val="0097124B"/>
    <w:rsid w:val="00973DF4"/>
    <w:rsid w:val="00974DC6"/>
    <w:rsid w:val="00975039"/>
    <w:rsid w:val="00975709"/>
    <w:rsid w:val="00975F60"/>
    <w:rsid w:val="00977D90"/>
    <w:rsid w:val="00980DAE"/>
    <w:rsid w:val="00981816"/>
    <w:rsid w:val="009827A6"/>
    <w:rsid w:val="009833B9"/>
    <w:rsid w:val="009843C7"/>
    <w:rsid w:val="00985261"/>
    <w:rsid w:val="00985357"/>
    <w:rsid w:val="009856F5"/>
    <w:rsid w:val="00985BDC"/>
    <w:rsid w:val="00986691"/>
    <w:rsid w:val="00987C6A"/>
    <w:rsid w:val="00987C84"/>
    <w:rsid w:val="00990014"/>
    <w:rsid w:val="00990403"/>
    <w:rsid w:val="009961D4"/>
    <w:rsid w:val="009969D6"/>
    <w:rsid w:val="0099700D"/>
    <w:rsid w:val="009974D7"/>
    <w:rsid w:val="009A03C4"/>
    <w:rsid w:val="009A0755"/>
    <w:rsid w:val="009A0E70"/>
    <w:rsid w:val="009A1F32"/>
    <w:rsid w:val="009A1FD2"/>
    <w:rsid w:val="009A2805"/>
    <w:rsid w:val="009A307B"/>
    <w:rsid w:val="009A36DD"/>
    <w:rsid w:val="009A3C88"/>
    <w:rsid w:val="009A4E8D"/>
    <w:rsid w:val="009A52CB"/>
    <w:rsid w:val="009B01AA"/>
    <w:rsid w:val="009B0372"/>
    <w:rsid w:val="009B09A4"/>
    <w:rsid w:val="009B10E7"/>
    <w:rsid w:val="009B2B65"/>
    <w:rsid w:val="009B2FCB"/>
    <w:rsid w:val="009B36AA"/>
    <w:rsid w:val="009B38E5"/>
    <w:rsid w:val="009B3B8B"/>
    <w:rsid w:val="009B4A37"/>
    <w:rsid w:val="009B4B12"/>
    <w:rsid w:val="009B4DFC"/>
    <w:rsid w:val="009B57FD"/>
    <w:rsid w:val="009B5896"/>
    <w:rsid w:val="009B65FE"/>
    <w:rsid w:val="009B699C"/>
    <w:rsid w:val="009B779B"/>
    <w:rsid w:val="009B7952"/>
    <w:rsid w:val="009C0530"/>
    <w:rsid w:val="009C1AA0"/>
    <w:rsid w:val="009C3693"/>
    <w:rsid w:val="009C4034"/>
    <w:rsid w:val="009C4210"/>
    <w:rsid w:val="009C4726"/>
    <w:rsid w:val="009C56BE"/>
    <w:rsid w:val="009C59F7"/>
    <w:rsid w:val="009C601A"/>
    <w:rsid w:val="009C7045"/>
    <w:rsid w:val="009D1763"/>
    <w:rsid w:val="009D18E0"/>
    <w:rsid w:val="009D1F4B"/>
    <w:rsid w:val="009D4DFE"/>
    <w:rsid w:val="009D6CAC"/>
    <w:rsid w:val="009D7220"/>
    <w:rsid w:val="009D78D4"/>
    <w:rsid w:val="009D7EAB"/>
    <w:rsid w:val="009E2E3A"/>
    <w:rsid w:val="009E41AA"/>
    <w:rsid w:val="009E47CC"/>
    <w:rsid w:val="009E49BF"/>
    <w:rsid w:val="009E7EE0"/>
    <w:rsid w:val="009F09FB"/>
    <w:rsid w:val="009F1679"/>
    <w:rsid w:val="009F20FB"/>
    <w:rsid w:val="009F367A"/>
    <w:rsid w:val="009F4F28"/>
    <w:rsid w:val="009F789F"/>
    <w:rsid w:val="00A049FA"/>
    <w:rsid w:val="00A050B3"/>
    <w:rsid w:val="00A10991"/>
    <w:rsid w:val="00A10E02"/>
    <w:rsid w:val="00A111EB"/>
    <w:rsid w:val="00A11628"/>
    <w:rsid w:val="00A117B7"/>
    <w:rsid w:val="00A121EA"/>
    <w:rsid w:val="00A149C8"/>
    <w:rsid w:val="00A15007"/>
    <w:rsid w:val="00A15384"/>
    <w:rsid w:val="00A15DD3"/>
    <w:rsid w:val="00A16110"/>
    <w:rsid w:val="00A16724"/>
    <w:rsid w:val="00A16E2D"/>
    <w:rsid w:val="00A17554"/>
    <w:rsid w:val="00A2002D"/>
    <w:rsid w:val="00A20379"/>
    <w:rsid w:val="00A207EB"/>
    <w:rsid w:val="00A213B6"/>
    <w:rsid w:val="00A21C38"/>
    <w:rsid w:val="00A224DA"/>
    <w:rsid w:val="00A22527"/>
    <w:rsid w:val="00A2297B"/>
    <w:rsid w:val="00A229BC"/>
    <w:rsid w:val="00A22F21"/>
    <w:rsid w:val="00A23D5D"/>
    <w:rsid w:val="00A23F78"/>
    <w:rsid w:val="00A247D8"/>
    <w:rsid w:val="00A264BD"/>
    <w:rsid w:val="00A265AF"/>
    <w:rsid w:val="00A26C4D"/>
    <w:rsid w:val="00A27282"/>
    <w:rsid w:val="00A272DC"/>
    <w:rsid w:val="00A27854"/>
    <w:rsid w:val="00A2789B"/>
    <w:rsid w:val="00A27E67"/>
    <w:rsid w:val="00A31187"/>
    <w:rsid w:val="00A32099"/>
    <w:rsid w:val="00A32BDC"/>
    <w:rsid w:val="00A353AD"/>
    <w:rsid w:val="00A35887"/>
    <w:rsid w:val="00A360A4"/>
    <w:rsid w:val="00A366EE"/>
    <w:rsid w:val="00A36C99"/>
    <w:rsid w:val="00A40563"/>
    <w:rsid w:val="00A416D3"/>
    <w:rsid w:val="00A44089"/>
    <w:rsid w:val="00A46104"/>
    <w:rsid w:val="00A4611F"/>
    <w:rsid w:val="00A47A32"/>
    <w:rsid w:val="00A47E68"/>
    <w:rsid w:val="00A510AB"/>
    <w:rsid w:val="00A512F9"/>
    <w:rsid w:val="00A51B83"/>
    <w:rsid w:val="00A53EB0"/>
    <w:rsid w:val="00A55772"/>
    <w:rsid w:val="00A55B2A"/>
    <w:rsid w:val="00A60B75"/>
    <w:rsid w:val="00A61AD0"/>
    <w:rsid w:val="00A62005"/>
    <w:rsid w:val="00A621E3"/>
    <w:rsid w:val="00A631D2"/>
    <w:rsid w:val="00A64363"/>
    <w:rsid w:val="00A64C2B"/>
    <w:rsid w:val="00A65079"/>
    <w:rsid w:val="00A6594F"/>
    <w:rsid w:val="00A65FE4"/>
    <w:rsid w:val="00A665BE"/>
    <w:rsid w:val="00A70762"/>
    <w:rsid w:val="00A721FD"/>
    <w:rsid w:val="00A72ABA"/>
    <w:rsid w:val="00A75C3E"/>
    <w:rsid w:val="00A77E69"/>
    <w:rsid w:val="00A77ECE"/>
    <w:rsid w:val="00A81D1B"/>
    <w:rsid w:val="00A828FC"/>
    <w:rsid w:val="00A83F30"/>
    <w:rsid w:val="00A841C2"/>
    <w:rsid w:val="00A857EF"/>
    <w:rsid w:val="00A87DA7"/>
    <w:rsid w:val="00A90017"/>
    <w:rsid w:val="00A9020E"/>
    <w:rsid w:val="00A9033A"/>
    <w:rsid w:val="00A9043B"/>
    <w:rsid w:val="00A90646"/>
    <w:rsid w:val="00A90785"/>
    <w:rsid w:val="00A920B7"/>
    <w:rsid w:val="00A953FE"/>
    <w:rsid w:val="00A96EEA"/>
    <w:rsid w:val="00A97A1D"/>
    <w:rsid w:val="00AA0198"/>
    <w:rsid w:val="00AA0D0A"/>
    <w:rsid w:val="00AA2537"/>
    <w:rsid w:val="00AA279F"/>
    <w:rsid w:val="00AA2C8D"/>
    <w:rsid w:val="00AA32BB"/>
    <w:rsid w:val="00AA35F1"/>
    <w:rsid w:val="00AA361A"/>
    <w:rsid w:val="00AA45A3"/>
    <w:rsid w:val="00AA5BCE"/>
    <w:rsid w:val="00AA75CD"/>
    <w:rsid w:val="00AA7736"/>
    <w:rsid w:val="00AB06A8"/>
    <w:rsid w:val="00AB0844"/>
    <w:rsid w:val="00AB3EA8"/>
    <w:rsid w:val="00AB424C"/>
    <w:rsid w:val="00AB6186"/>
    <w:rsid w:val="00AB6B22"/>
    <w:rsid w:val="00AB7F3A"/>
    <w:rsid w:val="00AC0215"/>
    <w:rsid w:val="00AC03EA"/>
    <w:rsid w:val="00AC03FE"/>
    <w:rsid w:val="00AC05E9"/>
    <w:rsid w:val="00AC128A"/>
    <w:rsid w:val="00AC19E5"/>
    <w:rsid w:val="00AC1CE3"/>
    <w:rsid w:val="00AC4983"/>
    <w:rsid w:val="00AC5177"/>
    <w:rsid w:val="00AC5292"/>
    <w:rsid w:val="00AC52FE"/>
    <w:rsid w:val="00AC5309"/>
    <w:rsid w:val="00AC6131"/>
    <w:rsid w:val="00AC62CC"/>
    <w:rsid w:val="00AC6EDD"/>
    <w:rsid w:val="00AC788B"/>
    <w:rsid w:val="00AC78BA"/>
    <w:rsid w:val="00AD0236"/>
    <w:rsid w:val="00AD02B2"/>
    <w:rsid w:val="00AD11E6"/>
    <w:rsid w:val="00AD1DD1"/>
    <w:rsid w:val="00AD2691"/>
    <w:rsid w:val="00AD2694"/>
    <w:rsid w:val="00AD6667"/>
    <w:rsid w:val="00AD6C7A"/>
    <w:rsid w:val="00AD6DC0"/>
    <w:rsid w:val="00AE01C6"/>
    <w:rsid w:val="00AE2E77"/>
    <w:rsid w:val="00AE3C11"/>
    <w:rsid w:val="00AE47E9"/>
    <w:rsid w:val="00AE57AC"/>
    <w:rsid w:val="00AE6C7F"/>
    <w:rsid w:val="00AE77E0"/>
    <w:rsid w:val="00AF1B61"/>
    <w:rsid w:val="00AF24B2"/>
    <w:rsid w:val="00AF3729"/>
    <w:rsid w:val="00AF3A86"/>
    <w:rsid w:val="00AF3EC9"/>
    <w:rsid w:val="00AF46C0"/>
    <w:rsid w:val="00AF5B14"/>
    <w:rsid w:val="00AF60D4"/>
    <w:rsid w:val="00AF77C8"/>
    <w:rsid w:val="00AF7AAE"/>
    <w:rsid w:val="00AF7B2A"/>
    <w:rsid w:val="00B00335"/>
    <w:rsid w:val="00B00981"/>
    <w:rsid w:val="00B02848"/>
    <w:rsid w:val="00B0288E"/>
    <w:rsid w:val="00B03167"/>
    <w:rsid w:val="00B0566F"/>
    <w:rsid w:val="00B05EFB"/>
    <w:rsid w:val="00B07962"/>
    <w:rsid w:val="00B079F7"/>
    <w:rsid w:val="00B12965"/>
    <w:rsid w:val="00B12D65"/>
    <w:rsid w:val="00B13EF6"/>
    <w:rsid w:val="00B14ABF"/>
    <w:rsid w:val="00B15A83"/>
    <w:rsid w:val="00B16E66"/>
    <w:rsid w:val="00B177B4"/>
    <w:rsid w:val="00B212BF"/>
    <w:rsid w:val="00B22C75"/>
    <w:rsid w:val="00B234F8"/>
    <w:rsid w:val="00B2355A"/>
    <w:rsid w:val="00B24801"/>
    <w:rsid w:val="00B25533"/>
    <w:rsid w:val="00B26ED2"/>
    <w:rsid w:val="00B26F58"/>
    <w:rsid w:val="00B27253"/>
    <w:rsid w:val="00B272F6"/>
    <w:rsid w:val="00B27674"/>
    <w:rsid w:val="00B30B84"/>
    <w:rsid w:val="00B30C08"/>
    <w:rsid w:val="00B30E39"/>
    <w:rsid w:val="00B32F57"/>
    <w:rsid w:val="00B335DE"/>
    <w:rsid w:val="00B34D6F"/>
    <w:rsid w:val="00B36730"/>
    <w:rsid w:val="00B36F5D"/>
    <w:rsid w:val="00B372DD"/>
    <w:rsid w:val="00B37699"/>
    <w:rsid w:val="00B379E2"/>
    <w:rsid w:val="00B37D03"/>
    <w:rsid w:val="00B37E6E"/>
    <w:rsid w:val="00B40316"/>
    <w:rsid w:val="00B40518"/>
    <w:rsid w:val="00B40753"/>
    <w:rsid w:val="00B40CFA"/>
    <w:rsid w:val="00B4111B"/>
    <w:rsid w:val="00B41B6F"/>
    <w:rsid w:val="00B43E71"/>
    <w:rsid w:val="00B4408E"/>
    <w:rsid w:val="00B45F6F"/>
    <w:rsid w:val="00B46274"/>
    <w:rsid w:val="00B46555"/>
    <w:rsid w:val="00B4661E"/>
    <w:rsid w:val="00B51B3E"/>
    <w:rsid w:val="00B56DA7"/>
    <w:rsid w:val="00B57021"/>
    <w:rsid w:val="00B573F8"/>
    <w:rsid w:val="00B57476"/>
    <w:rsid w:val="00B57D2B"/>
    <w:rsid w:val="00B60D5D"/>
    <w:rsid w:val="00B61046"/>
    <w:rsid w:val="00B63504"/>
    <w:rsid w:val="00B6647B"/>
    <w:rsid w:val="00B672EC"/>
    <w:rsid w:val="00B70053"/>
    <w:rsid w:val="00B71605"/>
    <w:rsid w:val="00B72512"/>
    <w:rsid w:val="00B741E0"/>
    <w:rsid w:val="00B75FAB"/>
    <w:rsid w:val="00B760AC"/>
    <w:rsid w:val="00B76C27"/>
    <w:rsid w:val="00B80803"/>
    <w:rsid w:val="00B80BC4"/>
    <w:rsid w:val="00B81C1C"/>
    <w:rsid w:val="00B82263"/>
    <w:rsid w:val="00B823F4"/>
    <w:rsid w:val="00B82656"/>
    <w:rsid w:val="00B83E1E"/>
    <w:rsid w:val="00B8514A"/>
    <w:rsid w:val="00B85453"/>
    <w:rsid w:val="00B85BD5"/>
    <w:rsid w:val="00B86A01"/>
    <w:rsid w:val="00B86F06"/>
    <w:rsid w:val="00B927F5"/>
    <w:rsid w:val="00B929AC"/>
    <w:rsid w:val="00B92E22"/>
    <w:rsid w:val="00B93F16"/>
    <w:rsid w:val="00B93F5B"/>
    <w:rsid w:val="00B944D8"/>
    <w:rsid w:val="00B94FFD"/>
    <w:rsid w:val="00B95E9B"/>
    <w:rsid w:val="00B95FBF"/>
    <w:rsid w:val="00B96A25"/>
    <w:rsid w:val="00BA0C5F"/>
    <w:rsid w:val="00BA1681"/>
    <w:rsid w:val="00BA2270"/>
    <w:rsid w:val="00BA2873"/>
    <w:rsid w:val="00BA2B05"/>
    <w:rsid w:val="00BA3293"/>
    <w:rsid w:val="00BA4F76"/>
    <w:rsid w:val="00BA5678"/>
    <w:rsid w:val="00BA691A"/>
    <w:rsid w:val="00BA6BFF"/>
    <w:rsid w:val="00BB188B"/>
    <w:rsid w:val="00BB222E"/>
    <w:rsid w:val="00BB327B"/>
    <w:rsid w:val="00BB3A29"/>
    <w:rsid w:val="00BB3BFE"/>
    <w:rsid w:val="00BB4597"/>
    <w:rsid w:val="00BB508D"/>
    <w:rsid w:val="00BB5A7E"/>
    <w:rsid w:val="00BB67F8"/>
    <w:rsid w:val="00BB68B0"/>
    <w:rsid w:val="00BB6AD9"/>
    <w:rsid w:val="00BB6CFF"/>
    <w:rsid w:val="00BC0240"/>
    <w:rsid w:val="00BC25DF"/>
    <w:rsid w:val="00BC393B"/>
    <w:rsid w:val="00BC483C"/>
    <w:rsid w:val="00BC4AEE"/>
    <w:rsid w:val="00BC4CD7"/>
    <w:rsid w:val="00BC51FE"/>
    <w:rsid w:val="00BC72FD"/>
    <w:rsid w:val="00BC7AAF"/>
    <w:rsid w:val="00BD0DF1"/>
    <w:rsid w:val="00BD1C1E"/>
    <w:rsid w:val="00BD1C35"/>
    <w:rsid w:val="00BD201B"/>
    <w:rsid w:val="00BD2218"/>
    <w:rsid w:val="00BD3ED9"/>
    <w:rsid w:val="00BD56F8"/>
    <w:rsid w:val="00BD7412"/>
    <w:rsid w:val="00BD7566"/>
    <w:rsid w:val="00BD7823"/>
    <w:rsid w:val="00BD7E35"/>
    <w:rsid w:val="00BE0252"/>
    <w:rsid w:val="00BE1832"/>
    <w:rsid w:val="00BE1C33"/>
    <w:rsid w:val="00BE4793"/>
    <w:rsid w:val="00BE479E"/>
    <w:rsid w:val="00BE5621"/>
    <w:rsid w:val="00BE6077"/>
    <w:rsid w:val="00BE71C2"/>
    <w:rsid w:val="00BF057F"/>
    <w:rsid w:val="00BF1D59"/>
    <w:rsid w:val="00BF1E3A"/>
    <w:rsid w:val="00BF1EB6"/>
    <w:rsid w:val="00BF1FAC"/>
    <w:rsid w:val="00BF322F"/>
    <w:rsid w:val="00BF43E9"/>
    <w:rsid w:val="00BF4643"/>
    <w:rsid w:val="00BF486A"/>
    <w:rsid w:val="00BF5AB3"/>
    <w:rsid w:val="00BF5ECC"/>
    <w:rsid w:val="00BF6E52"/>
    <w:rsid w:val="00BF73A6"/>
    <w:rsid w:val="00BF7ED5"/>
    <w:rsid w:val="00C0061B"/>
    <w:rsid w:val="00C00DC4"/>
    <w:rsid w:val="00C01389"/>
    <w:rsid w:val="00C01A92"/>
    <w:rsid w:val="00C04600"/>
    <w:rsid w:val="00C05B7F"/>
    <w:rsid w:val="00C05C0A"/>
    <w:rsid w:val="00C05E95"/>
    <w:rsid w:val="00C0626B"/>
    <w:rsid w:val="00C062CE"/>
    <w:rsid w:val="00C0738A"/>
    <w:rsid w:val="00C07F35"/>
    <w:rsid w:val="00C07F52"/>
    <w:rsid w:val="00C1249F"/>
    <w:rsid w:val="00C12D7D"/>
    <w:rsid w:val="00C12E00"/>
    <w:rsid w:val="00C12F77"/>
    <w:rsid w:val="00C13483"/>
    <w:rsid w:val="00C1374C"/>
    <w:rsid w:val="00C13DE5"/>
    <w:rsid w:val="00C148D6"/>
    <w:rsid w:val="00C148FE"/>
    <w:rsid w:val="00C14D92"/>
    <w:rsid w:val="00C15B51"/>
    <w:rsid w:val="00C16133"/>
    <w:rsid w:val="00C171D6"/>
    <w:rsid w:val="00C17233"/>
    <w:rsid w:val="00C22089"/>
    <w:rsid w:val="00C221BA"/>
    <w:rsid w:val="00C227CD"/>
    <w:rsid w:val="00C22BB4"/>
    <w:rsid w:val="00C23E8C"/>
    <w:rsid w:val="00C24725"/>
    <w:rsid w:val="00C254BE"/>
    <w:rsid w:val="00C25A9C"/>
    <w:rsid w:val="00C26845"/>
    <w:rsid w:val="00C26ED6"/>
    <w:rsid w:val="00C273E0"/>
    <w:rsid w:val="00C32034"/>
    <w:rsid w:val="00C3209D"/>
    <w:rsid w:val="00C32D53"/>
    <w:rsid w:val="00C331BF"/>
    <w:rsid w:val="00C33EFA"/>
    <w:rsid w:val="00C342BE"/>
    <w:rsid w:val="00C353F8"/>
    <w:rsid w:val="00C40379"/>
    <w:rsid w:val="00C414CB"/>
    <w:rsid w:val="00C4203E"/>
    <w:rsid w:val="00C443D4"/>
    <w:rsid w:val="00C44B76"/>
    <w:rsid w:val="00C46524"/>
    <w:rsid w:val="00C472BC"/>
    <w:rsid w:val="00C4744E"/>
    <w:rsid w:val="00C47EC0"/>
    <w:rsid w:val="00C50817"/>
    <w:rsid w:val="00C51660"/>
    <w:rsid w:val="00C51744"/>
    <w:rsid w:val="00C51F50"/>
    <w:rsid w:val="00C5272C"/>
    <w:rsid w:val="00C529B9"/>
    <w:rsid w:val="00C52B06"/>
    <w:rsid w:val="00C53153"/>
    <w:rsid w:val="00C53CA8"/>
    <w:rsid w:val="00C54079"/>
    <w:rsid w:val="00C544C6"/>
    <w:rsid w:val="00C5563A"/>
    <w:rsid w:val="00C571A9"/>
    <w:rsid w:val="00C5761C"/>
    <w:rsid w:val="00C603CC"/>
    <w:rsid w:val="00C6090A"/>
    <w:rsid w:val="00C615A0"/>
    <w:rsid w:val="00C61F31"/>
    <w:rsid w:val="00C626BA"/>
    <w:rsid w:val="00C62F10"/>
    <w:rsid w:val="00C6467B"/>
    <w:rsid w:val="00C6470A"/>
    <w:rsid w:val="00C64CE5"/>
    <w:rsid w:val="00C65F3A"/>
    <w:rsid w:val="00C66473"/>
    <w:rsid w:val="00C700E6"/>
    <w:rsid w:val="00C70A29"/>
    <w:rsid w:val="00C71490"/>
    <w:rsid w:val="00C71ACF"/>
    <w:rsid w:val="00C7266D"/>
    <w:rsid w:val="00C7364C"/>
    <w:rsid w:val="00C736B4"/>
    <w:rsid w:val="00C73B37"/>
    <w:rsid w:val="00C75E71"/>
    <w:rsid w:val="00C770AC"/>
    <w:rsid w:val="00C77439"/>
    <w:rsid w:val="00C77F39"/>
    <w:rsid w:val="00C8021F"/>
    <w:rsid w:val="00C80C4E"/>
    <w:rsid w:val="00C8167E"/>
    <w:rsid w:val="00C816A0"/>
    <w:rsid w:val="00C82494"/>
    <w:rsid w:val="00C8290A"/>
    <w:rsid w:val="00C82990"/>
    <w:rsid w:val="00C83010"/>
    <w:rsid w:val="00C84414"/>
    <w:rsid w:val="00C85F30"/>
    <w:rsid w:val="00C86232"/>
    <w:rsid w:val="00C86772"/>
    <w:rsid w:val="00C86E7B"/>
    <w:rsid w:val="00C914D7"/>
    <w:rsid w:val="00C91B9C"/>
    <w:rsid w:val="00C91E49"/>
    <w:rsid w:val="00C91E4B"/>
    <w:rsid w:val="00C93798"/>
    <w:rsid w:val="00C947D9"/>
    <w:rsid w:val="00C94A25"/>
    <w:rsid w:val="00C95444"/>
    <w:rsid w:val="00C96517"/>
    <w:rsid w:val="00C96BCB"/>
    <w:rsid w:val="00C96E14"/>
    <w:rsid w:val="00C96F1B"/>
    <w:rsid w:val="00CA0917"/>
    <w:rsid w:val="00CA2E56"/>
    <w:rsid w:val="00CA402B"/>
    <w:rsid w:val="00CA45F1"/>
    <w:rsid w:val="00CA4E39"/>
    <w:rsid w:val="00CA4E5D"/>
    <w:rsid w:val="00CA604A"/>
    <w:rsid w:val="00CA6AEF"/>
    <w:rsid w:val="00CA6D75"/>
    <w:rsid w:val="00CA7613"/>
    <w:rsid w:val="00CB1A2C"/>
    <w:rsid w:val="00CB3056"/>
    <w:rsid w:val="00CB627A"/>
    <w:rsid w:val="00CB6834"/>
    <w:rsid w:val="00CB72C0"/>
    <w:rsid w:val="00CB75A9"/>
    <w:rsid w:val="00CB75C8"/>
    <w:rsid w:val="00CB799D"/>
    <w:rsid w:val="00CB79D4"/>
    <w:rsid w:val="00CC0033"/>
    <w:rsid w:val="00CC091C"/>
    <w:rsid w:val="00CC1142"/>
    <w:rsid w:val="00CC1294"/>
    <w:rsid w:val="00CC223E"/>
    <w:rsid w:val="00CC256E"/>
    <w:rsid w:val="00CC3990"/>
    <w:rsid w:val="00CC45AC"/>
    <w:rsid w:val="00CD0689"/>
    <w:rsid w:val="00CD2951"/>
    <w:rsid w:val="00CD324D"/>
    <w:rsid w:val="00CD4289"/>
    <w:rsid w:val="00CD4D86"/>
    <w:rsid w:val="00CD5043"/>
    <w:rsid w:val="00CE0730"/>
    <w:rsid w:val="00CE253C"/>
    <w:rsid w:val="00CE3007"/>
    <w:rsid w:val="00CE3DAF"/>
    <w:rsid w:val="00CE3E5C"/>
    <w:rsid w:val="00CE4333"/>
    <w:rsid w:val="00CE68DB"/>
    <w:rsid w:val="00CE7241"/>
    <w:rsid w:val="00CF007D"/>
    <w:rsid w:val="00CF012D"/>
    <w:rsid w:val="00CF0429"/>
    <w:rsid w:val="00CF09AF"/>
    <w:rsid w:val="00CF149F"/>
    <w:rsid w:val="00CF25A5"/>
    <w:rsid w:val="00CF2EF4"/>
    <w:rsid w:val="00CF3144"/>
    <w:rsid w:val="00CF3E3B"/>
    <w:rsid w:val="00CF4B30"/>
    <w:rsid w:val="00CF5D6A"/>
    <w:rsid w:val="00CF6357"/>
    <w:rsid w:val="00CF6530"/>
    <w:rsid w:val="00CF66DA"/>
    <w:rsid w:val="00CF6744"/>
    <w:rsid w:val="00CF692C"/>
    <w:rsid w:val="00CF7854"/>
    <w:rsid w:val="00CF7F4A"/>
    <w:rsid w:val="00D01061"/>
    <w:rsid w:val="00D01E6A"/>
    <w:rsid w:val="00D02B81"/>
    <w:rsid w:val="00D04E42"/>
    <w:rsid w:val="00D0541F"/>
    <w:rsid w:val="00D0595F"/>
    <w:rsid w:val="00D0677F"/>
    <w:rsid w:val="00D06D8D"/>
    <w:rsid w:val="00D06E7B"/>
    <w:rsid w:val="00D075B6"/>
    <w:rsid w:val="00D10AA8"/>
    <w:rsid w:val="00D11B33"/>
    <w:rsid w:val="00D1200F"/>
    <w:rsid w:val="00D13EB8"/>
    <w:rsid w:val="00D14C91"/>
    <w:rsid w:val="00D156D2"/>
    <w:rsid w:val="00D16673"/>
    <w:rsid w:val="00D17153"/>
    <w:rsid w:val="00D174D1"/>
    <w:rsid w:val="00D20A0A"/>
    <w:rsid w:val="00D21316"/>
    <w:rsid w:val="00D2330B"/>
    <w:rsid w:val="00D233EC"/>
    <w:rsid w:val="00D241EE"/>
    <w:rsid w:val="00D25571"/>
    <w:rsid w:val="00D26581"/>
    <w:rsid w:val="00D270D4"/>
    <w:rsid w:val="00D27667"/>
    <w:rsid w:val="00D27855"/>
    <w:rsid w:val="00D279DE"/>
    <w:rsid w:val="00D3173B"/>
    <w:rsid w:val="00D32336"/>
    <w:rsid w:val="00D352FA"/>
    <w:rsid w:val="00D35F0A"/>
    <w:rsid w:val="00D35FCB"/>
    <w:rsid w:val="00D36CCC"/>
    <w:rsid w:val="00D36D21"/>
    <w:rsid w:val="00D37425"/>
    <w:rsid w:val="00D37C6E"/>
    <w:rsid w:val="00D4111B"/>
    <w:rsid w:val="00D42336"/>
    <w:rsid w:val="00D42E81"/>
    <w:rsid w:val="00D432A0"/>
    <w:rsid w:val="00D437D2"/>
    <w:rsid w:val="00D44989"/>
    <w:rsid w:val="00D44A18"/>
    <w:rsid w:val="00D44D51"/>
    <w:rsid w:val="00D44E35"/>
    <w:rsid w:val="00D45836"/>
    <w:rsid w:val="00D45F91"/>
    <w:rsid w:val="00D46ED7"/>
    <w:rsid w:val="00D4731E"/>
    <w:rsid w:val="00D47455"/>
    <w:rsid w:val="00D511D3"/>
    <w:rsid w:val="00D51AD0"/>
    <w:rsid w:val="00D536EB"/>
    <w:rsid w:val="00D538EB"/>
    <w:rsid w:val="00D55ABE"/>
    <w:rsid w:val="00D564F2"/>
    <w:rsid w:val="00D56DF5"/>
    <w:rsid w:val="00D56ECD"/>
    <w:rsid w:val="00D57524"/>
    <w:rsid w:val="00D6000E"/>
    <w:rsid w:val="00D600E0"/>
    <w:rsid w:val="00D622C5"/>
    <w:rsid w:val="00D6231C"/>
    <w:rsid w:val="00D629D7"/>
    <w:rsid w:val="00D63791"/>
    <w:rsid w:val="00D638AB"/>
    <w:rsid w:val="00D63FA2"/>
    <w:rsid w:val="00D65102"/>
    <w:rsid w:val="00D6557C"/>
    <w:rsid w:val="00D668DA"/>
    <w:rsid w:val="00D66E62"/>
    <w:rsid w:val="00D67E1A"/>
    <w:rsid w:val="00D67EF3"/>
    <w:rsid w:val="00D706C8"/>
    <w:rsid w:val="00D70D8D"/>
    <w:rsid w:val="00D71213"/>
    <w:rsid w:val="00D715D6"/>
    <w:rsid w:val="00D734BF"/>
    <w:rsid w:val="00D73D7D"/>
    <w:rsid w:val="00D74799"/>
    <w:rsid w:val="00D748CA"/>
    <w:rsid w:val="00D758C8"/>
    <w:rsid w:val="00D75A70"/>
    <w:rsid w:val="00D770EE"/>
    <w:rsid w:val="00D77EDF"/>
    <w:rsid w:val="00D812D0"/>
    <w:rsid w:val="00D8343D"/>
    <w:rsid w:val="00D83B10"/>
    <w:rsid w:val="00D843C5"/>
    <w:rsid w:val="00D84885"/>
    <w:rsid w:val="00D85112"/>
    <w:rsid w:val="00D86190"/>
    <w:rsid w:val="00D87E88"/>
    <w:rsid w:val="00D9041C"/>
    <w:rsid w:val="00D913AA"/>
    <w:rsid w:val="00D92304"/>
    <w:rsid w:val="00D93D2C"/>
    <w:rsid w:val="00D9514F"/>
    <w:rsid w:val="00D95657"/>
    <w:rsid w:val="00D97B73"/>
    <w:rsid w:val="00D97E81"/>
    <w:rsid w:val="00DA1807"/>
    <w:rsid w:val="00DA23DB"/>
    <w:rsid w:val="00DA2926"/>
    <w:rsid w:val="00DA2E0B"/>
    <w:rsid w:val="00DA330D"/>
    <w:rsid w:val="00DA4292"/>
    <w:rsid w:val="00DA5317"/>
    <w:rsid w:val="00DA5888"/>
    <w:rsid w:val="00DA5D5A"/>
    <w:rsid w:val="00DA60A3"/>
    <w:rsid w:val="00DA757E"/>
    <w:rsid w:val="00DB01C6"/>
    <w:rsid w:val="00DB2492"/>
    <w:rsid w:val="00DB30FC"/>
    <w:rsid w:val="00DB320C"/>
    <w:rsid w:val="00DB3259"/>
    <w:rsid w:val="00DB3932"/>
    <w:rsid w:val="00DB3E07"/>
    <w:rsid w:val="00DB4287"/>
    <w:rsid w:val="00DB42B8"/>
    <w:rsid w:val="00DB46C9"/>
    <w:rsid w:val="00DB7248"/>
    <w:rsid w:val="00DC13A2"/>
    <w:rsid w:val="00DC198E"/>
    <w:rsid w:val="00DC19AA"/>
    <w:rsid w:val="00DC1AF5"/>
    <w:rsid w:val="00DC1B66"/>
    <w:rsid w:val="00DC20AA"/>
    <w:rsid w:val="00DC2C4D"/>
    <w:rsid w:val="00DC337E"/>
    <w:rsid w:val="00DC3391"/>
    <w:rsid w:val="00DC640C"/>
    <w:rsid w:val="00DC65CE"/>
    <w:rsid w:val="00DC70D3"/>
    <w:rsid w:val="00DC7E50"/>
    <w:rsid w:val="00DD0247"/>
    <w:rsid w:val="00DD2055"/>
    <w:rsid w:val="00DD21EC"/>
    <w:rsid w:val="00DD26A7"/>
    <w:rsid w:val="00DD27ED"/>
    <w:rsid w:val="00DD5F1F"/>
    <w:rsid w:val="00DD6FE2"/>
    <w:rsid w:val="00DE19E3"/>
    <w:rsid w:val="00DE30CD"/>
    <w:rsid w:val="00DE4661"/>
    <w:rsid w:val="00DE61AA"/>
    <w:rsid w:val="00DE61AD"/>
    <w:rsid w:val="00DE6BFC"/>
    <w:rsid w:val="00DE6DE2"/>
    <w:rsid w:val="00DF036E"/>
    <w:rsid w:val="00DF05A1"/>
    <w:rsid w:val="00DF0E85"/>
    <w:rsid w:val="00DF13A3"/>
    <w:rsid w:val="00DF1FA6"/>
    <w:rsid w:val="00DF3BCD"/>
    <w:rsid w:val="00DF3CCA"/>
    <w:rsid w:val="00DF3D47"/>
    <w:rsid w:val="00DF490B"/>
    <w:rsid w:val="00DF4CB6"/>
    <w:rsid w:val="00DF5C90"/>
    <w:rsid w:val="00DF5E99"/>
    <w:rsid w:val="00DF5EE8"/>
    <w:rsid w:val="00DF5FCA"/>
    <w:rsid w:val="00DF6AD9"/>
    <w:rsid w:val="00DF7CD3"/>
    <w:rsid w:val="00E00259"/>
    <w:rsid w:val="00E01C27"/>
    <w:rsid w:val="00E01EF3"/>
    <w:rsid w:val="00E031B7"/>
    <w:rsid w:val="00E04027"/>
    <w:rsid w:val="00E04996"/>
    <w:rsid w:val="00E05DD6"/>
    <w:rsid w:val="00E066E0"/>
    <w:rsid w:val="00E106BC"/>
    <w:rsid w:val="00E109F9"/>
    <w:rsid w:val="00E119E1"/>
    <w:rsid w:val="00E12C54"/>
    <w:rsid w:val="00E12F75"/>
    <w:rsid w:val="00E12FBF"/>
    <w:rsid w:val="00E1322A"/>
    <w:rsid w:val="00E132CE"/>
    <w:rsid w:val="00E1368C"/>
    <w:rsid w:val="00E162A5"/>
    <w:rsid w:val="00E1747F"/>
    <w:rsid w:val="00E20413"/>
    <w:rsid w:val="00E20E3A"/>
    <w:rsid w:val="00E23473"/>
    <w:rsid w:val="00E23AEB"/>
    <w:rsid w:val="00E23E2C"/>
    <w:rsid w:val="00E25BE1"/>
    <w:rsid w:val="00E268B0"/>
    <w:rsid w:val="00E27519"/>
    <w:rsid w:val="00E2765F"/>
    <w:rsid w:val="00E313DA"/>
    <w:rsid w:val="00E31753"/>
    <w:rsid w:val="00E31A20"/>
    <w:rsid w:val="00E326DD"/>
    <w:rsid w:val="00E32F70"/>
    <w:rsid w:val="00E3357A"/>
    <w:rsid w:val="00E353BF"/>
    <w:rsid w:val="00E36847"/>
    <w:rsid w:val="00E36E72"/>
    <w:rsid w:val="00E3717E"/>
    <w:rsid w:val="00E3781F"/>
    <w:rsid w:val="00E37B1F"/>
    <w:rsid w:val="00E407FF"/>
    <w:rsid w:val="00E414D5"/>
    <w:rsid w:val="00E41FC2"/>
    <w:rsid w:val="00E43060"/>
    <w:rsid w:val="00E439CF"/>
    <w:rsid w:val="00E44837"/>
    <w:rsid w:val="00E44BBB"/>
    <w:rsid w:val="00E453C1"/>
    <w:rsid w:val="00E45C43"/>
    <w:rsid w:val="00E4619C"/>
    <w:rsid w:val="00E4659A"/>
    <w:rsid w:val="00E46FB9"/>
    <w:rsid w:val="00E47040"/>
    <w:rsid w:val="00E47283"/>
    <w:rsid w:val="00E47FFC"/>
    <w:rsid w:val="00E50050"/>
    <w:rsid w:val="00E50C46"/>
    <w:rsid w:val="00E520EF"/>
    <w:rsid w:val="00E5228E"/>
    <w:rsid w:val="00E52C19"/>
    <w:rsid w:val="00E530AC"/>
    <w:rsid w:val="00E53617"/>
    <w:rsid w:val="00E542E8"/>
    <w:rsid w:val="00E5452C"/>
    <w:rsid w:val="00E550C3"/>
    <w:rsid w:val="00E55356"/>
    <w:rsid w:val="00E553EF"/>
    <w:rsid w:val="00E57EC2"/>
    <w:rsid w:val="00E613AA"/>
    <w:rsid w:val="00E61B66"/>
    <w:rsid w:val="00E62311"/>
    <w:rsid w:val="00E6234F"/>
    <w:rsid w:val="00E63885"/>
    <w:rsid w:val="00E642D6"/>
    <w:rsid w:val="00E64CBD"/>
    <w:rsid w:val="00E657AB"/>
    <w:rsid w:val="00E669C3"/>
    <w:rsid w:val="00E66D6C"/>
    <w:rsid w:val="00E66DC0"/>
    <w:rsid w:val="00E70391"/>
    <w:rsid w:val="00E72421"/>
    <w:rsid w:val="00E72AEB"/>
    <w:rsid w:val="00E7324B"/>
    <w:rsid w:val="00E7327A"/>
    <w:rsid w:val="00E76B0A"/>
    <w:rsid w:val="00E80765"/>
    <w:rsid w:val="00E8095E"/>
    <w:rsid w:val="00E80AFF"/>
    <w:rsid w:val="00E810DE"/>
    <w:rsid w:val="00E81265"/>
    <w:rsid w:val="00E817EC"/>
    <w:rsid w:val="00E83C57"/>
    <w:rsid w:val="00E8458A"/>
    <w:rsid w:val="00E84B7E"/>
    <w:rsid w:val="00E851C4"/>
    <w:rsid w:val="00E8551D"/>
    <w:rsid w:val="00E85554"/>
    <w:rsid w:val="00E86A7B"/>
    <w:rsid w:val="00E87BC3"/>
    <w:rsid w:val="00E87D90"/>
    <w:rsid w:val="00E90914"/>
    <w:rsid w:val="00E92A73"/>
    <w:rsid w:val="00E9538E"/>
    <w:rsid w:val="00E96610"/>
    <w:rsid w:val="00E96C25"/>
    <w:rsid w:val="00EA0A04"/>
    <w:rsid w:val="00EA139F"/>
    <w:rsid w:val="00EA14DB"/>
    <w:rsid w:val="00EA2265"/>
    <w:rsid w:val="00EA2AFC"/>
    <w:rsid w:val="00EA31DF"/>
    <w:rsid w:val="00EA343C"/>
    <w:rsid w:val="00EA34AB"/>
    <w:rsid w:val="00EA6579"/>
    <w:rsid w:val="00EA68DD"/>
    <w:rsid w:val="00EA7A2A"/>
    <w:rsid w:val="00EB0650"/>
    <w:rsid w:val="00EB0D67"/>
    <w:rsid w:val="00EB3137"/>
    <w:rsid w:val="00EB3FFE"/>
    <w:rsid w:val="00EB455C"/>
    <w:rsid w:val="00EB5057"/>
    <w:rsid w:val="00EB6293"/>
    <w:rsid w:val="00EB6A07"/>
    <w:rsid w:val="00EB6CCD"/>
    <w:rsid w:val="00EB70E2"/>
    <w:rsid w:val="00EC04C3"/>
    <w:rsid w:val="00EC0D2D"/>
    <w:rsid w:val="00EC1DF6"/>
    <w:rsid w:val="00EC2053"/>
    <w:rsid w:val="00EC2CE0"/>
    <w:rsid w:val="00EC37DC"/>
    <w:rsid w:val="00EC4631"/>
    <w:rsid w:val="00EC4E28"/>
    <w:rsid w:val="00EC51C6"/>
    <w:rsid w:val="00EC52D8"/>
    <w:rsid w:val="00EC7B81"/>
    <w:rsid w:val="00ED0997"/>
    <w:rsid w:val="00ED2C9E"/>
    <w:rsid w:val="00ED2F25"/>
    <w:rsid w:val="00ED3531"/>
    <w:rsid w:val="00ED43A9"/>
    <w:rsid w:val="00ED57AE"/>
    <w:rsid w:val="00ED5C6F"/>
    <w:rsid w:val="00ED5E00"/>
    <w:rsid w:val="00ED67BD"/>
    <w:rsid w:val="00EE01E5"/>
    <w:rsid w:val="00EE20B3"/>
    <w:rsid w:val="00EE40B5"/>
    <w:rsid w:val="00EE4812"/>
    <w:rsid w:val="00EE4CF1"/>
    <w:rsid w:val="00EE50CB"/>
    <w:rsid w:val="00EE5588"/>
    <w:rsid w:val="00EE637E"/>
    <w:rsid w:val="00EE6FF0"/>
    <w:rsid w:val="00EE7C39"/>
    <w:rsid w:val="00EF1120"/>
    <w:rsid w:val="00EF2C9D"/>
    <w:rsid w:val="00EF3203"/>
    <w:rsid w:val="00EF3526"/>
    <w:rsid w:val="00EF4914"/>
    <w:rsid w:val="00EF5956"/>
    <w:rsid w:val="00EF5FF0"/>
    <w:rsid w:val="00EF6034"/>
    <w:rsid w:val="00EF6036"/>
    <w:rsid w:val="00EF657D"/>
    <w:rsid w:val="00F0187B"/>
    <w:rsid w:val="00F033D3"/>
    <w:rsid w:val="00F03B66"/>
    <w:rsid w:val="00F06927"/>
    <w:rsid w:val="00F07AD3"/>
    <w:rsid w:val="00F107E7"/>
    <w:rsid w:val="00F119DB"/>
    <w:rsid w:val="00F11FCF"/>
    <w:rsid w:val="00F13495"/>
    <w:rsid w:val="00F16655"/>
    <w:rsid w:val="00F16942"/>
    <w:rsid w:val="00F16C90"/>
    <w:rsid w:val="00F16E62"/>
    <w:rsid w:val="00F21D39"/>
    <w:rsid w:val="00F2225B"/>
    <w:rsid w:val="00F228ED"/>
    <w:rsid w:val="00F231FD"/>
    <w:rsid w:val="00F260BF"/>
    <w:rsid w:val="00F262A7"/>
    <w:rsid w:val="00F30A07"/>
    <w:rsid w:val="00F3106B"/>
    <w:rsid w:val="00F31C83"/>
    <w:rsid w:val="00F31CBA"/>
    <w:rsid w:val="00F32071"/>
    <w:rsid w:val="00F32BA1"/>
    <w:rsid w:val="00F334B0"/>
    <w:rsid w:val="00F339E1"/>
    <w:rsid w:val="00F353D8"/>
    <w:rsid w:val="00F3551D"/>
    <w:rsid w:val="00F3753F"/>
    <w:rsid w:val="00F379E2"/>
    <w:rsid w:val="00F37B47"/>
    <w:rsid w:val="00F40023"/>
    <w:rsid w:val="00F40164"/>
    <w:rsid w:val="00F404F5"/>
    <w:rsid w:val="00F40E78"/>
    <w:rsid w:val="00F432FD"/>
    <w:rsid w:val="00F43479"/>
    <w:rsid w:val="00F44161"/>
    <w:rsid w:val="00F4581A"/>
    <w:rsid w:val="00F46C23"/>
    <w:rsid w:val="00F47B9D"/>
    <w:rsid w:val="00F5298D"/>
    <w:rsid w:val="00F533D5"/>
    <w:rsid w:val="00F539E6"/>
    <w:rsid w:val="00F54094"/>
    <w:rsid w:val="00F5475D"/>
    <w:rsid w:val="00F5668C"/>
    <w:rsid w:val="00F57299"/>
    <w:rsid w:val="00F57569"/>
    <w:rsid w:val="00F60867"/>
    <w:rsid w:val="00F62C6B"/>
    <w:rsid w:val="00F633F8"/>
    <w:rsid w:val="00F63DD4"/>
    <w:rsid w:val="00F64DF6"/>
    <w:rsid w:val="00F65FC6"/>
    <w:rsid w:val="00F664BC"/>
    <w:rsid w:val="00F67258"/>
    <w:rsid w:val="00F67DF5"/>
    <w:rsid w:val="00F721F2"/>
    <w:rsid w:val="00F72CC4"/>
    <w:rsid w:val="00F72E4F"/>
    <w:rsid w:val="00F734CB"/>
    <w:rsid w:val="00F737DA"/>
    <w:rsid w:val="00F738C4"/>
    <w:rsid w:val="00F740BA"/>
    <w:rsid w:val="00F7464A"/>
    <w:rsid w:val="00F748AE"/>
    <w:rsid w:val="00F75142"/>
    <w:rsid w:val="00F751FB"/>
    <w:rsid w:val="00F76760"/>
    <w:rsid w:val="00F77476"/>
    <w:rsid w:val="00F77554"/>
    <w:rsid w:val="00F7763D"/>
    <w:rsid w:val="00F77F04"/>
    <w:rsid w:val="00F8526E"/>
    <w:rsid w:val="00F854BC"/>
    <w:rsid w:val="00F8561D"/>
    <w:rsid w:val="00F85909"/>
    <w:rsid w:val="00F85A2E"/>
    <w:rsid w:val="00F85AF2"/>
    <w:rsid w:val="00F85E78"/>
    <w:rsid w:val="00F8670C"/>
    <w:rsid w:val="00F86B90"/>
    <w:rsid w:val="00F87D09"/>
    <w:rsid w:val="00F87FF3"/>
    <w:rsid w:val="00F90AB5"/>
    <w:rsid w:val="00F92625"/>
    <w:rsid w:val="00F92D03"/>
    <w:rsid w:val="00F93F3F"/>
    <w:rsid w:val="00F95173"/>
    <w:rsid w:val="00F97271"/>
    <w:rsid w:val="00FA08CB"/>
    <w:rsid w:val="00FA0C5D"/>
    <w:rsid w:val="00FA2900"/>
    <w:rsid w:val="00FA5061"/>
    <w:rsid w:val="00FA61C1"/>
    <w:rsid w:val="00FB0CAC"/>
    <w:rsid w:val="00FB0DF1"/>
    <w:rsid w:val="00FB1515"/>
    <w:rsid w:val="00FB16F5"/>
    <w:rsid w:val="00FB17D7"/>
    <w:rsid w:val="00FB376B"/>
    <w:rsid w:val="00FB3AF3"/>
    <w:rsid w:val="00FB4A2B"/>
    <w:rsid w:val="00FB50F8"/>
    <w:rsid w:val="00FB5170"/>
    <w:rsid w:val="00FB5CF8"/>
    <w:rsid w:val="00FB69FF"/>
    <w:rsid w:val="00FC03B7"/>
    <w:rsid w:val="00FC14ED"/>
    <w:rsid w:val="00FC19EE"/>
    <w:rsid w:val="00FC3801"/>
    <w:rsid w:val="00FC48AB"/>
    <w:rsid w:val="00FC5192"/>
    <w:rsid w:val="00FC52A9"/>
    <w:rsid w:val="00FC6019"/>
    <w:rsid w:val="00FD3821"/>
    <w:rsid w:val="00FD472D"/>
    <w:rsid w:val="00FD4C4A"/>
    <w:rsid w:val="00FD5153"/>
    <w:rsid w:val="00FD5E1B"/>
    <w:rsid w:val="00FD6014"/>
    <w:rsid w:val="00FD60AE"/>
    <w:rsid w:val="00FD6C9E"/>
    <w:rsid w:val="00FD7888"/>
    <w:rsid w:val="00FD7F9C"/>
    <w:rsid w:val="00FE01ED"/>
    <w:rsid w:val="00FE0FA5"/>
    <w:rsid w:val="00FE1BC0"/>
    <w:rsid w:val="00FE21B4"/>
    <w:rsid w:val="00FE306E"/>
    <w:rsid w:val="00FE311A"/>
    <w:rsid w:val="00FE31C6"/>
    <w:rsid w:val="00FE3FDE"/>
    <w:rsid w:val="00FE6047"/>
    <w:rsid w:val="00FE6A71"/>
    <w:rsid w:val="00FE6ED5"/>
    <w:rsid w:val="00FE7EE6"/>
    <w:rsid w:val="00FF1177"/>
    <w:rsid w:val="00FF14B8"/>
    <w:rsid w:val="00FF166C"/>
    <w:rsid w:val="00FF1C41"/>
    <w:rsid w:val="00FF30B9"/>
    <w:rsid w:val="00FF38A2"/>
    <w:rsid w:val="00FF55FE"/>
    <w:rsid w:val="00FF5692"/>
    <w:rsid w:val="00FF5925"/>
    <w:rsid w:val="00FF69C4"/>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CBC01"/>
  <w15:docId w15:val="{73CD7814-AC9C-4A1B-B9C7-04E43076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nhideWhenUsed/>
    <w:rsid w:val="00C5761C"/>
    <w:pPr>
      <w:tabs>
        <w:tab w:val="center" w:pos="4153"/>
        <w:tab w:val="right" w:pos="8306"/>
      </w:tabs>
    </w:pPr>
    <w:rPr>
      <w:lang w:val="x-none" w:eastAsia="x-none"/>
    </w:rPr>
  </w:style>
  <w:style w:type="character" w:customStyle="1" w:styleId="KjeneRakstz">
    <w:name w:val="Kājene Rakstz."/>
    <w:link w:val="Kjene"/>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Párrafo de lista"/>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basedOn w:val="Parasts"/>
    <w:link w:val="VrestekstsRakstz"/>
    <w:uiPriority w:val="99"/>
    <w:rsid w:val="00B27253"/>
    <w:rPr>
      <w:sz w:val="20"/>
      <w:szCs w:val="20"/>
      <w:lang w:val="x-none"/>
    </w:rPr>
  </w:style>
  <w:style w:type="character" w:customStyle="1" w:styleId="VrestekstsRakstz">
    <w:name w:val="Vēres teksts Rakstz."/>
    <w:link w:val="Vresteksts"/>
    <w:uiPriority w:val="99"/>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
    <w:uiPriority w:val="99"/>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character" w:customStyle="1" w:styleId="Corpsdutexte5">
    <w:name w:val="Corps du texte (5)_"/>
    <w:link w:val="Corpsdutexte50"/>
    <w:locked/>
    <w:rsid w:val="000766C9"/>
    <w:rPr>
      <w:sz w:val="23"/>
      <w:szCs w:val="23"/>
      <w:shd w:val="clear" w:color="auto" w:fill="FFFFFF"/>
    </w:rPr>
  </w:style>
  <w:style w:type="paragraph" w:customStyle="1" w:styleId="Corpsdutexte50">
    <w:name w:val="Corps du texte (5)"/>
    <w:basedOn w:val="Parasts"/>
    <w:link w:val="Corpsdutexte5"/>
    <w:rsid w:val="000766C9"/>
    <w:pPr>
      <w:widowControl w:val="0"/>
      <w:shd w:val="clear" w:color="auto" w:fill="FFFFFF"/>
      <w:spacing w:before="420" w:after="180" w:line="0" w:lineRule="atLeast"/>
      <w:jc w:val="center"/>
    </w:pPr>
    <w:rPr>
      <w:rFonts w:ascii="Calibri" w:eastAsia="Calibri" w:hAnsi="Calibri"/>
      <w:sz w:val="23"/>
      <w:szCs w:val="23"/>
      <w:lang w:eastAsia="lv-LV"/>
    </w:rPr>
  </w:style>
  <w:style w:type="character" w:customStyle="1" w:styleId="Neatrisintapieminana1">
    <w:name w:val="Neatrisināta pieminēšana1"/>
    <w:basedOn w:val="Noklusjumarindkopasfonts"/>
    <w:uiPriority w:val="99"/>
    <w:semiHidden/>
    <w:unhideWhenUsed/>
    <w:rsid w:val="001D3792"/>
    <w:rPr>
      <w:color w:val="605E5C"/>
      <w:shd w:val="clear" w:color="auto" w:fill="E1DFDD"/>
    </w:rPr>
  </w:style>
  <w:style w:type="paragraph" w:styleId="Beiguvresteksts">
    <w:name w:val="endnote text"/>
    <w:basedOn w:val="Parasts"/>
    <w:link w:val="BeiguvrestekstsRakstz"/>
    <w:uiPriority w:val="99"/>
    <w:semiHidden/>
    <w:unhideWhenUsed/>
    <w:rsid w:val="00A16724"/>
    <w:rPr>
      <w:sz w:val="20"/>
      <w:szCs w:val="20"/>
    </w:rPr>
  </w:style>
  <w:style w:type="character" w:customStyle="1" w:styleId="BeiguvrestekstsRakstz">
    <w:name w:val="Beigu vēres teksts Rakstz."/>
    <w:basedOn w:val="Noklusjumarindkopasfonts"/>
    <w:link w:val="Beiguvresteksts"/>
    <w:uiPriority w:val="99"/>
    <w:semiHidden/>
    <w:rsid w:val="00A16724"/>
    <w:rPr>
      <w:rFonts w:ascii="Times New Roman" w:eastAsia="Times New Roman" w:hAnsi="Times New Roman"/>
      <w:lang w:eastAsia="en-US"/>
    </w:rPr>
  </w:style>
  <w:style w:type="character" w:styleId="Beiguvresatsauce">
    <w:name w:val="endnote reference"/>
    <w:basedOn w:val="Noklusjumarindkopasfonts"/>
    <w:uiPriority w:val="99"/>
    <w:semiHidden/>
    <w:unhideWhenUsed/>
    <w:rsid w:val="00A16724"/>
    <w:rPr>
      <w:vertAlign w:val="superscript"/>
    </w:rPr>
  </w:style>
  <w:style w:type="character" w:customStyle="1" w:styleId="tlid-translation">
    <w:name w:val="tlid-translation"/>
    <w:basedOn w:val="Noklusjumarindkopasfonts"/>
    <w:rsid w:val="007D6E9E"/>
  </w:style>
  <w:style w:type="paragraph" w:styleId="Prskatjums">
    <w:name w:val="Revision"/>
    <w:hidden/>
    <w:uiPriority w:val="99"/>
    <w:semiHidden/>
    <w:rsid w:val="001F56FF"/>
    <w:rPr>
      <w:rFonts w:ascii="Times New Roman" w:eastAsia="Times New Roman" w:hAnsi="Times New Roman"/>
      <w:sz w:val="24"/>
      <w:szCs w:val="24"/>
      <w:lang w:eastAsia="en-US"/>
    </w:rPr>
  </w:style>
  <w:style w:type="character" w:styleId="Izmantotahipersaite">
    <w:name w:val="FollowedHyperlink"/>
    <w:basedOn w:val="Noklusjumarindkopasfonts"/>
    <w:uiPriority w:val="99"/>
    <w:semiHidden/>
    <w:unhideWhenUsed/>
    <w:rsid w:val="00CF7F4A"/>
    <w:rPr>
      <w:color w:val="954F72" w:themeColor="followedHyperlink"/>
      <w:u w:val="single"/>
    </w:rPr>
  </w:style>
  <w:style w:type="character" w:styleId="Neatrisintapieminana">
    <w:name w:val="Unresolved Mention"/>
    <w:basedOn w:val="Noklusjumarindkopasfonts"/>
    <w:uiPriority w:val="99"/>
    <w:semiHidden/>
    <w:unhideWhenUsed/>
    <w:rsid w:val="00CF7F4A"/>
    <w:rPr>
      <w:color w:val="605E5C"/>
      <w:shd w:val="clear" w:color="auto" w:fill="E1DFDD"/>
    </w:rPr>
  </w:style>
  <w:style w:type="character" w:customStyle="1" w:styleId="tableentry">
    <w:name w:val="tableentry"/>
    <w:rsid w:val="006A0712"/>
    <w:rPr>
      <w:rFonts w:ascii="Helvetica" w:hAnsi="Helvetica" w:cs="Helvetica" w:hint="default"/>
    </w:rPr>
  </w:style>
  <w:style w:type="paragraph" w:customStyle="1" w:styleId="xxmsonormal">
    <w:name w:val="x_xmsonormal"/>
    <w:basedOn w:val="Parasts"/>
    <w:rsid w:val="00FE0FA5"/>
    <w:rPr>
      <w:rFonts w:ascii="Calibri" w:eastAsiaTheme="minorHAnsi" w:hAnsi="Calibri" w:cs="Calibri"/>
      <w:sz w:val="22"/>
      <w:szCs w:val="22"/>
      <w:lang w:eastAsia="lv-LV"/>
    </w:rPr>
  </w:style>
  <w:style w:type="paragraph" w:customStyle="1" w:styleId="xxmsolistparagraph">
    <w:name w:val="x_xmsolistparagraph"/>
    <w:basedOn w:val="Parasts"/>
    <w:rsid w:val="00FE0FA5"/>
    <w:rPr>
      <w:rFonts w:ascii="Calibri" w:eastAsiaTheme="minorHAnsi" w:hAnsi="Calibri" w:cs="Calibri"/>
      <w:sz w:val="22"/>
      <w:szCs w:val="22"/>
      <w:lang w:eastAsia="lv-LV"/>
    </w:rPr>
  </w:style>
  <w:style w:type="character" w:customStyle="1" w:styleId="xxmsofootnotereference">
    <w:name w:val="x_xmsofootnotereference"/>
    <w:basedOn w:val="Noklusjumarindkopasfonts"/>
    <w:rsid w:val="00FE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408042361">
      <w:bodyDiv w:val="1"/>
      <w:marLeft w:val="0"/>
      <w:marRight w:val="0"/>
      <w:marTop w:val="0"/>
      <w:marBottom w:val="0"/>
      <w:divBdr>
        <w:top w:val="none" w:sz="0" w:space="0" w:color="auto"/>
        <w:left w:val="none" w:sz="0" w:space="0" w:color="auto"/>
        <w:bottom w:val="none" w:sz="0" w:space="0" w:color="auto"/>
        <w:right w:val="none" w:sz="0" w:space="0" w:color="auto"/>
      </w:divBdr>
    </w:div>
    <w:div w:id="420223319">
      <w:bodyDiv w:val="1"/>
      <w:marLeft w:val="0"/>
      <w:marRight w:val="0"/>
      <w:marTop w:val="0"/>
      <w:marBottom w:val="0"/>
      <w:divBdr>
        <w:top w:val="none" w:sz="0" w:space="0" w:color="auto"/>
        <w:left w:val="none" w:sz="0" w:space="0" w:color="auto"/>
        <w:bottom w:val="none" w:sz="0" w:space="0" w:color="auto"/>
        <w:right w:val="none" w:sz="0" w:space="0" w:color="auto"/>
      </w:divBdr>
    </w:div>
    <w:div w:id="445202671">
      <w:bodyDiv w:val="1"/>
      <w:marLeft w:val="0"/>
      <w:marRight w:val="0"/>
      <w:marTop w:val="0"/>
      <w:marBottom w:val="0"/>
      <w:divBdr>
        <w:top w:val="none" w:sz="0" w:space="0" w:color="auto"/>
        <w:left w:val="none" w:sz="0" w:space="0" w:color="auto"/>
        <w:bottom w:val="none" w:sz="0" w:space="0" w:color="auto"/>
        <w:right w:val="none" w:sz="0" w:space="0" w:color="auto"/>
      </w:divBdr>
    </w:div>
    <w:div w:id="453670821">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546725723">
      <w:bodyDiv w:val="1"/>
      <w:marLeft w:val="0"/>
      <w:marRight w:val="0"/>
      <w:marTop w:val="0"/>
      <w:marBottom w:val="0"/>
      <w:divBdr>
        <w:top w:val="none" w:sz="0" w:space="0" w:color="auto"/>
        <w:left w:val="none" w:sz="0" w:space="0" w:color="auto"/>
        <w:bottom w:val="none" w:sz="0" w:space="0" w:color="auto"/>
        <w:right w:val="none" w:sz="0" w:space="0" w:color="auto"/>
      </w:divBdr>
      <w:divsChild>
        <w:div w:id="173887094">
          <w:marLeft w:val="0"/>
          <w:marRight w:val="0"/>
          <w:marTop w:val="0"/>
          <w:marBottom w:val="0"/>
          <w:divBdr>
            <w:top w:val="none" w:sz="0" w:space="0" w:color="auto"/>
            <w:left w:val="none" w:sz="0" w:space="0" w:color="auto"/>
            <w:bottom w:val="none" w:sz="0" w:space="0" w:color="auto"/>
            <w:right w:val="none" w:sz="0" w:space="0" w:color="auto"/>
          </w:divBdr>
          <w:divsChild>
            <w:div w:id="2090228572">
              <w:marLeft w:val="0"/>
              <w:marRight w:val="0"/>
              <w:marTop w:val="0"/>
              <w:marBottom w:val="0"/>
              <w:divBdr>
                <w:top w:val="none" w:sz="0" w:space="0" w:color="auto"/>
                <w:left w:val="none" w:sz="0" w:space="0" w:color="auto"/>
                <w:bottom w:val="none" w:sz="0" w:space="0" w:color="auto"/>
                <w:right w:val="none" w:sz="0" w:space="0" w:color="auto"/>
              </w:divBdr>
              <w:divsChild>
                <w:div w:id="589313838">
                  <w:marLeft w:val="0"/>
                  <w:marRight w:val="0"/>
                  <w:marTop w:val="0"/>
                  <w:marBottom w:val="0"/>
                  <w:divBdr>
                    <w:top w:val="none" w:sz="0" w:space="0" w:color="auto"/>
                    <w:left w:val="none" w:sz="0" w:space="0" w:color="auto"/>
                    <w:bottom w:val="none" w:sz="0" w:space="0" w:color="auto"/>
                    <w:right w:val="none" w:sz="0" w:space="0" w:color="auto"/>
                  </w:divBdr>
                  <w:divsChild>
                    <w:div w:id="688793991">
                      <w:marLeft w:val="-360"/>
                      <w:marRight w:val="-360"/>
                      <w:marTop w:val="0"/>
                      <w:marBottom w:val="0"/>
                      <w:divBdr>
                        <w:top w:val="none" w:sz="0" w:space="0" w:color="auto"/>
                        <w:left w:val="none" w:sz="0" w:space="0" w:color="auto"/>
                        <w:bottom w:val="none" w:sz="0" w:space="0" w:color="auto"/>
                        <w:right w:val="none" w:sz="0" w:space="0" w:color="auto"/>
                      </w:divBdr>
                      <w:divsChild>
                        <w:div w:id="806169581">
                          <w:marLeft w:val="0"/>
                          <w:marRight w:val="0"/>
                          <w:marTop w:val="0"/>
                          <w:marBottom w:val="0"/>
                          <w:divBdr>
                            <w:top w:val="none" w:sz="0" w:space="0" w:color="auto"/>
                            <w:left w:val="none" w:sz="0" w:space="0" w:color="auto"/>
                            <w:bottom w:val="none" w:sz="0" w:space="0" w:color="auto"/>
                            <w:right w:val="none" w:sz="0" w:space="0" w:color="auto"/>
                          </w:divBdr>
                          <w:divsChild>
                            <w:div w:id="354238513">
                              <w:marLeft w:val="0"/>
                              <w:marRight w:val="0"/>
                              <w:marTop w:val="0"/>
                              <w:marBottom w:val="0"/>
                              <w:divBdr>
                                <w:top w:val="none" w:sz="0" w:space="0" w:color="auto"/>
                                <w:left w:val="none" w:sz="0" w:space="0" w:color="auto"/>
                                <w:bottom w:val="none" w:sz="0" w:space="0" w:color="auto"/>
                                <w:right w:val="none" w:sz="0" w:space="0" w:color="auto"/>
                              </w:divBdr>
                              <w:divsChild>
                                <w:div w:id="1126897693">
                                  <w:marLeft w:val="0"/>
                                  <w:marRight w:val="0"/>
                                  <w:marTop w:val="0"/>
                                  <w:marBottom w:val="0"/>
                                  <w:divBdr>
                                    <w:top w:val="none" w:sz="0" w:space="0" w:color="auto"/>
                                    <w:left w:val="none" w:sz="0" w:space="0" w:color="auto"/>
                                    <w:bottom w:val="none" w:sz="0" w:space="0" w:color="auto"/>
                                    <w:right w:val="none" w:sz="0" w:space="0" w:color="auto"/>
                                  </w:divBdr>
                                  <w:divsChild>
                                    <w:div w:id="4404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242086">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56373938">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146814">
      <w:bodyDiv w:val="1"/>
      <w:marLeft w:val="0"/>
      <w:marRight w:val="0"/>
      <w:marTop w:val="0"/>
      <w:marBottom w:val="0"/>
      <w:divBdr>
        <w:top w:val="none" w:sz="0" w:space="0" w:color="auto"/>
        <w:left w:val="none" w:sz="0" w:space="0" w:color="auto"/>
        <w:bottom w:val="none" w:sz="0" w:space="0" w:color="auto"/>
        <w:right w:val="none" w:sz="0" w:space="0" w:color="auto"/>
      </w:divBdr>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773090066">
      <w:bodyDiv w:val="1"/>
      <w:marLeft w:val="0"/>
      <w:marRight w:val="0"/>
      <w:marTop w:val="0"/>
      <w:marBottom w:val="0"/>
      <w:divBdr>
        <w:top w:val="none" w:sz="0" w:space="0" w:color="auto"/>
        <w:left w:val="none" w:sz="0" w:space="0" w:color="auto"/>
        <w:bottom w:val="none" w:sz="0" w:space="0" w:color="auto"/>
        <w:right w:val="none" w:sz="0" w:space="0" w:color="auto"/>
      </w:divBdr>
    </w:div>
    <w:div w:id="780227341">
      <w:bodyDiv w:val="1"/>
      <w:marLeft w:val="0"/>
      <w:marRight w:val="0"/>
      <w:marTop w:val="0"/>
      <w:marBottom w:val="0"/>
      <w:divBdr>
        <w:top w:val="none" w:sz="0" w:space="0" w:color="auto"/>
        <w:left w:val="none" w:sz="0" w:space="0" w:color="auto"/>
        <w:bottom w:val="none" w:sz="0" w:space="0" w:color="auto"/>
        <w:right w:val="none" w:sz="0" w:space="0" w:color="auto"/>
      </w:divBdr>
    </w:div>
    <w:div w:id="790247710">
      <w:bodyDiv w:val="1"/>
      <w:marLeft w:val="0"/>
      <w:marRight w:val="0"/>
      <w:marTop w:val="0"/>
      <w:marBottom w:val="0"/>
      <w:divBdr>
        <w:top w:val="none" w:sz="0" w:space="0" w:color="auto"/>
        <w:left w:val="none" w:sz="0" w:space="0" w:color="auto"/>
        <w:bottom w:val="none" w:sz="0" w:space="0" w:color="auto"/>
        <w:right w:val="none" w:sz="0" w:space="0" w:color="auto"/>
      </w:divBdr>
    </w:div>
    <w:div w:id="867568344">
      <w:bodyDiv w:val="1"/>
      <w:marLeft w:val="0"/>
      <w:marRight w:val="0"/>
      <w:marTop w:val="0"/>
      <w:marBottom w:val="0"/>
      <w:divBdr>
        <w:top w:val="none" w:sz="0" w:space="0" w:color="auto"/>
        <w:left w:val="none" w:sz="0" w:space="0" w:color="auto"/>
        <w:bottom w:val="none" w:sz="0" w:space="0" w:color="auto"/>
        <w:right w:val="none" w:sz="0" w:space="0" w:color="auto"/>
      </w:divBdr>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25310644">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66937006">
      <w:bodyDiv w:val="1"/>
      <w:marLeft w:val="0"/>
      <w:marRight w:val="0"/>
      <w:marTop w:val="0"/>
      <w:marBottom w:val="0"/>
      <w:divBdr>
        <w:top w:val="none" w:sz="0" w:space="0" w:color="auto"/>
        <w:left w:val="none" w:sz="0" w:space="0" w:color="auto"/>
        <w:bottom w:val="none" w:sz="0" w:space="0" w:color="auto"/>
        <w:right w:val="none" w:sz="0" w:space="0" w:color="auto"/>
      </w:divBdr>
    </w:div>
    <w:div w:id="992220847">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082292977">
      <w:bodyDiv w:val="1"/>
      <w:marLeft w:val="0"/>
      <w:marRight w:val="0"/>
      <w:marTop w:val="0"/>
      <w:marBottom w:val="0"/>
      <w:divBdr>
        <w:top w:val="none" w:sz="0" w:space="0" w:color="auto"/>
        <w:left w:val="none" w:sz="0" w:space="0" w:color="auto"/>
        <w:bottom w:val="none" w:sz="0" w:space="0" w:color="auto"/>
        <w:right w:val="none" w:sz="0" w:space="0" w:color="auto"/>
      </w:divBdr>
    </w:div>
    <w:div w:id="1101417147">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175802266">
      <w:bodyDiv w:val="1"/>
      <w:marLeft w:val="0"/>
      <w:marRight w:val="0"/>
      <w:marTop w:val="0"/>
      <w:marBottom w:val="0"/>
      <w:divBdr>
        <w:top w:val="none" w:sz="0" w:space="0" w:color="auto"/>
        <w:left w:val="none" w:sz="0" w:space="0" w:color="auto"/>
        <w:bottom w:val="none" w:sz="0" w:space="0" w:color="auto"/>
        <w:right w:val="none" w:sz="0" w:space="0" w:color="auto"/>
      </w:divBdr>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432707">
      <w:bodyDiv w:val="1"/>
      <w:marLeft w:val="0"/>
      <w:marRight w:val="0"/>
      <w:marTop w:val="0"/>
      <w:marBottom w:val="0"/>
      <w:divBdr>
        <w:top w:val="none" w:sz="0" w:space="0" w:color="auto"/>
        <w:left w:val="none" w:sz="0" w:space="0" w:color="auto"/>
        <w:bottom w:val="none" w:sz="0" w:space="0" w:color="auto"/>
        <w:right w:val="none" w:sz="0" w:space="0" w:color="auto"/>
      </w:divBdr>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94031946">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57624096">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02104239">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615553636">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15413">
      <w:bodyDiv w:val="1"/>
      <w:marLeft w:val="0"/>
      <w:marRight w:val="0"/>
      <w:marTop w:val="0"/>
      <w:marBottom w:val="0"/>
      <w:divBdr>
        <w:top w:val="none" w:sz="0" w:space="0" w:color="auto"/>
        <w:left w:val="none" w:sz="0" w:space="0" w:color="auto"/>
        <w:bottom w:val="none" w:sz="0" w:space="0" w:color="auto"/>
        <w:right w:val="none" w:sz="0" w:space="0" w:color="auto"/>
      </w:divBdr>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01723630">
      <w:bodyDiv w:val="1"/>
      <w:marLeft w:val="0"/>
      <w:marRight w:val="0"/>
      <w:marTop w:val="0"/>
      <w:marBottom w:val="0"/>
      <w:divBdr>
        <w:top w:val="none" w:sz="0" w:space="0" w:color="auto"/>
        <w:left w:val="none" w:sz="0" w:space="0" w:color="auto"/>
        <w:bottom w:val="none" w:sz="0" w:space="0" w:color="auto"/>
        <w:right w:val="none" w:sz="0" w:space="0" w:color="auto"/>
      </w:divBdr>
    </w:div>
    <w:div w:id="180514942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35757110">
      <w:bodyDiv w:val="1"/>
      <w:marLeft w:val="0"/>
      <w:marRight w:val="0"/>
      <w:marTop w:val="0"/>
      <w:marBottom w:val="0"/>
      <w:divBdr>
        <w:top w:val="none" w:sz="0" w:space="0" w:color="auto"/>
        <w:left w:val="none" w:sz="0" w:space="0" w:color="auto"/>
        <w:bottom w:val="none" w:sz="0" w:space="0" w:color="auto"/>
        <w:right w:val="none" w:sz="0" w:space="0" w:color="auto"/>
      </w:divBdr>
      <w:divsChild>
        <w:div w:id="1555193792">
          <w:marLeft w:val="0"/>
          <w:marRight w:val="0"/>
          <w:marTop w:val="0"/>
          <w:marBottom w:val="0"/>
          <w:divBdr>
            <w:top w:val="none" w:sz="0" w:space="0" w:color="auto"/>
            <w:left w:val="none" w:sz="0" w:space="0" w:color="auto"/>
            <w:bottom w:val="none" w:sz="0" w:space="0" w:color="auto"/>
            <w:right w:val="none" w:sz="0" w:space="0" w:color="auto"/>
          </w:divBdr>
          <w:divsChild>
            <w:div w:id="1350597963">
              <w:marLeft w:val="0"/>
              <w:marRight w:val="0"/>
              <w:marTop w:val="0"/>
              <w:marBottom w:val="0"/>
              <w:divBdr>
                <w:top w:val="none" w:sz="0" w:space="0" w:color="auto"/>
                <w:left w:val="none" w:sz="0" w:space="0" w:color="auto"/>
                <w:bottom w:val="none" w:sz="0" w:space="0" w:color="auto"/>
                <w:right w:val="none" w:sz="0" w:space="0" w:color="auto"/>
              </w:divBdr>
              <w:divsChild>
                <w:div w:id="1375811243">
                  <w:marLeft w:val="0"/>
                  <w:marRight w:val="0"/>
                  <w:marTop w:val="0"/>
                  <w:marBottom w:val="0"/>
                  <w:divBdr>
                    <w:top w:val="none" w:sz="0" w:space="0" w:color="auto"/>
                    <w:left w:val="none" w:sz="0" w:space="0" w:color="auto"/>
                    <w:bottom w:val="none" w:sz="0" w:space="0" w:color="auto"/>
                    <w:right w:val="none" w:sz="0" w:space="0" w:color="auto"/>
                  </w:divBdr>
                  <w:divsChild>
                    <w:div w:id="1042243606">
                      <w:marLeft w:val="-360"/>
                      <w:marRight w:val="-360"/>
                      <w:marTop w:val="0"/>
                      <w:marBottom w:val="0"/>
                      <w:divBdr>
                        <w:top w:val="none" w:sz="0" w:space="0" w:color="auto"/>
                        <w:left w:val="none" w:sz="0" w:space="0" w:color="auto"/>
                        <w:bottom w:val="none" w:sz="0" w:space="0" w:color="auto"/>
                        <w:right w:val="none" w:sz="0" w:space="0" w:color="auto"/>
                      </w:divBdr>
                      <w:divsChild>
                        <w:div w:id="1073746853">
                          <w:marLeft w:val="0"/>
                          <w:marRight w:val="0"/>
                          <w:marTop w:val="0"/>
                          <w:marBottom w:val="0"/>
                          <w:divBdr>
                            <w:top w:val="none" w:sz="0" w:space="0" w:color="auto"/>
                            <w:left w:val="none" w:sz="0" w:space="0" w:color="auto"/>
                            <w:bottom w:val="none" w:sz="0" w:space="0" w:color="auto"/>
                            <w:right w:val="none" w:sz="0" w:space="0" w:color="auto"/>
                          </w:divBdr>
                          <w:divsChild>
                            <w:div w:id="962618820">
                              <w:marLeft w:val="0"/>
                              <w:marRight w:val="0"/>
                              <w:marTop w:val="0"/>
                              <w:marBottom w:val="0"/>
                              <w:divBdr>
                                <w:top w:val="none" w:sz="0" w:space="0" w:color="auto"/>
                                <w:left w:val="none" w:sz="0" w:space="0" w:color="auto"/>
                                <w:bottom w:val="none" w:sz="0" w:space="0" w:color="auto"/>
                                <w:right w:val="none" w:sz="0" w:space="0" w:color="auto"/>
                              </w:divBdr>
                              <w:divsChild>
                                <w:div w:id="276105164">
                                  <w:marLeft w:val="0"/>
                                  <w:marRight w:val="0"/>
                                  <w:marTop w:val="0"/>
                                  <w:marBottom w:val="0"/>
                                  <w:divBdr>
                                    <w:top w:val="none" w:sz="0" w:space="0" w:color="auto"/>
                                    <w:left w:val="none" w:sz="0" w:space="0" w:color="auto"/>
                                    <w:bottom w:val="none" w:sz="0" w:space="0" w:color="auto"/>
                                    <w:right w:val="none" w:sz="0" w:space="0" w:color="auto"/>
                                  </w:divBdr>
                                  <w:divsChild>
                                    <w:div w:id="1568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01285109">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48270951">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11332048">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08303808">
      <w:bodyDiv w:val="1"/>
      <w:marLeft w:val="0"/>
      <w:marRight w:val="0"/>
      <w:marTop w:val="0"/>
      <w:marBottom w:val="0"/>
      <w:divBdr>
        <w:top w:val="none" w:sz="0" w:space="0" w:color="auto"/>
        <w:left w:val="none" w:sz="0" w:space="0" w:color="auto"/>
        <w:bottom w:val="none" w:sz="0" w:space="0" w:color="auto"/>
        <w:right w:val="none" w:sz="0" w:space="0" w:color="auto"/>
      </w:divBdr>
    </w:div>
    <w:div w:id="2123455115">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LV/TXT/?uri=CELEX:52020PC0825" TargetMode="External"/><Relationship Id="rId2" Type="http://schemas.openxmlformats.org/officeDocument/2006/relationships/hyperlink" Target="https://eur-lex.europa.eu/legal-content/LV/TXT/?uri=CELEX:52020PC0712" TargetMode="External"/><Relationship Id="rId1" Type="http://schemas.openxmlformats.org/officeDocument/2006/relationships/hyperlink" Target="https://eur-lex.europa.eu/legal-content/LV/TXT/?uri=CELEX:52018PC0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CC13-A88B-48CD-8949-FC30D88B9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14555</Words>
  <Characters>8297</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Eiropas Savienības Tieslietu un iekšlietu ministru padomes 2021. gada 7.-8.jūnija sanāksmē izskatāmajiem jautājumiem"</vt:lpstr>
      <vt:lpstr>Informatīvais ziņojums "Par 2021. gada 7.-8.jūnija Eiropas Savienības Tieslietu un iekšlietu ministru padomē izskatāmajiem jautājumiem"</vt:lpstr>
    </vt:vector>
  </TitlesOfParts>
  <Company>Tieslietu ministrija</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Tieslietu un iekšlietu ministru padomes 2021. gada 7.-8.jūnija sanāksmē izskatāmajiem jautājumiem"</dc:title>
  <dc:subject>Informatīvais ziņojums</dc:subject>
  <dc:creator>Arta Poiša, Ieva Linde</dc:creator>
  <dc:description>67036912, Arta.Poisa@tm.gov.lv_x000d_
67036914, Ieva.Linde@tm.gov.lv</dc:description>
  <cp:lastModifiedBy>Arta Poiša</cp:lastModifiedBy>
  <cp:revision>3</cp:revision>
  <cp:lastPrinted>2021-05-27T11:49:00Z</cp:lastPrinted>
  <dcterms:created xsi:type="dcterms:W3CDTF">2021-05-28T14:02:00Z</dcterms:created>
  <dcterms:modified xsi:type="dcterms:W3CDTF">2021-05-31T04:01:00Z</dcterms:modified>
</cp:coreProperties>
</file>