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7C09" w14:textId="77777777" w:rsidR="00D274B8" w:rsidRDefault="00D274B8" w:rsidP="00D274B8">
      <w:pPr>
        <w:jc w:val="center"/>
        <w:rPr>
          <w:b/>
        </w:rPr>
      </w:pPr>
      <w:r w:rsidRPr="00563D3C">
        <w:rPr>
          <w:b/>
        </w:rPr>
        <w:t>Ministru kabineta noteikumu projekta</w:t>
      </w:r>
    </w:p>
    <w:p w14:paraId="49B69D54" w14:textId="7D8BF662" w:rsidR="00D274B8" w:rsidRDefault="00D274B8" w:rsidP="005325B8">
      <w:pPr>
        <w:jc w:val="center"/>
        <w:rPr>
          <w:b/>
        </w:rPr>
      </w:pPr>
      <w:r w:rsidRPr="00563D3C">
        <w:rPr>
          <w:b/>
        </w:rPr>
        <w:t>„Grozījumi Ministru kabineta</w:t>
      </w:r>
      <w:r w:rsidR="005325B8">
        <w:rPr>
          <w:b/>
        </w:rPr>
        <w:t xml:space="preserve"> 2011.</w:t>
      </w:r>
      <w:r w:rsidR="002966AD">
        <w:rPr>
          <w:b/>
        </w:rPr>
        <w:t> </w:t>
      </w:r>
      <w:r w:rsidR="00957711">
        <w:rPr>
          <w:b/>
        </w:rPr>
        <w:t>gada 24.maija</w:t>
      </w:r>
      <w:r w:rsidR="005325B8">
        <w:rPr>
          <w:b/>
        </w:rPr>
        <w:t xml:space="preserve"> noteikumos Nr.</w:t>
      </w:r>
      <w:r w:rsidR="002966AD">
        <w:rPr>
          <w:b/>
        </w:rPr>
        <w:t> </w:t>
      </w:r>
      <w:r w:rsidR="00957711">
        <w:rPr>
          <w:b/>
        </w:rPr>
        <w:t>401</w:t>
      </w:r>
      <w:r w:rsidR="005325B8">
        <w:rPr>
          <w:b/>
        </w:rPr>
        <w:t xml:space="preserve"> “</w:t>
      </w:r>
      <w:r w:rsidR="00AA07F0" w:rsidRPr="00AA07F0">
        <w:rPr>
          <w:b/>
        </w:rPr>
        <w:t>Prasības atkritumu sadedzināšanai un atkritumu sadedzināšanas iekārtu darbībai</w:t>
      </w:r>
      <w:r w:rsidRPr="00563D3C">
        <w:rPr>
          <w:b/>
        </w:rPr>
        <w:t>””</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p w14:paraId="6C7AFBB1" w14:textId="77777777" w:rsidR="00D274B8" w:rsidRDefault="00D274B8" w:rsidP="00D274B8">
      <w:pPr>
        <w:rPr>
          <w:b/>
        </w:rPr>
      </w:pPr>
    </w:p>
    <w:tbl>
      <w:tblPr>
        <w:tblStyle w:val="TableGrid"/>
        <w:tblW w:w="0" w:type="auto"/>
        <w:tblInd w:w="0" w:type="dxa"/>
        <w:tblLook w:val="04A0" w:firstRow="1" w:lastRow="0" w:firstColumn="1" w:lastColumn="0" w:noHBand="0" w:noVBand="1"/>
      </w:tblPr>
      <w:tblGrid>
        <w:gridCol w:w="3256"/>
        <w:gridCol w:w="5805"/>
      </w:tblGrid>
      <w:tr w:rsidR="00DC48BF" w14:paraId="1307C026" w14:textId="77777777" w:rsidTr="00980521">
        <w:tc>
          <w:tcPr>
            <w:tcW w:w="9061" w:type="dxa"/>
            <w:gridSpan w:val="2"/>
          </w:tcPr>
          <w:p w14:paraId="3B3FA0C7" w14:textId="0E790152" w:rsidR="00DC48BF" w:rsidRPr="00D062F9" w:rsidRDefault="00DC48BF" w:rsidP="00D062F9">
            <w:pPr>
              <w:jc w:val="center"/>
              <w:rPr>
                <w:b/>
              </w:rPr>
            </w:pPr>
            <w:r w:rsidRPr="00D062F9">
              <w:rPr>
                <w:b/>
              </w:rPr>
              <w:t>Tiesību akta anotācijas kopsavilkums</w:t>
            </w:r>
          </w:p>
        </w:tc>
      </w:tr>
      <w:tr w:rsidR="00DC48BF" w14:paraId="1522A7D3" w14:textId="77777777" w:rsidTr="00DC48BF">
        <w:tc>
          <w:tcPr>
            <w:tcW w:w="3256" w:type="dxa"/>
          </w:tcPr>
          <w:p w14:paraId="2B631AB8" w14:textId="077BD92E" w:rsidR="00DC48BF" w:rsidRPr="00DC48BF" w:rsidRDefault="00DC48BF" w:rsidP="00D274B8">
            <w:r>
              <w:t>Mērķis, risinājums un projekta spēkā stāšanās laiks (500 zīmes bez atstarpēm)</w:t>
            </w:r>
          </w:p>
        </w:tc>
        <w:tc>
          <w:tcPr>
            <w:tcW w:w="5805" w:type="dxa"/>
          </w:tcPr>
          <w:p w14:paraId="681A5F9F" w14:textId="7BA45FD3" w:rsidR="00DC48BF" w:rsidRDefault="00D13AF2" w:rsidP="00D13AF2">
            <w:pPr>
              <w:jc w:val="both"/>
            </w:pPr>
            <w:r>
              <w:rPr>
                <w:bCs/>
                <w:szCs w:val="28"/>
              </w:rPr>
              <w:t>Ministru kabineta noteikumu projekts “</w:t>
            </w:r>
            <w:r w:rsidRPr="00AA07F0">
              <w:t>Grozījumi Ministru kabineta 2011. gada 24.maija noteikumos Nr. 401</w:t>
            </w:r>
            <w:r w:rsidRPr="00D062F9">
              <w:rPr>
                <w:bCs/>
                <w:szCs w:val="28"/>
              </w:rPr>
              <w:t>„</w:t>
            </w:r>
            <w:r>
              <w:t>Prasības atkritumu sadedzināšanai un atkritumu sadedzināšanas iekārtu darbībai</w:t>
            </w:r>
            <w:r w:rsidRPr="00D062F9">
              <w:rPr>
                <w:bCs/>
                <w:szCs w:val="28"/>
              </w:rPr>
              <w:t xml:space="preserve">”” (turpmāk – noteikumu projekts) </w:t>
            </w:r>
            <w:r>
              <w:rPr>
                <w:bCs/>
                <w:szCs w:val="28"/>
              </w:rPr>
              <w:t xml:space="preserve">ir sagatavots, lai pilnībā nodrošinātu  </w:t>
            </w:r>
            <w:r w:rsidRPr="007D1DA3">
              <w:t xml:space="preserve">Eiropas Parlamenta un Padomes 2010. gada 24. novembra </w:t>
            </w:r>
            <w:r>
              <w:t>d</w:t>
            </w:r>
            <w:r w:rsidRPr="007D1DA3">
              <w:t>irektīva</w:t>
            </w:r>
            <w:r>
              <w:t>i</w:t>
            </w:r>
            <w:r w:rsidRPr="007D1DA3">
              <w:t xml:space="preserve"> 2010/75/ES par rūpnieciskajām emisijām (piesārņojuma integrēta novēršana un kontrole</w:t>
            </w:r>
            <w:r>
              <w:t>) (</w:t>
            </w:r>
            <w:r w:rsidRPr="00802827">
              <w:t>turpmāk – Direktīva 2010/75/ES)</w:t>
            </w:r>
            <w:r>
              <w:t xml:space="preserve"> prasību pārņemšanu attiecībā uz atkritumu sadedzināšanas un līdzsadedzināšanas iekārtu darbību, to ietekmētās vides monitoringu un emisiju robežvērtībām.</w:t>
            </w:r>
          </w:p>
          <w:p w14:paraId="1404BF11" w14:textId="34329870" w:rsidR="00D13AF2" w:rsidRPr="00DC48BF" w:rsidRDefault="00D13AF2" w:rsidP="00D13AF2">
            <w:pPr>
              <w:jc w:val="both"/>
            </w:pPr>
            <w:r>
              <w:t xml:space="preserve">Noteikumu projekts stāsies spēkā Oficiālo publikāciju un tiesiskās informācijas likuma 7.panta otrajā daļā noteiktajā kārtībā. </w:t>
            </w:r>
          </w:p>
        </w:tc>
      </w:tr>
    </w:tbl>
    <w:p w14:paraId="48F5D4C8" w14:textId="77777777" w:rsidR="00DC48BF" w:rsidRDefault="00DC48BF" w:rsidP="00D274B8">
      <w:pPr>
        <w:rPr>
          <w:b/>
        </w:rPr>
      </w:pPr>
    </w:p>
    <w:p w14:paraId="19F0D2FA" w14:textId="77777777" w:rsidR="00DC48BF" w:rsidRPr="00FB41DC" w:rsidRDefault="00DC48BF"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9"/>
        <w:gridCol w:w="1743"/>
        <w:gridCol w:w="6721"/>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116B5D6B" w14:textId="69C657C5" w:rsidR="00D274B8" w:rsidRPr="009C4E9A" w:rsidRDefault="00D13AF2" w:rsidP="0028273A">
            <w:pPr>
              <w:ind w:right="135"/>
              <w:jc w:val="both"/>
              <w:rPr>
                <w:bCs/>
                <w:szCs w:val="28"/>
              </w:rPr>
            </w:pPr>
            <w:r>
              <w:rPr>
                <w:bCs/>
                <w:szCs w:val="28"/>
              </w:rPr>
              <w:t>Ministru kabineta noteikumu projekts “</w:t>
            </w:r>
            <w:r w:rsidRPr="00AA07F0">
              <w:t>Grozījumi Ministru kabineta 2011. gada 24.maija noteikumos Nr. 401</w:t>
            </w:r>
            <w:r w:rsidRPr="00D062F9">
              <w:rPr>
                <w:bCs/>
                <w:szCs w:val="28"/>
              </w:rPr>
              <w:t>„</w:t>
            </w:r>
            <w:r>
              <w:t>Prasības atkritumu sadedzināšanai un atkritumu sadedzināšanas iekārtu darbībai</w:t>
            </w:r>
            <w:r w:rsidRPr="00D062F9">
              <w:rPr>
                <w:bCs/>
                <w:szCs w:val="28"/>
              </w:rPr>
              <w:t xml:space="preserve">”” (turpmāk – noteikumu projekts) </w:t>
            </w:r>
            <w:r>
              <w:rPr>
                <w:bCs/>
                <w:szCs w:val="28"/>
              </w:rPr>
              <w:t xml:space="preserve">ir sagatavots, lai pilnībā nodrošinātu </w:t>
            </w:r>
            <w:r w:rsidRPr="007D1DA3">
              <w:t xml:space="preserve">Eiropas Parlamenta un Padomes 2010. gada 24. novembra </w:t>
            </w:r>
            <w:r>
              <w:t>d</w:t>
            </w:r>
            <w:r w:rsidRPr="007D1DA3">
              <w:t>irektīva</w:t>
            </w:r>
            <w:r>
              <w:t>i</w:t>
            </w:r>
            <w:r w:rsidRPr="007D1DA3">
              <w:t xml:space="preserve"> 2010/75/ES par rūpnieciskajām emisijām (piesārņojuma integrēta novēršana un kontrole</w:t>
            </w:r>
            <w:r>
              <w:t>) (</w:t>
            </w:r>
            <w:r w:rsidRPr="00802827">
              <w:t>turpmāk – Direktīva 2010/75/ES)</w:t>
            </w:r>
            <w:r>
              <w:t xml:space="preserve"> prasību pārņemšanu attiecībā uz atkritumu sadedzināšanas un līdzsadedzināšanas iekārtu darbību, to ietekmētās vides monitoringu un emisiju robežvērtībām.</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48B2BC43" w14:textId="56C08804" w:rsidR="00DF6FCD" w:rsidRPr="006D5F36" w:rsidRDefault="00DF6FCD" w:rsidP="00D062F9">
            <w:pPr>
              <w:pStyle w:val="tv2131"/>
              <w:spacing w:line="240" w:lineRule="auto"/>
              <w:ind w:right="135" w:firstLine="720"/>
              <w:jc w:val="both"/>
              <w:rPr>
                <w:color w:val="auto"/>
                <w:sz w:val="24"/>
                <w:szCs w:val="24"/>
                <w:lang w:val="lv-LV"/>
              </w:rPr>
            </w:pPr>
            <w:r w:rsidRPr="006D5F36">
              <w:rPr>
                <w:color w:val="auto"/>
                <w:sz w:val="24"/>
                <w:szCs w:val="24"/>
                <w:lang w:val="lv-LV"/>
              </w:rPr>
              <w:t>2.1.Pašreizējā situ</w:t>
            </w:r>
            <w:r w:rsidR="004560FC" w:rsidRPr="006D5F36">
              <w:rPr>
                <w:color w:val="auto"/>
                <w:sz w:val="24"/>
                <w:szCs w:val="24"/>
                <w:lang w:val="lv-LV"/>
              </w:rPr>
              <w:t xml:space="preserve">ācija un </w:t>
            </w:r>
            <w:r w:rsidRPr="006D5F36">
              <w:rPr>
                <w:color w:val="auto"/>
                <w:sz w:val="24"/>
                <w:szCs w:val="24"/>
                <w:lang w:val="lv-LV"/>
              </w:rPr>
              <w:t>problēmas, kuru risināšanai tiesību akta projekts izstrādāts:</w:t>
            </w:r>
          </w:p>
          <w:p w14:paraId="7A75898E" w14:textId="77777777" w:rsidR="00277C06" w:rsidRDefault="00A0584C"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p</w:t>
            </w:r>
            <w:r w:rsidR="00676472" w:rsidRPr="006D5F36">
              <w:rPr>
                <w:color w:val="auto"/>
                <w:sz w:val="24"/>
                <w:szCs w:val="24"/>
                <w:lang w:val="lv-LV"/>
              </w:rPr>
              <w:t>ašreiz spēkā esošajos Ministru kabineta 2011.</w:t>
            </w:r>
            <w:r w:rsidR="00387BF8">
              <w:rPr>
                <w:color w:val="auto"/>
                <w:sz w:val="24"/>
                <w:szCs w:val="24"/>
                <w:lang w:val="lv-LV"/>
              </w:rPr>
              <w:t> </w:t>
            </w:r>
            <w:r w:rsidR="00676472" w:rsidRPr="006D5F36">
              <w:rPr>
                <w:color w:val="auto"/>
                <w:sz w:val="24"/>
                <w:szCs w:val="24"/>
                <w:lang w:val="lv-LV"/>
              </w:rPr>
              <w:t xml:space="preserve">gada </w:t>
            </w:r>
            <w:r w:rsidR="0097164D">
              <w:rPr>
                <w:color w:val="auto"/>
                <w:sz w:val="24"/>
                <w:szCs w:val="24"/>
                <w:lang w:val="lv-LV"/>
              </w:rPr>
              <w:t>24. maija</w:t>
            </w:r>
            <w:r w:rsidR="00387BF8" w:rsidRPr="005A44F7">
              <w:rPr>
                <w:color w:val="auto"/>
                <w:sz w:val="24"/>
                <w:szCs w:val="24"/>
                <w:lang w:val="lv-LV"/>
              </w:rPr>
              <w:t xml:space="preserve"> </w:t>
            </w:r>
            <w:r w:rsidR="00676472" w:rsidRPr="006D5F36">
              <w:rPr>
                <w:color w:val="auto"/>
                <w:sz w:val="24"/>
                <w:szCs w:val="24"/>
                <w:lang w:val="lv-LV"/>
              </w:rPr>
              <w:t>noteikumos Nr.</w:t>
            </w:r>
            <w:r w:rsidR="00387BF8">
              <w:rPr>
                <w:color w:val="auto"/>
                <w:sz w:val="24"/>
                <w:szCs w:val="24"/>
                <w:lang w:val="lv-LV"/>
              </w:rPr>
              <w:t> </w:t>
            </w:r>
            <w:r w:rsidR="0097164D">
              <w:rPr>
                <w:color w:val="auto"/>
                <w:sz w:val="24"/>
                <w:szCs w:val="24"/>
                <w:lang w:val="lv-LV"/>
              </w:rPr>
              <w:t>401</w:t>
            </w:r>
            <w:r w:rsidR="00676472" w:rsidRPr="006D5F36">
              <w:rPr>
                <w:color w:val="auto"/>
                <w:sz w:val="24"/>
                <w:szCs w:val="24"/>
                <w:lang w:val="lv-LV"/>
              </w:rPr>
              <w:t xml:space="preserve"> “</w:t>
            </w:r>
            <w:r w:rsidR="0097164D" w:rsidRPr="0097164D">
              <w:rPr>
                <w:color w:val="auto"/>
                <w:sz w:val="24"/>
                <w:lang w:val="lv-LV"/>
              </w:rPr>
              <w:t>Prasības atkritumu sadedzināšanai un atkritumu sadedzināšanas iekārtu darbībai</w:t>
            </w:r>
            <w:r w:rsidR="00676472" w:rsidRPr="006D5F36">
              <w:rPr>
                <w:color w:val="auto"/>
                <w:sz w:val="24"/>
                <w:szCs w:val="24"/>
                <w:lang w:val="lv-LV"/>
              </w:rPr>
              <w:t xml:space="preserve">” </w:t>
            </w:r>
            <w:r w:rsidRPr="006D5F36">
              <w:rPr>
                <w:color w:val="auto"/>
                <w:sz w:val="24"/>
                <w:szCs w:val="24"/>
                <w:lang w:val="lv-LV"/>
              </w:rPr>
              <w:t>(turpmāk – MK noteikumi Nr.</w:t>
            </w:r>
            <w:r w:rsidR="00387BF8">
              <w:rPr>
                <w:color w:val="auto"/>
                <w:sz w:val="24"/>
                <w:szCs w:val="24"/>
                <w:lang w:val="lv-LV"/>
              </w:rPr>
              <w:t> </w:t>
            </w:r>
            <w:r w:rsidR="0097164D">
              <w:rPr>
                <w:color w:val="auto"/>
                <w:sz w:val="24"/>
                <w:szCs w:val="24"/>
                <w:lang w:val="lv-LV"/>
              </w:rPr>
              <w:t>401</w:t>
            </w:r>
            <w:r w:rsidRPr="006D5F36">
              <w:rPr>
                <w:color w:val="auto"/>
                <w:sz w:val="24"/>
                <w:szCs w:val="24"/>
                <w:lang w:val="lv-LV"/>
              </w:rPr>
              <w:t xml:space="preserve">) </w:t>
            </w:r>
            <w:r w:rsidR="00676472" w:rsidRPr="006D5F36">
              <w:rPr>
                <w:color w:val="auto"/>
                <w:sz w:val="24"/>
                <w:szCs w:val="24"/>
                <w:lang w:val="lv-LV"/>
              </w:rPr>
              <w:t>ir noteiktas prasības</w:t>
            </w:r>
            <w:r w:rsidR="0097164D">
              <w:rPr>
                <w:color w:val="auto"/>
                <w:sz w:val="24"/>
                <w:szCs w:val="24"/>
                <w:lang w:val="lv-LV"/>
              </w:rPr>
              <w:t xml:space="preserve"> atkritumu sadedzināšanai un atkritumu sadedzināšanas iekārtu darbībai</w:t>
            </w:r>
            <w:r w:rsidR="00676472" w:rsidRPr="006D5F36">
              <w:rPr>
                <w:color w:val="auto"/>
                <w:sz w:val="24"/>
                <w:szCs w:val="24"/>
                <w:lang w:val="lv-LV"/>
              </w:rPr>
              <w:t xml:space="preserve">. Lai pilnībā </w:t>
            </w:r>
            <w:r w:rsidR="00504560">
              <w:rPr>
                <w:color w:val="auto"/>
                <w:sz w:val="24"/>
                <w:szCs w:val="24"/>
                <w:lang w:val="lv-LV"/>
              </w:rPr>
              <w:t xml:space="preserve">nodrošinātu </w:t>
            </w:r>
            <w:r w:rsidR="00286115" w:rsidRPr="006D5F36">
              <w:rPr>
                <w:color w:val="auto"/>
                <w:sz w:val="24"/>
                <w:szCs w:val="24"/>
                <w:lang w:val="lv-LV"/>
              </w:rPr>
              <w:t>Direktīva</w:t>
            </w:r>
            <w:r w:rsidR="00504560">
              <w:rPr>
                <w:color w:val="auto"/>
                <w:sz w:val="24"/>
                <w:szCs w:val="24"/>
                <w:lang w:val="lv-LV"/>
              </w:rPr>
              <w:t>s</w:t>
            </w:r>
            <w:r w:rsidR="00286115" w:rsidRPr="006D5F36">
              <w:rPr>
                <w:color w:val="auto"/>
                <w:sz w:val="24"/>
                <w:szCs w:val="24"/>
                <w:lang w:val="lv-LV"/>
              </w:rPr>
              <w:t xml:space="preserve"> 2010/75/ES</w:t>
            </w:r>
            <w:r w:rsidR="00676472" w:rsidRPr="006D5F36">
              <w:rPr>
                <w:color w:val="auto"/>
                <w:sz w:val="24"/>
                <w:szCs w:val="24"/>
                <w:lang w:val="lv-LV"/>
              </w:rPr>
              <w:t xml:space="preserve"> prasību transponēšanu Latvijas normatīvajos aktos, ir nepieciešams</w:t>
            </w:r>
            <w:r w:rsidRPr="006D5F36">
              <w:rPr>
                <w:color w:val="auto"/>
                <w:sz w:val="24"/>
                <w:szCs w:val="24"/>
                <w:lang w:val="lv-LV"/>
              </w:rPr>
              <w:t xml:space="preserve"> izdar</w:t>
            </w:r>
            <w:r w:rsidR="0025446D">
              <w:rPr>
                <w:color w:val="auto"/>
                <w:sz w:val="24"/>
                <w:szCs w:val="24"/>
                <w:lang w:val="lv-LV"/>
              </w:rPr>
              <w:t>ī</w:t>
            </w:r>
            <w:r w:rsidRPr="006D5F36">
              <w:rPr>
                <w:color w:val="auto"/>
                <w:sz w:val="24"/>
                <w:szCs w:val="24"/>
                <w:lang w:val="lv-LV"/>
              </w:rPr>
              <w:t>t grozījumus MK noteikumos Nr.</w:t>
            </w:r>
            <w:r w:rsidR="00387BF8">
              <w:rPr>
                <w:color w:val="auto"/>
                <w:sz w:val="24"/>
                <w:szCs w:val="24"/>
                <w:lang w:val="lv-LV"/>
              </w:rPr>
              <w:t> </w:t>
            </w:r>
            <w:r w:rsidR="00BB6911">
              <w:rPr>
                <w:color w:val="auto"/>
                <w:sz w:val="24"/>
                <w:szCs w:val="24"/>
                <w:lang w:val="lv-LV"/>
              </w:rPr>
              <w:t>401</w:t>
            </w:r>
            <w:r w:rsidRPr="006D5F36">
              <w:rPr>
                <w:color w:val="auto"/>
                <w:sz w:val="24"/>
                <w:szCs w:val="24"/>
                <w:lang w:val="lv-LV"/>
              </w:rPr>
              <w:t>.</w:t>
            </w:r>
          </w:p>
          <w:p w14:paraId="5BFB5199" w14:textId="7A864FEF" w:rsidR="00D274B8" w:rsidRPr="00277C06" w:rsidRDefault="00277C06" w:rsidP="00D062F9">
            <w:pPr>
              <w:pStyle w:val="tv2131"/>
              <w:numPr>
                <w:ilvl w:val="2"/>
                <w:numId w:val="6"/>
              </w:numPr>
              <w:spacing w:line="240" w:lineRule="auto"/>
              <w:ind w:left="0" w:right="135" w:firstLine="720"/>
              <w:jc w:val="both"/>
              <w:rPr>
                <w:color w:val="auto"/>
                <w:sz w:val="24"/>
                <w:szCs w:val="24"/>
                <w:lang w:val="lv-LV"/>
              </w:rPr>
            </w:pPr>
            <w:r w:rsidRPr="00277C06">
              <w:rPr>
                <w:color w:val="auto"/>
                <w:sz w:val="24"/>
                <w:szCs w:val="24"/>
              </w:rPr>
              <w:t xml:space="preserve">Ar noteikumu projektu ir paredzēts novērst </w:t>
            </w:r>
            <w:r w:rsidR="00F2152E">
              <w:rPr>
                <w:color w:val="auto"/>
                <w:sz w:val="24"/>
                <w:szCs w:val="24"/>
              </w:rPr>
              <w:t>Eiropas Komisijas identificētās nepilnības</w:t>
            </w:r>
            <w:r w:rsidRPr="00277C06">
              <w:rPr>
                <w:color w:val="auto"/>
                <w:sz w:val="24"/>
                <w:szCs w:val="24"/>
              </w:rPr>
              <w:t xml:space="preserve"> Nr. EUP (2016)8656 par direktīvas 2010/75/ES </w:t>
            </w:r>
            <w:r w:rsidR="00F2152E">
              <w:rPr>
                <w:color w:val="auto"/>
                <w:sz w:val="24"/>
                <w:szCs w:val="24"/>
              </w:rPr>
              <w:t>prasību pārņemšanu</w:t>
            </w:r>
            <w:r w:rsidRPr="00277C06">
              <w:rPr>
                <w:color w:val="auto"/>
                <w:sz w:val="24"/>
                <w:szCs w:val="24"/>
              </w:rPr>
              <w:t xml:space="preserve"> noteikumos Nr. 401</w:t>
            </w:r>
            <w:r>
              <w:rPr>
                <w:color w:val="auto"/>
                <w:sz w:val="24"/>
                <w:szCs w:val="24"/>
              </w:rPr>
              <w:t>, it īpaši attiecībā uz Direktīvas 2010/75/ES IV pielikumā noteiktajām prasībām atkritumu līdzsadedzināšanas nosacījumiem un emisiju robežvērtībām.</w:t>
            </w:r>
          </w:p>
          <w:p w14:paraId="7C330048" w14:textId="26A07357" w:rsidR="00DF6FCD" w:rsidRPr="005A44F7" w:rsidRDefault="00DF6FCD" w:rsidP="00D062F9">
            <w:pPr>
              <w:pStyle w:val="tv2131"/>
              <w:numPr>
                <w:ilvl w:val="1"/>
                <w:numId w:val="6"/>
              </w:numPr>
              <w:spacing w:line="240" w:lineRule="auto"/>
              <w:ind w:left="0" w:right="135" w:firstLine="720"/>
              <w:jc w:val="both"/>
              <w:rPr>
                <w:color w:val="auto"/>
                <w:sz w:val="24"/>
                <w:szCs w:val="24"/>
                <w:lang w:val="lv-LV"/>
              </w:rPr>
            </w:pPr>
            <w:r w:rsidRPr="005A44F7">
              <w:rPr>
                <w:color w:val="auto"/>
                <w:sz w:val="24"/>
                <w:szCs w:val="24"/>
                <w:lang w:val="lv-LV"/>
              </w:rPr>
              <w:t>tiesiskā regulējuma mērķis un būtība</w:t>
            </w:r>
            <w:r w:rsidR="0062550E" w:rsidRPr="005A44F7">
              <w:rPr>
                <w:color w:val="auto"/>
                <w:sz w:val="24"/>
                <w:szCs w:val="24"/>
                <w:lang w:val="lv-LV"/>
              </w:rPr>
              <w:t>:</w:t>
            </w:r>
          </w:p>
          <w:p w14:paraId="2DCDA290" w14:textId="0834EB41" w:rsidR="0025446D" w:rsidRPr="0082666D" w:rsidRDefault="006A1B91" w:rsidP="00BB6911">
            <w:pPr>
              <w:pStyle w:val="tv2131"/>
              <w:spacing w:line="240" w:lineRule="auto"/>
              <w:ind w:right="135" w:firstLine="0"/>
              <w:jc w:val="both"/>
              <w:rPr>
                <w:b/>
                <w:bCs/>
                <w:color w:val="auto"/>
                <w:sz w:val="24"/>
                <w:szCs w:val="24"/>
                <w:lang w:val="lv-LV"/>
              </w:rPr>
            </w:pPr>
            <w:r>
              <w:rPr>
                <w:color w:val="auto"/>
                <w:sz w:val="24"/>
                <w:szCs w:val="24"/>
                <w:lang w:val="lv-LV"/>
              </w:rPr>
              <w:lastRenderedPageBreak/>
              <w:t xml:space="preserve">2.2.1. </w:t>
            </w:r>
            <w:r w:rsidR="0025446D">
              <w:rPr>
                <w:color w:val="auto"/>
                <w:sz w:val="24"/>
                <w:szCs w:val="24"/>
                <w:lang w:val="lv-LV"/>
              </w:rPr>
              <w:t>precizēti atkritumu sadedzināšanas iekārtu veidi, uz kuriem attiecas MK noteikumu Nr.401 prasības</w:t>
            </w:r>
            <w:r w:rsidR="00EE5384">
              <w:rPr>
                <w:color w:val="auto"/>
                <w:sz w:val="24"/>
                <w:szCs w:val="24"/>
                <w:lang w:val="lv-LV"/>
              </w:rPr>
              <w:t xml:space="preserve">. Noteikumu projektā tiek noteikts, </w:t>
            </w:r>
            <w:r w:rsidR="00EE5384" w:rsidRPr="0082666D">
              <w:rPr>
                <w:color w:val="auto"/>
                <w:sz w:val="24"/>
                <w:szCs w:val="24"/>
                <w:lang w:val="lv-LV"/>
              </w:rPr>
              <w:t xml:space="preserve">ka arī </w:t>
            </w:r>
            <w:r w:rsidR="00EE5384" w:rsidRPr="0082666D">
              <w:rPr>
                <w:noProof/>
                <w:color w:val="auto"/>
                <w:sz w:val="24"/>
                <w:szCs w:val="24"/>
              </w:rPr>
              <w:t>atkritumu termiskās apstrādes procesu, gan arī tam sekojošo sadedzināšanas procesu, ja atkritumu termiskai apstrādei izmanto nevis oksidāciju, bet citus procesus, piemēram, pirolīzi, gazifikāciju vai plazmas procesu uzskata par atkritumu sadedzināšanas vai līdzsadedzināšanas iekārtu. Tādejādi tiek paredzēts, ka noteikumu projekta prasības attieksies arī uz citiem atkritumu termiskās apstrādes procesiem.</w:t>
            </w:r>
            <w:r w:rsidR="00EE5384" w:rsidRPr="0082666D">
              <w:rPr>
                <w:b/>
                <w:bCs/>
                <w:noProof/>
                <w:color w:val="auto"/>
                <w:sz w:val="24"/>
                <w:szCs w:val="24"/>
              </w:rPr>
              <w:t xml:space="preserve"> </w:t>
            </w:r>
          </w:p>
          <w:p w14:paraId="381D57FE" w14:textId="48EC2DF9" w:rsidR="0025446D" w:rsidRDefault="0025446D" w:rsidP="00BB6911">
            <w:pPr>
              <w:pStyle w:val="tv2131"/>
              <w:spacing w:line="240" w:lineRule="auto"/>
              <w:ind w:right="135" w:firstLine="0"/>
              <w:jc w:val="both"/>
              <w:rPr>
                <w:color w:val="auto"/>
                <w:sz w:val="24"/>
                <w:szCs w:val="24"/>
                <w:lang w:val="lv-LV"/>
              </w:rPr>
            </w:pPr>
            <w:r>
              <w:rPr>
                <w:color w:val="auto"/>
                <w:sz w:val="24"/>
                <w:szCs w:val="24"/>
                <w:lang w:val="lv-LV"/>
              </w:rPr>
              <w:t>2.2.2. precizēti atkritumu sadedzināšanas iekārtu veidi, uz kuriem neattiecas MK noteikumu Nr.401 prasības;</w:t>
            </w:r>
          </w:p>
          <w:p w14:paraId="27AC7D9A" w14:textId="62824174" w:rsidR="003E5EE9" w:rsidRDefault="003E5EE9" w:rsidP="00BB6911">
            <w:pPr>
              <w:pStyle w:val="tv2131"/>
              <w:spacing w:line="240" w:lineRule="auto"/>
              <w:ind w:right="135" w:firstLine="0"/>
              <w:jc w:val="both"/>
              <w:rPr>
                <w:color w:val="auto"/>
                <w:sz w:val="24"/>
                <w:szCs w:val="24"/>
                <w:lang w:val="lv-LV"/>
              </w:rPr>
            </w:pPr>
            <w:r>
              <w:rPr>
                <w:color w:val="auto"/>
                <w:sz w:val="24"/>
                <w:szCs w:val="24"/>
                <w:lang w:val="lv-LV"/>
              </w:rPr>
              <w:t>2.2.3. precizētas un papildinātas prasības atkritumu sadedzināšanas iekārtas operatora veiktajām darbībām atkritumu sadedzināšanas iekārtu darbības nodrošināšanai videi un cilvēku dzīvībai un veselībai drošā veidā;</w:t>
            </w:r>
          </w:p>
          <w:p w14:paraId="3A15E7BE" w14:textId="18DE3BC7" w:rsidR="003E5EE9" w:rsidRPr="00B46C89" w:rsidRDefault="003E5EE9" w:rsidP="00BB6911">
            <w:pPr>
              <w:pStyle w:val="tv2131"/>
              <w:spacing w:line="240" w:lineRule="auto"/>
              <w:ind w:right="135" w:firstLine="0"/>
              <w:jc w:val="both"/>
              <w:rPr>
                <w:color w:val="auto"/>
                <w:sz w:val="24"/>
                <w:szCs w:val="24"/>
                <w:lang w:val="lv-LV"/>
              </w:rPr>
            </w:pPr>
            <w:r>
              <w:rPr>
                <w:color w:val="auto"/>
                <w:sz w:val="24"/>
                <w:szCs w:val="24"/>
                <w:lang w:val="lv-LV"/>
              </w:rPr>
              <w:t>2.2.4. ietvertas papildus prasības attiecībā uz būtiskām izmaiņām atkritumu sadedzināšanas iekārtām izsniegtajās atļaujās A kategorijas piesārņojošas darbības veikšanai</w:t>
            </w:r>
            <w:r w:rsidR="00EE5384">
              <w:rPr>
                <w:color w:val="auto"/>
                <w:sz w:val="24"/>
                <w:szCs w:val="24"/>
                <w:lang w:val="lv-LV"/>
              </w:rPr>
              <w:t>.</w:t>
            </w:r>
            <w:r w:rsidR="00EE5384" w:rsidRPr="0075069C">
              <w:t xml:space="preserve"> </w:t>
            </w:r>
            <w:r w:rsidR="00EE5384" w:rsidRPr="00B46C89">
              <w:rPr>
                <w:color w:val="auto"/>
                <w:sz w:val="24"/>
                <w:szCs w:val="24"/>
              </w:rPr>
              <w:t xml:space="preserve">Noteikumu projekts paredz, ka par būtisku izmaiņu atbilstoši normatīvajiem aktiem par piesārņojumu uzskata atkritumu sadedzināšanas vai līdzsadedzināšanas iekārtas darbības veida maiņu, kas saistīta ar bīstamo atkritumu sadedzināšanu atkritumu sadedzināšanas vai līdzsadedzināšanas iekārtās, kas ir tādu iekārtu daļa, kuru darbībai ir izdota A kategorijas piesārņojošas darbības atļauja un kurās dedzina tikai nebīstamus atkritumus. Tādejādi, ja sadzīves atkritumu sadedzināšanai paredzētajās iekārtās tiktu plānots dedzināt arī bīstamos atkritumus, būtu nepieciešams veikt attiecīgus grozījumus minēto iekārtu darbībai izsniegtajā A kategorijas atļaujā, un atbilstoši noteikumu projekta regulējumam, šāda izmaiņa attiecīgajā atļaujā ir uzskatāma par būtisku. </w:t>
            </w:r>
          </w:p>
          <w:p w14:paraId="04473898" w14:textId="001AB700" w:rsidR="0062550E" w:rsidRDefault="006F7B4C" w:rsidP="00BB6911">
            <w:pPr>
              <w:pStyle w:val="tv2131"/>
              <w:spacing w:line="240" w:lineRule="auto"/>
              <w:ind w:right="135" w:firstLine="0"/>
              <w:jc w:val="both"/>
              <w:rPr>
                <w:color w:val="auto"/>
                <w:sz w:val="24"/>
                <w:szCs w:val="24"/>
                <w:lang w:val="lv-LV"/>
              </w:rPr>
            </w:pPr>
            <w:r>
              <w:rPr>
                <w:color w:val="auto"/>
                <w:sz w:val="24"/>
                <w:szCs w:val="24"/>
                <w:lang w:val="lv-LV"/>
              </w:rPr>
              <w:t>2.2.</w:t>
            </w:r>
            <w:r w:rsidR="003E5EE9">
              <w:rPr>
                <w:color w:val="auto"/>
                <w:sz w:val="24"/>
                <w:szCs w:val="24"/>
                <w:lang w:val="lv-LV"/>
              </w:rPr>
              <w:t>5</w:t>
            </w:r>
            <w:r>
              <w:rPr>
                <w:color w:val="auto"/>
                <w:sz w:val="24"/>
                <w:szCs w:val="24"/>
                <w:lang w:val="lv-LV"/>
              </w:rPr>
              <w:t xml:space="preserve">. </w:t>
            </w:r>
            <w:r w:rsidR="006A1B91">
              <w:rPr>
                <w:color w:val="auto"/>
                <w:sz w:val="24"/>
                <w:szCs w:val="24"/>
                <w:lang w:val="lv-LV"/>
              </w:rPr>
              <w:t xml:space="preserve">precizētas prasības atkritumu pieņemšanai atkritumu sadedzināšanas vai līdzsadedzināšanas iekārtās, </w:t>
            </w:r>
          </w:p>
          <w:p w14:paraId="1BEB294F" w14:textId="41CB5745" w:rsidR="00720846" w:rsidRDefault="00720846" w:rsidP="00BB6911">
            <w:pPr>
              <w:pStyle w:val="tv2131"/>
              <w:spacing w:line="240" w:lineRule="auto"/>
              <w:ind w:right="135" w:firstLine="0"/>
              <w:jc w:val="both"/>
              <w:rPr>
                <w:color w:val="auto"/>
                <w:sz w:val="24"/>
                <w:szCs w:val="24"/>
                <w:lang w:val="lv-LV"/>
              </w:rPr>
            </w:pPr>
            <w:r>
              <w:rPr>
                <w:color w:val="auto"/>
                <w:sz w:val="24"/>
                <w:szCs w:val="24"/>
                <w:lang w:val="lv-LV"/>
              </w:rPr>
              <w:t>2.2.6. precizētas prasības atkritumu sadedzināšanas</w:t>
            </w:r>
            <w:r w:rsidR="000A7510">
              <w:rPr>
                <w:color w:val="auto"/>
                <w:sz w:val="24"/>
                <w:szCs w:val="24"/>
                <w:lang w:val="lv-LV"/>
              </w:rPr>
              <w:t xml:space="preserve"> iekārtu kameru aprīkojumam; </w:t>
            </w:r>
          </w:p>
          <w:p w14:paraId="30DFBD25" w14:textId="72EA8A5A" w:rsidR="000A7510" w:rsidRDefault="000A7510" w:rsidP="00BB6911">
            <w:pPr>
              <w:pStyle w:val="tv2131"/>
              <w:spacing w:line="240" w:lineRule="auto"/>
              <w:ind w:right="135" w:firstLine="0"/>
              <w:jc w:val="both"/>
              <w:rPr>
                <w:color w:val="auto"/>
                <w:sz w:val="24"/>
                <w:szCs w:val="24"/>
                <w:lang w:val="lv-LV"/>
              </w:rPr>
            </w:pPr>
            <w:r>
              <w:rPr>
                <w:color w:val="auto"/>
                <w:sz w:val="24"/>
                <w:szCs w:val="24"/>
                <w:lang w:val="lv-LV"/>
              </w:rPr>
              <w:t>2.2.7. paredzēts, ka Valsts vides dienests ir tiesīgs atļaujās A kategorijas piesārņojošas darbības veikšanai noteikt atkāpes no atsevišķām MK noteikumu Nr.401 prasībām, ievērojot noteikumu projektā paredzētos nosacījumus;</w:t>
            </w:r>
          </w:p>
          <w:p w14:paraId="2ACA9502" w14:textId="2995D40A" w:rsidR="000A7510" w:rsidRDefault="00147714" w:rsidP="00BB6911">
            <w:pPr>
              <w:pStyle w:val="tv2131"/>
              <w:spacing w:line="240" w:lineRule="auto"/>
              <w:ind w:right="135" w:firstLine="0"/>
              <w:jc w:val="both"/>
              <w:rPr>
                <w:color w:val="auto"/>
                <w:sz w:val="24"/>
                <w:szCs w:val="24"/>
                <w:lang w:val="lv-LV"/>
              </w:rPr>
            </w:pPr>
            <w:r>
              <w:rPr>
                <w:color w:val="auto"/>
                <w:sz w:val="24"/>
                <w:szCs w:val="24"/>
                <w:lang w:val="lv-LV"/>
              </w:rPr>
              <w:t>2.</w:t>
            </w:r>
            <w:r w:rsidR="00B201FA">
              <w:rPr>
                <w:color w:val="auto"/>
                <w:sz w:val="24"/>
                <w:szCs w:val="24"/>
                <w:lang w:val="lv-LV"/>
              </w:rPr>
              <w:t>2</w:t>
            </w:r>
            <w:r>
              <w:rPr>
                <w:color w:val="auto"/>
                <w:sz w:val="24"/>
                <w:szCs w:val="24"/>
                <w:lang w:val="lv-LV"/>
              </w:rPr>
              <w:t>.8. precizētas prasības atkritumu sadedzināšanas iekārtu notekūdeņu attīrīšanai un novadīšanai vidē pēc attīrīšanas;</w:t>
            </w:r>
          </w:p>
          <w:p w14:paraId="3C2CE690" w14:textId="7C9C6BB3" w:rsidR="006A1B91" w:rsidRDefault="006A1B91" w:rsidP="00BB6911">
            <w:pPr>
              <w:pStyle w:val="tv2131"/>
              <w:spacing w:line="240" w:lineRule="auto"/>
              <w:ind w:right="135" w:firstLine="0"/>
              <w:jc w:val="both"/>
              <w:rPr>
                <w:color w:val="auto"/>
                <w:sz w:val="24"/>
                <w:szCs w:val="24"/>
                <w:lang w:val="lv-LV"/>
              </w:rPr>
            </w:pPr>
            <w:r>
              <w:rPr>
                <w:color w:val="auto"/>
                <w:sz w:val="24"/>
                <w:szCs w:val="24"/>
                <w:lang w:val="lv-LV"/>
              </w:rPr>
              <w:t>2.2.</w:t>
            </w:r>
            <w:r w:rsidR="00B201FA">
              <w:rPr>
                <w:color w:val="auto"/>
                <w:sz w:val="24"/>
                <w:szCs w:val="24"/>
                <w:lang w:val="lv-LV"/>
              </w:rPr>
              <w:t>9</w:t>
            </w:r>
            <w:r>
              <w:rPr>
                <w:color w:val="auto"/>
                <w:sz w:val="24"/>
                <w:szCs w:val="24"/>
                <w:lang w:val="lv-LV"/>
              </w:rPr>
              <w:t>. precizētas prasības atkritumu sadedzināšanas vai līdzsadedzināšanas iekārtu emisiju monitoringa veikšanai, kā arī monitoringa veikšanai izmantojamā aprīkojuma kalibrēšanai</w:t>
            </w:r>
            <w:r w:rsidR="00B201FA">
              <w:rPr>
                <w:color w:val="auto"/>
                <w:sz w:val="24"/>
                <w:szCs w:val="24"/>
                <w:lang w:val="lv-LV"/>
              </w:rPr>
              <w:t>, piemērojamiem standartiem un laboratorijām, kuras ir tiesīgas veikt attiecīgos emisiju mērījumus</w:t>
            </w:r>
            <w:r>
              <w:rPr>
                <w:color w:val="auto"/>
                <w:sz w:val="24"/>
                <w:szCs w:val="24"/>
                <w:lang w:val="lv-LV"/>
              </w:rPr>
              <w:t>;</w:t>
            </w:r>
          </w:p>
          <w:p w14:paraId="158C3FC9" w14:textId="21AC66C5" w:rsidR="00B201FA" w:rsidRDefault="006A1B91" w:rsidP="00BB6911">
            <w:pPr>
              <w:pStyle w:val="tv2131"/>
              <w:spacing w:line="240" w:lineRule="auto"/>
              <w:ind w:right="135" w:firstLine="0"/>
              <w:jc w:val="both"/>
              <w:rPr>
                <w:color w:val="auto"/>
                <w:sz w:val="24"/>
                <w:szCs w:val="24"/>
                <w:lang w:val="lv-LV"/>
              </w:rPr>
            </w:pPr>
            <w:r>
              <w:rPr>
                <w:color w:val="auto"/>
                <w:sz w:val="24"/>
                <w:szCs w:val="24"/>
                <w:lang w:val="lv-LV"/>
              </w:rPr>
              <w:t>2.2.</w:t>
            </w:r>
            <w:r w:rsidR="00B201FA">
              <w:rPr>
                <w:color w:val="auto"/>
                <w:sz w:val="24"/>
                <w:szCs w:val="24"/>
                <w:lang w:val="lv-LV"/>
              </w:rPr>
              <w:t>10</w:t>
            </w:r>
            <w:r>
              <w:rPr>
                <w:color w:val="auto"/>
                <w:sz w:val="24"/>
                <w:szCs w:val="24"/>
                <w:lang w:val="lv-LV"/>
              </w:rPr>
              <w:t xml:space="preserve">. </w:t>
            </w:r>
            <w:r w:rsidR="00B201FA">
              <w:rPr>
                <w:color w:val="auto"/>
                <w:sz w:val="24"/>
                <w:szCs w:val="24"/>
                <w:lang w:val="lv-LV"/>
              </w:rPr>
              <w:t xml:space="preserve">precizētas prasības </w:t>
            </w:r>
            <w:r w:rsidR="00654E83">
              <w:rPr>
                <w:color w:val="auto"/>
                <w:sz w:val="24"/>
                <w:szCs w:val="24"/>
                <w:lang w:val="lv-LV"/>
              </w:rPr>
              <w:t xml:space="preserve">atkritumu sadedzināšanas un līdzsadedzināšanas iekārtu </w:t>
            </w:r>
            <w:r w:rsidR="00B201FA">
              <w:rPr>
                <w:color w:val="auto"/>
                <w:sz w:val="24"/>
                <w:szCs w:val="24"/>
                <w:lang w:val="lv-LV"/>
              </w:rPr>
              <w:t xml:space="preserve">emisiju robežvērtību mērījumu standartizēšanas </w:t>
            </w:r>
            <w:r w:rsidR="00654E83">
              <w:rPr>
                <w:color w:val="auto"/>
                <w:sz w:val="24"/>
                <w:szCs w:val="24"/>
                <w:lang w:val="lv-LV"/>
              </w:rPr>
              <w:t>nosacījumiem;</w:t>
            </w:r>
          </w:p>
          <w:p w14:paraId="10DB2E6E" w14:textId="7131E118" w:rsidR="007A06A4" w:rsidRDefault="00654E83" w:rsidP="00BB6911">
            <w:pPr>
              <w:pStyle w:val="tv2131"/>
              <w:spacing w:line="240" w:lineRule="auto"/>
              <w:ind w:right="135" w:firstLine="0"/>
              <w:jc w:val="both"/>
              <w:rPr>
                <w:color w:val="auto"/>
                <w:sz w:val="24"/>
                <w:szCs w:val="24"/>
                <w:lang w:val="lv-LV"/>
              </w:rPr>
            </w:pPr>
            <w:r>
              <w:rPr>
                <w:color w:val="auto"/>
                <w:sz w:val="24"/>
                <w:szCs w:val="24"/>
                <w:lang w:val="lv-LV"/>
              </w:rPr>
              <w:t>2.2.11. noteiktas prasības</w:t>
            </w:r>
            <w:r w:rsidR="007A06A4">
              <w:rPr>
                <w:color w:val="auto"/>
                <w:sz w:val="24"/>
                <w:szCs w:val="24"/>
                <w:lang w:val="lv-LV"/>
              </w:rPr>
              <w:t xml:space="preserve"> attiecība uz</w:t>
            </w:r>
            <w:r>
              <w:rPr>
                <w:color w:val="auto"/>
                <w:sz w:val="24"/>
                <w:szCs w:val="24"/>
                <w:lang w:val="lv-LV"/>
              </w:rPr>
              <w:t xml:space="preserve"> atkritumu sadedzināšanas vai līdzsadedzināšanas iekārtu operatora</w:t>
            </w:r>
            <w:r w:rsidR="007A06A4">
              <w:rPr>
                <w:color w:val="auto"/>
                <w:sz w:val="24"/>
                <w:szCs w:val="24"/>
                <w:lang w:val="lv-LV"/>
              </w:rPr>
              <w:t xml:space="preserve"> pienākumu iesniegt attiecīgo iekārtu darbības pārskatu </w:t>
            </w:r>
            <w:r w:rsidR="00F2152E">
              <w:rPr>
                <w:color w:val="auto"/>
                <w:sz w:val="24"/>
                <w:szCs w:val="24"/>
                <w:lang w:val="lv-LV"/>
              </w:rPr>
              <w:t>valsts sabiedrībai ar ierobežotu atbildību</w:t>
            </w:r>
            <w:r w:rsidR="007A06A4">
              <w:rPr>
                <w:color w:val="auto"/>
                <w:sz w:val="24"/>
                <w:szCs w:val="24"/>
                <w:lang w:val="lv-LV"/>
              </w:rPr>
              <w:t xml:space="preserve"> “Latvijas Vides, ģeoloģijas un hidrometeoroloģijas centram”; </w:t>
            </w:r>
            <w:r>
              <w:rPr>
                <w:color w:val="auto"/>
                <w:sz w:val="24"/>
                <w:szCs w:val="24"/>
                <w:lang w:val="lv-LV"/>
              </w:rPr>
              <w:t xml:space="preserve"> </w:t>
            </w:r>
          </w:p>
          <w:p w14:paraId="5F419594" w14:textId="77777777" w:rsidR="0082666D" w:rsidRDefault="007A06A4" w:rsidP="00BB6911">
            <w:pPr>
              <w:pStyle w:val="tv2131"/>
              <w:spacing w:line="240" w:lineRule="auto"/>
              <w:ind w:right="135" w:firstLine="0"/>
              <w:jc w:val="both"/>
              <w:rPr>
                <w:color w:val="auto"/>
                <w:sz w:val="24"/>
                <w:szCs w:val="24"/>
                <w:lang w:val="lv-LV"/>
              </w:rPr>
            </w:pPr>
            <w:r>
              <w:rPr>
                <w:color w:val="auto"/>
                <w:sz w:val="24"/>
                <w:szCs w:val="24"/>
                <w:lang w:val="lv-LV"/>
              </w:rPr>
              <w:lastRenderedPageBreak/>
              <w:t xml:space="preserve">2.2.12. </w:t>
            </w:r>
            <w:r w:rsidR="00FF7D35" w:rsidRPr="00E606D3">
              <w:rPr>
                <w:color w:val="auto"/>
                <w:sz w:val="24"/>
                <w:szCs w:val="24"/>
                <w:lang w:val="lv-LV"/>
              </w:rPr>
              <w:t>precizētas</w:t>
            </w:r>
            <w:r w:rsidRPr="00E606D3">
              <w:rPr>
                <w:color w:val="auto"/>
                <w:sz w:val="24"/>
                <w:szCs w:val="24"/>
                <w:lang w:val="lv-LV"/>
              </w:rPr>
              <w:t xml:space="preserve"> prasības a</w:t>
            </w:r>
            <w:r w:rsidRPr="00B46C89">
              <w:rPr>
                <w:color w:val="auto"/>
                <w:sz w:val="24"/>
                <w:szCs w:val="24"/>
                <w:lang w:val="lv-LV"/>
              </w:rPr>
              <w:t>tkritumu līdzsadedzināšanas iekārtām noteikto robežvērtību aprēķināšanai emisijai gaisā</w:t>
            </w:r>
            <w:r w:rsidRPr="00E606D3">
              <w:rPr>
                <w:color w:val="auto"/>
                <w:sz w:val="24"/>
                <w:szCs w:val="24"/>
                <w:lang w:val="lv-LV"/>
              </w:rPr>
              <w:t xml:space="preserve">, tajā skaitā nosakot prasības </w:t>
            </w:r>
            <w:r w:rsidRPr="00B46C89">
              <w:rPr>
                <w:color w:val="auto"/>
                <w:sz w:val="24"/>
                <w:szCs w:val="24"/>
                <w:lang w:val="lv-LV"/>
              </w:rPr>
              <w:t xml:space="preserve">piesārņotāju un oglekļa monoksīda emisijas </w:t>
            </w:r>
            <w:r w:rsidR="00E606D3" w:rsidRPr="00E606D3">
              <w:rPr>
                <w:color w:val="auto"/>
                <w:sz w:val="24"/>
                <w:szCs w:val="24"/>
                <w:lang w:val="lv-LV"/>
              </w:rPr>
              <w:t>robežvērtībām</w:t>
            </w:r>
            <w:r w:rsidRPr="00B46C89">
              <w:rPr>
                <w:color w:val="auto"/>
                <w:sz w:val="24"/>
                <w:szCs w:val="24"/>
                <w:lang w:val="lv-LV"/>
              </w:rPr>
              <w:t xml:space="preserve"> izplūdes gāzēs no atkritumu līdzsadedzināšanas iekārtām, kurās izmanto cieto kurināmo, biomasu, šķidro kurināmo, </w:t>
            </w:r>
            <w:r w:rsidR="003666FB" w:rsidRPr="00B46C89">
              <w:rPr>
                <w:color w:val="auto"/>
                <w:sz w:val="24"/>
                <w:szCs w:val="24"/>
                <w:lang w:val="lv-LV"/>
              </w:rPr>
              <w:t>kā arī paraugu ņemšanai un mērījumu standartizācijas nosacījumiem</w:t>
            </w:r>
            <w:r w:rsidR="0082666D">
              <w:rPr>
                <w:color w:val="auto"/>
                <w:sz w:val="24"/>
                <w:szCs w:val="24"/>
                <w:lang w:val="lv-LV"/>
              </w:rPr>
              <w:t>;</w:t>
            </w:r>
          </w:p>
          <w:p w14:paraId="51165C3B" w14:textId="77777777" w:rsidR="0082666D" w:rsidRDefault="0082666D" w:rsidP="00BB6911">
            <w:pPr>
              <w:pStyle w:val="tv2131"/>
              <w:spacing w:line="240" w:lineRule="auto"/>
              <w:ind w:right="135" w:firstLine="0"/>
              <w:jc w:val="both"/>
              <w:rPr>
                <w:color w:val="auto"/>
                <w:sz w:val="24"/>
                <w:szCs w:val="24"/>
              </w:rPr>
            </w:pPr>
            <w:r>
              <w:rPr>
                <w:color w:val="auto"/>
                <w:sz w:val="24"/>
                <w:szCs w:val="24"/>
              </w:rPr>
              <w:t>2.2.13. precizēta atbildīgā iestāde par MK noteikumu Nr.401 prasību piemērošanu, aizstājot visa noteikumu tekstā norādes uz Valsts vides dienesta reģionālo vides pārvaldi ar norādi uz Valsts vides dienestu;</w:t>
            </w:r>
          </w:p>
          <w:p w14:paraId="7F1EE377" w14:textId="4BD5FF06" w:rsidR="006A1B91" w:rsidRPr="003666FB" w:rsidRDefault="0082666D" w:rsidP="00BB6911">
            <w:pPr>
              <w:pStyle w:val="tv2131"/>
              <w:spacing w:line="240" w:lineRule="auto"/>
              <w:ind w:right="135" w:firstLine="0"/>
              <w:jc w:val="both"/>
              <w:rPr>
                <w:color w:val="auto"/>
                <w:sz w:val="24"/>
                <w:szCs w:val="24"/>
              </w:rPr>
            </w:pPr>
            <w:r>
              <w:rPr>
                <w:color w:val="auto"/>
                <w:sz w:val="24"/>
                <w:szCs w:val="24"/>
              </w:rPr>
              <w:t>2.2.14. izvērtējot direktīvas</w:t>
            </w:r>
            <w:r w:rsidR="003666FB">
              <w:rPr>
                <w:color w:val="auto"/>
                <w:sz w:val="24"/>
                <w:szCs w:val="24"/>
              </w:rPr>
              <w:t xml:space="preserve"> </w:t>
            </w:r>
            <w:r w:rsidRPr="006D5F36">
              <w:rPr>
                <w:color w:val="auto"/>
                <w:sz w:val="24"/>
                <w:szCs w:val="24"/>
                <w:lang w:val="lv-LV"/>
              </w:rPr>
              <w:t>2010/75/ES</w:t>
            </w:r>
            <w:r>
              <w:rPr>
                <w:color w:val="auto"/>
                <w:sz w:val="24"/>
                <w:szCs w:val="24"/>
                <w:lang w:val="lv-LV"/>
              </w:rPr>
              <w:t xml:space="preserve"> prasības atkritumu sadedzināšanas iekārtu darbībai</w:t>
            </w:r>
            <w:r w:rsidR="002B1ED1">
              <w:rPr>
                <w:color w:val="auto"/>
                <w:sz w:val="24"/>
                <w:szCs w:val="24"/>
                <w:lang w:val="lv-LV"/>
              </w:rPr>
              <w:t xml:space="preserve"> un MK noteikumus Nr.401, tika konstatēts, ka ir lietderīgi precizēt jēdzienu “cietās daļiņas”, tā kā direktīvā 2010/75/ES attiecībā uz prasībām atkritumu sadedzināšanas iekārtām tiek lietots jēdziens “putekļi”, savukārt attiecībā uz sadedzināšanas iekārtām kopumā tiek lietots arī jēdziens “cietās daļiņas”. </w:t>
            </w:r>
            <w:r w:rsidR="00D873E2">
              <w:rPr>
                <w:color w:val="auto"/>
                <w:sz w:val="24"/>
                <w:szCs w:val="24"/>
                <w:lang w:val="lv-LV"/>
              </w:rPr>
              <w:t>Lai nodrošinātu direktīvas 2010/75/ES prasību pārņemšanu, noteikumu Nr.401 tekstā jēdziens “cietās daļiņas” ir aizstāts ar jēdzienu “putekļi jeb daļiņas”, kurš ir definēts Ministru kabienta 2021.gada 7.janvāra noteikumos Nr.17 “</w:t>
            </w:r>
            <w:r w:rsidR="00D873E2" w:rsidRPr="00D873E2">
              <w:rPr>
                <w:color w:val="auto"/>
                <w:sz w:val="24"/>
                <w:szCs w:val="24"/>
              </w:rPr>
              <w:t>Noteikumi par gaisa piesārņojuma ierobežošanu no sadedzināšanas iekārtām</w:t>
            </w:r>
            <w:r w:rsidR="00D873E2">
              <w:rPr>
                <w:color w:val="auto"/>
                <w:sz w:val="24"/>
                <w:szCs w:val="24"/>
              </w:rPr>
              <w:t>” 2.18.</w:t>
            </w:r>
            <w:r w:rsidR="00F2152E">
              <w:rPr>
                <w:color w:val="auto"/>
                <w:sz w:val="24"/>
                <w:szCs w:val="24"/>
              </w:rPr>
              <w:t>apakš</w:t>
            </w:r>
            <w:r w:rsidR="00D873E2">
              <w:rPr>
                <w:color w:val="auto"/>
                <w:sz w:val="24"/>
                <w:szCs w:val="24"/>
              </w:rPr>
              <w:t>punktā.</w:t>
            </w:r>
            <w:r w:rsidR="00D873E2">
              <w:rPr>
                <w:rStyle w:val="FootnoteReference"/>
                <w:color w:val="auto"/>
                <w:sz w:val="24"/>
                <w:szCs w:val="24"/>
              </w:rPr>
              <w:footnoteReference w:id="2"/>
            </w:r>
          </w:p>
        </w:tc>
      </w:tr>
      <w:tr w:rsidR="00366FBF" w:rsidRPr="00FB41DC" w14:paraId="01D20790" w14:textId="77777777" w:rsidTr="00B227DD">
        <w:tc>
          <w:tcPr>
            <w:tcW w:w="720" w:type="dxa"/>
          </w:tcPr>
          <w:p w14:paraId="0397F219" w14:textId="2195F97E" w:rsidR="00D274B8" w:rsidRPr="00FB41DC" w:rsidRDefault="00D274B8" w:rsidP="00B227DD">
            <w:pPr>
              <w:jc w:val="center"/>
            </w:pPr>
            <w:r>
              <w:lastRenderedPageBreak/>
              <w:t>3</w:t>
            </w:r>
            <w:r w:rsidRPr="00FB41DC">
              <w:t>.</w:t>
            </w:r>
          </w:p>
        </w:tc>
        <w:tc>
          <w:tcPr>
            <w:tcW w:w="1445" w:type="dxa"/>
          </w:tcPr>
          <w:p w14:paraId="772F6120" w14:textId="4CF1A81D" w:rsidR="00D274B8" w:rsidRPr="00FB41DC" w:rsidRDefault="00323FC6" w:rsidP="00B227DD">
            <w:r>
              <w:t>Projekta izstrādē iesaistītās institūcijas un publiskas personas kapitālsabiedrības</w:t>
            </w:r>
          </w:p>
        </w:tc>
        <w:tc>
          <w:tcPr>
            <w:tcW w:w="7194" w:type="dxa"/>
          </w:tcPr>
          <w:p w14:paraId="6FAE03BB" w14:textId="67BC11C4" w:rsidR="00D274B8" w:rsidRPr="00FB41DC" w:rsidRDefault="00CD148D" w:rsidP="00B227DD">
            <w:pPr>
              <w:pStyle w:val="naiskr"/>
              <w:jc w:val="both"/>
            </w:pPr>
            <w:r>
              <w:t>Vides aizsardzības un reģionālās attīstības ministrija</w:t>
            </w:r>
            <w:r w:rsidR="00F2152E">
              <w:t xml:space="preserve"> (turpmāk – VARAM)</w:t>
            </w:r>
            <w:r>
              <w:t>, Valsts vides dienests</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4BE920C9"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C65024"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758568D8" w14:textId="28C6E8CA" w:rsidR="00C65024" w:rsidRPr="00C65024" w:rsidRDefault="00A86764" w:rsidP="004B665C">
            <w:pPr>
              <w:pStyle w:val="ListParagraph"/>
              <w:tabs>
                <w:tab w:val="left" w:pos="720"/>
              </w:tabs>
              <w:suppressAutoHyphens/>
              <w:ind w:left="0"/>
              <w:jc w:val="both"/>
            </w:pPr>
            <w:r>
              <w:t>1. </w:t>
            </w:r>
            <w:r w:rsidR="00BB6911" w:rsidRPr="00C65024">
              <w:t xml:space="preserve">Operatori (komersanti), kuri veic atkritumu sadedzināšanas vai līdzsadedzināšanas darbības; </w:t>
            </w:r>
          </w:p>
          <w:p w14:paraId="732233C7" w14:textId="736EC8A2" w:rsidR="00C65024" w:rsidRPr="00C65024" w:rsidRDefault="00A86764" w:rsidP="004B665C">
            <w:pPr>
              <w:pStyle w:val="ListParagraph"/>
              <w:tabs>
                <w:tab w:val="left" w:pos="720"/>
              </w:tabs>
              <w:suppressAutoHyphens/>
              <w:ind w:left="0"/>
              <w:jc w:val="both"/>
            </w:pPr>
            <w:r>
              <w:t>2. V</w:t>
            </w:r>
            <w:r w:rsidR="00BB6911" w:rsidRPr="00C65024">
              <w:t xml:space="preserve">ides </w:t>
            </w:r>
            <w:r w:rsidR="00C65024" w:rsidRPr="00C65024">
              <w:t xml:space="preserve">aizsardzības </w:t>
            </w:r>
            <w:r w:rsidR="00BB6911" w:rsidRPr="00C65024">
              <w:t>instit</w:t>
            </w:r>
            <w:r w:rsidR="00C65024">
              <w:t>ūcijas – Valsts vides dienests;</w:t>
            </w:r>
          </w:p>
          <w:p w14:paraId="495B89F2" w14:textId="7C13D281" w:rsidR="006D5F36" w:rsidRPr="00FB41DC" w:rsidRDefault="00A86764" w:rsidP="004B665C">
            <w:pPr>
              <w:pStyle w:val="ListParagraph"/>
              <w:tabs>
                <w:tab w:val="left" w:pos="720"/>
              </w:tabs>
              <w:suppressAutoHyphens/>
              <w:ind w:left="0"/>
              <w:jc w:val="both"/>
            </w:pPr>
            <w:r>
              <w:t>3. Noteikumu projekta</w:t>
            </w:r>
            <w:r w:rsidR="00BB6911" w:rsidRPr="00C65024">
              <w:t xml:space="preserve"> prasības netiešā veidā attiecināmas uz sabiedrību, kuras ieguvums būs kvalitatīvas vides nodrošinājums atbilstošā veidā apsaimniekojot (sadedzinot), tai skaitā, arī tās radītos atkritumus.</w:t>
            </w:r>
          </w:p>
        </w:tc>
      </w:tr>
      <w:tr w:rsidR="00C65024"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w:t>
            </w:r>
            <w:r w:rsidR="006D3ABB">
              <w:lastRenderedPageBreak/>
              <w:t>vidējiem uzņēmumiem, mi</w:t>
            </w:r>
            <w:r>
              <w:t>krouzņēmumiem un jaunuzņēmumiem.</w:t>
            </w:r>
          </w:p>
          <w:p w14:paraId="00F863CA" w14:textId="3BCD2455" w:rsidR="006D3ABB" w:rsidRDefault="0064594B" w:rsidP="00A31E9A">
            <w:pPr>
              <w:pStyle w:val="tv213"/>
              <w:jc w:val="both"/>
            </w:pPr>
            <w:r>
              <w:t xml:space="preserve">Noteikumu projekta prasības neattiecas </w:t>
            </w:r>
            <w:r w:rsidR="006D3ABB">
              <w:t xml:space="preserve">uz Nacionālā attīstības plāna </w:t>
            </w:r>
            <w:r w:rsidR="008F60BC">
              <w:t>2014.</w:t>
            </w:r>
            <w:r w:rsidR="00B25CDE">
              <w:t xml:space="preserve"> – </w:t>
            </w:r>
            <w:r w:rsidR="008F60BC">
              <w:t>2020.</w:t>
            </w:r>
            <w:r w:rsidR="00B25CDE">
              <w:t> </w:t>
            </w:r>
            <w:r w:rsidR="008F60BC">
              <w:t>gadam</w:t>
            </w:r>
            <w:r w:rsidR="009C6C28">
              <w:t xml:space="preserve"> un provizoriski – Nacionālā attīstības plāna 2021. – 2027. gadam</w:t>
            </w:r>
            <w:r w:rsidR="008F60BC">
              <w:t xml:space="preserve"> </w:t>
            </w:r>
            <w:r w:rsidR="006D3ABB">
              <w:t>rādītāj</w:t>
            </w:r>
            <w:r>
              <w:t>iem mikrolīmenī vai makrolīmenī.</w:t>
            </w:r>
          </w:p>
          <w:p w14:paraId="5418EC69" w14:textId="77777777" w:rsidR="006D3ABB" w:rsidRDefault="0064594B" w:rsidP="00A31E9A">
            <w:pPr>
              <w:pStyle w:val="tv213"/>
              <w:jc w:val="both"/>
            </w:pPr>
            <w:r>
              <w:t>Noteikumu projekta prasības neattiecas uz konkurenci.</w:t>
            </w:r>
          </w:p>
          <w:p w14:paraId="5B32628B" w14:textId="558BD918" w:rsidR="006D3ABB" w:rsidRDefault="0064594B" w:rsidP="00A31E9A">
            <w:pPr>
              <w:pStyle w:val="tv213"/>
              <w:jc w:val="both"/>
            </w:pPr>
            <w:r>
              <w:t>Noteikumu projekta ietekme uz vidi ir vērtējama pozitīvi, tā kā tiek noteiktas</w:t>
            </w:r>
            <w:r w:rsidR="00983832">
              <w:t xml:space="preserve"> </w:t>
            </w:r>
            <w:r w:rsidR="00C65024">
              <w:t xml:space="preserve">atkritumu sadedzināšanas un līdzsadedzināšanas </w:t>
            </w:r>
            <w:r w:rsidR="00983832" w:rsidRPr="006D5F36">
              <w:t>iekārtu radīto emisiju ierobežošanai, kontrolei un monitoringam</w:t>
            </w:r>
            <w:r>
              <w:t xml:space="preserve">.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C65024" w:rsidRPr="00FB41DC" w14:paraId="270C8E56" w14:textId="77777777" w:rsidTr="00B227DD">
        <w:tc>
          <w:tcPr>
            <w:tcW w:w="648" w:type="dxa"/>
          </w:tcPr>
          <w:p w14:paraId="6AD76514" w14:textId="77777777" w:rsidR="00D274B8" w:rsidRPr="00FB41DC" w:rsidRDefault="00D274B8" w:rsidP="00B227DD">
            <w:pPr>
              <w:jc w:val="center"/>
            </w:pPr>
            <w:r>
              <w:lastRenderedPageBreak/>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1F7F8F2F" w:rsidR="00D274B8" w:rsidRPr="00FB41DC" w:rsidRDefault="009C6C28" w:rsidP="00B227DD">
            <w:r>
              <w:t>Noteikumu p</w:t>
            </w:r>
            <w:r w:rsidR="00983832">
              <w:t xml:space="preserve">rojekts šo jomu neskar. </w:t>
            </w:r>
          </w:p>
        </w:tc>
      </w:tr>
      <w:tr w:rsidR="00C65024"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BA4BC56" w:rsidR="006D3ABB" w:rsidRDefault="009C6C28" w:rsidP="00B227DD">
            <w:r>
              <w:t>Noteikumu p</w:t>
            </w:r>
            <w:r w:rsidR="00A31E9A">
              <w:t>rojekts šo jomu neskar.</w:t>
            </w:r>
          </w:p>
        </w:tc>
      </w:tr>
      <w:tr w:rsidR="00C65024"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9DA2D45" w:rsidR="00D274B8" w:rsidRPr="00FB41DC" w:rsidRDefault="00D274B8" w:rsidP="00B227DD">
            <w:pPr>
              <w:jc w:val="both"/>
            </w:pPr>
            <w:r>
              <w:t>Nav</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42079DFD" w:rsidR="00D274B8" w:rsidRDefault="009C6C28" w:rsidP="00B227DD">
            <w:pPr>
              <w:jc w:val="center"/>
            </w:pPr>
            <w:r>
              <w:t>Noteikumu p</w:t>
            </w:r>
            <w:r w:rsidR="00D274B8">
              <w:t>rojekts šo jomu neskar.</w:t>
            </w:r>
          </w:p>
        </w:tc>
      </w:tr>
    </w:tbl>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3944B85F" w:rsidR="00D274B8" w:rsidRDefault="009C6C28" w:rsidP="00B227DD">
            <w:pPr>
              <w:jc w:val="center"/>
            </w:pPr>
            <w:r>
              <w:t>Noteikumu p</w:t>
            </w:r>
            <w:r w:rsidR="00D274B8">
              <w:t>rojekts šo jomu neskar.</w:t>
            </w:r>
          </w:p>
        </w:tc>
      </w:tr>
    </w:tbl>
    <w:p w14:paraId="3A96AFFB" w14:textId="77777777" w:rsidR="00D274B8"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2BA93EED" w14:textId="77777777" w:rsidR="00A31E9A" w:rsidRDefault="00983832" w:rsidP="00826F4B">
            <w:pPr>
              <w:pStyle w:val="naisc"/>
              <w:spacing w:before="0" w:after="0"/>
              <w:jc w:val="both"/>
            </w:pPr>
            <w:r>
              <w:t>Direktīva 2010/75/ES (OV L 334, 17.12.2010., 17. lpp.)</w:t>
            </w:r>
          </w:p>
          <w:p w14:paraId="4B61EAB9" w14:textId="34A42DA5" w:rsidR="00983832" w:rsidRPr="00483F49" w:rsidRDefault="00983832" w:rsidP="00826F4B">
            <w:pPr>
              <w:pStyle w:val="naisc"/>
              <w:spacing w:before="0" w:after="0"/>
              <w:jc w:val="both"/>
            </w:pPr>
          </w:p>
        </w:tc>
      </w:tr>
      <w:tr w:rsidR="00D274B8" w:rsidRPr="00FB41DC" w14:paraId="6EEBE583" w14:textId="77777777" w:rsidTr="00B227DD">
        <w:trPr>
          <w:jc w:val="center"/>
        </w:trPr>
        <w:tc>
          <w:tcPr>
            <w:tcW w:w="523" w:type="dxa"/>
          </w:tcPr>
          <w:p w14:paraId="0D2FAB52" w14:textId="16DFE12B"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1C61D69A" w:rsidR="00D274B8" w:rsidRPr="00FB41DC" w:rsidRDefault="00D90254" w:rsidP="00B227DD">
            <w:pPr>
              <w:pStyle w:val="naiskr"/>
              <w:tabs>
                <w:tab w:val="left" w:pos="2628"/>
              </w:tabs>
              <w:spacing w:before="0" w:after="0"/>
              <w:jc w:val="both"/>
            </w:pPr>
            <w:r>
              <w:t>Noteikumu p</w:t>
            </w:r>
            <w:r w:rsidR="00D274B8">
              <w:t>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646"/>
        <w:gridCol w:w="1843"/>
        <w:gridCol w:w="3931"/>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A71F90">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8F60BC" w:rsidRDefault="00D274B8" w:rsidP="008F60BC">
            <w:pPr>
              <w:pStyle w:val="naiskr"/>
              <w:spacing w:before="0" w:after="0"/>
              <w:ind w:hanging="10"/>
              <w:rPr>
                <w:b/>
              </w:rPr>
            </w:pPr>
            <w:r w:rsidRPr="008F60BC">
              <w:rPr>
                <w:b/>
              </w:rPr>
              <w:t>Attiecīgā ES tiesību akta datums, numurs un nosaukums</w:t>
            </w:r>
          </w:p>
        </w:tc>
        <w:tc>
          <w:tcPr>
            <w:tcW w:w="7420" w:type="dxa"/>
            <w:gridSpan w:val="3"/>
            <w:vAlign w:val="center"/>
          </w:tcPr>
          <w:p w14:paraId="25E35999" w14:textId="64249132" w:rsidR="00D274B8" w:rsidRPr="008F60BC" w:rsidRDefault="0004464E" w:rsidP="00B227DD">
            <w:pPr>
              <w:pStyle w:val="naisc"/>
              <w:spacing w:before="0" w:after="0"/>
              <w:jc w:val="both"/>
              <w:rPr>
                <w:b/>
              </w:rPr>
            </w:pPr>
            <w:r w:rsidRPr="00196710">
              <w:rPr>
                <w:rStyle w:val="Strong"/>
              </w:rPr>
              <w:t xml:space="preserve"> </w:t>
            </w:r>
            <w:r w:rsidR="00983832" w:rsidRPr="008F60BC">
              <w:rPr>
                <w:rStyle w:val="Strong"/>
              </w:rPr>
              <w:t>Direktīva 2010/75/ES</w:t>
            </w:r>
          </w:p>
        </w:tc>
      </w:tr>
      <w:tr w:rsidR="00D274B8" w:rsidRPr="00FB41DC" w14:paraId="2D29186C" w14:textId="77777777" w:rsidTr="006241FF">
        <w:trPr>
          <w:trHeight w:val="165"/>
          <w:jc w:val="center"/>
        </w:trPr>
        <w:tc>
          <w:tcPr>
            <w:tcW w:w="2035" w:type="dxa"/>
            <w:vAlign w:val="center"/>
          </w:tcPr>
          <w:p w14:paraId="43A5E662" w14:textId="77777777" w:rsidR="00D274B8" w:rsidRPr="00FB41DC" w:rsidRDefault="00D274B8" w:rsidP="008F60BC">
            <w:pPr>
              <w:pStyle w:val="naiskr"/>
              <w:spacing w:before="0" w:after="0"/>
              <w:jc w:val="center"/>
            </w:pPr>
            <w:r w:rsidRPr="00FB41DC">
              <w:t>A</w:t>
            </w:r>
          </w:p>
        </w:tc>
        <w:tc>
          <w:tcPr>
            <w:tcW w:w="1646" w:type="dxa"/>
            <w:vAlign w:val="center"/>
          </w:tcPr>
          <w:p w14:paraId="4E841D36" w14:textId="77777777" w:rsidR="00D274B8" w:rsidRPr="00FB41DC" w:rsidRDefault="00D274B8" w:rsidP="008F60BC">
            <w:pPr>
              <w:pStyle w:val="naiskr"/>
              <w:spacing w:before="0" w:after="0"/>
              <w:jc w:val="center"/>
            </w:pPr>
            <w:r w:rsidRPr="00FB41DC">
              <w:t>B</w:t>
            </w:r>
          </w:p>
        </w:tc>
        <w:tc>
          <w:tcPr>
            <w:tcW w:w="1843" w:type="dxa"/>
            <w:vAlign w:val="center"/>
          </w:tcPr>
          <w:p w14:paraId="3D6171C4" w14:textId="77777777" w:rsidR="00D274B8" w:rsidRPr="00FB41DC" w:rsidRDefault="00D274B8" w:rsidP="008F60BC">
            <w:pPr>
              <w:pStyle w:val="naiskr"/>
              <w:spacing w:before="0" w:after="0"/>
              <w:jc w:val="center"/>
            </w:pPr>
            <w:r w:rsidRPr="00FB41DC">
              <w:t>C</w:t>
            </w:r>
          </w:p>
        </w:tc>
        <w:tc>
          <w:tcPr>
            <w:tcW w:w="3931" w:type="dxa"/>
            <w:vAlign w:val="center"/>
          </w:tcPr>
          <w:p w14:paraId="5E563B2D" w14:textId="77777777" w:rsidR="00D274B8" w:rsidRPr="00FB41DC" w:rsidRDefault="00D274B8" w:rsidP="008F60BC">
            <w:pPr>
              <w:pStyle w:val="naiskr"/>
              <w:spacing w:before="0" w:after="0"/>
              <w:jc w:val="center"/>
            </w:pPr>
            <w:r w:rsidRPr="00FB41DC">
              <w:t>D</w:t>
            </w:r>
          </w:p>
        </w:tc>
      </w:tr>
      <w:tr w:rsidR="00352CFB" w:rsidRPr="00FB41DC" w14:paraId="6C24B8AA" w14:textId="77777777" w:rsidTr="006241FF">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 xml:space="preserve">Attiecīgā ES tiesību akta panta numurs (uzskaitot </w:t>
            </w:r>
            <w:r w:rsidRPr="00C76D9A">
              <w:rPr>
                <w:sz w:val="18"/>
              </w:rPr>
              <w:lastRenderedPageBreak/>
              <w:t>katru tiesību akta vienību – pantu, daļu, punktu, apakšpunktu)</w:t>
            </w:r>
          </w:p>
        </w:tc>
        <w:tc>
          <w:tcPr>
            <w:tcW w:w="1646" w:type="dxa"/>
          </w:tcPr>
          <w:p w14:paraId="756CC469" w14:textId="77777777" w:rsidR="00352CFB" w:rsidRPr="00C76D9A" w:rsidRDefault="00352CFB" w:rsidP="00352CFB">
            <w:pPr>
              <w:pStyle w:val="naiskr"/>
              <w:spacing w:before="0" w:after="0"/>
              <w:rPr>
                <w:sz w:val="18"/>
              </w:rPr>
            </w:pPr>
            <w:r w:rsidRPr="00C76D9A">
              <w:rPr>
                <w:sz w:val="18"/>
              </w:rPr>
              <w:lastRenderedPageBreak/>
              <w:t xml:space="preserve">Projekta vienība, kas pārņem vai ievieš </w:t>
            </w:r>
            <w:r w:rsidRPr="00C76D9A">
              <w:rPr>
                <w:sz w:val="18"/>
              </w:rPr>
              <w:lastRenderedPageBreak/>
              <w:t>katru šīs tabulas A ailē minēto ES tiesību akta vienību, vai tiesību akts, kur attiecīgā ES tiesību akta vienība pārņemta vai ieviesta</w:t>
            </w:r>
          </w:p>
        </w:tc>
        <w:tc>
          <w:tcPr>
            <w:tcW w:w="1843" w:type="dxa"/>
          </w:tcPr>
          <w:p w14:paraId="68B7EE2C" w14:textId="77777777" w:rsidR="00352CFB" w:rsidRPr="00C76D9A" w:rsidRDefault="00352CFB" w:rsidP="00352CFB">
            <w:pPr>
              <w:pStyle w:val="naiskr"/>
              <w:spacing w:before="0" w:after="0"/>
              <w:rPr>
                <w:sz w:val="18"/>
              </w:rPr>
            </w:pPr>
            <w:r w:rsidRPr="00C76D9A">
              <w:rPr>
                <w:sz w:val="18"/>
              </w:rPr>
              <w:lastRenderedPageBreak/>
              <w:t xml:space="preserve">Informācija par to, vai šīs tabulas A ailē </w:t>
            </w:r>
            <w:r w:rsidRPr="00C76D9A">
              <w:rPr>
                <w:sz w:val="18"/>
              </w:rPr>
              <w:lastRenderedPageBreak/>
              <w:t>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7338FBE7" w14:textId="77777777" w:rsidR="00352CFB" w:rsidRPr="00C76D9A" w:rsidRDefault="00352CFB" w:rsidP="00352CFB">
            <w:pPr>
              <w:pStyle w:val="naiskr"/>
              <w:spacing w:before="0" w:after="0"/>
              <w:rPr>
                <w:sz w:val="18"/>
              </w:rPr>
            </w:pPr>
            <w:r w:rsidRPr="00C76D9A">
              <w:rPr>
                <w:sz w:val="18"/>
              </w:rPr>
              <w:lastRenderedPageBreak/>
              <w:t xml:space="preserve">Informācija par to, vai šīs tabulas B ailē minētās projekta vienības paredz stingrākas prasības nekā šīs </w:t>
            </w:r>
            <w:r w:rsidRPr="00C76D9A">
              <w:rPr>
                <w:sz w:val="18"/>
              </w:rPr>
              <w:lastRenderedPageBreak/>
              <w:t>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B6531A" w14:paraId="27A903EE" w14:textId="77777777" w:rsidTr="006241FF">
        <w:trPr>
          <w:trHeight w:val="313"/>
          <w:jc w:val="center"/>
        </w:trPr>
        <w:tc>
          <w:tcPr>
            <w:tcW w:w="2035" w:type="dxa"/>
          </w:tcPr>
          <w:p w14:paraId="57CD3363" w14:textId="751A1BBD" w:rsidR="00B6531A" w:rsidRPr="006241FF" w:rsidRDefault="00B6531A" w:rsidP="00B6531A">
            <w:pPr>
              <w:pStyle w:val="naiskr"/>
              <w:spacing w:before="0" w:after="0"/>
              <w:jc w:val="both"/>
            </w:pPr>
            <w:r w:rsidRPr="006241FF">
              <w:lastRenderedPageBreak/>
              <w:t>3.panta 41.punkts</w:t>
            </w:r>
          </w:p>
        </w:tc>
        <w:tc>
          <w:tcPr>
            <w:tcW w:w="1646" w:type="dxa"/>
          </w:tcPr>
          <w:p w14:paraId="763950E0" w14:textId="79AE72EA" w:rsidR="00B6531A" w:rsidRDefault="009C12C0" w:rsidP="00B6531A">
            <w:pPr>
              <w:pStyle w:val="naiskr"/>
              <w:spacing w:before="0" w:after="0"/>
              <w:jc w:val="both"/>
            </w:pPr>
            <w:r>
              <w:t xml:space="preserve">1.un </w:t>
            </w:r>
            <w:r w:rsidR="004709FD">
              <w:t>2</w:t>
            </w:r>
            <w:r w:rsidR="00537A75">
              <w:t>.punkts</w:t>
            </w:r>
            <w:r w:rsidR="00A61B13">
              <w:t xml:space="preserve"> </w:t>
            </w:r>
          </w:p>
        </w:tc>
        <w:tc>
          <w:tcPr>
            <w:tcW w:w="1843" w:type="dxa"/>
          </w:tcPr>
          <w:p w14:paraId="0FE0A181" w14:textId="4593DF06" w:rsidR="00B6531A" w:rsidRDefault="006241FF" w:rsidP="00B6531A">
            <w:pPr>
              <w:pStyle w:val="naiskr"/>
              <w:spacing w:before="0" w:after="0"/>
              <w:jc w:val="both"/>
            </w:pPr>
            <w:r>
              <w:t>Pārņemts pilnībā.</w:t>
            </w:r>
          </w:p>
        </w:tc>
        <w:tc>
          <w:tcPr>
            <w:tcW w:w="3931" w:type="dxa"/>
          </w:tcPr>
          <w:p w14:paraId="37A09CB8" w14:textId="77777777" w:rsidR="00B6531A" w:rsidRDefault="00B6531A" w:rsidP="00B6531A">
            <w:pPr>
              <w:pStyle w:val="naiskr"/>
              <w:spacing w:before="0" w:after="0"/>
              <w:jc w:val="both"/>
            </w:pPr>
            <w:r>
              <w:t>Netiek noteiktas stingrākas prasības.</w:t>
            </w:r>
          </w:p>
        </w:tc>
      </w:tr>
      <w:tr w:rsidR="00B6531A" w14:paraId="2253EDEF" w14:textId="77777777" w:rsidTr="006241FF">
        <w:trPr>
          <w:trHeight w:val="313"/>
          <w:jc w:val="center"/>
        </w:trPr>
        <w:tc>
          <w:tcPr>
            <w:tcW w:w="2035" w:type="dxa"/>
          </w:tcPr>
          <w:p w14:paraId="1A088712" w14:textId="05A727B6" w:rsidR="00B6531A" w:rsidRPr="006241FF" w:rsidRDefault="00B6531A" w:rsidP="00B6531A">
            <w:pPr>
              <w:pStyle w:val="naiskr"/>
              <w:spacing w:before="0" w:after="0"/>
              <w:jc w:val="both"/>
            </w:pPr>
            <w:r w:rsidRPr="006241FF">
              <w:t>42.panta 1.punkta 2.rindkopa</w:t>
            </w:r>
          </w:p>
        </w:tc>
        <w:tc>
          <w:tcPr>
            <w:tcW w:w="1646" w:type="dxa"/>
          </w:tcPr>
          <w:p w14:paraId="54328D90" w14:textId="347B6495" w:rsidR="00B6531A" w:rsidRPr="007F4BB3" w:rsidRDefault="00F84A35" w:rsidP="00B6531A">
            <w:pPr>
              <w:pStyle w:val="naiskr"/>
              <w:spacing w:before="0" w:after="0"/>
              <w:jc w:val="both"/>
            </w:pPr>
            <w:r>
              <w:t>3</w:t>
            </w:r>
            <w:r w:rsidR="00537A75">
              <w:t>.punkts</w:t>
            </w:r>
          </w:p>
        </w:tc>
        <w:tc>
          <w:tcPr>
            <w:tcW w:w="1843" w:type="dxa"/>
          </w:tcPr>
          <w:p w14:paraId="326DA6DA" w14:textId="3A73DF4E" w:rsidR="00B6531A" w:rsidRDefault="006241FF" w:rsidP="00B6531A">
            <w:pPr>
              <w:pStyle w:val="naiskr"/>
              <w:spacing w:before="0" w:after="0"/>
              <w:jc w:val="both"/>
            </w:pPr>
            <w:r>
              <w:t>Pārņemts pilnībā.</w:t>
            </w:r>
          </w:p>
        </w:tc>
        <w:tc>
          <w:tcPr>
            <w:tcW w:w="3931" w:type="dxa"/>
          </w:tcPr>
          <w:p w14:paraId="33A6D55C" w14:textId="77777777" w:rsidR="00B6531A" w:rsidRDefault="00B6531A" w:rsidP="00B6531A">
            <w:pPr>
              <w:pStyle w:val="naiskr"/>
              <w:spacing w:before="0" w:after="0"/>
              <w:jc w:val="both"/>
            </w:pPr>
            <w:r>
              <w:t>Netiek noteiktas stingrākas prasības.</w:t>
            </w:r>
          </w:p>
        </w:tc>
      </w:tr>
      <w:tr w:rsidR="00B6531A" w14:paraId="79CAF8BA" w14:textId="77777777" w:rsidTr="006241FF">
        <w:trPr>
          <w:trHeight w:val="313"/>
          <w:jc w:val="center"/>
        </w:trPr>
        <w:tc>
          <w:tcPr>
            <w:tcW w:w="2035" w:type="dxa"/>
          </w:tcPr>
          <w:p w14:paraId="08DBB68E" w14:textId="78AB22F1" w:rsidR="00B6531A" w:rsidRPr="006241FF" w:rsidRDefault="00B6531A" w:rsidP="00B6531A">
            <w:pPr>
              <w:pStyle w:val="naiskr"/>
              <w:spacing w:before="0" w:after="0"/>
              <w:jc w:val="both"/>
            </w:pPr>
            <w:r w:rsidRPr="006241FF">
              <w:t>44.panta c)punkts</w:t>
            </w:r>
          </w:p>
        </w:tc>
        <w:tc>
          <w:tcPr>
            <w:tcW w:w="1646" w:type="dxa"/>
          </w:tcPr>
          <w:p w14:paraId="6FF7190F" w14:textId="7CCE7F6B" w:rsidR="00B6531A" w:rsidRDefault="00F84A35" w:rsidP="00B6531A">
            <w:pPr>
              <w:pStyle w:val="naiskr"/>
              <w:spacing w:before="0" w:after="0"/>
              <w:jc w:val="both"/>
            </w:pPr>
            <w:r>
              <w:t>5</w:t>
            </w:r>
            <w:r w:rsidR="00537A75">
              <w:t>.punkts</w:t>
            </w:r>
          </w:p>
        </w:tc>
        <w:tc>
          <w:tcPr>
            <w:tcW w:w="1843" w:type="dxa"/>
          </w:tcPr>
          <w:p w14:paraId="75894C7B" w14:textId="0A4A8CA7" w:rsidR="00B6531A" w:rsidRDefault="006241FF" w:rsidP="00B6531A">
            <w:pPr>
              <w:pStyle w:val="naiskr"/>
              <w:spacing w:before="0" w:after="0"/>
              <w:jc w:val="both"/>
            </w:pPr>
            <w:r>
              <w:t>Pārņemts pilnībā.</w:t>
            </w:r>
          </w:p>
        </w:tc>
        <w:tc>
          <w:tcPr>
            <w:tcW w:w="3931" w:type="dxa"/>
          </w:tcPr>
          <w:p w14:paraId="2F480A96" w14:textId="77777777" w:rsidR="00B6531A" w:rsidRDefault="00B6531A" w:rsidP="00B6531A">
            <w:pPr>
              <w:pStyle w:val="naiskr"/>
              <w:spacing w:before="0" w:after="0"/>
              <w:jc w:val="both"/>
            </w:pPr>
            <w:r>
              <w:t>Netiek noteiktas stingrākas prasības.</w:t>
            </w:r>
          </w:p>
        </w:tc>
      </w:tr>
      <w:tr w:rsidR="00B6531A" w14:paraId="2F95D500" w14:textId="77777777" w:rsidTr="006241FF">
        <w:trPr>
          <w:trHeight w:val="313"/>
          <w:jc w:val="center"/>
        </w:trPr>
        <w:tc>
          <w:tcPr>
            <w:tcW w:w="2035" w:type="dxa"/>
          </w:tcPr>
          <w:p w14:paraId="7AB4E869" w14:textId="58686FBC" w:rsidR="00B6531A" w:rsidRPr="006241FF" w:rsidRDefault="00B6531A" w:rsidP="00B6531A">
            <w:pPr>
              <w:pStyle w:val="naiskr"/>
              <w:spacing w:before="0" w:after="0"/>
              <w:jc w:val="both"/>
            </w:pPr>
            <w:r w:rsidRPr="006241FF">
              <w:t>46.panta 3.punkts</w:t>
            </w:r>
          </w:p>
        </w:tc>
        <w:tc>
          <w:tcPr>
            <w:tcW w:w="1646" w:type="dxa"/>
          </w:tcPr>
          <w:p w14:paraId="0944F344" w14:textId="40D92E26" w:rsidR="00B6531A" w:rsidRDefault="00537A75" w:rsidP="00B6531A">
            <w:pPr>
              <w:pStyle w:val="naiskr"/>
              <w:spacing w:before="0" w:after="0"/>
              <w:jc w:val="both"/>
            </w:pPr>
            <w:r>
              <w:t>1</w:t>
            </w:r>
            <w:r w:rsidR="00277C06">
              <w:t>9</w:t>
            </w:r>
            <w:r>
              <w:t>.punkts</w:t>
            </w:r>
          </w:p>
        </w:tc>
        <w:tc>
          <w:tcPr>
            <w:tcW w:w="1843" w:type="dxa"/>
          </w:tcPr>
          <w:p w14:paraId="35353991" w14:textId="6902A9EC" w:rsidR="00B6531A" w:rsidRDefault="006241FF" w:rsidP="00B6531A">
            <w:pPr>
              <w:pStyle w:val="naiskr"/>
              <w:spacing w:before="0" w:after="0"/>
              <w:jc w:val="both"/>
            </w:pPr>
            <w:r>
              <w:t>Pārņemts pilnībā.</w:t>
            </w:r>
          </w:p>
        </w:tc>
        <w:tc>
          <w:tcPr>
            <w:tcW w:w="3931" w:type="dxa"/>
          </w:tcPr>
          <w:p w14:paraId="55EE3C8D" w14:textId="77777777" w:rsidR="00B6531A" w:rsidRDefault="00B6531A" w:rsidP="00B6531A">
            <w:pPr>
              <w:pStyle w:val="naiskr"/>
              <w:spacing w:before="0" w:after="0"/>
              <w:jc w:val="both"/>
            </w:pPr>
            <w:r>
              <w:t>Netiek noteiktas stingrākas prasības.</w:t>
            </w:r>
          </w:p>
        </w:tc>
      </w:tr>
      <w:tr w:rsidR="00B6531A" w14:paraId="60619B7D" w14:textId="77777777" w:rsidTr="006241FF">
        <w:trPr>
          <w:trHeight w:val="313"/>
          <w:jc w:val="center"/>
        </w:trPr>
        <w:tc>
          <w:tcPr>
            <w:tcW w:w="2035" w:type="dxa"/>
          </w:tcPr>
          <w:p w14:paraId="22192A6F" w14:textId="399366A0" w:rsidR="00B6531A" w:rsidRPr="006241FF" w:rsidRDefault="00B6531A" w:rsidP="00B6531A">
            <w:pPr>
              <w:pStyle w:val="naiskr"/>
              <w:spacing w:before="0" w:after="0"/>
              <w:jc w:val="both"/>
            </w:pPr>
            <w:r w:rsidRPr="006241FF">
              <w:t>46.panta 4.punkta otrā daļa</w:t>
            </w:r>
          </w:p>
        </w:tc>
        <w:tc>
          <w:tcPr>
            <w:tcW w:w="1646" w:type="dxa"/>
          </w:tcPr>
          <w:p w14:paraId="3A7D981A" w14:textId="44D12AAF" w:rsidR="00B6531A" w:rsidRDefault="00277C06" w:rsidP="00B6531A">
            <w:pPr>
              <w:pStyle w:val="naiskr"/>
              <w:spacing w:before="0" w:after="0"/>
              <w:jc w:val="both"/>
            </w:pPr>
            <w:r>
              <w:t>20</w:t>
            </w:r>
            <w:r w:rsidR="00537A75">
              <w:t>.punkts</w:t>
            </w:r>
          </w:p>
        </w:tc>
        <w:tc>
          <w:tcPr>
            <w:tcW w:w="1843" w:type="dxa"/>
          </w:tcPr>
          <w:p w14:paraId="7F40E4A0" w14:textId="263DB8F9" w:rsidR="00B6531A" w:rsidRDefault="006241FF" w:rsidP="00B6531A">
            <w:pPr>
              <w:pStyle w:val="naiskr"/>
              <w:spacing w:before="0" w:after="0"/>
              <w:jc w:val="both"/>
            </w:pPr>
            <w:r>
              <w:t>Pārņemts pilnībā.</w:t>
            </w:r>
          </w:p>
        </w:tc>
        <w:tc>
          <w:tcPr>
            <w:tcW w:w="3931" w:type="dxa"/>
          </w:tcPr>
          <w:p w14:paraId="778FBD64" w14:textId="77777777" w:rsidR="00B6531A" w:rsidRDefault="00B6531A" w:rsidP="00B6531A">
            <w:pPr>
              <w:pStyle w:val="naiskr"/>
              <w:spacing w:before="0" w:after="0"/>
              <w:jc w:val="both"/>
            </w:pPr>
            <w:r>
              <w:t>Netiek noteiktas stingrākas prasības.</w:t>
            </w:r>
          </w:p>
        </w:tc>
      </w:tr>
      <w:tr w:rsidR="00B6531A" w14:paraId="78DBE5D0" w14:textId="77777777" w:rsidTr="006241FF">
        <w:trPr>
          <w:trHeight w:val="313"/>
          <w:jc w:val="center"/>
        </w:trPr>
        <w:tc>
          <w:tcPr>
            <w:tcW w:w="2035" w:type="dxa"/>
          </w:tcPr>
          <w:p w14:paraId="1B96F57C" w14:textId="66D4CE1B" w:rsidR="00B6531A" w:rsidRPr="006241FF" w:rsidRDefault="00B6531A" w:rsidP="00B6531A">
            <w:pPr>
              <w:pStyle w:val="naiskr"/>
              <w:spacing w:before="0" w:after="0"/>
              <w:jc w:val="both"/>
            </w:pPr>
            <w:r w:rsidRPr="006241FF">
              <w:t>46.panta 6.punkts</w:t>
            </w:r>
          </w:p>
        </w:tc>
        <w:tc>
          <w:tcPr>
            <w:tcW w:w="1646" w:type="dxa"/>
          </w:tcPr>
          <w:p w14:paraId="09545F2E" w14:textId="7D8A5CA7" w:rsidR="00B6531A" w:rsidRDefault="00277C06" w:rsidP="00B6531A">
            <w:pPr>
              <w:pStyle w:val="naiskr"/>
              <w:spacing w:before="0" w:after="0"/>
              <w:jc w:val="both"/>
            </w:pPr>
            <w:r>
              <w:t>3</w:t>
            </w:r>
            <w:r w:rsidR="008046BC">
              <w:t>8</w:t>
            </w:r>
            <w:r w:rsidR="00537A75">
              <w:t>.punkts</w:t>
            </w:r>
          </w:p>
        </w:tc>
        <w:tc>
          <w:tcPr>
            <w:tcW w:w="1843" w:type="dxa"/>
          </w:tcPr>
          <w:p w14:paraId="04D425FB" w14:textId="28EDF410" w:rsidR="00B6531A" w:rsidRDefault="006241FF" w:rsidP="00B6531A">
            <w:pPr>
              <w:pStyle w:val="naiskr"/>
              <w:spacing w:before="0" w:after="0"/>
              <w:jc w:val="both"/>
            </w:pPr>
            <w:r>
              <w:t>Pārņemts pilnībā.</w:t>
            </w:r>
          </w:p>
        </w:tc>
        <w:tc>
          <w:tcPr>
            <w:tcW w:w="3931" w:type="dxa"/>
          </w:tcPr>
          <w:p w14:paraId="59C1BF7C" w14:textId="77777777" w:rsidR="00B6531A" w:rsidRDefault="00B6531A" w:rsidP="00B6531A">
            <w:pPr>
              <w:pStyle w:val="naiskr"/>
              <w:spacing w:before="0" w:after="0"/>
              <w:jc w:val="both"/>
            </w:pPr>
            <w:r>
              <w:t>Netiek noteiktas stingrākas prasības.</w:t>
            </w:r>
          </w:p>
        </w:tc>
      </w:tr>
      <w:tr w:rsidR="00B6531A" w14:paraId="348B7D59" w14:textId="77777777" w:rsidTr="006241FF">
        <w:trPr>
          <w:trHeight w:val="313"/>
          <w:jc w:val="center"/>
        </w:trPr>
        <w:tc>
          <w:tcPr>
            <w:tcW w:w="2035" w:type="dxa"/>
          </w:tcPr>
          <w:p w14:paraId="270C60BD" w14:textId="0CF3D4AD" w:rsidR="00B6531A" w:rsidRPr="006241FF" w:rsidRDefault="00B6531A" w:rsidP="00B6531A">
            <w:pPr>
              <w:pStyle w:val="naiskr"/>
              <w:spacing w:before="0" w:after="0"/>
              <w:jc w:val="both"/>
            </w:pPr>
            <w:r w:rsidRPr="006241FF">
              <w:t>47.pants</w:t>
            </w:r>
          </w:p>
        </w:tc>
        <w:tc>
          <w:tcPr>
            <w:tcW w:w="1646" w:type="dxa"/>
          </w:tcPr>
          <w:p w14:paraId="20E7F606" w14:textId="401165FC" w:rsidR="00B6531A" w:rsidRDefault="00F84A35" w:rsidP="00B6531A">
            <w:pPr>
              <w:pStyle w:val="naiskr"/>
              <w:spacing w:before="0" w:after="0"/>
              <w:jc w:val="both"/>
            </w:pPr>
            <w:r>
              <w:t>3</w:t>
            </w:r>
            <w:r w:rsidR="008046BC">
              <w:t>7</w:t>
            </w:r>
            <w:r w:rsidR="00537A75">
              <w:t>.punkts</w:t>
            </w:r>
          </w:p>
        </w:tc>
        <w:tc>
          <w:tcPr>
            <w:tcW w:w="1843" w:type="dxa"/>
          </w:tcPr>
          <w:p w14:paraId="7DD602F7" w14:textId="4BB8C7DA" w:rsidR="00B6531A" w:rsidRDefault="006241FF" w:rsidP="00B6531A">
            <w:pPr>
              <w:pStyle w:val="naiskr"/>
              <w:spacing w:before="0" w:after="0"/>
              <w:jc w:val="both"/>
            </w:pPr>
            <w:r>
              <w:t>Pārņemts pilnībā.</w:t>
            </w:r>
          </w:p>
        </w:tc>
        <w:tc>
          <w:tcPr>
            <w:tcW w:w="3931" w:type="dxa"/>
          </w:tcPr>
          <w:p w14:paraId="163CC62E" w14:textId="0D2265B9" w:rsidR="00B6531A" w:rsidRDefault="00B6531A" w:rsidP="00B6531A">
            <w:pPr>
              <w:pStyle w:val="naiskr"/>
              <w:spacing w:before="0" w:after="0"/>
              <w:jc w:val="both"/>
            </w:pPr>
            <w:r>
              <w:t>Netiek noteiktas stingrākas prasības.</w:t>
            </w:r>
          </w:p>
        </w:tc>
      </w:tr>
      <w:tr w:rsidR="00B6531A" w14:paraId="485E2E14" w14:textId="77777777" w:rsidTr="006241FF">
        <w:trPr>
          <w:trHeight w:val="313"/>
          <w:jc w:val="center"/>
        </w:trPr>
        <w:tc>
          <w:tcPr>
            <w:tcW w:w="2035" w:type="dxa"/>
          </w:tcPr>
          <w:p w14:paraId="65D990B5" w14:textId="117497B2" w:rsidR="00B6531A" w:rsidRPr="006241FF" w:rsidRDefault="00B6531A" w:rsidP="00B6531A">
            <w:pPr>
              <w:pStyle w:val="naiskr"/>
              <w:spacing w:before="0" w:after="0"/>
              <w:jc w:val="both"/>
            </w:pPr>
            <w:r w:rsidRPr="006241FF">
              <w:t>48.panta 2.punkts</w:t>
            </w:r>
          </w:p>
        </w:tc>
        <w:tc>
          <w:tcPr>
            <w:tcW w:w="1646" w:type="dxa"/>
          </w:tcPr>
          <w:p w14:paraId="66914A7D" w14:textId="5F78AC2B" w:rsidR="00B6531A" w:rsidRDefault="00F84A35" w:rsidP="00B6531A">
            <w:pPr>
              <w:pStyle w:val="naiskr"/>
              <w:spacing w:before="0" w:after="0"/>
              <w:jc w:val="both"/>
            </w:pPr>
            <w:r>
              <w:t>2</w:t>
            </w:r>
            <w:r w:rsidR="00277C06">
              <w:t>3</w:t>
            </w:r>
            <w:r w:rsidR="00537A75">
              <w:t xml:space="preserve">., </w:t>
            </w:r>
            <w:r>
              <w:t>2</w:t>
            </w:r>
            <w:r w:rsidR="00277C06">
              <w:t>4</w:t>
            </w:r>
            <w:r w:rsidR="00537A75">
              <w:t xml:space="preserve">.un </w:t>
            </w:r>
            <w:r>
              <w:t>2</w:t>
            </w:r>
            <w:r w:rsidR="00277C06">
              <w:t>5</w:t>
            </w:r>
            <w:r w:rsidR="00537A75">
              <w:t>.punkts</w:t>
            </w:r>
          </w:p>
        </w:tc>
        <w:tc>
          <w:tcPr>
            <w:tcW w:w="1843" w:type="dxa"/>
          </w:tcPr>
          <w:p w14:paraId="6EE39C56" w14:textId="0AD7DF53" w:rsidR="00B6531A" w:rsidRDefault="006241FF" w:rsidP="00B6531A">
            <w:pPr>
              <w:pStyle w:val="naiskr"/>
              <w:spacing w:before="0" w:after="0"/>
              <w:jc w:val="both"/>
            </w:pPr>
            <w:r>
              <w:t>Pārņemts pilnībā.</w:t>
            </w:r>
          </w:p>
        </w:tc>
        <w:tc>
          <w:tcPr>
            <w:tcW w:w="3931" w:type="dxa"/>
          </w:tcPr>
          <w:p w14:paraId="2CF183E8" w14:textId="6467DA81" w:rsidR="00B6531A" w:rsidRDefault="00B6531A" w:rsidP="00B6531A">
            <w:pPr>
              <w:pStyle w:val="naiskr"/>
              <w:spacing w:before="0" w:after="0"/>
              <w:jc w:val="both"/>
            </w:pPr>
            <w:r>
              <w:t>Netiek noteiktas stingrākas prasības.</w:t>
            </w:r>
          </w:p>
        </w:tc>
      </w:tr>
      <w:tr w:rsidR="00B6531A" w14:paraId="7757A5CD" w14:textId="77777777" w:rsidTr="006241FF">
        <w:trPr>
          <w:trHeight w:val="313"/>
          <w:jc w:val="center"/>
        </w:trPr>
        <w:tc>
          <w:tcPr>
            <w:tcW w:w="2035" w:type="dxa"/>
          </w:tcPr>
          <w:p w14:paraId="739B1A87" w14:textId="7C714948" w:rsidR="00B6531A" w:rsidRPr="006241FF" w:rsidRDefault="00B6531A" w:rsidP="00B6531A">
            <w:pPr>
              <w:pStyle w:val="naiskr"/>
              <w:spacing w:before="0" w:after="0"/>
              <w:jc w:val="both"/>
            </w:pPr>
            <w:r w:rsidRPr="006241FF">
              <w:t>50.panta 3.punkta otrā daļa</w:t>
            </w:r>
          </w:p>
        </w:tc>
        <w:tc>
          <w:tcPr>
            <w:tcW w:w="1646" w:type="dxa"/>
          </w:tcPr>
          <w:p w14:paraId="2055AF7F" w14:textId="3371E86E" w:rsidR="00B6531A" w:rsidRDefault="00537A75" w:rsidP="00B6531A">
            <w:pPr>
              <w:pStyle w:val="naiskr"/>
              <w:spacing w:before="0" w:after="0"/>
              <w:jc w:val="both"/>
            </w:pPr>
            <w:r>
              <w:t>1</w:t>
            </w:r>
            <w:r w:rsidR="00277C06">
              <w:t>6</w:t>
            </w:r>
            <w:r>
              <w:t>.punkts</w:t>
            </w:r>
          </w:p>
        </w:tc>
        <w:tc>
          <w:tcPr>
            <w:tcW w:w="1843" w:type="dxa"/>
          </w:tcPr>
          <w:p w14:paraId="123A57C2" w14:textId="169F2090" w:rsidR="00B6531A" w:rsidRDefault="006241FF" w:rsidP="00B6531A">
            <w:pPr>
              <w:pStyle w:val="naiskr"/>
              <w:spacing w:before="0" w:after="0"/>
              <w:jc w:val="both"/>
            </w:pPr>
            <w:r>
              <w:t>Pārņemts pilnībā.</w:t>
            </w:r>
          </w:p>
        </w:tc>
        <w:tc>
          <w:tcPr>
            <w:tcW w:w="3931" w:type="dxa"/>
          </w:tcPr>
          <w:p w14:paraId="63455EED" w14:textId="3114C86F" w:rsidR="00B6531A" w:rsidRDefault="006241FF" w:rsidP="00B6531A">
            <w:pPr>
              <w:pStyle w:val="naiskr"/>
              <w:spacing w:before="0" w:after="0"/>
              <w:jc w:val="both"/>
            </w:pPr>
            <w:r>
              <w:t>Netiek noteiktas stingrākas prasības.</w:t>
            </w:r>
          </w:p>
        </w:tc>
      </w:tr>
      <w:tr w:rsidR="00B6531A" w14:paraId="2100F5A8" w14:textId="77777777" w:rsidTr="006241FF">
        <w:trPr>
          <w:trHeight w:val="313"/>
          <w:jc w:val="center"/>
        </w:trPr>
        <w:tc>
          <w:tcPr>
            <w:tcW w:w="2035" w:type="dxa"/>
          </w:tcPr>
          <w:p w14:paraId="0A002DE4" w14:textId="2889F372" w:rsidR="00B6531A" w:rsidRPr="006241FF" w:rsidRDefault="00B6531A" w:rsidP="00B6531A">
            <w:pPr>
              <w:pStyle w:val="naiskr"/>
              <w:spacing w:before="0" w:after="0"/>
              <w:jc w:val="both"/>
            </w:pPr>
            <w:r w:rsidRPr="006241FF">
              <w:t>51.panta 3.punkta otrā daļa</w:t>
            </w:r>
          </w:p>
        </w:tc>
        <w:tc>
          <w:tcPr>
            <w:tcW w:w="1646" w:type="dxa"/>
          </w:tcPr>
          <w:p w14:paraId="43ED4B16" w14:textId="33EE92A3" w:rsidR="00B6531A" w:rsidRDefault="00BA2F11" w:rsidP="00B6531A">
            <w:pPr>
              <w:pStyle w:val="naiskr"/>
              <w:spacing w:before="0" w:after="0"/>
              <w:jc w:val="both"/>
            </w:pPr>
            <w:r>
              <w:t>1</w:t>
            </w:r>
            <w:r w:rsidR="00277C06">
              <w:t>7</w:t>
            </w:r>
            <w:r>
              <w:t>.punkts</w:t>
            </w:r>
          </w:p>
        </w:tc>
        <w:tc>
          <w:tcPr>
            <w:tcW w:w="1843" w:type="dxa"/>
          </w:tcPr>
          <w:p w14:paraId="01665ADF" w14:textId="71B0EAA2" w:rsidR="00B6531A" w:rsidRDefault="006241FF" w:rsidP="00B6531A">
            <w:pPr>
              <w:pStyle w:val="naiskr"/>
              <w:spacing w:before="0" w:after="0"/>
              <w:jc w:val="both"/>
            </w:pPr>
            <w:r>
              <w:t>Pārņemts pilnībā.</w:t>
            </w:r>
          </w:p>
        </w:tc>
        <w:tc>
          <w:tcPr>
            <w:tcW w:w="3931" w:type="dxa"/>
          </w:tcPr>
          <w:p w14:paraId="4EB8C240" w14:textId="055A1DB9" w:rsidR="00B6531A" w:rsidRDefault="006241FF" w:rsidP="00B6531A">
            <w:pPr>
              <w:pStyle w:val="naiskr"/>
              <w:spacing w:before="0" w:after="0"/>
              <w:jc w:val="both"/>
            </w:pPr>
            <w:r>
              <w:t>Netiek noteiktas stingrākas prasības.</w:t>
            </w:r>
          </w:p>
        </w:tc>
      </w:tr>
      <w:tr w:rsidR="00B6531A" w14:paraId="0BE6E402" w14:textId="77777777" w:rsidTr="006241FF">
        <w:trPr>
          <w:trHeight w:val="313"/>
          <w:jc w:val="center"/>
        </w:trPr>
        <w:tc>
          <w:tcPr>
            <w:tcW w:w="2035" w:type="dxa"/>
          </w:tcPr>
          <w:p w14:paraId="71CCC740" w14:textId="5F6C55B1" w:rsidR="00B6531A" w:rsidRPr="006241FF" w:rsidRDefault="00B6531A" w:rsidP="00B6531A">
            <w:pPr>
              <w:pStyle w:val="naiskr"/>
              <w:spacing w:before="0" w:after="0"/>
              <w:jc w:val="both"/>
            </w:pPr>
            <w:r w:rsidRPr="006241FF">
              <w:t>52.panta 1.punkts</w:t>
            </w:r>
          </w:p>
        </w:tc>
        <w:tc>
          <w:tcPr>
            <w:tcW w:w="1646" w:type="dxa"/>
          </w:tcPr>
          <w:p w14:paraId="5804E932" w14:textId="0FB30991" w:rsidR="00B6531A" w:rsidRDefault="003D6649" w:rsidP="00B6531A">
            <w:pPr>
              <w:pStyle w:val="naiskr"/>
              <w:spacing w:before="0" w:after="0"/>
              <w:jc w:val="both"/>
            </w:pPr>
            <w:r>
              <w:t>9</w:t>
            </w:r>
            <w:r w:rsidR="00BA2F11">
              <w:t>.punkts</w:t>
            </w:r>
          </w:p>
        </w:tc>
        <w:tc>
          <w:tcPr>
            <w:tcW w:w="1843" w:type="dxa"/>
          </w:tcPr>
          <w:p w14:paraId="4F73023F" w14:textId="2B263D24" w:rsidR="00B6531A" w:rsidRDefault="006241FF" w:rsidP="00B6531A">
            <w:pPr>
              <w:pStyle w:val="naiskr"/>
              <w:spacing w:before="0" w:after="0"/>
              <w:jc w:val="both"/>
            </w:pPr>
            <w:r>
              <w:t>Pārņemts pilnībā.</w:t>
            </w:r>
          </w:p>
        </w:tc>
        <w:tc>
          <w:tcPr>
            <w:tcW w:w="3931" w:type="dxa"/>
          </w:tcPr>
          <w:p w14:paraId="0A2A17FC" w14:textId="6D32FC0D" w:rsidR="00B6531A" w:rsidRDefault="006241FF" w:rsidP="00B6531A">
            <w:pPr>
              <w:pStyle w:val="naiskr"/>
              <w:spacing w:before="0" w:after="0"/>
              <w:jc w:val="both"/>
            </w:pPr>
            <w:r>
              <w:t>Netiek noteiktas stingrākas prasības.</w:t>
            </w:r>
          </w:p>
        </w:tc>
      </w:tr>
      <w:tr w:rsidR="00B6531A" w14:paraId="095823B5" w14:textId="77777777" w:rsidTr="006241FF">
        <w:trPr>
          <w:trHeight w:val="313"/>
          <w:jc w:val="center"/>
        </w:trPr>
        <w:tc>
          <w:tcPr>
            <w:tcW w:w="2035" w:type="dxa"/>
          </w:tcPr>
          <w:p w14:paraId="0A3B861C" w14:textId="6282C9B4" w:rsidR="00B6531A" w:rsidRPr="006241FF" w:rsidRDefault="00B6531A" w:rsidP="00B6531A">
            <w:pPr>
              <w:pStyle w:val="naiskr"/>
              <w:spacing w:before="0" w:after="0"/>
              <w:jc w:val="both"/>
            </w:pPr>
            <w:r w:rsidRPr="006241FF">
              <w:t>52.panta 3.punkt</w:t>
            </w:r>
            <w:r w:rsidR="003D6649">
              <w:t>a 1.teikums</w:t>
            </w:r>
          </w:p>
        </w:tc>
        <w:tc>
          <w:tcPr>
            <w:tcW w:w="1646" w:type="dxa"/>
          </w:tcPr>
          <w:p w14:paraId="28948FE7" w14:textId="4E80E9EA" w:rsidR="00B6531A" w:rsidRDefault="003D6649" w:rsidP="00B6531A">
            <w:pPr>
              <w:pStyle w:val="naiskr"/>
              <w:spacing w:before="0" w:after="0"/>
              <w:jc w:val="both"/>
            </w:pPr>
            <w:r>
              <w:t>10</w:t>
            </w:r>
            <w:r w:rsidR="00BA2F11">
              <w:t>.punkts</w:t>
            </w:r>
          </w:p>
        </w:tc>
        <w:tc>
          <w:tcPr>
            <w:tcW w:w="1843" w:type="dxa"/>
          </w:tcPr>
          <w:p w14:paraId="66615F71" w14:textId="75046451" w:rsidR="00B6531A" w:rsidRDefault="006241FF" w:rsidP="00B6531A">
            <w:pPr>
              <w:pStyle w:val="naiskr"/>
              <w:spacing w:before="0" w:after="0"/>
              <w:jc w:val="both"/>
            </w:pPr>
            <w:r>
              <w:t>Pārņemts pilnībā.</w:t>
            </w:r>
          </w:p>
        </w:tc>
        <w:tc>
          <w:tcPr>
            <w:tcW w:w="3931" w:type="dxa"/>
          </w:tcPr>
          <w:p w14:paraId="409759AD" w14:textId="57FC6141" w:rsidR="00B6531A" w:rsidRDefault="006241FF" w:rsidP="00B6531A">
            <w:pPr>
              <w:pStyle w:val="naiskr"/>
              <w:spacing w:before="0" w:after="0"/>
              <w:jc w:val="both"/>
            </w:pPr>
            <w:r>
              <w:t>Netiek noteiktas stingrākas prasības.</w:t>
            </w:r>
          </w:p>
        </w:tc>
      </w:tr>
      <w:tr w:rsidR="00B6531A" w14:paraId="3002D07C" w14:textId="77777777" w:rsidTr="006241FF">
        <w:trPr>
          <w:trHeight w:val="313"/>
          <w:jc w:val="center"/>
        </w:trPr>
        <w:tc>
          <w:tcPr>
            <w:tcW w:w="2035" w:type="dxa"/>
          </w:tcPr>
          <w:p w14:paraId="7CA0CDEE" w14:textId="429A8296" w:rsidR="00B6531A" w:rsidRPr="006241FF" w:rsidRDefault="00B6531A" w:rsidP="00B6531A">
            <w:pPr>
              <w:pStyle w:val="naiskr"/>
              <w:spacing w:before="0" w:after="0"/>
              <w:jc w:val="both"/>
            </w:pPr>
            <w:r w:rsidRPr="006241FF">
              <w:t>52.panta 4.</w:t>
            </w:r>
            <w:r w:rsidR="004709FD">
              <w:t xml:space="preserve">punkta </w:t>
            </w:r>
            <w:r w:rsidR="003D6649">
              <w:t xml:space="preserve">a) apakšpunkts </w:t>
            </w:r>
          </w:p>
        </w:tc>
        <w:tc>
          <w:tcPr>
            <w:tcW w:w="1646" w:type="dxa"/>
          </w:tcPr>
          <w:p w14:paraId="40090CF6" w14:textId="3C908065" w:rsidR="00B6531A" w:rsidRDefault="008B367B" w:rsidP="00B6531A">
            <w:pPr>
              <w:pStyle w:val="naiskr"/>
              <w:spacing w:before="0" w:after="0"/>
              <w:jc w:val="both"/>
            </w:pPr>
            <w:r>
              <w:t>1</w:t>
            </w:r>
            <w:r w:rsidR="003D6649">
              <w:t>1 un 12</w:t>
            </w:r>
            <w:r w:rsidR="00BA2F11">
              <w:t>.punkts</w:t>
            </w:r>
          </w:p>
        </w:tc>
        <w:tc>
          <w:tcPr>
            <w:tcW w:w="1843" w:type="dxa"/>
          </w:tcPr>
          <w:p w14:paraId="3643099E" w14:textId="44897A40" w:rsidR="00B6531A" w:rsidRDefault="006241FF" w:rsidP="00B6531A">
            <w:pPr>
              <w:pStyle w:val="naiskr"/>
              <w:spacing w:before="0" w:after="0"/>
              <w:jc w:val="both"/>
            </w:pPr>
            <w:r>
              <w:t>Pārņemts pilnībā.</w:t>
            </w:r>
          </w:p>
        </w:tc>
        <w:tc>
          <w:tcPr>
            <w:tcW w:w="3931" w:type="dxa"/>
          </w:tcPr>
          <w:p w14:paraId="44D4BA7B" w14:textId="082BCF10" w:rsidR="00B6531A" w:rsidRDefault="006241FF" w:rsidP="00B6531A">
            <w:pPr>
              <w:pStyle w:val="naiskr"/>
              <w:spacing w:before="0" w:after="0"/>
              <w:jc w:val="both"/>
            </w:pPr>
            <w:r>
              <w:t>Netiek noteiktas stingrākas prasības.</w:t>
            </w:r>
          </w:p>
        </w:tc>
      </w:tr>
      <w:tr w:rsidR="00B6531A" w14:paraId="258C508F" w14:textId="77777777" w:rsidTr="006241FF">
        <w:trPr>
          <w:trHeight w:val="313"/>
          <w:jc w:val="center"/>
        </w:trPr>
        <w:tc>
          <w:tcPr>
            <w:tcW w:w="2035" w:type="dxa"/>
          </w:tcPr>
          <w:p w14:paraId="7E4E0F7C" w14:textId="41B8E41F" w:rsidR="00B6531A" w:rsidRPr="006241FF" w:rsidRDefault="00B6531A" w:rsidP="00B6531A">
            <w:pPr>
              <w:pStyle w:val="naiskr"/>
              <w:spacing w:before="0" w:after="0"/>
              <w:jc w:val="both"/>
            </w:pPr>
            <w:r w:rsidRPr="006241FF">
              <w:t xml:space="preserve">52.panta 4.punkta </w:t>
            </w:r>
            <w:r w:rsidR="004709FD">
              <w:t>b)apakšpunkts</w:t>
            </w:r>
          </w:p>
        </w:tc>
        <w:tc>
          <w:tcPr>
            <w:tcW w:w="1646" w:type="dxa"/>
          </w:tcPr>
          <w:p w14:paraId="13B4FAD7" w14:textId="0E9A7C9C" w:rsidR="00B6531A" w:rsidRDefault="008B367B" w:rsidP="00B6531A">
            <w:pPr>
              <w:pStyle w:val="naiskr"/>
              <w:spacing w:before="0" w:after="0"/>
              <w:jc w:val="both"/>
            </w:pPr>
            <w:r>
              <w:t>1</w:t>
            </w:r>
            <w:r w:rsidR="003D6649">
              <w:t>3</w:t>
            </w:r>
            <w:r w:rsidR="00BA2F11">
              <w:t>.punkts</w:t>
            </w:r>
          </w:p>
        </w:tc>
        <w:tc>
          <w:tcPr>
            <w:tcW w:w="1843" w:type="dxa"/>
          </w:tcPr>
          <w:p w14:paraId="2107C813" w14:textId="6923C8C8" w:rsidR="00B6531A" w:rsidRDefault="006241FF" w:rsidP="00B6531A">
            <w:pPr>
              <w:pStyle w:val="naiskr"/>
              <w:spacing w:before="0" w:after="0"/>
              <w:jc w:val="both"/>
            </w:pPr>
            <w:r>
              <w:t>Pārņemts pilnībā.</w:t>
            </w:r>
          </w:p>
        </w:tc>
        <w:tc>
          <w:tcPr>
            <w:tcW w:w="3931" w:type="dxa"/>
          </w:tcPr>
          <w:p w14:paraId="42933CB2" w14:textId="13B34121" w:rsidR="00B6531A" w:rsidRDefault="006241FF" w:rsidP="00B6531A">
            <w:pPr>
              <w:pStyle w:val="naiskr"/>
              <w:spacing w:before="0" w:after="0"/>
              <w:jc w:val="both"/>
            </w:pPr>
            <w:r>
              <w:t>Netiek noteiktas stingrākas prasības.</w:t>
            </w:r>
          </w:p>
        </w:tc>
      </w:tr>
      <w:tr w:rsidR="00B6531A" w14:paraId="5597884C" w14:textId="77777777" w:rsidTr="006241FF">
        <w:trPr>
          <w:trHeight w:val="313"/>
          <w:jc w:val="center"/>
        </w:trPr>
        <w:tc>
          <w:tcPr>
            <w:tcW w:w="2035" w:type="dxa"/>
          </w:tcPr>
          <w:p w14:paraId="272646DD" w14:textId="1A4161A2" w:rsidR="00B6531A" w:rsidRPr="006241FF" w:rsidRDefault="00B6531A" w:rsidP="00B6531A">
            <w:pPr>
              <w:pStyle w:val="naiskr"/>
              <w:spacing w:before="0" w:after="0"/>
              <w:jc w:val="both"/>
            </w:pPr>
            <w:r w:rsidRPr="006241FF">
              <w:t>54.pants</w:t>
            </w:r>
          </w:p>
        </w:tc>
        <w:tc>
          <w:tcPr>
            <w:tcW w:w="1646" w:type="dxa"/>
          </w:tcPr>
          <w:p w14:paraId="027962D5" w14:textId="57AB1EF3" w:rsidR="00B6531A" w:rsidRDefault="003D6649" w:rsidP="00B6531A">
            <w:pPr>
              <w:pStyle w:val="naiskr"/>
              <w:spacing w:before="0" w:after="0"/>
              <w:jc w:val="both"/>
            </w:pPr>
            <w:r>
              <w:t>8</w:t>
            </w:r>
            <w:r w:rsidR="00BA2F11">
              <w:t>.punkts</w:t>
            </w:r>
          </w:p>
        </w:tc>
        <w:tc>
          <w:tcPr>
            <w:tcW w:w="1843" w:type="dxa"/>
          </w:tcPr>
          <w:p w14:paraId="05D130FE" w14:textId="1CDA9133" w:rsidR="00B6531A" w:rsidRDefault="006241FF" w:rsidP="00B6531A">
            <w:pPr>
              <w:pStyle w:val="naiskr"/>
              <w:spacing w:before="0" w:after="0"/>
              <w:jc w:val="both"/>
            </w:pPr>
            <w:r>
              <w:t>Pārņemts pilnībā.</w:t>
            </w:r>
          </w:p>
        </w:tc>
        <w:tc>
          <w:tcPr>
            <w:tcW w:w="3931" w:type="dxa"/>
          </w:tcPr>
          <w:p w14:paraId="455128D0" w14:textId="5ED637D3" w:rsidR="00B6531A" w:rsidRDefault="006241FF" w:rsidP="00B6531A">
            <w:pPr>
              <w:pStyle w:val="naiskr"/>
              <w:spacing w:before="0" w:after="0"/>
              <w:jc w:val="both"/>
            </w:pPr>
            <w:r>
              <w:t>Netiek noteiktas stingrākas prasības.</w:t>
            </w:r>
          </w:p>
        </w:tc>
      </w:tr>
      <w:tr w:rsidR="00B6531A" w14:paraId="2AAD0F8E" w14:textId="77777777" w:rsidTr="006241FF">
        <w:trPr>
          <w:trHeight w:val="313"/>
          <w:jc w:val="center"/>
        </w:trPr>
        <w:tc>
          <w:tcPr>
            <w:tcW w:w="2035" w:type="dxa"/>
          </w:tcPr>
          <w:p w14:paraId="22D0A2AC" w14:textId="594B456A" w:rsidR="00B6531A" w:rsidRPr="006241FF" w:rsidRDefault="00B6531A" w:rsidP="00B6531A">
            <w:pPr>
              <w:pStyle w:val="naiskr"/>
              <w:spacing w:before="0" w:after="0"/>
              <w:jc w:val="both"/>
            </w:pPr>
            <w:r w:rsidRPr="006241FF">
              <w:t>55.panta 1.punkts</w:t>
            </w:r>
          </w:p>
        </w:tc>
        <w:tc>
          <w:tcPr>
            <w:tcW w:w="1646" w:type="dxa"/>
          </w:tcPr>
          <w:p w14:paraId="38FD6BA3" w14:textId="76823D00" w:rsidR="00B6531A" w:rsidRDefault="004F4682" w:rsidP="00B6531A">
            <w:pPr>
              <w:pStyle w:val="naiskr"/>
              <w:spacing w:before="0" w:after="0"/>
              <w:jc w:val="both"/>
            </w:pPr>
            <w:r>
              <w:t>3</w:t>
            </w:r>
            <w:r w:rsidR="008046BC">
              <w:t>9</w:t>
            </w:r>
            <w:r w:rsidR="00BA2F11">
              <w:t>.punkts</w:t>
            </w:r>
          </w:p>
        </w:tc>
        <w:tc>
          <w:tcPr>
            <w:tcW w:w="1843" w:type="dxa"/>
          </w:tcPr>
          <w:p w14:paraId="6D172D2B" w14:textId="080124A0" w:rsidR="00B6531A" w:rsidRDefault="006241FF" w:rsidP="00B6531A">
            <w:pPr>
              <w:pStyle w:val="naiskr"/>
              <w:spacing w:before="0" w:after="0"/>
              <w:jc w:val="both"/>
            </w:pPr>
            <w:r>
              <w:t>Pārņemts pilnībā.</w:t>
            </w:r>
          </w:p>
        </w:tc>
        <w:tc>
          <w:tcPr>
            <w:tcW w:w="3931" w:type="dxa"/>
          </w:tcPr>
          <w:p w14:paraId="2D2CCC79" w14:textId="5B287344" w:rsidR="00B6531A" w:rsidRDefault="006241FF" w:rsidP="00B6531A">
            <w:pPr>
              <w:pStyle w:val="naiskr"/>
              <w:spacing w:before="0" w:after="0"/>
              <w:jc w:val="both"/>
            </w:pPr>
            <w:r>
              <w:t>Netiek noteiktas stingrākas prasības.</w:t>
            </w:r>
          </w:p>
        </w:tc>
      </w:tr>
      <w:tr w:rsidR="00B6531A" w14:paraId="3DE2BCCE" w14:textId="77777777" w:rsidTr="006241FF">
        <w:trPr>
          <w:trHeight w:val="313"/>
          <w:jc w:val="center"/>
        </w:trPr>
        <w:tc>
          <w:tcPr>
            <w:tcW w:w="2035" w:type="dxa"/>
          </w:tcPr>
          <w:p w14:paraId="59D1CCE5" w14:textId="37B2CAE0" w:rsidR="00B6531A" w:rsidRPr="006241FF" w:rsidRDefault="00B6531A" w:rsidP="00B6531A">
            <w:pPr>
              <w:pStyle w:val="naiskr"/>
              <w:spacing w:before="0" w:after="0"/>
              <w:jc w:val="both"/>
            </w:pPr>
            <w:r w:rsidRPr="006241FF">
              <w:t>VI pielikuma 3.daļas 1.punkts</w:t>
            </w:r>
          </w:p>
        </w:tc>
        <w:tc>
          <w:tcPr>
            <w:tcW w:w="1646" w:type="dxa"/>
          </w:tcPr>
          <w:p w14:paraId="60AE5DF5" w14:textId="366C2C4F" w:rsidR="00B6531A" w:rsidRDefault="008046BC" w:rsidP="00B6531A">
            <w:pPr>
              <w:pStyle w:val="naiskr"/>
              <w:spacing w:before="0" w:after="0"/>
              <w:jc w:val="both"/>
            </w:pPr>
            <w:r>
              <w:t>30</w:t>
            </w:r>
            <w:r w:rsidR="00E606D3">
              <w:t xml:space="preserve">. un </w:t>
            </w:r>
            <w:r w:rsidR="00826471">
              <w:t>4</w:t>
            </w:r>
            <w:r>
              <w:t>7</w:t>
            </w:r>
            <w:r w:rsidR="00BA2F11">
              <w:t>.punkts</w:t>
            </w:r>
          </w:p>
        </w:tc>
        <w:tc>
          <w:tcPr>
            <w:tcW w:w="1843" w:type="dxa"/>
          </w:tcPr>
          <w:p w14:paraId="1C576802" w14:textId="2EE6D276" w:rsidR="00B6531A" w:rsidRDefault="006241FF" w:rsidP="00B6531A">
            <w:pPr>
              <w:pStyle w:val="naiskr"/>
              <w:spacing w:before="0" w:after="0"/>
              <w:jc w:val="both"/>
            </w:pPr>
            <w:r>
              <w:t>Pārņemts pilnībā.</w:t>
            </w:r>
          </w:p>
        </w:tc>
        <w:tc>
          <w:tcPr>
            <w:tcW w:w="3931" w:type="dxa"/>
          </w:tcPr>
          <w:p w14:paraId="603DCCB2" w14:textId="39DADAD5" w:rsidR="00B6531A" w:rsidRDefault="006241FF" w:rsidP="00B6531A">
            <w:pPr>
              <w:pStyle w:val="naiskr"/>
              <w:spacing w:before="0" w:after="0"/>
              <w:jc w:val="both"/>
            </w:pPr>
            <w:r>
              <w:t>Netiek noteiktas stingrākas prasības.</w:t>
            </w:r>
          </w:p>
        </w:tc>
      </w:tr>
      <w:tr w:rsidR="00B6531A" w14:paraId="5D3B795B" w14:textId="77777777" w:rsidTr="006241FF">
        <w:trPr>
          <w:trHeight w:val="313"/>
          <w:jc w:val="center"/>
        </w:trPr>
        <w:tc>
          <w:tcPr>
            <w:tcW w:w="2035" w:type="dxa"/>
          </w:tcPr>
          <w:p w14:paraId="1A991595" w14:textId="5D1839EF" w:rsidR="00B6531A" w:rsidRPr="006241FF" w:rsidRDefault="00B6531A" w:rsidP="00B6531A">
            <w:pPr>
              <w:pStyle w:val="naiskr"/>
              <w:spacing w:before="0" w:after="0"/>
              <w:jc w:val="both"/>
            </w:pPr>
            <w:r w:rsidRPr="006241FF">
              <w:t>VI pielikuma 4.daļas 1.punkts</w:t>
            </w:r>
          </w:p>
        </w:tc>
        <w:tc>
          <w:tcPr>
            <w:tcW w:w="1646" w:type="dxa"/>
          </w:tcPr>
          <w:p w14:paraId="7DDDA6A7" w14:textId="6EECA891" w:rsidR="00B6531A" w:rsidRDefault="00826471" w:rsidP="00B6531A">
            <w:pPr>
              <w:pStyle w:val="naiskr"/>
              <w:spacing w:before="0" w:after="0"/>
              <w:jc w:val="both"/>
            </w:pPr>
            <w:r>
              <w:t>4</w:t>
            </w:r>
            <w:r w:rsidR="00BA2F11">
              <w:t>.punkts</w:t>
            </w:r>
            <w:r w:rsidR="009C12C0">
              <w:t xml:space="preserve"> </w:t>
            </w:r>
            <w:r w:rsidR="00E606D3">
              <w:t xml:space="preserve">un </w:t>
            </w:r>
            <w:r>
              <w:t>4</w:t>
            </w:r>
            <w:r w:rsidR="008046BC">
              <w:t>8</w:t>
            </w:r>
            <w:r w:rsidR="009C12C0">
              <w:t>.punkts</w:t>
            </w:r>
          </w:p>
        </w:tc>
        <w:tc>
          <w:tcPr>
            <w:tcW w:w="1843" w:type="dxa"/>
          </w:tcPr>
          <w:p w14:paraId="3B4F5758" w14:textId="6824C584" w:rsidR="00B6531A" w:rsidRDefault="006241FF" w:rsidP="00B6531A">
            <w:pPr>
              <w:pStyle w:val="naiskr"/>
              <w:spacing w:before="0" w:after="0"/>
              <w:jc w:val="both"/>
            </w:pPr>
            <w:r>
              <w:t>Pārņemts pilnībā.</w:t>
            </w:r>
          </w:p>
        </w:tc>
        <w:tc>
          <w:tcPr>
            <w:tcW w:w="3931" w:type="dxa"/>
          </w:tcPr>
          <w:p w14:paraId="6DD69C6A" w14:textId="1C0A0322" w:rsidR="00B6531A" w:rsidRDefault="006241FF" w:rsidP="00B6531A">
            <w:pPr>
              <w:pStyle w:val="naiskr"/>
              <w:spacing w:before="0" w:after="0"/>
              <w:jc w:val="both"/>
            </w:pPr>
            <w:r>
              <w:t>Netiek noteiktas stingrākas prasības.</w:t>
            </w:r>
          </w:p>
        </w:tc>
      </w:tr>
      <w:tr w:rsidR="00B6531A" w14:paraId="1A448028" w14:textId="77777777" w:rsidTr="006241FF">
        <w:trPr>
          <w:trHeight w:val="313"/>
          <w:jc w:val="center"/>
        </w:trPr>
        <w:tc>
          <w:tcPr>
            <w:tcW w:w="2035" w:type="dxa"/>
          </w:tcPr>
          <w:p w14:paraId="53C49BB2" w14:textId="05736DC1" w:rsidR="00B6531A" w:rsidRPr="006241FF" w:rsidRDefault="00B6531A" w:rsidP="00B6531A">
            <w:pPr>
              <w:pStyle w:val="naiskr"/>
              <w:spacing w:before="0" w:after="0"/>
              <w:jc w:val="both"/>
            </w:pPr>
            <w:r w:rsidRPr="006241FF">
              <w:t>VI pielikuma 4.daļas 2.1.punkts</w:t>
            </w:r>
          </w:p>
        </w:tc>
        <w:tc>
          <w:tcPr>
            <w:tcW w:w="1646" w:type="dxa"/>
          </w:tcPr>
          <w:p w14:paraId="3895DBCC" w14:textId="080BA2AA" w:rsidR="00B6531A" w:rsidRDefault="00826471" w:rsidP="00B6531A">
            <w:pPr>
              <w:pStyle w:val="naiskr"/>
              <w:spacing w:before="0" w:after="0"/>
              <w:jc w:val="both"/>
            </w:pPr>
            <w:r>
              <w:t>4</w:t>
            </w:r>
            <w:r w:rsidR="008046BC">
              <w:t>4</w:t>
            </w:r>
            <w:r w:rsidR="00BA2F11">
              <w:t>.punkts</w:t>
            </w:r>
          </w:p>
        </w:tc>
        <w:tc>
          <w:tcPr>
            <w:tcW w:w="1843" w:type="dxa"/>
          </w:tcPr>
          <w:p w14:paraId="681DFCAB" w14:textId="65BA522F" w:rsidR="00B6531A" w:rsidRDefault="006241FF" w:rsidP="00B6531A">
            <w:pPr>
              <w:pStyle w:val="naiskr"/>
              <w:spacing w:before="0" w:after="0"/>
              <w:jc w:val="both"/>
            </w:pPr>
            <w:r>
              <w:t>Pārņemts pilnībā.</w:t>
            </w:r>
          </w:p>
        </w:tc>
        <w:tc>
          <w:tcPr>
            <w:tcW w:w="3931" w:type="dxa"/>
          </w:tcPr>
          <w:p w14:paraId="61732AF9" w14:textId="4726FC74" w:rsidR="00B6531A" w:rsidRDefault="006241FF" w:rsidP="00B6531A">
            <w:pPr>
              <w:pStyle w:val="naiskr"/>
              <w:spacing w:before="0" w:after="0"/>
              <w:jc w:val="both"/>
            </w:pPr>
            <w:r>
              <w:t>Netiek noteiktas stingrākas prasības.</w:t>
            </w:r>
          </w:p>
        </w:tc>
      </w:tr>
      <w:tr w:rsidR="00B6531A" w14:paraId="687F3B89" w14:textId="77777777" w:rsidTr="006241FF">
        <w:trPr>
          <w:trHeight w:val="313"/>
          <w:jc w:val="center"/>
        </w:trPr>
        <w:tc>
          <w:tcPr>
            <w:tcW w:w="2035" w:type="dxa"/>
          </w:tcPr>
          <w:p w14:paraId="28F62AAF" w14:textId="1760F7DC" w:rsidR="00B6531A" w:rsidRPr="006241FF" w:rsidRDefault="00B6531A" w:rsidP="00B6531A">
            <w:pPr>
              <w:pStyle w:val="naiskr"/>
              <w:spacing w:before="0" w:after="0"/>
              <w:jc w:val="both"/>
            </w:pPr>
            <w:r w:rsidRPr="006241FF">
              <w:t xml:space="preserve">VI pielikuma 4.daļas 3.1.punkts </w:t>
            </w:r>
          </w:p>
        </w:tc>
        <w:tc>
          <w:tcPr>
            <w:tcW w:w="1646" w:type="dxa"/>
          </w:tcPr>
          <w:p w14:paraId="06D05737" w14:textId="416BFB18" w:rsidR="00B6531A" w:rsidRDefault="008046BC" w:rsidP="00B6531A">
            <w:pPr>
              <w:pStyle w:val="naiskr"/>
              <w:spacing w:before="0" w:after="0"/>
              <w:jc w:val="both"/>
            </w:pPr>
            <w:r>
              <w:t>50</w:t>
            </w:r>
            <w:r w:rsidR="00BA2F11">
              <w:t>.punkts</w:t>
            </w:r>
          </w:p>
        </w:tc>
        <w:tc>
          <w:tcPr>
            <w:tcW w:w="1843" w:type="dxa"/>
          </w:tcPr>
          <w:p w14:paraId="01AE9214" w14:textId="37EFD13B" w:rsidR="00B6531A" w:rsidRDefault="006241FF" w:rsidP="00B6531A">
            <w:pPr>
              <w:pStyle w:val="naiskr"/>
              <w:spacing w:before="0" w:after="0"/>
              <w:jc w:val="both"/>
            </w:pPr>
            <w:r>
              <w:t>Pārņemts pilnībā.</w:t>
            </w:r>
          </w:p>
        </w:tc>
        <w:tc>
          <w:tcPr>
            <w:tcW w:w="3931" w:type="dxa"/>
          </w:tcPr>
          <w:p w14:paraId="2126CC7A" w14:textId="3DAFC475" w:rsidR="00B6531A" w:rsidRDefault="006241FF" w:rsidP="00B6531A">
            <w:pPr>
              <w:pStyle w:val="naiskr"/>
              <w:spacing w:before="0" w:after="0"/>
              <w:jc w:val="both"/>
            </w:pPr>
            <w:r>
              <w:t>Netiek noteiktas stingrākas prasības.</w:t>
            </w:r>
          </w:p>
        </w:tc>
      </w:tr>
      <w:tr w:rsidR="00B6531A" w14:paraId="4080A90D" w14:textId="77777777" w:rsidTr="006241FF">
        <w:trPr>
          <w:trHeight w:val="313"/>
          <w:jc w:val="center"/>
        </w:trPr>
        <w:tc>
          <w:tcPr>
            <w:tcW w:w="2035" w:type="dxa"/>
          </w:tcPr>
          <w:p w14:paraId="30DD0748" w14:textId="7E117FCB" w:rsidR="00B6531A" w:rsidRPr="006241FF" w:rsidRDefault="00B6531A" w:rsidP="00B6531A">
            <w:pPr>
              <w:pStyle w:val="naiskr"/>
              <w:spacing w:before="0" w:after="0"/>
              <w:jc w:val="both"/>
            </w:pPr>
            <w:r w:rsidRPr="006241FF">
              <w:t>VI pielikuma 4.daļas 3.2.1.punkts</w:t>
            </w:r>
          </w:p>
        </w:tc>
        <w:tc>
          <w:tcPr>
            <w:tcW w:w="1646" w:type="dxa"/>
          </w:tcPr>
          <w:p w14:paraId="2A6D1B37" w14:textId="668CAF6B" w:rsidR="00B6531A" w:rsidRDefault="00826471" w:rsidP="00B6531A">
            <w:pPr>
              <w:pStyle w:val="naiskr"/>
              <w:spacing w:before="0" w:after="0"/>
              <w:jc w:val="both"/>
            </w:pPr>
            <w:r>
              <w:t>5</w:t>
            </w:r>
            <w:r w:rsidR="008046BC">
              <w:t>1</w:t>
            </w:r>
            <w:r w:rsidR="00BA2F11">
              <w:t>.punkts</w:t>
            </w:r>
          </w:p>
        </w:tc>
        <w:tc>
          <w:tcPr>
            <w:tcW w:w="1843" w:type="dxa"/>
          </w:tcPr>
          <w:p w14:paraId="36B9E074" w14:textId="063A9D74" w:rsidR="00B6531A" w:rsidRDefault="006241FF" w:rsidP="00B6531A">
            <w:pPr>
              <w:pStyle w:val="naiskr"/>
              <w:spacing w:before="0" w:after="0"/>
              <w:jc w:val="both"/>
            </w:pPr>
            <w:r>
              <w:t>Pārņemts pilnībā.</w:t>
            </w:r>
          </w:p>
        </w:tc>
        <w:tc>
          <w:tcPr>
            <w:tcW w:w="3931" w:type="dxa"/>
          </w:tcPr>
          <w:p w14:paraId="13E482F5" w14:textId="1B109FF0" w:rsidR="00B6531A" w:rsidRDefault="006241FF" w:rsidP="00B6531A">
            <w:pPr>
              <w:pStyle w:val="naiskr"/>
              <w:spacing w:before="0" w:after="0"/>
              <w:jc w:val="both"/>
            </w:pPr>
            <w:r>
              <w:t>Netiek noteiktas stingrākas prasības.</w:t>
            </w:r>
          </w:p>
        </w:tc>
      </w:tr>
      <w:tr w:rsidR="00B6531A" w14:paraId="6DCCB5EF" w14:textId="77777777" w:rsidTr="006241FF">
        <w:trPr>
          <w:trHeight w:val="313"/>
          <w:jc w:val="center"/>
        </w:trPr>
        <w:tc>
          <w:tcPr>
            <w:tcW w:w="2035" w:type="dxa"/>
          </w:tcPr>
          <w:p w14:paraId="5436802B" w14:textId="00609CE4" w:rsidR="00B6531A" w:rsidRPr="006241FF" w:rsidRDefault="00B6531A" w:rsidP="00B6531A">
            <w:pPr>
              <w:pStyle w:val="naiskr"/>
              <w:spacing w:before="0" w:after="0"/>
              <w:jc w:val="both"/>
            </w:pPr>
            <w:r w:rsidRPr="006241FF">
              <w:t>VI pielikuma 4.daļas 3.2.2.punkts</w:t>
            </w:r>
          </w:p>
        </w:tc>
        <w:tc>
          <w:tcPr>
            <w:tcW w:w="1646" w:type="dxa"/>
          </w:tcPr>
          <w:p w14:paraId="49DFD1C1" w14:textId="3E3284B2" w:rsidR="00B6531A" w:rsidRDefault="00826471" w:rsidP="00B6531A">
            <w:pPr>
              <w:pStyle w:val="naiskr"/>
              <w:spacing w:before="0" w:after="0"/>
              <w:jc w:val="both"/>
            </w:pPr>
            <w:r>
              <w:t>5</w:t>
            </w:r>
            <w:r w:rsidR="008046BC">
              <w:t>2</w:t>
            </w:r>
            <w:r w:rsidR="00BA2F11">
              <w:t>.punkts</w:t>
            </w:r>
          </w:p>
        </w:tc>
        <w:tc>
          <w:tcPr>
            <w:tcW w:w="1843" w:type="dxa"/>
          </w:tcPr>
          <w:p w14:paraId="2A7EB4AD" w14:textId="11B71687" w:rsidR="00B6531A" w:rsidRDefault="006241FF" w:rsidP="00B6531A">
            <w:pPr>
              <w:pStyle w:val="naiskr"/>
              <w:spacing w:before="0" w:after="0"/>
              <w:jc w:val="both"/>
            </w:pPr>
            <w:r>
              <w:t>Pārņemts pilnībā.</w:t>
            </w:r>
          </w:p>
        </w:tc>
        <w:tc>
          <w:tcPr>
            <w:tcW w:w="3931" w:type="dxa"/>
          </w:tcPr>
          <w:p w14:paraId="59E62956" w14:textId="67D46F16" w:rsidR="00B6531A" w:rsidRDefault="006241FF" w:rsidP="00B6531A">
            <w:pPr>
              <w:pStyle w:val="naiskr"/>
              <w:spacing w:before="0" w:after="0"/>
              <w:jc w:val="both"/>
            </w:pPr>
            <w:r>
              <w:t>Netiek noteiktas stingrākas prasības.</w:t>
            </w:r>
          </w:p>
        </w:tc>
      </w:tr>
      <w:tr w:rsidR="00B6531A" w14:paraId="688347D6" w14:textId="77777777" w:rsidTr="006241FF">
        <w:trPr>
          <w:trHeight w:val="313"/>
          <w:jc w:val="center"/>
        </w:trPr>
        <w:tc>
          <w:tcPr>
            <w:tcW w:w="2035" w:type="dxa"/>
          </w:tcPr>
          <w:p w14:paraId="3F4300DB" w14:textId="156F79F9" w:rsidR="00B6531A" w:rsidRPr="006241FF" w:rsidRDefault="00B6531A" w:rsidP="00B6531A">
            <w:pPr>
              <w:pStyle w:val="naiskr"/>
              <w:spacing w:before="0" w:after="0"/>
              <w:jc w:val="both"/>
            </w:pPr>
            <w:r w:rsidRPr="006241FF">
              <w:lastRenderedPageBreak/>
              <w:t>VI pielikuma 4.daļas 3.3.punkts</w:t>
            </w:r>
          </w:p>
        </w:tc>
        <w:tc>
          <w:tcPr>
            <w:tcW w:w="1646" w:type="dxa"/>
          </w:tcPr>
          <w:p w14:paraId="0884AC9A" w14:textId="33197EED" w:rsidR="00B6531A" w:rsidRDefault="00826471" w:rsidP="00B6531A">
            <w:pPr>
              <w:pStyle w:val="naiskr"/>
              <w:spacing w:before="0" w:after="0"/>
              <w:jc w:val="both"/>
            </w:pPr>
            <w:r>
              <w:t>5</w:t>
            </w:r>
            <w:r w:rsidR="008046BC">
              <w:t>3</w:t>
            </w:r>
            <w:r w:rsidR="00BA2F11">
              <w:t>.punkts</w:t>
            </w:r>
          </w:p>
        </w:tc>
        <w:tc>
          <w:tcPr>
            <w:tcW w:w="1843" w:type="dxa"/>
          </w:tcPr>
          <w:p w14:paraId="64DE37A8" w14:textId="37E7F30A" w:rsidR="00B6531A" w:rsidRDefault="006241FF" w:rsidP="00B6531A">
            <w:pPr>
              <w:pStyle w:val="naiskr"/>
              <w:spacing w:before="0" w:after="0"/>
              <w:jc w:val="both"/>
            </w:pPr>
            <w:r>
              <w:t>Pārņemts pilnībā.</w:t>
            </w:r>
          </w:p>
        </w:tc>
        <w:tc>
          <w:tcPr>
            <w:tcW w:w="3931" w:type="dxa"/>
          </w:tcPr>
          <w:p w14:paraId="3C0A0C36" w14:textId="5BB681F9" w:rsidR="00B6531A" w:rsidRDefault="006241FF" w:rsidP="00B6531A">
            <w:pPr>
              <w:pStyle w:val="naiskr"/>
              <w:spacing w:before="0" w:after="0"/>
              <w:jc w:val="both"/>
            </w:pPr>
            <w:r>
              <w:t>Netiek noteiktas stingrākas prasības.</w:t>
            </w:r>
          </w:p>
        </w:tc>
      </w:tr>
      <w:tr w:rsidR="00B6531A" w14:paraId="239D9719" w14:textId="77777777" w:rsidTr="006241FF">
        <w:trPr>
          <w:trHeight w:val="313"/>
          <w:jc w:val="center"/>
        </w:trPr>
        <w:tc>
          <w:tcPr>
            <w:tcW w:w="2035" w:type="dxa"/>
          </w:tcPr>
          <w:p w14:paraId="305CFC57" w14:textId="70A70033" w:rsidR="00B6531A" w:rsidRPr="006241FF" w:rsidRDefault="00B6531A" w:rsidP="00B6531A">
            <w:pPr>
              <w:pStyle w:val="naiskr"/>
              <w:spacing w:before="0" w:after="0"/>
              <w:jc w:val="both"/>
            </w:pPr>
            <w:r w:rsidRPr="006241FF">
              <w:t>VI pielikuma 4.daļas 3.4.punkts</w:t>
            </w:r>
          </w:p>
        </w:tc>
        <w:tc>
          <w:tcPr>
            <w:tcW w:w="1646" w:type="dxa"/>
          </w:tcPr>
          <w:p w14:paraId="7A495D15" w14:textId="742710E7" w:rsidR="00B6531A" w:rsidRDefault="00826471" w:rsidP="00B6531A">
            <w:pPr>
              <w:pStyle w:val="naiskr"/>
              <w:spacing w:before="0" w:after="0"/>
              <w:jc w:val="both"/>
            </w:pPr>
            <w:r>
              <w:t>5</w:t>
            </w:r>
            <w:r w:rsidR="008046BC">
              <w:t>4</w:t>
            </w:r>
            <w:r w:rsidR="00BA2F11">
              <w:t>.punkts</w:t>
            </w:r>
          </w:p>
        </w:tc>
        <w:tc>
          <w:tcPr>
            <w:tcW w:w="1843" w:type="dxa"/>
          </w:tcPr>
          <w:p w14:paraId="6B84F9C5" w14:textId="586390BC" w:rsidR="00B6531A" w:rsidRDefault="006241FF" w:rsidP="00B6531A">
            <w:pPr>
              <w:pStyle w:val="naiskr"/>
              <w:spacing w:before="0" w:after="0"/>
              <w:jc w:val="both"/>
            </w:pPr>
            <w:r>
              <w:t>Pārņemts pilnībā.</w:t>
            </w:r>
          </w:p>
        </w:tc>
        <w:tc>
          <w:tcPr>
            <w:tcW w:w="3931" w:type="dxa"/>
          </w:tcPr>
          <w:p w14:paraId="676EE03E" w14:textId="03A50547" w:rsidR="00B6531A" w:rsidRDefault="006241FF" w:rsidP="00B6531A">
            <w:pPr>
              <w:pStyle w:val="naiskr"/>
              <w:spacing w:before="0" w:after="0"/>
              <w:jc w:val="both"/>
            </w:pPr>
            <w:r>
              <w:t>Netiek noteiktas stingrākas prasības.</w:t>
            </w:r>
          </w:p>
        </w:tc>
      </w:tr>
      <w:tr w:rsidR="00B6531A" w14:paraId="21C1BE98" w14:textId="77777777" w:rsidTr="006241FF">
        <w:trPr>
          <w:trHeight w:val="313"/>
          <w:jc w:val="center"/>
        </w:trPr>
        <w:tc>
          <w:tcPr>
            <w:tcW w:w="2035" w:type="dxa"/>
          </w:tcPr>
          <w:p w14:paraId="1BB82102" w14:textId="1C3AE992" w:rsidR="00B6531A" w:rsidRPr="006241FF" w:rsidRDefault="00B6531A" w:rsidP="00B6531A">
            <w:pPr>
              <w:pStyle w:val="naiskr"/>
              <w:spacing w:before="0" w:after="0"/>
              <w:jc w:val="both"/>
            </w:pPr>
            <w:r w:rsidRPr="006241FF">
              <w:t>VI pielikuma 6.daļas 1.3.punkts</w:t>
            </w:r>
          </w:p>
        </w:tc>
        <w:tc>
          <w:tcPr>
            <w:tcW w:w="1646" w:type="dxa"/>
          </w:tcPr>
          <w:p w14:paraId="01D70CB7" w14:textId="071A4D30" w:rsidR="00B6531A" w:rsidRPr="006241FF" w:rsidRDefault="009C12C0" w:rsidP="00B6531A">
            <w:pPr>
              <w:pStyle w:val="naiskr"/>
              <w:spacing w:before="0" w:after="0"/>
              <w:jc w:val="both"/>
            </w:pPr>
            <w:r>
              <w:t>2</w:t>
            </w:r>
            <w:r w:rsidR="00826471">
              <w:t>3</w:t>
            </w:r>
            <w:r w:rsidR="00BA2F11" w:rsidRPr="006241FF">
              <w:t xml:space="preserve">., </w:t>
            </w:r>
            <w:r>
              <w:t>2</w:t>
            </w:r>
            <w:r w:rsidR="00826471">
              <w:t>4</w:t>
            </w:r>
            <w:r w:rsidR="00BA2F11" w:rsidRPr="006241FF">
              <w:t xml:space="preserve">., </w:t>
            </w:r>
            <w:r>
              <w:t>2</w:t>
            </w:r>
            <w:r w:rsidR="00826471">
              <w:t>5</w:t>
            </w:r>
            <w:r w:rsidR="00BA2F11" w:rsidRPr="006241FF">
              <w:t>. punkts</w:t>
            </w:r>
          </w:p>
        </w:tc>
        <w:tc>
          <w:tcPr>
            <w:tcW w:w="1843" w:type="dxa"/>
          </w:tcPr>
          <w:p w14:paraId="320F8ACB" w14:textId="7EB46EC9" w:rsidR="00B6531A" w:rsidRDefault="006241FF" w:rsidP="00B6531A">
            <w:pPr>
              <w:pStyle w:val="naiskr"/>
              <w:spacing w:before="0" w:after="0"/>
              <w:jc w:val="both"/>
            </w:pPr>
            <w:r>
              <w:t>Pārņemts pilnībā.</w:t>
            </w:r>
          </w:p>
        </w:tc>
        <w:tc>
          <w:tcPr>
            <w:tcW w:w="3931" w:type="dxa"/>
          </w:tcPr>
          <w:p w14:paraId="194C5E13" w14:textId="6CC823C5" w:rsidR="00B6531A" w:rsidRDefault="006241FF" w:rsidP="00B6531A">
            <w:pPr>
              <w:pStyle w:val="naiskr"/>
              <w:spacing w:before="0" w:after="0"/>
              <w:jc w:val="both"/>
            </w:pPr>
            <w:r>
              <w:t>Netiek noteiktas stingrākas prasības.</w:t>
            </w:r>
          </w:p>
        </w:tc>
      </w:tr>
      <w:tr w:rsidR="00B6531A" w14:paraId="1D083679" w14:textId="77777777" w:rsidTr="006241FF">
        <w:trPr>
          <w:trHeight w:val="313"/>
          <w:jc w:val="center"/>
        </w:trPr>
        <w:tc>
          <w:tcPr>
            <w:tcW w:w="2035" w:type="dxa"/>
          </w:tcPr>
          <w:p w14:paraId="54B7EEB4" w14:textId="1B1F54A4" w:rsidR="00B6531A" w:rsidRPr="006241FF" w:rsidRDefault="00B6531A" w:rsidP="00B6531A">
            <w:pPr>
              <w:pStyle w:val="naiskr"/>
              <w:spacing w:before="0" w:after="0"/>
              <w:jc w:val="both"/>
            </w:pPr>
            <w:r w:rsidRPr="006241FF">
              <w:t>VI pielikuma 6.daļas 2.7.punkts</w:t>
            </w:r>
          </w:p>
        </w:tc>
        <w:tc>
          <w:tcPr>
            <w:tcW w:w="1646" w:type="dxa"/>
          </w:tcPr>
          <w:p w14:paraId="2F4D5CB6" w14:textId="481CDBC9" w:rsidR="00B6531A" w:rsidRDefault="009C12C0" w:rsidP="00B6531A">
            <w:pPr>
              <w:pStyle w:val="naiskr"/>
              <w:spacing w:before="0" w:after="0"/>
              <w:jc w:val="both"/>
            </w:pPr>
            <w:r>
              <w:t>2</w:t>
            </w:r>
            <w:r w:rsidR="00826471">
              <w:t>3</w:t>
            </w:r>
            <w:r>
              <w:t>., 2</w:t>
            </w:r>
            <w:r w:rsidR="008046BC">
              <w:t>9</w:t>
            </w:r>
            <w:r w:rsidR="00A814B5">
              <w:t xml:space="preserve">.un </w:t>
            </w:r>
            <w:r w:rsidR="008046BC">
              <w:t>30</w:t>
            </w:r>
            <w:r w:rsidR="00A814B5">
              <w:t>.punkts</w:t>
            </w:r>
          </w:p>
        </w:tc>
        <w:tc>
          <w:tcPr>
            <w:tcW w:w="1843" w:type="dxa"/>
          </w:tcPr>
          <w:p w14:paraId="45EA8C7B" w14:textId="6B0B03D6" w:rsidR="00B6531A" w:rsidRDefault="006241FF" w:rsidP="00B6531A">
            <w:pPr>
              <w:pStyle w:val="naiskr"/>
              <w:spacing w:before="0" w:after="0"/>
              <w:jc w:val="both"/>
            </w:pPr>
            <w:r>
              <w:t>Pārņemts pilnībā.</w:t>
            </w:r>
          </w:p>
        </w:tc>
        <w:tc>
          <w:tcPr>
            <w:tcW w:w="3931" w:type="dxa"/>
          </w:tcPr>
          <w:p w14:paraId="521C26C5" w14:textId="5511387F" w:rsidR="00B6531A" w:rsidRDefault="006241FF" w:rsidP="00B6531A">
            <w:pPr>
              <w:pStyle w:val="naiskr"/>
              <w:spacing w:before="0" w:after="0"/>
              <w:jc w:val="both"/>
            </w:pPr>
            <w:r>
              <w:t>Netiek noteiktas stingrākas prasības.</w:t>
            </w:r>
          </w:p>
        </w:tc>
      </w:tr>
      <w:tr w:rsidR="00B6531A" w14:paraId="05F9DB55" w14:textId="77777777" w:rsidTr="006241FF">
        <w:trPr>
          <w:trHeight w:val="313"/>
          <w:jc w:val="center"/>
        </w:trPr>
        <w:tc>
          <w:tcPr>
            <w:tcW w:w="3681" w:type="dxa"/>
            <w:gridSpan w:val="2"/>
          </w:tcPr>
          <w:p w14:paraId="715707AD" w14:textId="77777777" w:rsidR="00B6531A" w:rsidRPr="006C4B9F" w:rsidRDefault="00B6531A" w:rsidP="00B6531A">
            <w:pPr>
              <w:pStyle w:val="naiskr"/>
              <w:spacing w:before="0" w:after="0"/>
              <w:jc w:val="both"/>
            </w:pPr>
            <w:r w:rsidRPr="006C4B9F">
              <w:t>Kā ir izmantota ES tiesību aktā paredzētā rīcības brīvība dalībvalstij pārņemt vai ieviest noteiktas ES tiesību akta normas.</w:t>
            </w:r>
          </w:p>
          <w:p w14:paraId="50C05DC6" w14:textId="32CE720F" w:rsidR="00B6531A" w:rsidRDefault="00B6531A" w:rsidP="00B6531A">
            <w:pPr>
              <w:pStyle w:val="naiskr"/>
              <w:spacing w:before="0" w:after="0"/>
              <w:jc w:val="both"/>
            </w:pPr>
            <w:r w:rsidRPr="006C4B9F">
              <w:t>Kādēļ?</w:t>
            </w:r>
          </w:p>
        </w:tc>
        <w:tc>
          <w:tcPr>
            <w:tcW w:w="5774" w:type="dxa"/>
            <w:gridSpan w:val="2"/>
          </w:tcPr>
          <w:p w14:paraId="19379FCB" w14:textId="395DB5C4" w:rsidR="00B6531A" w:rsidRDefault="00D90254" w:rsidP="00B6531A">
            <w:pPr>
              <w:pStyle w:val="naiskr"/>
              <w:spacing w:before="0" w:after="0"/>
              <w:jc w:val="both"/>
            </w:pPr>
            <w:r>
              <w:t>Noteikumu p</w:t>
            </w:r>
            <w:r w:rsidR="006241FF">
              <w:t xml:space="preserve">rojekts šo jomu neskar. </w:t>
            </w:r>
          </w:p>
        </w:tc>
      </w:tr>
      <w:tr w:rsidR="00B6531A" w14:paraId="760444A6" w14:textId="77777777" w:rsidTr="006241FF">
        <w:trPr>
          <w:trHeight w:val="313"/>
          <w:jc w:val="center"/>
        </w:trPr>
        <w:tc>
          <w:tcPr>
            <w:tcW w:w="3681" w:type="dxa"/>
            <w:gridSpan w:val="2"/>
          </w:tcPr>
          <w:p w14:paraId="6386C6CB" w14:textId="6044B01A" w:rsidR="00B6531A" w:rsidRDefault="00AC392E" w:rsidP="00B6531A">
            <w:pPr>
              <w:pStyle w:val="naiskr"/>
              <w:spacing w:before="0" w:after="0"/>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74" w:type="dxa"/>
            <w:gridSpan w:val="2"/>
          </w:tcPr>
          <w:p w14:paraId="45D0CAE3" w14:textId="5B12F219" w:rsidR="00B6531A" w:rsidRDefault="00D90254" w:rsidP="00B6531A">
            <w:pPr>
              <w:pStyle w:val="naiskr"/>
              <w:spacing w:before="0" w:after="0"/>
              <w:jc w:val="both"/>
            </w:pPr>
            <w:r>
              <w:t>Noteikumu p</w:t>
            </w:r>
            <w:r w:rsidR="00B6531A">
              <w:t>rojekts šo jomu neskar.</w:t>
            </w:r>
          </w:p>
        </w:tc>
      </w:tr>
      <w:tr w:rsidR="00B6531A" w14:paraId="50065E69" w14:textId="77777777" w:rsidTr="006241FF">
        <w:trPr>
          <w:trHeight w:val="313"/>
          <w:jc w:val="center"/>
        </w:trPr>
        <w:tc>
          <w:tcPr>
            <w:tcW w:w="3681" w:type="dxa"/>
            <w:gridSpan w:val="2"/>
          </w:tcPr>
          <w:p w14:paraId="19B638D3" w14:textId="7AF9F9E3" w:rsidR="00B6531A" w:rsidRDefault="00B6531A" w:rsidP="00B6531A">
            <w:pPr>
              <w:pStyle w:val="naiskr"/>
              <w:spacing w:before="0" w:after="0"/>
              <w:jc w:val="both"/>
            </w:pPr>
            <w:r w:rsidRPr="006C4B9F">
              <w:t>Cita informācija</w:t>
            </w:r>
          </w:p>
        </w:tc>
        <w:tc>
          <w:tcPr>
            <w:tcW w:w="5774" w:type="dxa"/>
            <w:gridSpan w:val="2"/>
          </w:tcPr>
          <w:p w14:paraId="0F2315C2" w14:textId="76622619" w:rsidR="00B6531A" w:rsidRDefault="00B6531A" w:rsidP="00AC392E">
            <w:pPr>
              <w:pStyle w:val="naiskr"/>
              <w:spacing w:before="0" w:after="0"/>
              <w:jc w:val="both"/>
            </w:pPr>
            <w:r>
              <w:t xml:space="preserve">Informācija par Direktīvas 2010/75/ES citu </w:t>
            </w:r>
            <w:r w:rsidR="00D90254">
              <w:t>ES sekundāro tiesību aktu prasību pārņemšanu</w:t>
            </w:r>
            <w:r>
              <w:t xml:space="preserve"> ir pieejama </w:t>
            </w:r>
            <w:r w:rsidR="00AC392E">
              <w:t>likumprojekta “Grozījumi likumā</w:t>
            </w:r>
            <w:r>
              <w:t xml:space="preserve"> “Par piesārņojumu”</w:t>
            </w:r>
            <w:r w:rsidR="00AC392E">
              <w:t>”</w:t>
            </w:r>
            <w:r>
              <w:t xml:space="preserve"> anotācijā.</w:t>
            </w:r>
            <w:r>
              <w:rPr>
                <w:rStyle w:val="FootnoteReference"/>
              </w:rPr>
              <w:footnoteReference w:id="3"/>
            </w:r>
          </w:p>
        </w:tc>
      </w:tr>
    </w:tbl>
    <w:p w14:paraId="2183A4EA" w14:textId="489004B8"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5A44F7">
        <w:tc>
          <w:tcPr>
            <w:tcW w:w="9469"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5A44F7">
        <w:tc>
          <w:tcPr>
            <w:tcW w:w="9469" w:type="dxa"/>
            <w:tcBorders>
              <w:top w:val="single" w:sz="4" w:space="0" w:color="auto"/>
              <w:left w:val="single" w:sz="4" w:space="0" w:color="auto"/>
              <w:bottom w:val="single" w:sz="4" w:space="0" w:color="auto"/>
              <w:right w:val="single" w:sz="4" w:space="0" w:color="auto"/>
            </w:tcBorders>
          </w:tcPr>
          <w:p w14:paraId="61908F04" w14:textId="7ECBF454" w:rsidR="00EA67D7" w:rsidRPr="00FF72C6" w:rsidRDefault="000F02E7" w:rsidP="00B227DD">
            <w:pPr>
              <w:spacing w:line="256" w:lineRule="auto"/>
              <w:jc w:val="center"/>
              <w:rPr>
                <w:lang w:eastAsia="en-US"/>
              </w:rPr>
            </w:pPr>
            <w:r>
              <w:rPr>
                <w:lang w:eastAsia="en-US"/>
              </w:rPr>
              <w:t>Noteikumu 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723DF95D" w:rsidR="00A0110F" w:rsidRPr="00FB41DC" w:rsidRDefault="000F02E7" w:rsidP="004B665C">
            <w:pPr>
              <w:ind w:left="57" w:right="57"/>
              <w:jc w:val="both"/>
            </w:pPr>
            <w:r>
              <w:t>Noteikumu projekts un tā sākotnējās ietekmes novērtējuma zi</w:t>
            </w:r>
            <w:r w:rsidR="00FE3C72">
              <w:t>ņojums (anotācija) 2020. gada 9</w:t>
            </w:r>
            <w:r>
              <w:t>. septembrī publicēts V</w:t>
            </w:r>
            <w:r w:rsidR="000B7219">
              <w:t>ARAM</w:t>
            </w:r>
            <w:r>
              <w:t xml:space="preserve"> tīmekļvietnē </w:t>
            </w:r>
            <w:hyperlink r:id="rId8" w:history="1">
              <w:r>
                <w:rPr>
                  <w:rStyle w:val="Hyperlink"/>
                </w:rPr>
                <w:t>www.varam.gov.lv</w:t>
              </w:r>
            </w:hyperlink>
            <w:r>
              <w:t xml:space="preserve"> un </w:t>
            </w:r>
            <w:r>
              <w:rPr>
                <w:shd w:val="clear" w:color="auto" w:fill="FFFFFF"/>
              </w:rPr>
              <w:t xml:space="preserve">iesniegts Valsts kancelejā publicēšanai tās </w:t>
            </w:r>
            <w:r>
              <w:t>tīmekļvietnē, līdz ar to ieinteresētajām personām ir iespēja izteikt viedokli un sniegt priekšlikumus.</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F09FFA3" w14:textId="32996A0C" w:rsidR="00354ECA" w:rsidRDefault="00354ECA" w:rsidP="00616F0A">
            <w:pPr>
              <w:pStyle w:val="naiskr"/>
              <w:spacing w:before="0" w:after="0"/>
              <w:ind w:right="57"/>
              <w:jc w:val="both"/>
              <w:rPr>
                <w:szCs w:val="22"/>
              </w:rPr>
            </w:pPr>
            <w:r>
              <w:rPr>
                <w:szCs w:val="22"/>
              </w:rPr>
              <w:t>Par noteikumu projektu un tā anotāciju ir saņemti šādi priekšlikumi:</w:t>
            </w:r>
          </w:p>
          <w:p w14:paraId="4ADB11DC" w14:textId="77777777" w:rsidR="00D274B8" w:rsidRPr="00FE3C72" w:rsidRDefault="00354ECA" w:rsidP="00354ECA">
            <w:pPr>
              <w:pStyle w:val="naiskr"/>
              <w:numPr>
                <w:ilvl w:val="0"/>
                <w:numId w:val="11"/>
              </w:numPr>
              <w:spacing w:before="0" w:after="0"/>
              <w:ind w:right="57"/>
              <w:jc w:val="both"/>
              <w:rPr>
                <w:u w:val="single"/>
              </w:rPr>
            </w:pPr>
            <w:r w:rsidRPr="00FE3C72">
              <w:rPr>
                <w:szCs w:val="22"/>
                <w:u w:val="single"/>
              </w:rPr>
              <w:lastRenderedPageBreak/>
              <w:t xml:space="preserve">SCHWENK Latvija SIA (reģistrācijas Nr. 40003386821, juridiskā adrese  Lielirbes iela 17A-28, Rīga, LV-1046) 2020.gada 16.septembra vēstule Nr. Iz. 248/09/2020: </w:t>
            </w:r>
          </w:p>
          <w:p w14:paraId="35628FF9" w14:textId="4E945866" w:rsidR="00354ECA" w:rsidRPr="00AC3296" w:rsidRDefault="00354ECA" w:rsidP="008726E3">
            <w:pPr>
              <w:jc w:val="both"/>
              <w:rPr>
                <w:szCs w:val="22"/>
              </w:rPr>
            </w:pPr>
            <w:r w:rsidRPr="00AC3296">
              <w:rPr>
                <w:szCs w:val="22"/>
              </w:rPr>
              <w:t xml:space="preserve">Uzņēmums lūdz tiesību akta projekta 44. punktu precizēt atbilstoši Eiropas Parlamenta un </w:t>
            </w:r>
            <w:r w:rsidR="000B7219">
              <w:rPr>
                <w:szCs w:val="22"/>
              </w:rPr>
              <w:t>P</w:t>
            </w:r>
            <w:r w:rsidRPr="00AC3296">
              <w:rPr>
                <w:szCs w:val="22"/>
              </w:rPr>
              <w:t>adomes direktīvas 2010/75/ES par rūpnieciskajām emisijām (piesārņojuma integrēta novēršana un kontrole) 6. daļas “Emisiju monitorings” 1.2. apakšpunktam, izsakot attiecīgo punktu tādējādi, ka automātiskās mērīšanas sistēmas jāpārbauda, vismaz reizi gadā veicot paralēlus mērījumus pēc references metodēm.</w:t>
            </w:r>
          </w:p>
          <w:p w14:paraId="4664F6C3" w14:textId="45896B8E" w:rsidR="00354ECA" w:rsidRDefault="00E0213A" w:rsidP="008726E3">
            <w:pPr>
              <w:pStyle w:val="naiskr"/>
              <w:spacing w:before="0" w:after="0"/>
              <w:ind w:right="57"/>
              <w:jc w:val="both"/>
            </w:pPr>
            <w:r>
              <w:rPr>
                <w:b/>
                <w:u w:val="single"/>
              </w:rPr>
              <w:t xml:space="preserve">VARAM viedoklis: </w:t>
            </w:r>
            <w:r w:rsidR="00354ECA" w:rsidRPr="00E0213A">
              <w:t xml:space="preserve">Priekšlikums ir ņemts vērā. </w:t>
            </w:r>
          </w:p>
          <w:p w14:paraId="7249BC5F" w14:textId="77777777" w:rsidR="00104398" w:rsidRDefault="00104398" w:rsidP="00354ECA">
            <w:pPr>
              <w:pStyle w:val="naiskr"/>
              <w:spacing w:before="0" w:after="0"/>
              <w:ind w:right="57"/>
              <w:jc w:val="both"/>
              <w:rPr>
                <w:b/>
                <w:u w:val="single"/>
              </w:rPr>
            </w:pPr>
          </w:p>
          <w:p w14:paraId="4CD8E435" w14:textId="11CC771C" w:rsidR="00B82EED" w:rsidRPr="00104398" w:rsidRDefault="00B82EED" w:rsidP="00B82EED">
            <w:pPr>
              <w:tabs>
                <w:tab w:val="right" w:pos="1560"/>
                <w:tab w:val="left" w:pos="1701"/>
                <w:tab w:val="left" w:pos="2268"/>
              </w:tabs>
              <w:rPr>
                <w:b/>
                <w:noProof/>
                <w:u w:val="single"/>
              </w:rPr>
            </w:pPr>
            <w:r w:rsidRPr="00104398">
              <w:rPr>
                <w:b/>
                <w:u w:val="single"/>
              </w:rPr>
              <w:t>Valsts vides dienesta 2020.gada 28.septembra vēstule Nr.</w:t>
            </w:r>
            <w:r w:rsidRPr="00104398">
              <w:rPr>
                <w:b/>
              </w:rPr>
              <w:tab/>
            </w:r>
            <w:r w:rsidRPr="00104398">
              <w:rPr>
                <w:b/>
                <w:noProof/>
                <w:u w:val="single"/>
              </w:rPr>
              <w:t xml:space="preserve">2.1/CS/2206/2020: </w:t>
            </w:r>
          </w:p>
          <w:p w14:paraId="7468DAD0" w14:textId="7C4DE393" w:rsidR="00E0213A" w:rsidRPr="00A97DDD" w:rsidRDefault="00A97DDD" w:rsidP="00A97DDD">
            <w:pPr>
              <w:tabs>
                <w:tab w:val="right" w:pos="1418"/>
                <w:tab w:val="left" w:pos="1701"/>
              </w:tabs>
              <w:jc w:val="both"/>
              <w:rPr>
                <w:bCs/>
                <w:noProof/>
              </w:rPr>
            </w:pPr>
            <w:r>
              <w:rPr>
                <w:bCs/>
                <w:noProof/>
              </w:rPr>
              <w:t>1.</w:t>
            </w:r>
            <w:r w:rsidR="00E0213A" w:rsidRPr="00A97DDD">
              <w:rPr>
                <w:bCs/>
                <w:noProof/>
              </w:rPr>
              <w:t>Ministru kabineta 2011. gada 24. maija noteikumu Nr. 401 “Prasības atkritumu sadedzināšanai un atkritumu sadedzināšanas iekārtu darbībai” (turpmāk – noteikumi) 2.1. apakšpunkta pirmā teikuma beigu daļā norādīts: “… kā arī citiem atkritumu termiskās pārstrādes veidiem (tai skaitā pirolīzei, gazifikācijai, plazmas procesiem), ja pēc pārstrādes radušās vielas pēc tam tiek sadedzinātas”. Projekta 2. punktā norādīts, ka noteikumu 2.2. apakšpunktu izsaka šādi: “…</w:t>
            </w:r>
            <w:r w:rsidR="00E0213A" w:rsidRPr="00403EAB">
              <w:t xml:space="preserve"> </w:t>
            </w:r>
            <w:r w:rsidR="00E0213A" w:rsidRPr="00A97DDD">
              <w:rPr>
                <w:bCs/>
                <w:noProof/>
              </w:rPr>
              <w:t>kā arī ar citiem termiskās apstrādes procesiem, piemēram, pirolīzi, gazificēšanu vai plazmas procesiem, ja šādā apstrādē radušās vielas pēc tam sadedzina …”. Nav izprotams vai ar terminu “pēc tam sadedzina” domāts, ka sadedzina atkritumu sadedzināšanas iekārtā, kas saistīta ar pirolīzes, gazifikācijas iekārtu, jeb tā ir cita nesaistīta sadedzināšanas iekārta. Dienests ierosina 2.1. un 2.2. apakšpunktā frāzi par sadezināšanu izteikt šādi: “radušās vielas pēc tam tiek sadedzinātas tai pašā atkritumu sadedzināšanas iekārtā, nepiemērojot atkritumu statusa izbeigšanu šīm vielām”;</w:t>
            </w:r>
          </w:p>
          <w:p w14:paraId="793F1A73" w14:textId="5885934C" w:rsidR="0046420D" w:rsidRDefault="009F7FC8" w:rsidP="0046420D">
            <w:pPr>
              <w:tabs>
                <w:tab w:val="right" w:pos="1418"/>
                <w:tab w:val="left" w:pos="1701"/>
              </w:tabs>
              <w:jc w:val="both"/>
            </w:pPr>
            <w:r w:rsidRPr="009F7FC8">
              <w:rPr>
                <w:b/>
                <w:bCs/>
                <w:noProof/>
                <w:u w:val="single"/>
              </w:rPr>
              <w:t xml:space="preserve">VARAM viedoklis: </w:t>
            </w:r>
            <w:r>
              <w:rPr>
                <w:bCs/>
                <w:noProof/>
              </w:rPr>
              <w:t>Priekšlikums ir ņemts vērā daļēji. VARAM paskaidro, ka atkritumu statusa izbeigšanas kritēriji ir noteikti MK 2011.gada 19.aprīļa noteikumu Nr.302 “</w:t>
            </w:r>
            <w:r>
              <w:t>Noteikumi par atkritumu klasifikatoru un īpašībām, kuras padara atkritumus bīstamus” 6.punktā. VARAM ieskatā</w:t>
            </w:r>
            <w:r w:rsidR="000D443B">
              <w:t>,</w:t>
            </w:r>
            <w:r>
              <w:t xml:space="preserve"> ir jānodrošina arī citu atkritumu statusa izbeigšanas kritēriju izpilde, lai </w:t>
            </w:r>
            <w:r w:rsidR="0046420D">
              <w:t xml:space="preserve">noteiktu, ka atkritumu pirolīzes pārpalikumi tiem atbilst. </w:t>
            </w:r>
          </w:p>
          <w:p w14:paraId="6C02248B" w14:textId="77777777" w:rsidR="00104398" w:rsidRDefault="00104398" w:rsidP="0046420D">
            <w:pPr>
              <w:tabs>
                <w:tab w:val="right" w:pos="1418"/>
                <w:tab w:val="left" w:pos="1701"/>
              </w:tabs>
              <w:jc w:val="both"/>
            </w:pPr>
          </w:p>
          <w:p w14:paraId="759F60E9" w14:textId="220A4205" w:rsidR="00E0213A" w:rsidRDefault="00A97DDD" w:rsidP="0046420D">
            <w:pPr>
              <w:tabs>
                <w:tab w:val="right" w:pos="1418"/>
                <w:tab w:val="left" w:pos="1701"/>
              </w:tabs>
              <w:jc w:val="both"/>
              <w:rPr>
                <w:bCs/>
                <w:noProof/>
              </w:rPr>
            </w:pPr>
            <w:r>
              <w:t xml:space="preserve">2. </w:t>
            </w:r>
            <w:r w:rsidR="00E0213A">
              <w:rPr>
                <w:bCs/>
                <w:noProof/>
              </w:rPr>
              <w:t>noteikumu 3.1.4. apakšpunkts izteikts šādi: “</w:t>
            </w:r>
            <w:r w:rsidR="00E0213A" w:rsidRPr="00E41795">
              <w:rPr>
                <w:bCs/>
                <w:noProof/>
              </w:rPr>
              <w:t>koksnes atkritumus, izņemot tādus koksnes atkritumus, kuros pēc pārstrādes ir vai var būt halogēnus saturoši organiski savienojumi vai smagie metāli</w:t>
            </w:r>
            <w:r w:rsidR="00E0213A">
              <w:rPr>
                <w:bCs/>
                <w:noProof/>
              </w:rPr>
              <w:t xml:space="preserve">”. Ņemot vērā to, ka pašlaik tiek izstrādāti noteikumi koksnes atkritumu statusa izbeigšanas piemērošanai ar iekļautām piesārņojošo vielu koncentrāciju robežvērtībām, ierosinām šo apakšpunktu izteikt šādi: “koksnes atkritumus, izņemot tādus koksnes </w:t>
            </w:r>
            <w:r w:rsidR="00E0213A">
              <w:rPr>
                <w:bCs/>
                <w:noProof/>
              </w:rPr>
              <w:lastRenderedPageBreak/>
              <w:t>atkritumus, kuriem atbilstoši normatīviem aktiem par kārtību</w:t>
            </w:r>
            <w:r w:rsidR="00E0213A" w:rsidRPr="00E41795">
              <w:rPr>
                <w:bCs/>
                <w:noProof/>
              </w:rPr>
              <w:t>, kādā izbeidz piemērot atkritumu statusu šķeldai, skaidām un putekļiem, kas iegūti no koksnes iepakojuma vai noteikta veida koksnes būvniecības atkritumiem</w:t>
            </w:r>
            <w:r w:rsidR="00E0213A">
              <w:rPr>
                <w:bCs/>
                <w:noProof/>
              </w:rPr>
              <w:t xml:space="preserve"> ir izbeigts piemērot atkritumu statusu;”. Ja šādu atsauksmi nav iespējams iekļaut vai </w:t>
            </w:r>
            <w:r w:rsidR="00E0213A" w:rsidRPr="00AD1272">
              <w:rPr>
                <w:bCs/>
                <w:noProof/>
              </w:rPr>
              <w:t>noteikum</w:t>
            </w:r>
            <w:r w:rsidR="00E0213A">
              <w:rPr>
                <w:bCs/>
                <w:noProof/>
              </w:rPr>
              <w:t>os</w:t>
            </w:r>
            <w:r w:rsidR="00E0213A" w:rsidRPr="00AD1272">
              <w:rPr>
                <w:bCs/>
                <w:noProof/>
              </w:rPr>
              <w:t xml:space="preserve"> koksnes atkritumu statusa izbeigšanas piemērošanai iekļautā</w:t>
            </w:r>
            <w:r w:rsidR="00E0213A">
              <w:rPr>
                <w:bCs/>
                <w:noProof/>
              </w:rPr>
              <w:t>s</w:t>
            </w:r>
            <w:r w:rsidR="00E0213A" w:rsidRPr="00AD1272">
              <w:rPr>
                <w:bCs/>
                <w:noProof/>
              </w:rPr>
              <w:t xml:space="preserve"> piesārņojošo vielu koncentrāciju robežvēr</w:t>
            </w:r>
            <w:r w:rsidR="00E0213A">
              <w:rPr>
                <w:bCs/>
                <w:noProof/>
              </w:rPr>
              <w:t>t</w:t>
            </w:r>
            <w:r w:rsidR="00E0213A" w:rsidRPr="00AD1272">
              <w:rPr>
                <w:bCs/>
                <w:noProof/>
              </w:rPr>
              <w:t>īb</w:t>
            </w:r>
            <w:r w:rsidR="00E0213A">
              <w:rPr>
                <w:bCs/>
                <w:noProof/>
              </w:rPr>
              <w:t>as atšķiras no tām ar kādām koksnes atkritumi būtu jāsadedzina noteikumiem atbilstošā atkritumu sadedzināšanas iekārtā, ierosinām noteikumos iekļaut nepieciešamās koncentrāciju robežvērtības;</w:t>
            </w:r>
          </w:p>
          <w:p w14:paraId="207FDD36" w14:textId="55250229" w:rsidR="0045691C" w:rsidRDefault="0046420D" w:rsidP="0045691C">
            <w:pPr>
              <w:spacing w:after="160" w:line="252" w:lineRule="auto"/>
              <w:contextualSpacing/>
              <w:jc w:val="both"/>
            </w:pPr>
            <w:r w:rsidRPr="0045691C">
              <w:rPr>
                <w:b/>
                <w:bCs/>
                <w:noProof/>
                <w:u w:val="single"/>
              </w:rPr>
              <w:t>VARAM viedoklis:</w:t>
            </w:r>
            <w:r>
              <w:rPr>
                <w:bCs/>
                <w:noProof/>
              </w:rPr>
              <w:t xml:space="preserve"> priekšlikums nav ņemts vērā. VARAM paskaidro, ka noteikumu Nr.401 3.punktā ir noteikti izņēmumi noteikumu piemērošanai, tāpēc MK noteikumi Nr.401 neattiecas uz tādām iekārtām, kurās tiek sadedzināti </w:t>
            </w:r>
            <w:r w:rsidRPr="00E41795">
              <w:rPr>
                <w:bCs/>
                <w:noProof/>
              </w:rPr>
              <w:t>koksnes atkritumus, izņemot tādus koksnes atkritumus, kuros pēc pārstrādes ir vai var būt halogēnus saturoši organiski savienojumi vai smagie metāli</w:t>
            </w:r>
            <w:r>
              <w:rPr>
                <w:bCs/>
                <w:noProof/>
              </w:rPr>
              <w:t>, tāpēc arī nav pamata šajos noteikumos iekļaut nepieciešamās koncentrācijas robežvērtības. Nav arī pamata iekļaut atsauci uz MK noteikumu projektu “</w:t>
            </w:r>
            <w:r w:rsidR="0045691C">
              <w:t xml:space="preserve">“Kārtība, kādā izbeidz piemērot atkritumu statusu </w:t>
            </w:r>
            <w:r w:rsidR="0045691C">
              <w:rPr>
                <w:b/>
                <w:bCs/>
              </w:rPr>
              <w:t>šķeldai, skaidām un putekļiem</w:t>
            </w:r>
            <w:r w:rsidR="0045691C">
              <w:t>, kas iegūti no koksnes iepakojuma vai noteikta veida koksnes būvniecības atkritumiem” projekts (VSS-755, izsludināts  26.07.2018 (protokols Nr.29, 24.</w:t>
            </w:r>
            <w:r w:rsidR="0045691C">
              <w:rPr>
                <w:rFonts w:ascii="Calibri" w:hAnsi="Calibri"/>
              </w:rPr>
              <w:t>§</w:t>
            </w:r>
            <w:r w:rsidR="0045691C">
              <w:t>)), tā kā normatīvais akts vēl nav spēkā.</w:t>
            </w:r>
          </w:p>
          <w:p w14:paraId="65417104" w14:textId="77777777" w:rsidR="0045691C" w:rsidRDefault="0045691C" w:rsidP="0045691C">
            <w:pPr>
              <w:tabs>
                <w:tab w:val="right" w:pos="1418"/>
                <w:tab w:val="left" w:pos="1701"/>
              </w:tabs>
              <w:jc w:val="both"/>
              <w:rPr>
                <w:bCs/>
                <w:noProof/>
              </w:rPr>
            </w:pPr>
          </w:p>
          <w:p w14:paraId="7E55B484" w14:textId="35C23FAD" w:rsidR="00E0213A" w:rsidRDefault="00104398" w:rsidP="0045691C">
            <w:pPr>
              <w:tabs>
                <w:tab w:val="right" w:pos="1418"/>
                <w:tab w:val="left" w:pos="1701"/>
              </w:tabs>
              <w:jc w:val="both"/>
              <w:rPr>
                <w:bCs/>
                <w:noProof/>
              </w:rPr>
            </w:pPr>
            <w:r>
              <w:rPr>
                <w:bCs/>
                <w:noProof/>
              </w:rPr>
              <w:t>3</w:t>
            </w:r>
            <w:r w:rsidR="00A97DDD">
              <w:rPr>
                <w:bCs/>
                <w:noProof/>
              </w:rPr>
              <w:t xml:space="preserve">. </w:t>
            </w:r>
            <w:r w:rsidR="00E0213A" w:rsidRPr="0045691C">
              <w:rPr>
                <w:bCs/>
                <w:noProof/>
              </w:rPr>
              <w:t xml:space="preserve">Lai netiktu dublēta frāze “Valsts vides dienesta”, ierosinām projekta 4. punktu izteikt šādi: “4. punktā aizstāt vārdus “Valsts vides dienesta reģionālajā vides pārvaldē” ar vārdiem “Valsts vides dienestā”; </w:t>
            </w:r>
          </w:p>
          <w:p w14:paraId="30802B57" w14:textId="3EDCE67D" w:rsidR="0045691C" w:rsidRDefault="0045691C" w:rsidP="0045691C">
            <w:pPr>
              <w:tabs>
                <w:tab w:val="right" w:pos="1418"/>
                <w:tab w:val="left" w:pos="1701"/>
              </w:tabs>
              <w:jc w:val="both"/>
              <w:rPr>
                <w:bCs/>
                <w:noProof/>
              </w:rPr>
            </w:pPr>
            <w:r w:rsidRPr="0045691C">
              <w:rPr>
                <w:b/>
                <w:bCs/>
                <w:noProof/>
                <w:u w:val="single"/>
              </w:rPr>
              <w:t>VARAM viedoklis:</w:t>
            </w:r>
            <w:r>
              <w:rPr>
                <w:bCs/>
                <w:noProof/>
              </w:rPr>
              <w:t xml:space="preserve"> priekšlikums ir ņemts vērā noteikumu projekta 1.punktā. </w:t>
            </w:r>
          </w:p>
          <w:p w14:paraId="78119920" w14:textId="77777777" w:rsidR="00104398" w:rsidRPr="0045691C" w:rsidRDefault="00104398" w:rsidP="0045691C">
            <w:pPr>
              <w:tabs>
                <w:tab w:val="right" w:pos="1418"/>
                <w:tab w:val="left" w:pos="1701"/>
              </w:tabs>
              <w:jc w:val="both"/>
              <w:rPr>
                <w:bCs/>
                <w:noProof/>
              </w:rPr>
            </w:pPr>
          </w:p>
          <w:p w14:paraId="38FB1F1E" w14:textId="2FF11E37" w:rsidR="00E0213A" w:rsidRDefault="00A97DDD" w:rsidP="0045691C">
            <w:pPr>
              <w:tabs>
                <w:tab w:val="right" w:pos="1418"/>
                <w:tab w:val="left" w:pos="1701"/>
              </w:tabs>
              <w:jc w:val="both"/>
              <w:rPr>
                <w:bCs/>
                <w:noProof/>
              </w:rPr>
            </w:pPr>
            <w:r>
              <w:rPr>
                <w:bCs/>
                <w:noProof/>
              </w:rPr>
              <w:t>4.</w:t>
            </w:r>
            <w:r w:rsidR="00E0213A">
              <w:rPr>
                <w:bCs/>
                <w:noProof/>
              </w:rPr>
              <w:t xml:space="preserve"> Dienests ierosina noteikumus papildināt ar 4.</w:t>
            </w:r>
            <w:r w:rsidR="00E0213A" w:rsidRPr="00E64287">
              <w:rPr>
                <w:bCs/>
                <w:noProof/>
                <w:vertAlign w:val="superscript"/>
              </w:rPr>
              <w:t>1</w:t>
            </w:r>
            <w:r w:rsidR="00E0213A">
              <w:rPr>
                <w:bCs/>
                <w:noProof/>
              </w:rPr>
              <w:t xml:space="preserve"> punktu, kurā ievietotu ceturto rindkopu no </w:t>
            </w:r>
            <w:bookmarkStart w:id="0" w:name="_GoBack"/>
            <w:r w:rsidR="00E0213A" w:rsidRPr="00E64287">
              <w:rPr>
                <w:bCs/>
                <w:noProof/>
              </w:rPr>
              <w:t>E</w:t>
            </w:r>
            <w:bookmarkEnd w:id="0"/>
            <w:r w:rsidR="00E0213A" w:rsidRPr="00E64287">
              <w:rPr>
                <w:bCs/>
                <w:noProof/>
              </w:rPr>
              <w:t>iropas Parlamenta un Padomes 24.11.2010. direktīva</w:t>
            </w:r>
            <w:r w:rsidR="00E0213A">
              <w:rPr>
                <w:bCs/>
                <w:noProof/>
              </w:rPr>
              <w:t>s</w:t>
            </w:r>
            <w:r w:rsidR="00E0213A" w:rsidRPr="00E64287">
              <w:rPr>
                <w:bCs/>
                <w:noProof/>
              </w:rPr>
              <w:t xml:space="preserve"> Nr.2010/75/ES par rūpnieciskajām emisijām</w:t>
            </w:r>
            <w:r w:rsidR="00E0213A">
              <w:rPr>
                <w:bCs/>
                <w:noProof/>
              </w:rPr>
              <w:t xml:space="preserve"> (turpmāk – Direktīva)</w:t>
            </w:r>
            <w:r w:rsidR="00E0213A" w:rsidRPr="00E64287">
              <w:rPr>
                <w:bCs/>
                <w:noProof/>
              </w:rPr>
              <w:t xml:space="preserve"> IV nodaļa</w:t>
            </w:r>
            <w:r w:rsidR="00E0213A">
              <w:rPr>
                <w:bCs/>
                <w:noProof/>
              </w:rPr>
              <w:t>s</w:t>
            </w:r>
            <w:r w:rsidR="00E0213A" w:rsidRPr="00E64287">
              <w:rPr>
                <w:bCs/>
                <w:noProof/>
              </w:rPr>
              <w:t xml:space="preserve"> </w:t>
            </w:r>
            <w:r w:rsidR="00E0213A">
              <w:rPr>
                <w:bCs/>
                <w:noProof/>
              </w:rPr>
              <w:t>“</w:t>
            </w:r>
            <w:r w:rsidR="00E0213A" w:rsidRPr="00E64287">
              <w:rPr>
                <w:bCs/>
                <w:noProof/>
              </w:rPr>
              <w:t>Īpaši noteikumi par atkritumu sadedzināšanas un līdzsadedzināšanas iekārtām”</w:t>
            </w:r>
            <w:r w:rsidR="00E0213A">
              <w:rPr>
                <w:bCs/>
                <w:noProof/>
              </w:rPr>
              <w:t xml:space="preserve"> 42. panta 1. punkta: ”</w:t>
            </w:r>
            <w:r w:rsidR="00E0213A" w:rsidRPr="00E64287">
              <w:rPr>
                <w:bCs/>
                <w:noProof/>
              </w:rPr>
              <w:t xml:space="preserve">Ja atkritumu termiskai apstrādei izmanto citus procesus, nevis oksidāciju, piemēram, pirolīzi, gazifikāciju vai plazmas procesu, atkritumu sadedzināšanas vai līdzsadedzināšanas iekārtā iekļauj gan termiskās apstrādes, gan arī </w:t>
            </w:r>
            <w:r w:rsidR="00E0213A">
              <w:rPr>
                <w:bCs/>
                <w:noProof/>
              </w:rPr>
              <w:t>tai sekojošo</w:t>
            </w:r>
            <w:r w:rsidR="00E0213A" w:rsidRPr="00E64287">
              <w:rPr>
                <w:bCs/>
                <w:noProof/>
              </w:rPr>
              <w:t xml:space="preserve"> sadedzināšanas procesu</w:t>
            </w:r>
            <w:r w:rsidR="00E0213A">
              <w:rPr>
                <w:bCs/>
                <w:noProof/>
              </w:rPr>
              <w:t>.”;</w:t>
            </w:r>
          </w:p>
          <w:p w14:paraId="144543AC" w14:textId="713C790B" w:rsidR="0045691C" w:rsidRDefault="0045691C" w:rsidP="0045691C">
            <w:pPr>
              <w:tabs>
                <w:tab w:val="right" w:pos="1418"/>
                <w:tab w:val="left" w:pos="1701"/>
              </w:tabs>
              <w:jc w:val="both"/>
              <w:rPr>
                <w:bCs/>
                <w:noProof/>
              </w:rPr>
            </w:pPr>
            <w:r w:rsidRPr="0045691C">
              <w:rPr>
                <w:b/>
                <w:bCs/>
                <w:noProof/>
                <w:u w:val="single"/>
              </w:rPr>
              <w:t>VARAM viedoklis</w:t>
            </w:r>
            <w:r>
              <w:rPr>
                <w:bCs/>
                <w:noProof/>
              </w:rPr>
              <w:t xml:space="preserve">: priekšlikums ir ņemts vērā. </w:t>
            </w:r>
          </w:p>
          <w:p w14:paraId="562C5330" w14:textId="77777777" w:rsidR="00104398" w:rsidRDefault="00104398" w:rsidP="0045691C">
            <w:pPr>
              <w:tabs>
                <w:tab w:val="right" w:pos="1418"/>
                <w:tab w:val="left" w:pos="1701"/>
              </w:tabs>
              <w:jc w:val="both"/>
              <w:rPr>
                <w:bCs/>
                <w:noProof/>
              </w:rPr>
            </w:pPr>
          </w:p>
          <w:p w14:paraId="14E5A2C9" w14:textId="1B6E81B5" w:rsidR="00E0213A" w:rsidRDefault="00A97DDD" w:rsidP="00667E8D">
            <w:pPr>
              <w:tabs>
                <w:tab w:val="right" w:pos="1418"/>
                <w:tab w:val="left" w:pos="1701"/>
              </w:tabs>
              <w:jc w:val="both"/>
              <w:rPr>
                <w:bCs/>
                <w:noProof/>
              </w:rPr>
            </w:pPr>
            <w:r>
              <w:rPr>
                <w:bCs/>
                <w:noProof/>
              </w:rPr>
              <w:t>5.</w:t>
            </w:r>
            <w:r w:rsidR="00E0213A">
              <w:rPr>
                <w:bCs/>
                <w:noProof/>
              </w:rPr>
              <w:t xml:space="preserve"> noteikumu 5. punkta pirmajā teikumā norādīts: “n</w:t>
            </w:r>
            <w:r w:rsidR="00E0213A" w:rsidRPr="008A68DA">
              <w:rPr>
                <w:bCs/>
                <w:noProof/>
              </w:rPr>
              <w:t>oteikumu papildu prasības bīstamajiem atkritumiem neattiecas uz šķidriem atkritumiem</w:t>
            </w:r>
            <w:r w:rsidR="00E0213A">
              <w:rPr>
                <w:bCs/>
                <w:noProof/>
              </w:rPr>
              <w:t xml:space="preserve">…”. Lai būt lābāk izprotams par kādām papildu prasībām tiek runāts, Dienests </w:t>
            </w:r>
            <w:r w:rsidR="00E0213A">
              <w:rPr>
                <w:bCs/>
                <w:noProof/>
              </w:rPr>
              <w:lastRenderedPageBreak/>
              <w:t>ierosina noteikumu 5. punktā dod atsauci uz konkrētiem noteikumu punktiem ar papildu prasībām vai arī šīs papildu prasības apkopot atsevišķā noteikumu nodaļā ar virsrakstu “Papildu prasības bīstamajiem atkritumiem”;</w:t>
            </w:r>
          </w:p>
          <w:p w14:paraId="2ACBB44D" w14:textId="1FD2C04E" w:rsidR="00667E8D" w:rsidRDefault="00667E8D" w:rsidP="00667E8D">
            <w:pPr>
              <w:tabs>
                <w:tab w:val="right" w:pos="1418"/>
                <w:tab w:val="left" w:pos="1701"/>
              </w:tabs>
              <w:jc w:val="both"/>
              <w:rPr>
                <w:bCs/>
                <w:noProof/>
              </w:rPr>
            </w:pPr>
            <w:r w:rsidRPr="00667E8D">
              <w:rPr>
                <w:b/>
                <w:bCs/>
                <w:noProof/>
                <w:u w:val="single"/>
              </w:rPr>
              <w:t>VARAM viedoklis:</w:t>
            </w:r>
            <w:r w:rsidR="001F60AD">
              <w:rPr>
                <w:bCs/>
                <w:noProof/>
              </w:rPr>
              <w:t xml:space="preserve"> priekšlikums nav ņemts vērā, tā kā noteikumu punktos ir iekļautas prasības, kuras ir jāpiemēro bīstamo atkritumu sadedzināšanai. </w:t>
            </w:r>
          </w:p>
          <w:p w14:paraId="7D804E4C" w14:textId="77777777" w:rsidR="00104398" w:rsidRDefault="00104398" w:rsidP="00667E8D">
            <w:pPr>
              <w:tabs>
                <w:tab w:val="right" w:pos="1418"/>
                <w:tab w:val="left" w:pos="1701"/>
              </w:tabs>
              <w:jc w:val="both"/>
              <w:rPr>
                <w:bCs/>
                <w:noProof/>
              </w:rPr>
            </w:pPr>
          </w:p>
          <w:p w14:paraId="48A2A72D" w14:textId="2C102563" w:rsidR="00E0213A" w:rsidRDefault="00A97DDD" w:rsidP="00A97DDD">
            <w:pPr>
              <w:tabs>
                <w:tab w:val="right" w:pos="1418"/>
                <w:tab w:val="left" w:pos="1701"/>
              </w:tabs>
              <w:jc w:val="both"/>
              <w:rPr>
                <w:bCs/>
                <w:noProof/>
              </w:rPr>
            </w:pPr>
            <w:r>
              <w:rPr>
                <w:bCs/>
                <w:noProof/>
              </w:rPr>
              <w:t>6.</w:t>
            </w:r>
            <w:r w:rsidR="00E0213A">
              <w:rPr>
                <w:bCs/>
                <w:noProof/>
              </w:rPr>
              <w:t xml:space="preserve"> noteikumu 6.3. </w:t>
            </w:r>
            <w:r w:rsidR="00E0213A" w:rsidRPr="00E64287">
              <w:rPr>
                <w:bCs/>
                <w:noProof/>
              </w:rPr>
              <w:t>apakšpunktā un 15. punktā norādīts, ka “… kopējais oglekļa saturs pelnos un izdedžos nepārsniegtu 3 % vai zudumi sadedzināšanas procesā nepārsniegtu 5 % no materiāla sausā svara…”. Lai labāk varētu izprast prasību</w:t>
            </w:r>
            <w:r w:rsidR="00E0213A">
              <w:rPr>
                <w:bCs/>
                <w:noProof/>
              </w:rPr>
              <w:t xml:space="preserve"> un tā atbilstu Direktīvas 50. panta 1. punkta redakcijai</w:t>
            </w:r>
            <w:r w:rsidR="00E0213A" w:rsidRPr="00E64287">
              <w:rPr>
                <w:bCs/>
                <w:noProof/>
              </w:rPr>
              <w:t>, izmantojot par analoģiju Ministru kabineta 2011. gada 27. decembra noteikumu Nr.1032 “Atkritumu poligonu ierīkošanas, atkritumu poligonu un izgāztuvju apsaimniekošanas, slēgšanas un rekultivācijas noteikumi” 8. pielikuma II daļu, ierosinām 6.3. apakšpunktā un 15. punktā frāzi par zudumiem izteikt šādi: “kopējais oglekļa saturs pelnos un izdedžos nepārsniegtu 3 % vai to masas zudumi sadedzināšanas procesā (LOI) nepārsniegtu 5 % no materiāla sausā svara”;</w:t>
            </w:r>
          </w:p>
          <w:p w14:paraId="58524BA1" w14:textId="682C550C" w:rsidR="00492ACD" w:rsidRDefault="00492ACD" w:rsidP="00A97DDD">
            <w:pPr>
              <w:tabs>
                <w:tab w:val="right" w:pos="1418"/>
                <w:tab w:val="left" w:pos="1701"/>
              </w:tabs>
              <w:jc w:val="both"/>
              <w:rPr>
                <w:bCs/>
                <w:noProof/>
              </w:rPr>
            </w:pPr>
            <w:r>
              <w:rPr>
                <w:bCs/>
                <w:noProof/>
              </w:rPr>
              <w:t>VARAM viedoklis:</w:t>
            </w:r>
          </w:p>
          <w:p w14:paraId="3E48AF19" w14:textId="77777777" w:rsidR="00104398" w:rsidRDefault="00104398" w:rsidP="00A97DDD">
            <w:pPr>
              <w:tabs>
                <w:tab w:val="right" w:pos="1418"/>
                <w:tab w:val="left" w:pos="1701"/>
              </w:tabs>
              <w:jc w:val="both"/>
              <w:rPr>
                <w:bCs/>
                <w:noProof/>
              </w:rPr>
            </w:pPr>
          </w:p>
          <w:p w14:paraId="22F43EFE" w14:textId="127FCF91" w:rsidR="00E0213A" w:rsidRDefault="00A97DDD" w:rsidP="00A97DDD">
            <w:pPr>
              <w:tabs>
                <w:tab w:val="right" w:pos="1418"/>
                <w:tab w:val="left" w:pos="1701"/>
              </w:tabs>
              <w:jc w:val="both"/>
              <w:rPr>
                <w:bCs/>
                <w:noProof/>
              </w:rPr>
            </w:pPr>
            <w:r>
              <w:rPr>
                <w:bCs/>
                <w:noProof/>
              </w:rPr>
              <w:t>7.</w:t>
            </w:r>
            <w:r w:rsidR="00E0213A">
              <w:rPr>
                <w:bCs/>
                <w:noProof/>
              </w:rPr>
              <w:t xml:space="preserve"> Lai operatoram nebūtu jānodrošina, ka jās</w:t>
            </w:r>
            <w:r w:rsidR="00E0213A" w:rsidRPr="00C57BD2">
              <w:rPr>
                <w:bCs/>
                <w:noProof/>
              </w:rPr>
              <w:t>amazin</w:t>
            </w:r>
            <w:r w:rsidR="00E0213A">
              <w:rPr>
                <w:bCs/>
                <w:noProof/>
              </w:rPr>
              <w:t>a</w:t>
            </w:r>
            <w:r w:rsidR="00E0213A" w:rsidRPr="00C57BD2">
              <w:rPr>
                <w:bCs/>
                <w:noProof/>
              </w:rPr>
              <w:t xml:space="preserve"> atkritumu sadedzināšanas atlikumu daudzums un bīstamība, un </w:t>
            </w:r>
            <w:r w:rsidR="00E0213A">
              <w:rPr>
                <w:bCs/>
                <w:noProof/>
              </w:rPr>
              <w:t>jā</w:t>
            </w:r>
            <w:r w:rsidR="00E0213A" w:rsidRPr="00C57BD2">
              <w:rPr>
                <w:bCs/>
                <w:noProof/>
              </w:rPr>
              <w:t>nodrošināta to pārstrāde</w:t>
            </w:r>
            <w:r w:rsidR="00E0213A">
              <w:rPr>
                <w:bCs/>
                <w:noProof/>
              </w:rPr>
              <w:t>, neatkarīgi no tā vai to ir teorētiski iespējams veikt un ņemot vērā Direktīvas 53. panta 1. punkta anglisko versiju (</w:t>
            </w:r>
            <w:r w:rsidR="00E0213A" w:rsidRPr="00C57BD2">
              <w:rPr>
                <w:bCs/>
                <w:i/>
                <w:iCs/>
                <w:noProof/>
              </w:rPr>
              <w:t>Residues shall be minimised in their amount and harmfulness. Residues shall be recycled, where appropriate, directly in the plant or outside</w:t>
            </w:r>
            <w:r w:rsidR="00E0213A">
              <w:rPr>
                <w:bCs/>
                <w:noProof/>
              </w:rPr>
              <w:t>), Dienests ierosina noteikumu 6.3.</w:t>
            </w:r>
            <w:r w:rsidR="00E0213A" w:rsidRPr="009D3A5F">
              <w:rPr>
                <w:bCs/>
                <w:noProof/>
                <w:vertAlign w:val="superscript"/>
              </w:rPr>
              <w:t>1</w:t>
            </w:r>
            <w:r w:rsidR="00E0213A">
              <w:rPr>
                <w:bCs/>
                <w:noProof/>
              </w:rPr>
              <w:t xml:space="preserve"> punktu izteikt šādi: “tiks sasniegts pēc iespējas mazāks atkritumu sadedzināšanas atlikumu daudzums un bīstamība, un, kur piemērojams, </w:t>
            </w:r>
            <w:r>
              <w:rPr>
                <w:bCs/>
                <w:noProof/>
              </w:rPr>
              <w:t>tiks nodrošināta to pārstrāde;”</w:t>
            </w:r>
          </w:p>
          <w:p w14:paraId="4C4AA366" w14:textId="02F0AAF4" w:rsidR="00A97DDD" w:rsidRDefault="00A97DDD" w:rsidP="00A97DDD">
            <w:pPr>
              <w:tabs>
                <w:tab w:val="right" w:pos="1418"/>
                <w:tab w:val="left" w:pos="1701"/>
              </w:tabs>
              <w:jc w:val="both"/>
              <w:rPr>
                <w:bCs/>
                <w:noProof/>
              </w:rPr>
            </w:pPr>
            <w:r w:rsidRPr="00A97DDD">
              <w:rPr>
                <w:b/>
                <w:bCs/>
                <w:noProof/>
                <w:u w:val="single"/>
              </w:rPr>
              <w:t>VARAM viedoklis:</w:t>
            </w:r>
            <w:r>
              <w:rPr>
                <w:bCs/>
                <w:noProof/>
              </w:rPr>
              <w:t xml:space="preserve"> priekšlikums ir ņemts vērā.</w:t>
            </w:r>
          </w:p>
          <w:p w14:paraId="057224BB" w14:textId="77777777" w:rsidR="00104398" w:rsidRDefault="00104398" w:rsidP="00A97DDD">
            <w:pPr>
              <w:tabs>
                <w:tab w:val="right" w:pos="1418"/>
                <w:tab w:val="left" w:pos="1701"/>
              </w:tabs>
              <w:jc w:val="both"/>
              <w:rPr>
                <w:bCs/>
                <w:noProof/>
              </w:rPr>
            </w:pPr>
          </w:p>
          <w:p w14:paraId="0F21615B" w14:textId="1C7C8BC6" w:rsidR="00E0213A" w:rsidRDefault="00A97DDD" w:rsidP="00A97DDD">
            <w:pPr>
              <w:tabs>
                <w:tab w:val="right" w:pos="1418"/>
                <w:tab w:val="left" w:pos="1701"/>
              </w:tabs>
              <w:jc w:val="both"/>
              <w:rPr>
                <w:bCs/>
                <w:noProof/>
              </w:rPr>
            </w:pPr>
            <w:r>
              <w:rPr>
                <w:bCs/>
                <w:noProof/>
              </w:rPr>
              <w:t>8.</w:t>
            </w:r>
            <w:r w:rsidR="00E0213A">
              <w:rPr>
                <w:bCs/>
                <w:noProof/>
              </w:rPr>
              <w:t xml:space="preserve"> Lai saprotamāk izveidotu teikumu, ierosinām 7.</w:t>
            </w:r>
            <w:r w:rsidR="00E0213A" w:rsidRPr="009D3A5F">
              <w:rPr>
                <w:bCs/>
                <w:noProof/>
                <w:vertAlign w:val="superscript"/>
              </w:rPr>
              <w:t>1</w:t>
            </w:r>
            <w:r w:rsidR="00E0213A">
              <w:rPr>
                <w:bCs/>
                <w:noProof/>
              </w:rPr>
              <w:t xml:space="preserve"> punktu izteikt šādi: “</w:t>
            </w:r>
            <w:r w:rsidR="00E0213A" w:rsidRPr="009D3A5F">
              <w:rPr>
                <w:bCs/>
                <w:noProof/>
              </w:rPr>
              <w:t>Iekārtas darbības veida maiņu, kas saistīta ar bīstamo atkritumu sadedzināšanu</w:t>
            </w:r>
            <w:r w:rsidR="00E0213A">
              <w:rPr>
                <w:bCs/>
                <w:noProof/>
              </w:rPr>
              <w:t xml:space="preserve"> atkritumu sadezināšanas</w:t>
            </w:r>
            <w:r w:rsidR="00E0213A" w:rsidRPr="009D3A5F">
              <w:rPr>
                <w:bCs/>
                <w:noProof/>
              </w:rPr>
              <w:t xml:space="preserve"> vai līdzsadedzināšan</w:t>
            </w:r>
            <w:r w:rsidR="00E0213A">
              <w:rPr>
                <w:bCs/>
                <w:noProof/>
              </w:rPr>
              <w:t>as</w:t>
            </w:r>
            <w:r w:rsidR="00E0213A" w:rsidRPr="009D3A5F">
              <w:rPr>
                <w:bCs/>
                <w:noProof/>
              </w:rPr>
              <w:t xml:space="preserve"> iekārtās, kas ir tādu iekārtu daļa, kuru darbībai ir izdota A kategorijas piesārņojošas darbības atļauja un kurās dedzina tikai nebīstamus atkritumus, uzskata par būtisku izmaiņu atbilstoši normatīvajiem aktiem par piesārņojumu</w:t>
            </w:r>
            <w:r w:rsidR="00E0213A">
              <w:rPr>
                <w:bCs/>
                <w:noProof/>
              </w:rPr>
              <w:t>.”;</w:t>
            </w:r>
          </w:p>
          <w:p w14:paraId="3E820166" w14:textId="1D50BCD8" w:rsidR="00A97DDD" w:rsidRDefault="00A97DDD" w:rsidP="00A97DDD">
            <w:pPr>
              <w:tabs>
                <w:tab w:val="right" w:pos="1418"/>
                <w:tab w:val="left" w:pos="1701"/>
              </w:tabs>
              <w:jc w:val="both"/>
              <w:rPr>
                <w:bCs/>
                <w:noProof/>
              </w:rPr>
            </w:pPr>
            <w:r w:rsidRPr="00A97DDD">
              <w:rPr>
                <w:b/>
                <w:bCs/>
                <w:noProof/>
                <w:u w:val="single"/>
              </w:rPr>
              <w:t>VARAM viedoklis:</w:t>
            </w:r>
            <w:r>
              <w:rPr>
                <w:bCs/>
                <w:noProof/>
              </w:rPr>
              <w:t xml:space="preserve"> priekšlikums ir ņemts vērā.</w:t>
            </w:r>
          </w:p>
          <w:p w14:paraId="06F7DAD3" w14:textId="77777777" w:rsidR="00104398" w:rsidRDefault="00104398" w:rsidP="00A97DDD">
            <w:pPr>
              <w:tabs>
                <w:tab w:val="right" w:pos="1418"/>
                <w:tab w:val="left" w:pos="1701"/>
              </w:tabs>
              <w:jc w:val="both"/>
              <w:rPr>
                <w:bCs/>
                <w:noProof/>
              </w:rPr>
            </w:pPr>
          </w:p>
          <w:p w14:paraId="0EA093B0" w14:textId="329F6D67" w:rsidR="00E0213A" w:rsidRDefault="009A38FD" w:rsidP="009A38FD">
            <w:pPr>
              <w:tabs>
                <w:tab w:val="right" w:pos="1418"/>
                <w:tab w:val="left" w:pos="1701"/>
              </w:tabs>
              <w:jc w:val="both"/>
              <w:rPr>
                <w:bCs/>
                <w:noProof/>
              </w:rPr>
            </w:pPr>
            <w:r>
              <w:rPr>
                <w:bCs/>
                <w:noProof/>
              </w:rPr>
              <w:t>9.</w:t>
            </w:r>
            <w:r w:rsidR="00E0213A">
              <w:rPr>
                <w:bCs/>
                <w:noProof/>
              </w:rPr>
              <w:t xml:space="preserve"> Dienests iesaka precizēt noteikumu 17. punkta otro teikumu, lai tas atbilstu Direktīvas 50. panta 3. punkta trešajam teikumam un izteikt to šādi: “</w:t>
            </w:r>
            <w:r w:rsidR="00E0213A" w:rsidRPr="0086293E">
              <w:rPr>
                <w:bCs/>
                <w:noProof/>
              </w:rPr>
              <w:t>Papildu degļus izmanto</w:t>
            </w:r>
            <w:r w:rsidR="00E0213A">
              <w:rPr>
                <w:bCs/>
                <w:noProof/>
              </w:rPr>
              <w:t xml:space="preserve"> arī</w:t>
            </w:r>
            <w:r w:rsidR="00E0213A" w:rsidRPr="0086293E">
              <w:rPr>
                <w:bCs/>
                <w:noProof/>
              </w:rPr>
              <w:t xml:space="preserve"> atkritumu sadedzināšanas iekārtas iedarbināšanas un izslēgšanas laikā, lai sadedzināšanas </w:t>
            </w:r>
            <w:r w:rsidR="00E0213A" w:rsidRPr="0086293E">
              <w:rPr>
                <w:bCs/>
                <w:noProof/>
              </w:rPr>
              <w:lastRenderedPageBreak/>
              <w:t>kamerā nodrošinātu temperatūru</w:t>
            </w:r>
            <w:r w:rsidR="00E0213A">
              <w:rPr>
                <w:bCs/>
                <w:noProof/>
              </w:rPr>
              <w:t xml:space="preserve"> attiecīgi virs</w:t>
            </w:r>
            <w:r w:rsidR="00E0213A" w:rsidRPr="0086293E">
              <w:rPr>
                <w:bCs/>
                <w:noProof/>
              </w:rPr>
              <w:t xml:space="preserve"> 850 °C </w:t>
            </w:r>
            <w:r w:rsidR="00E0213A">
              <w:rPr>
                <w:bCs/>
                <w:noProof/>
              </w:rPr>
              <w:t xml:space="preserve">vai </w:t>
            </w:r>
            <w:r w:rsidR="00E0213A" w:rsidRPr="0086293E">
              <w:rPr>
                <w:bCs/>
                <w:noProof/>
              </w:rPr>
              <w:t>1100 °C</w:t>
            </w:r>
            <w:r w:rsidR="00E0213A" w:rsidRPr="005D7A29">
              <w:t xml:space="preserve"> </w:t>
            </w:r>
            <w:r w:rsidR="00E0213A">
              <w:rPr>
                <w:bCs/>
                <w:noProof/>
              </w:rPr>
              <w:t xml:space="preserve">šo procedūru </w:t>
            </w:r>
            <w:r w:rsidR="00E0213A" w:rsidRPr="005D7A29">
              <w:rPr>
                <w:bCs/>
                <w:noProof/>
              </w:rPr>
              <w:t>laikā</w:t>
            </w:r>
            <w:r w:rsidR="00E0213A">
              <w:rPr>
                <w:bCs/>
                <w:noProof/>
              </w:rPr>
              <w:t xml:space="preserve"> un līdz brīdim</w:t>
            </w:r>
            <w:r w:rsidR="00E0213A" w:rsidRPr="0086293E">
              <w:rPr>
                <w:bCs/>
                <w:noProof/>
              </w:rPr>
              <w:t>, kamēr tajā atrodas nesadedzināti atkritumi</w:t>
            </w:r>
            <w:r w:rsidR="00E0213A">
              <w:rPr>
                <w:bCs/>
                <w:noProof/>
              </w:rPr>
              <w:t>.”;</w:t>
            </w:r>
          </w:p>
          <w:p w14:paraId="6D928FAA" w14:textId="44E14AF5" w:rsidR="00104398" w:rsidRDefault="00104398" w:rsidP="009A38FD">
            <w:pPr>
              <w:tabs>
                <w:tab w:val="right" w:pos="1418"/>
                <w:tab w:val="left" w:pos="1701"/>
              </w:tabs>
              <w:jc w:val="both"/>
              <w:rPr>
                <w:bCs/>
                <w:noProof/>
              </w:rPr>
            </w:pPr>
            <w:r w:rsidRPr="008B367B">
              <w:rPr>
                <w:b/>
                <w:bCs/>
                <w:noProof/>
                <w:u w:val="single"/>
              </w:rPr>
              <w:t>VARAM viedoklis:</w:t>
            </w:r>
            <w:r>
              <w:rPr>
                <w:bCs/>
                <w:noProof/>
              </w:rPr>
              <w:t xml:space="preserve"> </w:t>
            </w:r>
            <w:r w:rsidR="008B367B">
              <w:rPr>
                <w:bCs/>
                <w:noProof/>
              </w:rPr>
              <w:t xml:space="preserve">Priekšlikums ir ņemts vērā. </w:t>
            </w:r>
          </w:p>
          <w:p w14:paraId="5C11A3E6" w14:textId="77777777" w:rsidR="00492ACD" w:rsidRDefault="00492ACD" w:rsidP="009A38FD">
            <w:pPr>
              <w:tabs>
                <w:tab w:val="right" w:pos="1418"/>
                <w:tab w:val="left" w:pos="1701"/>
              </w:tabs>
              <w:jc w:val="both"/>
              <w:rPr>
                <w:bCs/>
                <w:noProof/>
              </w:rPr>
            </w:pPr>
          </w:p>
          <w:p w14:paraId="414E802F" w14:textId="2934DD50" w:rsidR="00E0213A" w:rsidRDefault="009A38FD" w:rsidP="009A38FD">
            <w:pPr>
              <w:tabs>
                <w:tab w:val="right" w:pos="1418"/>
                <w:tab w:val="left" w:pos="1701"/>
              </w:tabs>
              <w:jc w:val="both"/>
              <w:rPr>
                <w:bCs/>
                <w:noProof/>
              </w:rPr>
            </w:pPr>
            <w:r>
              <w:rPr>
                <w:bCs/>
                <w:noProof/>
              </w:rPr>
              <w:t>10.</w:t>
            </w:r>
            <w:r w:rsidR="00E0213A">
              <w:rPr>
                <w:bCs/>
                <w:noProof/>
              </w:rPr>
              <w:t xml:space="preserve"> Dienests ierosina svītrot noteikumu 18. punktu, jo tas dublē projekta 10. punktā norādīto;</w:t>
            </w:r>
          </w:p>
          <w:p w14:paraId="624600F4" w14:textId="2C288C9D" w:rsidR="009A38FD" w:rsidRDefault="00492ACD" w:rsidP="009A38FD">
            <w:pPr>
              <w:tabs>
                <w:tab w:val="right" w:pos="1418"/>
                <w:tab w:val="left" w:pos="1701"/>
              </w:tabs>
              <w:jc w:val="both"/>
              <w:rPr>
                <w:bCs/>
                <w:noProof/>
              </w:rPr>
            </w:pPr>
            <w:r w:rsidRPr="00492ACD">
              <w:rPr>
                <w:b/>
                <w:bCs/>
                <w:noProof/>
                <w:u w:val="single"/>
              </w:rPr>
              <w:t>VARAM viedoklis:</w:t>
            </w:r>
            <w:r>
              <w:rPr>
                <w:bCs/>
                <w:noProof/>
              </w:rPr>
              <w:t xml:space="preserve"> priekšlikums nav ņemts vērā. MK noteikumu Nr.401 punkts 17.punkts nosaka regulējumu papilddegļiem, kamēr MK noteikumu 18.punkts attiecas uz visa veida degļu darbību. </w:t>
            </w:r>
          </w:p>
          <w:p w14:paraId="19655AF3" w14:textId="77777777" w:rsidR="00104398" w:rsidRDefault="00104398" w:rsidP="009A38FD">
            <w:pPr>
              <w:tabs>
                <w:tab w:val="right" w:pos="1418"/>
                <w:tab w:val="left" w:pos="1701"/>
              </w:tabs>
              <w:jc w:val="both"/>
              <w:rPr>
                <w:bCs/>
                <w:noProof/>
              </w:rPr>
            </w:pPr>
          </w:p>
          <w:p w14:paraId="7C0D8B0A" w14:textId="6C1B182E" w:rsidR="00354ECA" w:rsidRDefault="009A38FD" w:rsidP="009A38FD">
            <w:pPr>
              <w:tabs>
                <w:tab w:val="right" w:pos="1418"/>
                <w:tab w:val="left" w:pos="1701"/>
              </w:tabs>
              <w:jc w:val="both"/>
              <w:rPr>
                <w:bCs/>
                <w:noProof/>
              </w:rPr>
            </w:pPr>
            <w:r>
              <w:rPr>
                <w:bCs/>
                <w:noProof/>
              </w:rPr>
              <w:t xml:space="preserve">11. </w:t>
            </w:r>
            <w:r w:rsidR="00E0213A">
              <w:rPr>
                <w:bCs/>
                <w:noProof/>
              </w:rPr>
              <w:t xml:space="preserve">Dienests iesaka precizēt projekta </w:t>
            </w:r>
            <w:r w:rsidR="00E0213A" w:rsidRPr="007F7FBD">
              <w:rPr>
                <w:bCs/>
                <w:noProof/>
              </w:rPr>
              <w:t xml:space="preserve">22. </w:t>
            </w:r>
            <w:r w:rsidR="00E0213A">
              <w:rPr>
                <w:bCs/>
                <w:noProof/>
              </w:rPr>
              <w:t>punktu šādi: “</w:t>
            </w:r>
            <w:r w:rsidR="00E0213A" w:rsidRPr="007F7FBD">
              <w:rPr>
                <w:bCs/>
                <w:noProof/>
              </w:rPr>
              <w:t>Izteikt 70.</w:t>
            </w:r>
            <w:r w:rsidR="00E0213A">
              <w:rPr>
                <w:bCs/>
                <w:noProof/>
              </w:rPr>
              <w:t xml:space="preserve"> </w:t>
            </w:r>
            <w:r w:rsidR="00E0213A" w:rsidRPr="007F7FBD">
              <w:rPr>
                <w:bCs/>
                <w:noProof/>
              </w:rPr>
              <w:t>punkta pirmo teikumu šādā redakcijā:</w:t>
            </w:r>
            <w:r w:rsidR="00E0213A">
              <w:rPr>
                <w:bCs/>
                <w:noProof/>
              </w:rPr>
              <w:t xml:space="preserve"> “</w:t>
            </w:r>
            <w:r w:rsidR="00E0213A" w:rsidRPr="007F7FBD">
              <w:rPr>
                <w:bCs/>
                <w:noProof/>
              </w:rPr>
              <w:t>Ja iekārtas nominālā jauda (atkritumu sadedzināšanas iekārtas visu jaudu summa atbilstoši iekārtas konstrukcijai saskaņā ar iekārtas ražotāja tehnisko dokumentāciju ir atbilstoša atkritumu siltumietilpībai un daudzumam, ko var sadedzināt stundas laikā) ir vai pārsniedz divas tonna stundā, operators katru gadu iesniedz pārskatu centram</w:t>
            </w:r>
            <w:r w:rsidR="00E0213A">
              <w:rPr>
                <w:bCs/>
                <w:noProof/>
              </w:rPr>
              <w:t>.”.</w:t>
            </w:r>
          </w:p>
          <w:p w14:paraId="2785BF85" w14:textId="705BBA35" w:rsidR="00E0213A" w:rsidRPr="00E0213A" w:rsidRDefault="00E0213A" w:rsidP="00E0213A">
            <w:pPr>
              <w:tabs>
                <w:tab w:val="right" w:pos="1418"/>
                <w:tab w:val="left" w:pos="1701"/>
              </w:tabs>
              <w:jc w:val="both"/>
              <w:rPr>
                <w:bCs/>
                <w:noProof/>
              </w:rPr>
            </w:pPr>
            <w:r w:rsidRPr="00E0213A">
              <w:rPr>
                <w:b/>
                <w:bCs/>
                <w:noProof/>
                <w:u w:val="single"/>
              </w:rPr>
              <w:t>VARAM viedoklis:</w:t>
            </w:r>
            <w:r>
              <w:rPr>
                <w:bCs/>
                <w:noProof/>
              </w:rPr>
              <w:t xml:space="preserve"> priekšlikums ir ņemts vērā.</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666B62F5" w:rsidR="00D274B8" w:rsidRPr="00FB41DC" w:rsidRDefault="00D274B8" w:rsidP="00B227DD">
            <w:pPr>
              <w:pStyle w:val="naiskr"/>
              <w:spacing w:before="0" w:after="0"/>
              <w:ind w:left="57" w:right="57"/>
              <w:rPr>
                <w:bCs/>
              </w:rPr>
            </w:pPr>
            <w:r>
              <w:rPr>
                <w:bCs/>
              </w:rPr>
              <w:lastRenderedPageBreak/>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027702C3" w:rsidR="00D274B8" w:rsidRPr="00563D3C" w:rsidRDefault="00196710" w:rsidP="007F526C">
            <w:pPr>
              <w:pStyle w:val="naisc"/>
              <w:spacing w:before="0" w:after="0"/>
              <w:jc w:val="both"/>
            </w:pPr>
            <w:r>
              <w:t>V</w:t>
            </w:r>
            <w:r w:rsidR="000D443B">
              <w:t>ARAM</w:t>
            </w:r>
            <w:r w:rsidR="00D274B8" w:rsidRPr="00563D3C">
              <w:t>,</w:t>
            </w:r>
            <w:r w:rsidR="007F526C">
              <w:t xml:space="preserve"> Valsts vides dienests</w:t>
            </w:r>
            <w:r w:rsidR="00D274B8" w:rsidRPr="00563D3C">
              <w:t>.</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4017CEE9" w:rsidR="00AC392E" w:rsidRPr="00FB41DC" w:rsidRDefault="00AC392E" w:rsidP="00AC392E">
            <w:pPr>
              <w:pStyle w:val="naisf"/>
              <w:spacing w:before="0" w:after="0"/>
              <w:ind w:right="57" w:firstLine="0"/>
              <w:jc w:val="left"/>
            </w:pPr>
            <w:r>
              <w:t>Projekta izpildes ietekme uz pārvaldes funkcijām un institucionālo struktūru.</w:t>
            </w:r>
            <w:r>
              <w:br/>
              <w:t>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2EE5E309" w:rsidR="00D274B8" w:rsidRDefault="00D274B8" w:rsidP="00D274B8">
      <w:r>
        <w:t>reģionālās attīstības ministrs</w:t>
      </w:r>
      <w:r>
        <w:tab/>
      </w:r>
      <w:r>
        <w:tab/>
      </w:r>
      <w:r>
        <w:tab/>
      </w:r>
      <w:r>
        <w:tab/>
      </w:r>
      <w:r>
        <w:tab/>
      </w:r>
      <w:r w:rsidR="00B46C89">
        <w:t>A.T.Plešs</w:t>
      </w:r>
    </w:p>
    <w:p w14:paraId="785C5BCA" w14:textId="77777777" w:rsidR="00D274B8" w:rsidRDefault="00D274B8" w:rsidP="00D274B8"/>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08623182" w14:textId="6CB58053" w:rsidR="00403C1B" w:rsidRPr="00403C1B" w:rsidRDefault="00D2604D" w:rsidP="00403C1B">
      <w:pPr>
        <w:tabs>
          <w:tab w:val="left" w:pos="1710"/>
        </w:tabs>
      </w:pPr>
      <w:hyperlink r:id="rId9" w:history="1">
        <w:r w:rsidR="000F02E7">
          <w:rPr>
            <w:rStyle w:val="Hyperlink"/>
            <w:sz w:val="20"/>
            <w:szCs w:val="20"/>
          </w:rPr>
          <w:t>I</w:t>
        </w:r>
        <w:r w:rsidR="00D274B8" w:rsidRPr="00055928">
          <w:rPr>
            <w:rStyle w:val="Hyperlink"/>
            <w:sz w:val="20"/>
            <w:szCs w:val="20"/>
          </w:rPr>
          <w:t>lze.</w:t>
        </w:r>
        <w:r w:rsidR="000F02E7">
          <w:rPr>
            <w:rStyle w:val="Hyperlink"/>
            <w:sz w:val="20"/>
            <w:szCs w:val="20"/>
          </w:rPr>
          <w:t>D</w:t>
        </w:r>
        <w:r w:rsidR="00D274B8" w:rsidRPr="00055928">
          <w:rPr>
            <w:rStyle w:val="Hyperlink"/>
            <w:sz w:val="20"/>
            <w:szCs w:val="20"/>
          </w:rPr>
          <w:t>onina@varam.gov.lv</w:t>
        </w:r>
      </w:hyperlink>
    </w:p>
    <w:sectPr w:rsidR="00403C1B" w:rsidRPr="00403C1B"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12D0" w16cex:dateUtc="2021-04-23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B9349" w16cid:durableId="242D1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8C6B" w14:textId="77777777" w:rsidR="006202B1" w:rsidRDefault="006202B1" w:rsidP="00EF735B">
      <w:r>
        <w:separator/>
      </w:r>
    </w:p>
  </w:endnote>
  <w:endnote w:type="continuationSeparator" w:id="0">
    <w:p w14:paraId="774F839C" w14:textId="77777777" w:rsidR="006202B1" w:rsidRDefault="006202B1" w:rsidP="00EF735B">
      <w:r>
        <w:continuationSeparator/>
      </w:r>
    </w:p>
  </w:endnote>
  <w:endnote w:type="continuationNotice" w:id="1">
    <w:p w14:paraId="7B402453" w14:textId="77777777" w:rsidR="006202B1" w:rsidRDefault="00620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B353" w14:textId="77D86E6E" w:rsidR="00D13AF2" w:rsidRPr="00D13AF2" w:rsidRDefault="00D13AF2" w:rsidP="00D13AF2">
    <w:pPr>
      <w:jc w:val="both"/>
      <w:rPr>
        <w:sz w:val="32"/>
        <w:szCs w:val="32"/>
      </w:rPr>
    </w:pPr>
    <w:r w:rsidRPr="00D13AF2">
      <w:t>VARAMAnot_</w:t>
    </w:r>
    <w:r w:rsidR="003B38C7">
      <w:t>2</w:t>
    </w:r>
    <w:r w:rsidR="00403C1B">
      <w:t>204</w:t>
    </w:r>
    <w:r w:rsidRPr="00D13AF2">
      <w:t>21_groz401</w:t>
    </w:r>
  </w:p>
  <w:p w14:paraId="73CB76B8" w14:textId="77777777" w:rsidR="00980521" w:rsidRPr="00DA6AC0" w:rsidRDefault="00980521" w:rsidP="00B227DD">
    <w:pPr>
      <w:pStyle w:val="Title"/>
      <w:jc w:val="both"/>
      <w:rPr>
        <w:b w:val="0"/>
        <w:bCs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8F0B" w14:textId="677B3BCC" w:rsidR="00980521" w:rsidRPr="00D13AF2" w:rsidRDefault="00980521" w:rsidP="00B227DD">
    <w:pPr>
      <w:jc w:val="both"/>
      <w:rPr>
        <w:sz w:val="32"/>
        <w:szCs w:val="32"/>
      </w:rPr>
    </w:pPr>
    <w:r w:rsidRPr="00D13AF2">
      <w:t>VARAMAnot_</w:t>
    </w:r>
    <w:r w:rsidR="003B38C7">
      <w:t>2</w:t>
    </w:r>
    <w:r w:rsidR="00403C1B">
      <w:t>204</w:t>
    </w:r>
    <w:r w:rsidR="00B46C89" w:rsidRPr="00D13AF2">
      <w:t>21</w:t>
    </w:r>
    <w:r w:rsidR="006241FF" w:rsidRPr="00D13AF2">
      <w:t>_groz401</w:t>
    </w:r>
  </w:p>
  <w:p w14:paraId="2DD658B0" w14:textId="77777777" w:rsidR="00980521" w:rsidRPr="0091577B" w:rsidRDefault="00980521" w:rsidP="00B227DD">
    <w:pPr>
      <w:pStyle w:val="Title"/>
      <w:jc w:val="both"/>
      <w:rPr>
        <w:b w:val="0"/>
        <w:bCs w:val="0"/>
      </w:rPr>
    </w:pPr>
  </w:p>
  <w:p w14:paraId="13151A8D" w14:textId="77777777" w:rsidR="00980521" w:rsidRPr="00503A61" w:rsidRDefault="00980521" w:rsidP="00B227DD">
    <w:pPr>
      <w:pStyle w:val="Title"/>
      <w:jc w:val="both"/>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DE6C" w14:textId="77777777" w:rsidR="006202B1" w:rsidRDefault="006202B1" w:rsidP="00EF735B">
      <w:r>
        <w:separator/>
      </w:r>
    </w:p>
  </w:footnote>
  <w:footnote w:type="continuationSeparator" w:id="0">
    <w:p w14:paraId="16A42713" w14:textId="77777777" w:rsidR="006202B1" w:rsidRDefault="006202B1" w:rsidP="00EF735B">
      <w:r>
        <w:continuationSeparator/>
      </w:r>
    </w:p>
  </w:footnote>
  <w:footnote w:type="continuationNotice" w:id="1">
    <w:p w14:paraId="52F9CA96" w14:textId="77777777" w:rsidR="006202B1" w:rsidRDefault="006202B1"/>
  </w:footnote>
  <w:footnote w:id="2">
    <w:p w14:paraId="76C9DDEC" w14:textId="4236BC9E" w:rsidR="00D873E2" w:rsidRPr="00D873E2" w:rsidRDefault="00D873E2" w:rsidP="00D873E2">
      <w:pPr>
        <w:pStyle w:val="FootnoteText"/>
        <w:jc w:val="both"/>
      </w:pPr>
      <w:r w:rsidRPr="00D873E2">
        <w:rPr>
          <w:rStyle w:val="FootnoteReference"/>
        </w:rPr>
        <w:footnoteRef/>
      </w:r>
      <w:r w:rsidRPr="00D873E2">
        <w:t xml:space="preserve"> Ministru kabienta 2021.gada 7.janvāra noteikumu Nr.17 “Noteikumi par gaisa piesārņojuma ierobežošanu no sadedzināšanas iekārtām” </w:t>
      </w:r>
      <w:r>
        <w:t xml:space="preserve">(pieejams: </w:t>
      </w:r>
      <w:hyperlink r:id="rId1" w:history="1">
        <w:r w:rsidRPr="00EE6C2C">
          <w:rPr>
            <w:rStyle w:val="Hyperlink"/>
          </w:rPr>
          <w:t>https://likumi.lv/ta/id/320182</w:t>
        </w:r>
      </w:hyperlink>
      <w:r>
        <w:t xml:space="preserve">) </w:t>
      </w:r>
      <w:r w:rsidRPr="00D873E2">
        <w:t>2.18.punkts: 2.18. putekļi jeb daļiņas – jebkādas formas, struktūras vai blīvuma daļiņas, kuras paraugu ņemšanas vietas apstākļos izkliedētas gāzes fāzē un kuras var atdalīt, filtrējot noteiktos apstākļos, pēc tam, kad iegūts analizējamās gāzes reprezentatīvs paraugs, un kuras pēc žāvēšanas noteiktos apstākļos paliek pirms filtra un uz tā;</w:t>
      </w:r>
    </w:p>
  </w:footnote>
  <w:footnote w:id="3">
    <w:p w14:paraId="29655926" w14:textId="77777777" w:rsidR="00B6531A" w:rsidRDefault="00B6531A" w:rsidP="00BD3CB7">
      <w:pPr>
        <w:pStyle w:val="FootnoteText"/>
      </w:pPr>
      <w:r>
        <w:rPr>
          <w:rStyle w:val="FootnoteReference"/>
        </w:rPr>
        <w:footnoteRef/>
      </w:r>
      <w:r>
        <w:t xml:space="preserve"> </w:t>
      </w:r>
      <w:hyperlink r:id="rId2" w:history="1">
        <w:r w:rsidRPr="00171AA9">
          <w:rPr>
            <w:rStyle w:val="Hyperlink"/>
          </w:rPr>
          <w:t>http://titania.saeima.lv/LIVS11/SaeimaLIVS11.nsf/0/159521E4B11B3C12C2257AC5002BCB6B?OpenDocument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3EAC" w14:textId="144EC21D" w:rsidR="00980521" w:rsidRDefault="0098052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D2604D">
      <w:rPr>
        <w:rStyle w:val="PageNumber"/>
        <w:noProof/>
      </w:rPr>
      <w:t>10</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141"/>
    <w:multiLevelType w:val="hybridMultilevel"/>
    <w:tmpl w:val="0BEA6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27DEC"/>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2" w15:restartNumberingAfterBreak="0">
    <w:nsid w:val="19383E18"/>
    <w:multiLevelType w:val="hybridMultilevel"/>
    <w:tmpl w:val="4156154C"/>
    <w:lvl w:ilvl="0" w:tplc="8252152A">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45376A"/>
    <w:multiLevelType w:val="hybridMultilevel"/>
    <w:tmpl w:val="62CE1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77F40"/>
    <w:multiLevelType w:val="hybridMultilevel"/>
    <w:tmpl w:val="C04CD9F8"/>
    <w:lvl w:ilvl="0" w:tplc="F5822FF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4FCE4E3F"/>
    <w:multiLevelType w:val="hybridMultilevel"/>
    <w:tmpl w:val="1356390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F96609"/>
    <w:multiLevelType w:val="hybridMultilevel"/>
    <w:tmpl w:val="88EEA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A5625B"/>
    <w:multiLevelType w:val="multilevel"/>
    <w:tmpl w:val="0184806A"/>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i w:val="0"/>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13" w15:restartNumberingAfterBreak="0">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10"/>
  </w:num>
  <w:num w:numId="2">
    <w:abstractNumId w:val="9"/>
  </w:num>
  <w:num w:numId="3">
    <w:abstractNumId w:val="6"/>
  </w:num>
  <w:num w:numId="4">
    <w:abstractNumId w:val="7"/>
  </w:num>
  <w:num w:numId="5">
    <w:abstractNumId w:val="2"/>
  </w:num>
  <w:num w:numId="6">
    <w:abstractNumId w:val="12"/>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0264A"/>
    <w:rsid w:val="00006B9C"/>
    <w:rsid w:val="00020154"/>
    <w:rsid w:val="00033540"/>
    <w:rsid w:val="00034BE2"/>
    <w:rsid w:val="0004464E"/>
    <w:rsid w:val="00045E59"/>
    <w:rsid w:val="00046202"/>
    <w:rsid w:val="00051119"/>
    <w:rsid w:val="00052EF6"/>
    <w:rsid w:val="00054B9B"/>
    <w:rsid w:val="00074F55"/>
    <w:rsid w:val="000811E5"/>
    <w:rsid w:val="000820CF"/>
    <w:rsid w:val="00091406"/>
    <w:rsid w:val="00091748"/>
    <w:rsid w:val="0009233F"/>
    <w:rsid w:val="00094354"/>
    <w:rsid w:val="000A7510"/>
    <w:rsid w:val="000B7219"/>
    <w:rsid w:val="000C673D"/>
    <w:rsid w:val="000D424E"/>
    <w:rsid w:val="000D443B"/>
    <w:rsid w:val="000D6C3A"/>
    <w:rsid w:val="000E4A56"/>
    <w:rsid w:val="000E61E1"/>
    <w:rsid w:val="000F02E7"/>
    <w:rsid w:val="000F0A45"/>
    <w:rsid w:val="00104398"/>
    <w:rsid w:val="001308B3"/>
    <w:rsid w:val="001346E0"/>
    <w:rsid w:val="00147714"/>
    <w:rsid w:val="001635E6"/>
    <w:rsid w:val="001818CD"/>
    <w:rsid w:val="00192170"/>
    <w:rsid w:val="00196710"/>
    <w:rsid w:val="001B0354"/>
    <w:rsid w:val="001E3FC4"/>
    <w:rsid w:val="001E5278"/>
    <w:rsid w:val="001E782A"/>
    <w:rsid w:val="001F4652"/>
    <w:rsid w:val="001F60AD"/>
    <w:rsid w:val="00220954"/>
    <w:rsid w:val="00221A00"/>
    <w:rsid w:val="002244C6"/>
    <w:rsid w:val="002414D6"/>
    <w:rsid w:val="0025446D"/>
    <w:rsid w:val="00277C06"/>
    <w:rsid w:val="00280DEC"/>
    <w:rsid w:val="002822E0"/>
    <w:rsid w:val="0028273A"/>
    <w:rsid w:val="00286115"/>
    <w:rsid w:val="002966AD"/>
    <w:rsid w:val="002A5F38"/>
    <w:rsid w:val="002B1ED1"/>
    <w:rsid w:val="002B2FF1"/>
    <w:rsid w:val="002C0145"/>
    <w:rsid w:val="002C78B5"/>
    <w:rsid w:val="002F3F53"/>
    <w:rsid w:val="003056A4"/>
    <w:rsid w:val="003068CC"/>
    <w:rsid w:val="00315242"/>
    <w:rsid w:val="003175F9"/>
    <w:rsid w:val="00323FC6"/>
    <w:rsid w:val="00325461"/>
    <w:rsid w:val="003255DA"/>
    <w:rsid w:val="00352CFB"/>
    <w:rsid w:val="003538A3"/>
    <w:rsid w:val="00354ECA"/>
    <w:rsid w:val="00361126"/>
    <w:rsid w:val="00364CB1"/>
    <w:rsid w:val="003663E8"/>
    <w:rsid w:val="003666FB"/>
    <w:rsid w:val="00366FBF"/>
    <w:rsid w:val="003856F6"/>
    <w:rsid w:val="00387BF8"/>
    <w:rsid w:val="003925B8"/>
    <w:rsid w:val="003B38C7"/>
    <w:rsid w:val="003B4B5D"/>
    <w:rsid w:val="003D2006"/>
    <w:rsid w:val="003D6649"/>
    <w:rsid w:val="003E3E2D"/>
    <w:rsid w:val="003E5EE9"/>
    <w:rsid w:val="003F34FA"/>
    <w:rsid w:val="00400094"/>
    <w:rsid w:val="00403C1B"/>
    <w:rsid w:val="00405D88"/>
    <w:rsid w:val="0041258C"/>
    <w:rsid w:val="004126D2"/>
    <w:rsid w:val="004245AA"/>
    <w:rsid w:val="00440130"/>
    <w:rsid w:val="00442785"/>
    <w:rsid w:val="00444376"/>
    <w:rsid w:val="00447C76"/>
    <w:rsid w:val="004560FC"/>
    <w:rsid w:val="0045691C"/>
    <w:rsid w:val="004579A2"/>
    <w:rsid w:val="0046420D"/>
    <w:rsid w:val="0047034E"/>
    <w:rsid w:val="004709FD"/>
    <w:rsid w:val="00474F69"/>
    <w:rsid w:val="00491ED9"/>
    <w:rsid w:val="00492ACD"/>
    <w:rsid w:val="004A052F"/>
    <w:rsid w:val="004A3701"/>
    <w:rsid w:val="004A7BAF"/>
    <w:rsid w:val="004A7BC6"/>
    <w:rsid w:val="004B0327"/>
    <w:rsid w:val="004B6329"/>
    <w:rsid w:val="004B665C"/>
    <w:rsid w:val="004D31AE"/>
    <w:rsid w:val="004D5BB1"/>
    <w:rsid w:val="004D6748"/>
    <w:rsid w:val="004E34EC"/>
    <w:rsid w:val="004F25DB"/>
    <w:rsid w:val="004F4682"/>
    <w:rsid w:val="005036E2"/>
    <w:rsid w:val="00504560"/>
    <w:rsid w:val="00517020"/>
    <w:rsid w:val="005207DE"/>
    <w:rsid w:val="005313C5"/>
    <w:rsid w:val="00531B92"/>
    <w:rsid w:val="005325B8"/>
    <w:rsid w:val="0053435D"/>
    <w:rsid w:val="00537A75"/>
    <w:rsid w:val="00577B9F"/>
    <w:rsid w:val="005A0D40"/>
    <w:rsid w:val="005A44F7"/>
    <w:rsid w:val="005E18C8"/>
    <w:rsid w:val="005E71C4"/>
    <w:rsid w:val="00610796"/>
    <w:rsid w:val="00616F0A"/>
    <w:rsid w:val="006202B1"/>
    <w:rsid w:val="006231D5"/>
    <w:rsid w:val="006241FF"/>
    <w:rsid w:val="0062550E"/>
    <w:rsid w:val="0062609D"/>
    <w:rsid w:val="0064594B"/>
    <w:rsid w:val="00646324"/>
    <w:rsid w:val="00646F3E"/>
    <w:rsid w:val="00654E83"/>
    <w:rsid w:val="006634D5"/>
    <w:rsid w:val="006671E0"/>
    <w:rsid w:val="00667E8D"/>
    <w:rsid w:val="00670130"/>
    <w:rsid w:val="0067573B"/>
    <w:rsid w:val="00676472"/>
    <w:rsid w:val="00682594"/>
    <w:rsid w:val="00691973"/>
    <w:rsid w:val="00691EF4"/>
    <w:rsid w:val="006A011D"/>
    <w:rsid w:val="006A04DA"/>
    <w:rsid w:val="006A1B91"/>
    <w:rsid w:val="006A436C"/>
    <w:rsid w:val="006C4750"/>
    <w:rsid w:val="006D0CE2"/>
    <w:rsid w:val="006D3ABB"/>
    <w:rsid w:val="006D49B4"/>
    <w:rsid w:val="006D5F36"/>
    <w:rsid w:val="006D6047"/>
    <w:rsid w:val="006E745E"/>
    <w:rsid w:val="006F528D"/>
    <w:rsid w:val="006F7B4C"/>
    <w:rsid w:val="00715F69"/>
    <w:rsid w:val="00720846"/>
    <w:rsid w:val="00722D4B"/>
    <w:rsid w:val="00734C1A"/>
    <w:rsid w:val="0074255A"/>
    <w:rsid w:val="00743586"/>
    <w:rsid w:val="00754458"/>
    <w:rsid w:val="00764146"/>
    <w:rsid w:val="00767293"/>
    <w:rsid w:val="00770BB4"/>
    <w:rsid w:val="0077346B"/>
    <w:rsid w:val="00774D45"/>
    <w:rsid w:val="00777210"/>
    <w:rsid w:val="00780124"/>
    <w:rsid w:val="007843A2"/>
    <w:rsid w:val="00787FC6"/>
    <w:rsid w:val="00795006"/>
    <w:rsid w:val="007A00DE"/>
    <w:rsid w:val="007A06A4"/>
    <w:rsid w:val="007A5FE3"/>
    <w:rsid w:val="007A7DC2"/>
    <w:rsid w:val="007B6CB1"/>
    <w:rsid w:val="007C3EAF"/>
    <w:rsid w:val="007D1DA3"/>
    <w:rsid w:val="007E6360"/>
    <w:rsid w:val="007E7429"/>
    <w:rsid w:val="007F4BB3"/>
    <w:rsid w:val="007F526C"/>
    <w:rsid w:val="00802827"/>
    <w:rsid w:val="008046BC"/>
    <w:rsid w:val="008141BE"/>
    <w:rsid w:val="00815AC3"/>
    <w:rsid w:val="008168F4"/>
    <w:rsid w:val="00823058"/>
    <w:rsid w:val="00826471"/>
    <w:rsid w:val="0082666D"/>
    <w:rsid w:val="00826F4B"/>
    <w:rsid w:val="00831A3A"/>
    <w:rsid w:val="008343C6"/>
    <w:rsid w:val="00835504"/>
    <w:rsid w:val="008726E3"/>
    <w:rsid w:val="00883FFD"/>
    <w:rsid w:val="0088608A"/>
    <w:rsid w:val="008944DF"/>
    <w:rsid w:val="00897274"/>
    <w:rsid w:val="008A0AF2"/>
    <w:rsid w:val="008A7E24"/>
    <w:rsid w:val="008B367B"/>
    <w:rsid w:val="008C1196"/>
    <w:rsid w:val="008C251E"/>
    <w:rsid w:val="008D7474"/>
    <w:rsid w:val="008F60BC"/>
    <w:rsid w:val="008F6C3D"/>
    <w:rsid w:val="0090479B"/>
    <w:rsid w:val="00913D66"/>
    <w:rsid w:val="00926F65"/>
    <w:rsid w:val="00940FD3"/>
    <w:rsid w:val="009533B2"/>
    <w:rsid w:val="00957277"/>
    <w:rsid w:val="00957711"/>
    <w:rsid w:val="0097164D"/>
    <w:rsid w:val="00976207"/>
    <w:rsid w:val="00980521"/>
    <w:rsid w:val="00981027"/>
    <w:rsid w:val="00983832"/>
    <w:rsid w:val="009855C9"/>
    <w:rsid w:val="00992FB1"/>
    <w:rsid w:val="009A38FD"/>
    <w:rsid w:val="009B2422"/>
    <w:rsid w:val="009B585D"/>
    <w:rsid w:val="009C12C0"/>
    <w:rsid w:val="009C4E9A"/>
    <w:rsid w:val="009C6C28"/>
    <w:rsid w:val="009D41CF"/>
    <w:rsid w:val="009E09F8"/>
    <w:rsid w:val="009E3289"/>
    <w:rsid w:val="009F26CF"/>
    <w:rsid w:val="009F4CBC"/>
    <w:rsid w:val="009F6441"/>
    <w:rsid w:val="009F7FC8"/>
    <w:rsid w:val="00A0110F"/>
    <w:rsid w:val="00A0584C"/>
    <w:rsid w:val="00A31E9A"/>
    <w:rsid w:val="00A37214"/>
    <w:rsid w:val="00A377BF"/>
    <w:rsid w:val="00A61B13"/>
    <w:rsid w:val="00A71F90"/>
    <w:rsid w:val="00A814B5"/>
    <w:rsid w:val="00A86764"/>
    <w:rsid w:val="00A97DDD"/>
    <w:rsid w:val="00AA07F0"/>
    <w:rsid w:val="00AA096B"/>
    <w:rsid w:val="00AC392E"/>
    <w:rsid w:val="00AC7CED"/>
    <w:rsid w:val="00AD3131"/>
    <w:rsid w:val="00AD5A43"/>
    <w:rsid w:val="00AE6B54"/>
    <w:rsid w:val="00AF7BD7"/>
    <w:rsid w:val="00B014EF"/>
    <w:rsid w:val="00B201FA"/>
    <w:rsid w:val="00B227DD"/>
    <w:rsid w:val="00B25CDE"/>
    <w:rsid w:val="00B27E79"/>
    <w:rsid w:val="00B3288C"/>
    <w:rsid w:val="00B4578E"/>
    <w:rsid w:val="00B46C89"/>
    <w:rsid w:val="00B51C4A"/>
    <w:rsid w:val="00B53536"/>
    <w:rsid w:val="00B6531A"/>
    <w:rsid w:val="00B82EED"/>
    <w:rsid w:val="00B9233D"/>
    <w:rsid w:val="00B94610"/>
    <w:rsid w:val="00BA2F11"/>
    <w:rsid w:val="00BB358F"/>
    <w:rsid w:val="00BB436E"/>
    <w:rsid w:val="00BB6911"/>
    <w:rsid w:val="00BD148F"/>
    <w:rsid w:val="00BD2FB1"/>
    <w:rsid w:val="00BD379B"/>
    <w:rsid w:val="00BD3CB7"/>
    <w:rsid w:val="00BD4738"/>
    <w:rsid w:val="00BF3728"/>
    <w:rsid w:val="00C16EF8"/>
    <w:rsid w:val="00C25854"/>
    <w:rsid w:val="00C4444C"/>
    <w:rsid w:val="00C65024"/>
    <w:rsid w:val="00C76D9A"/>
    <w:rsid w:val="00C973BC"/>
    <w:rsid w:val="00CA6E33"/>
    <w:rsid w:val="00CD148D"/>
    <w:rsid w:val="00CD4423"/>
    <w:rsid w:val="00D03FEC"/>
    <w:rsid w:val="00D062F9"/>
    <w:rsid w:val="00D12C60"/>
    <w:rsid w:val="00D13AF2"/>
    <w:rsid w:val="00D20056"/>
    <w:rsid w:val="00D2604D"/>
    <w:rsid w:val="00D274B8"/>
    <w:rsid w:val="00D37C97"/>
    <w:rsid w:val="00D44E12"/>
    <w:rsid w:val="00D4582B"/>
    <w:rsid w:val="00D50F9B"/>
    <w:rsid w:val="00D51B01"/>
    <w:rsid w:val="00D5234F"/>
    <w:rsid w:val="00D543B2"/>
    <w:rsid w:val="00D554C3"/>
    <w:rsid w:val="00D76DB4"/>
    <w:rsid w:val="00D83996"/>
    <w:rsid w:val="00D86A14"/>
    <w:rsid w:val="00D873E2"/>
    <w:rsid w:val="00D90254"/>
    <w:rsid w:val="00D910DD"/>
    <w:rsid w:val="00D96A39"/>
    <w:rsid w:val="00D97720"/>
    <w:rsid w:val="00DB4CB2"/>
    <w:rsid w:val="00DC48BF"/>
    <w:rsid w:val="00DC742E"/>
    <w:rsid w:val="00DD34CD"/>
    <w:rsid w:val="00DF6FCD"/>
    <w:rsid w:val="00E0213A"/>
    <w:rsid w:val="00E046FC"/>
    <w:rsid w:val="00E109B2"/>
    <w:rsid w:val="00E40CFD"/>
    <w:rsid w:val="00E51158"/>
    <w:rsid w:val="00E51473"/>
    <w:rsid w:val="00E57E45"/>
    <w:rsid w:val="00E606D3"/>
    <w:rsid w:val="00E86596"/>
    <w:rsid w:val="00E971B3"/>
    <w:rsid w:val="00EA67D7"/>
    <w:rsid w:val="00EB1386"/>
    <w:rsid w:val="00EB3DC8"/>
    <w:rsid w:val="00EB70A9"/>
    <w:rsid w:val="00EC09B1"/>
    <w:rsid w:val="00EC6677"/>
    <w:rsid w:val="00EE2637"/>
    <w:rsid w:val="00EE5384"/>
    <w:rsid w:val="00EE56D9"/>
    <w:rsid w:val="00EF6C5D"/>
    <w:rsid w:val="00EF735B"/>
    <w:rsid w:val="00F01DE0"/>
    <w:rsid w:val="00F12D1B"/>
    <w:rsid w:val="00F13ABF"/>
    <w:rsid w:val="00F13F2F"/>
    <w:rsid w:val="00F1514C"/>
    <w:rsid w:val="00F161B3"/>
    <w:rsid w:val="00F2152E"/>
    <w:rsid w:val="00F4478B"/>
    <w:rsid w:val="00F50F1E"/>
    <w:rsid w:val="00F528A9"/>
    <w:rsid w:val="00F55792"/>
    <w:rsid w:val="00F61A5C"/>
    <w:rsid w:val="00F72528"/>
    <w:rsid w:val="00F76D38"/>
    <w:rsid w:val="00F80A9F"/>
    <w:rsid w:val="00F84A35"/>
    <w:rsid w:val="00F85041"/>
    <w:rsid w:val="00F90460"/>
    <w:rsid w:val="00F93C2F"/>
    <w:rsid w:val="00F943BF"/>
    <w:rsid w:val="00FA2BD4"/>
    <w:rsid w:val="00FD1B09"/>
    <w:rsid w:val="00FE3C72"/>
    <w:rsid w:val="00FE5049"/>
    <w:rsid w:val="00FE5783"/>
    <w:rsid w:val="00FF72C6"/>
    <w:rsid w:val="00FF7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D8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475269018">
      <w:bodyDiv w:val="1"/>
      <w:marLeft w:val="0"/>
      <w:marRight w:val="0"/>
      <w:marTop w:val="0"/>
      <w:marBottom w:val="0"/>
      <w:divBdr>
        <w:top w:val="none" w:sz="0" w:space="0" w:color="auto"/>
        <w:left w:val="none" w:sz="0" w:space="0" w:color="auto"/>
        <w:bottom w:val="none" w:sz="0" w:space="0" w:color="auto"/>
        <w:right w:val="none" w:sz="0" w:space="0" w:color="auto"/>
      </w:divBdr>
    </w:div>
    <w:div w:id="1165127629">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530297988">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847860762">
      <w:bodyDiv w:val="1"/>
      <w:marLeft w:val="0"/>
      <w:marRight w:val="0"/>
      <w:marTop w:val="0"/>
      <w:marBottom w:val="0"/>
      <w:divBdr>
        <w:top w:val="none" w:sz="0" w:space="0" w:color="auto"/>
        <w:left w:val="none" w:sz="0" w:space="0" w:color="auto"/>
        <w:bottom w:val="none" w:sz="0" w:space="0" w:color="auto"/>
        <w:right w:val="none" w:sz="0" w:space="0" w:color="auto"/>
      </w:divBdr>
    </w:div>
    <w:div w:id="1897661581">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1/SaeimaLIVS11.nsf/0/159521E4B11B3C12C2257AC5002BCB6B?OpenDocument" TargetMode="External"/><Relationship Id="rId1" Type="http://schemas.openxmlformats.org/officeDocument/2006/relationships/hyperlink" Target="https://likumi.lv/ta/id/32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4416-D518-4209-A19A-831FC495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15554</Words>
  <Characters>8867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MK not. proj. „Grozījumi MK 2011. gada 21. jūnija noteikumos Nr. 485 “Atsevišķu veidu bīstamo atkritumu apsaimniekošanas kārtība”” anotācija</vt:lpstr>
    </vt:vector>
  </TitlesOfParts>
  <Company>VARAM</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 „Grozījumi MK 2011. gada 21. jūnija noteikumos Nr. 485 “Atsevišķu veidu bīstamo atkritumu apsaimniekošanas kārtība”” anotācija</dc:title>
  <dc:subject>Anotācija</dc:subject>
  <dc:creator>Ilze Doniņa</dc:creator>
  <cp:keywords/>
  <dc:description>67026515, ilze.donina@varam.gov.lv</dc:description>
  <cp:lastModifiedBy>Marta Ošleja</cp:lastModifiedBy>
  <cp:revision>3</cp:revision>
  <cp:lastPrinted>2020-09-08T12:48:00Z</cp:lastPrinted>
  <dcterms:created xsi:type="dcterms:W3CDTF">2021-04-30T13:07:00Z</dcterms:created>
  <dcterms:modified xsi:type="dcterms:W3CDTF">2021-05-05T12:15:00Z</dcterms:modified>
</cp:coreProperties>
</file>