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CCD2" w14:textId="77777777" w:rsidR="00996EC5" w:rsidRPr="00B64F30" w:rsidRDefault="00996EC5" w:rsidP="00996EC5">
      <w:pPr>
        <w:jc w:val="center"/>
        <w:rPr>
          <w:b/>
        </w:rPr>
      </w:pPr>
      <w:r w:rsidRPr="00B64F30">
        <w:rPr>
          <w:b/>
        </w:rPr>
        <w:t xml:space="preserve">Izziņa par atzinumos sniegtajiem iebildumiem </w:t>
      </w:r>
      <w:r w:rsidRPr="00B64F30">
        <w:rPr>
          <w:b/>
          <w:bCs/>
        </w:rPr>
        <w:t xml:space="preserve">par </w:t>
      </w:r>
      <w:r w:rsidRPr="00B64F30">
        <w:rPr>
          <w:b/>
        </w:rPr>
        <w:t>Ministru kabineta noteikumu projektu</w:t>
      </w:r>
    </w:p>
    <w:p w14:paraId="11F3716E" w14:textId="63A86F60" w:rsidR="00996EC5" w:rsidRPr="00B64F30" w:rsidRDefault="000A7533" w:rsidP="00996EC5">
      <w:pPr>
        <w:jc w:val="center"/>
        <w:rPr>
          <w:b/>
        </w:rPr>
      </w:pPr>
      <w:r>
        <w:rPr>
          <w:b/>
        </w:rPr>
        <w:t>“</w:t>
      </w:r>
      <w:r w:rsidR="00996EC5">
        <w:rPr>
          <w:b/>
          <w:szCs w:val="26"/>
        </w:rPr>
        <w:t>Grozījum</w:t>
      </w:r>
      <w:r>
        <w:rPr>
          <w:b/>
          <w:szCs w:val="26"/>
        </w:rPr>
        <w:t>i</w:t>
      </w:r>
      <w:r w:rsidR="00996EC5">
        <w:rPr>
          <w:b/>
          <w:szCs w:val="26"/>
        </w:rPr>
        <w:t xml:space="preserve"> Ministru </w:t>
      </w:r>
      <w:r w:rsidR="00996EC5" w:rsidRPr="00A07D4F">
        <w:t>2017.</w:t>
      </w:r>
      <w:r w:rsidR="00996EC5">
        <w:t> </w:t>
      </w:r>
      <w:r w:rsidR="00996EC5" w:rsidRPr="00A07D4F">
        <w:t>gada 13.</w:t>
      </w:r>
      <w:r w:rsidR="00996EC5">
        <w:t> </w:t>
      </w:r>
      <w:r w:rsidR="00996EC5" w:rsidRPr="00A07D4F">
        <w:t>jūnija noteikumos Nr.</w:t>
      </w:r>
      <w:r w:rsidR="00996EC5">
        <w:t> </w:t>
      </w:r>
      <w:r w:rsidR="00996EC5" w:rsidRPr="00A07D4F">
        <w:t>328 “Kritēriji un kārtība, kādā novērtē atkritumu dalītās savākšanas pakal</w:t>
      </w:r>
      <w:r w:rsidR="00996EC5">
        <w:t>pojuma pieejamību iedzīvotājiem””</w:t>
      </w:r>
      <w:r w:rsidR="00996EC5">
        <w:rPr>
          <w:b/>
        </w:rPr>
        <w:t xml:space="preserve"> (VSS-214)</w:t>
      </w:r>
    </w:p>
    <w:p w14:paraId="435333F8" w14:textId="77777777" w:rsidR="00996EC5" w:rsidRPr="000B51DA" w:rsidRDefault="00996EC5" w:rsidP="00996EC5">
      <w:pPr>
        <w:pStyle w:val="naisf"/>
        <w:spacing w:before="0" w:after="0"/>
        <w:ind w:firstLine="720"/>
      </w:pPr>
    </w:p>
    <w:p w14:paraId="69FD94F9" w14:textId="77777777" w:rsidR="00996EC5" w:rsidRPr="000B51DA" w:rsidRDefault="00996EC5" w:rsidP="00996EC5">
      <w:pPr>
        <w:pStyle w:val="naisf"/>
        <w:spacing w:before="0" w:after="0"/>
        <w:ind w:firstLine="0"/>
        <w:jc w:val="center"/>
        <w:outlineLvl w:val="0"/>
        <w:rPr>
          <w:b/>
        </w:rPr>
      </w:pPr>
      <w:r w:rsidRPr="000B51DA">
        <w:rPr>
          <w:b/>
        </w:rPr>
        <w:t>I. Jautājumi, par kuriem saskaņošanā vienošanās nav panākta</w:t>
      </w:r>
    </w:p>
    <w:p w14:paraId="4048F32B" w14:textId="77777777" w:rsidR="00996EC5" w:rsidRPr="000B51DA" w:rsidRDefault="00996EC5" w:rsidP="00996EC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996EC5" w:rsidRPr="000B51DA" w14:paraId="05BC65D9" w14:textId="77777777" w:rsidTr="00FA5FA5">
        <w:tc>
          <w:tcPr>
            <w:tcW w:w="708" w:type="dxa"/>
            <w:tcBorders>
              <w:top w:val="single" w:sz="6" w:space="0" w:color="000000"/>
              <w:left w:val="single" w:sz="6" w:space="0" w:color="000000"/>
              <w:bottom w:val="single" w:sz="6" w:space="0" w:color="000000"/>
              <w:right w:val="single" w:sz="6" w:space="0" w:color="000000"/>
            </w:tcBorders>
            <w:vAlign w:val="center"/>
          </w:tcPr>
          <w:p w14:paraId="49A582E0" w14:textId="77777777" w:rsidR="00996EC5" w:rsidRPr="000B51DA" w:rsidRDefault="00996EC5" w:rsidP="00FA5FA5">
            <w:pPr>
              <w:pStyle w:val="naisc"/>
              <w:spacing w:before="0" w:after="0"/>
            </w:pPr>
            <w:r w:rsidRPr="000B51DA">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6D9AA570" w14:textId="77777777" w:rsidR="00996EC5" w:rsidRPr="000B51DA" w:rsidRDefault="00996EC5" w:rsidP="00FA5FA5">
            <w:pPr>
              <w:pStyle w:val="naisc"/>
              <w:spacing w:before="0" w:after="0"/>
              <w:ind w:firstLine="12"/>
            </w:pPr>
            <w:r w:rsidRPr="000B51DA">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60C9A043" w14:textId="77777777" w:rsidR="00996EC5" w:rsidRPr="000B51DA" w:rsidRDefault="00996EC5" w:rsidP="00FA5FA5">
            <w:pPr>
              <w:pStyle w:val="naisc"/>
              <w:spacing w:before="0" w:after="0"/>
              <w:ind w:right="3"/>
            </w:pPr>
            <w:r w:rsidRPr="000B51DA">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32161DCE" w14:textId="77777777" w:rsidR="00996EC5" w:rsidRPr="000B51DA" w:rsidRDefault="00996EC5" w:rsidP="00FA5FA5">
            <w:pPr>
              <w:pStyle w:val="naisc"/>
              <w:spacing w:before="0" w:after="0"/>
              <w:ind w:firstLine="21"/>
            </w:pPr>
            <w:r w:rsidRPr="000B51DA">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15823E28" w14:textId="77777777" w:rsidR="00996EC5" w:rsidRPr="000B51DA" w:rsidRDefault="00996EC5" w:rsidP="00FA5FA5">
            <w:pPr>
              <w:jc w:val="center"/>
            </w:pPr>
            <w:r w:rsidRPr="000B51DA">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40974199" w14:textId="77777777" w:rsidR="00996EC5" w:rsidRPr="000B51DA" w:rsidRDefault="00996EC5" w:rsidP="00FA5FA5">
            <w:pPr>
              <w:jc w:val="center"/>
            </w:pPr>
            <w:r w:rsidRPr="000B51DA">
              <w:t>Projekta attiecīgā punkta (panta) galīgā redakcija</w:t>
            </w:r>
          </w:p>
        </w:tc>
      </w:tr>
      <w:tr w:rsidR="00996EC5" w:rsidRPr="000B51DA" w14:paraId="098E73AE" w14:textId="77777777" w:rsidTr="00FA5FA5">
        <w:tc>
          <w:tcPr>
            <w:tcW w:w="708" w:type="dxa"/>
            <w:tcBorders>
              <w:left w:val="single" w:sz="6" w:space="0" w:color="000000"/>
              <w:bottom w:val="single" w:sz="4" w:space="0" w:color="auto"/>
              <w:right w:val="single" w:sz="6" w:space="0" w:color="000000"/>
            </w:tcBorders>
          </w:tcPr>
          <w:p w14:paraId="279BF273" w14:textId="77777777" w:rsidR="00996EC5" w:rsidRPr="000B51DA" w:rsidRDefault="00996EC5" w:rsidP="00FA5FA5">
            <w:pPr>
              <w:pStyle w:val="naisc"/>
              <w:spacing w:before="0" w:after="0"/>
              <w:ind w:firstLine="720"/>
            </w:pPr>
            <w:r w:rsidRPr="000B51DA">
              <w:t>-</w:t>
            </w:r>
          </w:p>
        </w:tc>
        <w:tc>
          <w:tcPr>
            <w:tcW w:w="2400" w:type="dxa"/>
            <w:tcBorders>
              <w:left w:val="single" w:sz="6" w:space="0" w:color="000000"/>
              <w:bottom w:val="single" w:sz="4" w:space="0" w:color="auto"/>
              <w:right w:val="single" w:sz="6" w:space="0" w:color="000000"/>
            </w:tcBorders>
          </w:tcPr>
          <w:p w14:paraId="24B0FD98" w14:textId="77777777" w:rsidR="00996EC5" w:rsidRPr="000B51DA" w:rsidRDefault="00996EC5" w:rsidP="00FA5FA5">
            <w:pPr>
              <w:pStyle w:val="naisc"/>
              <w:spacing w:before="0" w:after="0"/>
            </w:pPr>
          </w:p>
        </w:tc>
        <w:tc>
          <w:tcPr>
            <w:tcW w:w="3600" w:type="dxa"/>
            <w:tcBorders>
              <w:left w:val="single" w:sz="6" w:space="0" w:color="000000"/>
              <w:bottom w:val="single" w:sz="4" w:space="0" w:color="auto"/>
              <w:right w:val="single" w:sz="6" w:space="0" w:color="000000"/>
            </w:tcBorders>
          </w:tcPr>
          <w:p w14:paraId="34FD8590" w14:textId="77777777" w:rsidR="00996EC5" w:rsidRPr="000B51DA" w:rsidRDefault="00996EC5" w:rsidP="00FA5FA5">
            <w:pPr>
              <w:autoSpaceDE w:val="0"/>
              <w:autoSpaceDN w:val="0"/>
              <w:adjustRightInd w:val="0"/>
              <w:jc w:val="center"/>
              <w:rPr>
                <w:b/>
              </w:rPr>
            </w:pPr>
          </w:p>
        </w:tc>
        <w:tc>
          <w:tcPr>
            <w:tcW w:w="3360" w:type="dxa"/>
            <w:tcBorders>
              <w:left w:val="single" w:sz="6" w:space="0" w:color="000000"/>
              <w:bottom w:val="single" w:sz="4" w:space="0" w:color="auto"/>
              <w:right w:val="single" w:sz="6" w:space="0" w:color="000000"/>
            </w:tcBorders>
          </w:tcPr>
          <w:p w14:paraId="7CF9BAE1" w14:textId="77777777" w:rsidR="00996EC5" w:rsidRPr="000B51DA" w:rsidRDefault="00996EC5" w:rsidP="00FA5FA5">
            <w:pPr>
              <w:pStyle w:val="naisc"/>
              <w:spacing w:before="0" w:after="0"/>
              <w:ind w:firstLine="720"/>
              <w:rPr>
                <w:b/>
              </w:rPr>
            </w:pPr>
          </w:p>
        </w:tc>
        <w:tc>
          <w:tcPr>
            <w:tcW w:w="2280" w:type="dxa"/>
            <w:tcBorders>
              <w:top w:val="single" w:sz="4" w:space="0" w:color="auto"/>
              <w:left w:val="single" w:sz="4" w:space="0" w:color="auto"/>
              <w:bottom w:val="single" w:sz="4" w:space="0" w:color="auto"/>
              <w:right w:val="single" w:sz="4" w:space="0" w:color="auto"/>
            </w:tcBorders>
          </w:tcPr>
          <w:p w14:paraId="13833437" w14:textId="77777777" w:rsidR="00996EC5" w:rsidRPr="000B51DA" w:rsidRDefault="00996EC5" w:rsidP="00FA5FA5">
            <w:pPr>
              <w:jc w:val="center"/>
            </w:pPr>
          </w:p>
        </w:tc>
        <w:tc>
          <w:tcPr>
            <w:tcW w:w="1920" w:type="dxa"/>
            <w:tcBorders>
              <w:top w:val="single" w:sz="4" w:space="0" w:color="auto"/>
              <w:left w:val="single" w:sz="4" w:space="0" w:color="auto"/>
              <w:bottom w:val="single" w:sz="4" w:space="0" w:color="auto"/>
              <w:right w:val="single" w:sz="4" w:space="0" w:color="auto"/>
            </w:tcBorders>
          </w:tcPr>
          <w:p w14:paraId="2B76D9CE" w14:textId="77777777" w:rsidR="00996EC5" w:rsidRPr="000B51DA" w:rsidRDefault="00996EC5" w:rsidP="00FA5FA5">
            <w:pPr>
              <w:jc w:val="center"/>
            </w:pPr>
          </w:p>
        </w:tc>
      </w:tr>
    </w:tbl>
    <w:p w14:paraId="38F88465" w14:textId="77777777" w:rsidR="00996EC5" w:rsidRPr="000B51DA" w:rsidRDefault="00996EC5" w:rsidP="00996EC5">
      <w:pPr>
        <w:pStyle w:val="naisf"/>
        <w:spacing w:before="0" w:after="0"/>
        <w:ind w:firstLine="0"/>
        <w:outlineLvl w:val="0"/>
        <w:rPr>
          <w:b/>
        </w:rPr>
      </w:pPr>
    </w:p>
    <w:p w14:paraId="30FBFAA6" w14:textId="77777777" w:rsidR="00996EC5" w:rsidRPr="000B51DA" w:rsidRDefault="00996EC5" w:rsidP="00996EC5">
      <w:pPr>
        <w:pStyle w:val="naisf"/>
        <w:spacing w:before="0" w:after="0"/>
        <w:ind w:firstLine="0"/>
        <w:outlineLvl w:val="0"/>
        <w:rPr>
          <w:b/>
        </w:rPr>
      </w:pPr>
      <w:r w:rsidRPr="000B51DA">
        <w:rPr>
          <w:b/>
        </w:rPr>
        <w:t xml:space="preserve">Informācija par </w:t>
      </w:r>
      <w:proofErr w:type="spellStart"/>
      <w:r w:rsidRPr="000B51DA">
        <w:rPr>
          <w:b/>
        </w:rPr>
        <w:t>starpministriju</w:t>
      </w:r>
      <w:proofErr w:type="spellEnd"/>
      <w:r w:rsidRPr="000B51DA">
        <w:rPr>
          <w:b/>
        </w:rPr>
        <w:t xml:space="preserve"> (starpinstitūciju) sanāksmi vai elektronisko saskaņošanu</w:t>
      </w:r>
    </w:p>
    <w:p w14:paraId="4DCB719E" w14:textId="77777777" w:rsidR="00996EC5" w:rsidRPr="000B51DA" w:rsidRDefault="00996EC5" w:rsidP="00996EC5">
      <w:pPr>
        <w:pStyle w:val="naisf"/>
        <w:spacing w:before="0" w:after="0"/>
        <w:ind w:firstLine="0"/>
        <w:rPr>
          <w:b/>
        </w:rPr>
      </w:pPr>
    </w:p>
    <w:tbl>
      <w:tblPr>
        <w:tblW w:w="13908" w:type="dxa"/>
        <w:tblLook w:val="00A0" w:firstRow="1" w:lastRow="0" w:firstColumn="1" w:lastColumn="0" w:noHBand="0" w:noVBand="0"/>
      </w:tblPr>
      <w:tblGrid>
        <w:gridCol w:w="6708"/>
        <w:gridCol w:w="7200"/>
      </w:tblGrid>
      <w:tr w:rsidR="00996EC5" w:rsidRPr="000B51DA" w14:paraId="0F9BF88C" w14:textId="77777777" w:rsidTr="00FA5FA5">
        <w:tc>
          <w:tcPr>
            <w:tcW w:w="6708" w:type="dxa"/>
          </w:tcPr>
          <w:p w14:paraId="10D2A6E6" w14:textId="77777777" w:rsidR="00996EC5" w:rsidRPr="000B51DA" w:rsidRDefault="00996EC5" w:rsidP="00FA5FA5">
            <w:pPr>
              <w:pStyle w:val="naisf"/>
              <w:spacing w:before="0" w:after="0"/>
              <w:ind w:firstLine="0"/>
            </w:pPr>
            <w:r w:rsidRPr="000B51DA">
              <w:t>Datums</w:t>
            </w:r>
          </w:p>
        </w:tc>
        <w:tc>
          <w:tcPr>
            <w:tcW w:w="7200" w:type="dxa"/>
            <w:tcBorders>
              <w:bottom w:val="single" w:sz="4" w:space="0" w:color="auto"/>
            </w:tcBorders>
          </w:tcPr>
          <w:p w14:paraId="7C5979A0" w14:textId="2BE53EDC" w:rsidR="00996EC5" w:rsidRPr="000B51DA" w:rsidRDefault="00996EC5" w:rsidP="00FA5FA5">
            <w:pPr>
              <w:pStyle w:val="NormalWeb"/>
              <w:spacing w:before="0" w:beforeAutospacing="0" w:after="0" w:afterAutospacing="0"/>
              <w:ind w:firstLine="720"/>
            </w:pPr>
            <w:r>
              <w:t>2021.gada 3</w:t>
            </w:r>
            <w:r w:rsidR="00CD3134">
              <w:t>0</w:t>
            </w:r>
            <w:r>
              <w:t>.</w:t>
            </w:r>
            <w:r w:rsidR="00CD3134">
              <w:t>aprīlis</w:t>
            </w:r>
          </w:p>
        </w:tc>
      </w:tr>
      <w:tr w:rsidR="00996EC5" w:rsidRPr="000B51DA" w14:paraId="1BA5E51D" w14:textId="77777777" w:rsidTr="00FA5FA5">
        <w:tc>
          <w:tcPr>
            <w:tcW w:w="6708" w:type="dxa"/>
          </w:tcPr>
          <w:p w14:paraId="6D9ACB6E" w14:textId="77777777" w:rsidR="00996EC5" w:rsidRPr="000B51DA" w:rsidRDefault="00996EC5" w:rsidP="00FA5FA5">
            <w:pPr>
              <w:pStyle w:val="naisf"/>
              <w:spacing w:before="0" w:after="0"/>
              <w:ind w:firstLine="0"/>
            </w:pPr>
          </w:p>
        </w:tc>
        <w:tc>
          <w:tcPr>
            <w:tcW w:w="7200" w:type="dxa"/>
            <w:tcBorders>
              <w:top w:val="single" w:sz="4" w:space="0" w:color="auto"/>
            </w:tcBorders>
          </w:tcPr>
          <w:p w14:paraId="667B1A1E" w14:textId="77777777" w:rsidR="00996EC5" w:rsidRPr="000B51DA" w:rsidRDefault="00996EC5" w:rsidP="00FA5FA5">
            <w:pPr>
              <w:pStyle w:val="NormalWeb"/>
              <w:spacing w:before="0" w:beforeAutospacing="0" w:after="0" w:afterAutospacing="0"/>
              <w:ind w:firstLine="720"/>
            </w:pPr>
          </w:p>
        </w:tc>
      </w:tr>
      <w:tr w:rsidR="00996EC5" w:rsidRPr="000B51DA" w14:paraId="658320AA" w14:textId="77777777" w:rsidTr="00FA5FA5">
        <w:tc>
          <w:tcPr>
            <w:tcW w:w="6708" w:type="dxa"/>
          </w:tcPr>
          <w:p w14:paraId="465358CF" w14:textId="77777777" w:rsidR="00996EC5" w:rsidRPr="000B51DA" w:rsidRDefault="00996EC5" w:rsidP="00FA5FA5">
            <w:pPr>
              <w:pStyle w:val="naiskr"/>
              <w:spacing w:before="0" w:after="0"/>
            </w:pPr>
            <w:r w:rsidRPr="000B51DA">
              <w:t>Saskaņošanas dalībnieki</w:t>
            </w:r>
          </w:p>
        </w:tc>
        <w:tc>
          <w:tcPr>
            <w:tcW w:w="7200" w:type="dxa"/>
          </w:tcPr>
          <w:p w14:paraId="0682DDC9" w14:textId="77777777" w:rsidR="00996EC5" w:rsidRPr="000B51DA" w:rsidRDefault="00996EC5" w:rsidP="00FA5FA5">
            <w:pPr>
              <w:pStyle w:val="naiskr"/>
              <w:spacing w:before="0" w:after="0"/>
              <w:ind w:firstLine="12"/>
              <w:jc w:val="both"/>
            </w:pPr>
          </w:p>
        </w:tc>
      </w:tr>
      <w:tr w:rsidR="00996EC5" w:rsidRPr="000B51DA" w14:paraId="40769B39" w14:textId="77777777" w:rsidTr="00FA5FA5">
        <w:trPr>
          <w:trHeight w:val="285"/>
        </w:trPr>
        <w:tc>
          <w:tcPr>
            <w:tcW w:w="6708" w:type="dxa"/>
          </w:tcPr>
          <w:p w14:paraId="7288FFE2" w14:textId="77777777" w:rsidR="00996EC5" w:rsidRPr="000B51DA" w:rsidRDefault="00996EC5" w:rsidP="00FA5FA5">
            <w:pPr>
              <w:pStyle w:val="naiskr"/>
              <w:spacing w:before="0" w:after="0"/>
            </w:pPr>
          </w:p>
        </w:tc>
        <w:tc>
          <w:tcPr>
            <w:tcW w:w="7200" w:type="dxa"/>
          </w:tcPr>
          <w:p w14:paraId="0CCD710C" w14:textId="0C5F8C4D" w:rsidR="00996EC5" w:rsidRPr="000B51DA" w:rsidRDefault="00996EC5" w:rsidP="00FA5FA5">
            <w:pPr>
              <w:pStyle w:val="naiskr"/>
              <w:spacing w:before="0" w:after="0"/>
              <w:ind w:firstLine="12"/>
              <w:jc w:val="both"/>
            </w:pPr>
            <w:r>
              <w:t>Tieslietu ministrija, Finanšu ministrija</w:t>
            </w:r>
          </w:p>
        </w:tc>
      </w:tr>
      <w:tr w:rsidR="00996EC5" w:rsidRPr="000B51DA" w14:paraId="4C2352B6" w14:textId="77777777" w:rsidTr="00FA5FA5">
        <w:trPr>
          <w:trHeight w:val="285"/>
        </w:trPr>
        <w:tc>
          <w:tcPr>
            <w:tcW w:w="6708" w:type="dxa"/>
          </w:tcPr>
          <w:p w14:paraId="212DA696" w14:textId="77777777" w:rsidR="00996EC5" w:rsidRPr="000B51DA" w:rsidRDefault="00996EC5" w:rsidP="00FA5FA5">
            <w:pPr>
              <w:pStyle w:val="naiskr"/>
              <w:spacing w:before="0" w:after="0"/>
              <w:jc w:val="both"/>
            </w:pPr>
            <w:r w:rsidRPr="000B51DA">
              <w:t>Saskaņošanas dalībnieki izskatīja šādu ministriju (citu institūciju) iebildumus</w:t>
            </w:r>
          </w:p>
        </w:tc>
        <w:tc>
          <w:tcPr>
            <w:tcW w:w="7200" w:type="dxa"/>
          </w:tcPr>
          <w:p w14:paraId="6F5C89E7" w14:textId="5D3B466E" w:rsidR="00996EC5" w:rsidRPr="000B51DA" w:rsidRDefault="00996EC5" w:rsidP="00FA5FA5">
            <w:pPr>
              <w:pStyle w:val="naiskr"/>
              <w:spacing w:before="0" w:after="0"/>
              <w:ind w:firstLine="12"/>
              <w:jc w:val="both"/>
              <w:rPr>
                <w:color w:val="000000"/>
              </w:rPr>
            </w:pPr>
            <w:r>
              <w:t>Tieslietu ministrija</w:t>
            </w:r>
          </w:p>
        </w:tc>
      </w:tr>
      <w:tr w:rsidR="00996EC5" w:rsidRPr="000B51DA" w14:paraId="4C92C6CD" w14:textId="77777777" w:rsidTr="00FA5FA5">
        <w:trPr>
          <w:trHeight w:val="465"/>
        </w:trPr>
        <w:tc>
          <w:tcPr>
            <w:tcW w:w="6708" w:type="dxa"/>
          </w:tcPr>
          <w:p w14:paraId="0228EA43" w14:textId="77777777" w:rsidR="00996EC5" w:rsidRPr="000B51DA" w:rsidRDefault="00996EC5" w:rsidP="00FA5FA5">
            <w:pPr>
              <w:pStyle w:val="naiskr"/>
              <w:spacing w:before="0" w:after="0"/>
              <w:jc w:val="both"/>
            </w:pPr>
            <w:r w:rsidRPr="000B51DA">
              <w:t>Ministrijas (citas institūcijas), kuras nav ieradušās uz sanāksmi vai kuras nav atbildējušas uz uzaicinājumu piedalīties elektroniskajā saskaņošanā</w:t>
            </w:r>
          </w:p>
        </w:tc>
        <w:tc>
          <w:tcPr>
            <w:tcW w:w="7200" w:type="dxa"/>
            <w:tcBorders>
              <w:top w:val="single" w:sz="6" w:space="0" w:color="000000"/>
              <w:bottom w:val="single" w:sz="6" w:space="0" w:color="000000"/>
            </w:tcBorders>
          </w:tcPr>
          <w:p w14:paraId="76AFAD28" w14:textId="77777777" w:rsidR="00996EC5" w:rsidRPr="000B51DA" w:rsidRDefault="00996EC5" w:rsidP="00FA5FA5">
            <w:pPr>
              <w:pStyle w:val="NormalWeb"/>
              <w:spacing w:before="0" w:beforeAutospacing="0" w:after="0" w:afterAutospacing="0"/>
              <w:jc w:val="both"/>
            </w:pPr>
          </w:p>
        </w:tc>
      </w:tr>
    </w:tbl>
    <w:p w14:paraId="35E18D33" w14:textId="3F447A81" w:rsidR="00996EC5" w:rsidRDefault="00996EC5" w:rsidP="00996EC5">
      <w:pPr>
        <w:pStyle w:val="naisf"/>
        <w:spacing w:before="0" w:after="0"/>
        <w:ind w:firstLine="0"/>
        <w:jc w:val="center"/>
        <w:outlineLvl w:val="0"/>
        <w:rPr>
          <w:b/>
        </w:rPr>
      </w:pPr>
      <w:r>
        <w:rPr>
          <w:b/>
        </w:rPr>
        <w:t xml:space="preserve">  </w:t>
      </w:r>
    </w:p>
    <w:p w14:paraId="411C7F81" w14:textId="7D544D21" w:rsidR="00996EC5" w:rsidRDefault="00996EC5" w:rsidP="00996EC5">
      <w:pPr>
        <w:pStyle w:val="naisf"/>
        <w:spacing w:before="0" w:after="0"/>
        <w:ind w:firstLine="0"/>
        <w:jc w:val="center"/>
        <w:outlineLvl w:val="0"/>
        <w:rPr>
          <w:b/>
        </w:rPr>
      </w:pPr>
    </w:p>
    <w:p w14:paraId="261FDFF4" w14:textId="77777777" w:rsidR="00996EC5" w:rsidRDefault="00996EC5" w:rsidP="00996EC5">
      <w:pPr>
        <w:pStyle w:val="naisf"/>
        <w:spacing w:before="0" w:after="0"/>
        <w:ind w:firstLine="0"/>
        <w:jc w:val="center"/>
        <w:outlineLvl w:val="0"/>
        <w:rPr>
          <w:b/>
        </w:rPr>
      </w:pPr>
    </w:p>
    <w:p w14:paraId="28F2B87E" w14:textId="77777777" w:rsidR="00996EC5" w:rsidRDefault="00996EC5" w:rsidP="00996EC5">
      <w:pPr>
        <w:pStyle w:val="naisf"/>
        <w:spacing w:before="0" w:after="0"/>
        <w:ind w:firstLine="0"/>
        <w:jc w:val="center"/>
        <w:outlineLvl w:val="0"/>
        <w:rPr>
          <w:b/>
        </w:rPr>
      </w:pPr>
    </w:p>
    <w:p w14:paraId="029C80E2" w14:textId="77777777" w:rsidR="00996EC5" w:rsidRPr="000B51DA" w:rsidRDefault="00996EC5" w:rsidP="00996EC5">
      <w:pPr>
        <w:pStyle w:val="naisf"/>
        <w:spacing w:before="0" w:after="0"/>
        <w:ind w:firstLine="0"/>
        <w:jc w:val="center"/>
        <w:outlineLvl w:val="0"/>
        <w:rPr>
          <w:b/>
        </w:rPr>
      </w:pPr>
      <w:r w:rsidRPr="000B51DA">
        <w:rPr>
          <w:b/>
        </w:rPr>
        <w:lastRenderedPageBreak/>
        <w:t>I</w:t>
      </w:r>
      <w:r>
        <w:rPr>
          <w:b/>
        </w:rPr>
        <w:t>I</w:t>
      </w:r>
      <w:r w:rsidRPr="000B51DA">
        <w:rPr>
          <w:b/>
        </w:rPr>
        <w:t>. Jautājumi, par kuriem saskaņošanā vienošanās ir panākta</w:t>
      </w:r>
    </w:p>
    <w:p w14:paraId="4909200A" w14:textId="77777777" w:rsidR="00996EC5" w:rsidRPr="000B51DA" w:rsidRDefault="00996EC5" w:rsidP="00996EC5">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152"/>
        <w:gridCol w:w="4111"/>
        <w:gridCol w:w="2693"/>
        <w:gridCol w:w="4936"/>
      </w:tblGrid>
      <w:tr w:rsidR="00996EC5" w:rsidRPr="000B51DA" w14:paraId="04E9D9F0" w14:textId="77777777" w:rsidTr="00185AF5">
        <w:tc>
          <w:tcPr>
            <w:tcW w:w="675" w:type="dxa"/>
            <w:tcBorders>
              <w:top w:val="single" w:sz="6" w:space="0" w:color="000000"/>
              <w:left w:val="single" w:sz="6" w:space="0" w:color="000000"/>
              <w:bottom w:val="single" w:sz="6" w:space="0" w:color="000000"/>
              <w:right w:val="single" w:sz="6" w:space="0" w:color="000000"/>
            </w:tcBorders>
          </w:tcPr>
          <w:p w14:paraId="0E3918F5" w14:textId="77777777" w:rsidR="00996EC5" w:rsidRPr="000B51DA" w:rsidRDefault="00996EC5" w:rsidP="00123AAD">
            <w:pPr>
              <w:pStyle w:val="naisc"/>
              <w:spacing w:before="0" w:after="0"/>
              <w:jc w:val="left"/>
              <w:rPr>
                <w:b/>
              </w:rPr>
            </w:pPr>
            <w:r w:rsidRPr="000B51DA">
              <w:rPr>
                <w:b/>
              </w:rPr>
              <w:t>Nr. p.k.</w:t>
            </w:r>
          </w:p>
        </w:tc>
        <w:tc>
          <w:tcPr>
            <w:tcW w:w="2152" w:type="dxa"/>
            <w:tcBorders>
              <w:top w:val="single" w:sz="6" w:space="0" w:color="000000"/>
              <w:left w:val="single" w:sz="6" w:space="0" w:color="000000"/>
              <w:bottom w:val="single" w:sz="6" w:space="0" w:color="000000"/>
              <w:right w:val="single" w:sz="6" w:space="0" w:color="000000"/>
            </w:tcBorders>
          </w:tcPr>
          <w:p w14:paraId="3F7F264D" w14:textId="77777777" w:rsidR="00996EC5" w:rsidRPr="00513634" w:rsidRDefault="00996EC5" w:rsidP="00123AAD">
            <w:pPr>
              <w:pStyle w:val="naisc"/>
              <w:spacing w:before="0" w:after="0"/>
              <w:ind w:firstLine="12"/>
              <w:jc w:val="left"/>
              <w:rPr>
                <w:b/>
              </w:rPr>
            </w:pPr>
            <w:r w:rsidRPr="00513634">
              <w:rPr>
                <w:b/>
              </w:rPr>
              <w:t>Saskaņošanai nosūtītā projekta redakcija (konkrēta punkta redakcija)</w:t>
            </w:r>
          </w:p>
        </w:tc>
        <w:tc>
          <w:tcPr>
            <w:tcW w:w="4111" w:type="dxa"/>
            <w:tcBorders>
              <w:top w:val="single" w:sz="6" w:space="0" w:color="000000"/>
              <w:left w:val="single" w:sz="6" w:space="0" w:color="000000"/>
              <w:bottom w:val="single" w:sz="6" w:space="0" w:color="000000"/>
              <w:right w:val="single" w:sz="6" w:space="0" w:color="000000"/>
            </w:tcBorders>
          </w:tcPr>
          <w:p w14:paraId="0BED33C3" w14:textId="77777777" w:rsidR="00996EC5" w:rsidRPr="00942432" w:rsidRDefault="00996EC5" w:rsidP="00123AAD">
            <w:pPr>
              <w:pStyle w:val="naisc"/>
              <w:spacing w:before="0" w:after="0"/>
              <w:ind w:right="3"/>
              <w:jc w:val="left"/>
              <w:rPr>
                <w:b/>
              </w:rPr>
            </w:pPr>
            <w:r w:rsidRPr="00942432">
              <w:rPr>
                <w:b/>
              </w:rPr>
              <w:t xml:space="preserve">Atzinumā norādītais ministrijas (citas institūcijas) iebildums, kā arī saskaņošanā papildus izteiktais iebildums par projekta konkrēto punktu </w:t>
            </w:r>
          </w:p>
        </w:tc>
        <w:tc>
          <w:tcPr>
            <w:tcW w:w="2693" w:type="dxa"/>
            <w:tcBorders>
              <w:top w:val="single" w:sz="6" w:space="0" w:color="000000"/>
              <w:left w:val="single" w:sz="6" w:space="0" w:color="000000"/>
              <w:bottom w:val="single" w:sz="6" w:space="0" w:color="000000"/>
              <w:right w:val="single" w:sz="6" w:space="0" w:color="000000"/>
            </w:tcBorders>
          </w:tcPr>
          <w:p w14:paraId="25E786E0" w14:textId="77777777" w:rsidR="00996EC5" w:rsidRPr="000B51DA" w:rsidRDefault="00996EC5" w:rsidP="00123AAD">
            <w:pPr>
              <w:pStyle w:val="naisc"/>
              <w:spacing w:before="0" w:after="0"/>
              <w:ind w:firstLine="21"/>
              <w:jc w:val="left"/>
              <w:rPr>
                <w:b/>
              </w:rPr>
            </w:pPr>
            <w:r w:rsidRPr="000B51DA">
              <w:rPr>
                <w:b/>
              </w:rPr>
              <w:t>Atbildīgās ministrijas norāde par to, ka iebildums ir ņemts vērā, vai informācija par saskaņošanā panākto alternatīvo risinājumu</w:t>
            </w:r>
          </w:p>
        </w:tc>
        <w:tc>
          <w:tcPr>
            <w:tcW w:w="4936" w:type="dxa"/>
            <w:tcBorders>
              <w:top w:val="single" w:sz="4" w:space="0" w:color="auto"/>
              <w:left w:val="single" w:sz="4" w:space="0" w:color="auto"/>
              <w:bottom w:val="single" w:sz="4" w:space="0" w:color="auto"/>
            </w:tcBorders>
          </w:tcPr>
          <w:p w14:paraId="3E2DFA58" w14:textId="77777777" w:rsidR="00996EC5" w:rsidRPr="000B51DA" w:rsidRDefault="00996EC5" w:rsidP="00123AAD">
            <w:pPr>
              <w:rPr>
                <w:b/>
              </w:rPr>
            </w:pPr>
            <w:r w:rsidRPr="000B51DA">
              <w:rPr>
                <w:b/>
              </w:rPr>
              <w:t>Projekta attiecīgā punkta galīgā redakcija</w:t>
            </w:r>
          </w:p>
        </w:tc>
      </w:tr>
      <w:tr w:rsidR="00996EC5" w:rsidRPr="000B51DA" w14:paraId="3128B435" w14:textId="77777777" w:rsidTr="00CD3134">
        <w:tc>
          <w:tcPr>
            <w:tcW w:w="675" w:type="dxa"/>
            <w:tcBorders>
              <w:top w:val="single" w:sz="6" w:space="0" w:color="000000"/>
              <w:left w:val="single" w:sz="6" w:space="0" w:color="000000"/>
              <w:bottom w:val="single" w:sz="6" w:space="0" w:color="000000"/>
              <w:right w:val="single" w:sz="6" w:space="0" w:color="000000"/>
            </w:tcBorders>
          </w:tcPr>
          <w:p w14:paraId="4AC5EB99" w14:textId="1E56C218" w:rsidR="00996EC5" w:rsidRPr="000B51DA" w:rsidRDefault="00996EC5" w:rsidP="00123AAD">
            <w:pPr>
              <w:pStyle w:val="naisc"/>
              <w:spacing w:before="0" w:after="0"/>
              <w:jc w:val="both"/>
              <w:rPr>
                <w:b/>
              </w:rPr>
            </w:pPr>
            <w:r>
              <w:rPr>
                <w:b/>
              </w:rPr>
              <w:t>1.</w:t>
            </w:r>
          </w:p>
        </w:tc>
        <w:tc>
          <w:tcPr>
            <w:tcW w:w="2152" w:type="dxa"/>
            <w:tcBorders>
              <w:top w:val="single" w:sz="6" w:space="0" w:color="000000"/>
              <w:left w:val="single" w:sz="6" w:space="0" w:color="000000"/>
              <w:bottom w:val="single" w:sz="6" w:space="0" w:color="000000"/>
              <w:right w:val="single" w:sz="6" w:space="0" w:color="000000"/>
            </w:tcBorders>
          </w:tcPr>
          <w:p w14:paraId="3C4F58AE" w14:textId="77777777" w:rsidR="00BF525A" w:rsidRPr="0035215C" w:rsidRDefault="00BF525A" w:rsidP="00123AAD">
            <w:pPr>
              <w:spacing w:after="120"/>
              <w:ind w:firstLine="720"/>
              <w:jc w:val="both"/>
            </w:pPr>
            <w:r w:rsidRPr="0035215C">
              <w:t xml:space="preserve">1. Izdarīt Ministru kabineta  2017.gada 13.jūnija noteikumos Nr.328 “Kritēriji un kārtība, kādā novērtē atkritumu dalītās savākšanas pakalpojuma pieejamību iedzīvotājiem” (Latvijas Vēstnesis, </w:t>
            </w:r>
            <w:r w:rsidRPr="0035215C">
              <w:rPr>
                <w:shd w:val="clear" w:color="auto" w:fill="FFFFFF"/>
              </w:rPr>
              <w:t xml:space="preserve">2017, 119. nr.) šādu </w:t>
            </w:r>
            <w:r w:rsidRPr="0035215C">
              <w:t>grozījumu un 2.punktā aizstāt vārdus “republikas pilsētās” ar vārdu “</w:t>
            </w:r>
            <w:proofErr w:type="spellStart"/>
            <w:r w:rsidRPr="0035215C">
              <w:t>valstspilsētās</w:t>
            </w:r>
            <w:proofErr w:type="spellEnd"/>
            <w:r w:rsidRPr="0035215C">
              <w:t>”.</w:t>
            </w:r>
          </w:p>
          <w:p w14:paraId="25EC3350" w14:textId="77777777" w:rsidR="00996EC5" w:rsidRPr="00513634" w:rsidRDefault="00996EC5" w:rsidP="00123AAD">
            <w:pPr>
              <w:pStyle w:val="naisc"/>
              <w:spacing w:before="0" w:after="0"/>
              <w:ind w:firstLine="12"/>
              <w:jc w:val="both"/>
              <w:rPr>
                <w:b/>
              </w:rPr>
            </w:pPr>
          </w:p>
        </w:tc>
        <w:tc>
          <w:tcPr>
            <w:tcW w:w="4111" w:type="dxa"/>
            <w:tcBorders>
              <w:top w:val="single" w:sz="6" w:space="0" w:color="000000"/>
              <w:left w:val="single" w:sz="6" w:space="0" w:color="000000"/>
              <w:bottom w:val="single" w:sz="6" w:space="0" w:color="000000"/>
              <w:right w:val="single" w:sz="6" w:space="0" w:color="000000"/>
            </w:tcBorders>
          </w:tcPr>
          <w:p w14:paraId="23B2EED8" w14:textId="77777777" w:rsidR="00996EC5" w:rsidRDefault="00BF525A" w:rsidP="00123AAD">
            <w:pPr>
              <w:pStyle w:val="naisc"/>
              <w:spacing w:before="0" w:after="0"/>
              <w:ind w:right="3"/>
              <w:jc w:val="both"/>
              <w:rPr>
                <w:b/>
              </w:rPr>
            </w:pPr>
            <w:r>
              <w:rPr>
                <w:b/>
              </w:rPr>
              <w:t xml:space="preserve">Tieslietu ministrija: </w:t>
            </w:r>
          </w:p>
          <w:p w14:paraId="717938A9" w14:textId="4A779415" w:rsidR="00BF525A" w:rsidRPr="00942432" w:rsidRDefault="00BF525A" w:rsidP="00123AAD">
            <w:pPr>
              <w:pStyle w:val="naisc"/>
              <w:spacing w:before="0" w:after="0"/>
              <w:ind w:right="3"/>
              <w:jc w:val="both"/>
              <w:rPr>
                <w:b/>
              </w:rPr>
            </w:pPr>
            <w:r>
              <w:t xml:space="preserve">Projekta 1. punkts paredz </w:t>
            </w:r>
            <w:r w:rsidRPr="00A07D4F">
              <w:t>Ministru kabineta  2017.</w:t>
            </w:r>
            <w:r>
              <w:t> </w:t>
            </w:r>
            <w:r w:rsidRPr="00A07D4F">
              <w:t>gada 13.</w:t>
            </w:r>
            <w:r>
              <w:t> jūnija noteikumu</w:t>
            </w:r>
            <w:r w:rsidRPr="00A07D4F">
              <w:t xml:space="preserve"> Nr.</w:t>
            </w:r>
            <w:r>
              <w:t> </w:t>
            </w:r>
            <w:r w:rsidRPr="00A07D4F">
              <w:t>328 “Kritēriji un kārtība, kādā novērtē atkritumu dalītās savākšanas pakal</w:t>
            </w:r>
            <w:r>
              <w:t>pojuma pieejamību iedzīvotājiem" (turpmāk – Noteikumi) 2. punktā aizstāt vārdus "republikas pilsētas" ar vārdu "</w:t>
            </w:r>
            <w:proofErr w:type="spellStart"/>
            <w:r>
              <w:t>valstspilsētas</w:t>
            </w:r>
            <w:proofErr w:type="spellEnd"/>
            <w:r>
              <w:t xml:space="preserve">". Noteikumu 2. punkts paredz kritērijus </w:t>
            </w:r>
            <w:r w:rsidRPr="00A07D4F">
              <w:t>dalītās atkritumu savākšanas pakalpojuma novērtējumam republikas pilsētās</w:t>
            </w:r>
            <w:r>
              <w:t xml:space="preserve">, savukārt Noteikumu 3. punkts paredz kritērijus </w:t>
            </w:r>
            <w:r w:rsidRPr="00A07D4F">
              <w:t>dalītās atkritumu savākšanas pakalpojuma novērtējumam novados</w:t>
            </w:r>
            <w:r>
              <w:t xml:space="preserve">. Saskaņā ar Administratīvo teritoriju un apdzīvoto vietu likuma, kas bija spēkā līdz 2020. gada 23. jūnijam, 1. pielikumu Latvijā bija deviņas republikas pilsētas. Savukārt saskaņā ar </w:t>
            </w:r>
            <w:r>
              <w:lastRenderedPageBreak/>
              <w:t xml:space="preserve">Administratīvo teritoriju un apdzīvoto vietu likuma pielikumu Latvijā būs desmit </w:t>
            </w:r>
            <w:proofErr w:type="spellStart"/>
            <w:r>
              <w:t>valstspilsētas</w:t>
            </w:r>
            <w:proofErr w:type="spellEnd"/>
            <w:r>
              <w:t xml:space="preserve">, no kurām trīs būs novadu sastāvā. Lūdzam projekta sākotnējās ietekmes novērtējuma ziņojumā (anotācijā) skaidrot, kā Noteikumu 2. un 3. punkts tiks piemērots attiecībā uz tām </w:t>
            </w:r>
            <w:proofErr w:type="spellStart"/>
            <w:r>
              <w:t>valstspilsētām</w:t>
            </w:r>
            <w:proofErr w:type="spellEnd"/>
            <w:r>
              <w:t>, kas būs novadu sastāvā.</w:t>
            </w:r>
          </w:p>
        </w:tc>
        <w:tc>
          <w:tcPr>
            <w:tcW w:w="2693" w:type="dxa"/>
            <w:tcBorders>
              <w:top w:val="single" w:sz="6" w:space="0" w:color="000000"/>
              <w:left w:val="single" w:sz="6" w:space="0" w:color="000000"/>
              <w:bottom w:val="single" w:sz="6" w:space="0" w:color="000000"/>
              <w:right w:val="single" w:sz="6" w:space="0" w:color="000000"/>
            </w:tcBorders>
          </w:tcPr>
          <w:p w14:paraId="527F98DD" w14:textId="2B54E6D3" w:rsidR="00996EC5" w:rsidRPr="000B51DA" w:rsidRDefault="0035215C" w:rsidP="00123AAD">
            <w:pPr>
              <w:pStyle w:val="naisc"/>
              <w:spacing w:before="0" w:after="0"/>
              <w:ind w:firstLine="21"/>
              <w:jc w:val="both"/>
              <w:rPr>
                <w:b/>
              </w:rPr>
            </w:pPr>
            <w:r>
              <w:rPr>
                <w:b/>
              </w:rPr>
              <w:lastRenderedPageBreak/>
              <w:t xml:space="preserve">Iebildums ir ņemts vērā. </w:t>
            </w:r>
          </w:p>
        </w:tc>
        <w:tc>
          <w:tcPr>
            <w:tcW w:w="4936" w:type="dxa"/>
            <w:tcBorders>
              <w:top w:val="single" w:sz="4" w:space="0" w:color="auto"/>
              <w:left w:val="single" w:sz="4" w:space="0" w:color="auto"/>
              <w:bottom w:val="single" w:sz="4" w:space="0" w:color="auto"/>
            </w:tcBorders>
          </w:tcPr>
          <w:p w14:paraId="6BC6A15A" w14:textId="6AA112B0" w:rsidR="00CD3134" w:rsidRPr="00CD3134" w:rsidRDefault="00CD3134" w:rsidP="00CD3134">
            <w:pPr>
              <w:spacing w:after="120"/>
              <w:jc w:val="both"/>
            </w:pPr>
            <w:r w:rsidRPr="00CD3134">
              <w:t>1. Aizstāt 2.punktā aizstāt vārdus “republikas pilsētās” ar vārdu “</w:t>
            </w:r>
            <w:proofErr w:type="spellStart"/>
            <w:r w:rsidRPr="00CD3134">
              <w:t>valstspilsētās</w:t>
            </w:r>
            <w:proofErr w:type="spellEnd"/>
            <w:r w:rsidRPr="00CD3134">
              <w:t>”.</w:t>
            </w:r>
          </w:p>
          <w:p w14:paraId="3E28D88E" w14:textId="77777777" w:rsidR="00CD3134" w:rsidRPr="00CD3134" w:rsidRDefault="00CD3134" w:rsidP="00CD3134">
            <w:pPr>
              <w:spacing w:after="120"/>
              <w:ind w:firstLine="720"/>
              <w:jc w:val="both"/>
            </w:pPr>
            <w:r w:rsidRPr="00CD3134">
              <w:t>2. Papildināt noteikumus ar 2.</w:t>
            </w:r>
            <w:r w:rsidRPr="00CD3134">
              <w:rPr>
                <w:vertAlign w:val="superscript"/>
              </w:rPr>
              <w:t>1</w:t>
            </w:r>
            <w:r w:rsidRPr="00CD3134">
              <w:t>punktu šādā redakcijā:</w:t>
            </w:r>
          </w:p>
          <w:p w14:paraId="400897ED" w14:textId="6E91A81F" w:rsidR="00CD3134" w:rsidRPr="00CD3134" w:rsidRDefault="00CD3134" w:rsidP="00CD3134">
            <w:pPr>
              <w:spacing w:after="120"/>
              <w:ind w:firstLine="720"/>
              <w:jc w:val="both"/>
            </w:pPr>
            <w:r w:rsidRPr="00CD3134">
              <w:t>“</w:t>
            </w:r>
            <w:r>
              <w:t>2</w:t>
            </w:r>
            <w:r w:rsidRPr="00CD3134">
              <w:t>.</w:t>
            </w:r>
            <w:r w:rsidRPr="00CD3134">
              <w:rPr>
                <w:vertAlign w:val="superscript"/>
              </w:rPr>
              <w:t>1</w:t>
            </w:r>
            <w:r w:rsidRPr="00CD3134">
              <w:t xml:space="preserve"> Jēkabpils, Ogres un Valmieras </w:t>
            </w:r>
            <w:proofErr w:type="spellStart"/>
            <w:r w:rsidRPr="00CD3134">
              <w:t>valstspilsētas</w:t>
            </w:r>
            <w:proofErr w:type="spellEnd"/>
            <w:r w:rsidRPr="00CD3134">
              <w:t xml:space="preserve"> nodrošina atkritumu dalītās savākšanas pakalpojuma pieejamību iedzīvotājiem atbilstoši šo noteikumu 2.punktā noteiktajiem kritērijiem.”</w:t>
            </w:r>
          </w:p>
          <w:p w14:paraId="24B93EDC" w14:textId="77777777" w:rsidR="00CD3134" w:rsidRPr="00CD3134" w:rsidRDefault="00CD3134" w:rsidP="00CD3134">
            <w:pPr>
              <w:spacing w:after="120"/>
              <w:ind w:firstLine="720"/>
              <w:jc w:val="both"/>
            </w:pPr>
            <w:r w:rsidRPr="00CD3134">
              <w:t>3. Papildināt noteikumus ar 3.</w:t>
            </w:r>
            <w:r w:rsidRPr="00CD3134">
              <w:rPr>
                <w:vertAlign w:val="superscript"/>
              </w:rPr>
              <w:t>1</w:t>
            </w:r>
            <w:r w:rsidRPr="00CD3134">
              <w:t xml:space="preserve"> punktu šādā redakcijā:</w:t>
            </w:r>
          </w:p>
          <w:p w14:paraId="71AD36A4" w14:textId="77777777" w:rsidR="00CD3134" w:rsidRPr="00CD3134" w:rsidRDefault="00CD3134" w:rsidP="00CD3134">
            <w:pPr>
              <w:spacing w:after="120"/>
              <w:ind w:firstLine="720"/>
              <w:jc w:val="both"/>
            </w:pPr>
            <w:r w:rsidRPr="00CD3134">
              <w:t>“3.</w:t>
            </w:r>
            <w:r w:rsidRPr="00CD3134">
              <w:rPr>
                <w:vertAlign w:val="superscript"/>
              </w:rPr>
              <w:t>1</w:t>
            </w:r>
            <w:r w:rsidRPr="00CD3134">
              <w:t xml:space="preserve"> Jēkabpils, Ogres un Valmieras novadu pilsētās un pagastos, izņemot Jēkabpils, Ogres un Valmieras </w:t>
            </w:r>
            <w:proofErr w:type="spellStart"/>
            <w:r w:rsidRPr="00CD3134">
              <w:t>valstspilsētas</w:t>
            </w:r>
            <w:proofErr w:type="spellEnd"/>
            <w:r w:rsidRPr="00CD3134">
              <w:t>, nodrošina atkritumu dalītās savākšanas pakalpojuma pieejamību iedzīvotājiem atbilstoši šo noteikumu 3.punktā noteiktajiem kritērijiem.”</w:t>
            </w:r>
          </w:p>
          <w:p w14:paraId="4392AB23" w14:textId="77777777" w:rsidR="00CD3134" w:rsidRDefault="00CD3134" w:rsidP="00CD3134">
            <w:pPr>
              <w:rPr>
                <w:b/>
              </w:rPr>
            </w:pPr>
          </w:p>
          <w:p w14:paraId="1ABA46F9" w14:textId="3858D93C" w:rsidR="00996EC5" w:rsidRDefault="0035215C" w:rsidP="00CD3134">
            <w:pPr>
              <w:rPr>
                <w:b/>
              </w:rPr>
            </w:pPr>
            <w:r>
              <w:rPr>
                <w:b/>
              </w:rPr>
              <w:lastRenderedPageBreak/>
              <w:t>Noteikumu projekta anotācijas I sadaļas 2.punkts ir papildināts šādā redakcijā:</w:t>
            </w:r>
          </w:p>
          <w:p w14:paraId="3F4B59AD" w14:textId="7996B855" w:rsidR="00123AAD" w:rsidRPr="006E152E" w:rsidRDefault="00123AAD" w:rsidP="00CD3134">
            <w:pPr>
              <w:pStyle w:val="tvhtml"/>
              <w:spacing w:before="0" w:beforeAutospacing="0" w:after="0" w:afterAutospacing="0"/>
              <w:jc w:val="both"/>
            </w:pPr>
            <w:r w:rsidRPr="006E152E">
              <w:t xml:space="preserve">Saskaņā ar Administratīvo teritoriju un apdzīvoto vietu likuma, kas bija spēkā līdz 2020. gada 23. jūnijam, 1. pielikumu Latvijā bija deviņas republikas pilsētas – Daugavpils,  Jēkabpils,  Jelgava, Jūrmala, Liepāja,  Rēzekne, Rīga, Valmiera. Ventspils. </w:t>
            </w:r>
          </w:p>
          <w:p w14:paraId="73ACFE8A" w14:textId="262AA0C6" w:rsidR="00123AAD" w:rsidRPr="006E152E" w:rsidRDefault="00123AAD" w:rsidP="00CD3134">
            <w:pPr>
              <w:jc w:val="both"/>
            </w:pPr>
            <w:r w:rsidRPr="006E152E">
              <w:t xml:space="preserve">Savukārt saskaņā ar Administratīvo teritoriju un apdzīvoto vietu likuma pielikumu Latvijā būs desmit </w:t>
            </w:r>
            <w:proofErr w:type="spellStart"/>
            <w:r w:rsidRPr="006E152E">
              <w:t>valstspilsētas</w:t>
            </w:r>
            <w:proofErr w:type="spellEnd"/>
            <w:r w:rsidRPr="006E152E">
              <w:t>, no kurām trīs būs novadu sastāvā: Daugavpils,</w:t>
            </w:r>
            <w:r>
              <w:t xml:space="preserve"> </w:t>
            </w:r>
            <w:r w:rsidRPr="006E152E">
              <w:t xml:space="preserve">Jelgava, Jēkabpils (iekļauta Jēkabpils novadā), Jūrmala, Liepāja, Ogre (iekļauta Ogres novadā), Rēzekne, Rīga, Valmiera (iekļauta Valmieras novadā), Ventspils. </w:t>
            </w:r>
          </w:p>
          <w:p w14:paraId="28268E4D" w14:textId="77777777" w:rsidR="00123AAD" w:rsidRDefault="00123AAD" w:rsidP="00CD3134">
            <w:pPr>
              <w:jc w:val="both"/>
            </w:pPr>
            <w:r w:rsidRPr="006E152E">
              <w:t xml:space="preserve">Noteikumu projektā ietvertais regulējums paredz, ka Ogres </w:t>
            </w:r>
            <w:proofErr w:type="spellStart"/>
            <w:r w:rsidRPr="006E152E">
              <w:t>valstspilsētai</w:t>
            </w:r>
            <w:proofErr w:type="spellEnd"/>
            <w:r w:rsidRPr="006E152E">
              <w:t xml:space="preserve"> ir jānodrošina Noteikumu 2.1.apakšpunktā </w:t>
            </w:r>
            <w:r w:rsidRPr="006E152E">
              <w:rPr>
                <w:rStyle w:val="FootnoteReference"/>
                <w:vertAlign w:val="superscript"/>
              </w:rPr>
              <w:footnoteReference w:id="1"/>
            </w:r>
            <w:r w:rsidRPr="006E152E">
              <w:rPr>
                <w:vertAlign w:val="superscript"/>
              </w:rPr>
              <w:t xml:space="preserve"> </w:t>
            </w:r>
            <w:r w:rsidRPr="006E152E">
              <w:t>un 2.2.1.apakšpunktā</w:t>
            </w:r>
            <w:r w:rsidRPr="006E152E">
              <w:rPr>
                <w:rStyle w:val="FootnoteReference"/>
                <w:vertAlign w:val="superscript"/>
              </w:rPr>
              <w:footnoteReference w:id="2"/>
            </w:r>
            <w:r w:rsidRPr="006E152E">
              <w:rPr>
                <w:vertAlign w:val="superscript"/>
              </w:rPr>
              <w:t xml:space="preserve"> </w:t>
            </w:r>
            <w:r w:rsidRPr="006E152E">
              <w:t xml:space="preserve">noteikto kritēriju izpilde. VARAM 2020.gadā </w:t>
            </w:r>
            <w:proofErr w:type="spellStart"/>
            <w:r w:rsidRPr="006E152E">
              <w:t>veicaLatvijas</w:t>
            </w:r>
            <w:proofErr w:type="spellEnd"/>
            <w:r w:rsidRPr="006E152E">
              <w:t xml:space="preserve"> pašvaldību aptauju par atkritumu apsaimniekošanas jautājumiem, tajā skaitā par Noteikumos noteikto kritēriju izpildi. Minētās aptaujas ietvaros Ogres novada pašvaldība </w:t>
            </w:r>
            <w:r w:rsidRPr="006E152E">
              <w:lastRenderedPageBreak/>
              <w:t xml:space="preserve">sniedza informāciju, ka Ogres pilsētā 2020.gadā dzīvo 24819 iedzīvotāji (Ogres novadā kopā 35305), ir izveidoti 97 atkritumu dalītās savākšanas punkti (1 punkts uz 364 iedzīvotājiem), kā arī 2 šķiroto atkritumu savākšanas laukumi. Tādejādi Ogres </w:t>
            </w:r>
            <w:proofErr w:type="spellStart"/>
            <w:r w:rsidRPr="006E152E">
              <w:t>valstspilsētā</w:t>
            </w:r>
            <w:proofErr w:type="spellEnd"/>
            <w:r w:rsidRPr="006E152E">
              <w:t xml:space="preserve"> izveidotā sadzīves atkritumu apsaimniekošanas sistēma atbilst Noteikumu prasībām attiecībā uz kritērijiem dalītās atkritumu savākšanas pakalpojuma novērtējumam republikas pilsētās vai </w:t>
            </w:r>
            <w:proofErr w:type="spellStart"/>
            <w:r w:rsidRPr="006E152E">
              <w:t>valstspilsētās</w:t>
            </w:r>
            <w:proofErr w:type="spellEnd"/>
            <w:r w:rsidRPr="006E152E">
              <w:t>, ņemot vērā noteikumu projektā noteikto.</w:t>
            </w:r>
          </w:p>
          <w:p w14:paraId="04183EAA" w14:textId="6A2DF95C" w:rsidR="00CD3134" w:rsidRPr="000B51DA" w:rsidRDefault="00CD3134" w:rsidP="00CD3134">
            <w:pPr>
              <w:rPr>
                <w:b/>
              </w:rPr>
            </w:pPr>
            <w:r w:rsidRPr="0026390A">
              <w:rPr>
                <w:color w:val="000000"/>
              </w:rPr>
              <w:t xml:space="preserve">Noteikumu projekts paredz, ka uz Jēkabpils, Ogres un Valmieras novadiem bez iedzīvotāju skaita Jēkabpils, Ogres un Valmieras </w:t>
            </w:r>
            <w:proofErr w:type="spellStart"/>
            <w:r w:rsidRPr="0026390A">
              <w:rPr>
                <w:color w:val="000000"/>
              </w:rPr>
              <w:t>valstspilsētās</w:t>
            </w:r>
            <w:proofErr w:type="spellEnd"/>
            <w:r w:rsidRPr="0026390A">
              <w:rPr>
                <w:color w:val="000000"/>
              </w:rPr>
              <w:t xml:space="preserve"> attiecina Noteikumu 3.punktu.</w:t>
            </w:r>
          </w:p>
        </w:tc>
      </w:tr>
    </w:tbl>
    <w:p w14:paraId="771C7AEE" w14:textId="604180AF" w:rsidR="002A4951" w:rsidRDefault="0091347B"/>
    <w:p w14:paraId="67335D8B" w14:textId="77777777" w:rsidR="00123AAD" w:rsidRDefault="00123AAD" w:rsidP="00123AAD">
      <w:pPr>
        <w:pStyle w:val="naisf"/>
        <w:spacing w:before="0" w:after="0"/>
        <w:ind w:firstLine="0"/>
        <w:outlineLvl w:val="0"/>
        <w:rPr>
          <w:sz w:val="22"/>
          <w:szCs w:val="22"/>
        </w:rPr>
      </w:pPr>
      <w:r>
        <w:rPr>
          <w:sz w:val="22"/>
          <w:szCs w:val="22"/>
        </w:rPr>
        <w:t>Atbildīgā amatpersona:</w:t>
      </w:r>
    </w:p>
    <w:p w14:paraId="35952098" w14:textId="3D364CF6" w:rsidR="00123AAD" w:rsidRPr="004A1F8A" w:rsidRDefault="00123AAD" w:rsidP="00123AAD">
      <w:pPr>
        <w:pStyle w:val="naisf"/>
        <w:spacing w:before="0" w:after="0"/>
        <w:ind w:firstLine="0"/>
        <w:outlineLvl w:val="0"/>
        <w:rPr>
          <w:sz w:val="22"/>
          <w:szCs w:val="22"/>
        </w:rPr>
      </w:pPr>
      <w:r>
        <w:rPr>
          <w:sz w:val="22"/>
          <w:szCs w:val="22"/>
        </w:rPr>
        <w:t xml:space="preserve">  </w:t>
      </w:r>
      <w:r w:rsidRPr="004A1F8A">
        <w:rPr>
          <w:sz w:val="22"/>
          <w:szCs w:val="22"/>
        </w:rPr>
        <w:t xml:space="preserve">Ilze Doniņa, </w:t>
      </w:r>
    </w:p>
    <w:tbl>
      <w:tblPr>
        <w:tblW w:w="0" w:type="auto"/>
        <w:tblLook w:val="00A0" w:firstRow="1" w:lastRow="0" w:firstColumn="1" w:lastColumn="0" w:noHBand="0" w:noVBand="0"/>
      </w:tblPr>
      <w:tblGrid>
        <w:gridCol w:w="8268"/>
      </w:tblGrid>
      <w:tr w:rsidR="00123AAD" w:rsidRPr="004A1F8A" w14:paraId="567217B2" w14:textId="77777777" w:rsidTr="00FA5FA5">
        <w:tc>
          <w:tcPr>
            <w:tcW w:w="8268" w:type="dxa"/>
          </w:tcPr>
          <w:p w14:paraId="35104687" w14:textId="77777777" w:rsidR="00123AAD" w:rsidRPr="004A1F8A" w:rsidRDefault="00123AAD" w:rsidP="00FA5FA5">
            <w:pPr>
              <w:jc w:val="both"/>
              <w:rPr>
                <w:sz w:val="22"/>
                <w:szCs w:val="22"/>
              </w:rPr>
            </w:pPr>
            <w:r w:rsidRPr="004A1F8A">
              <w:rPr>
                <w:sz w:val="22"/>
                <w:szCs w:val="22"/>
              </w:rPr>
              <w:t>Vides aizsardzības un reģionālās attīstības ministrijas</w:t>
            </w:r>
          </w:p>
          <w:p w14:paraId="4C6E84AE" w14:textId="77777777" w:rsidR="00123AAD" w:rsidRPr="004A1F8A" w:rsidRDefault="00123AAD" w:rsidP="00FA5FA5">
            <w:pPr>
              <w:jc w:val="both"/>
              <w:rPr>
                <w:sz w:val="22"/>
                <w:szCs w:val="22"/>
              </w:rPr>
            </w:pPr>
            <w:r w:rsidRPr="004A1F8A">
              <w:rPr>
                <w:sz w:val="22"/>
                <w:szCs w:val="22"/>
              </w:rPr>
              <w:t>Vides aizsardzības departamenta</w:t>
            </w:r>
          </w:p>
          <w:p w14:paraId="46E4E6AB" w14:textId="77777777" w:rsidR="00123AAD" w:rsidRPr="004A1F8A" w:rsidRDefault="00123AAD" w:rsidP="00FA5FA5">
            <w:pPr>
              <w:jc w:val="both"/>
              <w:rPr>
                <w:sz w:val="22"/>
                <w:szCs w:val="22"/>
              </w:rPr>
            </w:pPr>
            <w:r w:rsidRPr="004A1F8A">
              <w:rPr>
                <w:sz w:val="22"/>
                <w:szCs w:val="22"/>
              </w:rPr>
              <w:t>Vides kvalitātes un atkritumu apsaimniekošanas nodaļas vecākā eksperte</w:t>
            </w:r>
          </w:p>
        </w:tc>
      </w:tr>
      <w:tr w:rsidR="00123AAD" w:rsidRPr="004A1F8A" w14:paraId="198A4810" w14:textId="77777777" w:rsidTr="00FA5FA5">
        <w:tc>
          <w:tcPr>
            <w:tcW w:w="8268" w:type="dxa"/>
          </w:tcPr>
          <w:p w14:paraId="7203DEE1" w14:textId="77777777" w:rsidR="00123AAD" w:rsidRPr="004A1F8A" w:rsidRDefault="00123AAD" w:rsidP="00FA5FA5">
            <w:pPr>
              <w:jc w:val="both"/>
              <w:rPr>
                <w:sz w:val="22"/>
                <w:szCs w:val="22"/>
              </w:rPr>
            </w:pPr>
            <w:proofErr w:type="spellStart"/>
            <w:r w:rsidRPr="004A1F8A">
              <w:rPr>
                <w:sz w:val="22"/>
                <w:szCs w:val="22"/>
              </w:rPr>
              <w:t>Tālr</w:t>
            </w:r>
            <w:proofErr w:type="spellEnd"/>
            <w:r w:rsidRPr="004A1F8A">
              <w:rPr>
                <w:sz w:val="22"/>
                <w:szCs w:val="22"/>
              </w:rPr>
              <w:t>: 67026515</w:t>
            </w:r>
          </w:p>
        </w:tc>
      </w:tr>
      <w:tr w:rsidR="00123AAD" w:rsidRPr="004A1F8A" w14:paraId="0E5453E6" w14:textId="77777777" w:rsidTr="00FA5FA5">
        <w:tc>
          <w:tcPr>
            <w:tcW w:w="8268" w:type="dxa"/>
          </w:tcPr>
          <w:p w14:paraId="68FB5E0F" w14:textId="77777777" w:rsidR="00123AAD" w:rsidRPr="004A1F8A" w:rsidRDefault="0091347B" w:rsidP="00FA5FA5">
            <w:pPr>
              <w:jc w:val="both"/>
              <w:rPr>
                <w:sz w:val="22"/>
                <w:szCs w:val="22"/>
              </w:rPr>
            </w:pPr>
            <w:hyperlink r:id="rId6" w:history="1">
              <w:r w:rsidR="00123AAD" w:rsidRPr="004A1F8A">
                <w:rPr>
                  <w:rStyle w:val="Hyperlink"/>
                  <w:rFonts w:eastAsia="Calibri"/>
                  <w:sz w:val="22"/>
                  <w:szCs w:val="22"/>
                </w:rPr>
                <w:t>ilze.donina@varam.gov.lv</w:t>
              </w:r>
            </w:hyperlink>
          </w:p>
        </w:tc>
      </w:tr>
    </w:tbl>
    <w:p w14:paraId="4BF29D9B" w14:textId="77777777" w:rsidR="00123AAD" w:rsidRDefault="00123AAD"/>
    <w:sectPr w:rsidR="00123AAD" w:rsidSect="00185AF5">
      <w:headerReference w:type="default" r:id="rId7"/>
      <w:footerReference w:type="default" r:id="rId8"/>
      <w:footerReference w:type="first" r:id="rId9"/>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07C8" w14:textId="77777777" w:rsidR="0039278E" w:rsidRDefault="0039278E" w:rsidP="00123AAD">
      <w:r>
        <w:separator/>
      </w:r>
    </w:p>
  </w:endnote>
  <w:endnote w:type="continuationSeparator" w:id="0">
    <w:p w14:paraId="6C9F6FF1" w14:textId="77777777" w:rsidR="0039278E" w:rsidRDefault="0039278E" w:rsidP="0012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B5FA" w14:textId="662E5BDC" w:rsidR="00185AF5" w:rsidRDefault="00185AF5">
    <w:pPr>
      <w:pStyle w:val="Footer"/>
    </w:pPr>
    <w:r>
      <w:t>VARAMIzz_3</w:t>
    </w:r>
    <w:r w:rsidR="00CD3134">
      <w:t>004</w:t>
    </w:r>
    <w:r>
      <w:t>21_groz328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FE701" w14:textId="4FCEF212" w:rsidR="00CD3134" w:rsidRDefault="0091347B">
    <w:pPr>
      <w:pStyle w:val="Footer"/>
    </w:pPr>
    <w:r>
      <w:t>VARAMIzz_300421_groz328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84D4" w14:textId="77777777" w:rsidR="0039278E" w:rsidRDefault="0039278E" w:rsidP="00123AAD">
      <w:r>
        <w:separator/>
      </w:r>
    </w:p>
  </w:footnote>
  <w:footnote w:type="continuationSeparator" w:id="0">
    <w:p w14:paraId="02171F44" w14:textId="77777777" w:rsidR="0039278E" w:rsidRDefault="0039278E" w:rsidP="00123AAD">
      <w:r>
        <w:continuationSeparator/>
      </w:r>
    </w:p>
  </w:footnote>
  <w:footnote w:id="1">
    <w:p w14:paraId="7E50495A" w14:textId="77777777" w:rsidR="00123AAD" w:rsidRPr="00A36960" w:rsidRDefault="00123AAD" w:rsidP="00123AAD">
      <w:pPr>
        <w:pStyle w:val="tv213"/>
        <w:spacing w:before="0" w:beforeAutospacing="0" w:after="0" w:afterAutospacing="0"/>
        <w:jc w:val="both"/>
        <w:rPr>
          <w:sz w:val="20"/>
          <w:szCs w:val="20"/>
        </w:rPr>
      </w:pPr>
      <w:r w:rsidRPr="00A36960">
        <w:rPr>
          <w:rStyle w:val="FootnoteReference"/>
          <w:sz w:val="20"/>
          <w:szCs w:val="20"/>
        </w:rPr>
        <w:footnoteRef/>
      </w:r>
      <w:r w:rsidRPr="00A36960">
        <w:rPr>
          <w:sz w:val="20"/>
          <w:szCs w:val="20"/>
        </w:rPr>
        <w:t xml:space="preserve"> Noteikumu (</w:t>
      </w:r>
      <w:hyperlink r:id="rId1" w:history="1">
        <w:r w:rsidRPr="00A36960">
          <w:rPr>
            <w:rStyle w:val="Hyperlink"/>
            <w:sz w:val="20"/>
            <w:szCs w:val="20"/>
          </w:rPr>
          <w:t>https://likumi.lv/ta/id/291534</w:t>
        </w:r>
      </w:hyperlink>
      <w:r w:rsidRPr="00A36960">
        <w:rPr>
          <w:sz w:val="20"/>
          <w:szCs w:val="20"/>
        </w:rPr>
        <w:t xml:space="preserve"> ) 2.1.apakšpunkts: 2. Kritēriji dalītās atkritumu savākšanas pakalpojuma novērtējumam republikas pilsētās:</w:t>
      </w:r>
    </w:p>
    <w:p w14:paraId="691B0F28" w14:textId="77777777" w:rsidR="00123AAD" w:rsidRPr="00A36960" w:rsidRDefault="00123AAD" w:rsidP="00123AAD">
      <w:pPr>
        <w:jc w:val="both"/>
        <w:rPr>
          <w:sz w:val="20"/>
          <w:szCs w:val="20"/>
        </w:rPr>
      </w:pPr>
      <w:r w:rsidRPr="00A36960">
        <w:rPr>
          <w:sz w:val="20"/>
          <w:szCs w:val="20"/>
        </w:rPr>
        <w:t>2.1. uz katriem 700 iedzīvotājiem ierīkots vismaz viens sadzīves atkritumu dalītās savākšanas punkts, kas atbilst normatīvajos aktos par atkritumu savākšanas un šķirošanas vietām noteiktajām prasībām;</w:t>
      </w:r>
    </w:p>
    <w:p w14:paraId="4E216F56" w14:textId="77777777" w:rsidR="00123AAD" w:rsidRPr="00A36960" w:rsidRDefault="00123AAD" w:rsidP="00123AAD">
      <w:pPr>
        <w:pStyle w:val="FootnoteText"/>
        <w:jc w:val="both"/>
        <w:rPr>
          <w:rFonts w:ascii="Times New Roman" w:hAnsi="Times New Roman"/>
          <w:lang w:val="lv-LV"/>
        </w:rPr>
      </w:pPr>
    </w:p>
  </w:footnote>
  <w:footnote w:id="2">
    <w:p w14:paraId="73B90F1B" w14:textId="77777777" w:rsidR="00123AAD" w:rsidRPr="00A36960" w:rsidRDefault="00123AAD" w:rsidP="00123AAD">
      <w:pPr>
        <w:pStyle w:val="FootnoteText"/>
        <w:jc w:val="both"/>
        <w:rPr>
          <w:rFonts w:ascii="Times New Roman" w:hAnsi="Times New Roman"/>
          <w:lang w:val="lv-LV"/>
        </w:rPr>
      </w:pPr>
      <w:r w:rsidRPr="00A36960">
        <w:rPr>
          <w:rStyle w:val="FootnoteReference"/>
          <w:rFonts w:ascii="Times New Roman" w:hAnsi="Times New Roman"/>
        </w:rPr>
        <w:footnoteRef/>
      </w:r>
      <w:r w:rsidRPr="00A36960">
        <w:rPr>
          <w:rFonts w:ascii="Times New Roman" w:hAnsi="Times New Roman"/>
        </w:rPr>
        <w:t xml:space="preserve"> </w:t>
      </w:r>
      <w:r w:rsidRPr="00A36960">
        <w:rPr>
          <w:rFonts w:ascii="Times New Roman" w:hAnsi="Times New Roman"/>
          <w:lang w:val="lv-LV"/>
        </w:rPr>
        <w:t xml:space="preserve">Noteikumu 2.2.1.apakšpunkts: </w:t>
      </w:r>
      <w:r w:rsidRPr="00A36960">
        <w:rPr>
          <w:rFonts w:ascii="Times New Roman" w:hAnsi="Times New Roman"/>
        </w:rPr>
        <w:t>2.2.1. vismaz viens šķiroto atkritumu savākšanas laukums pilsētās ar iedzīvotāju skaitu līdz 50 000. Ja pilsēta tiek dalīta atkritumu apsaimniekošanas zonās, šķiroto atkritumu savākšanas laukums ierīkojams katrā atkritumu apsaimniekošanas zonā;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588883"/>
      <w:docPartObj>
        <w:docPartGallery w:val="Page Numbers (Top of Page)"/>
        <w:docPartUnique/>
      </w:docPartObj>
    </w:sdtPr>
    <w:sdtEndPr>
      <w:rPr>
        <w:noProof/>
      </w:rPr>
    </w:sdtEndPr>
    <w:sdtContent>
      <w:p w14:paraId="79B248F5" w14:textId="40E6CC35" w:rsidR="00185AF5" w:rsidRDefault="00185AF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C5F7143" w14:textId="77777777" w:rsidR="00185AF5" w:rsidRDefault="00185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C5"/>
    <w:rsid w:val="000A7533"/>
    <w:rsid w:val="00123AAD"/>
    <w:rsid w:val="00185AF5"/>
    <w:rsid w:val="001E352C"/>
    <w:rsid w:val="00246ACE"/>
    <w:rsid w:val="002800BE"/>
    <w:rsid w:val="0035215C"/>
    <w:rsid w:val="0039278E"/>
    <w:rsid w:val="0070145D"/>
    <w:rsid w:val="0091347B"/>
    <w:rsid w:val="00996EC5"/>
    <w:rsid w:val="009C6B2F"/>
    <w:rsid w:val="00A24220"/>
    <w:rsid w:val="00AF3052"/>
    <w:rsid w:val="00B2540E"/>
    <w:rsid w:val="00BF525A"/>
    <w:rsid w:val="00CD31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8B540"/>
  <w15:chartTrackingRefBased/>
  <w15:docId w15:val="{9CA1A0B9-1CB3-4EDA-BF74-A4E35181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EC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96EC5"/>
    <w:pPr>
      <w:spacing w:before="100" w:beforeAutospacing="1" w:after="100" w:afterAutospacing="1"/>
    </w:pPr>
  </w:style>
  <w:style w:type="paragraph" w:customStyle="1" w:styleId="naisf">
    <w:name w:val="naisf"/>
    <w:basedOn w:val="Normal"/>
    <w:rsid w:val="00996EC5"/>
    <w:pPr>
      <w:spacing w:before="75" w:after="75"/>
      <w:ind w:firstLine="375"/>
      <w:jc w:val="both"/>
    </w:pPr>
  </w:style>
  <w:style w:type="paragraph" w:customStyle="1" w:styleId="naiskr">
    <w:name w:val="naiskr"/>
    <w:basedOn w:val="Normal"/>
    <w:rsid w:val="00996EC5"/>
    <w:pPr>
      <w:spacing w:before="75" w:after="75"/>
    </w:pPr>
  </w:style>
  <w:style w:type="paragraph" w:customStyle="1" w:styleId="naisc">
    <w:name w:val="naisc"/>
    <w:basedOn w:val="Normal"/>
    <w:rsid w:val="00996EC5"/>
    <w:pPr>
      <w:spacing w:before="75" w:after="75"/>
      <w:jc w:val="center"/>
    </w:pPr>
  </w:style>
  <w:style w:type="character" w:styleId="Hyperlink">
    <w:name w:val="Hyperlink"/>
    <w:uiPriority w:val="99"/>
    <w:unhideWhenUsed/>
    <w:rsid w:val="00123AAD"/>
    <w:rPr>
      <w:color w:val="0000FF"/>
      <w:u w:val="single"/>
    </w:rPr>
  </w:style>
  <w:style w:type="paragraph" w:customStyle="1" w:styleId="tvhtml">
    <w:name w:val="tv_html"/>
    <w:basedOn w:val="Normal"/>
    <w:rsid w:val="00123AAD"/>
    <w:pPr>
      <w:spacing w:before="100" w:beforeAutospacing="1" w:after="100" w:afterAutospacing="1"/>
    </w:pPr>
  </w:style>
  <w:style w:type="character" w:styleId="FootnoteReference">
    <w:name w:val="footnote reference"/>
    <w:aliases w:val="Footnote Reference Number,Footnotes refss,Footnote symbol"/>
    <w:basedOn w:val="DefaultParagraphFont"/>
    <w:uiPriority w:val="99"/>
    <w:unhideWhenUsed/>
    <w:rsid w:val="00123AAD"/>
  </w:style>
  <w:style w:type="paragraph" w:styleId="FootnoteText">
    <w:name w:val="footnote text"/>
    <w:basedOn w:val="Normal"/>
    <w:link w:val="FootnoteTextChar"/>
    <w:uiPriority w:val="99"/>
    <w:unhideWhenUsed/>
    <w:rsid w:val="00123AAD"/>
    <w:rPr>
      <w:rFonts w:ascii="Calibri" w:hAnsi="Calibri"/>
      <w:sz w:val="20"/>
      <w:szCs w:val="20"/>
      <w:lang w:val="x-none" w:eastAsia="x-none"/>
    </w:rPr>
  </w:style>
  <w:style w:type="character" w:customStyle="1" w:styleId="FootnoteTextChar">
    <w:name w:val="Footnote Text Char"/>
    <w:basedOn w:val="DefaultParagraphFont"/>
    <w:link w:val="FootnoteText"/>
    <w:uiPriority w:val="99"/>
    <w:rsid w:val="00123AAD"/>
    <w:rPr>
      <w:rFonts w:ascii="Calibri" w:eastAsia="Times New Roman" w:hAnsi="Calibri" w:cs="Times New Roman"/>
      <w:sz w:val="20"/>
      <w:szCs w:val="20"/>
      <w:lang w:val="x-none" w:eastAsia="x-none"/>
    </w:rPr>
  </w:style>
  <w:style w:type="paragraph" w:customStyle="1" w:styleId="tv213">
    <w:name w:val="tv213"/>
    <w:basedOn w:val="Normal"/>
    <w:rsid w:val="00123AAD"/>
    <w:pPr>
      <w:spacing w:before="100" w:beforeAutospacing="1" w:after="100" w:afterAutospacing="1"/>
    </w:pPr>
  </w:style>
  <w:style w:type="paragraph" w:styleId="Header">
    <w:name w:val="header"/>
    <w:basedOn w:val="Normal"/>
    <w:link w:val="HeaderChar"/>
    <w:uiPriority w:val="99"/>
    <w:unhideWhenUsed/>
    <w:rsid w:val="00185AF5"/>
    <w:pPr>
      <w:tabs>
        <w:tab w:val="center" w:pos="4153"/>
        <w:tab w:val="right" w:pos="8306"/>
      </w:tabs>
    </w:pPr>
  </w:style>
  <w:style w:type="character" w:customStyle="1" w:styleId="HeaderChar">
    <w:name w:val="Header Char"/>
    <w:basedOn w:val="DefaultParagraphFont"/>
    <w:link w:val="Header"/>
    <w:uiPriority w:val="99"/>
    <w:rsid w:val="00185AF5"/>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185AF5"/>
    <w:pPr>
      <w:tabs>
        <w:tab w:val="center" w:pos="4153"/>
        <w:tab w:val="right" w:pos="8306"/>
      </w:tabs>
    </w:pPr>
  </w:style>
  <w:style w:type="character" w:customStyle="1" w:styleId="FooterChar">
    <w:name w:val="Footer Char"/>
    <w:basedOn w:val="DefaultParagraphFont"/>
    <w:link w:val="Footer"/>
    <w:uiPriority w:val="99"/>
    <w:rsid w:val="00185AF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ze.donina@vara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291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3599</Words>
  <Characters>2052</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2017. gada 13. jūnija noteikumos Nr. 328 “Kritēriji un kārtība, kādā novērtē atkritumu dalītās savākšanas pakalpojuma pieejamību iedzīvotājiem”” (VSS-214)</dc:title>
  <dc:subject/>
  <dc:creator>Ilze Doniņa</dc:creator>
  <cp:keywords/>
  <dc:description>ilze.donina@varam.gov.lv, 67026515</dc:description>
  <cp:lastModifiedBy>Madara Gaile</cp:lastModifiedBy>
  <cp:revision>9</cp:revision>
  <dcterms:created xsi:type="dcterms:W3CDTF">2021-03-31T08:55:00Z</dcterms:created>
  <dcterms:modified xsi:type="dcterms:W3CDTF">2021-05-20T08:47:00Z</dcterms:modified>
  <cp:category>Izziņa</cp:category>
</cp:coreProperties>
</file>