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EDCA" w14:textId="22D6EB90" w:rsidR="00CD0B91" w:rsidRPr="00654F50" w:rsidRDefault="00CD0B91" w:rsidP="00CD0B9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Toc461483304"/>
      <w:bookmarkStart w:id="1" w:name="_Toc436402287"/>
      <w:r w:rsidRPr="00654F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9B2C42" w:rsidRPr="00654F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Apstiprināts ar</w:t>
      </w:r>
    </w:p>
    <w:p w14:paraId="46B968A0" w14:textId="6AB61E25" w:rsidR="00CD0B91" w:rsidRPr="00654F50" w:rsidRDefault="00CD0B91" w:rsidP="00CD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F50">
        <w:rPr>
          <w:rFonts w:ascii="Times New Roman" w:hAnsi="Times New Roman" w:cs="Times New Roman"/>
          <w:sz w:val="28"/>
          <w:szCs w:val="28"/>
        </w:rPr>
        <w:t>Ministru kabineta</w:t>
      </w:r>
    </w:p>
    <w:p w14:paraId="51EFA721" w14:textId="621C5E53" w:rsidR="00CD0B91" w:rsidRPr="00654F50" w:rsidRDefault="00CD0B91" w:rsidP="00CD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F50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FA1B03">
        <w:rPr>
          <w:rFonts w:ascii="Times New Roman" w:hAnsi="Times New Roman" w:cs="Times New Roman"/>
          <w:sz w:val="28"/>
          <w:szCs w:val="28"/>
        </w:rPr>
        <w:t>31.</w:t>
      </w:r>
      <w:r w:rsidRPr="00654F50">
        <w:rPr>
          <w:rFonts w:ascii="Times New Roman" w:hAnsi="Times New Roman" w:cs="Times New Roman"/>
          <w:sz w:val="28"/>
          <w:szCs w:val="28"/>
        </w:rPr>
        <w:t> </w:t>
      </w:r>
      <w:r w:rsidR="00FA1B03">
        <w:rPr>
          <w:rFonts w:ascii="Times New Roman" w:hAnsi="Times New Roman" w:cs="Times New Roman"/>
          <w:sz w:val="28"/>
          <w:szCs w:val="28"/>
        </w:rPr>
        <w:t>maija</w:t>
      </w:r>
    </w:p>
    <w:p w14:paraId="71EB7121" w14:textId="175F4ED4" w:rsidR="00CD0B91" w:rsidRPr="00654F50" w:rsidRDefault="00CD0B91" w:rsidP="00CD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F50">
        <w:rPr>
          <w:rFonts w:ascii="Times New Roman" w:hAnsi="Times New Roman" w:cs="Times New Roman"/>
          <w:sz w:val="28"/>
          <w:szCs w:val="28"/>
        </w:rPr>
        <w:t>rīkojumu Nr. </w:t>
      </w:r>
      <w:r w:rsidR="00FA1B03">
        <w:rPr>
          <w:rFonts w:ascii="Times New Roman" w:hAnsi="Times New Roman" w:cs="Times New Roman"/>
          <w:sz w:val="28"/>
          <w:szCs w:val="28"/>
        </w:rPr>
        <w:t>358</w:t>
      </w:r>
      <w:bookmarkStart w:id="2" w:name="_GoBack"/>
      <w:bookmarkEnd w:id="2"/>
      <w:r w:rsidRPr="00654F50">
        <w:rPr>
          <w:rFonts w:ascii="Times New Roman" w:hAnsi="Times New Roman" w:cs="Times New Roman"/>
          <w:sz w:val="28"/>
          <w:szCs w:val="28"/>
        </w:rPr>
        <w:t>)</w:t>
      </w:r>
    </w:p>
    <w:p w14:paraId="0B87FA32" w14:textId="5D55FC35" w:rsidR="009B2C42" w:rsidRPr="00654F50" w:rsidRDefault="009B2C42" w:rsidP="00110F89">
      <w:pPr>
        <w:spacing w:after="0" w:line="240" w:lineRule="auto"/>
        <w:jc w:val="both"/>
        <w:rPr>
          <w:rFonts w:cs="Times New Roman"/>
          <w:b/>
          <w:bCs/>
          <w:noProof/>
          <w:sz w:val="28"/>
          <w:szCs w:val="28"/>
        </w:rPr>
      </w:pPr>
    </w:p>
    <w:p w14:paraId="7117C686" w14:textId="63AA4A25" w:rsidR="00264B85" w:rsidRPr="00654F50" w:rsidRDefault="00663C7C" w:rsidP="00110F89">
      <w:pPr>
        <w:spacing w:after="0" w:line="240" w:lineRule="auto"/>
        <w:jc w:val="center"/>
        <w:rPr>
          <w:rFonts w:cs="Times New Roman"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t>Ekonomikas ministrijas resora administratīvā</w:t>
      </w:r>
      <w:r w:rsidR="00CD0B91" w:rsidRPr="00654F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/>
          <w:noProof/>
          <w:sz w:val="28"/>
          <w:szCs w:val="28"/>
        </w:rPr>
        <w:t>procesa digitālā transformācija</w:t>
      </w:r>
    </w:p>
    <w:p w14:paraId="78C8B7FA" w14:textId="77777777" w:rsidR="00D4550D" w:rsidRPr="00654F50" w:rsidRDefault="00D4550D" w:rsidP="00110F8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117C687" w14:textId="249EBD16" w:rsidR="00E952DD" w:rsidRPr="00654F50" w:rsidRDefault="00E952DD" w:rsidP="00110F89">
      <w:pPr>
        <w:spacing w:after="0" w:line="240" w:lineRule="auto"/>
        <w:jc w:val="center"/>
        <w:rPr>
          <w:rFonts w:cs="Times New Roman"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t>Projekta apraksts (kopsavilkums)</w:t>
      </w:r>
      <w:bookmarkEnd w:id="0"/>
    </w:p>
    <w:bookmarkEnd w:id="1"/>
    <w:p w14:paraId="79FE25EA" w14:textId="77777777" w:rsidR="000F5EFE" w:rsidRPr="00654F50" w:rsidRDefault="000F5EFE" w:rsidP="00CD0B91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185D39B" w14:textId="51756D13" w:rsidR="000F5EFE" w:rsidRPr="00654F50" w:rsidRDefault="000F5EFE" w:rsidP="003238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Ekonomikas ministrijas resora administratīvā procesa digitālā transformācija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300AA" w:rsidRPr="00654F50"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="008E4227" w:rsidRPr="00654F50">
        <w:rPr>
          <w:rFonts w:ascii="Times New Roman" w:hAnsi="Times New Roman" w:cs="Times New Roman"/>
          <w:bCs/>
          <w:noProof/>
          <w:sz w:val="28"/>
          <w:szCs w:val="28"/>
        </w:rPr>
        <w:t>turpmāk </w:t>
      </w:r>
      <w:r w:rsidR="001300AA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– projekts)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virsmērķis ir ieviest vienotu pieeju administratīvā procesa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digitalizācijai Ekonomikas ministrijas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resorā</w:t>
      </w:r>
      <w:r w:rsidR="009D5280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nodrošinot vairāku esošu un novecojušu informācijas sistēmu pilnveidi, aizstājot esošus manuālos reģistrus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 veikt Būvniecības valsts kontroles birojā nacionālās enerģētikas politikas uzraudzības administratīvā procesa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digitālo transformāciju, nomainot papīra dokumentos balstītos administratīvos procesus uz pilnībā digitāli organizētiem administratīv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>aj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iem procesiem.</w:t>
      </w:r>
    </w:p>
    <w:p w14:paraId="7FC376A0" w14:textId="20E64A8B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8AAC766" w14:textId="3DC68BC4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3" w:name="_Hlk63056682"/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0E4D2B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īstenošanas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rezultātā:</w:t>
      </w:r>
    </w:p>
    <w:p w14:paraId="1AB03D7E" w14:textId="45B39580" w:rsidR="000F5EFE" w:rsidRPr="00654F50" w:rsidRDefault="0053301D" w:rsidP="00110F89">
      <w:pPr>
        <w:tabs>
          <w:tab w:val="left" w:pos="1134"/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-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Ekonomikas ministrijas un tās resora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iestāžu darba vietas tiks izveidotas vienotā platformā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kur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darba procesā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tiks iegūta informācija, kas Ekonomikas ministrijai nepieciešama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izstrādājot, organizējot un koordinējot nozares politiku, kā arī īstenojot </w:t>
      </w:r>
      <w:r w:rsidR="003F2A1A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Ekonomikas ministrijas padotībā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="003F2A1A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pārraudzībā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vai </w:t>
      </w:r>
      <w:r w:rsidR="003F2A1A" w:rsidRPr="00654F50">
        <w:rPr>
          <w:rFonts w:ascii="Times New Roman" w:hAnsi="Times New Roman" w:cs="Times New Roman"/>
          <w:bCs/>
          <w:noProof/>
          <w:sz w:val="28"/>
          <w:szCs w:val="28"/>
        </w:rPr>
        <w:t>pakļautībā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="003F2A1A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esošo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valsts pārvaldes </w:t>
      </w:r>
      <w:r w:rsidR="003F2A1A" w:rsidRPr="00654F50">
        <w:rPr>
          <w:rFonts w:ascii="Times New Roman" w:hAnsi="Times New Roman" w:cs="Times New Roman"/>
          <w:bCs/>
          <w:noProof/>
          <w:sz w:val="28"/>
          <w:szCs w:val="28"/>
        </w:rPr>
        <w:t>iestāžu pārraudzību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7633CF68" w14:textId="79773F1C" w:rsidR="000F5EFE" w:rsidRPr="00654F50" w:rsidRDefault="0053301D" w:rsidP="00110F89">
      <w:pPr>
        <w:tabs>
          <w:tab w:val="left" w:pos="1134"/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-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paātrināta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saziņ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ar komersantiem,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Ekonomikas ministrijas resora iestādēm, valsts pārvaldes iestādēm;</w:t>
      </w:r>
    </w:p>
    <w:p w14:paraId="3CA8B14F" w14:textId="658DA3F3" w:rsidR="000F5EFE" w:rsidRPr="00654F50" w:rsidRDefault="0053301D" w:rsidP="00110F89">
      <w:pPr>
        <w:tabs>
          <w:tab w:val="left" w:pos="1134"/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- 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samazināts datu apstrādē un </w:t>
      </w:r>
      <w:r w:rsidR="007061F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analīzē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iesaistīto pušu administratīvais slogs, nodrošinot valsts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uzņemto starptautisko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saistību izpildi;</w:t>
      </w:r>
    </w:p>
    <w:p w14:paraId="2EA6E629" w14:textId="05D7926C" w:rsidR="000F5EFE" w:rsidRPr="00654F50" w:rsidRDefault="0053301D" w:rsidP="00110F89">
      <w:pPr>
        <w:tabs>
          <w:tab w:val="left" w:pos="1134"/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- 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samazināts </w:t>
      </w:r>
      <w:r w:rsidR="009C0C8A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Būvniecības valsts kontroles biroja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pārbaužu administrēšanai patērētais laiks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bookmarkEnd w:id="3"/>
    <w:p w14:paraId="53D89127" w14:textId="092DEF06" w:rsidR="000F5EFE" w:rsidRPr="00654F50" w:rsidRDefault="0053301D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Tādējādi projekta īstenošanas rezultātā tiks mazināta </w:t>
      </w:r>
      <w:r w:rsidR="0041415E" w:rsidRPr="00654F50">
        <w:rPr>
          <w:rFonts w:ascii="Times New Roman" w:hAnsi="Times New Roman" w:cs="Times New Roman"/>
          <w:bCs/>
          <w:noProof/>
          <w:sz w:val="28"/>
          <w:szCs w:val="28"/>
        </w:rPr>
        <w:t>Covid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-19 radīto seku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ietekme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uz tautsaimniecību kopumā un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veicināta uzņēmēju spēja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operatīvāk pielāgoties jauniem tirgus izaicinājumiem. Projekta ietvaros ir plānots </w:t>
      </w:r>
      <w:r w:rsidR="00597DA4" w:rsidRPr="00654F50">
        <w:t xml:space="preserve"> </w:t>
      </w:r>
      <w:r w:rsidR="00597DA4" w:rsidRPr="00654F50">
        <w:rPr>
          <w:rFonts w:ascii="Times New Roman" w:hAnsi="Times New Roman" w:cs="Times New Roman"/>
          <w:bCs/>
          <w:noProof/>
          <w:sz w:val="28"/>
          <w:szCs w:val="28"/>
        </w:rPr>
        <w:t>atkārtoti</w:t>
      </w:r>
      <w:r w:rsidR="00597DA4" w:rsidRPr="00654F50"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izmantot Būvniecības informācijas sistēmas atsevišķu servisu vai datu </w:t>
      </w:r>
      <w:r w:rsidR="001E6328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apmaiņas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saskarnes. </w:t>
      </w:r>
    </w:p>
    <w:p w14:paraId="36457257" w14:textId="1965283E" w:rsidR="000F5EFE" w:rsidRPr="00654F50" w:rsidRDefault="0053301D" w:rsidP="00757A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pacing w:val="-2"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Lai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identificēt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u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esošās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problēmas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un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iespējamos risinājumus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="00BE4089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Būvniecības valsts kontroles birojs 2020.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 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gadā veic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a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izpēti</w:t>
      </w:r>
      <w:r w:rsidR="00CE50C1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gan </w:t>
      </w:r>
      <w:r w:rsidR="00CE50C1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analizējot darbu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iekšējās</w:t>
      </w:r>
      <w:r w:rsidR="00BE4089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darba grupās, gan intervējot nozares pārstāvjus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un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secināja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 ka lietderīgākais veids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kā efektīvi nodrošināt enerģētikas politikas ieviešanas uzraudzību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un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operatīvu informācijas apmaiņu starp Ekonomikas ministrijas resora iestādēm un citām valsts pārvaldes iestādēm,</w:t>
      </w:r>
      <w:r w:rsidR="00BE4089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ir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="00BE4089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izmantojot Būvniecības valsts kontroles biroja informācijas un </w:t>
      </w:r>
      <w:r w:rsidR="00757A4B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komunikācijas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tehnoloģiju platformu un informācijas un </w:t>
      </w:r>
      <w:r w:rsidR="00757A4B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komunikācijas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tehnoloģiju pārvaldības risinājumus, </w:t>
      </w:r>
      <w:r w:rsidR="00CE50C1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iz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veidot Energoresursu informācijas sistēmu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lastRenderedPageBreak/>
        <w:t>kā</w:t>
      </w:r>
      <w:r w:rsidR="00BE4089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937597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Būvniecības 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informācijas sistēmas moduli, kur atbilstoši biznesa procesiem un normatīvo aktu prasībām tiktu nodrošināti nepieciešamie e-pakalpojumi.</w:t>
      </w:r>
    </w:p>
    <w:p w14:paraId="17E9BB6E" w14:textId="77777777" w:rsidR="006B2506" w:rsidRPr="00654F50" w:rsidRDefault="006B2506" w:rsidP="00CD0B91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4" w:name="_Hlk63056702"/>
    </w:p>
    <w:p w14:paraId="21404009" w14:textId="58C59C1A" w:rsidR="000F5EFE" w:rsidRPr="00654F50" w:rsidRDefault="006B2506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t>P</w:t>
      </w:r>
      <w:r w:rsidR="000F5EFE" w:rsidRPr="00654F50">
        <w:rPr>
          <w:rFonts w:ascii="Times New Roman" w:hAnsi="Times New Roman" w:cs="Times New Roman"/>
          <w:b/>
          <w:noProof/>
          <w:sz w:val="28"/>
          <w:szCs w:val="28"/>
        </w:rPr>
        <w:t>rojekta mērķi</w:t>
      </w:r>
    </w:p>
    <w:p w14:paraId="38E5573C" w14:textId="15914F98" w:rsidR="000F5EFE" w:rsidRPr="00654F50" w:rsidRDefault="00CE50C1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1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V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eikt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enerģētikas politikas administrēšanas procesu digitalizāciju un iekļaut </w:t>
      </w:r>
      <w:r w:rsidR="00DA6647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šā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procesa tehnisko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u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Būvniecības valsts kontroles biroja informācijas un 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komunikācijas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tehnoloģiju platformā un vienotajā pārvaldībā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51507AF4" w14:textId="65B5B31F" w:rsidR="000F5EFE" w:rsidRPr="00654F50" w:rsidRDefault="00CE50C1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2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Veicināt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Būvniecības valsts kontroles biroja pamatdarbības procesu izpildes efektivitāti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789BA89" w14:textId="10D142A3" w:rsidR="000F5EFE" w:rsidRPr="00654F50" w:rsidRDefault="00CE50C1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3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Veicināt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informācijas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apriti digitālā formātā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9C5CFB8" w14:textId="46F62508" w:rsidR="000F5EFE" w:rsidRPr="00654F50" w:rsidRDefault="00CE50C1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4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Mazināt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administratīvo slogu komersantiem un valsts tiešās pārvaldes iestādēm. </w:t>
      </w:r>
    </w:p>
    <w:bookmarkEnd w:id="4"/>
    <w:p w14:paraId="54BE974A" w14:textId="77777777" w:rsidR="000F5EFE" w:rsidRPr="00654F50" w:rsidRDefault="000F5EFE" w:rsidP="00CD0B91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EBEDCBB" w14:textId="6D5448FE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5" w:name="_Toc63805878"/>
      <w:r w:rsidRPr="00654F50">
        <w:rPr>
          <w:rFonts w:ascii="Times New Roman" w:hAnsi="Times New Roman" w:cs="Times New Roman"/>
          <w:b/>
          <w:noProof/>
          <w:sz w:val="28"/>
          <w:szCs w:val="28"/>
        </w:rPr>
        <w:t>Darbības projekta mērķu sasniegšanai</w:t>
      </w:r>
      <w:bookmarkEnd w:id="5"/>
    </w:p>
    <w:p w14:paraId="6B26CC85" w14:textId="55FC591F" w:rsidR="000F5EFE" w:rsidRPr="00654F50" w:rsidRDefault="00FD701F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6" w:name="_Hlk63056737"/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Lai sasniegtu projekta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mērķu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s,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tiks veikti šādi pasākumi: </w:t>
      </w:r>
    </w:p>
    <w:p w14:paraId="4A80FB4F" w14:textId="7364CEE9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1)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digitalizēti, pilnveidoti vai izveidoti šādi Būvniecības valsts kontroles biroja pamatdarbības procesi (1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mērķis):</w:t>
      </w:r>
    </w:p>
    <w:p w14:paraId="5135DC3E" w14:textId="2320F356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energoefektivitātes procesa administrēšana;</w:t>
      </w:r>
    </w:p>
    <w:p w14:paraId="1A4F087F" w14:textId="7A7E2E25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b) 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elektroenerģijas obligātā iepirkuma komponentes mehānisma uzraudzība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 kontrole;</w:t>
      </w:r>
    </w:p>
    <w:p w14:paraId="6505BF09" w14:textId="54D1D3A0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transporta enerģijas nosacījumu izpildes uzraudzība un kontrole;</w:t>
      </w:r>
    </w:p>
    <w:p w14:paraId="287EA060" w14:textId="5C75D265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naftas produktu jautājumu administrēšana;</w:t>
      </w:r>
    </w:p>
    <w:p w14:paraId="1CDB5021" w14:textId="6660BF92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2)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uzsākta pakāpeniska Energoresursu informācijas sistēmas pilnveide un pilnveides tehniskās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as iekļaušana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Būvniecības valsts kontroles biroja informācijas un 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komunikācijas tehnoloģiju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platformā un vienotajā pārvaldībā (1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mērķis):</w:t>
      </w:r>
    </w:p>
    <w:p w14:paraId="249DBFE2" w14:textId="5EEEF930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izveidots elektrostaciju pārbaužu administrēšanas funkcionālais bloks;</w:t>
      </w:r>
    </w:p>
    <w:p w14:paraId="52D6F5ED" w14:textId="2BF8F8A0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b)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izveidota saskarne datu analīzes rīka izmantošanai;</w:t>
      </w:r>
    </w:p>
    <w:p w14:paraId="1BA5611D" w14:textId="1BF42AF4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izveidota saskarne datu iesniegšana</w:t>
      </w:r>
      <w:r w:rsidR="00937597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iestādēm, kas piešķīrušas kādu no atbalsta veidiem;</w:t>
      </w:r>
    </w:p>
    <w:p w14:paraId="328B4B1C" w14:textId="362F22DF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nodrošināta pārvaldība klimata pārmaiņu programmu mērķu uzraudzībai un kontrolei;</w:t>
      </w:r>
    </w:p>
    <w:p w14:paraId="24CD4624" w14:textId="0E9A3E16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e)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nodrošināta operatīvo pārskatu veidošanas funkcionalitāte;</w:t>
      </w:r>
    </w:p>
    <w:p w14:paraId="7208AC2A" w14:textId="68BD3D5C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f)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nodrošināta pārvaldības funkcionalitāte;</w:t>
      </w:r>
    </w:p>
    <w:p w14:paraId="51C1C656" w14:textId="58CA6AD4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3)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pilnveidoti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šādi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Būvniecības valsts kontroles biroja pamatdarbības procesi,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>tos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standartizējot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un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balstot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uz automatizētām darba plūsmām un procesiem, kuru tehniskā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 iekļauta Būvniecības valsts kontroles biroja informācijas un </w:t>
      </w:r>
      <w:r w:rsidR="00757A4B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komunikācijas tehnoloģiju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platformā un vienotajā pārvaldībā (2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mērķis):</w:t>
      </w:r>
    </w:p>
    <w:p w14:paraId="11E2AD7B" w14:textId="68712426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degvielas kvalitātes uzraudzība;</w:t>
      </w:r>
    </w:p>
    <w:p w14:paraId="4026122A" w14:textId="5784BD8A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b)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laboratorijas datu, pārbaužu un inventarizācijas datu pārvaldība;</w:t>
      </w:r>
    </w:p>
    <w:p w14:paraId="0F939DDE" w14:textId="2BACC0CD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statistikas datu apkopošana un pārvaldība;</w:t>
      </w:r>
    </w:p>
    <w:p w14:paraId="2D1C0180" w14:textId="1D6D42BB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valsts naftas produktu drošības rezervju administrēšana;</w:t>
      </w:r>
    </w:p>
    <w:p w14:paraId="267259A7" w14:textId="5D997EEA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e)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valsts nodevas administrēšana;</w:t>
      </w:r>
    </w:p>
    <w:p w14:paraId="0BE62075" w14:textId="03A5B3A3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f)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brīdinājumu un lēmumu pārvaldība;</w:t>
      </w:r>
    </w:p>
    <w:p w14:paraId="1677D23E" w14:textId="3203B543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4) 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tiks </w:t>
      </w:r>
      <w:r w:rsidR="00597DA4" w:rsidRPr="00654F50">
        <w:rPr>
          <w:rFonts w:ascii="Times New Roman" w:hAnsi="Times New Roman" w:cs="Times New Roman"/>
          <w:bCs/>
          <w:noProof/>
          <w:sz w:val="28"/>
          <w:szCs w:val="28"/>
        </w:rPr>
        <w:t>atkārtoti</w:t>
      </w:r>
      <w:r w:rsidR="00597DA4" w:rsidRPr="00654F50"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izmantotas</w:t>
      </w:r>
      <w:r w:rsidR="000F5EF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Būvniecības informācijas sistēmas atsevišķas servisu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vai datu </w:t>
      </w:r>
      <w:r w:rsidR="001E6328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apmaiņas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saskarnes, lai nebūtu atkārtoti jāprogrammē programmatūras kodu apgabali (1. un 2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>);</w:t>
      </w:r>
    </w:p>
    <w:p w14:paraId="0DC94EAC" w14:textId="2F9452CA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5)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izveidotas 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vienotas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darba vietas Ekonomikas ministrijai un 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>tās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resora iestādēm (3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mērķis);</w:t>
      </w:r>
    </w:p>
    <w:p w14:paraId="7EDBCE29" w14:textId="2D7C318E" w:rsidR="000F5EFE" w:rsidRPr="00654F50" w:rsidRDefault="00CE50C1" w:rsidP="00B27563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6)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pilnveidoti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šādi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Būvniecības valsts kontroles biroja e-pakalpojumi, par pamatu ņemot izmaiņas pamatdarbības procesos (3. un 4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mērķis):</w:t>
      </w:r>
    </w:p>
    <w:p w14:paraId="5180E524" w14:textId="100A48E5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a) </w:t>
      </w:r>
      <w:r w:rsidR="00AE7806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nformācija par elektrostaciju pārbaudēm komersantiem;</w:t>
      </w:r>
    </w:p>
    <w:p w14:paraId="58E385CC" w14:textId="6255329C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b) </w:t>
      </w:r>
      <w:r w:rsidR="00AE7806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nformācija 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par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degvielas pārbaudēm komersantiem;</w:t>
      </w:r>
    </w:p>
    <w:p w14:paraId="2B90B648" w14:textId="04ADA08C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c) </w:t>
      </w:r>
      <w:r w:rsidR="00AE7806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nformācija par valsts naftas produktu drošības rezervēm;</w:t>
      </w:r>
    </w:p>
    <w:p w14:paraId="69ADB375" w14:textId="31D60854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d) </w:t>
      </w:r>
      <w:r w:rsidR="00AE7806" w:rsidRPr="00654F50">
        <w:rPr>
          <w:rFonts w:ascii="Times New Roman" w:hAnsi="Times New Roman" w:cs="Times New Roman"/>
          <w:bCs/>
          <w:noProof/>
          <w:sz w:val="28"/>
          <w:szCs w:val="28"/>
        </w:rPr>
        <w:t>v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alsts nodevas samaksa par valsts naftas produktu drošības rezervēm;</w:t>
      </w:r>
    </w:p>
    <w:p w14:paraId="47CA7E66" w14:textId="5600B756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e) </w:t>
      </w:r>
      <w:r w:rsidR="00AE7806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nformācija par privātīpašumu energoefektivitāti;</w:t>
      </w:r>
    </w:p>
    <w:p w14:paraId="3E5FE24D" w14:textId="69668C3D" w:rsidR="000F5EFE" w:rsidRPr="00654F50" w:rsidRDefault="00CE50C1" w:rsidP="00110F89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7) </w:t>
      </w:r>
      <w:r w:rsidR="00B82ADF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izveidotas atbilstošās datu kopas publicēšanai atkalizmantojamu datu formātos, uzlabojot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Būvniecības valsts kontroles biroja datu pieejamību (3</w:t>
      </w:r>
      <w:r w:rsidR="00175725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un 4</w:t>
      </w:r>
      <w:r w:rsidR="007442E2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projekta mērķis).</w:t>
      </w:r>
    </w:p>
    <w:p w14:paraId="3789BB20" w14:textId="77777777" w:rsidR="00676890" w:rsidRPr="00654F50" w:rsidRDefault="00676890" w:rsidP="00CD0B91">
      <w:pPr>
        <w:tabs>
          <w:tab w:val="left" w:pos="6379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F79763E" w14:textId="4AAE11D6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7" w:name="_Toc63805879"/>
      <w:bookmarkEnd w:id="6"/>
      <w:r w:rsidRPr="00654F50">
        <w:rPr>
          <w:rFonts w:ascii="Times New Roman" w:hAnsi="Times New Roman" w:cs="Times New Roman"/>
          <w:b/>
          <w:noProof/>
          <w:sz w:val="28"/>
          <w:szCs w:val="28"/>
        </w:rPr>
        <w:t>Projekta rezultāta rādītāji</w:t>
      </w:r>
      <w:bookmarkEnd w:id="7"/>
    </w:p>
    <w:p w14:paraId="093163DE" w14:textId="77777777" w:rsidR="00676890" w:rsidRPr="00654F50" w:rsidRDefault="00676890" w:rsidP="000F5EFE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2409"/>
        <w:gridCol w:w="1134"/>
        <w:gridCol w:w="1418"/>
        <w:gridCol w:w="1411"/>
      </w:tblGrid>
      <w:tr w:rsidR="00654F50" w:rsidRPr="00654F50" w14:paraId="4F150007" w14:textId="77777777" w:rsidTr="00110F89">
        <w:tc>
          <w:tcPr>
            <w:tcW w:w="56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FD715CF" w14:textId="55A87529" w:rsidR="00450CC4" w:rsidRPr="00654F50" w:rsidRDefault="00450CC4" w:rsidP="00450CC4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Nr.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br/>
              <w:t>p. k.</w:t>
            </w:r>
          </w:p>
        </w:tc>
        <w:tc>
          <w:tcPr>
            <w:tcW w:w="2128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96C7FA9" w14:textId="55D0D042" w:rsidR="00450CC4" w:rsidRPr="00654F50" w:rsidRDefault="00450CC4" w:rsidP="00450CC4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Rezultāta rādītājs</w:t>
            </w:r>
          </w:p>
        </w:tc>
        <w:tc>
          <w:tcPr>
            <w:tcW w:w="2409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6A71F5" w14:textId="1CE57D33" w:rsidR="00450CC4" w:rsidRPr="00654F50" w:rsidRDefault="00450CC4" w:rsidP="00450CC4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Mērvienība</w:t>
            </w:r>
          </w:p>
        </w:tc>
        <w:tc>
          <w:tcPr>
            <w:tcW w:w="1134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8A26546" w14:textId="34A4D491" w:rsidR="00450CC4" w:rsidRPr="00654F50" w:rsidRDefault="00450CC4" w:rsidP="00450CC4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Sākotnējā vērtība</w:t>
            </w:r>
          </w:p>
        </w:tc>
        <w:tc>
          <w:tcPr>
            <w:tcW w:w="2829" w:type="dxa"/>
            <w:gridSpan w:val="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88BF05" w14:textId="7DC380BF" w:rsidR="00450CC4" w:rsidRPr="00654F50" w:rsidRDefault="00450CC4" w:rsidP="00F8212F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Sasniedzamā vērtība</w:t>
            </w:r>
          </w:p>
        </w:tc>
      </w:tr>
      <w:tr w:rsidR="00654F50" w:rsidRPr="00654F50" w14:paraId="36929083" w14:textId="77777777" w:rsidTr="00110F89">
        <w:tc>
          <w:tcPr>
            <w:tcW w:w="561" w:type="dxa"/>
            <w:vMerge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BA134B" w14:textId="605FC8D5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  <w:tc>
          <w:tcPr>
            <w:tcW w:w="2128" w:type="dxa"/>
            <w:vMerge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A831E4F" w14:textId="3EDA3FDD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  <w:tc>
          <w:tcPr>
            <w:tcW w:w="2409" w:type="dxa"/>
            <w:vMerge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2E6C21" w14:textId="3F96F298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  <w:tc>
          <w:tcPr>
            <w:tcW w:w="1134" w:type="dxa"/>
            <w:vMerge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6F70702" w14:textId="78AD8A70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  <w:tc>
          <w:tcPr>
            <w:tcW w:w="14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DD4831C" w14:textId="7D5AD9D9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divus gadus pēc projekta beigām</w:t>
            </w:r>
          </w:p>
        </w:tc>
        <w:tc>
          <w:tcPr>
            <w:tcW w:w="141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B6A987" w14:textId="1EABA1F4" w:rsidR="00450CC4" w:rsidRPr="00654F50" w:rsidRDefault="00450CC4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trīs gadus pēc projekta beigām</w:t>
            </w:r>
          </w:p>
        </w:tc>
      </w:tr>
      <w:tr w:rsidR="00654F50" w:rsidRPr="00654F50" w14:paraId="3223A9E1" w14:textId="77777777" w:rsidTr="00110F89">
        <w:tc>
          <w:tcPr>
            <w:tcW w:w="56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2FBEBDCB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1.</w:t>
            </w:r>
          </w:p>
        </w:tc>
        <w:tc>
          <w:tcPr>
            <w:tcW w:w="212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4383E42C" w14:textId="3970BFD8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Standartizēti Būvniecības valsts kontroles biroja pamatdarbības procesi </w:t>
            </w:r>
          </w:p>
        </w:tc>
        <w:tc>
          <w:tcPr>
            <w:tcW w:w="2409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35D53424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%</w:t>
            </w:r>
          </w:p>
        </w:tc>
        <w:tc>
          <w:tcPr>
            <w:tcW w:w="1134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4F3E1FD8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141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1D588859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60</w:t>
            </w:r>
          </w:p>
        </w:tc>
        <w:tc>
          <w:tcPr>
            <w:tcW w:w="141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687380DE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70</w:t>
            </w:r>
          </w:p>
        </w:tc>
      </w:tr>
      <w:tr w:rsidR="00654F50" w:rsidRPr="00654F50" w14:paraId="49936CF9" w14:textId="77777777" w:rsidTr="00110F89">
        <w:tc>
          <w:tcPr>
            <w:tcW w:w="56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1D38DF6D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2.</w:t>
            </w:r>
          </w:p>
        </w:tc>
        <w:tc>
          <w:tcPr>
            <w:tcW w:w="212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29E02567" w14:textId="357C8FC5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Elektroenerģijas ražotāju </w:t>
            </w:r>
            <w:r w:rsidR="00D677C8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pārbaužu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un transporta enerģijas nosacījumu izpildes pārbaužu procesa elektroniska norise</w:t>
            </w:r>
          </w:p>
        </w:tc>
        <w:tc>
          <w:tcPr>
            <w:tcW w:w="2409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17079ADD" w14:textId="7F052B0B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Elektroniski sagatavoto pārbaužu skaita attiecība % pret gada laikā veicamajām elektroenerģijas ražotāju </w:t>
            </w:r>
            <w:r w:rsidR="00D677C8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pārbaudēm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un transporta enerģijas nosacījumu izpildes pārbaudēm</w:t>
            </w:r>
          </w:p>
        </w:tc>
        <w:tc>
          <w:tcPr>
            <w:tcW w:w="1134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19CCDDD7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141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63673481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90</w:t>
            </w:r>
          </w:p>
        </w:tc>
        <w:tc>
          <w:tcPr>
            <w:tcW w:w="141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095629EF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100</w:t>
            </w:r>
          </w:p>
        </w:tc>
      </w:tr>
      <w:tr w:rsidR="00654F50" w:rsidRPr="00654F50" w14:paraId="3A06ACF4" w14:textId="77777777" w:rsidTr="00110F89">
        <w:tc>
          <w:tcPr>
            <w:tcW w:w="56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37C85A4F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3.</w:t>
            </w:r>
          </w:p>
        </w:tc>
        <w:tc>
          <w:tcPr>
            <w:tcW w:w="212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1C3D57FA" w14:textId="7526BCEA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Elektronizēts </w:t>
            </w:r>
            <w:r w:rsidR="00D677C8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paziņojumu iesniegšanas process par privātmājās veiktajiem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energoefektivitātes </w:t>
            </w:r>
            <w:r w:rsidR="00D677C8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pasākumiem </w:t>
            </w:r>
          </w:p>
        </w:tc>
        <w:tc>
          <w:tcPr>
            <w:tcW w:w="2409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7864CC09" w14:textId="6A2A545E" w:rsidR="000F5EFE" w:rsidRPr="00654F50" w:rsidRDefault="00465983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% </w:t>
            </w:r>
            <w:r w:rsidR="000F5EFE" w:rsidRPr="00654F50">
              <w:rPr>
                <w:rFonts w:ascii="Times New Roman" w:hAnsi="Times New Roman" w:cs="Times New Roman"/>
                <w:bCs/>
                <w:noProof/>
                <w:sz w:val="24"/>
              </w:rPr>
              <w:t>no visiem iesniegtajiem paziņojumiem</w:t>
            </w:r>
          </w:p>
        </w:tc>
        <w:tc>
          <w:tcPr>
            <w:tcW w:w="1134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4DF47AA4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1418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3711CBB5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100</w:t>
            </w:r>
          </w:p>
        </w:tc>
        <w:tc>
          <w:tcPr>
            <w:tcW w:w="1411" w:type="dxa"/>
            <w:tcMar>
              <w:top w:w="8" w:type="dxa"/>
              <w:left w:w="8" w:type="dxa"/>
              <w:bottom w:w="8" w:type="dxa"/>
              <w:right w:w="8" w:type="dxa"/>
            </w:tcMar>
          </w:tcPr>
          <w:p w14:paraId="40C0A855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100</w:t>
            </w:r>
          </w:p>
        </w:tc>
      </w:tr>
    </w:tbl>
    <w:p w14:paraId="2D25F1F2" w14:textId="77777777" w:rsidR="000F5EFE" w:rsidRPr="00654F50" w:rsidRDefault="000F5EFE" w:rsidP="000F5EFE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8" w:name="_Toc63805880"/>
    </w:p>
    <w:p w14:paraId="005FC93C" w14:textId="77777777" w:rsidR="00D677C8" w:rsidRPr="00654F50" w:rsidRDefault="00D677C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23BF9A92" w14:textId="7B39E867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Projekta iznākuma rādītāji</w:t>
      </w:r>
      <w:bookmarkEnd w:id="8"/>
    </w:p>
    <w:p w14:paraId="5866F0D0" w14:textId="77777777" w:rsidR="00676890" w:rsidRPr="00654F50" w:rsidRDefault="00676890" w:rsidP="000F5EFE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828"/>
        <w:gridCol w:w="1241"/>
        <w:gridCol w:w="1877"/>
        <w:gridCol w:w="1559"/>
      </w:tblGrid>
      <w:tr w:rsidR="00654F50" w:rsidRPr="00654F50" w14:paraId="0D0A63BC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8999BB9" w14:textId="2230F4C7" w:rsidR="000F5EFE" w:rsidRPr="00654F50" w:rsidRDefault="00F51CED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Nr.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br/>
              <w:t>p. k.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7F7C308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Iznākuma rādītājs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701AD92" w14:textId="6215FC8F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pacing w:val="-2"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pacing w:val="-2"/>
                <w:sz w:val="24"/>
              </w:rPr>
              <w:t>Mērvienība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66CA590" w14:textId="45088810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Starpvērtība (</w:t>
            </w:r>
            <w:r w:rsidR="00F51CED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divus gadus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pēc projekta sākuma)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11851E4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Sasniedzamā </w:t>
            </w:r>
            <w:r w:rsidRPr="00654F50">
              <w:rPr>
                <w:rFonts w:ascii="Times New Roman" w:hAnsi="Times New Roman" w:cs="Times New Roman"/>
                <w:bCs/>
                <w:noProof/>
                <w:spacing w:val="-2"/>
                <w:sz w:val="24"/>
              </w:rPr>
              <w:t>vērtība projekta beigās</w:t>
            </w:r>
          </w:p>
        </w:tc>
      </w:tr>
      <w:tr w:rsidR="00654F50" w:rsidRPr="00654F50" w14:paraId="52F67537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2A0D6D9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F5F1B79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Pilnveidoti darbību procesi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EADC63B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B9A6DAC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4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6E27B7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4</w:t>
            </w:r>
          </w:p>
        </w:tc>
      </w:tr>
      <w:tr w:rsidR="00654F50" w:rsidRPr="00654F50" w14:paraId="39C7C149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3FBA1BC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2.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7789291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Izveidoti e-pakalpojumi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79BCCBE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F0A8FD4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5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33CAD0E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5</w:t>
            </w:r>
          </w:p>
        </w:tc>
      </w:tr>
      <w:tr w:rsidR="00654F50" w:rsidRPr="00654F50" w14:paraId="2EA4EC75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F4EE722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3.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105E67B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Pilnveidotas/papildinātas atvērto datu kopas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A67E26F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66AFCA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11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472AEB4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11</w:t>
            </w:r>
          </w:p>
        </w:tc>
      </w:tr>
      <w:tr w:rsidR="00654F50" w:rsidRPr="00654F50" w14:paraId="01F7A3DA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8101FC5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4.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D9F852E" w14:textId="2D076D9D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Biznesa informācijas (BI) rīka </w:t>
            </w:r>
            <w:r w:rsidR="00C420E0" w:rsidRPr="00654F50">
              <w:rPr>
                <w:rFonts w:ascii="Times New Roman" w:hAnsi="Times New Roman" w:cs="Times New Roman"/>
                <w:bCs/>
                <w:noProof/>
                <w:sz w:val="24"/>
              </w:rPr>
              <w:t>izveidotie pārskati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BC533E5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764872B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8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6A2788D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8</w:t>
            </w:r>
          </w:p>
        </w:tc>
      </w:tr>
      <w:tr w:rsidR="00654F50" w:rsidRPr="00654F50" w14:paraId="5279B5A8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4558185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5.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F567BF3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Būvniecības informācijas sistēmas atsevišķu servisu vai datu apmaiņas saskarņu izmantošana/pilnveidošana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3DDDF56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CDB9B7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6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C5A624C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6</w:t>
            </w:r>
          </w:p>
        </w:tc>
      </w:tr>
      <w:tr w:rsidR="00654F50" w:rsidRPr="00654F50" w14:paraId="75F6FCD0" w14:textId="77777777" w:rsidTr="00110F89">
        <w:tc>
          <w:tcPr>
            <w:tcW w:w="532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23AC2C7" w14:textId="77777777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6.</w:t>
            </w:r>
          </w:p>
        </w:tc>
        <w:tc>
          <w:tcPr>
            <w:tcW w:w="3828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34F107A" w14:textId="1DA388D0" w:rsidR="000F5EFE" w:rsidRPr="00654F5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Pilnveidota Būvniecības valsts kontroles biroja informācijas un </w:t>
            </w:r>
            <w:r w:rsidR="00757A4B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komunikācijas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tehnoloģij</w:t>
            </w:r>
            <w:r w:rsidR="00757A4B" w:rsidRPr="00654F50">
              <w:rPr>
                <w:rFonts w:ascii="Times New Roman" w:hAnsi="Times New Roman" w:cs="Times New Roman"/>
                <w:bCs/>
                <w:noProof/>
                <w:sz w:val="24"/>
              </w:rPr>
              <w:t>u</w:t>
            </w:r>
            <w:r w:rsidR="00BE4089" w:rsidRPr="00654F5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platforma</w:t>
            </w:r>
          </w:p>
        </w:tc>
        <w:tc>
          <w:tcPr>
            <w:tcW w:w="1241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B37FD66" w14:textId="25C4574D" w:rsidR="000F5EFE" w:rsidRPr="00654F50" w:rsidRDefault="00C420E0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1877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010D2B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</w:t>
            </w:r>
          </w:p>
        </w:tc>
        <w:tc>
          <w:tcPr>
            <w:tcW w:w="1559" w:type="dxa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962FFAA" w14:textId="77777777" w:rsidR="000F5EFE" w:rsidRPr="00654F50" w:rsidDel="004959C0" w:rsidRDefault="000F5EFE" w:rsidP="00110F89">
            <w:pPr>
              <w:tabs>
                <w:tab w:val="left" w:pos="6379"/>
                <w:tab w:val="left" w:pos="680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654F50">
              <w:rPr>
                <w:rFonts w:ascii="Times New Roman" w:hAnsi="Times New Roman" w:cs="Times New Roman"/>
                <w:bCs/>
                <w:noProof/>
                <w:sz w:val="24"/>
              </w:rPr>
              <w:t>1</w:t>
            </w:r>
          </w:p>
        </w:tc>
      </w:tr>
    </w:tbl>
    <w:p w14:paraId="7ECDDD68" w14:textId="77777777" w:rsidR="00F529A9" w:rsidRPr="00654F50" w:rsidRDefault="00F529A9" w:rsidP="000F5EFE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</w:rPr>
      </w:pPr>
      <w:bookmarkStart w:id="9" w:name="_Toc63805881"/>
    </w:p>
    <w:p w14:paraId="556C79C4" w14:textId="7855E03D" w:rsidR="00F529A9" w:rsidRPr="00654F50" w:rsidRDefault="00F529A9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īstenotājs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Ekonomikas ministrija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3D8833AA" w14:textId="11887801" w:rsidR="00F529A9" w:rsidRPr="00654F50" w:rsidRDefault="00F529A9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partneri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Būvniecības valsts kontroles birojs, Centrālā finanšu un līgumu aģentūra, Centrālā statistikas pārvalde.</w:t>
      </w:r>
    </w:p>
    <w:p w14:paraId="2D32C3F8" w14:textId="3B706AF2" w:rsidR="00F529A9" w:rsidRPr="00654F50" w:rsidRDefault="00F529A9" w:rsidP="00B275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6B2506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īstenošanas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laiks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18 mēneši</w:t>
      </w:r>
      <w:r w:rsidR="00CE785A" w:rsidRPr="00654F50">
        <w:rPr>
          <w:rFonts w:ascii="Times New Roman" w:hAnsi="Times New Roman" w:cs="Times New Roman"/>
          <w:bCs/>
          <w:noProof/>
          <w:sz w:val="28"/>
          <w:szCs w:val="28"/>
        </w:rPr>
        <w:t>, bet ne ilgāk kā līdz 2023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CE785A" w:rsidRPr="00654F50">
        <w:rPr>
          <w:rFonts w:ascii="Times New Roman" w:hAnsi="Times New Roman" w:cs="Times New Roman"/>
          <w:bCs/>
          <w:noProof/>
          <w:sz w:val="28"/>
          <w:szCs w:val="28"/>
        </w:rPr>
        <w:t>gada 31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="00CE785A" w:rsidRPr="00654F50">
        <w:rPr>
          <w:rFonts w:ascii="Times New Roman" w:hAnsi="Times New Roman" w:cs="Times New Roman"/>
          <w:bCs/>
          <w:noProof/>
          <w:sz w:val="28"/>
          <w:szCs w:val="28"/>
        </w:rPr>
        <w:t>decembrim.</w:t>
      </w:r>
    </w:p>
    <w:p w14:paraId="0F94D850" w14:textId="62C3A2AC" w:rsidR="00F529A9" w:rsidRPr="00654F50" w:rsidRDefault="00F529A9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7C0204" w:rsidRPr="00654F50">
        <w:rPr>
          <w:rFonts w:ascii="Times New Roman" w:hAnsi="Times New Roman" w:cs="Times New Roman"/>
          <w:bCs/>
          <w:noProof/>
          <w:sz w:val="28"/>
          <w:szCs w:val="28"/>
        </w:rPr>
        <w:t>plānotais kopējais finansējums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600 000 </w:t>
      </w:r>
      <w:r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F144E1B" w14:textId="11179A26" w:rsidR="00F529A9" w:rsidRPr="00654F50" w:rsidRDefault="00F529A9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uzturēšanas izmaksas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60 000 </w:t>
      </w:r>
      <w:r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gadā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03398141" w14:textId="77777777" w:rsidR="00F529A9" w:rsidRPr="00654F50" w:rsidRDefault="00F529A9" w:rsidP="00CD0B91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F4DB286" w14:textId="0B2C2F3E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54F50">
        <w:rPr>
          <w:rFonts w:ascii="Times New Roman" w:hAnsi="Times New Roman" w:cs="Times New Roman"/>
          <w:b/>
          <w:noProof/>
          <w:sz w:val="28"/>
          <w:szCs w:val="28"/>
        </w:rPr>
        <w:t xml:space="preserve">Saistība ar iepriekšējā plānošanas perioda projektiem, projekta lietderība un ieguldījums </w:t>
      </w:r>
      <w:r w:rsidR="00F95006" w:rsidRPr="00654F50">
        <w:rPr>
          <w:rFonts w:ascii="Times New Roman" w:hAnsi="Times New Roman" w:cs="Times New Roman"/>
          <w:b/>
          <w:noProof/>
          <w:sz w:val="28"/>
          <w:szCs w:val="28"/>
        </w:rPr>
        <w:t xml:space="preserve">specifiskā atbalsta mērķa </w:t>
      </w:r>
      <w:r w:rsidRPr="00654F50">
        <w:rPr>
          <w:rFonts w:ascii="Times New Roman" w:hAnsi="Times New Roman" w:cs="Times New Roman"/>
          <w:b/>
          <w:noProof/>
          <w:sz w:val="28"/>
          <w:szCs w:val="28"/>
        </w:rPr>
        <w:t>rezultāta rādītājos</w:t>
      </w:r>
      <w:bookmarkEnd w:id="9"/>
    </w:p>
    <w:p w14:paraId="1283754B" w14:textId="118ABB53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Projektam nav tiešas saistības ar iepriekšējā plānošanas periodā izstrādāt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>aj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iem projektiem.</w:t>
      </w:r>
      <w:r w:rsidR="00F95006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Vienlaikus tas ir saistīts ar 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>minēt</w:t>
      </w:r>
      <w:r w:rsidR="00DA6647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ā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plānošanas perioda Eiropas 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Reģionālās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attīstības fonda projektu 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Būvniecības procesu un informācijas sistēmas attīstība (1.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kārta)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(26.11.2017.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28.08.2020.)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un Ekonomikas ministrijas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īstenoto projektu 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Vienotās darba vides izveide visā Ekonomikas ministrijas resorā</w:t>
      </w:r>
      <w:r w:rsidR="00BE4089" w:rsidRPr="00654F50">
        <w:rPr>
          <w:rFonts w:ascii="Times New Roman" w:hAnsi="Times New Roman" w:cs="Times New Roman"/>
          <w:sz w:val="28"/>
          <w:szCs w:val="28"/>
        </w:rPr>
        <w:t>"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tajā sadaļā, kura resoram nodrošinās finanšu un budžeta plānošanas un prognozēšanas procesa un datu analīzes procesa pilnveidi. </w:t>
      </w:r>
    </w:p>
    <w:p w14:paraId="58376E20" w14:textId="77777777" w:rsidR="000F5EFE" w:rsidRPr="00654F50" w:rsidRDefault="000F5EFE" w:rsidP="00CD0B91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Projektu saskares punkts ir vienas platformas un jau izstrādātu saskarņu atkalizmantošana. </w:t>
      </w:r>
    </w:p>
    <w:p w14:paraId="6188B516" w14:textId="1241206B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FD701F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a kopumā sekmēs:</w:t>
      </w:r>
    </w:p>
    <w:p w14:paraId="549809AC" w14:textId="6785645D" w:rsidR="000F5EFE" w:rsidRPr="00654F50" w:rsidRDefault="00C420E0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- administratīvā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sloga samazināšanu valsts pārvaldē un nodokļu maksātājiem;</w:t>
      </w:r>
    </w:p>
    <w:p w14:paraId="67B7EEEA" w14:textId="43BEB203" w:rsidR="000F5EFE" w:rsidRPr="00654F50" w:rsidRDefault="00C420E0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-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publiskās pārvaldes efektivitāti;</w:t>
      </w:r>
    </w:p>
    <w:p w14:paraId="16556246" w14:textId="0368262C" w:rsidR="000F5EFE" w:rsidRPr="00654F50" w:rsidRDefault="00C420E0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- 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Ekonomikas ministrijas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F5EFE" w:rsidRPr="00654F50">
        <w:rPr>
          <w:rFonts w:ascii="Times New Roman" w:hAnsi="Times New Roman" w:cs="Times New Roman"/>
          <w:bCs/>
          <w:noProof/>
          <w:sz w:val="28"/>
          <w:szCs w:val="28"/>
        </w:rPr>
        <w:t>resora sniegto pakalpojumu pieejamību un datu atkalizmantojamību.</w:t>
      </w:r>
    </w:p>
    <w:p w14:paraId="64A7D40B" w14:textId="77777777" w:rsidR="000F5EFE" w:rsidRPr="00654F50" w:rsidRDefault="000F5EFE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57EA82E" w14:textId="17C79949" w:rsidR="000F5EFE" w:rsidRPr="00654F50" w:rsidRDefault="000F5EFE" w:rsidP="00B275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Kopumā 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>10 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gadu periodā izstrādes un uzturēšanas izmaksas veido 1,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2 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milj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</w:p>
    <w:p w14:paraId="3D88929D" w14:textId="77777777" w:rsidR="009C219E" w:rsidRPr="00654F50" w:rsidRDefault="009C219E" w:rsidP="00BE40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7069BB1" w14:textId="625CE5A8" w:rsidR="000F5EFE" w:rsidRPr="00654F50" w:rsidRDefault="000F5EFE" w:rsidP="00B275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ietvaros paredzē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>t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 elektronizēt </w:t>
      </w:r>
      <w:r w:rsidR="00C420E0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elektroenerģijas ražotāju pārbaužu </w:t>
      </w:r>
      <w:r w:rsidR="00C420E0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pārvaldības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procesu, </w:t>
      </w:r>
      <w:r w:rsidR="009C219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elektroenerģijas ražotājiem vienuviet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nodrošinot informācijas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pieejamību par pārbaudes rezultātiem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plānotajām pārbaudēm un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iespēju </w:t>
      </w:r>
      <w:r w:rsidR="009C219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iesniegt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nepieciešamo </w:t>
      </w:r>
      <w:r w:rsidR="009C219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informāciju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Būvniecības valsts kontroles birojā. Risinājuma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ieviešanas rezultātā paredzēts, ka elektroenerģijas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ražotājam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laiks, kas saistīts ar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pārbaužu organizēšanu un plānošanu</w:t>
      </w:r>
      <w:r w:rsidR="009C219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</w:t>
      </w:r>
      <w:r w:rsidR="009C219E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samazināsies 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līdz </w:t>
      </w:r>
      <w:r w:rsidR="007B50E6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2 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c/h</w:t>
      </w:r>
      <w:r w:rsidR="00C458B4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 (c/h – cilvēkstundas)</w:t>
      </w:r>
      <w:r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jo tiks nodrošināta atgādinājuma izsūtīšana par plānotajām pārbaudēm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elektroenerģijas ražotājam nebūs jāuztur atsevišķa informācija par pārbaužu plāna rezultātiem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elektroenerģijas ražotājs varēs sagatavoties plānotajai pārbaudei.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>E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lektroenerģijas ražotājam veidosies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arī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laika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ieguvums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līdz 1,2 c/h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jo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pārbaude</w:t>
      </w:r>
      <w:r w:rsidR="00640954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nepieciešamo papildu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informāciju elektroenerģijas ražotājs varēs iesniegt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sistēmā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elektroniski, tādējādi samazinot administratīvo resursu, kas nepieciešams atsevišķas dokumentācijas sagatavošanai un iesniegšanai vēstules veidā. Ņemot </w:t>
      </w:r>
      <w:r w:rsidR="00640954" w:rsidRPr="00654F50">
        <w:rPr>
          <w:rFonts w:ascii="Times New Roman" w:hAnsi="Times New Roman" w:cs="Times New Roman"/>
          <w:bCs/>
          <w:noProof/>
          <w:sz w:val="28"/>
          <w:szCs w:val="28"/>
        </w:rPr>
        <w:t>vērā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, ka Latvijā ir līdz 2005 komersanti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>em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kas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pakļauti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plānotajām pārbaudēm, tad 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veidojas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potenciālais sociālekonomiskais ieguvums 45 304,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98 </w:t>
      </w:r>
      <w:r w:rsidR="00B27563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B27563" w:rsidRPr="00654F50" w:rsidDel="001A36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gadā ((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2 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c/</w:t>
      </w:r>
      <w:r w:rsidR="00640954" w:rsidRPr="00654F50">
        <w:rPr>
          <w:rFonts w:ascii="Times New Roman" w:hAnsi="Times New Roman" w:cs="Times New Roman"/>
          <w:bCs/>
          <w:noProof/>
          <w:sz w:val="28"/>
          <w:szCs w:val="28"/>
        </w:rPr>
        <w:t>h +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1,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2 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c/h) x 2005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skaits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x 7,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06125 </w:t>
      </w:r>
      <w:r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/h).</w:t>
      </w:r>
    </w:p>
    <w:p w14:paraId="138FAADF" w14:textId="77777777" w:rsidR="000F5EFE" w:rsidRPr="00654F50" w:rsidRDefault="000F5EFE" w:rsidP="00110F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99AF120" w14:textId="14729717" w:rsidR="000F5EFE" w:rsidRPr="00654F50" w:rsidRDefault="000F5EFE" w:rsidP="00B275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ietvaros paredzē</w:t>
      </w:r>
      <w:r w:rsidR="009C219E" w:rsidRPr="00654F50">
        <w:rPr>
          <w:rFonts w:ascii="Times New Roman" w:hAnsi="Times New Roman" w:cs="Times New Roman"/>
          <w:bCs/>
          <w:noProof/>
          <w:sz w:val="28"/>
          <w:szCs w:val="28"/>
        </w:rPr>
        <w:t>t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 elektronizēt </w:t>
      </w:r>
      <w:r w:rsidR="002C6A8C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transporta enerģijas nosacījumu izpildes uzraudzības un kontroles pārvaldības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procesu, </w:t>
      </w:r>
      <w:r w:rsidR="002C6A8C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komersantiem vienuviet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nodrošinot informācijas pieejamību par pārbaudes rezultātiem</w:t>
      </w:r>
      <w:r w:rsidR="002C6A8C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plānotajām pārbaudēm un </w:t>
      </w:r>
      <w:r w:rsidR="002C6A8C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iespēju </w:t>
      </w:r>
      <w:r w:rsidR="002C6A8C" w:rsidRPr="00654F50">
        <w:rPr>
          <w:rFonts w:ascii="Times New Roman" w:hAnsi="Times New Roman" w:cs="Times New Roman"/>
          <w:bCs/>
          <w:noProof/>
          <w:spacing w:val="-2"/>
          <w:sz w:val="28"/>
          <w:szCs w:val="28"/>
        </w:rPr>
        <w:t xml:space="preserve">iesniegt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nepieciešamo </w:t>
      </w:r>
      <w:r w:rsidR="002C6A8C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informāciju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Būvniecības valsts kontroles birojā. Risinājuma ieviešanas rezultātā paredzēts, ka </w:t>
      </w:r>
      <w:r w:rsidR="00924D20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komersantam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laiks, kas saistīts ar informācijas iegūšanu par pārbaudes rezultātiem un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nepieciešamās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papildu informācijas iesniegšanu Būvniecības valsts kontroles birojā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samazināsies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līdz 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3 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c/h, jo informāciju </w:t>
      </w:r>
      <w:r w:rsidR="00924D20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komersants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varēs iegūt un iesniegt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sistēmā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elektroniski, tādējādi samazinot administratīvo resursu, kas nepieciešams atsevišķas dokumentācijas sagatavošanai un iesniegšanai vēstules veidā. Ņemot </w:t>
      </w:r>
      <w:r w:rsidR="00640954" w:rsidRPr="00654F50">
        <w:rPr>
          <w:rFonts w:ascii="Times New Roman" w:hAnsi="Times New Roman" w:cs="Times New Roman"/>
          <w:bCs/>
          <w:noProof/>
          <w:sz w:val="28"/>
          <w:szCs w:val="28"/>
        </w:rPr>
        <w:t>vērā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, ka Latvijā ir līdz 122 komersanti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em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kas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pakļauti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plānotajām pārbaudēm, tad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veidojas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potenciālais sociālekonomiskais ieguvums 2583,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96 </w:t>
      </w:r>
      <w:r w:rsidR="00B27563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B27563" w:rsidRPr="00654F50" w:rsidDel="001A36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gadā (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3 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c/</w:t>
      </w:r>
      <w:r w:rsidR="00640954" w:rsidRPr="00654F50">
        <w:rPr>
          <w:rFonts w:ascii="Times New Roman" w:hAnsi="Times New Roman" w:cs="Times New Roman"/>
          <w:bCs/>
          <w:noProof/>
          <w:sz w:val="28"/>
          <w:szCs w:val="28"/>
        </w:rPr>
        <w:t>h x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122 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skaits</w:t>
      </w:r>
      <w:r w:rsidR="006D3175" w:rsidRPr="00654F50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x 7,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06125 </w:t>
      </w:r>
      <w:r w:rsidR="001A3633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/h).</w:t>
      </w:r>
    </w:p>
    <w:p w14:paraId="18211060" w14:textId="77777777" w:rsidR="000F5EFE" w:rsidRPr="00654F50" w:rsidRDefault="000F5EFE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77DEBBF" w14:textId="3A42BDA6" w:rsidR="000F5EFE" w:rsidRPr="00654F50" w:rsidRDefault="000F5EFE" w:rsidP="000D60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ietvaros paredzēts elektronizēt 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tās informācijas iesniegšanas un apstrādes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procesu, 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kura 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saistīta ar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privātmāju īpašnieku veiktajiem pasākumiem energoefektivitātes uzlabošanai privātmājās (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vienģimenes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mājās). Ekonomikas ministrijas 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izstrādātajā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plān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>ā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paredzēts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ka līdz 2030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.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gada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>m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>energo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efektivitātes 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>uzlabošanas pasākum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FA0D6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tiks veikti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vismaz 7500 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>privātmājās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līdz ar to jānodrošina informācijas iesniegšana un uzkrāšana. Ņemot vērā, ka šobrīd netiek nodrošināta informācijas iesniegšana elektroniski strukturētā veidā, tad viena šāda paziņojuma sagatavošana un iesniegšana privātpersonai aizņem līdz </w:t>
      </w:r>
      <w:r w:rsidR="007B50E6" w:rsidRPr="00654F50">
        <w:rPr>
          <w:rFonts w:ascii="Times New Roman" w:hAnsi="Times New Roman" w:cs="Times New Roman"/>
          <w:bCs/>
          <w:noProof/>
          <w:sz w:val="28"/>
          <w:szCs w:val="28"/>
        </w:rPr>
        <w:t>10 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c/h. Nodrošinot privātpersonām iespēju iesniegt informāciju 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sistēmā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elektroniski strukturētā veidā, paziņojuma aizpildīšana un iesniegšana aizņemtu līdz 1 c/h. 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>Paredzēts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ka,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veicinot privātpersonu iesaisti energoefektivitātes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uzlabošanas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pasākumu </w:t>
      </w:r>
      <w:r w:rsidR="00DA6647" w:rsidRPr="00654F50">
        <w:rPr>
          <w:rFonts w:ascii="Times New Roman" w:hAnsi="Times New Roman" w:cs="Times New Roman"/>
          <w:bCs/>
          <w:noProof/>
          <w:sz w:val="28"/>
          <w:szCs w:val="28"/>
        </w:rPr>
        <w:t>īstenošanā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gada laikā pasākumus īstenotu līdz 1000 mājsaimniecību. Līdz ar to mājsaimniecībām, kas piedalītos energoefektivitātes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>uzlabošanas pasākum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u īstenošanā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veidotos sociālekonomiskais ieguvums 63 551,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25 </w:t>
      </w:r>
      <w:r w:rsidR="000D6089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0D6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gadā (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>9 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c/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h x 1000 (skaits)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x 7,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06125 </w:t>
      </w:r>
      <w:r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/h).</w:t>
      </w:r>
    </w:p>
    <w:p w14:paraId="44C9D30E" w14:textId="3DB15362" w:rsidR="000F5EFE" w:rsidRPr="00654F50" w:rsidRDefault="000F5EFE" w:rsidP="00110F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DB2A3AB" w14:textId="0B6ADEF5" w:rsidR="000F5EFE" w:rsidRPr="00654F50" w:rsidRDefault="000F5EFE" w:rsidP="000D6089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Projekta īstenošanas sociālekonomiskais ieguvums 10 gadu periodā ir lielāks par projekta investīcijām un uzturēšanas izmaksām 10 gadu periodā. Projekta diskontētie sociālekonomiskie ieguvumi ar diskonta likmi 5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% 10 gadu periodā ir 881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 589 </w:t>
      </w:r>
      <w:r w:rsidR="000D6089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savukārt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projekta investīciju un uzturēšanas izmaksas ar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diskonta likmi </w:t>
      </w:r>
      <w:r w:rsidR="00CF1EC1" w:rsidRPr="00654F50"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CF1EC1" w:rsidRPr="00654F50">
        <w:rPr>
          <w:rFonts w:ascii="Times New Roman" w:hAnsi="Times New Roman" w:cs="Times New Roman"/>
          <w:bCs/>
          <w:noProof/>
          <w:sz w:val="28"/>
          <w:szCs w:val="28"/>
        </w:rPr>
        <w:t>%</w:t>
      </w:r>
      <w:r w:rsidR="00655C25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ir 791</w:t>
      </w:r>
      <w:r w:rsidR="001A3633" w:rsidRPr="00654F50">
        <w:rPr>
          <w:rFonts w:ascii="Times New Roman" w:hAnsi="Times New Roman" w:cs="Times New Roman"/>
          <w:bCs/>
          <w:noProof/>
          <w:sz w:val="28"/>
          <w:szCs w:val="28"/>
        </w:rPr>
        <w:t> 726 </w:t>
      </w:r>
      <w:r w:rsidR="000D6089" w:rsidRPr="00654F50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. Projekta ieguvumu</w:t>
      </w:r>
      <w:r w:rsidR="00BE4089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 un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izdevumu attiecības koeficienta vērtība ir 1,11,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un tas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liecina par projekta </w:t>
      </w:r>
      <w:r w:rsidR="00421E92" w:rsidRPr="00654F50">
        <w:rPr>
          <w:rFonts w:ascii="Times New Roman" w:hAnsi="Times New Roman" w:cs="Times New Roman"/>
          <w:bCs/>
          <w:noProof/>
          <w:sz w:val="28"/>
          <w:szCs w:val="28"/>
        </w:rPr>
        <w:t xml:space="preserve">pievienoto </w:t>
      </w:r>
      <w:r w:rsidRPr="00654F50">
        <w:rPr>
          <w:rFonts w:ascii="Times New Roman" w:hAnsi="Times New Roman" w:cs="Times New Roman"/>
          <w:bCs/>
          <w:noProof/>
          <w:sz w:val="28"/>
          <w:szCs w:val="28"/>
        </w:rPr>
        <w:t>vērtību.</w:t>
      </w:r>
    </w:p>
    <w:p w14:paraId="35565FB7" w14:textId="77777777" w:rsidR="00CD0B91" w:rsidRPr="00654F50" w:rsidRDefault="00CD0B91" w:rsidP="00110F8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95E1226" w14:textId="77777777" w:rsidR="00CD0B91" w:rsidRPr="00654F50" w:rsidRDefault="00CD0B91" w:rsidP="00110F8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DA2B803" w14:textId="77777777" w:rsidR="00CD0B91" w:rsidRPr="00654F50" w:rsidRDefault="00CD0B91" w:rsidP="00110F8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7A1E55" w14:textId="77777777" w:rsidR="00CD0B91" w:rsidRPr="00654F50" w:rsidRDefault="00CD0B91" w:rsidP="00110F89">
      <w:pPr>
        <w:pStyle w:val="Header"/>
        <w:ind w:firstLine="720"/>
        <w:rPr>
          <w:rFonts w:ascii="Times New Roman" w:hAnsi="Times New Roman" w:cs="Times New Roman"/>
          <w:sz w:val="28"/>
          <w:szCs w:val="28"/>
        </w:rPr>
      </w:pPr>
      <w:r w:rsidRPr="00654F50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45EA9B83" w14:textId="77777777" w:rsidR="00CD0B91" w:rsidRPr="00654F50" w:rsidRDefault="00CD0B91" w:rsidP="00110F89">
      <w:pPr>
        <w:pStyle w:val="Header"/>
        <w:tabs>
          <w:tab w:val="clear" w:pos="4153"/>
          <w:tab w:val="left" w:pos="652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54F50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654F50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CD0B91" w:rsidRPr="00654F50" w:rsidSect="00CD0B91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E53A" w14:textId="77777777" w:rsidR="001A2D38" w:rsidRDefault="001A2D38" w:rsidP="00E952DD">
      <w:pPr>
        <w:spacing w:after="0" w:line="240" w:lineRule="auto"/>
      </w:pPr>
      <w:r>
        <w:separator/>
      </w:r>
    </w:p>
  </w:endnote>
  <w:endnote w:type="continuationSeparator" w:id="0">
    <w:p w14:paraId="076A248A" w14:textId="77777777" w:rsidR="001A2D38" w:rsidRDefault="001A2D38" w:rsidP="00E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979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7C78C" w14:textId="6AD29CF9" w:rsidR="00B1174C" w:rsidRDefault="00CD0B91" w:rsidP="00CD0B91">
        <w:pPr>
          <w:pStyle w:val="Footer"/>
        </w:pPr>
        <w:r>
          <w:rPr>
            <w:rFonts w:ascii="Times New Roman" w:hAnsi="Times New Roman" w:cs="Times New Roman"/>
            <w:sz w:val="16"/>
            <w:szCs w:val="16"/>
          </w:rPr>
          <w:t>R1098_1p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41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88E34" w14:textId="77777777" w:rsidR="00CD0B91" w:rsidRDefault="00CD0B91" w:rsidP="00CD0B91">
        <w:pPr>
          <w:pStyle w:val="Footer"/>
        </w:pPr>
        <w:r>
          <w:rPr>
            <w:rFonts w:ascii="Times New Roman" w:hAnsi="Times New Roman" w:cs="Times New Roman"/>
            <w:sz w:val="16"/>
            <w:szCs w:val="16"/>
          </w:rPr>
          <w:t>R1098_1p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7640" w14:textId="77777777" w:rsidR="001A2D38" w:rsidRDefault="001A2D38" w:rsidP="00E952DD">
      <w:pPr>
        <w:spacing w:after="0" w:line="240" w:lineRule="auto"/>
      </w:pPr>
      <w:r>
        <w:separator/>
      </w:r>
    </w:p>
  </w:footnote>
  <w:footnote w:type="continuationSeparator" w:id="0">
    <w:p w14:paraId="67A5A010" w14:textId="77777777" w:rsidR="001A2D38" w:rsidRDefault="001A2D38" w:rsidP="00E9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601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0C9593" w14:textId="751DC9C7" w:rsidR="00CD0B91" w:rsidRPr="00CD0B91" w:rsidRDefault="00CD0B9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B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0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0B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46A"/>
    <w:multiLevelType w:val="hybridMultilevel"/>
    <w:tmpl w:val="14EAC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43D"/>
    <w:multiLevelType w:val="hybridMultilevel"/>
    <w:tmpl w:val="C6760F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8A6"/>
    <w:multiLevelType w:val="hybridMultilevel"/>
    <w:tmpl w:val="E5129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E48B3"/>
    <w:multiLevelType w:val="hybridMultilevel"/>
    <w:tmpl w:val="5C92AB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F07DF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301"/>
    <w:multiLevelType w:val="hybridMultilevel"/>
    <w:tmpl w:val="9580D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074C"/>
    <w:multiLevelType w:val="hybridMultilevel"/>
    <w:tmpl w:val="2160E8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E1A15"/>
    <w:multiLevelType w:val="multilevel"/>
    <w:tmpl w:val="DA824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D85537"/>
    <w:multiLevelType w:val="hybridMultilevel"/>
    <w:tmpl w:val="AEA20D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7A68A1"/>
    <w:multiLevelType w:val="hybridMultilevel"/>
    <w:tmpl w:val="00562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0831"/>
    <w:multiLevelType w:val="hybridMultilevel"/>
    <w:tmpl w:val="E20EBB70"/>
    <w:lvl w:ilvl="0" w:tplc="94BEABF4">
      <w:start w:val="1"/>
      <w:numFmt w:val="bullet"/>
      <w:pStyle w:val="V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1A0"/>
    <w:multiLevelType w:val="hybridMultilevel"/>
    <w:tmpl w:val="C24C7464"/>
    <w:lvl w:ilvl="0" w:tplc="767AA55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B6F9B"/>
    <w:multiLevelType w:val="hybridMultilevel"/>
    <w:tmpl w:val="14EAC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EB4133"/>
    <w:multiLevelType w:val="hybridMultilevel"/>
    <w:tmpl w:val="2536FC82"/>
    <w:lvl w:ilvl="0" w:tplc="47D670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66C06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C02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EF7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6C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460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0C2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899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869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868AB"/>
    <w:multiLevelType w:val="hybridMultilevel"/>
    <w:tmpl w:val="5484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50738"/>
    <w:multiLevelType w:val="hybridMultilevel"/>
    <w:tmpl w:val="6562E96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660B0"/>
    <w:multiLevelType w:val="hybridMultilevel"/>
    <w:tmpl w:val="F8C2B61C"/>
    <w:lvl w:ilvl="0" w:tplc="C4CEC65C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4C0D514E"/>
    <w:multiLevelType w:val="hybridMultilevel"/>
    <w:tmpl w:val="7D8015DC"/>
    <w:lvl w:ilvl="0" w:tplc="767AA5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041A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0842"/>
    <w:multiLevelType w:val="hybridMultilevel"/>
    <w:tmpl w:val="26667604"/>
    <w:lvl w:ilvl="0" w:tplc="C180B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30D11"/>
    <w:multiLevelType w:val="hybridMultilevel"/>
    <w:tmpl w:val="E90AA96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CA3C90"/>
    <w:multiLevelType w:val="hybridMultilevel"/>
    <w:tmpl w:val="2160E8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FF03C8"/>
    <w:multiLevelType w:val="hybridMultilevel"/>
    <w:tmpl w:val="96944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4989"/>
    <w:multiLevelType w:val="hybridMultilevel"/>
    <w:tmpl w:val="00562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B0074"/>
    <w:multiLevelType w:val="hybridMultilevel"/>
    <w:tmpl w:val="35EE3B82"/>
    <w:lvl w:ilvl="0" w:tplc="EE8E63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0"/>
  </w:num>
  <w:num w:numId="5">
    <w:abstractNumId w:val="3"/>
  </w:num>
  <w:num w:numId="6">
    <w:abstractNumId w:val="2"/>
  </w:num>
  <w:num w:numId="7">
    <w:abstractNumId w:val="15"/>
  </w:num>
  <w:num w:numId="8">
    <w:abstractNumId w:val="18"/>
  </w:num>
  <w:num w:numId="9">
    <w:abstractNumId w:val="4"/>
  </w:num>
  <w:num w:numId="10">
    <w:abstractNumId w:val="17"/>
  </w:num>
  <w:num w:numId="11">
    <w:abstractNumId w:val="13"/>
  </w:num>
  <w:num w:numId="12">
    <w:abstractNumId w:val="5"/>
  </w:num>
  <w:num w:numId="13">
    <w:abstractNumId w:val="1"/>
  </w:num>
  <w:num w:numId="14">
    <w:abstractNumId w:val="24"/>
  </w:num>
  <w:num w:numId="15">
    <w:abstractNumId w:val="12"/>
  </w:num>
  <w:num w:numId="16">
    <w:abstractNumId w:val="8"/>
  </w:num>
  <w:num w:numId="17">
    <w:abstractNumId w:val="22"/>
  </w:num>
  <w:num w:numId="18">
    <w:abstractNumId w:val="9"/>
  </w:num>
  <w:num w:numId="19">
    <w:abstractNumId w:val="14"/>
  </w:num>
  <w:num w:numId="20">
    <w:abstractNumId w:val="23"/>
  </w:num>
  <w:num w:numId="21">
    <w:abstractNumId w:val="0"/>
  </w:num>
  <w:num w:numId="22">
    <w:abstractNumId w:val="21"/>
  </w:num>
  <w:num w:numId="23">
    <w:abstractNumId w:val="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DD"/>
    <w:rsid w:val="00003F04"/>
    <w:rsid w:val="000350F6"/>
    <w:rsid w:val="000415BC"/>
    <w:rsid w:val="00042611"/>
    <w:rsid w:val="00095B53"/>
    <w:rsid w:val="000C3222"/>
    <w:rsid w:val="000C3B28"/>
    <w:rsid w:val="000D6089"/>
    <w:rsid w:val="000E019C"/>
    <w:rsid w:val="000E4D2B"/>
    <w:rsid w:val="000E6CEB"/>
    <w:rsid w:val="000F304F"/>
    <w:rsid w:val="000F5EFE"/>
    <w:rsid w:val="00102DC7"/>
    <w:rsid w:val="00103FAD"/>
    <w:rsid w:val="00105F16"/>
    <w:rsid w:val="00110F89"/>
    <w:rsid w:val="00114894"/>
    <w:rsid w:val="00116CC6"/>
    <w:rsid w:val="001300AA"/>
    <w:rsid w:val="00175725"/>
    <w:rsid w:val="00177504"/>
    <w:rsid w:val="00190157"/>
    <w:rsid w:val="001925D8"/>
    <w:rsid w:val="00193921"/>
    <w:rsid w:val="0019523D"/>
    <w:rsid w:val="001A2D38"/>
    <w:rsid w:val="001A3633"/>
    <w:rsid w:val="001B34F5"/>
    <w:rsid w:val="001C7442"/>
    <w:rsid w:val="001E05F0"/>
    <w:rsid w:val="001E6328"/>
    <w:rsid w:val="002117D7"/>
    <w:rsid w:val="0021603C"/>
    <w:rsid w:val="0022442C"/>
    <w:rsid w:val="00230157"/>
    <w:rsid w:val="002545AB"/>
    <w:rsid w:val="00263F1A"/>
    <w:rsid w:val="00264B85"/>
    <w:rsid w:val="00264E67"/>
    <w:rsid w:val="00280B1E"/>
    <w:rsid w:val="00287ED1"/>
    <w:rsid w:val="002936CD"/>
    <w:rsid w:val="002B0B56"/>
    <w:rsid w:val="002C00BD"/>
    <w:rsid w:val="002C19EF"/>
    <w:rsid w:val="002C6388"/>
    <w:rsid w:val="002C6A8C"/>
    <w:rsid w:val="002E3CD8"/>
    <w:rsid w:val="0030504B"/>
    <w:rsid w:val="00313000"/>
    <w:rsid w:val="003238E5"/>
    <w:rsid w:val="00332F71"/>
    <w:rsid w:val="003651A7"/>
    <w:rsid w:val="003A1792"/>
    <w:rsid w:val="003B747B"/>
    <w:rsid w:val="003C09B6"/>
    <w:rsid w:val="003C7A2C"/>
    <w:rsid w:val="003E06BF"/>
    <w:rsid w:val="003E49EC"/>
    <w:rsid w:val="003F2A1A"/>
    <w:rsid w:val="003F2E52"/>
    <w:rsid w:val="003F68AC"/>
    <w:rsid w:val="004069A7"/>
    <w:rsid w:val="0041415E"/>
    <w:rsid w:val="00421E92"/>
    <w:rsid w:val="00425C54"/>
    <w:rsid w:val="004279C3"/>
    <w:rsid w:val="00430EF0"/>
    <w:rsid w:val="00450CC4"/>
    <w:rsid w:val="00465983"/>
    <w:rsid w:val="004868C9"/>
    <w:rsid w:val="00491EFE"/>
    <w:rsid w:val="004C76A0"/>
    <w:rsid w:val="004F5E00"/>
    <w:rsid w:val="00502FAE"/>
    <w:rsid w:val="00515A06"/>
    <w:rsid w:val="005162B9"/>
    <w:rsid w:val="00524E08"/>
    <w:rsid w:val="00532B92"/>
    <w:rsid w:val="0053301D"/>
    <w:rsid w:val="00536CF3"/>
    <w:rsid w:val="00554C32"/>
    <w:rsid w:val="00595E85"/>
    <w:rsid w:val="00597DA4"/>
    <w:rsid w:val="005A6535"/>
    <w:rsid w:val="005B0A14"/>
    <w:rsid w:val="005B7DDF"/>
    <w:rsid w:val="00602076"/>
    <w:rsid w:val="00610AEF"/>
    <w:rsid w:val="00633D6A"/>
    <w:rsid w:val="00640954"/>
    <w:rsid w:val="00643914"/>
    <w:rsid w:val="00654F50"/>
    <w:rsid w:val="00655A5D"/>
    <w:rsid w:val="00655C25"/>
    <w:rsid w:val="00663C7C"/>
    <w:rsid w:val="006676B3"/>
    <w:rsid w:val="00676890"/>
    <w:rsid w:val="00684F31"/>
    <w:rsid w:val="006B2506"/>
    <w:rsid w:val="006C07A9"/>
    <w:rsid w:val="006D0BCE"/>
    <w:rsid w:val="006D3175"/>
    <w:rsid w:val="006F11E8"/>
    <w:rsid w:val="006F12CC"/>
    <w:rsid w:val="006F371C"/>
    <w:rsid w:val="006F4D40"/>
    <w:rsid w:val="007061F2"/>
    <w:rsid w:val="007063D2"/>
    <w:rsid w:val="00712B04"/>
    <w:rsid w:val="00731E8D"/>
    <w:rsid w:val="007442E2"/>
    <w:rsid w:val="00757A4B"/>
    <w:rsid w:val="0076346F"/>
    <w:rsid w:val="00775958"/>
    <w:rsid w:val="00780BEA"/>
    <w:rsid w:val="00795685"/>
    <w:rsid w:val="007A1ECB"/>
    <w:rsid w:val="007B3B11"/>
    <w:rsid w:val="007B50E6"/>
    <w:rsid w:val="007C00CC"/>
    <w:rsid w:val="007C0204"/>
    <w:rsid w:val="0080630B"/>
    <w:rsid w:val="00807C75"/>
    <w:rsid w:val="00813323"/>
    <w:rsid w:val="00817857"/>
    <w:rsid w:val="00825755"/>
    <w:rsid w:val="00825D6D"/>
    <w:rsid w:val="0082603A"/>
    <w:rsid w:val="00834F4D"/>
    <w:rsid w:val="0085498F"/>
    <w:rsid w:val="00854D82"/>
    <w:rsid w:val="00857770"/>
    <w:rsid w:val="00863D34"/>
    <w:rsid w:val="0087073B"/>
    <w:rsid w:val="008B2184"/>
    <w:rsid w:val="008B558B"/>
    <w:rsid w:val="008D4A76"/>
    <w:rsid w:val="008D6E02"/>
    <w:rsid w:val="008E0589"/>
    <w:rsid w:val="008E4227"/>
    <w:rsid w:val="00900F4B"/>
    <w:rsid w:val="00916281"/>
    <w:rsid w:val="009173E4"/>
    <w:rsid w:val="00924D20"/>
    <w:rsid w:val="00937597"/>
    <w:rsid w:val="00940E5B"/>
    <w:rsid w:val="0094676C"/>
    <w:rsid w:val="00966B26"/>
    <w:rsid w:val="009678FE"/>
    <w:rsid w:val="00991C69"/>
    <w:rsid w:val="009B2C42"/>
    <w:rsid w:val="009B4F03"/>
    <w:rsid w:val="009B5221"/>
    <w:rsid w:val="009C05EC"/>
    <w:rsid w:val="009C0C8A"/>
    <w:rsid w:val="009C219E"/>
    <w:rsid w:val="009D5280"/>
    <w:rsid w:val="009D62DE"/>
    <w:rsid w:val="00A00B19"/>
    <w:rsid w:val="00A13908"/>
    <w:rsid w:val="00A443C2"/>
    <w:rsid w:val="00A57321"/>
    <w:rsid w:val="00A63155"/>
    <w:rsid w:val="00A725A1"/>
    <w:rsid w:val="00A84282"/>
    <w:rsid w:val="00A94CEB"/>
    <w:rsid w:val="00AD1A6F"/>
    <w:rsid w:val="00AE31F2"/>
    <w:rsid w:val="00AE7806"/>
    <w:rsid w:val="00AE7A98"/>
    <w:rsid w:val="00AF0D5C"/>
    <w:rsid w:val="00B1174C"/>
    <w:rsid w:val="00B17E47"/>
    <w:rsid w:val="00B27563"/>
    <w:rsid w:val="00B33E9F"/>
    <w:rsid w:val="00B37713"/>
    <w:rsid w:val="00B513CF"/>
    <w:rsid w:val="00B670C2"/>
    <w:rsid w:val="00B82372"/>
    <w:rsid w:val="00B82ADF"/>
    <w:rsid w:val="00B851E9"/>
    <w:rsid w:val="00BB3286"/>
    <w:rsid w:val="00BC6863"/>
    <w:rsid w:val="00BE4089"/>
    <w:rsid w:val="00BF0F0A"/>
    <w:rsid w:val="00BF427A"/>
    <w:rsid w:val="00C34AE6"/>
    <w:rsid w:val="00C420E0"/>
    <w:rsid w:val="00C458B4"/>
    <w:rsid w:val="00C50958"/>
    <w:rsid w:val="00C52D02"/>
    <w:rsid w:val="00C71C47"/>
    <w:rsid w:val="00C73518"/>
    <w:rsid w:val="00C924FC"/>
    <w:rsid w:val="00C95B90"/>
    <w:rsid w:val="00CA3287"/>
    <w:rsid w:val="00CB3EBD"/>
    <w:rsid w:val="00CD0B91"/>
    <w:rsid w:val="00CE50C1"/>
    <w:rsid w:val="00CE785A"/>
    <w:rsid w:val="00CF0046"/>
    <w:rsid w:val="00CF0FB0"/>
    <w:rsid w:val="00CF1EC1"/>
    <w:rsid w:val="00CF4D0A"/>
    <w:rsid w:val="00D140FE"/>
    <w:rsid w:val="00D36E98"/>
    <w:rsid w:val="00D4165F"/>
    <w:rsid w:val="00D4389A"/>
    <w:rsid w:val="00D4550D"/>
    <w:rsid w:val="00D50D42"/>
    <w:rsid w:val="00D5103E"/>
    <w:rsid w:val="00D5311F"/>
    <w:rsid w:val="00D65303"/>
    <w:rsid w:val="00D6747E"/>
    <w:rsid w:val="00D677C8"/>
    <w:rsid w:val="00D81C41"/>
    <w:rsid w:val="00D8462E"/>
    <w:rsid w:val="00D92B4C"/>
    <w:rsid w:val="00D92BE5"/>
    <w:rsid w:val="00DA6647"/>
    <w:rsid w:val="00DD3EBD"/>
    <w:rsid w:val="00DE0B3F"/>
    <w:rsid w:val="00DF1733"/>
    <w:rsid w:val="00DF5103"/>
    <w:rsid w:val="00E04275"/>
    <w:rsid w:val="00E07082"/>
    <w:rsid w:val="00E07DA7"/>
    <w:rsid w:val="00E1362D"/>
    <w:rsid w:val="00E14004"/>
    <w:rsid w:val="00E15A84"/>
    <w:rsid w:val="00E245EF"/>
    <w:rsid w:val="00E301D9"/>
    <w:rsid w:val="00E420CB"/>
    <w:rsid w:val="00E455A0"/>
    <w:rsid w:val="00E45F81"/>
    <w:rsid w:val="00E46D6C"/>
    <w:rsid w:val="00E6673D"/>
    <w:rsid w:val="00E769E6"/>
    <w:rsid w:val="00E7775F"/>
    <w:rsid w:val="00E807D5"/>
    <w:rsid w:val="00E83B22"/>
    <w:rsid w:val="00E952DD"/>
    <w:rsid w:val="00EA173F"/>
    <w:rsid w:val="00EA328C"/>
    <w:rsid w:val="00EB2A57"/>
    <w:rsid w:val="00EC2150"/>
    <w:rsid w:val="00EC5AFF"/>
    <w:rsid w:val="00ED3868"/>
    <w:rsid w:val="00EF6CFE"/>
    <w:rsid w:val="00F00412"/>
    <w:rsid w:val="00F01E95"/>
    <w:rsid w:val="00F0290F"/>
    <w:rsid w:val="00F24230"/>
    <w:rsid w:val="00F402D1"/>
    <w:rsid w:val="00F43F93"/>
    <w:rsid w:val="00F46A1C"/>
    <w:rsid w:val="00F46F85"/>
    <w:rsid w:val="00F51CED"/>
    <w:rsid w:val="00F529A2"/>
    <w:rsid w:val="00F529A9"/>
    <w:rsid w:val="00F52B74"/>
    <w:rsid w:val="00F6204F"/>
    <w:rsid w:val="00F6318E"/>
    <w:rsid w:val="00F95006"/>
    <w:rsid w:val="00FA0D62"/>
    <w:rsid w:val="00FA1B03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17C682"/>
  <w15:docId w15:val="{D52B8C7D-4AA0-4EAC-9B9B-3BAB8E8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Body">
    <w:name w:val="VP Body"/>
    <w:basedOn w:val="Normal"/>
    <w:qFormat/>
    <w:rsid w:val="00E952DD"/>
    <w:pPr>
      <w:tabs>
        <w:tab w:val="left" w:pos="0"/>
      </w:tabs>
      <w:jc w:val="both"/>
    </w:pPr>
    <w:rPr>
      <w:rFonts w:ascii="Times New Roman" w:hAnsi="Times New Roman" w:cs="Times New Roman"/>
      <w:bCs/>
      <w:sz w:val="24"/>
    </w:rPr>
  </w:style>
  <w:style w:type="paragraph" w:customStyle="1" w:styleId="VPBodyTable">
    <w:name w:val="VP Body Table"/>
    <w:basedOn w:val="VPBody"/>
    <w:qFormat/>
    <w:rsid w:val="00E952DD"/>
    <w:pPr>
      <w:spacing w:after="0"/>
      <w:jc w:val="left"/>
    </w:pPr>
    <w:rPr>
      <w:sz w:val="20"/>
      <w:lang w:val="en-US"/>
    </w:rPr>
  </w:style>
  <w:style w:type="table" w:styleId="TableGrid">
    <w:name w:val="Table Grid"/>
    <w:basedOn w:val="TableNormal"/>
    <w:uiPriority w:val="39"/>
    <w:rsid w:val="00E952DD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FT,ft,SD Footnote Text,Footnote Text AG,Char10,Char1,Fußnotentext Char Char Char,Fußnotentext Char Char Char Char Char Char Char Char Char Char,Fußnotentext Char Char Char Char Char Char Char,Fußnote Char Char Char,Fußnote,Fußnote Char"/>
    <w:basedOn w:val="Normal"/>
    <w:link w:val="FootnoteTextChar"/>
    <w:unhideWhenUsed/>
    <w:rsid w:val="00E952DD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Char10 Char,Char1 Char,Fußnotentext Char Char Char Char,Fußnotentext Char Char Char Char Char Char Char Char Char Char Char,Fußnote Char Char Char Char,Fußnote Char1"/>
    <w:basedOn w:val="DefaultParagraphFont"/>
    <w:link w:val="FootnoteText"/>
    <w:rsid w:val="00E952DD"/>
    <w:rPr>
      <w:sz w:val="20"/>
      <w:szCs w:val="20"/>
    </w:rPr>
  </w:style>
  <w:style w:type="character" w:styleId="FootnoteReference">
    <w:name w:val="footnote reference"/>
    <w:aliases w:val="fr,Footnote symbol,Footnote Reference Number,SUPERS"/>
    <w:basedOn w:val="DefaultParagraphFont"/>
    <w:unhideWhenUsed/>
    <w:rsid w:val="00E952DD"/>
    <w:rPr>
      <w:vertAlign w:val="superscript"/>
    </w:rPr>
  </w:style>
  <w:style w:type="paragraph" w:customStyle="1" w:styleId="VPBullet">
    <w:name w:val="VP Bullet"/>
    <w:basedOn w:val="VPBody"/>
    <w:rsid w:val="00E952DD"/>
    <w:pPr>
      <w:numPr>
        <w:numId w:val="1"/>
      </w:numPr>
    </w:pPr>
  </w:style>
  <w:style w:type="paragraph" w:customStyle="1" w:styleId="VPHeading">
    <w:name w:val="VP Heading"/>
    <w:basedOn w:val="Normal"/>
    <w:rsid w:val="00E952DD"/>
    <w:pPr>
      <w:keepNext/>
      <w:keepLines/>
      <w:tabs>
        <w:tab w:val="left" w:pos="255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table" w:customStyle="1" w:styleId="GridTable4-Accent11">
    <w:name w:val="Grid Table 4 - Accent 11"/>
    <w:basedOn w:val="TableNormal"/>
    <w:uiPriority w:val="49"/>
    <w:rsid w:val="00E952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3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4C"/>
  </w:style>
  <w:style w:type="paragraph" w:styleId="Footer">
    <w:name w:val="footer"/>
    <w:basedOn w:val="Normal"/>
    <w:link w:val="Foot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28C"/>
    <w:rPr>
      <w:color w:val="605E5C"/>
      <w:shd w:val="clear" w:color="auto" w:fill="E1DFDD"/>
    </w:rPr>
  </w:style>
  <w:style w:type="paragraph" w:customStyle="1" w:styleId="Body">
    <w:name w:val="Body"/>
    <w:rsid w:val="00CD0B9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Revision">
    <w:name w:val="Revision"/>
    <w:hidden/>
    <w:uiPriority w:val="99"/>
    <w:semiHidden/>
    <w:rsid w:val="00780BE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7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A492-211A-4474-B101-E1D255E6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D1C66-AC15-4218-B904-DB1F2AD1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290E0-148B-45E0-ABE4-DA7ED6A55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3C22F-F8DD-4110-AA12-834B852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7891</Words>
  <Characters>4498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pielikums</vt:lpstr>
      <vt:lpstr/>
    </vt:vector>
  </TitlesOfParts>
  <Company>Vides aizsardzības un reģionālās attīstības ministrija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pielikums</dc:title>
  <dc:subject>Projekta "Ekonomikas ministrijas resora administratīvā procesa digitālā transformācija" apraksts</dc:subject>
  <dc:creator>Lelda Kalniņa</dc:creator>
  <dc:description>lelda.kalnina@varam.gov.lv</dc:description>
  <cp:lastModifiedBy>Leontine Babkina</cp:lastModifiedBy>
  <cp:revision>56</cp:revision>
  <cp:lastPrinted>2020-09-07T13:31:00Z</cp:lastPrinted>
  <dcterms:created xsi:type="dcterms:W3CDTF">2021-04-13T06:43:00Z</dcterms:created>
  <dcterms:modified xsi:type="dcterms:W3CDTF">2021-06-01T05:01:00Z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