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3025C" w14:textId="77777777" w:rsidR="007116C7" w:rsidRPr="00712B66" w:rsidRDefault="007116C7" w:rsidP="002749B5">
      <w:pPr>
        <w:pStyle w:val="naisnod"/>
        <w:spacing w:before="0" w:after="0"/>
        <w:rPr>
          <w:sz w:val="28"/>
          <w:szCs w:val="28"/>
        </w:rPr>
      </w:pPr>
      <w:bookmarkStart w:id="0" w:name="_GoBack"/>
      <w:bookmarkEnd w:id="0"/>
      <w:r w:rsidRPr="00712B66">
        <w:rPr>
          <w:sz w:val="28"/>
          <w:szCs w:val="28"/>
        </w:rPr>
        <w:t>Izziņa par atzinumos sniegtajiem iebildumiem</w:t>
      </w:r>
    </w:p>
    <w:p w14:paraId="040E57CC" w14:textId="77777777" w:rsidR="007116C7" w:rsidRPr="00621D5F" w:rsidRDefault="007116C7" w:rsidP="002749B5">
      <w:pPr>
        <w:pStyle w:val="Subtitle"/>
        <w:widowControl w:val="0"/>
        <w:spacing w:after="0"/>
        <w:rPr>
          <w:rFonts w:ascii="Times New Roman" w:hAnsi="Times New Roman"/>
        </w:rPr>
      </w:pPr>
    </w:p>
    <w:tbl>
      <w:tblPr>
        <w:tblW w:w="0" w:type="auto"/>
        <w:jc w:val="center"/>
        <w:tblLook w:val="00A0" w:firstRow="1" w:lastRow="0" w:firstColumn="1" w:lastColumn="0" w:noHBand="0" w:noVBand="0"/>
      </w:tblPr>
      <w:tblGrid>
        <w:gridCol w:w="10188"/>
      </w:tblGrid>
      <w:tr w:rsidR="007116C7" w:rsidRPr="00621D5F" w14:paraId="11DF0B77" w14:textId="77777777">
        <w:trPr>
          <w:jc w:val="center"/>
        </w:trPr>
        <w:tc>
          <w:tcPr>
            <w:tcW w:w="10188" w:type="dxa"/>
            <w:tcBorders>
              <w:bottom w:val="single" w:sz="6" w:space="0" w:color="000000"/>
            </w:tcBorders>
          </w:tcPr>
          <w:p w14:paraId="354ACE74" w14:textId="54EEFB6B" w:rsidR="007116C7" w:rsidRPr="00621D5F" w:rsidRDefault="00621D5F" w:rsidP="002749B5">
            <w:pPr>
              <w:pStyle w:val="Subtitle"/>
              <w:widowControl w:val="0"/>
              <w:spacing w:after="0"/>
              <w:rPr>
                <w:rFonts w:ascii="Times New Roman" w:hAnsi="Times New Roman"/>
              </w:rPr>
            </w:pPr>
            <w:r w:rsidRPr="00621D5F">
              <w:rPr>
                <w:rFonts w:ascii="Times New Roman" w:hAnsi="Times New Roman"/>
              </w:rPr>
              <w:t xml:space="preserve"> </w:t>
            </w:r>
            <w:r>
              <w:rPr>
                <w:rFonts w:ascii="Times New Roman" w:hAnsi="Times New Roman"/>
              </w:rPr>
              <w:t xml:space="preserve"> Par </w:t>
            </w:r>
            <w:r w:rsidRPr="00621D5F">
              <w:rPr>
                <w:rFonts w:ascii="Times New Roman" w:hAnsi="Times New Roman"/>
              </w:rPr>
              <w:t>Ministru kabineta noteikumu projekts “</w:t>
            </w:r>
            <w:r w:rsidR="00BF7338" w:rsidRPr="00BF7338">
              <w:rPr>
                <w:rFonts w:ascii="Times New Roman" w:hAnsi="Times New Roman"/>
              </w:rPr>
              <w:t>Noteikumi par plānošanas reģionu teritorijām</w:t>
            </w:r>
            <w:r w:rsidRPr="00621D5F">
              <w:rPr>
                <w:rFonts w:ascii="Times New Roman" w:hAnsi="Times New Roman"/>
              </w:rPr>
              <w:t>”</w:t>
            </w:r>
            <w:r>
              <w:rPr>
                <w:rFonts w:ascii="Times New Roman" w:hAnsi="Times New Roman"/>
              </w:rPr>
              <w:t xml:space="preserve"> (VSS-</w:t>
            </w:r>
            <w:r w:rsidR="00BB0BDD">
              <w:rPr>
                <w:rFonts w:ascii="Times New Roman" w:hAnsi="Times New Roman"/>
              </w:rPr>
              <w:t>317</w:t>
            </w:r>
            <w:r>
              <w:rPr>
                <w:rFonts w:ascii="Times New Roman" w:hAnsi="Times New Roman"/>
              </w:rPr>
              <w:t>)</w:t>
            </w:r>
          </w:p>
        </w:tc>
      </w:tr>
    </w:tbl>
    <w:p w14:paraId="34C7871C" w14:textId="77777777" w:rsidR="007B4C0F" w:rsidRPr="00712B66" w:rsidRDefault="007B4C0F" w:rsidP="002749B5">
      <w:pPr>
        <w:pStyle w:val="naisf"/>
        <w:spacing w:before="0" w:after="0"/>
        <w:ind w:firstLine="0"/>
      </w:pPr>
    </w:p>
    <w:p w14:paraId="6596FD75" w14:textId="77777777" w:rsidR="007B4C0F" w:rsidRPr="00712B66" w:rsidRDefault="007B4C0F" w:rsidP="002749B5">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C866BDC" w14:textId="77777777" w:rsidR="007B4C0F" w:rsidRPr="00712B66" w:rsidRDefault="007B4C0F" w:rsidP="002749B5">
      <w:pPr>
        <w:pStyle w:val="naisf"/>
        <w:spacing w:before="0" w:after="0"/>
        <w:ind w:firstLine="0"/>
      </w:pPr>
    </w:p>
    <w:tbl>
      <w:tblPr>
        <w:tblW w:w="1426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3D68839F" w14:textId="77777777" w:rsidTr="002749B5">
        <w:trPr>
          <w:jc w:val="center"/>
        </w:trPr>
        <w:tc>
          <w:tcPr>
            <w:tcW w:w="708" w:type="dxa"/>
            <w:tcBorders>
              <w:top w:val="single" w:sz="6" w:space="0" w:color="000000"/>
              <w:left w:val="single" w:sz="6" w:space="0" w:color="000000"/>
              <w:bottom w:val="single" w:sz="6" w:space="0" w:color="000000"/>
              <w:right w:val="single" w:sz="6" w:space="0" w:color="000000"/>
            </w:tcBorders>
            <w:vAlign w:val="center"/>
          </w:tcPr>
          <w:p w14:paraId="7BE4C883" w14:textId="77777777" w:rsidR="005F4BFD" w:rsidRPr="00712B66" w:rsidRDefault="005F4BFD" w:rsidP="002749B5">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12ED3185" w14:textId="77777777" w:rsidR="005F4BFD" w:rsidRPr="00712B66" w:rsidRDefault="005F4BFD" w:rsidP="002749B5">
            <w:pPr>
              <w:pStyle w:val="naisc"/>
              <w:spacing w:before="0" w:after="0"/>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0916C65" w14:textId="77777777" w:rsidR="005F4BFD" w:rsidRPr="00712B66" w:rsidRDefault="005F4BFD" w:rsidP="002749B5">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F8378E" w14:textId="77777777" w:rsidR="005F4BFD" w:rsidRPr="00712B66" w:rsidRDefault="005F4BFD" w:rsidP="002749B5">
            <w:pPr>
              <w:pStyle w:val="naisc"/>
              <w:spacing w:before="0" w:after="0"/>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E782CC3" w14:textId="77777777" w:rsidR="005F4BFD" w:rsidRPr="00712B66" w:rsidRDefault="005F4BFD" w:rsidP="002749B5">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359F713" w14:textId="77777777" w:rsidR="005F4BFD" w:rsidRPr="00712B66" w:rsidRDefault="005F4BFD" w:rsidP="002749B5">
            <w:pPr>
              <w:jc w:val="center"/>
            </w:pPr>
            <w:r w:rsidRPr="00712B66">
              <w:t>Projekta attiecīgā punkta (panta) galīgā redakcija</w:t>
            </w:r>
          </w:p>
        </w:tc>
      </w:tr>
      <w:tr w:rsidR="005F4BFD" w:rsidRPr="008A36C9" w14:paraId="0EE0E4E9" w14:textId="77777777" w:rsidTr="002749B5">
        <w:trPr>
          <w:jc w:val="center"/>
        </w:trPr>
        <w:tc>
          <w:tcPr>
            <w:tcW w:w="708" w:type="dxa"/>
            <w:tcBorders>
              <w:top w:val="single" w:sz="6" w:space="0" w:color="000000"/>
              <w:left w:val="single" w:sz="6" w:space="0" w:color="000000"/>
              <w:bottom w:val="single" w:sz="6" w:space="0" w:color="000000"/>
              <w:right w:val="single" w:sz="6" w:space="0" w:color="000000"/>
            </w:tcBorders>
          </w:tcPr>
          <w:p w14:paraId="6D8E3DEE" w14:textId="77777777" w:rsidR="005F4BFD" w:rsidRPr="008A36C9" w:rsidRDefault="008A36C9" w:rsidP="002749B5">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4EAC522" w14:textId="77777777" w:rsidR="005F4BFD" w:rsidRPr="008A36C9" w:rsidRDefault="008A36C9" w:rsidP="002749B5">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D994B98" w14:textId="77777777" w:rsidR="005F4BFD" w:rsidRPr="008A36C9" w:rsidRDefault="008A36C9" w:rsidP="002749B5">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CF5E06F" w14:textId="77777777" w:rsidR="005F4BFD" w:rsidRPr="008A36C9" w:rsidRDefault="008A36C9" w:rsidP="002749B5">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FAFD07A" w14:textId="77777777" w:rsidR="005F4BFD" w:rsidRPr="008A36C9" w:rsidRDefault="008A36C9" w:rsidP="002749B5">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6DD9D1A" w14:textId="77777777" w:rsidR="005F4BFD" w:rsidRPr="008A36C9" w:rsidRDefault="008A36C9" w:rsidP="002749B5">
            <w:pPr>
              <w:jc w:val="center"/>
              <w:rPr>
                <w:sz w:val="20"/>
                <w:szCs w:val="20"/>
              </w:rPr>
            </w:pPr>
            <w:r w:rsidRPr="008A36C9">
              <w:rPr>
                <w:sz w:val="20"/>
                <w:szCs w:val="20"/>
              </w:rPr>
              <w:t>6</w:t>
            </w:r>
          </w:p>
        </w:tc>
      </w:tr>
      <w:tr w:rsidR="005F4BFD" w:rsidRPr="00712B66" w14:paraId="47132B05" w14:textId="77777777" w:rsidTr="002749B5">
        <w:trPr>
          <w:jc w:val="center"/>
        </w:trPr>
        <w:tc>
          <w:tcPr>
            <w:tcW w:w="708" w:type="dxa"/>
            <w:tcBorders>
              <w:left w:val="single" w:sz="6" w:space="0" w:color="000000"/>
              <w:bottom w:val="single" w:sz="4" w:space="0" w:color="auto"/>
              <w:right w:val="single" w:sz="6" w:space="0" w:color="000000"/>
            </w:tcBorders>
          </w:tcPr>
          <w:p w14:paraId="64BA78C9" w14:textId="77777777" w:rsidR="005F4BFD" w:rsidRPr="00712B66" w:rsidRDefault="005F4BFD" w:rsidP="002749B5">
            <w:pPr>
              <w:pStyle w:val="naisc"/>
              <w:spacing w:before="0" w:after="0"/>
            </w:pPr>
          </w:p>
        </w:tc>
        <w:tc>
          <w:tcPr>
            <w:tcW w:w="3086" w:type="dxa"/>
            <w:tcBorders>
              <w:left w:val="single" w:sz="6" w:space="0" w:color="000000"/>
              <w:bottom w:val="single" w:sz="4" w:space="0" w:color="auto"/>
              <w:right w:val="single" w:sz="6" w:space="0" w:color="000000"/>
            </w:tcBorders>
          </w:tcPr>
          <w:p w14:paraId="60B8B56C" w14:textId="77777777" w:rsidR="005F4BFD" w:rsidRPr="00712B66" w:rsidRDefault="005F4BFD" w:rsidP="002749B5">
            <w:pPr>
              <w:pStyle w:val="naisc"/>
              <w:spacing w:before="0" w:after="0"/>
            </w:pPr>
          </w:p>
        </w:tc>
        <w:tc>
          <w:tcPr>
            <w:tcW w:w="3118" w:type="dxa"/>
            <w:tcBorders>
              <w:left w:val="single" w:sz="6" w:space="0" w:color="000000"/>
              <w:bottom w:val="single" w:sz="4" w:space="0" w:color="auto"/>
              <w:right w:val="single" w:sz="6" w:space="0" w:color="000000"/>
            </w:tcBorders>
          </w:tcPr>
          <w:p w14:paraId="2914DA7C" w14:textId="77777777" w:rsidR="005F4BFD" w:rsidRPr="00712B66" w:rsidRDefault="005F4BFD" w:rsidP="002749B5">
            <w:pPr>
              <w:pStyle w:val="naisc"/>
              <w:spacing w:before="0" w:after="0"/>
            </w:pPr>
          </w:p>
        </w:tc>
        <w:tc>
          <w:tcPr>
            <w:tcW w:w="2977" w:type="dxa"/>
            <w:tcBorders>
              <w:left w:val="single" w:sz="6" w:space="0" w:color="000000"/>
              <w:bottom w:val="single" w:sz="4" w:space="0" w:color="auto"/>
              <w:right w:val="single" w:sz="6" w:space="0" w:color="000000"/>
            </w:tcBorders>
          </w:tcPr>
          <w:p w14:paraId="200E9041" w14:textId="77777777" w:rsidR="005F4BFD" w:rsidRPr="00712B66" w:rsidRDefault="005F4BFD" w:rsidP="002749B5">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14:paraId="69C0D2D8" w14:textId="77777777" w:rsidR="005F4BFD" w:rsidRPr="00712B66" w:rsidRDefault="005F4BFD" w:rsidP="002749B5"/>
        </w:tc>
        <w:tc>
          <w:tcPr>
            <w:tcW w:w="1920" w:type="dxa"/>
            <w:tcBorders>
              <w:top w:val="single" w:sz="4" w:space="0" w:color="auto"/>
              <w:left w:val="single" w:sz="4" w:space="0" w:color="auto"/>
              <w:bottom w:val="single" w:sz="4" w:space="0" w:color="auto"/>
            </w:tcBorders>
          </w:tcPr>
          <w:p w14:paraId="2565A261" w14:textId="77777777" w:rsidR="005F4BFD" w:rsidRPr="00712B66" w:rsidRDefault="005F4BFD" w:rsidP="002749B5"/>
        </w:tc>
      </w:tr>
    </w:tbl>
    <w:p w14:paraId="1F19E060" w14:textId="1853B362" w:rsidR="007B4C0F" w:rsidRDefault="007B4C0F" w:rsidP="002749B5">
      <w:pPr>
        <w:pStyle w:val="naisf"/>
        <w:spacing w:before="0" w:after="0"/>
        <w:ind w:firstLine="0"/>
      </w:pPr>
    </w:p>
    <w:p w14:paraId="5E1567FA" w14:textId="77777777" w:rsidR="00B22037" w:rsidRPr="00712B66" w:rsidRDefault="00B22037" w:rsidP="002749B5">
      <w:pPr>
        <w:pStyle w:val="naisf"/>
        <w:spacing w:before="0" w:after="0"/>
        <w:ind w:firstLine="0"/>
      </w:pPr>
    </w:p>
    <w:p w14:paraId="3EC18304" w14:textId="77777777" w:rsidR="005D67F7" w:rsidRPr="00712B66" w:rsidRDefault="005D67F7" w:rsidP="002749B5">
      <w:pPr>
        <w:pStyle w:val="naisf"/>
        <w:spacing w:before="0" w:after="0"/>
        <w:ind w:firstLine="0"/>
        <w:rPr>
          <w:b/>
        </w:rPr>
      </w:pPr>
      <w:r w:rsidRPr="00712B66">
        <w:rPr>
          <w:b/>
        </w:rPr>
        <w:t>Informācija par starpministriju (starpinstitūciju) sanāksmi vai elektronisko saskaņošanu</w:t>
      </w:r>
    </w:p>
    <w:p w14:paraId="20CBF683" w14:textId="77777777" w:rsidR="005D67F7" w:rsidRPr="00712B66" w:rsidRDefault="005D67F7" w:rsidP="002749B5">
      <w:pPr>
        <w:pStyle w:val="naisf"/>
        <w:spacing w:before="0" w:after="0"/>
        <w:ind w:firstLine="0"/>
        <w:rPr>
          <w:b/>
        </w:rPr>
      </w:pPr>
    </w:p>
    <w:tbl>
      <w:tblPr>
        <w:tblW w:w="12627" w:type="dxa"/>
        <w:tblLook w:val="00A0" w:firstRow="1" w:lastRow="0" w:firstColumn="1" w:lastColumn="0" w:noHBand="0" w:noVBand="0"/>
      </w:tblPr>
      <w:tblGrid>
        <w:gridCol w:w="6345"/>
        <w:gridCol w:w="34"/>
        <w:gridCol w:w="6072"/>
        <w:gridCol w:w="176"/>
      </w:tblGrid>
      <w:tr w:rsidR="007B4C0F" w:rsidRPr="00712B66" w14:paraId="7B525188" w14:textId="77777777" w:rsidTr="00DC0882">
        <w:trPr>
          <w:gridAfter w:val="1"/>
          <w:wAfter w:w="176" w:type="dxa"/>
        </w:trPr>
        <w:tc>
          <w:tcPr>
            <w:tcW w:w="6345" w:type="dxa"/>
          </w:tcPr>
          <w:p w14:paraId="4BBCD30F" w14:textId="77777777" w:rsidR="007B4C0F" w:rsidRPr="00712B66" w:rsidRDefault="005D67F7" w:rsidP="002749B5">
            <w:pPr>
              <w:pStyle w:val="naisf"/>
              <w:spacing w:before="0" w:after="0"/>
              <w:ind w:firstLine="0"/>
            </w:pPr>
            <w:r w:rsidRPr="00712B66">
              <w:t>D</w:t>
            </w:r>
            <w:r w:rsidR="007B4C0F" w:rsidRPr="00712B66">
              <w:t>atums</w:t>
            </w:r>
          </w:p>
        </w:tc>
        <w:tc>
          <w:tcPr>
            <w:tcW w:w="6106" w:type="dxa"/>
            <w:gridSpan w:val="2"/>
            <w:tcBorders>
              <w:bottom w:val="single" w:sz="4" w:space="0" w:color="auto"/>
            </w:tcBorders>
          </w:tcPr>
          <w:p w14:paraId="25F9CDA1" w14:textId="2C68D49A" w:rsidR="006C1AFF" w:rsidRPr="004A4B06" w:rsidRDefault="00621D5F" w:rsidP="0028632A">
            <w:pPr>
              <w:pStyle w:val="NormalWeb"/>
              <w:spacing w:before="0" w:beforeAutospacing="0" w:after="0" w:afterAutospacing="0"/>
            </w:pPr>
            <w:r w:rsidRPr="004A4B06">
              <w:t>20</w:t>
            </w:r>
            <w:r w:rsidR="009A6A54" w:rsidRPr="004A4B06">
              <w:t>2</w:t>
            </w:r>
            <w:r w:rsidR="00BB0BDD" w:rsidRPr="004A4B06">
              <w:t>1</w:t>
            </w:r>
            <w:r w:rsidRPr="004A4B06">
              <w:t xml:space="preserve">. gada </w:t>
            </w:r>
            <w:r w:rsidR="00BB0BDD" w:rsidRPr="004A4B06">
              <w:t>30</w:t>
            </w:r>
            <w:r w:rsidRPr="004A4B06">
              <w:t xml:space="preserve">. </w:t>
            </w:r>
            <w:r w:rsidR="00BB0BDD" w:rsidRPr="004A4B06">
              <w:t>aprīlis</w:t>
            </w:r>
            <w:r w:rsidR="000C3AAF" w:rsidRPr="004A4B06">
              <w:t xml:space="preserve"> – elektroniska </w:t>
            </w:r>
            <w:r w:rsidR="001E1094" w:rsidRPr="004A4B06">
              <w:t>sa</w:t>
            </w:r>
            <w:r w:rsidR="000C3AAF" w:rsidRPr="004A4B06">
              <w:t>skaņošana</w:t>
            </w:r>
          </w:p>
        </w:tc>
      </w:tr>
      <w:tr w:rsidR="003C27A2" w:rsidRPr="00712B66" w14:paraId="57B0B0AA" w14:textId="77777777" w:rsidTr="00DC0882">
        <w:trPr>
          <w:gridAfter w:val="1"/>
          <w:wAfter w:w="176" w:type="dxa"/>
        </w:trPr>
        <w:tc>
          <w:tcPr>
            <w:tcW w:w="6345" w:type="dxa"/>
          </w:tcPr>
          <w:p w14:paraId="200EC984" w14:textId="77777777" w:rsidR="003C27A2" w:rsidRPr="00712B66" w:rsidRDefault="003C27A2" w:rsidP="002749B5">
            <w:pPr>
              <w:pStyle w:val="naisf"/>
              <w:spacing w:before="0" w:after="0"/>
              <w:ind w:firstLine="0"/>
            </w:pPr>
          </w:p>
        </w:tc>
        <w:tc>
          <w:tcPr>
            <w:tcW w:w="6106" w:type="dxa"/>
            <w:gridSpan w:val="2"/>
            <w:tcBorders>
              <w:top w:val="single" w:sz="4" w:space="0" w:color="auto"/>
            </w:tcBorders>
          </w:tcPr>
          <w:p w14:paraId="72559136" w14:textId="77777777" w:rsidR="003C27A2" w:rsidRPr="00712B66" w:rsidRDefault="003C27A2" w:rsidP="002749B5">
            <w:pPr>
              <w:pStyle w:val="NormalWeb"/>
              <w:spacing w:before="0" w:beforeAutospacing="0" w:after="0" w:afterAutospacing="0"/>
            </w:pPr>
          </w:p>
        </w:tc>
      </w:tr>
      <w:tr w:rsidR="007B4C0F" w:rsidRPr="00712B66" w14:paraId="1CD7B0F1" w14:textId="77777777" w:rsidTr="00B203AC">
        <w:trPr>
          <w:gridAfter w:val="1"/>
          <w:wAfter w:w="176" w:type="dxa"/>
        </w:trPr>
        <w:tc>
          <w:tcPr>
            <w:tcW w:w="6345" w:type="dxa"/>
          </w:tcPr>
          <w:p w14:paraId="307640E7" w14:textId="77777777" w:rsidR="007B4C0F" w:rsidRPr="00712B66" w:rsidRDefault="00365CC0" w:rsidP="002749B5">
            <w:pPr>
              <w:pStyle w:val="naiskr"/>
              <w:spacing w:before="0" w:after="0"/>
            </w:pPr>
            <w:r>
              <w:t>Saskaņošanas d</w:t>
            </w:r>
            <w:r w:rsidRPr="00712B66">
              <w:t>alībnieki</w:t>
            </w:r>
          </w:p>
        </w:tc>
        <w:tc>
          <w:tcPr>
            <w:tcW w:w="6106" w:type="dxa"/>
            <w:gridSpan w:val="2"/>
            <w:tcBorders>
              <w:bottom w:val="single" w:sz="6" w:space="0" w:color="000000"/>
            </w:tcBorders>
          </w:tcPr>
          <w:p w14:paraId="43A49AE9" w14:textId="1078675E" w:rsidR="007B4C0F" w:rsidRPr="00712B66" w:rsidRDefault="007E6C74" w:rsidP="002749B5">
            <w:pPr>
              <w:pStyle w:val="NormalWeb"/>
              <w:spacing w:before="0" w:beforeAutospacing="0" w:after="0" w:afterAutospacing="0"/>
            </w:pPr>
            <w:r>
              <w:t xml:space="preserve">Ekonomikas ministrija, </w:t>
            </w:r>
            <w:r w:rsidR="00726E24">
              <w:t xml:space="preserve">Finanšu ministrija, </w:t>
            </w:r>
            <w:r>
              <w:t xml:space="preserve">Labklājības ministrija, </w:t>
            </w:r>
            <w:r w:rsidR="00726E24">
              <w:t xml:space="preserve">Satiksmes ministrija, </w:t>
            </w:r>
            <w:r w:rsidR="009A6A54">
              <w:t xml:space="preserve">Tieslietu ministrija, </w:t>
            </w:r>
            <w:r w:rsidR="00042110">
              <w:t xml:space="preserve">Zemkopības ministrija, </w:t>
            </w:r>
            <w:r w:rsidR="00726E24">
              <w:t xml:space="preserve">Latvijas Brīvo arodbiedrību savienība (LBAS), </w:t>
            </w:r>
            <w:r>
              <w:t>Latvijas Pašvaldību savienība</w:t>
            </w:r>
            <w:r w:rsidR="009A6A54">
              <w:t xml:space="preserve"> (LPS</w:t>
            </w:r>
            <w:r w:rsidR="009A6A54" w:rsidRPr="00EE0339">
              <w:t>)</w:t>
            </w:r>
            <w:r w:rsidRPr="00EE0339">
              <w:t xml:space="preserve">, </w:t>
            </w:r>
            <w:r w:rsidR="00726E24" w:rsidRPr="00EE0339">
              <w:t>Latvijas Tirdzniecības un rūpniecības kamera (LTRK), Pārresoru koordinācijas centrs (PKC)</w:t>
            </w:r>
          </w:p>
        </w:tc>
      </w:tr>
      <w:tr w:rsidR="007B4C0F" w:rsidRPr="00712B66" w14:paraId="31197D05" w14:textId="77777777" w:rsidTr="00B203AC">
        <w:trPr>
          <w:gridAfter w:val="1"/>
          <w:wAfter w:w="176" w:type="dxa"/>
        </w:trPr>
        <w:tc>
          <w:tcPr>
            <w:tcW w:w="6345" w:type="dxa"/>
          </w:tcPr>
          <w:p w14:paraId="19ABCE4B" w14:textId="77777777" w:rsidR="007B4C0F" w:rsidRPr="00712B66" w:rsidRDefault="007B4C0F" w:rsidP="002749B5">
            <w:pPr>
              <w:pStyle w:val="naiskr"/>
              <w:spacing w:before="0" w:after="0"/>
            </w:pPr>
            <w:r w:rsidRPr="00712B66">
              <w:t>  </w:t>
            </w:r>
          </w:p>
        </w:tc>
        <w:tc>
          <w:tcPr>
            <w:tcW w:w="6106" w:type="dxa"/>
            <w:gridSpan w:val="2"/>
            <w:tcBorders>
              <w:top w:val="single" w:sz="6" w:space="0" w:color="000000"/>
            </w:tcBorders>
          </w:tcPr>
          <w:p w14:paraId="6F15C452" w14:textId="77777777" w:rsidR="007B4C0F" w:rsidRPr="00712B66" w:rsidRDefault="007B4C0F" w:rsidP="002749B5">
            <w:pPr>
              <w:pStyle w:val="naiskr"/>
              <w:spacing w:before="0" w:after="0"/>
            </w:pPr>
          </w:p>
        </w:tc>
      </w:tr>
      <w:tr w:rsidR="002749B5" w:rsidRPr="00712B66" w14:paraId="3A16FFA4" w14:textId="77777777" w:rsidTr="00B203AC">
        <w:trPr>
          <w:trHeight w:val="426"/>
        </w:trPr>
        <w:tc>
          <w:tcPr>
            <w:tcW w:w="6379" w:type="dxa"/>
            <w:gridSpan w:val="2"/>
          </w:tcPr>
          <w:p w14:paraId="5B6379DB" w14:textId="7C533D64" w:rsidR="002749B5" w:rsidRPr="00712B66" w:rsidRDefault="008A36C9" w:rsidP="002749B5">
            <w:pPr>
              <w:pStyle w:val="naiskr"/>
              <w:spacing w:before="0" w:after="0"/>
            </w:pPr>
            <w:r>
              <w:br w:type="page"/>
            </w:r>
            <w:r w:rsidR="002749B5">
              <w:t>Saskaņošanas d</w:t>
            </w:r>
            <w:r w:rsidR="002749B5" w:rsidRPr="00712B66">
              <w:t xml:space="preserve">alībnieki izskatīja šādu ministriju </w:t>
            </w:r>
            <w:r w:rsidR="002749B5">
              <w:t>(c</w:t>
            </w:r>
            <w:r w:rsidR="002749B5" w:rsidRPr="00712B66">
              <w:t>itu institūciju</w:t>
            </w:r>
            <w:r w:rsidR="002749B5">
              <w:t>)</w:t>
            </w:r>
            <w:r w:rsidR="002749B5" w:rsidRPr="00712B66">
              <w:t xml:space="preserve"> iebildumus</w:t>
            </w:r>
          </w:p>
        </w:tc>
        <w:tc>
          <w:tcPr>
            <w:tcW w:w="6248" w:type="dxa"/>
            <w:gridSpan w:val="2"/>
            <w:tcBorders>
              <w:bottom w:val="single" w:sz="6" w:space="0" w:color="000000"/>
            </w:tcBorders>
          </w:tcPr>
          <w:p w14:paraId="12469D8E" w14:textId="19722B12" w:rsidR="002749B5" w:rsidRPr="00712B66" w:rsidRDefault="00217FB6" w:rsidP="002749B5">
            <w:pPr>
              <w:pStyle w:val="naiskr"/>
              <w:spacing w:before="0" w:after="0"/>
            </w:pPr>
            <w:r>
              <w:t xml:space="preserve">Ekonomikas ministrija, </w:t>
            </w:r>
            <w:r w:rsidR="00BB0BDD">
              <w:t>Labklājības ministrija, Latvijas Pašvaldību savi</w:t>
            </w:r>
            <w:r w:rsidR="00BB0BDD" w:rsidRPr="00856140">
              <w:t>enība (LPS)</w:t>
            </w:r>
            <w:r w:rsidR="00726E24" w:rsidRPr="00856140">
              <w:t>, Latvijas Tirdzniecības un rūpniecības kamera (LTRK)</w:t>
            </w:r>
          </w:p>
        </w:tc>
      </w:tr>
      <w:tr w:rsidR="003C27A2" w:rsidRPr="00712B66" w14:paraId="4A6653F3" w14:textId="77777777" w:rsidTr="00B203AC">
        <w:trPr>
          <w:trHeight w:val="53"/>
        </w:trPr>
        <w:tc>
          <w:tcPr>
            <w:tcW w:w="6379" w:type="dxa"/>
            <w:gridSpan w:val="2"/>
          </w:tcPr>
          <w:p w14:paraId="1F5A131E" w14:textId="77777777" w:rsidR="003C27A2" w:rsidRPr="00712B66" w:rsidRDefault="003C27A2" w:rsidP="002749B5">
            <w:pPr>
              <w:pStyle w:val="naiskr"/>
              <w:spacing w:before="0" w:after="0"/>
            </w:pPr>
            <w:r w:rsidRPr="00712B66">
              <w:t>  </w:t>
            </w:r>
          </w:p>
        </w:tc>
        <w:tc>
          <w:tcPr>
            <w:tcW w:w="6248" w:type="dxa"/>
            <w:gridSpan w:val="2"/>
            <w:tcBorders>
              <w:top w:val="single" w:sz="6" w:space="0" w:color="000000"/>
            </w:tcBorders>
          </w:tcPr>
          <w:p w14:paraId="5D9C25E3" w14:textId="77777777" w:rsidR="003C27A2" w:rsidRPr="00712B66" w:rsidRDefault="003C27A2" w:rsidP="002749B5">
            <w:pPr>
              <w:pStyle w:val="NormalWeb"/>
              <w:spacing w:before="0" w:beforeAutospacing="0" w:after="0" w:afterAutospacing="0"/>
            </w:pPr>
          </w:p>
        </w:tc>
      </w:tr>
      <w:tr w:rsidR="007B4C0F" w:rsidRPr="00712B66" w14:paraId="2EF50C57" w14:textId="77777777" w:rsidTr="00DC0882">
        <w:trPr>
          <w:trHeight w:val="465"/>
        </w:trPr>
        <w:tc>
          <w:tcPr>
            <w:tcW w:w="12627" w:type="dxa"/>
            <w:gridSpan w:val="4"/>
          </w:tcPr>
          <w:p w14:paraId="52AF6CFD" w14:textId="77777777" w:rsidR="007B4C0F" w:rsidRPr="00712B66" w:rsidRDefault="007B4C0F" w:rsidP="002749B5">
            <w:pPr>
              <w:pStyle w:val="naisc"/>
              <w:spacing w:before="0" w:after="0"/>
              <w:ind w:left="4820"/>
            </w:pPr>
          </w:p>
        </w:tc>
      </w:tr>
      <w:tr w:rsidR="007B4C0F" w:rsidRPr="00712B66" w14:paraId="1E18DC6B" w14:textId="77777777" w:rsidTr="00DC0882">
        <w:tc>
          <w:tcPr>
            <w:tcW w:w="6379" w:type="dxa"/>
            <w:gridSpan w:val="2"/>
          </w:tcPr>
          <w:p w14:paraId="09E724B3" w14:textId="77777777" w:rsidR="007B4C0F" w:rsidRPr="00712B66" w:rsidRDefault="007B4C0F" w:rsidP="002749B5">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6248" w:type="dxa"/>
            <w:gridSpan w:val="2"/>
          </w:tcPr>
          <w:p w14:paraId="3F57BE85" w14:textId="77777777" w:rsidR="007B4C0F" w:rsidRDefault="00DC0882" w:rsidP="002749B5">
            <w:pPr>
              <w:pStyle w:val="naiskr"/>
              <w:spacing w:before="0" w:after="0"/>
            </w:pPr>
            <w:r>
              <w:t>__________________________________________________</w:t>
            </w:r>
          </w:p>
          <w:p w14:paraId="59726463" w14:textId="77777777" w:rsidR="00DC0882" w:rsidRDefault="00DC0882" w:rsidP="002749B5">
            <w:pPr>
              <w:pStyle w:val="naiskr"/>
              <w:spacing w:before="0" w:after="0"/>
            </w:pPr>
            <w:r>
              <w:t>__________________________________________________</w:t>
            </w:r>
          </w:p>
          <w:p w14:paraId="03779842" w14:textId="3F6FA1E2" w:rsidR="00DC0882" w:rsidRPr="00712B66" w:rsidRDefault="00DC0882" w:rsidP="002749B5">
            <w:pPr>
              <w:pStyle w:val="naiskr"/>
              <w:spacing w:before="0" w:after="0"/>
            </w:pPr>
            <w:r>
              <w:t>__________________________________________________</w:t>
            </w:r>
          </w:p>
        </w:tc>
      </w:tr>
      <w:tr w:rsidR="00DC0882" w:rsidRPr="00712B66" w14:paraId="75EA1BF1" w14:textId="77777777" w:rsidTr="00DC0882">
        <w:trPr>
          <w:gridAfter w:val="2"/>
          <w:wAfter w:w="6248" w:type="dxa"/>
        </w:trPr>
        <w:tc>
          <w:tcPr>
            <w:tcW w:w="6379" w:type="dxa"/>
            <w:gridSpan w:val="2"/>
          </w:tcPr>
          <w:p w14:paraId="3ACCB071" w14:textId="77777777" w:rsidR="00DC0882" w:rsidRPr="00712B66" w:rsidRDefault="00DC0882" w:rsidP="002749B5">
            <w:pPr>
              <w:pStyle w:val="naiskr"/>
              <w:spacing w:before="0" w:after="0"/>
            </w:pPr>
            <w:r w:rsidRPr="00712B66">
              <w:t>  </w:t>
            </w:r>
          </w:p>
        </w:tc>
      </w:tr>
      <w:tr w:rsidR="00DC0882" w:rsidRPr="00712B66" w14:paraId="2917654C" w14:textId="77777777" w:rsidTr="00DC0882">
        <w:trPr>
          <w:gridAfter w:val="2"/>
          <w:wAfter w:w="6248" w:type="dxa"/>
        </w:trPr>
        <w:tc>
          <w:tcPr>
            <w:tcW w:w="6379" w:type="dxa"/>
            <w:gridSpan w:val="2"/>
          </w:tcPr>
          <w:p w14:paraId="313EE33D" w14:textId="77777777" w:rsidR="00DC0882" w:rsidRPr="00712B66" w:rsidRDefault="00DC0882" w:rsidP="002749B5">
            <w:pPr>
              <w:pStyle w:val="naiskr"/>
              <w:spacing w:before="0" w:after="0"/>
            </w:pPr>
            <w:r w:rsidRPr="00712B66">
              <w:t>  </w:t>
            </w:r>
          </w:p>
        </w:tc>
      </w:tr>
    </w:tbl>
    <w:p w14:paraId="0195D99F" w14:textId="77777777" w:rsidR="00683081" w:rsidRPr="00712B66" w:rsidRDefault="00683081" w:rsidP="002749B5">
      <w:pPr>
        <w:pStyle w:val="naisf"/>
        <w:spacing w:before="0" w:after="0"/>
        <w:ind w:firstLine="0"/>
      </w:pPr>
    </w:p>
    <w:p w14:paraId="6CCA6766" w14:textId="77777777" w:rsidR="007B4C0F" w:rsidRPr="00712B66" w:rsidRDefault="007B4C0F" w:rsidP="002749B5">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BEDAE91" w14:textId="77777777" w:rsidR="007B4C0F" w:rsidRPr="00712B66" w:rsidRDefault="007B4C0F" w:rsidP="002749B5">
      <w:pPr>
        <w:pStyle w:val="naisf"/>
        <w:spacing w:before="0" w:after="0"/>
        <w:ind w:firstLine="0"/>
      </w:pPr>
    </w:p>
    <w:tbl>
      <w:tblPr>
        <w:tblW w:w="1502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2969"/>
        <w:gridCol w:w="4110"/>
        <w:gridCol w:w="2835"/>
        <w:gridCol w:w="4261"/>
      </w:tblGrid>
      <w:tr w:rsidR="00134188" w:rsidRPr="0034341D" w14:paraId="228AB974" w14:textId="77777777" w:rsidTr="00F97CA9">
        <w:trPr>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584EAF17" w14:textId="77777777" w:rsidR="00134188" w:rsidRPr="0034341D" w:rsidRDefault="00134188" w:rsidP="002749B5">
            <w:pPr>
              <w:pStyle w:val="naisc"/>
              <w:spacing w:before="0" w:after="0"/>
            </w:pPr>
            <w:r w:rsidRPr="0034341D">
              <w:t>Nr. p.</w:t>
            </w:r>
            <w:r w:rsidR="00D64FB0" w:rsidRPr="0034341D">
              <w:t> </w:t>
            </w:r>
            <w:r w:rsidRPr="0034341D">
              <w:t>k.</w:t>
            </w:r>
          </w:p>
        </w:tc>
        <w:tc>
          <w:tcPr>
            <w:tcW w:w="2969" w:type="dxa"/>
            <w:tcBorders>
              <w:top w:val="single" w:sz="6" w:space="0" w:color="000000"/>
              <w:left w:val="single" w:sz="6" w:space="0" w:color="000000"/>
              <w:bottom w:val="single" w:sz="6" w:space="0" w:color="000000"/>
              <w:right w:val="single" w:sz="6" w:space="0" w:color="000000"/>
            </w:tcBorders>
            <w:vAlign w:val="center"/>
          </w:tcPr>
          <w:p w14:paraId="5D9FEAF5" w14:textId="77777777" w:rsidR="00134188" w:rsidRPr="0034341D" w:rsidRDefault="00134188" w:rsidP="002749B5">
            <w:pPr>
              <w:pStyle w:val="naisc"/>
              <w:spacing w:before="0" w:after="0"/>
            </w:pPr>
            <w:r w:rsidRPr="0034341D">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tcPr>
          <w:p w14:paraId="5B059E88" w14:textId="77777777" w:rsidR="00134188" w:rsidRPr="0034341D" w:rsidRDefault="00134188" w:rsidP="002749B5">
            <w:pPr>
              <w:pStyle w:val="naisc"/>
              <w:spacing w:before="0" w:after="0"/>
              <w:ind w:right="3"/>
            </w:pPr>
            <w:r w:rsidRPr="0034341D">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019FA5F8" w14:textId="77777777" w:rsidR="00134188" w:rsidRPr="0034341D" w:rsidRDefault="00134188" w:rsidP="002749B5">
            <w:pPr>
              <w:pStyle w:val="naisc"/>
              <w:spacing w:before="0" w:after="0"/>
            </w:pPr>
            <w:r w:rsidRPr="0034341D">
              <w:t>Atbildīgās ministrijas norāde</w:t>
            </w:r>
            <w:r w:rsidR="006C1C48" w:rsidRPr="0034341D">
              <w:t xml:space="preserve"> par to, ka </w:t>
            </w:r>
            <w:r w:rsidRPr="0034341D">
              <w:t>iebildums ir ņemts vērā</w:t>
            </w:r>
            <w:r w:rsidR="006455E7" w:rsidRPr="0034341D">
              <w:t>,</w:t>
            </w:r>
            <w:r w:rsidRPr="0034341D">
              <w:t xml:space="preserve"> vai </w:t>
            </w:r>
            <w:r w:rsidR="006C1C48" w:rsidRPr="0034341D">
              <w:t xml:space="preserve">informācija par saskaņošanā </w:t>
            </w:r>
            <w:r w:rsidR="00022B0F" w:rsidRPr="0034341D">
              <w:t>panākto alternatīvo risinājumu</w:t>
            </w:r>
          </w:p>
        </w:tc>
        <w:tc>
          <w:tcPr>
            <w:tcW w:w="4261" w:type="dxa"/>
            <w:tcBorders>
              <w:top w:val="single" w:sz="4" w:space="0" w:color="auto"/>
              <w:left w:val="single" w:sz="4" w:space="0" w:color="auto"/>
              <w:bottom w:val="single" w:sz="4" w:space="0" w:color="auto"/>
            </w:tcBorders>
            <w:vAlign w:val="center"/>
          </w:tcPr>
          <w:p w14:paraId="64AED769" w14:textId="77777777" w:rsidR="00134188" w:rsidRPr="0034341D" w:rsidRDefault="00134188" w:rsidP="002749B5">
            <w:pPr>
              <w:jc w:val="center"/>
            </w:pPr>
            <w:r w:rsidRPr="0034341D">
              <w:t>Projekta attiecīgā punkta (panta) galīgā redakcija</w:t>
            </w:r>
          </w:p>
        </w:tc>
      </w:tr>
      <w:tr w:rsidR="00134188" w:rsidRPr="0034341D" w14:paraId="1985C62B" w14:textId="77777777" w:rsidTr="00F97CA9">
        <w:trPr>
          <w:jc w:val="center"/>
        </w:trPr>
        <w:tc>
          <w:tcPr>
            <w:tcW w:w="851" w:type="dxa"/>
            <w:tcBorders>
              <w:top w:val="single" w:sz="6" w:space="0" w:color="000000"/>
              <w:left w:val="single" w:sz="6" w:space="0" w:color="000000"/>
              <w:bottom w:val="single" w:sz="6" w:space="0" w:color="000000"/>
              <w:right w:val="single" w:sz="6" w:space="0" w:color="000000"/>
            </w:tcBorders>
          </w:tcPr>
          <w:p w14:paraId="3EF96212" w14:textId="77777777" w:rsidR="00134188" w:rsidRPr="0034341D" w:rsidRDefault="003B71E0" w:rsidP="002749B5">
            <w:pPr>
              <w:pStyle w:val="naisc"/>
              <w:spacing w:before="0" w:after="0"/>
            </w:pPr>
            <w:r w:rsidRPr="0034341D">
              <w:t>1</w:t>
            </w:r>
          </w:p>
        </w:tc>
        <w:tc>
          <w:tcPr>
            <w:tcW w:w="2969" w:type="dxa"/>
            <w:tcBorders>
              <w:top w:val="single" w:sz="6" w:space="0" w:color="000000"/>
              <w:left w:val="single" w:sz="6" w:space="0" w:color="000000"/>
              <w:bottom w:val="single" w:sz="6" w:space="0" w:color="000000"/>
              <w:right w:val="single" w:sz="6" w:space="0" w:color="000000"/>
            </w:tcBorders>
          </w:tcPr>
          <w:p w14:paraId="00341898" w14:textId="77777777" w:rsidR="00134188" w:rsidRPr="0034341D" w:rsidRDefault="00F34AAB" w:rsidP="002749B5">
            <w:pPr>
              <w:pStyle w:val="naisc"/>
              <w:spacing w:before="0" w:after="0"/>
            </w:pPr>
            <w:r w:rsidRPr="0034341D">
              <w:t>2</w:t>
            </w:r>
          </w:p>
        </w:tc>
        <w:tc>
          <w:tcPr>
            <w:tcW w:w="4110" w:type="dxa"/>
            <w:tcBorders>
              <w:top w:val="single" w:sz="6" w:space="0" w:color="000000"/>
              <w:left w:val="single" w:sz="6" w:space="0" w:color="000000"/>
              <w:bottom w:val="single" w:sz="6" w:space="0" w:color="000000"/>
              <w:right w:val="single" w:sz="6" w:space="0" w:color="000000"/>
            </w:tcBorders>
          </w:tcPr>
          <w:p w14:paraId="69A040B4" w14:textId="77777777" w:rsidR="00134188" w:rsidRPr="0034341D" w:rsidRDefault="003B71E0" w:rsidP="002749B5">
            <w:pPr>
              <w:pStyle w:val="naisc"/>
              <w:spacing w:before="0" w:after="0"/>
            </w:pPr>
            <w:r w:rsidRPr="0034341D">
              <w:t>3</w:t>
            </w:r>
          </w:p>
        </w:tc>
        <w:tc>
          <w:tcPr>
            <w:tcW w:w="2835" w:type="dxa"/>
            <w:tcBorders>
              <w:top w:val="single" w:sz="6" w:space="0" w:color="000000"/>
              <w:left w:val="single" w:sz="6" w:space="0" w:color="000000"/>
              <w:bottom w:val="single" w:sz="6" w:space="0" w:color="000000"/>
              <w:right w:val="single" w:sz="6" w:space="0" w:color="000000"/>
            </w:tcBorders>
          </w:tcPr>
          <w:p w14:paraId="43DF3027" w14:textId="77777777" w:rsidR="00134188" w:rsidRPr="0034341D" w:rsidRDefault="003B71E0" w:rsidP="002749B5">
            <w:pPr>
              <w:pStyle w:val="naisc"/>
              <w:spacing w:before="0" w:after="0"/>
            </w:pPr>
            <w:r w:rsidRPr="0034341D">
              <w:t>4</w:t>
            </w:r>
          </w:p>
        </w:tc>
        <w:tc>
          <w:tcPr>
            <w:tcW w:w="4261" w:type="dxa"/>
            <w:tcBorders>
              <w:top w:val="single" w:sz="4" w:space="0" w:color="auto"/>
              <w:left w:val="single" w:sz="4" w:space="0" w:color="auto"/>
              <w:bottom w:val="single" w:sz="4" w:space="0" w:color="auto"/>
            </w:tcBorders>
          </w:tcPr>
          <w:p w14:paraId="64472C92" w14:textId="77777777" w:rsidR="00134188" w:rsidRPr="0034341D" w:rsidRDefault="003B71E0" w:rsidP="002749B5">
            <w:pPr>
              <w:jc w:val="center"/>
            </w:pPr>
            <w:r w:rsidRPr="0034341D">
              <w:t>5</w:t>
            </w:r>
          </w:p>
        </w:tc>
      </w:tr>
      <w:tr w:rsidR="00F97CA9" w:rsidRPr="0034341D" w14:paraId="49E8ECA7" w14:textId="77777777" w:rsidTr="00F97CA9">
        <w:trPr>
          <w:jc w:val="center"/>
        </w:trPr>
        <w:tc>
          <w:tcPr>
            <w:tcW w:w="851" w:type="dxa"/>
            <w:tcBorders>
              <w:left w:val="single" w:sz="6" w:space="0" w:color="000000"/>
              <w:bottom w:val="single" w:sz="4" w:space="0" w:color="auto"/>
              <w:right w:val="single" w:sz="6" w:space="0" w:color="000000"/>
            </w:tcBorders>
          </w:tcPr>
          <w:p w14:paraId="3E47B3F9" w14:textId="6D46E444" w:rsidR="00F97CA9" w:rsidRPr="00B3632E" w:rsidRDefault="000550FA" w:rsidP="00F97CA9">
            <w:pPr>
              <w:pStyle w:val="naisc"/>
              <w:spacing w:before="0" w:after="0"/>
            </w:pPr>
            <w:r>
              <w:t>1</w:t>
            </w:r>
            <w:r w:rsidR="00F97CA9" w:rsidRPr="00B3632E">
              <w:t>.</w:t>
            </w:r>
          </w:p>
        </w:tc>
        <w:tc>
          <w:tcPr>
            <w:tcW w:w="2969" w:type="dxa"/>
            <w:tcBorders>
              <w:left w:val="single" w:sz="6" w:space="0" w:color="000000"/>
              <w:bottom w:val="single" w:sz="4" w:space="0" w:color="auto"/>
              <w:right w:val="single" w:sz="6" w:space="0" w:color="000000"/>
            </w:tcBorders>
          </w:tcPr>
          <w:p w14:paraId="5FD02C33" w14:textId="5710BDDE" w:rsidR="00F97CA9" w:rsidRPr="00B3632E" w:rsidRDefault="00F97CA9" w:rsidP="00F97CA9">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left w:val="single" w:sz="6" w:space="0" w:color="000000"/>
              <w:bottom w:val="single" w:sz="4" w:space="0" w:color="auto"/>
              <w:right w:val="single" w:sz="6" w:space="0" w:color="000000"/>
            </w:tcBorders>
          </w:tcPr>
          <w:p w14:paraId="774F0296" w14:textId="6D4C5855" w:rsidR="00F97CA9" w:rsidRPr="00B37721" w:rsidRDefault="000550FA" w:rsidP="00F97CA9">
            <w:pPr>
              <w:pStyle w:val="naisc"/>
              <w:spacing w:before="0" w:after="0"/>
              <w:jc w:val="both"/>
              <w:rPr>
                <w:b/>
              </w:rPr>
            </w:pPr>
            <w:r>
              <w:rPr>
                <w:b/>
              </w:rPr>
              <w:t>Labklājības ministrija</w:t>
            </w:r>
            <w:r w:rsidR="00F97CA9" w:rsidRPr="00B3632E">
              <w:rPr>
                <w:b/>
              </w:rPr>
              <w:t xml:space="preserve">, </w:t>
            </w:r>
            <w:r>
              <w:rPr>
                <w:b/>
              </w:rPr>
              <w:t>22</w:t>
            </w:r>
            <w:r w:rsidR="00B37721">
              <w:rPr>
                <w:b/>
              </w:rPr>
              <w:t>.04</w:t>
            </w:r>
            <w:r w:rsidR="00F97CA9" w:rsidRPr="00B3632E">
              <w:rPr>
                <w:b/>
              </w:rPr>
              <w:t>.</w:t>
            </w:r>
            <w:r w:rsidR="007B2568">
              <w:rPr>
                <w:b/>
              </w:rPr>
              <w:t>2021.</w:t>
            </w:r>
            <w:r w:rsidR="00F97CA9" w:rsidRPr="00B3632E">
              <w:rPr>
                <w:b/>
              </w:rPr>
              <w:t xml:space="preserve"> </w:t>
            </w:r>
            <w:r w:rsidR="00F97CA9" w:rsidRPr="00B37721">
              <w:rPr>
                <w:b/>
              </w:rPr>
              <w:t>atzinums.</w:t>
            </w:r>
          </w:p>
          <w:p w14:paraId="503C8B13" w14:textId="20C60E9D" w:rsidR="00F97CA9" w:rsidRPr="00B3632E" w:rsidRDefault="00B37721" w:rsidP="00F97CA9">
            <w:pPr>
              <w:jc w:val="both"/>
            </w:pPr>
            <w:r w:rsidRPr="00B37721">
              <w:rPr>
                <w:bCs/>
              </w:rPr>
              <w:t xml:space="preserve">Lūdzam papildināt anotāciju ar nosacījumu, ka līdz 2023. gada 31. decembrim plānošanas reģioni turpina SAM 9.2.2.1. pasākuma “Deinstitucionalizācija” īstenošanu, atbilstoši Plānošanas reģionu Deinsitucionalizācijas plānos 2017. - 2020. gadam noteiktajam teritoriālajam plānojumam un ES fondu finansējuma un iznākuma rādītāju dalījumam, atbilstoši LM un VARAM 2021. gada 20. aprīļa sanāksmē </w:t>
            </w:r>
            <w:r w:rsidRPr="00B37721">
              <w:rPr>
                <w:bCs/>
                <w:i/>
                <w:iCs/>
              </w:rPr>
              <w:t>par SAM 9.2.2.1. pasākuma “Deinstitucionalizācija” īstenošanu pēc administratīvi teritoriālās reformas</w:t>
            </w:r>
            <w:r w:rsidRPr="00B37721">
              <w:rPr>
                <w:bCs/>
              </w:rPr>
              <w:t xml:space="preserve"> lemtajam.</w:t>
            </w:r>
          </w:p>
        </w:tc>
        <w:tc>
          <w:tcPr>
            <w:tcW w:w="2835" w:type="dxa"/>
            <w:tcBorders>
              <w:left w:val="single" w:sz="6" w:space="0" w:color="000000"/>
              <w:bottom w:val="single" w:sz="4" w:space="0" w:color="auto"/>
              <w:right w:val="single" w:sz="6" w:space="0" w:color="000000"/>
            </w:tcBorders>
          </w:tcPr>
          <w:p w14:paraId="6DFCF7F9" w14:textId="77777777" w:rsidR="00F97CA9" w:rsidRPr="00B3632E" w:rsidRDefault="00F97CA9" w:rsidP="00F97CA9">
            <w:pPr>
              <w:pStyle w:val="naisc"/>
              <w:spacing w:before="0" w:after="0"/>
              <w:jc w:val="both"/>
              <w:rPr>
                <w:bCs/>
              </w:rPr>
            </w:pPr>
            <w:r w:rsidRPr="00B3632E">
              <w:rPr>
                <w:b/>
              </w:rPr>
              <w:t>Ņemts vērā.</w:t>
            </w:r>
          </w:p>
          <w:p w14:paraId="3DB03CFB" w14:textId="7771E390" w:rsidR="00F97CA9" w:rsidRPr="00B3632E" w:rsidRDefault="00F97CA9" w:rsidP="00F97CA9">
            <w:pPr>
              <w:pStyle w:val="naisc"/>
              <w:spacing w:before="0" w:after="0"/>
              <w:jc w:val="both"/>
              <w:rPr>
                <w:bCs/>
              </w:rPr>
            </w:pPr>
            <w:r w:rsidRPr="00B3632E">
              <w:rPr>
                <w:bCs/>
              </w:rPr>
              <w:t>Anotācija precizēta.</w:t>
            </w:r>
          </w:p>
        </w:tc>
        <w:tc>
          <w:tcPr>
            <w:tcW w:w="4261" w:type="dxa"/>
            <w:tcBorders>
              <w:top w:val="single" w:sz="4" w:space="0" w:color="auto"/>
              <w:left w:val="single" w:sz="4" w:space="0" w:color="auto"/>
              <w:bottom w:val="single" w:sz="4" w:space="0" w:color="auto"/>
            </w:tcBorders>
          </w:tcPr>
          <w:p w14:paraId="4A1E3110" w14:textId="77777777" w:rsidR="00F97CA9" w:rsidRPr="00271FE5" w:rsidRDefault="00F97CA9" w:rsidP="00F97CA9">
            <w:pPr>
              <w:jc w:val="both"/>
              <w:rPr>
                <w:color w:val="000000" w:themeColor="text1"/>
              </w:rPr>
            </w:pPr>
            <w:r w:rsidRPr="00271FE5">
              <w:rPr>
                <w:color w:val="000000" w:themeColor="text1"/>
              </w:rPr>
              <w:t>Anotācijas I sadaļas “Tiesību akta projekta izstrādes nepieciešamība” 2. punkts “Pašreizējā situācija un problēmas, kuru risināšanai tiesību akta projekts izstrādāts tiesiskā regulējuma mērķis un būtība”.</w:t>
            </w:r>
          </w:p>
          <w:p w14:paraId="53B30CCD" w14:textId="77777777" w:rsidR="00F97CA9" w:rsidRPr="00271FE5" w:rsidRDefault="00F97CA9" w:rsidP="00F97CA9">
            <w:pPr>
              <w:jc w:val="both"/>
              <w:rPr>
                <w:color w:val="000000" w:themeColor="text1"/>
              </w:rPr>
            </w:pPr>
          </w:p>
          <w:p w14:paraId="2D20444C" w14:textId="47E42177" w:rsidR="00F97CA9" w:rsidRPr="00271FE5" w:rsidRDefault="00F97CA9" w:rsidP="00F97CA9">
            <w:pPr>
              <w:jc w:val="both"/>
              <w:rPr>
                <w:color w:val="000000" w:themeColor="text1"/>
              </w:rPr>
            </w:pPr>
            <w:r w:rsidRPr="00271FE5">
              <w:rPr>
                <w:color w:val="000000" w:themeColor="text1"/>
              </w:rPr>
              <w:t>“</w:t>
            </w:r>
            <w:r w:rsidR="00651A5B" w:rsidRPr="00271FE5">
              <w:rPr>
                <w:color w:val="000000" w:themeColor="text1"/>
              </w:rPr>
              <w:t xml:space="preserve">Attiecībā uz plānošanas reģionu iesāktajiem deinstitucionalizācijas projektiem (turpmāk – DI projekti), kuru īstenošanu nosaka Ministru kabineta 2015. gada 16. jūnija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w:t>
            </w:r>
            <w:r w:rsidR="00651A5B" w:rsidRPr="00271FE5">
              <w:rPr>
                <w:color w:val="000000" w:themeColor="text1"/>
              </w:rPr>
              <w:lastRenderedPageBreak/>
              <w:t>9.2.2.1.pasākuma "Deinstitucionalizācija" īstenošanas noteikumi”, plānošanas reģioni un to esošie partneri var pabeigt DI projekta realizāciju esošo sadarbības līgumu ietvaros. Tas nozīmē, ka plānošanas reģioni līdz 2023. gada 31. decembrim turpina DI projektu īstenošanu, atbilstoši plānošanas reģionu Deinsitucionalizācijas plānos 2017.–2020. gadam noteiktajām teritorijām un ES fondu finansējuma un iznākuma rādītāju dalījumam, lai neradītu administratīvo slogu un nekavētu rezultatīvo rādītāju sasniegšanu</w:t>
            </w:r>
            <w:r w:rsidRPr="00271FE5">
              <w:rPr>
                <w:color w:val="000000" w:themeColor="text1"/>
              </w:rPr>
              <w:t>.”</w:t>
            </w:r>
          </w:p>
        </w:tc>
      </w:tr>
      <w:tr w:rsidR="006E14D7" w:rsidRPr="0034341D" w14:paraId="722C41F4" w14:textId="77777777" w:rsidTr="00F97CA9">
        <w:trPr>
          <w:jc w:val="center"/>
        </w:trPr>
        <w:tc>
          <w:tcPr>
            <w:tcW w:w="851" w:type="dxa"/>
            <w:tcBorders>
              <w:left w:val="single" w:sz="6" w:space="0" w:color="000000"/>
              <w:bottom w:val="single" w:sz="4" w:space="0" w:color="auto"/>
              <w:right w:val="single" w:sz="6" w:space="0" w:color="000000"/>
            </w:tcBorders>
          </w:tcPr>
          <w:p w14:paraId="4EF0C919" w14:textId="261CB6DF" w:rsidR="006E14D7" w:rsidRDefault="006E14D7" w:rsidP="006E14D7">
            <w:pPr>
              <w:pStyle w:val="naisc"/>
              <w:spacing w:before="0" w:after="0"/>
            </w:pPr>
            <w:r>
              <w:lastRenderedPageBreak/>
              <w:t>2.</w:t>
            </w:r>
          </w:p>
        </w:tc>
        <w:tc>
          <w:tcPr>
            <w:tcW w:w="2969" w:type="dxa"/>
            <w:tcBorders>
              <w:left w:val="single" w:sz="6" w:space="0" w:color="000000"/>
              <w:bottom w:val="single" w:sz="4" w:space="0" w:color="auto"/>
              <w:right w:val="single" w:sz="6" w:space="0" w:color="000000"/>
            </w:tcBorders>
          </w:tcPr>
          <w:p w14:paraId="065FB48E" w14:textId="2BDD0D6A" w:rsidR="006E14D7" w:rsidRPr="00B3632E" w:rsidRDefault="006E14D7" w:rsidP="006E14D7">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left w:val="single" w:sz="6" w:space="0" w:color="000000"/>
              <w:bottom w:val="single" w:sz="4" w:space="0" w:color="auto"/>
              <w:right w:val="single" w:sz="6" w:space="0" w:color="000000"/>
            </w:tcBorders>
          </w:tcPr>
          <w:p w14:paraId="53E60BB8" w14:textId="77777777" w:rsidR="0059578A" w:rsidRPr="0059578A" w:rsidRDefault="006E14D7" w:rsidP="0059578A">
            <w:pPr>
              <w:pStyle w:val="naisc"/>
              <w:spacing w:before="0" w:after="0"/>
              <w:jc w:val="both"/>
              <w:rPr>
                <w:b/>
                <w:bCs/>
              </w:rPr>
            </w:pPr>
            <w:r w:rsidRPr="0059578A">
              <w:rPr>
                <w:b/>
                <w:bCs/>
              </w:rPr>
              <w:t>Ekonomikas ministrijas, 13.05.2021. atzinums.</w:t>
            </w:r>
          </w:p>
          <w:p w14:paraId="15F0FDC7" w14:textId="575E3362" w:rsidR="0059578A" w:rsidRPr="0059578A" w:rsidRDefault="0059578A" w:rsidP="0059578A">
            <w:pPr>
              <w:pStyle w:val="naisc"/>
              <w:spacing w:before="0" w:after="0"/>
              <w:jc w:val="both"/>
            </w:pPr>
            <w:r w:rsidRPr="0059578A">
              <w:t xml:space="preserve">Lūdzam dzēst Anotācijas I. sadaļas “Tiesību akta projekta izstrādes nepieciešamība” 2. punktā “Pašreizējā situācija un problēmas, kuru risināšanai tiesību akta projekts izstrādāts tiesiskā regulējuma mērķis un būtība” pievienoto tekstu: “Attiecībā uz oficiālo statistiku, CSP jau 2020. gadā uzrunāja statistikas iestādes un lūdza plānot un norādīt datu teritoriālos griezumus Oficiālās statistikas programmā 2021.-2023. gadam (skatīt 2. tabulas 5. aili – pazīme “2” norāda, ka dati tiks sagatavoti saskaņā ar jauno iedalījumu). Vienlaikus CSP pēc iespējas nodrošinās salīdzināmu datu laikrindas, kā arī CSP aicinās to darīt arī citas statistikas </w:t>
            </w:r>
            <w:r w:rsidRPr="0059578A">
              <w:lastRenderedPageBreak/>
              <w:t>iestādes.””, jo šī informācija nav saistāma ar jaunajiem plānošanas reģioniem, bet gan ar jaunajām administratīvi teritoriālajām vienībām (novadiem). 2020. gadā, kad tika izstrādāta Oficiālās statistikas programma 2021.-2023. gadam, nebija zināma VARAM iecere par plānošanas reģionu maiņu.</w:t>
            </w:r>
          </w:p>
          <w:p w14:paraId="209E515A" w14:textId="59447669" w:rsidR="006E14D7" w:rsidRPr="0059578A" w:rsidRDefault="0059578A" w:rsidP="0059578A">
            <w:pPr>
              <w:pStyle w:val="naisc"/>
              <w:spacing w:before="0" w:after="0"/>
              <w:jc w:val="both"/>
            </w:pPr>
            <w:r>
              <w:t>Papildus informējam, ka Centrālā statistikas pārvalde pagaidām nav veikusi jauno plānošanas reģionu ietekmi uz statistikas apkopošanu, to plānojam darīt Oficiālās statistikas programmas 2022.-2024.gadam izstrādes laikā līdz šā gada beigām. Vēršam uzmanību, ka Oficiālās statistikas programma ir turpmākajos gados plānotās publicējamās statistikas saraksts, un tas neattiecas uz laikrindu nodrošināšanu.</w:t>
            </w:r>
          </w:p>
        </w:tc>
        <w:tc>
          <w:tcPr>
            <w:tcW w:w="2835" w:type="dxa"/>
            <w:tcBorders>
              <w:left w:val="single" w:sz="6" w:space="0" w:color="000000"/>
              <w:bottom w:val="single" w:sz="4" w:space="0" w:color="auto"/>
              <w:right w:val="single" w:sz="6" w:space="0" w:color="000000"/>
            </w:tcBorders>
          </w:tcPr>
          <w:p w14:paraId="7BF660C6" w14:textId="77777777" w:rsidR="006E14D7" w:rsidRDefault="006E14D7" w:rsidP="006E14D7">
            <w:pPr>
              <w:pStyle w:val="naisc"/>
              <w:spacing w:before="0" w:after="0"/>
              <w:jc w:val="both"/>
              <w:rPr>
                <w:bCs/>
              </w:rPr>
            </w:pPr>
            <w:r>
              <w:rPr>
                <w:b/>
              </w:rPr>
              <w:lastRenderedPageBreak/>
              <w:t>Ņemts vērā.</w:t>
            </w:r>
          </w:p>
          <w:p w14:paraId="74A3B226" w14:textId="09CAB6BF" w:rsidR="006E14D7" w:rsidRPr="00B3632E" w:rsidRDefault="006E14D7" w:rsidP="006E14D7">
            <w:pPr>
              <w:pStyle w:val="naisc"/>
              <w:spacing w:before="0" w:after="0"/>
              <w:jc w:val="both"/>
              <w:rPr>
                <w:b/>
              </w:rPr>
            </w:pPr>
            <w:r>
              <w:rPr>
                <w:bCs/>
              </w:rPr>
              <w:t>Anotācija precizēta.</w:t>
            </w:r>
          </w:p>
        </w:tc>
        <w:tc>
          <w:tcPr>
            <w:tcW w:w="4261" w:type="dxa"/>
            <w:tcBorders>
              <w:top w:val="single" w:sz="4" w:space="0" w:color="auto"/>
              <w:left w:val="single" w:sz="4" w:space="0" w:color="auto"/>
              <w:bottom w:val="single" w:sz="4" w:space="0" w:color="auto"/>
            </w:tcBorders>
          </w:tcPr>
          <w:p w14:paraId="3FDF1909" w14:textId="77777777" w:rsidR="0059578A" w:rsidRPr="00271FE5" w:rsidRDefault="0059578A" w:rsidP="0059578A">
            <w:pPr>
              <w:jc w:val="both"/>
              <w:rPr>
                <w:color w:val="000000" w:themeColor="text1"/>
              </w:rPr>
            </w:pPr>
            <w:r w:rsidRPr="00271FE5">
              <w:rPr>
                <w:color w:val="000000" w:themeColor="text1"/>
              </w:rPr>
              <w:t>Anotācijas I sadaļas “Tiesību akta projekta izstrādes nepieciešamība” 2. punkts “Pašreizējā situācija un problēmas, kuru risināšanai tiesību akta projekts izstrādāts tiesiskā regulējuma mērķis un būtība”.</w:t>
            </w:r>
          </w:p>
          <w:p w14:paraId="0A0FB284" w14:textId="77777777" w:rsidR="006E14D7" w:rsidRDefault="006E14D7" w:rsidP="006E14D7">
            <w:pPr>
              <w:jc w:val="both"/>
              <w:rPr>
                <w:color w:val="000000" w:themeColor="text1"/>
              </w:rPr>
            </w:pPr>
          </w:p>
          <w:p w14:paraId="46F64E72" w14:textId="548D035B" w:rsidR="0059578A" w:rsidRPr="00271FE5" w:rsidRDefault="0059578A" w:rsidP="006E14D7">
            <w:pPr>
              <w:jc w:val="both"/>
              <w:rPr>
                <w:color w:val="000000" w:themeColor="text1"/>
              </w:rPr>
            </w:pPr>
            <w:r w:rsidRPr="00271FE5">
              <w:rPr>
                <w:color w:val="000000" w:themeColor="text1"/>
              </w:rPr>
              <w:t xml:space="preserve">“Ministru kabinetam pieņemot jaunās plānošanas reģionu robežas un tajos ietilpstošās pašvaldības, Centrālās statistikas pārvalde sadarbībā ar VARAM virzīs jautājumu arī par </w:t>
            </w:r>
            <w:r w:rsidRPr="00271FE5">
              <w:rPr>
                <w:i/>
                <w:iCs/>
                <w:color w:val="000000" w:themeColor="text1"/>
              </w:rPr>
              <w:t>NUTS</w:t>
            </w:r>
            <w:r w:rsidRPr="00271FE5">
              <w:rPr>
                <w:color w:val="000000" w:themeColor="text1"/>
              </w:rPr>
              <w:t xml:space="preserve"> 3. līmeņa dalījumu, lai </w:t>
            </w:r>
            <w:r w:rsidRPr="00271FE5">
              <w:rPr>
                <w:i/>
                <w:iCs/>
                <w:color w:val="000000" w:themeColor="text1"/>
              </w:rPr>
              <w:t>NUTS</w:t>
            </w:r>
            <w:r w:rsidRPr="00271FE5">
              <w:rPr>
                <w:color w:val="000000" w:themeColor="text1"/>
              </w:rPr>
              <w:t> 3 statistisko reģionu robežas sakristu ar jaunajām plānošanas reģionu robežām.”</w:t>
            </w:r>
          </w:p>
        </w:tc>
      </w:tr>
      <w:tr w:rsidR="006E14D7" w:rsidRPr="0034341D" w14:paraId="42A1DB06" w14:textId="77777777" w:rsidTr="00F97CA9">
        <w:trPr>
          <w:jc w:val="center"/>
        </w:trPr>
        <w:tc>
          <w:tcPr>
            <w:tcW w:w="851" w:type="dxa"/>
            <w:tcBorders>
              <w:left w:val="single" w:sz="6" w:space="0" w:color="000000"/>
              <w:bottom w:val="single" w:sz="4" w:space="0" w:color="auto"/>
              <w:right w:val="single" w:sz="6" w:space="0" w:color="000000"/>
            </w:tcBorders>
          </w:tcPr>
          <w:p w14:paraId="78900111" w14:textId="3FDDCF4F" w:rsidR="006E14D7" w:rsidRDefault="006E14D7" w:rsidP="006E14D7">
            <w:pPr>
              <w:pStyle w:val="naisc"/>
              <w:spacing w:before="0" w:after="0"/>
            </w:pPr>
            <w:r>
              <w:t>3.</w:t>
            </w:r>
          </w:p>
        </w:tc>
        <w:tc>
          <w:tcPr>
            <w:tcW w:w="2969" w:type="dxa"/>
            <w:tcBorders>
              <w:left w:val="single" w:sz="6" w:space="0" w:color="000000"/>
              <w:bottom w:val="single" w:sz="4" w:space="0" w:color="auto"/>
              <w:right w:val="single" w:sz="6" w:space="0" w:color="000000"/>
            </w:tcBorders>
          </w:tcPr>
          <w:p w14:paraId="4785F059" w14:textId="788BC81D" w:rsidR="006E14D7" w:rsidRPr="00B3632E" w:rsidRDefault="0059578A" w:rsidP="006E14D7">
            <w:pPr>
              <w:jc w:val="both"/>
            </w:pPr>
            <w:r>
              <w:t>Izziņa</w:t>
            </w:r>
            <w:r w:rsidR="00B203AC">
              <w:t xml:space="preserve"> par atzinumos sniegtajiem iebildumiem.</w:t>
            </w:r>
          </w:p>
        </w:tc>
        <w:tc>
          <w:tcPr>
            <w:tcW w:w="4110" w:type="dxa"/>
            <w:tcBorders>
              <w:left w:val="single" w:sz="6" w:space="0" w:color="000000"/>
              <w:bottom w:val="single" w:sz="4" w:space="0" w:color="auto"/>
              <w:right w:val="single" w:sz="6" w:space="0" w:color="000000"/>
            </w:tcBorders>
          </w:tcPr>
          <w:p w14:paraId="1B57B2BE" w14:textId="77777777" w:rsidR="006E14D7" w:rsidRDefault="006E14D7" w:rsidP="006E14D7">
            <w:pPr>
              <w:pStyle w:val="naisc"/>
              <w:spacing w:before="0" w:after="0"/>
              <w:jc w:val="both"/>
              <w:rPr>
                <w:bCs/>
              </w:rPr>
            </w:pPr>
            <w:r>
              <w:rPr>
                <w:b/>
              </w:rPr>
              <w:t>Ekonomikas ministrijas, 13.05.2021. atzinums.</w:t>
            </w:r>
          </w:p>
          <w:p w14:paraId="786253E1" w14:textId="48861AA3" w:rsidR="006E14D7" w:rsidRPr="006E14D7" w:rsidRDefault="00B203AC" w:rsidP="006E14D7">
            <w:pPr>
              <w:pStyle w:val="naisc"/>
              <w:spacing w:before="0" w:after="0"/>
              <w:jc w:val="both"/>
              <w:rPr>
                <w:bCs/>
              </w:rPr>
            </w:pPr>
            <w:r>
              <w:t>Precizēt Izziņas tekstu, kurā sniegta atbilde uz LPS 2. jautājuma 5. punktu, izsakot to šādā redakcijā: "Ņemot vērā, ka provizoriskie Reģionālā  IKP novērtējuma statistikas dati par 2019. gadu  pa jaunajām plānošanas reģionu teritorijām varētu būt ne ātrāk kā 2021. gada beigās, tad RPP noteiktos koeficientus šobrīd nav plānots mainīt."</w:t>
            </w:r>
          </w:p>
        </w:tc>
        <w:tc>
          <w:tcPr>
            <w:tcW w:w="2835" w:type="dxa"/>
            <w:tcBorders>
              <w:left w:val="single" w:sz="6" w:space="0" w:color="000000"/>
              <w:bottom w:val="single" w:sz="4" w:space="0" w:color="auto"/>
              <w:right w:val="single" w:sz="6" w:space="0" w:color="000000"/>
            </w:tcBorders>
          </w:tcPr>
          <w:p w14:paraId="49712D2F" w14:textId="77777777" w:rsidR="006E14D7" w:rsidRDefault="006E14D7" w:rsidP="006E14D7">
            <w:pPr>
              <w:pStyle w:val="naisc"/>
              <w:spacing w:before="0" w:after="0"/>
              <w:jc w:val="both"/>
              <w:rPr>
                <w:bCs/>
              </w:rPr>
            </w:pPr>
            <w:r>
              <w:rPr>
                <w:b/>
              </w:rPr>
              <w:t>Ņemts vērā.</w:t>
            </w:r>
          </w:p>
          <w:p w14:paraId="6F38DEDD" w14:textId="2DF4F63A" w:rsidR="006E14D7" w:rsidRPr="006E14D7" w:rsidRDefault="00300B97" w:rsidP="006E14D7">
            <w:pPr>
              <w:pStyle w:val="naisc"/>
              <w:spacing w:before="0" w:after="0"/>
              <w:jc w:val="both"/>
              <w:rPr>
                <w:bCs/>
              </w:rPr>
            </w:pPr>
            <w:r>
              <w:rPr>
                <w:bCs/>
              </w:rPr>
              <w:t>I</w:t>
            </w:r>
            <w:r w:rsidR="00B203AC">
              <w:rPr>
                <w:bCs/>
              </w:rPr>
              <w:t>zziņa</w:t>
            </w:r>
            <w:r>
              <w:rPr>
                <w:bCs/>
              </w:rPr>
              <w:t xml:space="preserve"> precizēta.</w:t>
            </w:r>
          </w:p>
        </w:tc>
        <w:tc>
          <w:tcPr>
            <w:tcW w:w="4261" w:type="dxa"/>
            <w:tcBorders>
              <w:top w:val="single" w:sz="4" w:space="0" w:color="auto"/>
              <w:left w:val="single" w:sz="4" w:space="0" w:color="auto"/>
              <w:bottom w:val="single" w:sz="4" w:space="0" w:color="auto"/>
            </w:tcBorders>
          </w:tcPr>
          <w:p w14:paraId="73CAB580" w14:textId="276E50AD" w:rsidR="006E14D7" w:rsidRPr="00271FE5" w:rsidRDefault="00B203AC" w:rsidP="006E14D7">
            <w:pPr>
              <w:jc w:val="both"/>
              <w:rPr>
                <w:color w:val="000000" w:themeColor="text1"/>
              </w:rPr>
            </w:pPr>
            <w:r>
              <w:rPr>
                <w:color w:val="000000" w:themeColor="text1"/>
              </w:rPr>
              <w:t>“</w:t>
            </w:r>
            <w:r w:rsidR="006E14D7" w:rsidRPr="00271FE5">
              <w:rPr>
                <w:color w:val="000000" w:themeColor="text1"/>
              </w:rPr>
              <w:t xml:space="preserve">Attiecībā uz Reģionālās politikas pamatnostādnēs 2021.–2027. gadam (turpmāk – RPP) noteikto IKP koeficientu plānošanas reģionu finansējuma plānošanai norādām, ka koeficienta aprēķināšanai RPP ietvaros tika izmantoti aktuālākie IKP dati, kas bija pieejami uz 2019. gadu. </w:t>
            </w:r>
            <w:r w:rsidR="006E14D7">
              <w:t xml:space="preserve">Ņemot vērā, ka provizoriskie reģionālā  IKP novērtējuma statistikas dati par 2019. gadu  pa jaunajām plānošanas reģionu teritorijām varētu būt ne ātrāk kā </w:t>
            </w:r>
            <w:r w:rsidR="006E14D7">
              <w:lastRenderedPageBreak/>
              <w:t>2021. gada beigās, tad RPP noteiktos koeficientus šobrīd nav plānots mainīt.</w:t>
            </w:r>
            <w:r>
              <w:t>”</w:t>
            </w:r>
          </w:p>
        </w:tc>
      </w:tr>
      <w:tr w:rsidR="006E14D7" w:rsidRPr="0034341D" w14:paraId="1AC7CBBB" w14:textId="77777777" w:rsidTr="00DF10C8">
        <w:trPr>
          <w:jc w:val="center"/>
        </w:trPr>
        <w:tc>
          <w:tcPr>
            <w:tcW w:w="15026" w:type="dxa"/>
            <w:gridSpan w:val="5"/>
            <w:tcBorders>
              <w:left w:val="single" w:sz="6" w:space="0" w:color="000000"/>
              <w:bottom w:val="single" w:sz="4" w:space="0" w:color="auto"/>
            </w:tcBorders>
            <w:shd w:val="clear" w:color="auto" w:fill="A6A6A6"/>
          </w:tcPr>
          <w:p w14:paraId="0D15DCE4" w14:textId="77777777" w:rsidR="006E14D7" w:rsidRPr="00271FE5" w:rsidRDefault="006E14D7" w:rsidP="006E14D7">
            <w:pPr>
              <w:jc w:val="both"/>
              <w:rPr>
                <w:color w:val="000000" w:themeColor="text1"/>
              </w:rPr>
            </w:pPr>
            <w:r w:rsidRPr="00271FE5">
              <w:rPr>
                <w:color w:val="000000" w:themeColor="text1"/>
              </w:rPr>
              <w:lastRenderedPageBreak/>
              <w:t>Priekšlikumi</w:t>
            </w:r>
          </w:p>
        </w:tc>
      </w:tr>
      <w:tr w:rsidR="006E14D7" w:rsidRPr="0034341D" w14:paraId="4FC87E1B"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7DDF818C" w14:textId="10FFE63D" w:rsidR="006E14D7" w:rsidRPr="0034341D" w:rsidRDefault="00B203AC" w:rsidP="006E14D7">
            <w:pPr>
              <w:pStyle w:val="naisc"/>
              <w:spacing w:before="0" w:after="0"/>
            </w:pPr>
            <w:r>
              <w:t>4</w:t>
            </w:r>
            <w:r w:rsidR="006E14D7">
              <w:t>.</w:t>
            </w:r>
          </w:p>
        </w:tc>
        <w:tc>
          <w:tcPr>
            <w:tcW w:w="2969" w:type="dxa"/>
            <w:tcBorders>
              <w:top w:val="single" w:sz="4" w:space="0" w:color="auto"/>
              <w:left w:val="single" w:sz="4" w:space="0" w:color="auto"/>
              <w:bottom w:val="single" w:sz="4" w:space="0" w:color="auto"/>
              <w:right w:val="single" w:sz="4" w:space="0" w:color="auto"/>
            </w:tcBorders>
          </w:tcPr>
          <w:p w14:paraId="0F7E9572" w14:textId="3B5C8C6D" w:rsidR="006E14D7" w:rsidRPr="0034341D" w:rsidRDefault="006E14D7" w:rsidP="006E14D7">
            <w:pPr>
              <w:pStyle w:val="NormalWeb"/>
              <w:widowControl w:val="0"/>
              <w:spacing w:before="0" w:beforeAutospacing="0" w:after="0" w:afterAutospacing="0"/>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6883FC99" w14:textId="78EB7950" w:rsidR="006E14D7" w:rsidRPr="00FD1042" w:rsidRDefault="006E14D7" w:rsidP="006E14D7">
            <w:pPr>
              <w:pStyle w:val="NormalWeb"/>
              <w:widowControl w:val="0"/>
              <w:spacing w:before="0" w:beforeAutospacing="0" w:after="0" w:afterAutospacing="0"/>
              <w:jc w:val="both"/>
              <w:rPr>
                <w:b/>
                <w:bCs/>
              </w:rPr>
            </w:pPr>
            <w:r w:rsidRPr="00FD1042">
              <w:rPr>
                <w:b/>
                <w:bCs/>
              </w:rPr>
              <w:t>Latvijas Tirdzniecības un rūpniecības kamera, 20.04.</w:t>
            </w:r>
            <w:r>
              <w:rPr>
                <w:b/>
                <w:bCs/>
              </w:rPr>
              <w:t xml:space="preserve">2021. </w:t>
            </w:r>
            <w:r w:rsidRPr="00FD1042">
              <w:rPr>
                <w:b/>
                <w:bCs/>
              </w:rPr>
              <w:t>atzinums.</w:t>
            </w:r>
          </w:p>
          <w:p w14:paraId="2374E74B" w14:textId="77777777" w:rsidR="006E14D7" w:rsidRPr="00FD1042" w:rsidRDefault="006E14D7" w:rsidP="006E14D7">
            <w:pPr>
              <w:pStyle w:val="NormalWeb"/>
              <w:widowControl w:val="0"/>
              <w:spacing w:before="0" w:beforeAutospacing="0" w:after="0" w:afterAutospacing="0"/>
              <w:jc w:val="both"/>
            </w:pPr>
            <w:r w:rsidRPr="00FD1042">
              <w:t xml:space="preserve">LTRK norāda, ka nav saprotami apsvērumi, kāpēc Ogres novads tiek pievienots Vidzemes plānošanas reģionam. Noteikumu projekta anotācijā minēts, ka: “Vidzemes reģionā ir viens no zemākajiem IKP uz vienu iedzīvotāju līmeņiem Latvijā, kā arī Vidzemes reģionā pēdējo 20 gadu laikā ir bijis viens no lielākajiem iedzīvotāju skaita samazinājumiem starp visiem reģioniem. Ogres novada pievienošana Vidzemes plānošanas reģionam veicinātu vienmērīgāku reģionālo iedalījumu, apvienojot teritorijas ar līdzīgu problemātiku un izaicinājumiem, kā arī, dodot iespēju kopīgi darboties to risināšanai.” </w:t>
            </w:r>
          </w:p>
          <w:p w14:paraId="47D6E013" w14:textId="0276FE6B" w:rsidR="006E14D7" w:rsidRPr="00FD1042" w:rsidRDefault="006E14D7" w:rsidP="006E14D7">
            <w:pPr>
              <w:pStyle w:val="NormalWeb"/>
              <w:widowControl w:val="0"/>
              <w:spacing w:before="0" w:beforeAutospacing="0" w:after="0" w:afterAutospacing="0"/>
              <w:jc w:val="both"/>
            </w:pPr>
            <w:r w:rsidRPr="00FD1042">
              <w:t>LTRK ieskatā nav pietiekami vērtēti ekonomiskie apsvērumi un Ogres novada uzņēmumu un iedzīvotāju saikne ar Rīgu, proti, ievērojama daļa iedzīvotāju strādā Rīgā, uzņēmumi darbojās Rīgā</w:t>
            </w:r>
            <w:r>
              <w:t>,</w:t>
            </w:r>
            <w:r w:rsidRPr="00FD1042">
              <w:t xml:space="preserve"> un tiem ir pastiprināta sadarbība ar Rīgu. Tas, ka Ogres novada austrumu daļā ir pagasti, kas atrodas tālāk nekā vienas stundas braucienā no Rīgas pilsētas centra, LTRK ieskatā nav pietiekami būtisks arguments, lai šādi </w:t>
            </w:r>
            <w:r w:rsidRPr="00FD1042">
              <w:lastRenderedPageBreak/>
              <w:t>veiktu plānošanas reģionu izmaiņas. LTRK norāda, ka ir svarīgi veicināt un nodrošināt līdzsvarotu un ilgtspējīgu reģionālo attīstību, taču uzskata, ka Ogres novada pievienošana Vidzemes plānošanas reģionam to nerisinās, tāpēc aicina VARAM Ogres novadu saglabāt Rīgas plānošanas reģionā.</w:t>
            </w:r>
          </w:p>
        </w:tc>
        <w:tc>
          <w:tcPr>
            <w:tcW w:w="2835" w:type="dxa"/>
            <w:tcBorders>
              <w:top w:val="single" w:sz="4" w:space="0" w:color="auto"/>
              <w:left w:val="single" w:sz="4" w:space="0" w:color="auto"/>
              <w:bottom w:val="single" w:sz="4" w:space="0" w:color="auto"/>
              <w:right w:val="single" w:sz="4" w:space="0" w:color="auto"/>
            </w:tcBorders>
          </w:tcPr>
          <w:p w14:paraId="724A3311" w14:textId="5B70C93C" w:rsidR="006E14D7" w:rsidRPr="00992C8E" w:rsidRDefault="006E14D7" w:rsidP="006E14D7">
            <w:pPr>
              <w:pStyle w:val="naisc"/>
              <w:spacing w:before="0" w:after="0"/>
              <w:jc w:val="both"/>
              <w:rPr>
                <w:bCs/>
              </w:rPr>
            </w:pPr>
            <w:r>
              <w:rPr>
                <w:b/>
              </w:rPr>
              <w:lastRenderedPageBreak/>
              <w:t>Ņemts vērā.</w:t>
            </w:r>
          </w:p>
        </w:tc>
        <w:tc>
          <w:tcPr>
            <w:tcW w:w="4261" w:type="dxa"/>
            <w:tcBorders>
              <w:top w:val="single" w:sz="4" w:space="0" w:color="auto"/>
              <w:left w:val="single" w:sz="4" w:space="0" w:color="auto"/>
              <w:bottom w:val="single" w:sz="4" w:space="0" w:color="auto"/>
            </w:tcBorders>
          </w:tcPr>
          <w:p w14:paraId="1B85FCBE" w14:textId="369773A8" w:rsidR="006E14D7" w:rsidRPr="00271FE5" w:rsidRDefault="006E14D7" w:rsidP="006E14D7">
            <w:pPr>
              <w:jc w:val="both"/>
              <w:rPr>
                <w:color w:val="000000" w:themeColor="text1"/>
              </w:rPr>
            </w:pPr>
            <w:bookmarkStart w:id="1" w:name="_Hlk56162155"/>
            <w:r w:rsidRPr="00271FE5">
              <w:rPr>
                <w:bCs/>
                <w:color w:val="000000" w:themeColor="text1"/>
              </w:rPr>
              <w:t xml:space="preserve">Skaidrojam, ka Rīgas plānošanas reģionam būtiski veidot tādas robežas, kas iekļautu pašvaldības ar kopīgām problēmām un kas cieši saimnieciski ir saistības (piemēram, nodokļu ieņēmumi un pieguļošo novada teritoriju sasniedzamība no Rīgas). </w:t>
            </w:r>
            <w:r w:rsidRPr="00271FE5">
              <w:rPr>
                <w:color w:val="000000" w:themeColor="text1"/>
              </w:rPr>
              <w:t>Informējam, ka plānošanas reģionos var tikt iekļautas tikai nesadalītas administratīvās teritorijas, nevis atsevišķas administratīvi teritoriālās vienības.</w:t>
            </w:r>
            <w:bookmarkEnd w:id="1"/>
          </w:p>
          <w:p w14:paraId="5555C811" w14:textId="0BC24FF0" w:rsidR="006E14D7" w:rsidRPr="00271FE5" w:rsidRDefault="006E14D7" w:rsidP="006E14D7">
            <w:pPr>
              <w:jc w:val="both"/>
              <w:rPr>
                <w:color w:val="000000" w:themeColor="text1"/>
              </w:rPr>
            </w:pPr>
            <w:r w:rsidRPr="00271FE5">
              <w:rPr>
                <w:color w:val="000000" w:themeColor="text1"/>
              </w:rPr>
              <w:t xml:space="preserve">Tāpat informējam, ka Noteikumu projekta izstrādes un saskaņošanas procesā pašvaldībām un plānošanas reģioniem bija iespēja sniegt savus priekšlikumus vai iebildumus par plānotajām izmaiņām reģionu robežās. Pašvaldībām un plānošanas reģioniem bija iespēja sniegt savus priekšlikumus par 2020. gada 22. oktobra Valsts sekretāru sanāksmē izsludinātā konceptuālā ziņojuma “Par administratīvo reģionu izveidi” (turpmāk – Konceptuālais ziņojums) saturu, kas ietvēra informāciju arī par </w:t>
            </w:r>
            <w:r w:rsidRPr="00271FE5">
              <w:rPr>
                <w:i/>
                <w:iCs/>
                <w:color w:val="000000" w:themeColor="text1"/>
              </w:rPr>
              <w:t>NUTS </w:t>
            </w:r>
            <w:r w:rsidRPr="00271FE5">
              <w:rPr>
                <w:color w:val="000000" w:themeColor="text1"/>
              </w:rPr>
              <w:t xml:space="preserve">3 līmeņa reģionu robežu izmaiņām – Limbažu novada un Ogres novada pievienošana Vidzemes reģionam, kā arī Tukuma novada pievienošana Kurzemes reģionam (Noteikumu projektā iekļautās plānošanas reģionu robežas atbilst Konceptuālā </w:t>
            </w:r>
            <w:r w:rsidRPr="00271FE5">
              <w:rPr>
                <w:color w:val="000000" w:themeColor="text1"/>
              </w:rPr>
              <w:lastRenderedPageBreak/>
              <w:t xml:space="preserve">ziņojuma piedāvātajām </w:t>
            </w:r>
            <w:r w:rsidRPr="00271FE5">
              <w:rPr>
                <w:i/>
                <w:iCs/>
                <w:color w:val="000000" w:themeColor="text1"/>
              </w:rPr>
              <w:t>NUTS</w:t>
            </w:r>
            <w:r w:rsidRPr="00271FE5">
              <w:rPr>
                <w:color w:val="000000" w:themeColor="text1"/>
              </w:rPr>
              <w:t xml:space="preserve"> 3 reģionu robežām).</w:t>
            </w:r>
          </w:p>
          <w:p w14:paraId="56E90639" w14:textId="77777777" w:rsidR="006E14D7" w:rsidRPr="00271FE5" w:rsidRDefault="006E14D7" w:rsidP="006E14D7">
            <w:pPr>
              <w:jc w:val="both"/>
              <w:rPr>
                <w:color w:val="000000" w:themeColor="text1"/>
              </w:rPr>
            </w:pPr>
            <w:r w:rsidRPr="00271FE5">
              <w:rPr>
                <w:color w:val="000000" w:themeColor="text1"/>
              </w:rPr>
              <w:t>VARAM Konceptuālā ziņojuma un Noteikumu projekta saskaņošanas procesā ir saņēmusi:</w:t>
            </w:r>
          </w:p>
          <w:p w14:paraId="44A08E93" w14:textId="77777777" w:rsidR="006E14D7" w:rsidRPr="00271FE5" w:rsidRDefault="006E14D7" w:rsidP="006E14D7">
            <w:pPr>
              <w:jc w:val="both"/>
              <w:rPr>
                <w:color w:val="000000" w:themeColor="text1"/>
              </w:rPr>
            </w:pPr>
            <w:r w:rsidRPr="00271FE5">
              <w:rPr>
                <w:color w:val="000000" w:themeColor="text1"/>
              </w:rPr>
              <w:t>1) Kandavas novada domes 2021. gada 18. janvāra vēstuli, kurā Kandavas novada dome pauž atbalstu plānotajām reģionu robežu izmaiņām, t.i., Kandavas novada (</w:t>
            </w:r>
            <w:r w:rsidRPr="00271FE5">
              <w:rPr>
                <w:i/>
                <w:iCs/>
                <w:color w:val="000000" w:themeColor="text1"/>
              </w:rPr>
              <w:t>42 pašvaldību iedalījumā – Tukuma novada</w:t>
            </w:r>
            <w:r w:rsidRPr="00271FE5">
              <w:rPr>
                <w:color w:val="000000" w:themeColor="text1"/>
              </w:rPr>
              <w:t>) iekļaušanai Kurzemes plānošanas reģionā;</w:t>
            </w:r>
          </w:p>
          <w:p w14:paraId="5E8A7D62" w14:textId="77777777" w:rsidR="006E14D7" w:rsidRPr="00271FE5" w:rsidRDefault="006E14D7" w:rsidP="006E14D7">
            <w:pPr>
              <w:jc w:val="both"/>
              <w:rPr>
                <w:bCs/>
                <w:color w:val="000000" w:themeColor="text1"/>
              </w:rPr>
            </w:pPr>
            <w:r w:rsidRPr="00271FE5">
              <w:rPr>
                <w:color w:val="000000" w:themeColor="text1"/>
              </w:rPr>
              <w:t>2) Vidzemes plānošanas reģiona (turpmāk – VPR) 2020. gada 14. oktobra vēstuli, kurā VPR pauž priekšlikumu esošajā VPR teritorijā iekļaut</w:t>
            </w:r>
            <w:r w:rsidRPr="00271FE5">
              <w:rPr>
                <w:bCs/>
                <w:color w:val="000000" w:themeColor="text1"/>
              </w:rPr>
              <w:t xml:space="preserve"> arī jaunveidojamo Limbažu novadu un Ogres novadu;</w:t>
            </w:r>
          </w:p>
          <w:p w14:paraId="01F90C98" w14:textId="77777777" w:rsidR="006E14D7" w:rsidRPr="00271FE5" w:rsidRDefault="006E14D7" w:rsidP="006E14D7">
            <w:pPr>
              <w:jc w:val="both"/>
              <w:rPr>
                <w:bCs/>
                <w:color w:val="000000" w:themeColor="text1"/>
              </w:rPr>
            </w:pPr>
            <w:r w:rsidRPr="00271FE5">
              <w:rPr>
                <w:bCs/>
                <w:color w:val="000000" w:themeColor="text1"/>
              </w:rPr>
              <w:t>3) Limbažu novada domes 2021. gada 25. marta lēmumu Nr. 37 “Par Limbažu novada pašvaldības plānošanas reģiona maiņu un tā iekļaušanu Vidzemes plānošanas reģionā”.</w:t>
            </w:r>
          </w:p>
          <w:p w14:paraId="7F83453B" w14:textId="766CEBAA" w:rsidR="006E14D7" w:rsidRPr="00271FE5" w:rsidRDefault="006E14D7" w:rsidP="006E14D7">
            <w:pPr>
              <w:jc w:val="both"/>
              <w:rPr>
                <w:color w:val="000000" w:themeColor="text1"/>
              </w:rPr>
            </w:pPr>
            <w:r w:rsidRPr="00271FE5">
              <w:rPr>
                <w:color w:val="000000" w:themeColor="text1"/>
              </w:rPr>
              <w:t>Citi iebildumi par piedāvātajām reģionu robežu izmaiņām no pašvaldībām vai plānošanas reģioniem Konceptuālā ziņojuma un Noteikumu projekta izstrādes gaitā netika saņemti, līdz ar to plānošanas reģionu robežu jautājums ticis saskaņots gan no pašvaldību puses, gan plānošanas reģionu puses.</w:t>
            </w:r>
          </w:p>
          <w:p w14:paraId="239615A1" w14:textId="38817198" w:rsidR="006E14D7" w:rsidRPr="00271FE5" w:rsidRDefault="006E14D7" w:rsidP="006E14D7">
            <w:pPr>
              <w:jc w:val="both"/>
              <w:rPr>
                <w:color w:val="000000" w:themeColor="text1"/>
              </w:rPr>
            </w:pPr>
            <w:r w:rsidRPr="00271FE5">
              <w:rPr>
                <w:color w:val="000000" w:themeColor="text1"/>
              </w:rPr>
              <w:t xml:space="preserve">Tāpat informējām, ka Reģionālo attīstības centru apvienības sanāksmē 2020. gada 5. novembrī tika diskutēts par Ogres </w:t>
            </w:r>
            <w:r w:rsidRPr="00271FE5">
              <w:rPr>
                <w:color w:val="000000" w:themeColor="text1"/>
              </w:rPr>
              <w:lastRenderedPageBreak/>
              <w:t>novada iekļaušanu Vidzemes plānošanas reģionā, nesaņemot iebildumus par šo risinājumu.</w:t>
            </w:r>
          </w:p>
        </w:tc>
      </w:tr>
      <w:tr w:rsidR="006E14D7" w:rsidRPr="0034341D" w14:paraId="47CA7932"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599AA9A0" w14:textId="11F3F627" w:rsidR="006E14D7" w:rsidRDefault="00B203AC" w:rsidP="006E14D7">
            <w:pPr>
              <w:pStyle w:val="naisc"/>
              <w:spacing w:before="0" w:after="0"/>
            </w:pPr>
            <w:r>
              <w:lastRenderedPageBreak/>
              <w:t>5</w:t>
            </w:r>
            <w:r w:rsidR="006E14D7">
              <w:t>.</w:t>
            </w:r>
          </w:p>
        </w:tc>
        <w:tc>
          <w:tcPr>
            <w:tcW w:w="2969" w:type="dxa"/>
            <w:tcBorders>
              <w:top w:val="single" w:sz="4" w:space="0" w:color="auto"/>
              <w:left w:val="single" w:sz="4" w:space="0" w:color="auto"/>
              <w:bottom w:val="single" w:sz="4" w:space="0" w:color="auto"/>
              <w:right w:val="single" w:sz="4" w:space="0" w:color="auto"/>
            </w:tcBorders>
          </w:tcPr>
          <w:p w14:paraId="15A5B737" w14:textId="4D5933F3" w:rsidR="006E14D7" w:rsidRPr="0034341D" w:rsidRDefault="006E14D7" w:rsidP="006E14D7">
            <w:pPr>
              <w:pStyle w:val="naisc"/>
              <w:spacing w:before="0" w:after="0"/>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49E2F0CB" w14:textId="6D977F15" w:rsidR="006E14D7" w:rsidRDefault="006E14D7" w:rsidP="006E14D7">
            <w:pPr>
              <w:pStyle w:val="naisc"/>
              <w:spacing w:before="0" w:after="0"/>
              <w:jc w:val="both"/>
              <w:rPr>
                <w:b/>
              </w:rPr>
            </w:pPr>
            <w:r>
              <w:rPr>
                <w:b/>
              </w:rPr>
              <w:t>Latvijas Pašvaldību savienības</w:t>
            </w:r>
            <w:r w:rsidRPr="00B3632E">
              <w:rPr>
                <w:b/>
              </w:rPr>
              <w:t xml:space="preserve">, </w:t>
            </w:r>
            <w:r>
              <w:rPr>
                <w:b/>
              </w:rPr>
              <w:t>23.04</w:t>
            </w:r>
            <w:r w:rsidRPr="00B3632E">
              <w:rPr>
                <w:b/>
              </w:rPr>
              <w:t>.</w:t>
            </w:r>
            <w:r>
              <w:rPr>
                <w:b/>
              </w:rPr>
              <w:t xml:space="preserve">2021. </w:t>
            </w:r>
            <w:r w:rsidRPr="00B37721">
              <w:rPr>
                <w:b/>
              </w:rPr>
              <w:t>atzinums.</w:t>
            </w:r>
          </w:p>
          <w:p w14:paraId="20CD5D2F" w14:textId="41B599AB" w:rsidR="006E14D7" w:rsidRPr="00FD1042" w:rsidRDefault="006E14D7" w:rsidP="006E14D7">
            <w:pPr>
              <w:pStyle w:val="naisc"/>
              <w:spacing w:before="0" w:after="0"/>
              <w:jc w:val="both"/>
              <w:rPr>
                <w:b/>
              </w:rPr>
            </w:pPr>
            <w:r>
              <w:rPr>
                <w:bCs/>
              </w:rPr>
              <w:t xml:space="preserve">1. </w:t>
            </w:r>
            <w:r w:rsidRPr="007063BD">
              <w:rPr>
                <w:bCs/>
              </w:rPr>
              <w:t>Lūdzam anot</w:t>
            </w:r>
            <w:r w:rsidRPr="007063BD">
              <w:rPr>
                <w:rFonts w:hint="eastAsia"/>
                <w:bCs/>
              </w:rPr>
              <w:t>ā</w:t>
            </w:r>
            <w:r w:rsidRPr="007063BD">
              <w:rPr>
                <w:bCs/>
              </w:rPr>
              <w:t>cijā apkopot un skaidrot inform</w:t>
            </w:r>
            <w:r w:rsidRPr="007063BD">
              <w:rPr>
                <w:rFonts w:hint="eastAsia"/>
                <w:bCs/>
              </w:rPr>
              <w:t>ā</w:t>
            </w:r>
            <w:r w:rsidRPr="007063BD">
              <w:rPr>
                <w:bCs/>
              </w:rPr>
              <w:t>ciju par pl</w:t>
            </w:r>
            <w:r w:rsidRPr="007063BD">
              <w:rPr>
                <w:rFonts w:hint="eastAsia"/>
                <w:bCs/>
              </w:rPr>
              <w:t>ā</w:t>
            </w:r>
            <w:r w:rsidRPr="007063BD">
              <w:rPr>
                <w:bCs/>
              </w:rPr>
              <w:t>noto robežu izmai</w:t>
            </w:r>
            <w:r w:rsidRPr="007063BD">
              <w:rPr>
                <w:rFonts w:hint="eastAsia"/>
                <w:bCs/>
              </w:rPr>
              <w:t>ņ</w:t>
            </w:r>
            <w:r w:rsidRPr="007063BD">
              <w:rPr>
                <w:bCs/>
              </w:rPr>
              <w:t>u ietekmi</w:t>
            </w:r>
            <w:r>
              <w:rPr>
                <w:bCs/>
              </w:rPr>
              <w:t>.</w:t>
            </w:r>
          </w:p>
          <w:p w14:paraId="0F0223E6" w14:textId="69F01F9D" w:rsidR="006E14D7" w:rsidRPr="007F7CD3" w:rsidRDefault="006E14D7" w:rsidP="006E14D7">
            <w:pPr>
              <w:pStyle w:val="naisc"/>
              <w:spacing w:before="0" w:after="0"/>
              <w:jc w:val="both"/>
            </w:pPr>
          </w:p>
        </w:tc>
        <w:tc>
          <w:tcPr>
            <w:tcW w:w="2835" w:type="dxa"/>
            <w:tcBorders>
              <w:top w:val="single" w:sz="4" w:space="0" w:color="auto"/>
              <w:left w:val="single" w:sz="4" w:space="0" w:color="auto"/>
              <w:bottom w:val="single" w:sz="4" w:space="0" w:color="auto"/>
              <w:right w:val="single" w:sz="4" w:space="0" w:color="auto"/>
            </w:tcBorders>
          </w:tcPr>
          <w:p w14:paraId="017C8DB3" w14:textId="77777777" w:rsidR="006E14D7" w:rsidRDefault="006E14D7" w:rsidP="006E14D7">
            <w:pPr>
              <w:pStyle w:val="naisc"/>
              <w:spacing w:before="0" w:after="0"/>
              <w:jc w:val="both"/>
              <w:rPr>
                <w:bCs/>
              </w:rPr>
            </w:pPr>
            <w:r>
              <w:rPr>
                <w:b/>
              </w:rPr>
              <w:t>Ņemts vērā.</w:t>
            </w:r>
          </w:p>
          <w:p w14:paraId="2E964EE8" w14:textId="15783B7C" w:rsidR="006E14D7" w:rsidRPr="001E719F" w:rsidRDefault="006E14D7" w:rsidP="006E14D7">
            <w:pPr>
              <w:pStyle w:val="naisc"/>
              <w:spacing w:before="0" w:after="0"/>
              <w:jc w:val="both"/>
            </w:pPr>
            <w:r>
              <w:t>Anotācija precizēta.</w:t>
            </w:r>
          </w:p>
        </w:tc>
        <w:tc>
          <w:tcPr>
            <w:tcW w:w="4261" w:type="dxa"/>
            <w:tcBorders>
              <w:top w:val="single" w:sz="4" w:space="0" w:color="auto"/>
              <w:left w:val="single" w:sz="4" w:space="0" w:color="auto"/>
              <w:bottom w:val="single" w:sz="4" w:space="0" w:color="auto"/>
            </w:tcBorders>
          </w:tcPr>
          <w:p w14:paraId="575DE296" w14:textId="61966AD8" w:rsidR="006E14D7" w:rsidRPr="00271FE5" w:rsidRDefault="006E14D7" w:rsidP="006E14D7">
            <w:pPr>
              <w:jc w:val="both"/>
              <w:rPr>
                <w:bCs/>
                <w:color w:val="000000" w:themeColor="text1"/>
              </w:rPr>
            </w:pPr>
            <w:r w:rsidRPr="00271FE5">
              <w:rPr>
                <w:bCs/>
                <w:color w:val="000000" w:themeColor="text1"/>
              </w:rPr>
              <w:t xml:space="preserve">Anotācijas </w:t>
            </w:r>
            <w:r w:rsidRPr="00271FE5">
              <w:rPr>
                <w:color w:val="000000" w:themeColor="text1"/>
              </w:rPr>
              <w:t xml:space="preserve">I. sadaļas “Tiesību akta projekta izstrādes nepieciešamība” 2. punkts “Pašreizējā situācija un problēmas, kuru risināšanai tiesību akta projekts izstrādāts tiesiskā regulējuma mērķis un būtība” ir papildināts ar informāciju par </w:t>
            </w:r>
            <w:r w:rsidRPr="00271FE5">
              <w:rPr>
                <w:bCs/>
                <w:color w:val="000000" w:themeColor="text1"/>
              </w:rPr>
              <w:t>plānošanas reģionu robežu izmai</w:t>
            </w:r>
            <w:r w:rsidRPr="00271FE5">
              <w:rPr>
                <w:rFonts w:hint="eastAsia"/>
                <w:bCs/>
                <w:color w:val="000000" w:themeColor="text1"/>
              </w:rPr>
              <w:t>ņ</w:t>
            </w:r>
            <w:r w:rsidRPr="00271FE5">
              <w:rPr>
                <w:bCs/>
                <w:color w:val="000000" w:themeColor="text1"/>
              </w:rPr>
              <w:t>u ietekmi uz plānošanas reģionu uzsāktajiem un īstenošanā esošajiem DI projektiem, sagatavošan</w:t>
            </w:r>
            <w:r w:rsidRPr="00271FE5">
              <w:rPr>
                <w:rFonts w:hint="eastAsia"/>
                <w:bCs/>
                <w:color w:val="000000" w:themeColor="text1"/>
              </w:rPr>
              <w:t>ā</w:t>
            </w:r>
            <w:r w:rsidRPr="00271FE5">
              <w:rPr>
                <w:bCs/>
                <w:color w:val="000000" w:themeColor="text1"/>
              </w:rPr>
              <w:t xml:space="preserve"> esošajiem pl</w:t>
            </w:r>
            <w:r w:rsidRPr="00271FE5">
              <w:rPr>
                <w:rFonts w:hint="eastAsia"/>
                <w:bCs/>
                <w:color w:val="000000" w:themeColor="text1"/>
              </w:rPr>
              <w:t>ā</w:t>
            </w:r>
            <w:r w:rsidRPr="00271FE5">
              <w:rPr>
                <w:bCs/>
                <w:color w:val="000000" w:themeColor="text1"/>
              </w:rPr>
              <w:t>nošanas re</w:t>
            </w:r>
            <w:r w:rsidRPr="00271FE5">
              <w:rPr>
                <w:rFonts w:hint="eastAsia"/>
                <w:bCs/>
                <w:color w:val="000000" w:themeColor="text1"/>
              </w:rPr>
              <w:t>ģ</w:t>
            </w:r>
            <w:r w:rsidRPr="00271FE5">
              <w:rPr>
                <w:bCs/>
                <w:color w:val="000000" w:themeColor="text1"/>
              </w:rPr>
              <w:t>ionu att</w:t>
            </w:r>
            <w:r w:rsidRPr="00271FE5">
              <w:rPr>
                <w:rFonts w:hint="eastAsia"/>
                <w:bCs/>
                <w:color w:val="000000" w:themeColor="text1"/>
              </w:rPr>
              <w:t>ī</w:t>
            </w:r>
            <w:r w:rsidRPr="00271FE5">
              <w:rPr>
                <w:bCs/>
                <w:color w:val="000000" w:themeColor="text1"/>
              </w:rPr>
              <w:t>st</w:t>
            </w:r>
            <w:r w:rsidRPr="00271FE5">
              <w:rPr>
                <w:rFonts w:hint="eastAsia"/>
                <w:bCs/>
                <w:color w:val="000000" w:themeColor="text1"/>
              </w:rPr>
              <w:t>ī</w:t>
            </w:r>
            <w:r w:rsidRPr="00271FE5">
              <w:rPr>
                <w:bCs/>
                <w:color w:val="000000" w:themeColor="text1"/>
              </w:rPr>
              <w:t>bas pl</w:t>
            </w:r>
            <w:r w:rsidRPr="00271FE5">
              <w:rPr>
                <w:rFonts w:hint="eastAsia"/>
                <w:bCs/>
                <w:color w:val="000000" w:themeColor="text1"/>
              </w:rPr>
              <w:t>ā</w:t>
            </w:r>
            <w:r w:rsidRPr="00271FE5">
              <w:rPr>
                <w:bCs/>
                <w:color w:val="000000" w:themeColor="text1"/>
              </w:rPr>
              <w:t>nošanas dokumentiem, kā arī citiem jautājumiem.</w:t>
            </w:r>
          </w:p>
        </w:tc>
      </w:tr>
      <w:tr w:rsidR="006E14D7" w:rsidRPr="0034341D" w14:paraId="32CF003A"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5B4EEC4B" w14:textId="7431E822" w:rsidR="006E14D7" w:rsidRDefault="00B203AC" w:rsidP="006E14D7">
            <w:pPr>
              <w:pStyle w:val="naisc"/>
              <w:spacing w:before="0" w:after="0"/>
            </w:pPr>
            <w:r>
              <w:t>6</w:t>
            </w:r>
            <w:r w:rsidR="006E14D7">
              <w:t>.</w:t>
            </w:r>
          </w:p>
        </w:tc>
        <w:tc>
          <w:tcPr>
            <w:tcW w:w="2969" w:type="dxa"/>
            <w:tcBorders>
              <w:top w:val="single" w:sz="4" w:space="0" w:color="auto"/>
              <w:left w:val="single" w:sz="4" w:space="0" w:color="auto"/>
              <w:bottom w:val="single" w:sz="4" w:space="0" w:color="auto"/>
              <w:right w:val="single" w:sz="4" w:space="0" w:color="auto"/>
            </w:tcBorders>
          </w:tcPr>
          <w:p w14:paraId="7DCBD8B4" w14:textId="1643992F" w:rsidR="006E14D7" w:rsidRDefault="006E14D7" w:rsidP="006E14D7">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43262445" w14:textId="23C6720A" w:rsidR="006E14D7" w:rsidRPr="00E75E2A" w:rsidRDefault="006E14D7" w:rsidP="006E14D7">
            <w:pPr>
              <w:pStyle w:val="naisc"/>
              <w:spacing w:before="0" w:after="0"/>
              <w:jc w:val="both"/>
              <w:rPr>
                <w:b/>
              </w:rPr>
            </w:pPr>
            <w:r w:rsidRPr="00E75E2A">
              <w:rPr>
                <w:b/>
              </w:rPr>
              <w:t>Latvijas Pašvaldību savienības, 23.04.</w:t>
            </w:r>
            <w:r>
              <w:rPr>
                <w:b/>
              </w:rPr>
              <w:t>2021.</w:t>
            </w:r>
            <w:r w:rsidRPr="00E75E2A">
              <w:rPr>
                <w:b/>
              </w:rPr>
              <w:t xml:space="preserve"> atzinums.</w:t>
            </w:r>
          </w:p>
          <w:p w14:paraId="78DE2A81" w14:textId="0676AB6B" w:rsidR="006E14D7" w:rsidRPr="00E75E2A" w:rsidRDefault="006E14D7" w:rsidP="006E14D7">
            <w:pPr>
              <w:pStyle w:val="naisc"/>
              <w:spacing w:before="0" w:after="0"/>
              <w:jc w:val="both"/>
              <w:rPr>
                <w:bCs/>
              </w:rPr>
            </w:pPr>
            <w:r>
              <w:rPr>
                <w:bCs/>
              </w:rPr>
              <w:t xml:space="preserve">2. </w:t>
            </w:r>
            <w:r w:rsidRPr="00E75E2A">
              <w:rPr>
                <w:bCs/>
              </w:rPr>
              <w:t>LPS ierosina MK noteikumus papildināt ar pārejas noteikumiem,</w:t>
            </w:r>
            <w:r>
              <w:rPr>
                <w:bCs/>
              </w:rPr>
              <w:t xml:space="preserve"> </w:t>
            </w:r>
            <w:r w:rsidRPr="00E75E2A">
              <w:rPr>
                <w:bCs/>
              </w:rPr>
              <w:t>iekļaujot tajos risinājumu un anotācijā skaidrojumu par šīm problēmām</w:t>
            </w:r>
            <w:r>
              <w:rPr>
                <w:bCs/>
              </w:rPr>
              <w:t>:</w:t>
            </w:r>
          </w:p>
          <w:p w14:paraId="58F966CF" w14:textId="77777777" w:rsidR="006E14D7" w:rsidRPr="00E75E2A" w:rsidRDefault="006E14D7" w:rsidP="006E14D7">
            <w:pPr>
              <w:jc w:val="both"/>
              <w:rPr>
                <w:bCs/>
              </w:rPr>
            </w:pPr>
            <w:r w:rsidRPr="00E75E2A">
              <w:rPr>
                <w:bCs/>
              </w:rPr>
              <w:t>1) ietekme uz sagatavošan</w:t>
            </w:r>
            <w:r w:rsidRPr="00E75E2A">
              <w:rPr>
                <w:rFonts w:hint="eastAsia"/>
                <w:bCs/>
              </w:rPr>
              <w:t>ā</w:t>
            </w:r>
            <w:r w:rsidRPr="00E75E2A">
              <w:rPr>
                <w:bCs/>
              </w:rPr>
              <w:t xml:space="preserve"> esošajiem pl</w:t>
            </w:r>
            <w:r w:rsidRPr="00E75E2A">
              <w:rPr>
                <w:rFonts w:hint="eastAsia"/>
                <w:bCs/>
              </w:rPr>
              <w:t>ā</w:t>
            </w:r>
            <w:r w:rsidRPr="00E75E2A">
              <w:rPr>
                <w:bCs/>
              </w:rPr>
              <w:t>nošanas re</w:t>
            </w:r>
            <w:r w:rsidRPr="00E75E2A">
              <w:rPr>
                <w:rFonts w:hint="eastAsia"/>
                <w:bCs/>
              </w:rPr>
              <w:t>ģ</w:t>
            </w:r>
            <w:r w:rsidRPr="00E75E2A">
              <w:rPr>
                <w:bCs/>
              </w:rPr>
              <w:t>ionu un pašvald</w:t>
            </w:r>
            <w:r w:rsidRPr="00E75E2A">
              <w:rPr>
                <w:rFonts w:hint="eastAsia"/>
                <w:bCs/>
              </w:rPr>
              <w:t>ī</w:t>
            </w:r>
            <w:r w:rsidRPr="00E75E2A">
              <w:rPr>
                <w:bCs/>
              </w:rPr>
              <w:t>bu att</w:t>
            </w:r>
            <w:r w:rsidRPr="00E75E2A">
              <w:rPr>
                <w:rFonts w:hint="eastAsia"/>
                <w:bCs/>
              </w:rPr>
              <w:t>ī</w:t>
            </w:r>
            <w:r w:rsidRPr="00E75E2A">
              <w:rPr>
                <w:bCs/>
              </w:rPr>
              <w:t>st</w:t>
            </w:r>
            <w:r w:rsidRPr="00E75E2A">
              <w:rPr>
                <w:rFonts w:hint="eastAsia"/>
                <w:bCs/>
              </w:rPr>
              <w:t>ī</w:t>
            </w:r>
            <w:r w:rsidRPr="00E75E2A">
              <w:rPr>
                <w:bCs/>
              </w:rPr>
              <w:t>bas pl</w:t>
            </w:r>
            <w:r w:rsidRPr="00E75E2A">
              <w:rPr>
                <w:rFonts w:hint="eastAsia"/>
                <w:bCs/>
              </w:rPr>
              <w:t>ā</w:t>
            </w:r>
            <w:r w:rsidRPr="00E75E2A">
              <w:rPr>
                <w:bCs/>
              </w:rPr>
              <w:t>nošanas dokumentiem;</w:t>
            </w:r>
          </w:p>
          <w:p w14:paraId="72EA0623" w14:textId="77777777" w:rsidR="006E14D7" w:rsidRPr="00E75E2A" w:rsidRDefault="006E14D7" w:rsidP="006E14D7">
            <w:pPr>
              <w:jc w:val="both"/>
              <w:rPr>
                <w:bCs/>
              </w:rPr>
            </w:pPr>
            <w:r w:rsidRPr="00E75E2A">
              <w:rPr>
                <w:bCs/>
              </w:rPr>
              <w:t>2) ietekme uz pl</w:t>
            </w:r>
            <w:r w:rsidRPr="00E75E2A">
              <w:rPr>
                <w:rFonts w:hint="eastAsia"/>
                <w:bCs/>
              </w:rPr>
              <w:t>ā</w:t>
            </w:r>
            <w:r w:rsidRPr="00E75E2A">
              <w:rPr>
                <w:bCs/>
              </w:rPr>
              <w:t>nošanas re</w:t>
            </w:r>
            <w:r w:rsidRPr="00E75E2A">
              <w:rPr>
                <w:rFonts w:hint="eastAsia"/>
                <w:bCs/>
              </w:rPr>
              <w:t>ģ</w:t>
            </w:r>
            <w:r w:rsidRPr="00E75E2A">
              <w:rPr>
                <w:bCs/>
              </w:rPr>
              <w:t>ionu uzs</w:t>
            </w:r>
            <w:r w:rsidRPr="00E75E2A">
              <w:rPr>
                <w:rFonts w:hint="eastAsia"/>
                <w:bCs/>
              </w:rPr>
              <w:t>ā</w:t>
            </w:r>
            <w:r w:rsidRPr="00E75E2A">
              <w:rPr>
                <w:bCs/>
              </w:rPr>
              <w:t xml:space="preserve">ktajiem un </w:t>
            </w:r>
            <w:r w:rsidRPr="00E75E2A">
              <w:rPr>
                <w:rFonts w:hint="eastAsia"/>
                <w:bCs/>
              </w:rPr>
              <w:t>ī</w:t>
            </w:r>
            <w:r w:rsidRPr="00E75E2A">
              <w:rPr>
                <w:bCs/>
              </w:rPr>
              <w:t>stenošan</w:t>
            </w:r>
            <w:r w:rsidRPr="00E75E2A">
              <w:rPr>
                <w:rFonts w:hint="eastAsia"/>
                <w:bCs/>
              </w:rPr>
              <w:t>ā</w:t>
            </w:r>
            <w:r w:rsidRPr="00E75E2A">
              <w:rPr>
                <w:bCs/>
              </w:rPr>
              <w:t xml:space="preserve"> esošajiem projektiem, t.sk. p</w:t>
            </w:r>
            <w:r w:rsidRPr="00E75E2A">
              <w:rPr>
                <w:rFonts w:hint="eastAsia"/>
                <w:bCs/>
              </w:rPr>
              <w:t>ā</w:t>
            </w:r>
            <w:r w:rsidRPr="00E75E2A">
              <w:rPr>
                <w:bCs/>
              </w:rPr>
              <w:t>rrobežu sadarb</w:t>
            </w:r>
            <w:r w:rsidRPr="00E75E2A">
              <w:rPr>
                <w:rFonts w:hint="eastAsia"/>
                <w:bCs/>
              </w:rPr>
              <w:t>ī</w:t>
            </w:r>
            <w:r w:rsidRPr="00E75E2A">
              <w:rPr>
                <w:bCs/>
              </w:rPr>
              <w:t>bas programm</w:t>
            </w:r>
            <w:r w:rsidRPr="00E75E2A">
              <w:rPr>
                <w:rFonts w:hint="eastAsia"/>
                <w:bCs/>
              </w:rPr>
              <w:t>ā</w:t>
            </w:r>
            <w:r w:rsidRPr="00E75E2A">
              <w:rPr>
                <w:bCs/>
              </w:rPr>
              <w:t>s;</w:t>
            </w:r>
          </w:p>
          <w:p w14:paraId="16FA5EFC" w14:textId="03981FF7" w:rsidR="006E14D7" w:rsidRPr="00E75E2A" w:rsidRDefault="006E14D7" w:rsidP="006E14D7">
            <w:pPr>
              <w:jc w:val="both"/>
              <w:rPr>
                <w:bCs/>
              </w:rPr>
            </w:pPr>
            <w:r w:rsidRPr="00E75E2A">
              <w:rPr>
                <w:bCs/>
              </w:rPr>
              <w:t>3) Ministru kabineta 2015.gada 16.j</w:t>
            </w:r>
            <w:r w:rsidRPr="00E75E2A">
              <w:rPr>
                <w:rFonts w:hint="eastAsia"/>
                <w:bCs/>
              </w:rPr>
              <w:t>ū</w:t>
            </w:r>
            <w:r w:rsidRPr="00E75E2A">
              <w:rPr>
                <w:bCs/>
              </w:rPr>
              <w:t>nija noteikumu Nr. 313 “Darb</w:t>
            </w:r>
            <w:r w:rsidRPr="00E75E2A">
              <w:rPr>
                <w:rFonts w:hint="eastAsia"/>
                <w:bCs/>
              </w:rPr>
              <w:t>ī</w:t>
            </w:r>
            <w:r w:rsidRPr="00E75E2A">
              <w:rPr>
                <w:bCs/>
              </w:rPr>
              <w:t>bas programmas "Izaugsme un nodarbin</w:t>
            </w:r>
            <w:r w:rsidRPr="00E75E2A">
              <w:rPr>
                <w:rFonts w:hint="eastAsia"/>
                <w:bCs/>
              </w:rPr>
              <w:t>ā</w:t>
            </w:r>
            <w:r w:rsidRPr="00E75E2A">
              <w:rPr>
                <w:bCs/>
              </w:rPr>
              <w:t>t</w:t>
            </w:r>
            <w:r w:rsidRPr="00E75E2A">
              <w:rPr>
                <w:rFonts w:hint="eastAsia"/>
                <w:bCs/>
              </w:rPr>
              <w:t>ī</w:t>
            </w:r>
            <w:r w:rsidRPr="00E75E2A">
              <w:rPr>
                <w:bCs/>
              </w:rPr>
              <w:t>ba" 9.2.2.specifisk</w:t>
            </w:r>
            <w:r w:rsidRPr="00E75E2A">
              <w:rPr>
                <w:rFonts w:hint="eastAsia"/>
                <w:bCs/>
              </w:rPr>
              <w:t>ā</w:t>
            </w:r>
            <w:r w:rsidRPr="00E75E2A">
              <w:rPr>
                <w:bCs/>
              </w:rPr>
              <w:t xml:space="preserve"> atbalsta </w:t>
            </w:r>
            <w:r w:rsidRPr="00E75E2A">
              <w:rPr>
                <w:bCs/>
              </w:rPr>
              <w:lastRenderedPageBreak/>
              <w:t>m</w:t>
            </w:r>
            <w:r w:rsidRPr="00E75E2A">
              <w:rPr>
                <w:rFonts w:hint="eastAsia"/>
                <w:bCs/>
              </w:rPr>
              <w:t>ē</w:t>
            </w:r>
            <w:r w:rsidRPr="00E75E2A">
              <w:rPr>
                <w:bCs/>
              </w:rPr>
              <w:t>r</w:t>
            </w:r>
            <w:r w:rsidRPr="00E75E2A">
              <w:rPr>
                <w:rFonts w:hint="eastAsia"/>
                <w:bCs/>
              </w:rPr>
              <w:t>ķ</w:t>
            </w:r>
            <w:r w:rsidRPr="00E75E2A">
              <w:rPr>
                <w:bCs/>
              </w:rPr>
              <w:t>a "Palielin</w:t>
            </w:r>
            <w:r w:rsidRPr="00E75E2A">
              <w:rPr>
                <w:rFonts w:hint="eastAsia"/>
                <w:bCs/>
              </w:rPr>
              <w:t>ā</w:t>
            </w:r>
            <w:r w:rsidRPr="00E75E2A">
              <w:rPr>
                <w:bCs/>
              </w:rPr>
              <w:t>t kvalitat</w:t>
            </w:r>
            <w:r w:rsidRPr="00E75E2A">
              <w:rPr>
                <w:rFonts w:hint="eastAsia"/>
                <w:bCs/>
              </w:rPr>
              <w:t>ī</w:t>
            </w:r>
            <w:r w:rsidRPr="00E75E2A">
              <w:rPr>
                <w:bCs/>
              </w:rPr>
              <w:t>vu institucion</w:t>
            </w:r>
            <w:r w:rsidRPr="00E75E2A">
              <w:rPr>
                <w:rFonts w:hint="eastAsia"/>
                <w:bCs/>
              </w:rPr>
              <w:t>ā</w:t>
            </w:r>
            <w:r w:rsidRPr="00E75E2A">
              <w:rPr>
                <w:bCs/>
              </w:rPr>
              <w:t>lai apr</w:t>
            </w:r>
            <w:r w:rsidRPr="00E75E2A">
              <w:rPr>
                <w:rFonts w:hint="eastAsia"/>
                <w:bCs/>
              </w:rPr>
              <w:t>ū</w:t>
            </w:r>
            <w:r w:rsidRPr="00E75E2A">
              <w:rPr>
                <w:bCs/>
              </w:rPr>
              <w:t>pei alternat</w:t>
            </w:r>
            <w:r w:rsidRPr="00E75E2A">
              <w:rPr>
                <w:rFonts w:hint="eastAsia"/>
                <w:bCs/>
              </w:rPr>
              <w:t>ī</w:t>
            </w:r>
            <w:r w:rsidRPr="00E75E2A">
              <w:rPr>
                <w:bCs/>
              </w:rPr>
              <w:t>vu soci</w:t>
            </w:r>
            <w:r w:rsidRPr="00E75E2A">
              <w:rPr>
                <w:rFonts w:hint="eastAsia"/>
                <w:bCs/>
              </w:rPr>
              <w:t>ā</w:t>
            </w:r>
            <w:r w:rsidRPr="00E75E2A">
              <w:rPr>
                <w:bCs/>
              </w:rPr>
              <w:t>lo pakalpojumu dz</w:t>
            </w:r>
            <w:r w:rsidRPr="00E75E2A">
              <w:rPr>
                <w:rFonts w:hint="eastAsia"/>
                <w:bCs/>
              </w:rPr>
              <w:t>ī</w:t>
            </w:r>
            <w:r w:rsidRPr="00E75E2A">
              <w:rPr>
                <w:bCs/>
              </w:rPr>
              <w:t>vesviet</w:t>
            </w:r>
            <w:r w:rsidRPr="00E75E2A">
              <w:rPr>
                <w:rFonts w:hint="eastAsia"/>
                <w:bCs/>
              </w:rPr>
              <w:t>ā</w:t>
            </w:r>
            <w:r w:rsidRPr="00E75E2A">
              <w:rPr>
                <w:bCs/>
              </w:rPr>
              <w:t xml:space="preserve"> un </w:t>
            </w:r>
            <w:r w:rsidRPr="00E75E2A">
              <w:rPr>
                <w:rFonts w:hint="eastAsia"/>
                <w:bCs/>
              </w:rPr>
              <w:t>ģ</w:t>
            </w:r>
            <w:r w:rsidRPr="00E75E2A">
              <w:rPr>
                <w:bCs/>
              </w:rPr>
              <w:t>imeniskai videi pietuvin</w:t>
            </w:r>
            <w:r w:rsidRPr="00E75E2A">
              <w:rPr>
                <w:rFonts w:hint="eastAsia"/>
                <w:bCs/>
              </w:rPr>
              <w:t>ā</w:t>
            </w:r>
            <w:r w:rsidRPr="00E75E2A">
              <w:rPr>
                <w:bCs/>
              </w:rPr>
              <w:t>tu pakalpojumu pieejam</w:t>
            </w:r>
            <w:r w:rsidRPr="00E75E2A">
              <w:rPr>
                <w:rFonts w:hint="eastAsia"/>
                <w:bCs/>
              </w:rPr>
              <w:t>ī</w:t>
            </w:r>
            <w:r w:rsidRPr="00E75E2A">
              <w:rPr>
                <w:bCs/>
              </w:rPr>
              <w:t>bu person</w:t>
            </w:r>
            <w:r w:rsidRPr="00E75E2A">
              <w:rPr>
                <w:rFonts w:hint="eastAsia"/>
                <w:bCs/>
              </w:rPr>
              <w:t>ā</w:t>
            </w:r>
            <w:r w:rsidRPr="00E75E2A">
              <w:rPr>
                <w:bCs/>
              </w:rPr>
              <w:t>m ar invalidit</w:t>
            </w:r>
            <w:r w:rsidRPr="00E75E2A">
              <w:rPr>
                <w:rFonts w:hint="eastAsia"/>
                <w:bCs/>
              </w:rPr>
              <w:t>ā</w:t>
            </w:r>
            <w:r w:rsidRPr="00E75E2A">
              <w:rPr>
                <w:bCs/>
              </w:rPr>
              <w:t>ti un b</w:t>
            </w:r>
            <w:r w:rsidRPr="00E75E2A">
              <w:rPr>
                <w:rFonts w:hint="eastAsia"/>
                <w:bCs/>
              </w:rPr>
              <w:t>ē</w:t>
            </w:r>
            <w:r w:rsidRPr="00E75E2A">
              <w:rPr>
                <w:bCs/>
              </w:rPr>
              <w:t>rniem" 9.2.2.1.pas</w:t>
            </w:r>
            <w:r w:rsidRPr="00E75E2A">
              <w:rPr>
                <w:rFonts w:hint="eastAsia"/>
                <w:bCs/>
              </w:rPr>
              <w:t>ā</w:t>
            </w:r>
            <w:r w:rsidRPr="00E75E2A">
              <w:rPr>
                <w:bCs/>
              </w:rPr>
              <w:t>kuma</w:t>
            </w:r>
            <w:r>
              <w:rPr>
                <w:bCs/>
              </w:rPr>
              <w:t xml:space="preserve"> </w:t>
            </w:r>
            <w:r w:rsidRPr="00E75E2A">
              <w:rPr>
                <w:bCs/>
              </w:rPr>
              <w:t>"Deinstitucionaliz</w:t>
            </w:r>
            <w:r w:rsidRPr="00E75E2A">
              <w:rPr>
                <w:rFonts w:hint="eastAsia"/>
                <w:bCs/>
              </w:rPr>
              <w:t>ā</w:t>
            </w:r>
            <w:r w:rsidRPr="00E75E2A">
              <w:rPr>
                <w:bCs/>
              </w:rPr>
              <w:t xml:space="preserve">cija" </w:t>
            </w:r>
            <w:r w:rsidRPr="00E75E2A">
              <w:rPr>
                <w:rFonts w:hint="eastAsia"/>
                <w:bCs/>
              </w:rPr>
              <w:t>ī</w:t>
            </w:r>
            <w:r w:rsidRPr="00E75E2A">
              <w:rPr>
                <w:bCs/>
              </w:rPr>
              <w:t>stenošanas noteikumi“ (turpm</w:t>
            </w:r>
            <w:r w:rsidRPr="00E75E2A">
              <w:rPr>
                <w:rFonts w:hint="eastAsia"/>
                <w:bCs/>
              </w:rPr>
              <w:t>ā</w:t>
            </w:r>
            <w:r w:rsidRPr="00E75E2A">
              <w:rPr>
                <w:bCs/>
              </w:rPr>
              <w:t>k – DI noteikumi) pras</w:t>
            </w:r>
            <w:r w:rsidRPr="00E75E2A">
              <w:rPr>
                <w:rFonts w:hint="eastAsia"/>
                <w:bCs/>
              </w:rPr>
              <w:t>ī</w:t>
            </w:r>
            <w:r w:rsidRPr="00E75E2A">
              <w:rPr>
                <w:bCs/>
              </w:rPr>
              <w:t>bu izpildi. DI noteikumi nosaka, ka DI projektu ietvaros pl</w:t>
            </w:r>
            <w:r w:rsidRPr="00E75E2A">
              <w:rPr>
                <w:rFonts w:hint="eastAsia"/>
                <w:bCs/>
              </w:rPr>
              <w:t>ā</w:t>
            </w:r>
            <w:r w:rsidRPr="00E75E2A">
              <w:rPr>
                <w:bCs/>
              </w:rPr>
              <w:t>nošanas re</w:t>
            </w:r>
            <w:r w:rsidRPr="00E75E2A">
              <w:rPr>
                <w:rFonts w:hint="eastAsia"/>
                <w:bCs/>
              </w:rPr>
              <w:t>ģ</w:t>
            </w:r>
            <w:r w:rsidRPr="00E75E2A">
              <w:rPr>
                <w:bCs/>
              </w:rPr>
              <w:t>ionu sadarb</w:t>
            </w:r>
            <w:r w:rsidRPr="00E75E2A">
              <w:rPr>
                <w:rFonts w:hint="eastAsia"/>
                <w:bCs/>
              </w:rPr>
              <w:t>ī</w:t>
            </w:r>
            <w:r w:rsidRPr="00E75E2A">
              <w:rPr>
                <w:bCs/>
              </w:rPr>
              <w:t>bas partneri var b</w:t>
            </w:r>
            <w:r w:rsidRPr="00E75E2A">
              <w:rPr>
                <w:rFonts w:hint="eastAsia"/>
                <w:bCs/>
              </w:rPr>
              <w:t>ū</w:t>
            </w:r>
            <w:r w:rsidRPr="00E75E2A">
              <w:rPr>
                <w:bCs/>
              </w:rPr>
              <w:t>t pl</w:t>
            </w:r>
            <w:r w:rsidRPr="00E75E2A">
              <w:rPr>
                <w:rFonts w:hint="eastAsia"/>
                <w:bCs/>
              </w:rPr>
              <w:t>ā</w:t>
            </w:r>
            <w:r w:rsidRPr="00E75E2A">
              <w:rPr>
                <w:bCs/>
              </w:rPr>
              <w:t>nošanas re</w:t>
            </w:r>
            <w:r w:rsidRPr="00E75E2A">
              <w:rPr>
                <w:rFonts w:hint="eastAsia"/>
                <w:bCs/>
              </w:rPr>
              <w:t>ģ</w:t>
            </w:r>
            <w:r w:rsidRPr="00E75E2A">
              <w:rPr>
                <w:bCs/>
              </w:rPr>
              <w:t>ionu teritorij</w:t>
            </w:r>
            <w:r w:rsidRPr="00E75E2A">
              <w:rPr>
                <w:rFonts w:hint="eastAsia"/>
                <w:bCs/>
              </w:rPr>
              <w:t>ā</w:t>
            </w:r>
            <w:r w:rsidRPr="00E75E2A">
              <w:rPr>
                <w:bCs/>
              </w:rPr>
              <w:t xml:space="preserve"> esoš</w:t>
            </w:r>
            <w:r w:rsidRPr="00E75E2A">
              <w:rPr>
                <w:rFonts w:hint="eastAsia"/>
                <w:bCs/>
              </w:rPr>
              <w:t>ā</w:t>
            </w:r>
            <w:r w:rsidRPr="00E75E2A">
              <w:rPr>
                <w:bCs/>
              </w:rPr>
              <w:t>s pašvald</w:t>
            </w:r>
            <w:r w:rsidRPr="00E75E2A">
              <w:rPr>
                <w:rFonts w:hint="eastAsia"/>
                <w:bCs/>
              </w:rPr>
              <w:t>ī</w:t>
            </w:r>
            <w:r w:rsidRPr="00E75E2A">
              <w:rPr>
                <w:bCs/>
              </w:rPr>
              <w:t>bas. Š</w:t>
            </w:r>
            <w:r w:rsidRPr="00E75E2A">
              <w:rPr>
                <w:rFonts w:hint="eastAsia"/>
                <w:bCs/>
              </w:rPr>
              <w:t>ā</w:t>
            </w:r>
            <w:r w:rsidRPr="00E75E2A">
              <w:rPr>
                <w:bCs/>
              </w:rPr>
              <w:t>da r</w:t>
            </w:r>
            <w:r w:rsidRPr="00E75E2A">
              <w:rPr>
                <w:rFonts w:hint="eastAsia"/>
                <w:bCs/>
              </w:rPr>
              <w:t>ī</w:t>
            </w:r>
            <w:r w:rsidRPr="00E75E2A">
              <w:rPr>
                <w:bCs/>
              </w:rPr>
              <w:t>c</w:t>
            </w:r>
            <w:r w:rsidRPr="00E75E2A">
              <w:rPr>
                <w:rFonts w:hint="eastAsia"/>
                <w:bCs/>
              </w:rPr>
              <w:t>ī</w:t>
            </w:r>
            <w:r w:rsidRPr="00E75E2A">
              <w:rPr>
                <w:bCs/>
              </w:rPr>
              <w:t>ba rad</w:t>
            </w:r>
            <w:r w:rsidRPr="00E75E2A">
              <w:rPr>
                <w:rFonts w:hint="eastAsia"/>
                <w:bCs/>
              </w:rPr>
              <w:t>ī</w:t>
            </w:r>
            <w:r w:rsidRPr="00E75E2A">
              <w:rPr>
                <w:bCs/>
              </w:rPr>
              <w:t>tu nevajadz</w:t>
            </w:r>
            <w:r w:rsidRPr="00E75E2A">
              <w:rPr>
                <w:rFonts w:hint="eastAsia"/>
                <w:bCs/>
              </w:rPr>
              <w:t>ī</w:t>
            </w:r>
            <w:r w:rsidRPr="00E75E2A">
              <w:rPr>
                <w:bCs/>
              </w:rPr>
              <w:t>gu administrat</w:t>
            </w:r>
            <w:r w:rsidRPr="00E75E2A">
              <w:rPr>
                <w:rFonts w:hint="eastAsia"/>
                <w:bCs/>
              </w:rPr>
              <w:t>ī</w:t>
            </w:r>
            <w:r w:rsidRPr="00E75E2A">
              <w:rPr>
                <w:bCs/>
              </w:rPr>
              <w:t>vo slogu, ietekm</w:t>
            </w:r>
            <w:r w:rsidRPr="00E75E2A">
              <w:rPr>
                <w:rFonts w:hint="eastAsia"/>
                <w:bCs/>
              </w:rPr>
              <w:t>ē</w:t>
            </w:r>
            <w:r w:rsidRPr="00E75E2A">
              <w:rPr>
                <w:bCs/>
              </w:rPr>
              <w:t>tu rezultat</w:t>
            </w:r>
            <w:r w:rsidRPr="00E75E2A">
              <w:rPr>
                <w:rFonts w:hint="eastAsia"/>
                <w:bCs/>
              </w:rPr>
              <w:t>ī</w:t>
            </w:r>
            <w:r w:rsidRPr="00E75E2A">
              <w:rPr>
                <w:bCs/>
              </w:rPr>
              <w:t>vo r</w:t>
            </w:r>
            <w:r w:rsidRPr="00E75E2A">
              <w:rPr>
                <w:rFonts w:hint="eastAsia"/>
                <w:bCs/>
              </w:rPr>
              <w:t>ā</w:t>
            </w:r>
            <w:r w:rsidRPr="00E75E2A">
              <w:rPr>
                <w:bCs/>
              </w:rPr>
              <w:t>d</w:t>
            </w:r>
            <w:r w:rsidRPr="00E75E2A">
              <w:rPr>
                <w:rFonts w:hint="eastAsia"/>
                <w:bCs/>
              </w:rPr>
              <w:t>ī</w:t>
            </w:r>
            <w:r w:rsidRPr="00E75E2A">
              <w:rPr>
                <w:bCs/>
              </w:rPr>
              <w:t>t</w:t>
            </w:r>
            <w:r w:rsidRPr="00E75E2A">
              <w:rPr>
                <w:rFonts w:hint="eastAsia"/>
                <w:bCs/>
              </w:rPr>
              <w:t>ā</w:t>
            </w:r>
            <w:r w:rsidRPr="00E75E2A">
              <w:rPr>
                <w:bCs/>
              </w:rPr>
              <w:t>ju un finans</w:t>
            </w:r>
            <w:r w:rsidRPr="00E75E2A">
              <w:rPr>
                <w:rFonts w:hint="eastAsia"/>
                <w:bCs/>
              </w:rPr>
              <w:t>ē</w:t>
            </w:r>
            <w:r w:rsidRPr="00E75E2A">
              <w:rPr>
                <w:bCs/>
              </w:rPr>
              <w:t>juma apguvi un var</w:t>
            </w:r>
            <w:r w:rsidRPr="00E75E2A">
              <w:rPr>
                <w:rFonts w:hint="eastAsia"/>
                <w:bCs/>
              </w:rPr>
              <w:t>ē</w:t>
            </w:r>
            <w:r w:rsidRPr="00E75E2A">
              <w:rPr>
                <w:bCs/>
              </w:rPr>
              <w:t>tu kav</w:t>
            </w:r>
            <w:r w:rsidRPr="00E75E2A">
              <w:rPr>
                <w:rFonts w:hint="eastAsia"/>
                <w:bCs/>
              </w:rPr>
              <w:t>ē</w:t>
            </w:r>
            <w:r w:rsidRPr="00E75E2A">
              <w:rPr>
                <w:bCs/>
              </w:rPr>
              <w:t>t sabiedr</w:t>
            </w:r>
            <w:r w:rsidRPr="00E75E2A">
              <w:rPr>
                <w:rFonts w:hint="eastAsia"/>
                <w:bCs/>
              </w:rPr>
              <w:t>ī</w:t>
            </w:r>
            <w:r w:rsidRPr="00E75E2A">
              <w:rPr>
                <w:bCs/>
              </w:rPr>
              <w:t>b</w:t>
            </w:r>
            <w:r w:rsidRPr="00E75E2A">
              <w:rPr>
                <w:rFonts w:hint="eastAsia"/>
                <w:bCs/>
              </w:rPr>
              <w:t>ā</w:t>
            </w:r>
            <w:r w:rsidRPr="00E75E2A">
              <w:rPr>
                <w:bCs/>
              </w:rPr>
              <w:t xml:space="preserve"> balst</w:t>
            </w:r>
            <w:r w:rsidRPr="00E75E2A">
              <w:rPr>
                <w:rFonts w:hint="eastAsia"/>
                <w:bCs/>
              </w:rPr>
              <w:t>ī</w:t>
            </w:r>
            <w:r w:rsidRPr="00E75E2A">
              <w:rPr>
                <w:bCs/>
              </w:rPr>
              <w:t>tu soci</w:t>
            </w:r>
            <w:r w:rsidRPr="00E75E2A">
              <w:rPr>
                <w:rFonts w:hint="eastAsia"/>
                <w:bCs/>
              </w:rPr>
              <w:t>ā</w:t>
            </w:r>
            <w:r w:rsidRPr="00E75E2A">
              <w:rPr>
                <w:bCs/>
              </w:rPr>
              <w:t>lo pakalpojumu sniegšanu. Aicin</w:t>
            </w:r>
            <w:r w:rsidRPr="00E75E2A">
              <w:rPr>
                <w:rFonts w:hint="eastAsia"/>
                <w:bCs/>
              </w:rPr>
              <w:t>ā</w:t>
            </w:r>
            <w:r w:rsidRPr="00E75E2A">
              <w:rPr>
                <w:bCs/>
              </w:rPr>
              <w:t>m izv</w:t>
            </w:r>
            <w:r w:rsidRPr="00E75E2A">
              <w:rPr>
                <w:rFonts w:hint="eastAsia"/>
                <w:bCs/>
              </w:rPr>
              <w:t>ē</w:t>
            </w:r>
            <w:r w:rsidRPr="00E75E2A">
              <w:rPr>
                <w:bCs/>
              </w:rPr>
              <w:t>rt</w:t>
            </w:r>
            <w:r w:rsidRPr="00E75E2A">
              <w:rPr>
                <w:rFonts w:hint="eastAsia"/>
                <w:bCs/>
              </w:rPr>
              <w:t>ē</w:t>
            </w:r>
            <w:r w:rsidRPr="00E75E2A">
              <w:rPr>
                <w:bCs/>
              </w:rPr>
              <w:t>t iesp</w:t>
            </w:r>
            <w:r w:rsidRPr="00E75E2A">
              <w:rPr>
                <w:rFonts w:hint="eastAsia"/>
                <w:bCs/>
              </w:rPr>
              <w:t>ē</w:t>
            </w:r>
            <w:r w:rsidRPr="00E75E2A">
              <w:rPr>
                <w:bCs/>
              </w:rPr>
              <w:t>ju, piem</w:t>
            </w:r>
            <w:r w:rsidRPr="00E75E2A">
              <w:rPr>
                <w:rFonts w:hint="eastAsia"/>
                <w:bCs/>
              </w:rPr>
              <w:t>ē</w:t>
            </w:r>
            <w:r w:rsidRPr="00E75E2A">
              <w:rPr>
                <w:bCs/>
              </w:rPr>
              <w:t>ram, iestr</w:t>
            </w:r>
            <w:r w:rsidRPr="00E75E2A">
              <w:rPr>
                <w:rFonts w:hint="eastAsia"/>
                <w:bCs/>
              </w:rPr>
              <w:t>ā</w:t>
            </w:r>
            <w:r w:rsidRPr="00E75E2A">
              <w:rPr>
                <w:bCs/>
              </w:rPr>
              <w:t>d</w:t>
            </w:r>
            <w:r w:rsidRPr="00E75E2A">
              <w:rPr>
                <w:rFonts w:hint="eastAsia"/>
                <w:bCs/>
              </w:rPr>
              <w:t>ā</w:t>
            </w:r>
            <w:r w:rsidRPr="00E75E2A">
              <w:rPr>
                <w:bCs/>
              </w:rPr>
              <w:t>t Noteikumu projekta p</w:t>
            </w:r>
            <w:r w:rsidRPr="00E75E2A">
              <w:rPr>
                <w:rFonts w:hint="eastAsia"/>
                <w:bCs/>
              </w:rPr>
              <w:t>ā</w:t>
            </w:r>
            <w:r w:rsidRPr="00E75E2A">
              <w:rPr>
                <w:bCs/>
              </w:rPr>
              <w:t>rejas noteikumos atrunu, ka DI projekta ietvaros pl</w:t>
            </w:r>
            <w:r w:rsidRPr="00E75E2A">
              <w:rPr>
                <w:rFonts w:hint="eastAsia"/>
                <w:bCs/>
              </w:rPr>
              <w:t>ā</w:t>
            </w:r>
            <w:r w:rsidRPr="00E75E2A">
              <w:rPr>
                <w:bCs/>
              </w:rPr>
              <w:t>nošanas re</w:t>
            </w:r>
            <w:r w:rsidRPr="00E75E2A">
              <w:rPr>
                <w:rFonts w:hint="eastAsia"/>
                <w:bCs/>
              </w:rPr>
              <w:t>ģ</w:t>
            </w:r>
            <w:r w:rsidRPr="00E75E2A">
              <w:rPr>
                <w:bCs/>
              </w:rPr>
              <w:t>ioni un to esošie partneri var</w:t>
            </w:r>
            <w:r w:rsidRPr="00E75E2A">
              <w:rPr>
                <w:rFonts w:hint="eastAsia"/>
                <w:bCs/>
              </w:rPr>
              <w:t>ē</w:t>
            </w:r>
            <w:r w:rsidRPr="00E75E2A">
              <w:rPr>
                <w:bCs/>
              </w:rPr>
              <w:t>tu pabeigt projekta realiz</w:t>
            </w:r>
            <w:r w:rsidRPr="00E75E2A">
              <w:rPr>
                <w:rFonts w:hint="eastAsia"/>
                <w:bCs/>
              </w:rPr>
              <w:t>ā</w:t>
            </w:r>
            <w:r w:rsidRPr="00E75E2A">
              <w:rPr>
                <w:bCs/>
              </w:rPr>
              <w:t>ciju esošo sadarb</w:t>
            </w:r>
            <w:r w:rsidRPr="00E75E2A">
              <w:rPr>
                <w:rFonts w:hint="eastAsia"/>
                <w:bCs/>
              </w:rPr>
              <w:t>ī</w:t>
            </w:r>
            <w:r w:rsidRPr="00E75E2A">
              <w:rPr>
                <w:bCs/>
              </w:rPr>
              <w:t>bas l</w:t>
            </w:r>
            <w:r w:rsidRPr="00E75E2A">
              <w:rPr>
                <w:rFonts w:hint="eastAsia"/>
                <w:bCs/>
              </w:rPr>
              <w:t>ī</w:t>
            </w:r>
            <w:r w:rsidRPr="00E75E2A">
              <w:rPr>
                <w:bCs/>
              </w:rPr>
              <w:t>gumu ietvaros.</w:t>
            </w:r>
          </w:p>
          <w:p w14:paraId="1E1A9D2D" w14:textId="77777777" w:rsidR="006E14D7" w:rsidRPr="00E75E2A" w:rsidRDefault="006E14D7" w:rsidP="006E14D7">
            <w:pPr>
              <w:jc w:val="both"/>
              <w:rPr>
                <w:bCs/>
              </w:rPr>
            </w:pPr>
            <w:r w:rsidRPr="00E75E2A">
              <w:rPr>
                <w:bCs/>
              </w:rPr>
              <w:t>4) statistisko re</w:t>
            </w:r>
            <w:r w:rsidRPr="00E75E2A">
              <w:rPr>
                <w:rFonts w:hint="eastAsia"/>
                <w:bCs/>
              </w:rPr>
              <w:t>ģ</w:t>
            </w:r>
            <w:r w:rsidRPr="00E75E2A">
              <w:rPr>
                <w:bCs/>
              </w:rPr>
              <w:t>ionu teritorij</w:t>
            </w:r>
            <w:r w:rsidRPr="00E75E2A">
              <w:rPr>
                <w:rFonts w:hint="eastAsia"/>
                <w:bCs/>
              </w:rPr>
              <w:t>ā</w:t>
            </w:r>
            <w:r w:rsidRPr="00E75E2A">
              <w:rPr>
                <w:bCs/>
              </w:rPr>
              <w:t>m un ietekmi uz statistikas apkopošanu daž</w:t>
            </w:r>
            <w:r w:rsidRPr="00E75E2A">
              <w:rPr>
                <w:rFonts w:hint="eastAsia"/>
                <w:bCs/>
              </w:rPr>
              <w:t>ā</w:t>
            </w:r>
            <w:r w:rsidRPr="00E75E2A">
              <w:rPr>
                <w:bCs/>
              </w:rPr>
              <w:t>d</w:t>
            </w:r>
            <w:r w:rsidRPr="00E75E2A">
              <w:rPr>
                <w:rFonts w:hint="eastAsia"/>
                <w:bCs/>
              </w:rPr>
              <w:t>ā</w:t>
            </w:r>
            <w:r w:rsidRPr="00E75E2A">
              <w:rPr>
                <w:bCs/>
              </w:rPr>
              <w:t>s instit</w:t>
            </w:r>
            <w:r w:rsidRPr="00E75E2A">
              <w:rPr>
                <w:rFonts w:hint="eastAsia"/>
                <w:bCs/>
              </w:rPr>
              <w:t>ū</w:t>
            </w:r>
            <w:r w:rsidRPr="00E75E2A">
              <w:rPr>
                <w:bCs/>
              </w:rPr>
              <w:t>cij</w:t>
            </w:r>
            <w:r w:rsidRPr="00E75E2A">
              <w:rPr>
                <w:rFonts w:hint="eastAsia"/>
                <w:bCs/>
              </w:rPr>
              <w:t>ā</w:t>
            </w:r>
            <w:r w:rsidRPr="00E75E2A">
              <w:rPr>
                <w:bCs/>
              </w:rPr>
              <w:t>s pl</w:t>
            </w:r>
            <w:r w:rsidRPr="00E75E2A">
              <w:rPr>
                <w:rFonts w:hint="eastAsia"/>
                <w:bCs/>
              </w:rPr>
              <w:t>ā</w:t>
            </w:r>
            <w:r w:rsidRPr="00E75E2A">
              <w:rPr>
                <w:bCs/>
              </w:rPr>
              <w:t>nošanas re</w:t>
            </w:r>
            <w:r w:rsidRPr="00E75E2A">
              <w:rPr>
                <w:rFonts w:hint="eastAsia"/>
                <w:bCs/>
              </w:rPr>
              <w:t>ģ</w:t>
            </w:r>
            <w:r w:rsidRPr="00E75E2A">
              <w:rPr>
                <w:bCs/>
              </w:rPr>
              <w:t>ionu griezum</w:t>
            </w:r>
            <w:r w:rsidRPr="00E75E2A">
              <w:rPr>
                <w:rFonts w:hint="eastAsia"/>
                <w:bCs/>
              </w:rPr>
              <w:t>ā</w:t>
            </w:r>
            <w:r w:rsidRPr="00E75E2A">
              <w:rPr>
                <w:bCs/>
              </w:rPr>
              <w:t>;</w:t>
            </w:r>
          </w:p>
          <w:p w14:paraId="10455AF8" w14:textId="7E0C8097" w:rsidR="006E14D7" w:rsidRPr="00E75E2A" w:rsidRDefault="006E14D7" w:rsidP="006E14D7">
            <w:pPr>
              <w:pStyle w:val="naisc"/>
              <w:spacing w:before="0" w:after="0"/>
              <w:jc w:val="both"/>
              <w:rPr>
                <w:bCs/>
              </w:rPr>
            </w:pPr>
            <w:r w:rsidRPr="00E75E2A">
              <w:rPr>
                <w:bCs/>
              </w:rPr>
              <w:t>5) Re</w:t>
            </w:r>
            <w:r w:rsidRPr="00E75E2A">
              <w:rPr>
                <w:rFonts w:hint="eastAsia"/>
                <w:bCs/>
              </w:rPr>
              <w:t>ģ</w:t>
            </w:r>
            <w:r w:rsidRPr="00E75E2A">
              <w:rPr>
                <w:bCs/>
              </w:rPr>
              <w:t>ion</w:t>
            </w:r>
            <w:r w:rsidRPr="00E75E2A">
              <w:rPr>
                <w:rFonts w:hint="eastAsia"/>
                <w:bCs/>
              </w:rPr>
              <w:t>ā</w:t>
            </w:r>
            <w:r w:rsidRPr="00E75E2A">
              <w:rPr>
                <w:bCs/>
              </w:rPr>
              <w:t>l</w:t>
            </w:r>
            <w:r w:rsidRPr="00E75E2A">
              <w:rPr>
                <w:rFonts w:hint="eastAsia"/>
                <w:bCs/>
              </w:rPr>
              <w:t>ā</w:t>
            </w:r>
            <w:r w:rsidRPr="00E75E2A">
              <w:rPr>
                <w:bCs/>
              </w:rPr>
              <w:t>s politikas pamatnost</w:t>
            </w:r>
            <w:r w:rsidRPr="00E75E2A">
              <w:rPr>
                <w:rFonts w:hint="eastAsia"/>
                <w:bCs/>
              </w:rPr>
              <w:t>ā</w:t>
            </w:r>
            <w:r w:rsidRPr="00E75E2A">
              <w:rPr>
                <w:bCs/>
              </w:rPr>
              <w:t>dn</w:t>
            </w:r>
            <w:r w:rsidRPr="00E75E2A">
              <w:rPr>
                <w:rFonts w:hint="eastAsia"/>
                <w:bCs/>
              </w:rPr>
              <w:t>ē</w:t>
            </w:r>
            <w:r w:rsidRPr="00E75E2A">
              <w:rPr>
                <w:bCs/>
              </w:rPr>
              <w:t>s 2021.-2027.gadam noteikto IKP koeficientu pl</w:t>
            </w:r>
            <w:r w:rsidRPr="00E75E2A">
              <w:rPr>
                <w:rFonts w:hint="eastAsia"/>
                <w:bCs/>
              </w:rPr>
              <w:t>ā</w:t>
            </w:r>
            <w:r w:rsidRPr="00E75E2A">
              <w:rPr>
                <w:bCs/>
              </w:rPr>
              <w:t>nošanas re</w:t>
            </w:r>
            <w:r w:rsidRPr="00E75E2A">
              <w:rPr>
                <w:rFonts w:hint="eastAsia"/>
                <w:bCs/>
              </w:rPr>
              <w:t>ģ</w:t>
            </w:r>
            <w:r w:rsidRPr="00E75E2A">
              <w:rPr>
                <w:bCs/>
              </w:rPr>
              <w:t>ionu finans</w:t>
            </w:r>
            <w:r w:rsidRPr="00E75E2A">
              <w:rPr>
                <w:rFonts w:hint="eastAsia"/>
                <w:bCs/>
              </w:rPr>
              <w:t>ē</w:t>
            </w:r>
            <w:r w:rsidRPr="00E75E2A">
              <w:rPr>
                <w:bCs/>
              </w:rPr>
              <w:t>juma pl</w:t>
            </w:r>
            <w:r w:rsidRPr="00E75E2A">
              <w:rPr>
                <w:rFonts w:hint="eastAsia"/>
                <w:bCs/>
              </w:rPr>
              <w:t>ā</w:t>
            </w:r>
            <w:r w:rsidRPr="00E75E2A">
              <w:rPr>
                <w:bCs/>
              </w:rPr>
              <w:t>nošanai.</w:t>
            </w:r>
          </w:p>
        </w:tc>
        <w:tc>
          <w:tcPr>
            <w:tcW w:w="2835" w:type="dxa"/>
            <w:tcBorders>
              <w:top w:val="single" w:sz="4" w:space="0" w:color="auto"/>
              <w:left w:val="single" w:sz="4" w:space="0" w:color="auto"/>
              <w:bottom w:val="single" w:sz="4" w:space="0" w:color="auto"/>
              <w:right w:val="single" w:sz="4" w:space="0" w:color="auto"/>
            </w:tcBorders>
          </w:tcPr>
          <w:p w14:paraId="4BCBBF24" w14:textId="77777777" w:rsidR="006E14D7" w:rsidRDefault="006E14D7" w:rsidP="006E14D7">
            <w:pPr>
              <w:pStyle w:val="naisc"/>
              <w:spacing w:before="0" w:after="0"/>
              <w:jc w:val="both"/>
              <w:rPr>
                <w:bCs/>
              </w:rPr>
            </w:pPr>
            <w:r>
              <w:rPr>
                <w:b/>
              </w:rPr>
              <w:lastRenderedPageBreak/>
              <w:t>Ņemts vērā.</w:t>
            </w:r>
          </w:p>
          <w:p w14:paraId="4FBF8D05" w14:textId="72F07B6A" w:rsidR="006E14D7" w:rsidRPr="00A6313D" w:rsidRDefault="006E14D7" w:rsidP="006E14D7">
            <w:pPr>
              <w:pStyle w:val="naisc"/>
              <w:spacing w:before="0" w:after="0"/>
              <w:jc w:val="both"/>
              <w:rPr>
                <w:bCs/>
                <w:highlight w:val="yellow"/>
              </w:rPr>
            </w:pPr>
            <w:r w:rsidRPr="00A6313D">
              <w:rPr>
                <w:bCs/>
              </w:rPr>
              <w:t xml:space="preserve">Anotācija </w:t>
            </w:r>
            <w:r>
              <w:rPr>
                <w:bCs/>
              </w:rPr>
              <w:t>precizēta</w:t>
            </w:r>
            <w:r w:rsidRPr="00A6313D">
              <w:rPr>
                <w:bCs/>
              </w:rPr>
              <w:t>.</w:t>
            </w:r>
          </w:p>
        </w:tc>
        <w:tc>
          <w:tcPr>
            <w:tcW w:w="4261" w:type="dxa"/>
            <w:tcBorders>
              <w:top w:val="single" w:sz="4" w:space="0" w:color="auto"/>
              <w:left w:val="single" w:sz="4" w:space="0" w:color="auto"/>
              <w:bottom w:val="single" w:sz="4" w:space="0" w:color="auto"/>
            </w:tcBorders>
          </w:tcPr>
          <w:p w14:paraId="6F571CB0" w14:textId="4D05F1F3" w:rsidR="006E14D7" w:rsidRPr="00271FE5" w:rsidRDefault="006E14D7" w:rsidP="006E14D7">
            <w:pPr>
              <w:jc w:val="both"/>
              <w:rPr>
                <w:color w:val="000000" w:themeColor="text1"/>
              </w:rPr>
            </w:pPr>
            <w:r w:rsidRPr="00271FE5">
              <w:rPr>
                <w:color w:val="000000" w:themeColor="text1"/>
              </w:rPr>
              <w:t>Ministru kabineta noteikumiem, ja ir nepieciešams, tad raksta “Noslēguma noteikumus”, savukārt “Pārejas noteikumus” veido likumprojektiem. Līdz ar to sagatavotajā Noteikumu projektā nav iespējams sagatavot pārejas noteikumus.</w:t>
            </w:r>
          </w:p>
          <w:p w14:paraId="6E1156B9" w14:textId="6F03E0C9" w:rsidR="006E14D7" w:rsidRPr="00271FE5" w:rsidRDefault="006E14D7" w:rsidP="006E14D7">
            <w:pPr>
              <w:jc w:val="both"/>
              <w:rPr>
                <w:color w:val="000000" w:themeColor="text1"/>
              </w:rPr>
            </w:pPr>
            <w:r w:rsidRPr="00271FE5">
              <w:rPr>
                <w:color w:val="000000" w:themeColor="text1"/>
              </w:rPr>
              <w:t>Vienlaikus norādām, ka Anotācijas I. sadaļas “Tiesību akta projekta izstrādes nepieciešamība” 2. punkts “Pašreizējā situācija un problēmas, kuru risināšanai tiesību akta projekts izstrādāts tiesiskā regulējuma mērķis un būtība” ir papildināta ar skaidrojumiem un informāciju par LPS atzinumā sniegtajiem priekšlikumiem.</w:t>
            </w:r>
          </w:p>
          <w:p w14:paraId="3E18E614" w14:textId="40E8DC2B" w:rsidR="006E14D7" w:rsidRPr="00271FE5" w:rsidRDefault="006E14D7" w:rsidP="006E14D7">
            <w:pPr>
              <w:jc w:val="both"/>
              <w:rPr>
                <w:color w:val="000000" w:themeColor="text1"/>
              </w:rPr>
            </w:pPr>
            <w:r w:rsidRPr="00271FE5">
              <w:rPr>
                <w:color w:val="000000" w:themeColor="text1"/>
              </w:rPr>
              <w:t>1) Par sagatavošanā esošajiem plānošanas reģionu plānošanas dokumentiem:</w:t>
            </w:r>
          </w:p>
          <w:p w14:paraId="1938F40C" w14:textId="77777777" w:rsidR="006E14D7" w:rsidRPr="00271FE5" w:rsidRDefault="006E14D7" w:rsidP="006E14D7">
            <w:pPr>
              <w:jc w:val="both"/>
              <w:rPr>
                <w:color w:val="000000" w:themeColor="text1"/>
              </w:rPr>
            </w:pPr>
            <w:r w:rsidRPr="00271FE5">
              <w:rPr>
                <w:color w:val="000000" w:themeColor="text1"/>
              </w:rPr>
              <w:lastRenderedPageBreak/>
              <w:t>“Attiecībā uz sagatavošanā esošajiem plānošanas reģionu un pašvaldību attīstības plānošanas dokumentiem VARAM norāda, ka ir būtiski nodrošināt savstarpējo saskaņotību starp nacionāla, reģionāla un vietēja līmeņa teritorijas attīstības plānošanas dokumentiem. Plānošanas reģionu ilgtspējīgas attīstības stratēģijām ir jāatbilst Latvijas ilgtspējīgas attīstības stratēģijai līdz 2030. gadam, un attīstības programmām ir jāatbilst Nacionālajam attīstības plānam 2021.–2027. gadam. Ņemot vērā, ka plānošanas reģioni izstrādā attīstības programmas 2021.–2027. gadam, VARAM ir aicinājis pēc Noteikumu projekta apstiprināšanas Ministru kabinetā, plānošanas reģionus veikt atbilstošus precizējumus attīstības programmas projektā, kā arī vienlaicīgi aktualizēt arī spēkā esošo plānošanas reģiona ilgtspējīgas attīstības stratēģiju līdz 2030. gadam, par to pieņemot atbilstošu plānošanas reģiona attīstības padomes lēmumu.</w:t>
            </w:r>
          </w:p>
          <w:p w14:paraId="4AFC5D81" w14:textId="5E2EF7AF" w:rsidR="006E14D7" w:rsidRPr="00271FE5" w:rsidRDefault="006E14D7" w:rsidP="006E14D7">
            <w:pPr>
              <w:jc w:val="both"/>
              <w:rPr>
                <w:color w:val="000000" w:themeColor="text1"/>
              </w:rPr>
            </w:pPr>
            <w:r w:rsidRPr="00271FE5">
              <w:rPr>
                <w:color w:val="000000" w:themeColor="text1"/>
              </w:rPr>
              <w:t xml:space="preserve">Par plānošanas reģionu robežu izmaiņu ietekmi uz praktiskiem reģionu darbības aspektiem VARAM ir plānošanas reģioniem sniedzis rakstisku skaidrojumu, kā arī reģionus interesējošus jautājumus pārrunās VARAM un plānošanas reģionu speciālistu sanāksmē 2021. gada 7. maijā, un arī turpmāk nodrošinās plānošanas </w:t>
            </w:r>
            <w:r w:rsidRPr="00271FE5">
              <w:rPr>
                <w:color w:val="000000" w:themeColor="text1"/>
              </w:rPr>
              <w:lastRenderedPageBreak/>
              <w:t>reģioniem metodisku atbalstu VARAM kompetences jomās.</w:t>
            </w:r>
          </w:p>
          <w:p w14:paraId="7E1DA3C7" w14:textId="77777777" w:rsidR="006E14D7" w:rsidRPr="00271FE5" w:rsidRDefault="006E14D7" w:rsidP="006E14D7">
            <w:pPr>
              <w:jc w:val="both"/>
              <w:rPr>
                <w:color w:val="000000" w:themeColor="text1"/>
              </w:rPr>
            </w:pPr>
            <w:r w:rsidRPr="00271FE5">
              <w:rPr>
                <w:color w:val="000000" w:themeColor="text1"/>
              </w:rPr>
              <w:t>Noteikumu projekta anotācija ir papildināta:</w:t>
            </w:r>
          </w:p>
          <w:p w14:paraId="6CE447F1" w14:textId="3317BF50" w:rsidR="006E14D7" w:rsidRPr="00271FE5" w:rsidRDefault="006E14D7" w:rsidP="006E14D7">
            <w:pPr>
              <w:jc w:val="both"/>
              <w:rPr>
                <w:color w:val="000000" w:themeColor="text1"/>
              </w:rPr>
            </w:pPr>
            <w:r w:rsidRPr="00271FE5">
              <w:rPr>
                <w:color w:val="000000" w:themeColor="text1"/>
              </w:rPr>
              <w:t>“Attiecībā uz sagatavošanā esošajiem plānošanas reģionu un pašvaldību attīstības plānošanas dokumentiem VARAM sniegs vadlīnijas un metodisko atbalstu minēto plānošanas dokumentu izstrādē.”</w:t>
            </w:r>
          </w:p>
          <w:p w14:paraId="6B3D9291" w14:textId="41E568EB" w:rsidR="006E14D7" w:rsidRPr="00271FE5" w:rsidRDefault="006E14D7" w:rsidP="006E14D7">
            <w:pPr>
              <w:jc w:val="both"/>
              <w:rPr>
                <w:color w:val="000000" w:themeColor="text1"/>
              </w:rPr>
            </w:pPr>
            <w:r w:rsidRPr="00271FE5">
              <w:rPr>
                <w:color w:val="000000" w:themeColor="text1"/>
              </w:rPr>
              <w:t>2) Par plānošanas reģionu pārrobežu sadarbības projektiem anotācija ir papildināta:</w:t>
            </w:r>
          </w:p>
          <w:p w14:paraId="33254D86" w14:textId="7A54596D" w:rsidR="006E14D7" w:rsidRPr="0015675F" w:rsidRDefault="006E14D7" w:rsidP="006E14D7">
            <w:pPr>
              <w:jc w:val="both"/>
              <w:rPr>
                <w:color w:val="000000" w:themeColor="text1"/>
              </w:rPr>
            </w:pPr>
            <w:r w:rsidRPr="0015675F">
              <w:rPr>
                <w:color w:val="000000" w:themeColor="text1"/>
              </w:rPr>
              <w:t xml:space="preserve">“Tā kā uz Eiropas teritoriālās sadarbības (turpmāk – </w:t>
            </w:r>
            <w:r w:rsidRPr="0015675F">
              <w:rPr>
                <w:i/>
                <w:iCs/>
                <w:color w:val="000000" w:themeColor="text1"/>
              </w:rPr>
              <w:t>INTERREG</w:t>
            </w:r>
            <w:r w:rsidRPr="0015675F">
              <w:rPr>
                <w:color w:val="000000" w:themeColor="text1"/>
              </w:rPr>
              <w:t xml:space="preserve">) programmām un projektiem attiecas </w:t>
            </w:r>
            <w:r w:rsidRPr="0015675F">
              <w:rPr>
                <w:i/>
                <w:iCs/>
                <w:color w:val="000000" w:themeColor="text1"/>
              </w:rPr>
              <w:t>NUTS</w:t>
            </w:r>
            <w:r w:rsidRPr="0015675F">
              <w:rPr>
                <w:color w:val="000000" w:themeColor="text1"/>
              </w:rPr>
              <w:t xml:space="preserve"> 3 reģionu robežas, uzsāktie </w:t>
            </w:r>
            <w:r w:rsidRPr="0015675F">
              <w:rPr>
                <w:i/>
                <w:iCs/>
                <w:color w:val="000000" w:themeColor="text1"/>
              </w:rPr>
              <w:t>INTERREG</w:t>
            </w:r>
            <w:r w:rsidRPr="0015675F">
              <w:rPr>
                <w:color w:val="000000" w:themeColor="text1"/>
              </w:rPr>
              <w:t xml:space="preserve"> projekti 2014.–2020. gada plānošanas periodā tiek pabeigti tajos reģionos, kuros projekts ticis iesniegts un tiek īstenots.”</w:t>
            </w:r>
          </w:p>
          <w:p w14:paraId="6FC8DAD1" w14:textId="0627486A" w:rsidR="006E14D7" w:rsidRPr="00271FE5" w:rsidRDefault="006E14D7" w:rsidP="006E14D7">
            <w:pPr>
              <w:jc w:val="both"/>
              <w:rPr>
                <w:color w:val="000000" w:themeColor="text1"/>
              </w:rPr>
            </w:pPr>
            <w:r w:rsidRPr="00271FE5">
              <w:rPr>
                <w:color w:val="000000" w:themeColor="text1"/>
              </w:rPr>
              <w:t>3) Par DI projektiem anotācija ir papildināta:</w:t>
            </w:r>
          </w:p>
          <w:p w14:paraId="0166691D" w14:textId="54F7E2E7" w:rsidR="006E14D7" w:rsidRPr="00271FE5" w:rsidRDefault="006E14D7" w:rsidP="006E14D7">
            <w:pPr>
              <w:jc w:val="both"/>
              <w:rPr>
                <w:color w:val="000000" w:themeColor="text1"/>
              </w:rPr>
            </w:pPr>
            <w:r w:rsidRPr="00271FE5">
              <w:rPr>
                <w:color w:val="000000" w:themeColor="text1"/>
              </w:rPr>
              <w:t xml:space="preserve">“Attiecībā uz plānošanas reģionu iesāktajiem deinstitucionalizācijas projektiem (turpmāk – DI projekti), kuru īstenošanu nosaka Ministru kabineta 2015. gada 16. jūnija noteikumi Nr. 313 “Darbības programmas "Izaugsme un nodarbinātība" 9.2.2.specifiskā atbalsta mērķa "Palielināt kvalitatīvu institucionālai aprūpei alternatīvu sociālo pakalpojumu dzīvesvietā un ģimeniskai videi pietuvinātu pakalpojumu pieejamību </w:t>
            </w:r>
            <w:r w:rsidRPr="00271FE5">
              <w:rPr>
                <w:color w:val="000000" w:themeColor="text1"/>
              </w:rPr>
              <w:lastRenderedPageBreak/>
              <w:t>personām ar invaliditāti un bērniem" 9.2.2.1.pasākuma "Deinstitucionalizācija" īstenošanas noteikumi”, plānošanas reģioni un to esošie partneri var pabeigt DI projekta realizāciju esošo sadarbības līgumu ietvaros. Tas nozīmē, ka plānošanas reģioni līdz 2023. gada 31. decembrim turpina DI projektu īstenošanu, atbilstoši plānošanas reģionu Deinsitucionalizācijas plānos 2017.–2020. gadam noteiktajām teritorijām un ES fondu finansējuma un iznākuma rādītāju dalījumam, lai neradītu administratīvo slogu un nekavētu rezultatīvo rādītāju sasniegšanu.”</w:t>
            </w:r>
          </w:p>
          <w:p w14:paraId="50DB277F" w14:textId="0C0D7AA0" w:rsidR="006E14D7" w:rsidRPr="00271FE5" w:rsidRDefault="006E14D7" w:rsidP="006E14D7">
            <w:pPr>
              <w:jc w:val="both"/>
              <w:rPr>
                <w:color w:val="000000" w:themeColor="text1"/>
              </w:rPr>
            </w:pPr>
            <w:r w:rsidRPr="00271FE5">
              <w:rPr>
                <w:color w:val="000000" w:themeColor="text1"/>
              </w:rPr>
              <w:t xml:space="preserve">4) Par </w:t>
            </w:r>
            <w:r w:rsidRPr="00271FE5">
              <w:rPr>
                <w:bCs/>
                <w:color w:val="000000" w:themeColor="text1"/>
              </w:rPr>
              <w:t>statistisko re</w:t>
            </w:r>
            <w:r w:rsidRPr="00271FE5">
              <w:rPr>
                <w:rFonts w:hint="eastAsia"/>
                <w:bCs/>
                <w:color w:val="000000" w:themeColor="text1"/>
              </w:rPr>
              <w:t>ģ</w:t>
            </w:r>
            <w:r w:rsidRPr="00271FE5">
              <w:rPr>
                <w:bCs/>
                <w:color w:val="000000" w:themeColor="text1"/>
              </w:rPr>
              <w:t>ionu teritorij</w:t>
            </w:r>
            <w:r w:rsidRPr="00271FE5">
              <w:rPr>
                <w:rFonts w:hint="eastAsia"/>
                <w:bCs/>
                <w:color w:val="000000" w:themeColor="text1"/>
              </w:rPr>
              <w:t>ā</w:t>
            </w:r>
            <w:r w:rsidRPr="00271FE5">
              <w:rPr>
                <w:bCs/>
                <w:color w:val="000000" w:themeColor="text1"/>
              </w:rPr>
              <w:t>m un ietekmi uz statistikas apkopošanu</w:t>
            </w:r>
            <w:r w:rsidRPr="00271FE5">
              <w:rPr>
                <w:color w:val="000000" w:themeColor="text1"/>
              </w:rPr>
              <w:t xml:space="preserve"> anotācija ir papildināta:</w:t>
            </w:r>
          </w:p>
          <w:p w14:paraId="40F4862D" w14:textId="6F4CEDE0" w:rsidR="006E14D7" w:rsidRPr="00271FE5" w:rsidRDefault="006E14D7" w:rsidP="006E14D7">
            <w:pPr>
              <w:jc w:val="both"/>
              <w:rPr>
                <w:color w:val="000000" w:themeColor="text1"/>
              </w:rPr>
            </w:pPr>
            <w:r w:rsidRPr="00271FE5">
              <w:rPr>
                <w:color w:val="000000" w:themeColor="text1"/>
              </w:rPr>
              <w:t xml:space="preserve">“Ministru kabinetam pieņemot jaunās plānošanas reģionu robežas un tajos ietilpstošās pašvaldības, Centrālās statistikas pārvalde sadarbībā ar VARAM virzīs jautājumu arī par </w:t>
            </w:r>
            <w:r w:rsidRPr="00271FE5">
              <w:rPr>
                <w:i/>
                <w:iCs/>
                <w:color w:val="000000" w:themeColor="text1"/>
              </w:rPr>
              <w:t>NUTS</w:t>
            </w:r>
            <w:r w:rsidRPr="00271FE5">
              <w:rPr>
                <w:color w:val="000000" w:themeColor="text1"/>
              </w:rPr>
              <w:t xml:space="preserve"> 3. līmeņa dalījumu, lai </w:t>
            </w:r>
            <w:r w:rsidRPr="00271FE5">
              <w:rPr>
                <w:i/>
                <w:iCs/>
                <w:color w:val="000000" w:themeColor="text1"/>
              </w:rPr>
              <w:t>NUTS</w:t>
            </w:r>
            <w:r w:rsidRPr="00271FE5">
              <w:rPr>
                <w:color w:val="000000" w:themeColor="text1"/>
              </w:rPr>
              <w:t> 3 statistisko reģionu robežas sakristu ar jaunajām plānošanas reģionu robežām.”</w:t>
            </w:r>
          </w:p>
          <w:p w14:paraId="7A85C243" w14:textId="77777777" w:rsidR="006E14D7" w:rsidRPr="00271FE5" w:rsidRDefault="006E14D7" w:rsidP="006E14D7">
            <w:pPr>
              <w:jc w:val="both"/>
              <w:rPr>
                <w:color w:val="000000" w:themeColor="text1"/>
              </w:rPr>
            </w:pPr>
          </w:p>
          <w:p w14:paraId="0291EA1D" w14:textId="4D02BB6F" w:rsidR="006E14D7" w:rsidRPr="00271FE5" w:rsidRDefault="006E14D7" w:rsidP="006E14D7">
            <w:pPr>
              <w:jc w:val="both"/>
              <w:rPr>
                <w:bCs/>
                <w:color w:val="000000" w:themeColor="text1"/>
              </w:rPr>
            </w:pPr>
            <w:r w:rsidRPr="00271FE5">
              <w:rPr>
                <w:color w:val="000000" w:themeColor="text1"/>
              </w:rPr>
              <w:t xml:space="preserve">Attiecībā uz Reģionālās politikas pamatnostādnēs 2021.–2027. gadam (turpmāk – RPP) noteikto IKP koeficientu plānošanas reģionu finansējuma plānošanai norādām, ka koeficienta aprēķināšanai RPP ietvaros tika izmantoti </w:t>
            </w:r>
            <w:r w:rsidRPr="00271FE5">
              <w:rPr>
                <w:color w:val="000000" w:themeColor="text1"/>
              </w:rPr>
              <w:lastRenderedPageBreak/>
              <w:t xml:space="preserve">aktuālākie IKP dati, kas bija pieejami uz 2019. gadu. </w:t>
            </w:r>
            <w:r>
              <w:t>Ņemot vērā, ka provizoriskie reģionālā  IKP novērtējuma statistikas dati par 2019. gadu  pa jaunajām plānošanas reģionu teritorijām varētu būt ne ātrāk kā 2021. gada beigās, tad RPP noteiktos koeficientus šobrīd nav plānots mainīt.</w:t>
            </w:r>
          </w:p>
        </w:tc>
      </w:tr>
      <w:tr w:rsidR="006E14D7" w:rsidRPr="0034341D" w14:paraId="6E7BDEC4"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69DF6D6B" w14:textId="4815C370" w:rsidR="006E14D7" w:rsidRDefault="00B203AC" w:rsidP="006E14D7">
            <w:pPr>
              <w:pStyle w:val="naisc"/>
              <w:spacing w:before="0" w:after="0"/>
            </w:pPr>
            <w:r>
              <w:lastRenderedPageBreak/>
              <w:t>7</w:t>
            </w:r>
            <w:r w:rsidR="006E14D7">
              <w:t>.</w:t>
            </w:r>
          </w:p>
        </w:tc>
        <w:tc>
          <w:tcPr>
            <w:tcW w:w="2969" w:type="dxa"/>
            <w:tcBorders>
              <w:top w:val="single" w:sz="4" w:space="0" w:color="auto"/>
              <w:left w:val="single" w:sz="4" w:space="0" w:color="auto"/>
              <w:bottom w:val="single" w:sz="4" w:space="0" w:color="auto"/>
              <w:right w:val="single" w:sz="4" w:space="0" w:color="auto"/>
            </w:tcBorders>
          </w:tcPr>
          <w:p w14:paraId="3B7591BD" w14:textId="3A5866F5" w:rsidR="006E14D7" w:rsidRDefault="006E14D7" w:rsidP="006E14D7">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08A1B89E" w14:textId="354D2D89" w:rsidR="006E14D7" w:rsidRPr="00335D9C" w:rsidRDefault="006E14D7" w:rsidP="006E14D7">
            <w:pPr>
              <w:jc w:val="both"/>
              <w:rPr>
                <w:b/>
              </w:rPr>
            </w:pPr>
            <w:r w:rsidRPr="00335D9C">
              <w:rPr>
                <w:b/>
              </w:rPr>
              <w:t>Latvijas Pašvaldību savienības, 23.04.</w:t>
            </w:r>
            <w:r>
              <w:rPr>
                <w:b/>
              </w:rPr>
              <w:t>2021.</w:t>
            </w:r>
            <w:r w:rsidRPr="00335D9C">
              <w:rPr>
                <w:b/>
              </w:rPr>
              <w:t xml:space="preserve"> atzinums.</w:t>
            </w:r>
          </w:p>
          <w:p w14:paraId="3F34410B" w14:textId="1C2928CF" w:rsidR="006E14D7" w:rsidRPr="00E75E2A" w:rsidRDefault="006E14D7" w:rsidP="006E14D7">
            <w:pPr>
              <w:jc w:val="both"/>
              <w:rPr>
                <w:bCs/>
              </w:rPr>
            </w:pPr>
            <w:r>
              <w:rPr>
                <w:bCs/>
              </w:rPr>
              <w:t xml:space="preserve">3. </w:t>
            </w:r>
            <w:r w:rsidRPr="00335D9C">
              <w:rPr>
                <w:bCs/>
              </w:rPr>
              <w:t>L</w:t>
            </w:r>
            <w:r w:rsidRPr="00335D9C">
              <w:rPr>
                <w:rFonts w:hint="eastAsia"/>
                <w:bCs/>
              </w:rPr>
              <w:t>ū</w:t>
            </w:r>
            <w:r w:rsidRPr="00335D9C">
              <w:rPr>
                <w:bCs/>
              </w:rPr>
              <w:t>dzam skaidrot anot</w:t>
            </w:r>
            <w:r w:rsidRPr="00335D9C">
              <w:rPr>
                <w:rFonts w:hint="eastAsia"/>
                <w:bCs/>
              </w:rPr>
              <w:t>ā</w:t>
            </w:r>
            <w:r w:rsidRPr="00335D9C">
              <w:rPr>
                <w:bCs/>
              </w:rPr>
              <w:t>cij</w:t>
            </w:r>
            <w:r w:rsidRPr="00335D9C">
              <w:rPr>
                <w:rFonts w:hint="eastAsia"/>
                <w:bCs/>
              </w:rPr>
              <w:t>ā</w:t>
            </w:r>
            <w:r w:rsidRPr="00335D9C">
              <w:rPr>
                <w:bCs/>
              </w:rPr>
              <w:t xml:space="preserve"> iek</w:t>
            </w:r>
            <w:r w:rsidRPr="00335D9C">
              <w:rPr>
                <w:rFonts w:hint="eastAsia"/>
                <w:bCs/>
              </w:rPr>
              <w:t>ļ</w:t>
            </w:r>
            <w:r w:rsidRPr="00335D9C">
              <w:rPr>
                <w:bCs/>
              </w:rPr>
              <w:t>auto p</w:t>
            </w:r>
            <w:r w:rsidRPr="00335D9C">
              <w:rPr>
                <w:rFonts w:hint="eastAsia"/>
                <w:bCs/>
              </w:rPr>
              <w:t>ē</w:t>
            </w:r>
            <w:r w:rsidRPr="00335D9C">
              <w:rPr>
                <w:bCs/>
              </w:rPr>
              <w:t>d</w:t>
            </w:r>
            <w:r w:rsidRPr="00335D9C">
              <w:rPr>
                <w:rFonts w:hint="eastAsia"/>
                <w:bCs/>
              </w:rPr>
              <w:t>ē</w:t>
            </w:r>
            <w:r w:rsidRPr="00335D9C">
              <w:rPr>
                <w:bCs/>
              </w:rPr>
              <w:t>jo teikumu - Funkcion</w:t>
            </w:r>
            <w:r w:rsidRPr="00335D9C">
              <w:rPr>
                <w:rFonts w:hint="eastAsia"/>
                <w:bCs/>
              </w:rPr>
              <w:t>ā</w:t>
            </w:r>
            <w:r w:rsidRPr="00335D9C">
              <w:rPr>
                <w:bCs/>
              </w:rPr>
              <w:t>li saist</w:t>
            </w:r>
            <w:r w:rsidRPr="00335D9C">
              <w:rPr>
                <w:rFonts w:hint="eastAsia"/>
                <w:bCs/>
              </w:rPr>
              <w:t>ī</w:t>
            </w:r>
            <w:r w:rsidRPr="00335D9C">
              <w:rPr>
                <w:bCs/>
              </w:rPr>
              <w:t>t</w:t>
            </w:r>
            <w:r w:rsidRPr="00335D9C">
              <w:rPr>
                <w:rFonts w:hint="eastAsia"/>
                <w:bCs/>
              </w:rPr>
              <w:t>ā</w:t>
            </w:r>
            <w:r w:rsidRPr="00335D9C">
              <w:rPr>
                <w:bCs/>
              </w:rPr>
              <w:t>m teritorij</w:t>
            </w:r>
            <w:r w:rsidRPr="00335D9C">
              <w:rPr>
                <w:rFonts w:hint="eastAsia"/>
                <w:bCs/>
              </w:rPr>
              <w:t>ā</w:t>
            </w:r>
            <w:r w:rsidRPr="00335D9C">
              <w:rPr>
                <w:bCs/>
              </w:rPr>
              <w:t>m no daž</w:t>
            </w:r>
            <w:r w:rsidRPr="00335D9C">
              <w:rPr>
                <w:rFonts w:hint="eastAsia"/>
                <w:bCs/>
              </w:rPr>
              <w:t>ā</w:t>
            </w:r>
            <w:r w:rsidRPr="00335D9C">
              <w:rPr>
                <w:bCs/>
              </w:rPr>
              <w:t>diem pl</w:t>
            </w:r>
            <w:r w:rsidRPr="00335D9C">
              <w:rPr>
                <w:rFonts w:hint="eastAsia"/>
                <w:bCs/>
              </w:rPr>
              <w:t>ā</w:t>
            </w:r>
            <w:r w:rsidRPr="00335D9C">
              <w:rPr>
                <w:bCs/>
              </w:rPr>
              <w:t>nošanas re</w:t>
            </w:r>
            <w:r w:rsidRPr="00335D9C">
              <w:rPr>
                <w:rFonts w:hint="eastAsia"/>
                <w:bCs/>
              </w:rPr>
              <w:t>ģ</w:t>
            </w:r>
            <w:r w:rsidRPr="00335D9C">
              <w:rPr>
                <w:bCs/>
              </w:rPr>
              <w:t>ioniem paredz</w:t>
            </w:r>
            <w:r w:rsidRPr="00335D9C">
              <w:rPr>
                <w:rFonts w:hint="eastAsia"/>
                <w:bCs/>
              </w:rPr>
              <w:t>ē</w:t>
            </w:r>
            <w:r w:rsidRPr="00335D9C">
              <w:rPr>
                <w:bCs/>
              </w:rPr>
              <w:t>ts att</w:t>
            </w:r>
            <w:r w:rsidRPr="00335D9C">
              <w:rPr>
                <w:rFonts w:hint="eastAsia"/>
                <w:bCs/>
              </w:rPr>
              <w:t>ī</w:t>
            </w:r>
            <w:r w:rsidRPr="00335D9C">
              <w:rPr>
                <w:bCs/>
              </w:rPr>
              <w:t>st</w:t>
            </w:r>
            <w:r w:rsidRPr="00335D9C">
              <w:rPr>
                <w:rFonts w:hint="eastAsia"/>
                <w:bCs/>
              </w:rPr>
              <w:t>ī</w:t>
            </w:r>
            <w:r w:rsidRPr="00335D9C">
              <w:rPr>
                <w:bCs/>
              </w:rPr>
              <w:t>t papildu sadarb</w:t>
            </w:r>
            <w:r w:rsidRPr="00335D9C">
              <w:rPr>
                <w:rFonts w:hint="eastAsia"/>
                <w:bCs/>
              </w:rPr>
              <w:t>ī</w:t>
            </w:r>
            <w:r w:rsidRPr="00335D9C">
              <w:rPr>
                <w:bCs/>
              </w:rPr>
              <w:t>bas meh</w:t>
            </w:r>
            <w:r w:rsidRPr="00335D9C">
              <w:rPr>
                <w:rFonts w:hint="eastAsia"/>
                <w:bCs/>
              </w:rPr>
              <w:t>ā</w:t>
            </w:r>
            <w:r w:rsidRPr="00335D9C">
              <w:rPr>
                <w:bCs/>
              </w:rPr>
              <w:t>nismus, nor</w:t>
            </w:r>
            <w:r w:rsidRPr="00335D9C">
              <w:rPr>
                <w:rFonts w:hint="eastAsia"/>
                <w:bCs/>
              </w:rPr>
              <w:t>ā</w:t>
            </w:r>
            <w:r w:rsidRPr="00335D9C">
              <w:rPr>
                <w:bCs/>
              </w:rPr>
              <w:t>dot, ka no pied</w:t>
            </w:r>
            <w:r w:rsidRPr="00335D9C">
              <w:rPr>
                <w:rFonts w:hint="eastAsia"/>
                <w:bCs/>
              </w:rPr>
              <w:t>ā</w:t>
            </w:r>
            <w:r w:rsidRPr="00335D9C">
              <w:rPr>
                <w:bCs/>
              </w:rPr>
              <w:t>v</w:t>
            </w:r>
            <w:r w:rsidRPr="00335D9C">
              <w:rPr>
                <w:rFonts w:hint="eastAsia"/>
                <w:bCs/>
              </w:rPr>
              <w:t>ā</w:t>
            </w:r>
            <w:r w:rsidRPr="00335D9C">
              <w:rPr>
                <w:bCs/>
              </w:rPr>
              <w:t>t</w:t>
            </w:r>
            <w:r w:rsidRPr="00335D9C">
              <w:rPr>
                <w:rFonts w:hint="eastAsia"/>
                <w:bCs/>
              </w:rPr>
              <w:t>ā</w:t>
            </w:r>
            <w:r w:rsidRPr="00335D9C">
              <w:rPr>
                <w:bCs/>
              </w:rPr>
              <w:t>s redakcijas nav saprotams, kas ir pl</w:t>
            </w:r>
            <w:r w:rsidRPr="00335D9C">
              <w:rPr>
                <w:rFonts w:hint="eastAsia"/>
                <w:bCs/>
              </w:rPr>
              <w:t>ā</w:t>
            </w:r>
            <w:r w:rsidRPr="00335D9C">
              <w:rPr>
                <w:bCs/>
              </w:rPr>
              <w:t>notie sadarb</w:t>
            </w:r>
            <w:r w:rsidRPr="00335D9C">
              <w:rPr>
                <w:rFonts w:hint="eastAsia"/>
                <w:bCs/>
              </w:rPr>
              <w:t>ī</w:t>
            </w:r>
            <w:r w:rsidRPr="00335D9C">
              <w:rPr>
                <w:bCs/>
              </w:rPr>
              <w:t>bas meh</w:t>
            </w:r>
            <w:r w:rsidRPr="00335D9C">
              <w:rPr>
                <w:rFonts w:hint="eastAsia"/>
                <w:bCs/>
              </w:rPr>
              <w:t>ā</w:t>
            </w:r>
            <w:r w:rsidRPr="00335D9C">
              <w:rPr>
                <w:bCs/>
              </w:rPr>
              <w:t>nismi un to att</w:t>
            </w:r>
            <w:r w:rsidRPr="00335D9C">
              <w:rPr>
                <w:rFonts w:hint="eastAsia"/>
                <w:bCs/>
              </w:rPr>
              <w:t>ī</w:t>
            </w:r>
            <w:r w:rsidRPr="00335D9C">
              <w:rPr>
                <w:bCs/>
              </w:rPr>
              <w:t>st</w:t>
            </w:r>
            <w:r w:rsidRPr="00335D9C">
              <w:rPr>
                <w:rFonts w:hint="eastAsia"/>
                <w:bCs/>
              </w:rPr>
              <w:t>īš</w:t>
            </w:r>
            <w:r w:rsidRPr="00335D9C">
              <w:rPr>
                <w:bCs/>
              </w:rPr>
              <w:t>ana, k</w:t>
            </w:r>
            <w:r w:rsidRPr="00335D9C">
              <w:rPr>
                <w:rFonts w:hint="eastAsia"/>
                <w:bCs/>
              </w:rPr>
              <w:t>ā</w:t>
            </w:r>
            <w:r w:rsidRPr="00335D9C">
              <w:rPr>
                <w:bCs/>
              </w:rPr>
              <w:t xml:space="preserve"> ar</w:t>
            </w:r>
            <w:r w:rsidRPr="00335D9C">
              <w:rPr>
                <w:rFonts w:hint="eastAsia"/>
                <w:bCs/>
              </w:rPr>
              <w:t>ī</w:t>
            </w:r>
            <w:r w:rsidRPr="00335D9C">
              <w:rPr>
                <w:bCs/>
              </w:rPr>
              <w:t xml:space="preserve"> kas tos izstr</w:t>
            </w:r>
            <w:r w:rsidRPr="00335D9C">
              <w:rPr>
                <w:rFonts w:hint="eastAsia"/>
                <w:bCs/>
              </w:rPr>
              <w:t>ā</w:t>
            </w:r>
            <w:r w:rsidRPr="00335D9C">
              <w:rPr>
                <w:bCs/>
              </w:rPr>
              <w:t>d</w:t>
            </w:r>
            <w:r w:rsidRPr="00335D9C">
              <w:rPr>
                <w:rFonts w:hint="eastAsia"/>
                <w:bCs/>
              </w:rPr>
              <w:t>ā</w:t>
            </w:r>
            <w:r w:rsidRPr="00335D9C">
              <w:rPr>
                <w:bCs/>
              </w:rPr>
              <w:t>s.</w:t>
            </w:r>
          </w:p>
          <w:p w14:paraId="2864E0C5" w14:textId="077AE10C" w:rsidR="006E14D7" w:rsidRPr="00335D9C" w:rsidRDefault="006E14D7" w:rsidP="006E14D7">
            <w:pPr>
              <w:jc w:val="both"/>
              <w:rPr>
                <w:bCs/>
              </w:rPr>
            </w:pPr>
          </w:p>
        </w:tc>
        <w:tc>
          <w:tcPr>
            <w:tcW w:w="2835" w:type="dxa"/>
            <w:tcBorders>
              <w:top w:val="single" w:sz="4" w:space="0" w:color="auto"/>
              <w:left w:val="single" w:sz="4" w:space="0" w:color="auto"/>
              <w:bottom w:val="single" w:sz="4" w:space="0" w:color="auto"/>
              <w:right w:val="single" w:sz="4" w:space="0" w:color="auto"/>
            </w:tcBorders>
          </w:tcPr>
          <w:p w14:paraId="60541810" w14:textId="77777777" w:rsidR="006E14D7" w:rsidRDefault="006E14D7" w:rsidP="006E14D7">
            <w:pPr>
              <w:pStyle w:val="naisc"/>
              <w:spacing w:before="0" w:after="0"/>
              <w:jc w:val="both"/>
              <w:rPr>
                <w:bCs/>
              </w:rPr>
            </w:pPr>
            <w:r w:rsidRPr="00335D9C">
              <w:rPr>
                <w:b/>
              </w:rPr>
              <w:t>Ņemts vērā.</w:t>
            </w:r>
          </w:p>
          <w:p w14:paraId="410FA8A1" w14:textId="1EADD466" w:rsidR="006E14D7" w:rsidRPr="007E2FA8" w:rsidRDefault="006E14D7" w:rsidP="006E14D7">
            <w:pPr>
              <w:pStyle w:val="naisc"/>
              <w:spacing w:before="0" w:after="0"/>
              <w:jc w:val="both"/>
              <w:rPr>
                <w:bCs/>
                <w:highlight w:val="yellow"/>
              </w:rPr>
            </w:pPr>
            <w:r>
              <w:t>Anotācija precizēta.</w:t>
            </w:r>
          </w:p>
        </w:tc>
        <w:tc>
          <w:tcPr>
            <w:tcW w:w="4261" w:type="dxa"/>
            <w:tcBorders>
              <w:top w:val="single" w:sz="4" w:space="0" w:color="auto"/>
              <w:left w:val="single" w:sz="4" w:space="0" w:color="auto"/>
              <w:bottom w:val="single" w:sz="4" w:space="0" w:color="auto"/>
            </w:tcBorders>
          </w:tcPr>
          <w:p w14:paraId="33687671" w14:textId="49949E7F" w:rsidR="006E14D7" w:rsidRPr="00271FE5" w:rsidRDefault="006E14D7" w:rsidP="006E14D7">
            <w:pPr>
              <w:jc w:val="both"/>
              <w:rPr>
                <w:color w:val="000000" w:themeColor="text1"/>
              </w:rPr>
            </w:pPr>
            <w:r w:rsidRPr="00271FE5">
              <w:rPr>
                <w:color w:val="000000" w:themeColor="text1"/>
              </w:rPr>
              <w:t>Skaidrojam, ka, neskatoties uz plānošanas reģionu robežām, ES fondu 2021.–2027. gada plānošanas periodā ir paredzami atbalsta un sadarbības mehānismi arī funkcionāli saistītām teritorijām no dažādiem plānošanas reģioniem, kuras plānots noteikt arī administratīvi teritoriālo vienību līmenī, tātad potenciāli iekļaujot arī tikai daļu no administratīvās teritorijas.</w:t>
            </w:r>
          </w:p>
          <w:p w14:paraId="4FB1EA17" w14:textId="0B393CDD" w:rsidR="006E14D7" w:rsidRPr="00271FE5" w:rsidRDefault="006E14D7" w:rsidP="006E14D7">
            <w:pPr>
              <w:jc w:val="both"/>
              <w:rPr>
                <w:color w:val="000000" w:themeColor="text1"/>
              </w:rPr>
            </w:pPr>
            <w:r w:rsidRPr="00271FE5">
              <w:rPr>
                <w:color w:val="000000" w:themeColor="text1"/>
              </w:rPr>
              <w:t>Atbilstoši Anotācijas I. sadaļas “Tiesību akta projekta izstrādes nepieciešamība” 2. punkts “Pašreizējā situācija un problēmas, kuru risināšanai tiesību akta projekts izstrādāts tiesiskā regulējuma mērķis un būtība” papildināts ar skaidrojumu.</w:t>
            </w:r>
          </w:p>
          <w:p w14:paraId="135539A3" w14:textId="77777777" w:rsidR="006E14D7" w:rsidRPr="00271FE5" w:rsidRDefault="006E14D7" w:rsidP="006E14D7">
            <w:pPr>
              <w:jc w:val="both"/>
              <w:rPr>
                <w:color w:val="000000" w:themeColor="text1"/>
              </w:rPr>
            </w:pPr>
          </w:p>
          <w:p w14:paraId="10C4F1C5" w14:textId="38BAAE98" w:rsidR="006E14D7" w:rsidRPr="00271FE5" w:rsidRDefault="006E14D7" w:rsidP="006E14D7">
            <w:pPr>
              <w:jc w:val="both"/>
              <w:rPr>
                <w:color w:val="000000" w:themeColor="text1"/>
              </w:rPr>
            </w:pPr>
            <w:r w:rsidRPr="00271FE5">
              <w:rPr>
                <w:color w:val="000000" w:themeColor="text1"/>
              </w:rPr>
              <w:t xml:space="preserve">“Minētie sadarbības mehānismi ietver reģionālā mēroga projektus, kas tiks noteikti plānošanas reģionu attīstības plānošanas dokumentos atbilstoši definētajiem reģionālā mēroga projektu principiem. </w:t>
            </w:r>
            <w:r w:rsidRPr="00271FE5">
              <w:rPr>
                <w:rFonts w:eastAsiaTheme="minorEastAsia"/>
                <w:color w:val="000000" w:themeColor="text1"/>
              </w:rPr>
              <w:t>I</w:t>
            </w:r>
            <w:r w:rsidRPr="00271FE5">
              <w:rPr>
                <w:color w:val="000000" w:themeColor="text1"/>
              </w:rPr>
              <w:t>eguldījumi reģionālajiem projektiem var būt starp vairākām plānošanas reģionu teritorijām.”</w:t>
            </w:r>
          </w:p>
        </w:tc>
      </w:tr>
      <w:tr w:rsidR="006E14D7" w:rsidRPr="0034341D" w14:paraId="3D885C84"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2CE8B188" w14:textId="03821043" w:rsidR="006E14D7" w:rsidRDefault="00B203AC" w:rsidP="006E14D7">
            <w:pPr>
              <w:pStyle w:val="naisc"/>
              <w:spacing w:before="0" w:after="0"/>
            </w:pPr>
            <w:r>
              <w:lastRenderedPageBreak/>
              <w:t>8</w:t>
            </w:r>
            <w:r w:rsidR="006E14D7">
              <w:t>.</w:t>
            </w:r>
          </w:p>
        </w:tc>
        <w:tc>
          <w:tcPr>
            <w:tcW w:w="2969" w:type="dxa"/>
            <w:tcBorders>
              <w:top w:val="single" w:sz="4" w:space="0" w:color="auto"/>
              <w:left w:val="single" w:sz="4" w:space="0" w:color="auto"/>
              <w:bottom w:val="single" w:sz="4" w:space="0" w:color="auto"/>
              <w:right w:val="single" w:sz="4" w:space="0" w:color="auto"/>
            </w:tcBorders>
          </w:tcPr>
          <w:p w14:paraId="75EF7270" w14:textId="518FA287" w:rsidR="006E14D7" w:rsidRPr="00B3632E" w:rsidRDefault="006E14D7" w:rsidP="006E14D7">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0E5AFA46" w14:textId="13168CEA" w:rsidR="006E14D7" w:rsidRPr="00335D9C" w:rsidRDefault="006E14D7" w:rsidP="006E14D7">
            <w:pPr>
              <w:jc w:val="both"/>
              <w:rPr>
                <w:b/>
              </w:rPr>
            </w:pPr>
            <w:r w:rsidRPr="00335D9C">
              <w:rPr>
                <w:b/>
              </w:rPr>
              <w:t>Latvijas Pašvaldību savienības, 23.04.</w:t>
            </w:r>
            <w:r>
              <w:rPr>
                <w:b/>
              </w:rPr>
              <w:t>2021.</w:t>
            </w:r>
            <w:r w:rsidRPr="00335D9C">
              <w:rPr>
                <w:b/>
              </w:rPr>
              <w:t xml:space="preserve"> atzinums.</w:t>
            </w:r>
          </w:p>
          <w:p w14:paraId="7E063030" w14:textId="13E9B096" w:rsidR="006E14D7" w:rsidRPr="00335D9C" w:rsidRDefault="006E14D7" w:rsidP="006E14D7">
            <w:pPr>
              <w:jc w:val="both"/>
              <w:rPr>
                <w:b/>
              </w:rPr>
            </w:pPr>
            <w:r>
              <w:rPr>
                <w:bCs/>
              </w:rPr>
              <w:t xml:space="preserve">4. </w:t>
            </w:r>
            <w:r w:rsidRPr="00094EA4">
              <w:rPr>
                <w:bCs/>
              </w:rPr>
              <w:t xml:space="preserve">LPS atbalsta tādu reģionu izveidošanu, kas nākotnē ļautu piesaistīt lielāku ES atbalstu. Regulas, kura nosaka NUTS 2 izveidošanas nosacījumus, piemērošana kopš 2003.gada ir sarunu priekšmets starp Eiropas Komisiju un dalībvalstīm. Lielākā daļa dalībvalstu ir panākušas, ka NUTS 2 reģioni var būt arī mazāki pēc iedzīvotāju skaita, kā regulā noteikts. Plānošanas reģionus (kuru robežas ir pamats </w:t>
            </w:r>
            <w:r>
              <w:rPr>
                <w:bCs/>
              </w:rPr>
              <w:t>N</w:t>
            </w:r>
            <w:r w:rsidRPr="00094EA4">
              <w:rPr>
                <w:bCs/>
              </w:rPr>
              <w:t>UTS 3 dalījumam) robežām būs tālejošas sekas. Šis jautājums nav pietiekami izdiskutēts ar pašvaldībām.</w:t>
            </w:r>
          </w:p>
        </w:tc>
        <w:tc>
          <w:tcPr>
            <w:tcW w:w="2835" w:type="dxa"/>
            <w:tcBorders>
              <w:top w:val="single" w:sz="4" w:space="0" w:color="auto"/>
              <w:left w:val="single" w:sz="4" w:space="0" w:color="auto"/>
              <w:bottom w:val="single" w:sz="4" w:space="0" w:color="auto"/>
              <w:right w:val="single" w:sz="4" w:space="0" w:color="auto"/>
            </w:tcBorders>
          </w:tcPr>
          <w:p w14:paraId="4E73AB3B" w14:textId="5C03D5B3" w:rsidR="006E14D7" w:rsidRPr="00335D9C" w:rsidRDefault="006E14D7" w:rsidP="006E14D7">
            <w:pPr>
              <w:pStyle w:val="naisc"/>
              <w:spacing w:before="0" w:after="0"/>
              <w:jc w:val="both"/>
              <w:rPr>
                <w:b/>
              </w:rPr>
            </w:pPr>
            <w:r w:rsidRPr="00335D9C">
              <w:rPr>
                <w:b/>
              </w:rPr>
              <w:t>Ņemts vērā.</w:t>
            </w:r>
          </w:p>
        </w:tc>
        <w:tc>
          <w:tcPr>
            <w:tcW w:w="4261" w:type="dxa"/>
            <w:tcBorders>
              <w:top w:val="single" w:sz="4" w:space="0" w:color="auto"/>
              <w:left w:val="single" w:sz="4" w:space="0" w:color="auto"/>
              <w:bottom w:val="single" w:sz="4" w:space="0" w:color="auto"/>
            </w:tcBorders>
          </w:tcPr>
          <w:p w14:paraId="00850781" w14:textId="6CCF18DC" w:rsidR="006E14D7" w:rsidRPr="00271FE5" w:rsidRDefault="006E14D7" w:rsidP="006E14D7">
            <w:pPr>
              <w:jc w:val="both"/>
              <w:rPr>
                <w:color w:val="000000" w:themeColor="text1"/>
              </w:rPr>
            </w:pPr>
            <w:r w:rsidRPr="00271FE5">
              <w:rPr>
                <w:color w:val="000000" w:themeColor="text1"/>
              </w:rPr>
              <w:t xml:space="preserve">Norādām, ka, Ministru kabinetam pieņemot jaunās plānošanas reģionu robežas un tajos ietilpstošās pašvaldības, CSP sadarbībā ar VARAM virzīs jautājumu arī par </w:t>
            </w:r>
            <w:r w:rsidRPr="00271FE5">
              <w:rPr>
                <w:i/>
                <w:iCs/>
                <w:color w:val="000000" w:themeColor="text1"/>
              </w:rPr>
              <w:t>NUTS</w:t>
            </w:r>
            <w:r w:rsidRPr="00271FE5">
              <w:rPr>
                <w:color w:val="000000" w:themeColor="text1"/>
              </w:rPr>
              <w:t xml:space="preserve"> 3. līmeņa dalījumu, lai </w:t>
            </w:r>
            <w:r w:rsidRPr="00271FE5">
              <w:rPr>
                <w:i/>
                <w:iCs/>
                <w:color w:val="000000" w:themeColor="text1"/>
              </w:rPr>
              <w:t>NUTS</w:t>
            </w:r>
            <w:r w:rsidRPr="00271FE5">
              <w:rPr>
                <w:color w:val="000000" w:themeColor="text1"/>
              </w:rPr>
              <w:t xml:space="preserve"> 3 jeb statistisko reģionu robežas sakristu ar jaunajām plānošanas reģionu robežām. Savukārt attiecībā uz </w:t>
            </w:r>
            <w:r w:rsidRPr="00271FE5">
              <w:rPr>
                <w:i/>
                <w:iCs/>
                <w:color w:val="000000" w:themeColor="text1"/>
              </w:rPr>
              <w:t>NUTS</w:t>
            </w:r>
            <w:r w:rsidRPr="00271FE5">
              <w:rPr>
                <w:color w:val="000000" w:themeColor="text1"/>
              </w:rPr>
              <w:t> 2 dalījumu un tā iespējamām izmaiņām informējam, ka tas ir daudz sarežģītāks jautājums, kas prasa papildu izvērtējumu veikšanu.</w:t>
            </w:r>
          </w:p>
          <w:p w14:paraId="467CD1C5" w14:textId="23EFBD42" w:rsidR="006E14D7" w:rsidRPr="00271FE5" w:rsidRDefault="006E14D7" w:rsidP="006E14D7">
            <w:pPr>
              <w:jc w:val="both"/>
              <w:rPr>
                <w:color w:val="000000" w:themeColor="text1"/>
              </w:rPr>
            </w:pPr>
            <w:r w:rsidRPr="00271FE5">
              <w:rPr>
                <w:color w:val="000000" w:themeColor="text1"/>
              </w:rPr>
              <w:t xml:space="preserve">Nākotnē lemjot par </w:t>
            </w:r>
            <w:r w:rsidRPr="00271FE5">
              <w:rPr>
                <w:i/>
                <w:iCs/>
                <w:color w:val="000000" w:themeColor="text1"/>
              </w:rPr>
              <w:t>NUTS</w:t>
            </w:r>
            <w:r w:rsidRPr="00271FE5">
              <w:rPr>
                <w:color w:val="000000" w:themeColor="text1"/>
              </w:rPr>
              <w:t xml:space="preserve"> 2 līmeņa iedalījuma pārskatīšanu, iespējamo variantu ietekmes uz reģionālās attīstības tendencēm izvērtēšanai nepieciešams veikt padziļinātu analīzi par ES fondu atbalsta reģionu sadalījumu, kā arī vērtēt, kā </w:t>
            </w:r>
            <w:r w:rsidRPr="00271FE5">
              <w:rPr>
                <w:i/>
                <w:iCs/>
                <w:color w:val="000000" w:themeColor="text1"/>
              </w:rPr>
              <w:t>NUTS</w:t>
            </w:r>
            <w:r w:rsidRPr="00271FE5">
              <w:rPr>
                <w:color w:val="000000" w:themeColor="text1"/>
              </w:rPr>
              <w:t> 2 klasifikācijas izmaiņas varētu ietekmēt kopējo pieejamo ES fondu finansējuma apjomu Latvijas teritorijai.</w:t>
            </w:r>
          </w:p>
        </w:tc>
      </w:tr>
      <w:tr w:rsidR="006E14D7" w:rsidRPr="0034341D" w14:paraId="448314BA" w14:textId="77777777" w:rsidTr="007063BD">
        <w:trPr>
          <w:jc w:val="center"/>
        </w:trPr>
        <w:tc>
          <w:tcPr>
            <w:tcW w:w="851" w:type="dxa"/>
            <w:tcBorders>
              <w:top w:val="single" w:sz="4" w:space="0" w:color="auto"/>
              <w:left w:val="single" w:sz="4" w:space="0" w:color="auto"/>
              <w:bottom w:val="single" w:sz="4" w:space="0" w:color="auto"/>
              <w:right w:val="single" w:sz="4" w:space="0" w:color="auto"/>
            </w:tcBorders>
          </w:tcPr>
          <w:p w14:paraId="489DA650" w14:textId="06775E9D" w:rsidR="006E14D7" w:rsidRDefault="00B203AC" w:rsidP="006E14D7">
            <w:pPr>
              <w:pStyle w:val="naisc"/>
              <w:spacing w:before="0" w:after="0"/>
            </w:pPr>
            <w:r>
              <w:t>9</w:t>
            </w:r>
            <w:r w:rsidR="006E14D7">
              <w:t>.</w:t>
            </w:r>
          </w:p>
        </w:tc>
        <w:tc>
          <w:tcPr>
            <w:tcW w:w="2969" w:type="dxa"/>
            <w:tcBorders>
              <w:top w:val="single" w:sz="4" w:space="0" w:color="auto"/>
              <w:left w:val="single" w:sz="4" w:space="0" w:color="auto"/>
              <w:bottom w:val="single" w:sz="4" w:space="0" w:color="auto"/>
              <w:right w:val="single" w:sz="4" w:space="0" w:color="auto"/>
            </w:tcBorders>
          </w:tcPr>
          <w:p w14:paraId="630227B6" w14:textId="0E19CF19" w:rsidR="006E14D7" w:rsidRPr="00B3632E" w:rsidRDefault="006E14D7" w:rsidP="006E14D7">
            <w:pPr>
              <w:jc w:val="both"/>
            </w:pPr>
            <w:r w:rsidRPr="00B3632E">
              <w:t>Anotācijas I. sadaļas “Tiesību akta projekta izstrādes nepieciešamība” 2. punkts “Pašreizējā situācija un problēmas, kuru risināšanai tiesību akta projekts izstrādāts tiesiskā regulējuma mērķis un būtība”.</w:t>
            </w:r>
          </w:p>
        </w:tc>
        <w:tc>
          <w:tcPr>
            <w:tcW w:w="4110" w:type="dxa"/>
            <w:tcBorders>
              <w:top w:val="single" w:sz="4" w:space="0" w:color="auto"/>
              <w:left w:val="single" w:sz="4" w:space="0" w:color="auto"/>
              <w:bottom w:val="single" w:sz="4" w:space="0" w:color="auto"/>
              <w:right w:val="single" w:sz="4" w:space="0" w:color="auto"/>
            </w:tcBorders>
          </w:tcPr>
          <w:p w14:paraId="0F2AA736" w14:textId="4BB0509B" w:rsidR="006E14D7" w:rsidRPr="00094EA4" w:rsidRDefault="006E14D7" w:rsidP="006E14D7">
            <w:pPr>
              <w:jc w:val="both"/>
              <w:rPr>
                <w:b/>
              </w:rPr>
            </w:pPr>
            <w:r w:rsidRPr="00094EA4">
              <w:rPr>
                <w:b/>
              </w:rPr>
              <w:t>Latvijas Pašvaldību savienības, 23.04.</w:t>
            </w:r>
            <w:r>
              <w:rPr>
                <w:b/>
              </w:rPr>
              <w:t>2021.</w:t>
            </w:r>
            <w:r w:rsidRPr="00094EA4">
              <w:rPr>
                <w:b/>
              </w:rPr>
              <w:t xml:space="preserve"> atzinums.</w:t>
            </w:r>
          </w:p>
          <w:p w14:paraId="64BA4EC7" w14:textId="6A0096D0" w:rsidR="006E14D7" w:rsidRPr="00094EA4" w:rsidRDefault="006E14D7" w:rsidP="006E14D7">
            <w:pPr>
              <w:jc w:val="both"/>
              <w:rPr>
                <w:bCs/>
              </w:rPr>
            </w:pPr>
            <w:r w:rsidRPr="00094EA4">
              <w:rPr>
                <w:bCs/>
              </w:rPr>
              <w:t xml:space="preserve">5. Atvasinātas publiskas personas statuss raksturo valsts attieksmi pret plānošanas reģioniem. Taču šie reģioni ir radušies kā pašvaldību brīvprātīgi izveidotas institūcijas, kas risina kopīgās attīstības problēmas un tiem, neskatoties uz sašaurināto kompetenci, piemīt visi galvenie reģionālas pašvaldības atribūti. Plānošanas reģiona politiku veido pašvaldību pārstāvniecības institūcija. </w:t>
            </w:r>
            <w:r w:rsidRPr="00094EA4">
              <w:rPr>
                <w:bCs/>
              </w:rPr>
              <w:lastRenderedPageBreak/>
              <w:t>Tāpēc lūdzam MK noteikumu projektam kā pielikumu pievienot visu iesaistīto pašvaldību domju lēmums.</w:t>
            </w:r>
          </w:p>
        </w:tc>
        <w:tc>
          <w:tcPr>
            <w:tcW w:w="2835" w:type="dxa"/>
            <w:tcBorders>
              <w:top w:val="single" w:sz="4" w:space="0" w:color="auto"/>
              <w:left w:val="single" w:sz="4" w:space="0" w:color="auto"/>
              <w:bottom w:val="single" w:sz="4" w:space="0" w:color="auto"/>
              <w:right w:val="single" w:sz="4" w:space="0" w:color="auto"/>
            </w:tcBorders>
          </w:tcPr>
          <w:p w14:paraId="5A6D0414" w14:textId="054936C0" w:rsidR="006E14D7" w:rsidRPr="00335D9C" w:rsidRDefault="006E14D7" w:rsidP="006E14D7">
            <w:pPr>
              <w:pStyle w:val="naisc"/>
              <w:spacing w:before="0" w:after="0"/>
              <w:jc w:val="both"/>
              <w:rPr>
                <w:b/>
              </w:rPr>
            </w:pPr>
            <w:r w:rsidRPr="00335D9C">
              <w:rPr>
                <w:b/>
              </w:rPr>
              <w:lastRenderedPageBreak/>
              <w:t>Ņemts vērā.</w:t>
            </w:r>
          </w:p>
        </w:tc>
        <w:tc>
          <w:tcPr>
            <w:tcW w:w="4261" w:type="dxa"/>
            <w:tcBorders>
              <w:top w:val="single" w:sz="4" w:space="0" w:color="auto"/>
              <w:left w:val="single" w:sz="4" w:space="0" w:color="auto"/>
              <w:bottom w:val="single" w:sz="4" w:space="0" w:color="auto"/>
            </w:tcBorders>
          </w:tcPr>
          <w:p w14:paraId="4D0C37B4" w14:textId="77777777" w:rsidR="006E14D7" w:rsidRDefault="006E14D7" w:rsidP="006E14D7">
            <w:pPr>
              <w:jc w:val="both"/>
            </w:pPr>
            <w:r>
              <w:t xml:space="preserve">Informējam, ka Noteikumu projekta </w:t>
            </w:r>
            <w:r w:rsidRPr="00181E4C">
              <w:t xml:space="preserve">izstrādes un saskaņošanas procesā pašvaldībām un plānošanas reģioniem bija iespēja sniegt savus priekšlikumus vai </w:t>
            </w:r>
            <w:r>
              <w:t xml:space="preserve">iebildumus </w:t>
            </w:r>
            <w:r w:rsidRPr="00181E4C">
              <w:t xml:space="preserve">par </w:t>
            </w:r>
            <w:r>
              <w:t xml:space="preserve">plānotajām </w:t>
            </w:r>
            <w:r w:rsidRPr="00181E4C">
              <w:t>izmaiņām reģionu robežās</w:t>
            </w:r>
            <w:r>
              <w:t xml:space="preserve">. Tāpat </w:t>
            </w:r>
            <w:r w:rsidRPr="00181E4C">
              <w:t xml:space="preserve">pašvaldībām un plānošanas reģioniem bija iespēja sniegt savus priekšlikumus </w:t>
            </w:r>
            <w:r>
              <w:t xml:space="preserve">par </w:t>
            </w:r>
            <w:r w:rsidRPr="00181E4C">
              <w:t>2020. gada 22. oktobra Valsts sekretāru sanāksmē izsludināt</w:t>
            </w:r>
            <w:r>
              <w:t>ā</w:t>
            </w:r>
            <w:r w:rsidRPr="00181E4C">
              <w:t xml:space="preserve"> konceptuāl</w:t>
            </w:r>
            <w:r>
              <w:t>ā</w:t>
            </w:r>
            <w:r w:rsidRPr="00181E4C">
              <w:t xml:space="preserve"> ziņojum</w:t>
            </w:r>
            <w:r>
              <w:t>a</w:t>
            </w:r>
            <w:r w:rsidRPr="00181E4C">
              <w:t xml:space="preserve"> “Par administratīvo reģionu izveidi” (turpmāk – Konceptuālais ziņojums)</w:t>
            </w:r>
            <w:r>
              <w:t xml:space="preserve"> saturu</w:t>
            </w:r>
            <w:r w:rsidRPr="00181E4C">
              <w:t xml:space="preserve">, kas </w:t>
            </w:r>
            <w:r>
              <w:lastRenderedPageBreak/>
              <w:t>ietvēra</w:t>
            </w:r>
            <w:r w:rsidRPr="00181E4C">
              <w:t xml:space="preserve"> informāciju arī par </w:t>
            </w:r>
            <w:r w:rsidRPr="00181E4C">
              <w:rPr>
                <w:i/>
                <w:iCs/>
              </w:rPr>
              <w:t>NUTS </w:t>
            </w:r>
            <w:r w:rsidRPr="00181E4C">
              <w:t>3 līmeņa reģionu robežu izmaiņām – Limbažu novada un Ogres novada pievienošana Vidzemes reģionam, kā arī Tukuma novada pievienošana Kurzemes reģionam</w:t>
            </w:r>
            <w:r>
              <w:t xml:space="preserve"> (</w:t>
            </w:r>
            <w:r w:rsidRPr="00181E4C">
              <w:t xml:space="preserve">Noteikumu projektā iekļautās plānošanas reģionu robežas atbilst Konceptuālā ziņojuma piedāvātajām </w:t>
            </w:r>
            <w:r w:rsidRPr="00181E4C">
              <w:rPr>
                <w:i/>
                <w:iCs/>
              </w:rPr>
              <w:t>NUTS</w:t>
            </w:r>
            <w:r w:rsidRPr="00181E4C">
              <w:t xml:space="preserve"> 3 reģionu robežām</w:t>
            </w:r>
            <w:r>
              <w:t>)</w:t>
            </w:r>
            <w:r w:rsidRPr="00181E4C">
              <w:t>.</w:t>
            </w:r>
          </w:p>
          <w:p w14:paraId="4B6573C8" w14:textId="77777777" w:rsidR="006E14D7" w:rsidRPr="00181E4C" w:rsidRDefault="006E14D7" w:rsidP="006E14D7">
            <w:pPr>
              <w:jc w:val="both"/>
            </w:pPr>
            <w:r w:rsidRPr="00181E4C">
              <w:t xml:space="preserve">VARAM </w:t>
            </w:r>
            <w:r>
              <w:t xml:space="preserve">Konceptuālā ziņojuma un Noteikumu projekta </w:t>
            </w:r>
            <w:r w:rsidRPr="00181E4C">
              <w:t>saskaņošanas procesā ir saņēmusi:</w:t>
            </w:r>
          </w:p>
          <w:p w14:paraId="0E178FFC" w14:textId="77777777" w:rsidR="006E14D7" w:rsidRPr="00181E4C" w:rsidRDefault="006E14D7" w:rsidP="006E14D7">
            <w:pPr>
              <w:jc w:val="both"/>
            </w:pPr>
            <w:r w:rsidRPr="00181E4C">
              <w:t>1) Kandavas novada domes 2021. gada 18. janvāra vēstuli, kurā Kandavas novada dome pauž atbalstu plānotajām reģionu robežu izmaiņām, t.i., Kandavas novada (</w:t>
            </w:r>
            <w:r w:rsidRPr="00181E4C">
              <w:rPr>
                <w:i/>
                <w:iCs/>
              </w:rPr>
              <w:t>42 pašvaldību iedalījumā – Tukuma novada</w:t>
            </w:r>
            <w:r w:rsidRPr="00181E4C">
              <w:t xml:space="preserve">) iekļaušanai </w:t>
            </w:r>
            <w:r>
              <w:t>Kurzemes plānošanas reģionā</w:t>
            </w:r>
            <w:r w:rsidRPr="00181E4C">
              <w:t>;</w:t>
            </w:r>
          </w:p>
          <w:p w14:paraId="38FB5F3C" w14:textId="77777777" w:rsidR="006E14D7" w:rsidRDefault="006E14D7" w:rsidP="006E14D7">
            <w:pPr>
              <w:jc w:val="both"/>
              <w:rPr>
                <w:bCs/>
              </w:rPr>
            </w:pPr>
            <w:r w:rsidRPr="00181E4C">
              <w:t xml:space="preserve">2) </w:t>
            </w:r>
            <w:r>
              <w:t>Vidzemes plānošanas reģiona (turpmāk – VPR)</w:t>
            </w:r>
            <w:r w:rsidRPr="00181E4C">
              <w:t xml:space="preserve"> 2020. gada 14. oktobra vēstuli, kurā VPR pauž priekšlikumu esošajā VPR teritorijā iekļaut</w:t>
            </w:r>
            <w:r w:rsidRPr="00181E4C">
              <w:rPr>
                <w:bCs/>
              </w:rPr>
              <w:t xml:space="preserve"> arī jaunveidojamo Limbažu novadu un Ogres novadu</w:t>
            </w:r>
            <w:r>
              <w:rPr>
                <w:bCs/>
              </w:rPr>
              <w:t>;</w:t>
            </w:r>
          </w:p>
          <w:p w14:paraId="1E814C7A" w14:textId="77777777" w:rsidR="006E14D7" w:rsidRPr="009263A2" w:rsidRDefault="006E14D7" w:rsidP="006E14D7">
            <w:pPr>
              <w:jc w:val="both"/>
              <w:rPr>
                <w:bCs/>
              </w:rPr>
            </w:pPr>
            <w:r w:rsidRPr="009263A2">
              <w:rPr>
                <w:bCs/>
              </w:rPr>
              <w:t>3) Limbažu novada domes 2021. gada 25. marta lēmumu Nr. 37 “Par Limbažu novada pašvaldības plānošanas reģiona maiņu un tā iekļaušanu Vidzemes plānošanas reģionā”.</w:t>
            </w:r>
          </w:p>
          <w:p w14:paraId="234260AA" w14:textId="635E00E4" w:rsidR="006E14D7" w:rsidRDefault="006E14D7" w:rsidP="006E14D7">
            <w:pPr>
              <w:jc w:val="both"/>
            </w:pPr>
            <w:r>
              <w:t>C</w:t>
            </w:r>
            <w:r w:rsidRPr="00181E4C">
              <w:t xml:space="preserve">iti iebildumi par piedāvātajām reģionu robežu izmaiņām no pašvaldībām vai plānošanas reģioniem Konceptuālā ziņojuma </w:t>
            </w:r>
            <w:r>
              <w:t xml:space="preserve">un Noteikumu projekta </w:t>
            </w:r>
            <w:r w:rsidRPr="00181E4C">
              <w:t xml:space="preserve">izstrādes </w:t>
            </w:r>
            <w:r w:rsidRPr="00181E4C">
              <w:lastRenderedPageBreak/>
              <w:t>gaitā netika saņemti, līdz ar to</w:t>
            </w:r>
            <w:r>
              <w:t xml:space="preserve"> plānošanas </w:t>
            </w:r>
            <w:r w:rsidRPr="00D9590D">
              <w:t xml:space="preserve">reģionu robežu jautājums </w:t>
            </w:r>
            <w:r>
              <w:t>ticis</w:t>
            </w:r>
            <w:r w:rsidRPr="00D9590D">
              <w:t xml:space="preserve"> saskaņots gan no pašvaldību puses, gan plānošanas reģionu puses</w:t>
            </w:r>
            <w:r>
              <w:t>.</w:t>
            </w:r>
          </w:p>
        </w:tc>
      </w:tr>
    </w:tbl>
    <w:p w14:paraId="3D9851CD" w14:textId="26CD3FF2" w:rsidR="003A61EC" w:rsidRDefault="003A61EC" w:rsidP="002749B5">
      <w:pPr>
        <w:pStyle w:val="naisf"/>
        <w:spacing w:before="0" w:after="0"/>
        <w:ind w:firstLine="0"/>
      </w:pPr>
    </w:p>
    <w:p w14:paraId="4EBC4E61" w14:textId="77777777" w:rsidR="000550FA" w:rsidRDefault="000550FA" w:rsidP="002749B5">
      <w:pPr>
        <w:pStyle w:val="naisf"/>
        <w:spacing w:before="0" w:after="0"/>
        <w:ind w:firstLine="0"/>
      </w:pPr>
    </w:p>
    <w:p w14:paraId="1786E8C3" w14:textId="7701E62A" w:rsidR="004373E1" w:rsidRPr="00712B66" w:rsidRDefault="000550FA" w:rsidP="000550FA">
      <w:pPr>
        <w:pStyle w:val="naisf"/>
        <w:spacing w:before="0" w:after="0"/>
        <w:ind w:firstLine="0"/>
      </w:pPr>
      <w:r>
        <w:t xml:space="preserve">  </w:t>
      </w:r>
      <w:r w:rsidR="00621D5F">
        <w:t>Dāvis Melnalksnis</w:t>
      </w:r>
    </w:p>
    <w:tbl>
      <w:tblPr>
        <w:tblW w:w="0" w:type="auto"/>
        <w:tblLook w:val="00A0" w:firstRow="1" w:lastRow="0" w:firstColumn="1" w:lastColumn="0" w:noHBand="0" w:noVBand="0"/>
      </w:tblPr>
      <w:tblGrid>
        <w:gridCol w:w="8268"/>
      </w:tblGrid>
      <w:tr w:rsidR="008655A2" w:rsidRPr="00712B66" w14:paraId="5D369198" w14:textId="77777777">
        <w:tc>
          <w:tcPr>
            <w:tcW w:w="8268" w:type="dxa"/>
            <w:tcBorders>
              <w:top w:val="single" w:sz="4" w:space="0" w:color="000000"/>
            </w:tcBorders>
          </w:tcPr>
          <w:p w14:paraId="2D9C38AA" w14:textId="77777777" w:rsidR="008655A2" w:rsidRPr="00712B66" w:rsidRDefault="00184479" w:rsidP="002749B5">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6D26B4F1" w14:textId="77777777">
        <w:tc>
          <w:tcPr>
            <w:tcW w:w="8268" w:type="dxa"/>
            <w:tcBorders>
              <w:bottom w:val="single" w:sz="4" w:space="0" w:color="000000"/>
            </w:tcBorders>
          </w:tcPr>
          <w:p w14:paraId="117C6B22" w14:textId="7BBFBCDD" w:rsidR="008655A2" w:rsidRPr="00712B66" w:rsidRDefault="00621D5F" w:rsidP="002749B5">
            <w:pPr>
              <w:pStyle w:val="naisf"/>
              <w:spacing w:before="0" w:after="0"/>
              <w:ind w:firstLine="0"/>
            </w:pPr>
            <w:r w:rsidRPr="0035380E">
              <w:t xml:space="preserve">Vides aizsardzības un reģionālās attīstības ministrijas </w:t>
            </w:r>
            <w:r w:rsidR="000550FA">
              <w:t>Valsts ilgtspējīgas attīstības plānošanas</w:t>
            </w:r>
            <w:r w:rsidRPr="0035380E">
              <w:t xml:space="preserve"> departamenta </w:t>
            </w:r>
            <w:r w:rsidR="000550FA">
              <w:t>Teritoriju attīstības izvērtēšanas</w:t>
            </w:r>
            <w:r w:rsidRPr="0035380E">
              <w:t xml:space="preserve"> nodaļa</w:t>
            </w:r>
            <w:r>
              <w:t xml:space="preserve">s </w:t>
            </w:r>
            <w:r w:rsidR="000550FA">
              <w:t>vecākais eksperts</w:t>
            </w:r>
          </w:p>
        </w:tc>
      </w:tr>
      <w:tr w:rsidR="008655A2" w:rsidRPr="00712B66" w14:paraId="549D08A4" w14:textId="77777777">
        <w:tc>
          <w:tcPr>
            <w:tcW w:w="8268" w:type="dxa"/>
            <w:tcBorders>
              <w:top w:val="single" w:sz="4" w:space="0" w:color="000000"/>
            </w:tcBorders>
          </w:tcPr>
          <w:p w14:paraId="00F8673C" w14:textId="77777777" w:rsidR="008655A2" w:rsidRPr="00712B66" w:rsidRDefault="00184479" w:rsidP="002749B5">
            <w:pPr>
              <w:jc w:val="center"/>
            </w:pPr>
            <w:r>
              <w:t>(</w:t>
            </w:r>
            <w:r w:rsidR="008655A2" w:rsidRPr="00712B66">
              <w:t>amats</w:t>
            </w:r>
            <w:r>
              <w:t>)</w:t>
            </w:r>
          </w:p>
        </w:tc>
      </w:tr>
      <w:tr w:rsidR="008655A2" w:rsidRPr="00712B66" w14:paraId="5D3919F2" w14:textId="77777777">
        <w:tc>
          <w:tcPr>
            <w:tcW w:w="8268" w:type="dxa"/>
            <w:tcBorders>
              <w:bottom w:val="single" w:sz="4" w:space="0" w:color="000000"/>
            </w:tcBorders>
          </w:tcPr>
          <w:p w14:paraId="27615CFD" w14:textId="77777777" w:rsidR="008655A2" w:rsidRPr="00712B66" w:rsidRDefault="00621D5F" w:rsidP="002749B5">
            <w:r>
              <w:t>66016768</w:t>
            </w:r>
          </w:p>
        </w:tc>
      </w:tr>
      <w:tr w:rsidR="008655A2" w:rsidRPr="00712B66" w14:paraId="46316C71" w14:textId="77777777">
        <w:tc>
          <w:tcPr>
            <w:tcW w:w="8268" w:type="dxa"/>
            <w:tcBorders>
              <w:top w:val="single" w:sz="4" w:space="0" w:color="000000"/>
            </w:tcBorders>
          </w:tcPr>
          <w:p w14:paraId="72A5300E" w14:textId="1555813D" w:rsidR="008655A2" w:rsidRPr="00712B66" w:rsidRDefault="00184479" w:rsidP="002749B5">
            <w:pPr>
              <w:jc w:val="center"/>
            </w:pPr>
            <w:r>
              <w:t>(</w:t>
            </w:r>
            <w:r w:rsidR="00C75241">
              <w:t xml:space="preserve">tālruņa </w:t>
            </w:r>
            <w:r w:rsidR="008655A2" w:rsidRPr="00712B66">
              <w:t>numurs</w:t>
            </w:r>
            <w:r>
              <w:t>)</w:t>
            </w:r>
          </w:p>
        </w:tc>
      </w:tr>
      <w:tr w:rsidR="008655A2" w:rsidRPr="00712B66" w14:paraId="0D6B79D1" w14:textId="77777777">
        <w:tc>
          <w:tcPr>
            <w:tcW w:w="8268" w:type="dxa"/>
            <w:tcBorders>
              <w:bottom w:val="single" w:sz="4" w:space="0" w:color="000000"/>
            </w:tcBorders>
          </w:tcPr>
          <w:p w14:paraId="7119FF7E" w14:textId="77777777" w:rsidR="008655A2" w:rsidRPr="00712B66" w:rsidRDefault="00621D5F" w:rsidP="002749B5">
            <w:r>
              <w:t>davis.melnalksnis@varam.gov.lv</w:t>
            </w:r>
          </w:p>
        </w:tc>
      </w:tr>
      <w:tr w:rsidR="008655A2" w:rsidRPr="00712B66" w14:paraId="29FCA532" w14:textId="77777777">
        <w:tc>
          <w:tcPr>
            <w:tcW w:w="8268" w:type="dxa"/>
            <w:tcBorders>
              <w:top w:val="single" w:sz="4" w:space="0" w:color="000000"/>
            </w:tcBorders>
          </w:tcPr>
          <w:p w14:paraId="6F2CEFE9" w14:textId="77777777" w:rsidR="008655A2" w:rsidRPr="00712B66" w:rsidRDefault="00184479" w:rsidP="002749B5">
            <w:pPr>
              <w:jc w:val="center"/>
            </w:pPr>
            <w:r>
              <w:t>(</w:t>
            </w:r>
            <w:r w:rsidR="008655A2" w:rsidRPr="00712B66">
              <w:t>e-pasta adrese</w:t>
            </w:r>
            <w:r>
              <w:t>)</w:t>
            </w:r>
          </w:p>
        </w:tc>
      </w:tr>
    </w:tbl>
    <w:p w14:paraId="5C5A4A33" w14:textId="77777777" w:rsidR="007116C7" w:rsidRDefault="007116C7" w:rsidP="002749B5">
      <w:pPr>
        <w:pStyle w:val="naisf"/>
        <w:spacing w:before="0" w:after="0"/>
        <w:ind w:firstLine="0"/>
        <w:jc w:val="left"/>
        <w:rPr>
          <w:sz w:val="28"/>
          <w:szCs w:val="28"/>
        </w:rPr>
      </w:pPr>
    </w:p>
    <w:sectPr w:rsidR="007116C7"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64E9" w14:textId="77777777" w:rsidR="00CA3289" w:rsidRDefault="00CA3289">
      <w:r>
        <w:separator/>
      </w:r>
    </w:p>
  </w:endnote>
  <w:endnote w:type="continuationSeparator" w:id="0">
    <w:p w14:paraId="207006DE" w14:textId="77777777" w:rsidR="00CA3289" w:rsidRDefault="00CA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9D3" w14:textId="68A1382F" w:rsidR="00941E46" w:rsidRPr="008F35CF" w:rsidRDefault="000550FA" w:rsidP="000550FA">
    <w:pPr>
      <w:pStyle w:val="Footer"/>
      <w:rPr>
        <w:sz w:val="20"/>
        <w:szCs w:val="20"/>
      </w:rPr>
    </w:pPr>
    <w:r w:rsidRPr="008F35CF">
      <w:rPr>
        <w:sz w:val="20"/>
        <w:szCs w:val="20"/>
      </w:rPr>
      <w:t>VARAM</w:t>
    </w:r>
    <w:r w:rsidR="004E087D" w:rsidRPr="008F35CF">
      <w:rPr>
        <w:sz w:val="20"/>
        <w:szCs w:val="20"/>
      </w:rPr>
      <w:t>i</w:t>
    </w:r>
    <w:r w:rsidRPr="008F35CF">
      <w:rPr>
        <w:sz w:val="20"/>
        <w:szCs w:val="20"/>
      </w:rPr>
      <w:t>zz_</w:t>
    </w:r>
    <w:r w:rsidR="00B22037">
      <w:rPr>
        <w:sz w:val="20"/>
        <w:szCs w:val="20"/>
      </w:rPr>
      <w:t>1</w:t>
    </w:r>
    <w:r w:rsidR="00217FB6">
      <w:rPr>
        <w:sz w:val="20"/>
        <w:szCs w:val="20"/>
      </w:rPr>
      <w:t>3</w:t>
    </w:r>
    <w:r w:rsidR="00B22037">
      <w:rPr>
        <w:sz w:val="20"/>
        <w:szCs w:val="20"/>
      </w:rPr>
      <w:t>05</w:t>
    </w:r>
    <w:r w:rsidRPr="008F35CF">
      <w:rPr>
        <w:sz w:val="20"/>
        <w:szCs w:val="20"/>
      </w:rPr>
      <w:t>21_</w:t>
    </w:r>
    <w:r w:rsidR="00AD3EF1" w:rsidRPr="008F35CF">
      <w:rPr>
        <w:sz w:val="20"/>
        <w:szCs w:val="20"/>
      </w:rPr>
      <w:t>PR</w:t>
    </w:r>
    <w:r w:rsidRPr="008F35CF">
      <w:rPr>
        <w:sz w:val="20"/>
        <w:szCs w:val="20"/>
      </w:rPr>
      <w:t>_teritorijas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5629" w14:textId="5FAF2F4F" w:rsidR="00941E46" w:rsidRPr="008F35CF" w:rsidRDefault="00941E46" w:rsidP="0074232D">
    <w:pPr>
      <w:pStyle w:val="Footer"/>
      <w:rPr>
        <w:sz w:val="20"/>
        <w:szCs w:val="20"/>
      </w:rPr>
    </w:pPr>
    <w:r w:rsidRPr="008F35CF">
      <w:rPr>
        <w:sz w:val="20"/>
        <w:szCs w:val="20"/>
      </w:rPr>
      <w:t>VARAM</w:t>
    </w:r>
    <w:r w:rsidR="004E087D" w:rsidRPr="008F35CF">
      <w:rPr>
        <w:sz w:val="20"/>
        <w:szCs w:val="20"/>
      </w:rPr>
      <w:t>i</w:t>
    </w:r>
    <w:r w:rsidRPr="008F35CF">
      <w:rPr>
        <w:sz w:val="20"/>
        <w:szCs w:val="20"/>
      </w:rPr>
      <w:t>zz_</w:t>
    </w:r>
    <w:r w:rsidR="00B22037">
      <w:rPr>
        <w:sz w:val="20"/>
        <w:szCs w:val="20"/>
      </w:rPr>
      <w:t>1</w:t>
    </w:r>
    <w:r w:rsidR="00217FB6">
      <w:rPr>
        <w:sz w:val="20"/>
        <w:szCs w:val="20"/>
      </w:rPr>
      <w:t>3</w:t>
    </w:r>
    <w:r w:rsidR="00B22037">
      <w:rPr>
        <w:sz w:val="20"/>
        <w:szCs w:val="20"/>
      </w:rPr>
      <w:t>05</w:t>
    </w:r>
    <w:r w:rsidR="00BB0BDD" w:rsidRPr="008F35CF">
      <w:rPr>
        <w:sz w:val="20"/>
        <w:szCs w:val="20"/>
      </w:rPr>
      <w:t>21</w:t>
    </w:r>
    <w:r w:rsidRPr="008F35CF">
      <w:rPr>
        <w:sz w:val="20"/>
        <w:szCs w:val="20"/>
      </w:rPr>
      <w:t>_</w:t>
    </w:r>
    <w:r w:rsidR="00AD3EF1" w:rsidRPr="008F35CF">
      <w:rPr>
        <w:sz w:val="20"/>
        <w:szCs w:val="20"/>
      </w:rPr>
      <w:t>PR</w:t>
    </w:r>
    <w:r w:rsidR="000550FA" w:rsidRPr="008F35CF">
      <w:rPr>
        <w:sz w:val="20"/>
        <w:szCs w:val="20"/>
      </w:rPr>
      <w:t>_teritorijas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C3ED0" w14:textId="77777777" w:rsidR="00CA3289" w:rsidRDefault="00CA3289">
      <w:r>
        <w:separator/>
      </w:r>
    </w:p>
  </w:footnote>
  <w:footnote w:type="continuationSeparator" w:id="0">
    <w:p w14:paraId="0C333EBF" w14:textId="77777777" w:rsidR="00CA3289" w:rsidRDefault="00CA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AF81" w14:textId="77777777" w:rsidR="00941E46" w:rsidRDefault="00941E4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9F1CF" w14:textId="77777777" w:rsidR="00941E46" w:rsidRDefault="0094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F4E0" w14:textId="1A0BD2C2" w:rsidR="00941E46" w:rsidRDefault="00941E4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315">
      <w:rPr>
        <w:rStyle w:val="PageNumber"/>
        <w:noProof/>
      </w:rPr>
      <w:t>14</w:t>
    </w:r>
    <w:r>
      <w:rPr>
        <w:rStyle w:val="PageNumber"/>
      </w:rPr>
      <w:fldChar w:fldCharType="end"/>
    </w:r>
  </w:p>
  <w:p w14:paraId="5696302E" w14:textId="77777777" w:rsidR="00941E46" w:rsidRDefault="00941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44A"/>
    <w:multiLevelType w:val="hybridMultilevel"/>
    <w:tmpl w:val="E368CD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D877B1"/>
    <w:multiLevelType w:val="hybridMultilevel"/>
    <w:tmpl w:val="62EC7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CD50FA"/>
    <w:multiLevelType w:val="hybridMultilevel"/>
    <w:tmpl w:val="6382D3B8"/>
    <w:lvl w:ilvl="0" w:tplc="C226E7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8D8712B"/>
    <w:multiLevelType w:val="hybridMultilevel"/>
    <w:tmpl w:val="E67223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2254F43"/>
    <w:multiLevelType w:val="hybridMultilevel"/>
    <w:tmpl w:val="10D2B730"/>
    <w:lvl w:ilvl="0" w:tplc="4BB6F8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443ECA"/>
    <w:multiLevelType w:val="hybridMultilevel"/>
    <w:tmpl w:val="1A547D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975DE5"/>
    <w:multiLevelType w:val="hybridMultilevel"/>
    <w:tmpl w:val="5ECACFEE"/>
    <w:lvl w:ilvl="0" w:tplc="D7A20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5"/>
  </w:num>
  <w:num w:numId="6">
    <w:abstractNumId w:val="2"/>
  </w:num>
  <w:num w:numId="7">
    <w:abstractNumId w:val="6"/>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E28"/>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422"/>
    <w:rsid w:val="0001554C"/>
    <w:rsid w:val="00015B94"/>
    <w:rsid w:val="00015C84"/>
    <w:rsid w:val="00015DE5"/>
    <w:rsid w:val="000172E2"/>
    <w:rsid w:val="00017449"/>
    <w:rsid w:val="00020249"/>
    <w:rsid w:val="00020C35"/>
    <w:rsid w:val="00021AB1"/>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110"/>
    <w:rsid w:val="00043005"/>
    <w:rsid w:val="0004345F"/>
    <w:rsid w:val="00044026"/>
    <w:rsid w:val="00046075"/>
    <w:rsid w:val="00046CAD"/>
    <w:rsid w:val="00046F5C"/>
    <w:rsid w:val="00047385"/>
    <w:rsid w:val="00050554"/>
    <w:rsid w:val="00053706"/>
    <w:rsid w:val="00053E04"/>
    <w:rsid w:val="000550FA"/>
    <w:rsid w:val="00056B26"/>
    <w:rsid w:val="000579E6"/>
    <w:rsid w:val="00060E03"/>
    <w:rsid w:val="000641CE"/>
    <w:rsid w:val="00065271"/>
    <w:rsid w:val="000657F5"/>
    <w:rsid w:val="00066176"/>
    <w:rsid w:val="0006618D"/>
    <w:rsid w:val="00066885"/>
    <w:rsid w:val="0006694E"/>
    <w:rsid w:val="00066A37"/>
    <w:rsid w:val="00066F05"/>
    <w:rsid w:val="00071BEB"/>
    <w:rsid w:val="000725AB"/>
    <w:rsid w:val="00072628"/>
    <w:rsid w:val="000728ED"/>
    <w:rsid w:val="000733F5"/>
    <w:rsid w:val="000733FF"/>
    <w:rsid w:val="0007577A"/>
    <w:rsid w:val="0007736A"/>
    <w:rsid w:val="000775D0"/>
    <w:rsid w:val="00081B0F"/>
    <w:rsid w:val="0008283D"/>
    <w:rsid w:val="00082A82"/>
    <w:rsid w:val="00083090"/>
    <w:rsid w:val="00083214"/>
    <w:rsid w:val="00083B8F"/>
    <w:rsid w:val="00084B11"/>
    <w:rsid w:val="00085322"/>
    <w:rsid w:val="0008656F"/>
    <w:rsid w:val="00086AB9"/>
    <w:rsid w:val="00086BCE"/>
    <w:rsid w:val="00086F36"/>
    <w:rsid w:val="0008766F"/>
    <w:rsid w:val="00090168"/>
    <w:rsid w:val="00090C76"/>
    <w:rsid w:val="00091033"/>
    <w:rsid w:val="00091F10"/>
    <w:rsid w:val="0009302B"/>
    <w:rsid w:val="00093EC2"/>
    <w:rsid w:val="00094EA4"/>
    <w:rsid w:val="000958A2"/>
    <w:rsid w:val="000965E7"/>
    <w:rsid w:val="000A0041"/>
    <w:rsid w:val="000A06FC"/>
    <w:rsid w:val="000A1A02"/>
    <w:rsid w:val="000A4035"/>
    <w:rsid w:val="000A483A"/>
    <w:rsid w:val="000A55D2"/>
    <w:rsid w:val="000A64D3"/>
    <w:rsid w:val="000A70B7"/>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3AAF"/>
    <w:rsid w:val="000C453D"/>
    <w:rsid w:val="000C498A"/>
    <w:rsid w:val="000C4C16"/>
    <w:rsid w:val="000C56FC"/>
    <w:rsid w:val="000C7907"/>
    <w:rsid w:val="000C7A11"/>
    <w:rsid w:val="000C7F5E"/>
    <w:rsid w:val="000D00AC"/>
    <w:rsid w:val="000D0AED"/>
    <w:rsid w:val="000D3602"/>
    <w:rsid w:val="000D4D89"/>
    <w:rsid w:val="000D6BBD"/>
    <w:rsid w:val="000D7751"/>
    <w:rsid w:val="000D7C23"/>
    <w:rsid w:val="000D7C36"/>
    <w:rsid w:val="000E0343"/>
    <w:rsid w:val="000E0A16"/>
    <w:rsid w:val="000E1384"/>
    <w:rsid w:val="000E1BFA"/>
    <w:rsid w:val="000E2142"/>
    <w:rsid w:val="000E21D0"/>
    <w:rsid w:val="000E276A"/>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44FE"/>
    <w:rsid w:val="00124F73"/>
    <w:rsid w:val="001255E6"/>
    <w:rsid w:val="0013053A"/>
    <w:rsid w:val="0013066A"/>
    <w:rsid w:val="001315EF"/>
    <w:rsid w:val="00131F39"/>
    <w:rsid w:val="00132375"/>
    <w:rsid w:val="00132E73"/>
    <w:rsid w:val="00133505"/>
    <w:rsid w:val="00134188"/>
    <w:rsid w:val="00134193"/>
    <w:rsid w:val="001347D8"/>
    <w:rsid w:val="00137403"/>
    <w:rsid w:val="00140706"/>
    <w:rsid w:val="0014122A"/>
    <w:rsid w:val="00141E85"/>
    <w:rsid w:val="0014319C"/>
    <w:rsid w:val="001436B3"/>
    <w:rsid w:val="00143976"/>
    <w:rsid w:val="00143DAC"/>
    <w:rsid w:val="00144622"/>
    <w:rsid w:val="001446E2"/>
    <w:rsid w:val="00144781"/>
    <w:rsid w:val="00144917"/>
    <w:rsid w:val="0014702D"/>
    <w:rsid w:val="00147596"/>
    <w:rsid w:val="00150160"/>
    <w:rsid w:val="00152718"/>
    <w:rsid w:val="001530CF"/>
    <w:rsid w:val="00153F12"/>
    <w:rsid w:val="001543DB"/>
    <w:rsid w:val="00155473"/>
    <w:rsid w:val="00155DC2"/>
    <w:rsid w:val="0015675F"/>
    <w:rsid w:val="00156D90"/>
    <w:rsid w:val="00156E9F"/>
    <w:rsid w:val="00157A57"/>
    <w:rsid w:val="00157DB6"/>
    <w:rsid w:val="00157EC2"/>
    <w:rsid w:val="00162A68"/>
    <w:rsid w:val="00162E08"/>
    <w:rsid w:val="001633F1"/>
    <w:rsid w:val="00164C15"/>
    <w:rsid w:val="0016531E"/>
    <w:rsid w:val="0016565C"/>
    <w:rsid w:val="00166314"/>
    <w:rsid w:val="00166746"/>
    <w:rsid w:val="00167590"/>
    <w:rsid w:val="00167918"/>
    <w:rsid w:val="00167C1E"/>
    <w:rsid w:val="0017043B"/>
    <w:rsid w:val="001706A1"/>
    <w:rsid w:val="00170914"/>
    <w:rsid w:val="00170DF2"/>
    <w:rsid w:val="0017371A"/>
    <w:rsid w:val="00174841"/>
    <w:rsid w:val="001761FD"/>
    <w:rsid w:val="00177D61"/>
    <w:rsid w:val="00180125"/>
    <w:rsid w:val="001808CA"/>
    <w:rsid w:val="00180923"/>
    <w:rsid w:val="00180CE5"/>
    <w:rsid w:val="00181BAA"/>
    <w:rsid w:val="00181D2D"/>
    <w:rsid w:val="0018210A"/>
    <w:rsid w:val="00182786"/>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4D4F"/>
    <w:rsid w:val="0019569A"/>
    <w:rsid w:val="00195962"/>
    <w:rsid w:val="00197533"/>
    <w:rsid w:val="001977E7"/>
    <w:rsid w:val="00197CCA"/>
    <w:rsid w:val="001A0D8A"/>
    <w:rsid w:val="001A192D"/>
    <w:rsid w:val="001A7C72"/>
    <w:rsid w:val="001B084B"/>
    <w:rsid w:val="001B0CEC"/>
    <w:rsid w:val="001B0FFC"/>
    <w:rsid w:val="001B1CF2"/>
    <w:rsid w:val="001B2171"/>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2FE"/>
    <w:rsid w:val="001D5564"/>
    <w:rsid w:val="001D6FAA"/>
    <w:rsid w:val="001D70FA"/>
    <w:rsid w:val="001D7BA9"/>
    <w:rsid w:val="001E039D"/>
    <w:rsid w:val="001E1094"/>
    <w:rsid w:val="001E1DC9"/>
    <w:rsid w:val="001E22E7"/>
    <w:rsid w:val="001E2714"/>
    <w:rsid w:val="001E398C"/>
    <w:rsid w:val="001E4456"/>
    <w:rsid w:val="001E4DDC"/>
    <w:rsid w:val="001E719F"/>
    <w:rsid w:val="001E774F"/>
    <w:rsid w:val="001E7C1D"/>
    <w:rsid w:val="001F073F"/>
    <w:rsid w:val="001F3009"/>
    <w:rsid w:val="001F3358"/>
    <w:rsid w:val="001F35CB"/>
    <w:rsid w:val="001F390F"/>
    <w:rsid w:val="001F5CD1"/>
    <w:rsid w:val="001F673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CDE"/>
    <w:rsid w:val="00211793"/>
    <w:rsid w:val="00211C11"/>
    <w:rsid w:val="00212345"/>
    <w:rsid w:val="002139EB"/>
    <w:rsid w:val="00214809"/>
    <w:rsid w:val="002149A1"/>
    <w:rsid w:val="00214D9B"/>
    <w:rsid w:val="00214E7A"/>
    <w:rsid w:val="00215BFE"/>
    <w:rsid w:val="00215C44"/>
    <w:rsid w:val="00216E73"/>
    <w:rsid w:val="0021774C"/>
    <w:rsid w:val="00217B80"/>
    <w:rsid w:val="00217FB6"/>
    <w:rsid w:val="00217FF6"/>
    <w:rsid w:val="0022195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156"/>
    <w:rsid w:val="00235511"/>
    <w:rsid w:val="002366E0"/>
    <w:rsid w:val="00236DE1"/>
    <w:rsid w:val="002372EE"/>
    <w:rsid w:val="002372FD"/>
    <w:rsid w:val="0023764D"/>
    <w:rsid w:val="002415BC"/>
    <w:rsid w:val="002428F4"/>
    <w:rsid w:val="002434B2"/>
    <w:rsid w:val="002442F4"/>
    <w:rsid w:val="002445EA"/>
    <w:rsid w:val="00244ECE"/>
    <w:rsid w:val="00244FC5"/>
    <w:rsid w:val="00245D1D"/>
    <w:rsid w:val="00247A45"/>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1FE5"/>
    <w:rsid w:val="002721FA"/>
    <w:rsid w:val="0027230C"/>
    <w:rsid w:val="00272B99"/>
    <w:rsid w:val="0027380D"/>
    <w:rsid w:val="0027468E"/>
    <w:rsid w:val="00274826"/>
    <w:rsid w:val="002749B5"/>
    <w:rsid w:val="00275005"/>
    <w:rsid w:val="002752AB"/>
    <w:rsid w:val="002756D6"/>
    <w:rsid w:val="0027573C"/>
    <w:rsid w:val="002815D0"/>
    <w:rsid w:val="002820A7"/>
    <w:rsid w:val="00283B82"/>
    <w:rsid w:val="00283E13"/>
    <w:rsid w:val="0028632A"/>
    <w:rsid w:val="00286478"/>
    <w:rsid w:val="00287EDD"/>
    <w:rsid w:val="00290952"/>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8C9"/>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236"/>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59B"/>
    <w:rsid w:val="002E5886"/>
    <w:rsid w:val="002E5AD3"/>
    <w:rsid w:val="002E635D"/>
    <w:rsid w:val="002E7562"/>
    <w:rsid w:val="002F071F"/>
    <w:rsid w:val="002F16D5"/>
    <w:rsid w:val="002F1A90"/>
    <w:rsid w:val="002F1C2F"/>
    <w:rsid w:val="002F3D1C"/>
    <w:rsid w:val="002F4EA1"/>
    <w:rsid w:val="002F52DE"/>
    <w:rsid w:val="002F55C1"/>
    <w:rsid w:val="002F62D7"/>
    <w:rsid w:val="002F797A"/>
    <w:rsid w:val="00300244"/>
    <w:rsid w:val="00300483"/>
    <w:rsid w:val="00300B97"/>
    <w:rsid w:val="00301C91"/>
    <w:rsid w:val="00301F43"/>
    <w:rsid w:val="00303F2B"/>
    <w:rsid w:val="00304607"/>
    <w:rsid w:val="0030467A"/>
    <w:rsid w:val="00304D4E"/>
    <w:rsid w:val="00304FFD"/>
    <w:rsid w:val="00305608"/>
    <w:rsid w:val="00305699"/>
    <w:rsid w:val="00305B72"/>
    <w:rsid w:val="0030610A"/>
    <w:rsid w:val="00306627"/>
    <w:rsid w:val="003069DD"/>
    <w:rsid w:val="00306CAB"/>
    <w:rsid w:val="0031089D"/>
    <w:rsid w:val="0031146F"/>
    <w:rsid w:val="00311795"/>
    <w:rsid w:val="003117B1"/>
    <w:rsid w:val="00311B70"/>
    <w:rsid w:val="00311CBE"/>
    <w:rsid w:val="00312280"/>
    <w:rsid w:val="00312CD0"/>
    <w:rsid w:val="0031449F"/>
    <w:rsid w:val="003145A5"/>
    <w:rsid w:val="003148B9"/>
    <w:rsid w:val="00314A2E"/>
    <w:rsid w:val="00315266"/>
    <w:rsid w:val="00316343"/>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D9C"/>
    <w:rsid w:val="00336411"/>
    <w:rsid w:val="0033678D"/>
    <w:rsid w:val="0033720D"/>
    <w:rsid w:val="003373E8"/>
    <w:rsid w:val="00337B9E"/>
    <w:rsid w:val="0034341D"/>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679FE"/>
    <w:rsid w:val="00372221"/>
    <w:rsid w:val="00372CF2"/>
    <w:rsid w:val="00374C7E"/>
    <w:rsid w:val="00377353"/>
    <w:rsid w:val="0037736B"/>
    <w:rsid w:val="00381F57"/>
    <w:rsid w:val="0038216E"/>
    <w:rsid w:val="003822E5"/>
    <w:rsid w:val="003830B8"/>
    <w:rsid w:val="00383262"/>
    <w:rsid w:val="003834EB"/>
    <w:rsid w:val="00383E9B"/>
    <w:rsid w:val="00387982"/>
    <w:rsid w:val="003A157A"/>
    <w:rsid w:val="003A1F2F"/>
    <w:rsid w:val="003A283F"/>
    <w:rsid w:val="003A2A16"/>
    <w:rsid w:val="003A2FDD"/>
    <w:rsid w:val="003A3C43"/>
    <w:rsid w:val="003A5CCC"/>
    <w:rsid w:val="003A61E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830"/>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7A94"/>
    <w:rsid w:val="003F1200"/>
    <w:rsid w:val="003F1421"/>
    <w:rsid w:val="003F1844"/>
    <w:rsid w:val="003F241E"/>
    <w:rsid w:val="003F28C0"/>
    <w:rsid w:val="003F43D8"/>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BF4"/>
    <w:rsid w:val="00416277"/>
    <w:rsid w:val="00416E24"/>
    <w:rsid w:val="0042063D"/>
    <w:rsid w:val="00422B23"/>
    <w:rsid w:val="00423A60"/>
    <w:rsid w:val="0042651C"/>
    <w:rsid w:val="00426E9B"/>
    <w:rsid w:val="00427D55"/>
    <w:rsid w:val="00431684"/>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65"/>
    <w:rsid w:val="00454EC3"/>
    <w:rsid w:val="0045530A"/>
    <w:rsid w:val="004554AE"/>
    <w:rsid w:val="004554C3"/>
    <w:rsid w:val="00455FB6"/>
    <w:rsid w:val="00456DB9"/>
    <w:rsid w:val="00457197"/>
    <w:rsid w:val="00457555"/>
    <w:rsid w:val="00457971"/>
    <w:rsid w:val="00457DD8"/>
    <w:rsid w:val="004603D0"/>
    <w:rsid w:val="004624AE"/>
    <w:rsid w:val="0046250E"/>
    <w:rsid w:val="00462E9C"/>
    <w:rsid w:val="00463B90"/>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9E9"/>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4F02"/>
    <w:rsid w:val="004955E7"/>
    <w:rsid w:val="0049589C"/>
    <w:rsid w:val="00495EF1"/>
    <w:rsid w:val="00496ED4"/>
    <w:rsid w:val="004975BF"/>
    <w:rsid w:val="00497D4A"/>
    <w:rsid w:val="004A0441"/>
    <w:rsid w:val="004A084C"/>
    <w:rsid w:val="004A15B3"/>
    <w:rsid w:val="004A1D01"/>
    <w:rsid w:val="004A2A54"/>
    <w:rsid w:val="004A2EF3"/>
    <w:rsid w:val="004A3B0D"/>
    <w:rsid w:val="004A4B06"/>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319"/>
    <w:rsid w:val="004D089A"/>
    <w:rsid w:val="004D3184"/>
    <w:rsid w:val="004D5030"/>
    <w:rsid w:val="004D6045"/>
    <w:rsid w:val="004D7546"/>
    <w:rsid w:val="004D7EC5"/>
    <w:rsid w:val="004E02B0"/>
    <w:rsid w:val="004E087D"/>
    <w:rsid w:val="004E0B29"/>
    <w:rsid w:val="004E0E11"/>
    <w:rsid w:val="004E0F08"/>
    <w:rsid w:val="004E1546"/>
    <w:rsid w:val="004E19DC"/>
    <w:rsid w:val="004E35E8"/>
    <w:rsid w:val="004E3F16"/>
    <w:rsid w:val="004E50F0"/>
    <w:rsid w:val="004E6A03"/>
    <w:rsid w:val="004F0070"/>
    <w:rsid w:val="004F0468"/>
    <w:rsid w:val="004F0C51"/>
    <w:rsid w:val="004F263C"/>
    <w:rsid w:val="004F2BB1"/>
    <w:rsid w:val="004F2E9D"/>
    <w:rsid w:val="004F2EC7"/>
    <w:rsid w:val="004F3CE8"/>
    <w:rsid w:val="004F6BFB"/>
    <w:rsid w:val="004F7E4A"/>
    <w:rsid w:val="0050147C"/>
    <w:rsid w:val="0050182B"/>
    <w:rsid w:val="00502579"/>
    <w:rsid w:val="005029AA"/>
    <w:rsid w:val="005029F7"/>
    <w:rsid w:val="00503D4C"/>
    <w:rsid w:val="00504C0C"/>
    <w:rsid w:val="00504E48"/>
    <w:rsid w:val="005070FF"/>
    <w:rsid w:val="00512BBC"/>
    <w:rsid w:val="005134FB"/>
    <w:rsid w:val="005135FD"/>
    <w:rsid w:val="0051366C"/>
    <w:rsid w:val="00514BDA"/>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D32"/>
    <w:rsid w:val="00547ECC"/>
    <w:rsid w:val="00551D5A"/>
    <w:rsid w:val="00551EC3"/>
    <w:rsid w:val="00554A44"/>
    <w:rsid w:val="00554C53"/>
    <w:rsid w:val="00554F18"/>
    <w:rsid w:val="00555220"/>
    <w:rsid w:val="005555F0"/>
    <w:rsid w:val="00555739"/>
    <w:rsid w:val="00555B98"/>
    <w:rsid w:val="00556E75"/>
    <w:rsid w:val="00556F2D"/>
    <w:rsid w:val="005571AF"/>
    <w:rsid w:val="0056069A"/>
    <w:rsid w:val="00560C3B"/>
    <w:rsid w:val="00561D3C"/>
    <w:rsid w:val="00561EA1"/>
    <w:rsid w:val="00562799"/>
    <w:rsid w:val="00564804"/>
    <w:rsid w:val="00565598"/>
    <w:rsid w:val="00565B5A"/>
    <w:rsid w:val="00566569"/>
    <w:rsid w:val="00567E8F"/>
    <w:rsid w:val="005702D6"/>
    <w:rsid w:val="00572588"/>
    <w:rsid w:val="00573A50"/>
    <w:rsid w:val="005746D2"/>
    <w:rsid w:val="00574E8A"/>
    <w:rsid w:val="005763CB"/>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578A"/>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B7F05"/>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3F3D"/>
    <w:rsid w:val="005D4E3E"/>
    <w:rsid w:val="005D67F7"/>
    <w:rsid w:val="005D7D7E"/>
    <w:rsid w:val="005E0B59"/>
    <w:rsid w:val="005E1105"/>
    <w:rsid w:val="005E162F"/>
    <w:rsid w:val="005E1CAA"/>
    <w:rsid w:val="005E2C60"/>
    <w:rsid w:val="005E31F6"/>
    <w:rsid w:val="005E3622"/>
    <w:rsid w:val="005E4F23"/>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49"/>
    <w:rsid w:val="006003E5"/>
    <w:rsid w:val="00600635"/>
    <w:rsid w:val="00600E63"/>
    <w:rsid w:val="00601027"/>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1D5F"/>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CA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37C"/>
    <w:rsid w:val="00647422"/>
    <w:rsid w:val="00647E6B"/>
    <w:rsid w:val="00650E84"/>
    <w:rsid w:val="0065198B"/>
    <w:rsid w:val="00651A5B"/>
    <w:rsid w:val="006525AF"/>
    <w:rsid w:val="0065266A"/>
    <w:rsid w:val="00653F9C"/>
    <w:rsid w:val="00655470"/>
    <w:rsid w:val="00656D6F"/>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0D30"/>
    <w:rsid w:val="006A1F1C"/>
    <w:rsid w:val="006A3836"/>
    <w:rsid w:val="006A3DD3"/>
    <w:rsid w:val="006A4625"/>
    <w:rsid w:val="006A47AE"/>
    <w:rsid w:val="006A5B5E"/>
    <w:rsid w:val="006A67CB"/>
    <w:rsid w:val="006B0368"/>
    <w:rsid w:val="006B0F51"/>
    <w:rsid w:val="006B0F6E"/>
    <w:rsid w:val="006B1D7B"/>
    <w:rsid w:val="006B27D4"/>
    <w:rsid w:val="006B2C9C"/>
    <w:rsid w:val="006B48EB"/>
    <w:rsid w:val="006B4C00"/>
    <w:rsid w:val="006B56FC"/>
    <w:rsid w:val="006B6DDA"/>
    <w:rsid w:val="006B73D9"/>
    <w:rsid w:val="006B7DF0"/>
    <w:rsid w:val="006B7E74"/>
    <w:rsid w:val="006C0D75"/>
    <w:rsid w:val="006C1AFF"/>
    <w:rsid w:val="006C1C48"/>
    <w:rsid w:val="006C3C1D"/>
    <w:rsid w:val="006C41FF"/>
    <w:rsid w:val="006C5145"/>
    <w:rsid w:val="006C65A8"/>
    <w:rsid w:val="006D05AD"/>
    <w:rsid w:val="006D0EC1"/>
    <w:rsid w:val="006D16F8"/>
    <w:rsid w:val="006D1813"/>
    <w:rsid w:val="006D24A9"/>
    <w:rsid w:val="006D2AF3"/>
    <w:rsid w:val="006D4D79"/>
    <w:rsid w:val="006D4E0A"/>
    <w:rsid w:val="006D4FBD"/>
    <w:rsid w:val="006D5879"/>
    <w:rsid w:val="006D5D5B"/>
    <w:rsid w:val="006D5D7F"/>
    <w:rsid w:val="006D63FD"/>
    <w:rsid w:val="006D65B4"/>
    <w:rsid w:val="006D754A"/>
    <w:rsid w:val="006D7B9C"/>
    <w:rsid w:val="006E04C6"/>
    <w:rsid w:val="006E0A65"/>
    <w:rsid w:val="006E14D7"/>
    <w:rsid w:val="006E1B01"/>
    <w:rsid w:val="006E3D16"/>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976"/>
    <w:rsid w:val="00704BAE"/>
    <w:rsid w:val="00705807"/>
    <w:rsid w:val="00705C74"/>
    <w:rsid w:val="00705C78"/>
    <w:rsid w:val="007060E1"/>
    <w:rsid w:val="007063BD"/>
    <w:rsid w:val="00706824"/>
    <w:rsid w:val="00706B85"/>
    <w:rsid w:val="007071FC"/>
    <w:rsid w:val="00707C84"/>
    <w:rsid w:val="00710A59"/>
    <w:rsid w:val="00710FDE"/>
    <w:rsid w:val="007116C7"/>
    <w:rsid w:val="00711C5A"/>
    <w:rsid w:val="00712B66"/>
    <w:rsid w:val="00713C31"/>
    <w:rsid w:val="0071428D"/>
    <w:rsid w:val="007144C9"/>
    <w:rsid w:val="007146E6"/>
    <w:rsid w:val="00715EDB"/>
    <w:rsid w:val="00716B3C"/>
    <w:rsid w:val="007170C2"/>
    <w:rsid w:val="00717EE4"/>
    <w:rsid w:val="00717F2D"/>
    <w:rsid w:val="00720453"/>
    <w:rsid w:val="00720853"/>
    <w:rsid w:val="00722129"/>
    <w:rsid w:val="00724173"/>
    <w:rsid w:val="00726730"/>
    <w:rsid w:val="00726E24"/>
    <w:rsid w:val="00730598"/>
    <w:rsid w:val="00731C24"/>
    <w:rsid w:val="0073257E"/>
    <w:rsid w:val="00732A32"/>
    <w:rsid w:val="00733066"/>
    <w:rsid w:val="00733469"/>
    <w:rsid w:val="00733539"/>
    <w:rsid w:val="00735557"/>
    <w:rsid w:val="00737108"/>
    <w:rsid w:val="007379CE"/>
    <w:rsid w:val="0074048C"/>
    <w:rsid w:val="007419A7"/>
    <w:rsid w:val="00741B21"/>
    <w:rsid w:val="00741DD8"/>
    <w:rsid w:val="00741E49"/>
    <w:rsid w:val="0074232D"/>
    <w:rsid w:val="0074250D"/>
    <w:rsid w:val="00742BB6"/>
    <w:rsid w:val="007445E2"/>
    <w:rsid w:val="00745496"/>
    <w:rsid w:val="00745535"/>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105D"/>
    <w:rsid w:val="00782F78"/>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2EC"/>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568"/>
    <w:rsid w:val="007B26E1"/>
    <w:rsid w:val="007B3045"/>
    <w:rsid w:val="007B4C0F"/>
    <w:rsid w:val="007B5E25"/>
    <w:rsid w:val="007B65B2"/>
    <w:rsid w:val="007B6E0E"/>
    <w:rsid w:val="007C27FB"/>
    <w:rsid w:val="007C2A36"/>
    <w:rsid w:val="007C2CBB"/>
    <w:rsid w:val="007C309C"/>
    <w:rsid w:val="007C344E"/>
    <w:rsid w:val="007C4209"/>
    <w:rsid w:val="007C5EB9"/>
    <w:rsid w:val="007C7449"/>
    <w:rsid w:val="007C7EA5"/>
    <w:rsid w:val="007D1A95"/>
    <w:rsid w:val="007D245E"/>
    <w:rsid w:val="007D3764"/>
    <w:rsid w:val="007D485A"/>
    <w:rsid w:val="007D54FF"/>
    <w:rsid w:val="007D57D4"/>
    <w:rsid w:val="007D6315"/>
    <w:rsid w:val="007D724A"/>
    <w:rsid w:val="007D75A3"/>
    <w:rsid w:val="007E12CA"/>
    <w:rsid w:val="007E16E2"/>
    <w:rsid w:val="007E19FE"/>
    <w:rsid w:val="007E1AAC"/>
    <w:rsid w:val="007E2FA8"/>
    <w:rsid w:val="007E3B9C"/>
    <w:rsid w:val="007E4353"/>
    <w:rsid w:val="007E4A2F"/>
    <w:rsid w:val="007E5C4A"/>
    <w:rsid w:val="007E6915"/>
    <w:rsid w:val="007E6C74"/>
    <w:rsid w:val="007E74CA"/>
    <w:rsid w:val="007E7AD3"/>
    <w:rsid w:val="007F0070"/>
    <w:rsid w:val="007F0441"/>
    <w:rsid w:val="007F0E99"/>
    <w:rsid w:val="007F20F1"/>
    <w:rsid w:val="007F4224"/>
    <w:rsid w:val="007F4DD2"/>
    <w:rsid w:val="007F4FB9"/>
    <w:rsid w:val="007F5D9C"/>
    <w:rsid w:val="007F69EA"/>
    <w:rsid w:val="007F7022"/>
    <w:rsid w:val="007F7690"/>
    <w:rsid w:val="007F7CD3"/>
    <w:rsid w:val="008011CC"/>
    <w:rsid w:val="00801404"/>
    <w:rsid w:val="008017AA"/>
    <w:rsid w:val="00801CBA"/>
    <w:rsid w:val="00801D92"/>
    <w:rsid w:val="00804BCF"/>
    <w:rsid w:val="00804FA4"/>
    <w:rsid w:val="00805275"/>
    <w:rsid w:val="00805950"/>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2EEE"/>
    <w:rsid w:val="00825043"/>
    <w:rsid w:val="00825267"/>
    <w:rsid w:val="00825343"/>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2A4"/>
    <w:rsid w:val="008370EE"/>
    <w:rsid w:val="0084093F"/>
    <w:rsid w:val="0084098A"/>
    <w:rsid w:val="00840D8B"/>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140"/>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DB1"/>
    <w:rsid w:val="008802F0"/>
    <w:rsid w:val="00880992"/>
    <w:rsid w:val="00881692"/>
    <w:rsid w:val="00882BC4"/>
    <w:rsid w:val="00883143"/>
    <w:rsid w:val="00884EC8"/>
    <w:rsid w:val="00886154"/>
    <w:rsid w:val="00887DDC"/>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206A"/>
    <w:rsid w:val="008A36C9"/>
    <w:rsid w:val="008A5510"/>
    <w:rsid w:val="008A5AF9"/>
    <w:rsid w:val="008B16DE"/>
    <w:rsid w:val="008B251F"/>
    <w:rsid w:val="008B2602"/>
    <w:rsid w:val="008B2727"/>
    <w:rsid w:val="008B316B"/>
    <w:rsid w:val="008B5059"/>
    <w:rsid w:val="008B5BF2"/>
    <w:rsid w:val="008B6934"/>
    <w:rsid w:val="008B6CF8"/>
    <w:rsid w:val="008B72F6"/>
    <w:rsid w:val="008C119E"/>
    <w:rsid w:val="008C1390"/>
    <w:rsid w:val="008C1B6F"/>
    <w:rsid w:val="008C1E24"/>
    <w:rsid w:val="008C296B"/>
    <w:rsid w:val="008C2A46"/>
    <w:rsid w:val="008C4278"/>
    <w:rsid w:val="008C520E"/>
    <w:rsid w:val="008C563B"/>
    <w:rsid w:val="008C567E"/>
    <w:rsid w:val="008C5DEE"/>
    <w:rsid w:val="008C6285"/>
    <w:rsid w:val="008C6D6F"/>
    <w:rsid w:val="008C7182"/>
    <w:rsid w:val="008C7268"/>
    <w:rsid w:val="008C7CA5"/>
    <w:rsid w:val="008C7D9D"/>
    <w:rsid w:val="008D0416"/>
    <w:rsid w:val="008D13C6"/>
    <w:rsid w:val="008D1B04"/>
    <w:rsid w:val="008D2C07"/>
    <w:rsid w:val="008D3235"/>
    <w:rsid w:val="008D33C8"/>
    <w:rsid w:val="008D3893"/>
    <w:rsid w:val="008D41A9"/>
    <w:rsid w:val="008D45CD"/>
    <w:rsid w:val="008D55F1"/>
    <w:rsid w:val="008D5CD7"/>
    <w:rsid w:val="008D718E"/>
    <w:rsid w:val="008E09C5"/>
    <w:rsid w:val="008E0AA7"/>
    <w:rsid w:val="008E2355"/>
    <w:rsid w:val="008E2DDC"/>
    <w:rsid w:val="008E3151"/>
    <w:rsid w:val="008E3386"/>
    <w:rsid w:val="008E5410"/>
    <w:rsid w:val="008E5A3F"/>
    <w:rsid w:val="008E7209"/>
    <w:rsid w:val="008E7448"/>
    <w:rsid w:val="008F11BB"/>
    <w:rsid w:val="008F16FF"/>
    <w:rsid w:val="008F182F"/>
    <w:rsid w:val="008F1D2E"/>
    <w:rsid w:val="008F1E95"/>
    <w:rsid w:val="008F2304"/>
    <w:rsid w:val="008F35CF"/>
    <w:rsid w:val="008F4DC2"/>
    <w:rsid w:val="008F57DD"/>
    <w:rsid w:val="008F5AEE"/>
    <w:rsid w:val="008F6EAA"/>
    <w:rsid w:val="008F7800"/>
    <w:rsid w:val="008F7BCA"/>
    <w:rsid w:val="00900F4D"/>
    <w:rsid w:val="00901380"/>
    <w:rsid w:val="0090167B"/>
    <w:rsid w:val="00902DEC"/>
    <w:rsid w:val="0090342E"/>
    <w:rsid w:val="00903D3A"/>
    <w:rsid w:val="009044B9"/>
    <w:rsid w:val="009047B1"/>
    <w:rsid w:val="00904C86"/>
    <w:rsid w:val="0090514E"/>
    <w:rsid w:val="0090680D"/>
    <w:rsid w:val="009079C0"/>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56B"/>
    <w:rsid w:val="009302D4"/>
    <w:rsid w:val="009307F2"/>
    <w:rsid w:val="00930CEC"/>
    <w:rsid w:val="00930F4A"/>
    <w:rsid w:val="0093375E"/>
    <w:rsid w:val="00933BEF"/>
    <w:rsid w:val="0093787E"/>
    <w:rsid w:val="009412CC"/>
    <w:rsid w:val="00941E46"/>
    <w:rsid w:val="0094388B"/>
    <w:rsid w:val="00943D09"/>
    <w:rsid w:val="00944826"/>
    <w:rsid w:val="009457A1"/>
    <w:rsid w:val="00947398"/>
    <w:rsid w:val="00947C5D"/>
    <w:rsid w:val="00947CA9"/>
    <w:rsid w:val="00950478"/>
    <w:rsid w:val="00950888"/>
    <w:rsid w:val="00950AF9"/>
    <w:rsid w:val="00950B5F"/>
    <w:rsid w:val="00950D35"/>
    <w:rsid w:val="0095144C"/>
    <w:rsid w:val="0095165B"/>
    <w:rsid w:val="00951B17"/>
    <w:rsid w:val="00951B8D"/>
    <w:rsid w:val="009536A8"/>
    <w:rsid w:val="00954596"/>
    <w:rsid w:val="009556F6"/>
    <w:rsid w:val="009557D4"/>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1945"/>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81E"/>
    <w:rsid w:val="00991DA1"/>
    <w:rsid w:val="009927F1"/>
    <w:rsid w:val="00992C8E"/>
    <w:rsid w:val="00993525"/>
    <w:rsid w:val="009936C4"/>
    <w:rsid w:val="009948ED"/>
    <w:rsid w:val="00995ADA"/>
    <w:rsid w:val="0099643A"/>
    <w:rsid w:val="00997959"/>
    <w:rsid w:val="009A0BAF"/>
    <w:rsid w:val="009A1431"/>
    <w:rsid w:val="009A153D"/>
    <w:rsid w:val="009A1634"/>
    <w:rsid w:val="009A2C56"/>
    <w:rsid w:val="009A3A34"/>
    <w:rsid w:val="009A3FE2"/>
    <w:rsid w:val="009A400C"/>
    <w:rsid w:val="009A4B2C"/>
    <w:rsid w:val="009A5592"/>
    <w:rsid w:val="009A5710"/>
    <w:rsid w:val="009A59BA"/>
    <w:rsid w:val="009A6417"/>
    <w:rsid w:val="009A6A54"/>
    <w:rsid w:val="009A7708"/>
    <w:rsid w:val="009B01DF"/>
    <w:rsid w:val="009B020D"/>
    <w:rsid w:val="009B072F"/>
    <w:rsid w:val="009B07A1"/>
    <w:rsid w:val="009B09CC"/>
    <w:rsid w:val="009B173B"/>
    <w:rsid w:val="009B1A1A"/>
    <w:rsid w:val="009B20BB"/>
    <w:rsid w:val="009B2608"/>
    <w:rsid w:val="009B2A71"/>
    <w:rsid w:val="009B390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2766"/>
    <w:rsid w:val="009F46C8"/>
    <w:rsid w:val="009F4F2A"/>
    <w:rsid w:val="009F660B"/>
    <w:rsid w:val="009F671E"/>
    <w:rsid w:val="009F7ED1"/>
    <w:rsid w:val="00A0149B"/>
    <w:rsid w:val="00A01607"/>
    <w:rsid w:val="00A018D4"/>
    <w:rsid w:val="00A02F9D"/>
    <w:rsid w:val="00A03767"/>
    <w:rsid w:val="00A04400"/>
    <w:rsid w:val="00A04834"/>
    <w:rsid w:val="00A05628"/>
    <w:rsid w:val="00A058D6"/>
    <w:rsid w:val="00A07DCF"/>
    <w:rsid w:val="00A1243A"/>
    <w:rsid w:val="00A12979"/>
    <w:rsid w:val="00A131A9"/>
    <w:rsid w:val="00A13BDC"/>
    <w:rsid w:val="00A1496E"/>
    <w:rsid w:val="00A14F84"/>
    <w:rsid w:val="00A16D6D"/>
    <w:rsid w:val="00A17C75"/>
    <w:rsid w:val="00A211C8"/>
    <w:rsid w:val="00A2121E"/>
    <w:rsid w:val="00A21B58"/>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E5B"/>
    <w:rsid w:val="00A32F32"/>
    <w:rsid w:val="00A3312E"/>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13D"/>
    <w:rsid w:val="00A63AC9"/>
    <w:rsid w:val="00A64502"/>
    <w:rsid w:val="00A64B5F"/>
    <w:rsid w:val="00A65EA0"/>
    <w:rsid w:val="00A65F5D"/>
    <w:rsid w:val="00A66517"/>
    <w:rsid w:val="00A67B0E"/>
    <w:rsid w:val="00A718EF"/>
    <w:rsid w:val="00A72134"/>
    <w:rsid w:val="00A726A8"/>
    <w:rsid w:val="00A72951"/>
    <w:rsid w:val="00A73410"/>
    <w:rsid w:val="00A73505"/>
    <w:rsid w:val="00A75E02"/>
    <w:rsid w:val="00A76E79"/>
    <w:rsid w:val="00A7771B"/>
    <w:rsid w:val="00A77B53"/>
    <w:rsid w:val="00A811F1"/>
    <w:rsid w:val="00A82887"/>
    <w:rsid w:val="00A83010"/>
    <w:rsid w:val="00A83BF5"/>
    <w:rsid w:val="00A84CD1"/>
    <w:rsid w:val="00A85A4E"/>
    <w:rsid w:val="00A85E2E"/>
    <w:rsid w:val="00A861F3"/>
    <w:rsid w:val="00A8728F"/>
    <w:rsid w:val="00A8756A"/>
    <w:rsid w:val="00A87F7D"/>
    <w:rsid w:val="00A906B7"/>
    <w:rsid w:val="00A9070E"/>
    <w:rsid w:val="00A91D68"/>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3C9"/>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405"/>
    <w:rsid w:val="00AD11DC"/>
    <w:rsid w:val="00AD1966"/>
    <w:rsid w:val="00AD1971"/>
    <w:rsid w:val="00AD19E8"/>
    <w:rsid w:val="00AD2B03"/>
    <w:rsid w:val="00AD2E07"/>
    <w:rsid w:val="00AD38A9"/>
    <w:rsid w:val="00AD3EF1"/>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9AA"/>
    <w:rsid w:val="00AF2EC7"/>
    <w:rsid w:val="00AF3AC0"/>
    <w:rsid w:val="00AF4F4A"/>
    <w:rsid w:val="00B00C24"/>
    <w:rsid w:val="00B00F93"/>
    <w:rsid w:val="00B01BBE"/>
    <w:rsid w:val="00B03F92"/>
    <w:rsid w:val="00B055D8"/>
    <w:rsid w:val="00B06CD6"/>
    <w:rsid w:val="00B06EBC"/>
    <w:rsid w:val="00B06F6D"/>
    <w:rsid w:val="00B11D2D"/>
    <w:rsid w:val="00B1225F"/>
    <w:rsid w:val="00B123F0"/>
    <w:rsid w:val="00B12891"/>
    <w:rsid w:val="00B128E9"/>
    <w:rsid w:val="00B13929"/>
    <w:rsid w:val="00B146C1"/>
    <w:rsid w:val="00B146E7"/>
    <w:rsid w:val="00B156DF"/>
    <w:rsid w:val="00B15ABB"/>
    <w:rsid w:val="00B16973"/>
    <w:rsid w:val="00B2036A"/>
    <w:rsid w:val="00B203AC"/>
    <w:rsid w:val="00B21057"/>
    <w:rsid w:val="00B2202B"/>
    <w:rsid w:val="00B22037"/>
    <w:rsid w:val="00B23422"/>
    <w:rsid w:val="00B24948"/>
    <w:rsid w:val="00B24CBD"/>
    <w:rsid w:val="00B25CA3"/>
    <w:rsid w:val="00B26025"/>
    <w:rsid w:val="00B30028"/>
    <w:rsid w:val="00B31E8D"/>
    <w:rsid w:val="00B3313B"/>
    <w:rsid w:val="00B331E8"/>
    <w:rsid w:val="00B331EA"/>
    <w:rsid w:val="00B34732"/>
    <w:rsid w:val="00B353B8"/>
    <w:rsid w:val="00B35C56"/>
    <w:rsid w:val="00B3632E"/>
    <w:rsid w:val="00B36F17"/>
    <w:rsid w:val="00B372ED"/>
    <w:rsid w:val="00B37721"/>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59B0"/>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BDD"/>
    <w:rsid w:val="00BB0D10"/>
    <w:rsid w:val="00BB0F31"/>
    <w:rsid w:val="00BB15AB"/>
    <w:rsid w:val="00BB16ED"/>
    <w:rsid w:val="00BB189B"/>
    <w:rsid w:val="00BB1D21"/>
    <w:rsid w:val="00BB2E51"/>
    <w:rsid w:val="00BB4A15"/>
    <w:rsid w:val="00BB4BEA"/>
    <w:rsid w:val="00BB4C1A"/>
    <w:rsid w:val="00BB50AB"/>
    <w:rsid w:val="00BB6664"/>
    <w:rsid w:val="00BB6E89"/>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2BC"/>
    <w:rsid w:val="00BE4326"/>
    <w:rsid w:val="00BE5F4F"/>
    <w:rsid w:val="00BE60DB"/>
    <w:rsid w:val="00BF0191"/>
    <w:rsid w:val="00BF13EC"/>
    <w:rsid w:val="00BF1C07"/>
    <w:rsid w:val="00BF3DEE"/>
    <w:rsid w:val="00BF475D"/>
    <w:rsid w:val="00BF54AC"/>
    <w:rsid w:val="00BF54BD"/>
    <w:rsid w:val="00BF6355"/>
    <w:rsid w:val="00BF6B8E"/>
    <w:rsid w:val="00BF7338"/>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A29"/>
    <w:rsid w:val="00C16BE0"/>
    <w:rsid w:val="00C21C39"/>
    <w:rsid w:val="00C2325C"/>
    <w:rsid w:val="00C239ED"/>
    <w:rsid w:val="00C24D9D"/>
    <w:rsid w:val="00C25CF3"/>
    <w:rsid w:val="00C263E9"/>
    <w:rsid w:val="00C2775A"/>
    <w:rsid w:val="00C3063A"/>
    <w:rsid w:val="00C30BAD"/>
    <w:rsid w:val="00C31E8F"/>
    <w:rsid w:val="00C335DA"/>
    <w:rsid w:val="00C33D3E"/>
    <w:rsid w:val="00C34832"/>
    <w:rsid w:val="00C34AA5"/>
    <w:rsid w:val="00C362E0"/>
    <w:rsid w:val="00C36ED4"/>
    <w:rsid w:val="00C376CC"/>
    <w:rsid w:val="00C400F7"/>
    <w:rsid w:val="00C40EC6"/>
    <w:rsid w:val="00C419AD"/>
    <w:rsid w:val="00C41B5F"/>
    <w:rsid w:val="00C437BA"/>
    <w:rsid w:val="00C44395"/>
    <w:rsid w:val="00C443B3"/>
    <w:rsid w:val="00C45475"/>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CBE"/>
    <w:rsid w:val="00C73E2E"/>
    <w:rsid w:val="00C74546"/>
    <w:rsid w:val="00C748E2"/>
    <w:rsid w:val="00C749CB"/>
    <w:rsid w:val="00C75241"/>
    <w:rsid w:val="00C7776C"/>
    <w:rsid w:val="00C8398D"/>
    <w:rsid w:val="00C84BC2"/>
    <w:rsid w:val="00C85139"/>
    <w:rsid w:val="00C85657"/>
    <w:rsid w:val="00C86BF0"/>
    <w:rsid w:val="00C91C88"/>
    <w:rsid w:val="00C939C3"/>
    <w:rsid w:val="00C94228"/>
    <w:rsid w:val="00C94A56"/>
    <w:rsid w:val="00C96D56"/>
    <w:rsid w:val="00C977E6"/>
    <w:rsid w:val="00CA0020"/>
    <w:rsid w:val="00CA0B2E"/>
    <w:rsid w:val="00CA18CA"/>
    <w:rsid w:val="00CA2557"/>
    <w:rsid w:val="00CA3289"/>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47A"/>
    <w:rsid w:val="00CD3BAC"/>
    <w:rsid w:val="00CD3FF2"/>
    <w:rsid w:val="00CD4A65"/>
    <w:rsid w:val="00CD531F"/>
    <w:rsid w:val="00CD6FA3"/>
    <w:rsid w:val="00CE2184"/>
    <w:rsid w:val="00CE3B7F"/>
    <w:rsid w:val="00CE3D13"/>
    <w:rsid w:val="00CE3FA2"/>
    <w:rsid w:val="00CE41A0"/>
    <w:rsid w:val="00CE4958"/>
    <w:rsid w:val="00CE54A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0A5D"/>
    <w:rsid w:val="00D1158C"/>
    <w:rsid w:val="00D11600"/>
    <w:rsid w:val="00D119A2"/>
    <w:rsid w:val="00D12E31"/>
    <w:rsid w:val="00D137F9"/>
    <w:rsid w:val="00D1458C"/>
    <w:rsid w:val="00D1620E"/>
    <w:rsid w:val="00D16867"/>
    <w:rsid w:val="00D16EEC"/>
    <w:rsid w:val="00D1796E"/>
    <w:rsid w:val="00D2047A"/>
    <w:rsid w:val="00D20631"/>
    <w:rsid w:val="00D207FC"/>
    <w:rsid w:val="00D2260B"/>
    <w:rsid w:val="00D22D49"/>
    <w:rsid w:val="00D23930"/>
    <w:rsid w:val="00D23A23"/>
    <w:rsid w:val="00D246E6"/>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2FCE"/>
    <w:rsid w:val="00D534C2"/>
    <w:rsid w:val="00D5410F"/>
    <w:rsid w:val="00D5508C"/>
    <w:rsid w:val="00D564DF"/>
    <w:rsid w:val="00D576DD"/>
    <w:rsid w:val="00D57CB4"/>
    <w:rsid w:val="00D57D51"/>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0413"/>
    <w:rsid w:val="00D8186A"/>
    <w:rsid w:val="00D81CA9"/>
    <w:rsid w:val="00D839D8"/>
    <w:rsid w:val="00D83F9E"/>
    <w:rsid w:val="00D840C2"/>
    <w:rsid w:val="00D84144"/>
    <w:rsid w:val="00D84562"/>
    <w:rsid w:val="00D85C16"/>
    <w:rsid w:val="00D86169"/>
    <w:rsid w:val="00D864C1"/>
    <w:rsid w:val="00D8732E"/>
    <w:rsid w:val="00D91294"/>
    <w:rsid w:val="00D9186A"/>
    <w:rsid w:val="00D92D47"/>
    <w:rsid w:val="00D94213"/>
    <w:rsid w:val="00D944F4"/>
    <w:rsid w:val="00D94BEB"/>
    <w:rsid w:val="00D94EA5"/>
    <w:rsid w:val="00D955A8"/>
    <w:rsid w:val="00D95744"/>
    <w:rsid w:val="00D9590D"/>
    <w:rsid w:val="00D95F32"/>
    <w:rsid w:val="00D96061"/>
    <w:rsid w:val="00DA024A"/>
    <w:rsid w:val="00DA07EE"/>
    <w:rsid w:val="00DA0A58"/>
    <w:rsid w:val="00DA1BDE"/>
    <w:rsid w:val="00DA1C85"/>
    <w:rsid w:val="00DA1CC9"/>
    <w:rsid w:val="00DA2E58"/>
    <w:rsid w:val="00DA328E"/>
    <w:rsid w:val="00DA3AA6"/>
    <w:rsid w:val="00DA46C1"/>
    <w:rsid w:val="00DA5FD5"/>
    <w:rsid w:val="00DA70DD"/>
    <w:rsid w:val="00DB088F"/>
    <w:rsid w:val="00DB0B4A"/>
    <w:rsid w:val="00DB1487"/>
    <w:rsid w:val="00DB19B4"/>
    <w:rsid w:val="00DB19F1"/>
    <w:rsid w:val="00DB26AE"/>
    <w:rsid w:val="00DB4411"/>
    <w:rsid w:val="00DB466D"/>
    <w:rsid w:val="00DB5FD0"/>
    <w:rsid w:val="00DB6165"/>
    <w:rsid w:val="00DB7395"/>
    <w:rsid w:val="00DB75C2"/>
    <w:rsid w:val="00DB7E2C"/>
    <w:rsid w:val="00DC027B"/>
    <w:rsid w:val="00DC0882"/>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983"/>
    <w:rsid w:val="00DD3A7E"/>
    <w:rsid w:val="00DD434E"/>
    <w:rsid w:val="00DD4402"/>
    <w:rsid w:val="00DD60D0"/>
    <w:rsid w:val="00DD6200"/>
    <w:rsid w:val="00DD686C"/>
    <w:rsid w:val="00DD6E86"/>
    <w:rsid w:val="00DE0E5D"/>
    <w:rsid w:val="00DE447F"/>
    <w:rsid w:val="00DE48F0"/>
    <w:rsid w:val="00DE4A77"/>
    <w:rsid w:val="00DE68EE"/>
    <w:rsid w:val="00DE6B97"/>
    <w:rsid w:val="00DE6D24"/>
    <w:rsid w:val="00DE7285"/>
    <w:rsid w:val="00DE7C40"/>
    <w:rsid w:val="00DF0EA5"/>
    <w:rsid w:val="00DF10C8"/>
    <w:rsid w:val="00DF1F1D"/>
    <w:rsid w:val="00DF23A5"/>
    <w:rsid w:val="00DF4C6E"/>
    <w:rsid w:val="00DF6666"/>
    <w:rsid w:val="00DF745E"/>
    <w:rsid w:val="00DF762E"/>
    <w:rsid w:val="00DF7AB8"/>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152"/>
    <w:rsid w:val="00E15A0D"/>
    <w:rsid w:val="00E15B17"/>
    <w:rsid w:val="00E16640"/>
    <w:rsid w:val="00E1740F"/>
    <w:rsid w:val="00E200CF"/>
    <w:rsid w:val="00E24287"/>
    <w:rsid w:val="00E307B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AC4"/>
    <w:rsid w:val="00E46CB7"/>
    <w:rsid w:val="00E4723D"/>
    <w:rsid w:val="00E4795D"/>
    <w:rsid w:val="00E5077C"/>
    <w:rsid w:val="00E50EC8"/>
    <w:rsid w:val="00E5159B"/>
    <w:rsid w:val="00E515C6"/>
    <w:rsid w:val="00E52E0D"/>
    <w:rsid w:val="00E52FE2"/>
    <w:rsid w:val="00E54629"/>
    <w:rsid w:val="00E54715"/>
    <w:rsid w:val="00E54D6B"/>
    <w:rsid w:val="00E54E6F"/>
    <w:rsid w:val="00E55338"/>
    <w:rsid w:val="00E55379"/>
    <w:rsid w:val="00E569AF"/>
    <w:rsid w:val="00E5774E"/>
    <w:rsid w:val="00E57EEB"/>
    <w:rsid w:val="00E60318"/>
    <w:rsid w:val="00E60BA8"/>
    <w:rsid w:val="00E61E25"/>
    <w:rsid w:val="00E61E28"/>
    <w:rsid w:val="00E62315"/>
    <w:rsid w:val="00E628E4"/>
    <w:rsid w:val="00E63FFF"/>
    <w:rsid w:val="00E64626"/>
    <w:rsid w:val="00E647F7"/>
    <w:rsid w:val="00E65FF5"/>
    <w:rsid w:val="00E66857"/>
    <w:rsid w:val="00E67556"/>
    <w:rsid w:val="00E7252F"/>
    <w:rsid w:val="00E7290C"/>
    <w:rsid w:val="00E72EAA"/>
    <w:rsid w:val="00E73FC2"/>
    <w:rsid w:val="00E74481"/>
    <w:rsid w:val="00E74517"/>
    <w:rsid w:val="00E755D7"/>
    <w:rsid w:val="00E7566D"/>
    <w:rsid w:val="00E75E2A"/>
    <w:rsid w:val="00E76E91"/>
    <w:rsid w:val="00E774B4"/>
    <w:rsid w:val="00E778F5"/>
    <w:rsid w:val="00E80E7C"/>
    <w:rsid w:val="00E81779"/>
    <w:rsid w:val="00E8205B"/>
    <w:rsid w:val="00E82444"/>
    <w:rsid w:val="00E8341C"/>
    <w:rsid w:val="00E8602B"/>
    <w:rsid w:val="00E8661A"/>
    <w:rsid w:val="00E86B5F"/>
    <w:rsid w:val="00E87D05"/>
    <w:rsid w:val="00E91F96"/>
    <w:rsid w:val="00E92E99"/>
    <w:rsid w:val="00E968FD"/>
    <w:rsid w:val="00E96D55"/>
    <w:rsid w:val="00E97993"/>
    <w:rsid w:val="00EA0D5D"/>
    <w:rsid w:val="00EA1192"/>
    <w:rsid w:val="00EA153F"/>
    <w:rsid w:val="00EA2788"/>
    <w:rsid w:val="00EA2C6E"/>
    <w:rsid w:val="00EA32C0"/>
    <w:rsid w:val="00EA3743"/>
    <w:rsid w:val="00EA4964"/>
    <w:rsid w:val="00EA4F1A"/>
    <w:rsid w:val="00EB02DE"/>
    <w:rsid w:val="00EB0A07"/>
    <w:rsid w:val="00EB1B69"/>
    <w:rsid w:val="00EB1C78"/>
    <w:rsid w:val="00EB38FF"/>
    <w:rsid w:val="00EB3B46"/>
    <w:rsid w:val="00EB453D"/>
    <w:rsid w:val="00EB4F08"/>
    <w:rsid w:val="00EC2C42"/>
    <w:rsid w:val="00EC2E07"/>
    <w:rsid w:val="00EC43C7"/>
    <w:rsid w:val="00EC465D"/>
    <w:rsid w:val="00EC5C89"/>
    <w:rsid w:val="00EC66D2"/>
    <w:rsid w:val="00EC67E7"/>
    <w:rsid w:val="00ED0A1B"/>
    <w:rsid w:val="00ED21BC"/>
    <w:rsid w:val="00ED2FE0"/>
    <w:rsid w:val="00ED2FEC"/>
    <w:rsid w:val="00ED3F67"/>
    <w:rsid w:val="00ED440A"/>
    <w:rsid w:val="00ED7971"/>
    <w:rsid w:val="00EE0339"/>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2F59"/>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21F"/>
    <w:rsid w:val="00F50969"/>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97CA9"/>
    <w:rsid w:val="00FA0890"/>
    <w:rsid w:val="00FA164A"/>
    <w:rsid w:val="00FA262E"/>
    <w:rsid w:val="00FA3F3E"/>
    <w:rsid w:val="00FA4272"/>
    <w:rsid w:val="00FA4855"/>
    <w:rsid w:val="00FA4ACD"/>
    <w:rsid w:val="00FA5A05"/>
    <w:rsid w:val="00FA6428"/>
    <w:rsid w:val="00FA7144"/>
    <w:rsid w:val="00FA7184"/>
    <w:rsid w:val="00FB0FEA"/>
    <w:rsid w:val="00FB1D9D"/>
    <w:rsid w:val="00FB3304"/>
    <w:rsid w:val="00FB37D8"/>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42"/>
    <w:rsid w:val="00FD1062"/>
    <w:rsid w:val="00FD2589"/>
    <w:rsid w:val="00FD4876"/>
    <w:rsid w:val="00FD52A3"/>
    <w:rsid w:val="00FD5B07"/>
    <w:rsid w:val="00FD68D4"/>
    <w:rsid w:val="00FE00D9"/>
    <w:rsid w:val="00FE101A"/>
    <w:rsid w:val="00FE1186"/>
    <w:rsid w:val="00FE177A"/>
    <w:rsid w:val="00FE240A"/>
    <w:rsid w:val="00FE3E3C"/>
    <w:rsid w:val="00FE43E7"/>
    <w:rsid w:val="00FE4B66"/>
    <w:rsid w:val="00FE4F6E"/>
    <w:rsid w:val="00FE583F"/>
    <w:rsid w:val="00FE5CC4"/>
    <w:rsid w:val="00FE6B13"/>
    <w:rsid w:val="00FE6C51"/>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45646"/>
  <w15:docId w15:val="{FBE405B5-6E7E-49F6-B4BC-FC18188A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next w:val="Normal"/>
    <w:link w:val="SubtitleChar"/>
    <w:qFormat/>
    <w:locked/>
    <w:rsid w:val="00621D5F"/>
    <w:pPr>
      <w:spacing w:after="60"/>
      <w:jc w:val="center"/>
      <w:outlineLvl w:val="1"/>
    </w:pPr>
    <w:rPr>
      <w:rFonts w:ascii="Cambria" w:hAnsi="Cambria"/>
    </w:rPr>
  </w:style>
  <w:style w:type="character" w:customStyle="1" w:styleId="SubtitleChar">
    <w:name w:val="Subtitle Char"/>
    <w:link w:val="Subtitle"/>
    <w:rsid w:val="00621D5F"/>
    <w:rPr>
      <w:rFonts w:ascii="Cambria" w:hAnsi="Cambria"/>
      <w:sz w:val="24"/>
      <w:szCs w:val="24"/>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7F7CD3"/>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7F7CD3"/>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semiHidden/>
    <w:unhideWhenUsed/>
    <w:rsid w:val="007F7CD3"/>
    <w:rPr>
      <w:vertAlign w:val="superscript"/>
    </w:rPr>
  </w:style>
  <w:style w:type="paragraph" w:customStyle="1" w:styleId="CharCharCharChar">
    <w:name w:val="Char Char Char Char"/>
    <w:aliases w:val="Char2"/>
    <w:basedOn w:val="Normal"/>
    <w:next w:val="Normal"/>
    <w:link w:val="FootnoteReference"/>
    <w:uiPriority w:val="99"/>
    <w:semiHidden/>
    <w:rsid w:val="007F7CD3"/>
    <w:pPr>
      <w:keepNext/>
      <w:keepLines/>
      <w:spacing w:before="120" w:after="160" w:line="240" w:lineRule="exact"/>
      <w:jc w:val="both"/>
      <w:outlineLvl w:val="0"/>
    </w:pPr>
    <w:rPr>
      <w:sz w:val="20"/>
      <w:szCs w:val="20"/>
      <w:vertAlign w:val="superscript"/>
    </w:rPr>
  </w:style>
  <w:style w:type="paragraph" w:customStyle="1" w:styleId="xmsonormal">
    <w:name w:val="x_msonormal"/>
    <w:basedOn w:val="Normal"/>
    <w:rsid w:val="00E46A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69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507694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2902021">
      <w:bodyDiv w:val="1"/>
      <w:marLeft w:val="0"/>
      <w:marRight w:val="0"/>
      <w:marTop w:val="0"/>
      <w:marBottom w:val="0"/>
      <w:divBdr>
        <w:top w:val="none" w:sz="0" w:space="0" w:color="auto"/>
        <w:left w:val="none" w:sz="0" w:space="0" w:color="auto"/>
        <w:bottom w:val="none" w:sz="0" w:space="0" w:color="auto"/>
        <w:right w:val="none" w:sz="0" w:space="0" w:color="auto"/>
      </w:divBdr>
    </w:div>
    <w:div w:id="955411357">
      <w:bodyDiv w:val="1"/>
      <w:marLeft w:val="0"/>
      <w:marRight w:val="0"/>
      <w:marTop w:val="0"/>
      <w:marBottom w:val="0"/>
      <w:divBdr>
        <w:top w:val="none" w:sz="0" w:space="0" w:color="auto"/>
        <w:left w:val="none" w:sz="0" w:space="0" w:color="auto"/>
        <w:bottom w:val="none" w:sz="0" w:space="0" w:color="auto"/>
        <w:right w:val="none" w:sz="0" w:space="0" w:color="auto"/>
      </w:divBdr>
    </w:div>
    <w:div w:id="10560092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79408867">
      <w:bodyDiv w:val="1"/>
      <w:marLeft w:val="0"/>
      <w:marRight w:val="0"/>
      <w:marTop w:val="0"/>
      <w:marBottom w:val="0"/>
      <w:divBdr>
        <w:top w:val="none" w:sz="0" w:space="0" w:color="auto"/>
        <w:left w:val="none" w:sz="0" w:space="0" w:color="auto"/>
        <w:bottom w:val="none" w:sz="0" w:space="0" w:color="auto"/>
        <w:right w:val="none" w:sz="0" w:space="0" w:color="auto"/>
      </w:divBdr>
    </w:div>
    <w:div w:id="20704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9CFB-6DB5-41F7-B842-A3D5E6C01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6ACD2-8932-4BB3-A680-3DEF667DF0C9}">
  <ds:schemaRefs>
    <ds:schemaRef ds:uri="http://purl.org/dc/terms/"/>
    <ds:schemaRef ds:uri="ace8e44c-fa88-44c0-8590-dfda63664a63"/>
    <ds:schemaRef ds:uri="122e0e09-afb4-4bf9-abab-ecc4519bc6eb"/>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25F958D-135E-492F-BDCC-3F033FFF9108}">
  <ds:schemaRefs>
    <ds:schemaRef ds:uri="http://schemas.microsoft.com/sharepoint/v3/contenttype/forms"/>
  </ds:schemaRefs>
</ds:datastoreItem>
</file>

<file path=customXml/itemProps4.xml><?xml version="1.0" encoding="utf-8"?>
<ds:datastoreItem xmlns:ds="http://schemas.openxmlformats.org/officeDocument/2006/customXml" ds:itemID="{5D5EA2FF-4554-4722-A96D-05DD7936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15367</Words>
  <Characters>8760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"Noteikumi par plānošanas reģionu teritorijām"</vt:lpstr>
    </vt:vector>
  </TitlesOfParts>
  <Company>VARAM</Company>
  <LinksUpToDate>false</LinksUpToDate>
  <CharactersWithSpaces>24079</CharactersWithSpaces>
  <SharedDoc>false</SharedDoc>
  <HLinks>
    <vt:vector size="12" baseType="variant">
      <vt:variant>
        <vt:i4>6422566</vt:i4>
      </vt:variant>
      <vt:variant>
        <vt:i4>3</vt:i4>
      </vt:variant>
      <vt:variant>
        <vt:i4>0</vt:i4>
      </vt:variant>
      <vt:variant>
        <vt:i4>5</vt:i4>
      </vt:variant>
      <vt:variant>
        <vt:lpwstr>https://likumi.lv/doc.php?id=226537</vt:lpwstr>
      </vt:variant>
      <vt:variant>
        <vt:lpwstr/>
      </vt:variant>
      <vt:variant>
        <vt:i4>1048577</vt:i4>
      </vt:variant>
      <vt:variant>
        <vt:i4>0</vt:i4>
      </vt:variant>
      <vt:variant>
        <vt:i4>0</vt:i4>
      </vt:variant>
      <vt:variant>
        <vt:i4>5</vt:i4>
      </vt:variant>
      <vt:variant>
        <vt:lpwstr>https://likumi.lv/ta/id/49641-iedzivotaju-registra-likums</vt:lpwstr>
      </vt:variant>
      <vt:variant>
        <vt:lpwstr>p-644272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plānošanas reģionu teritorijām"</dc:title>
  <dc:subject>Izziņa</dc:subject>
  <dc:creator>Dāvis Melnalksnis</dc:creator>
  <cp:keywords/>
  <dc:description>66016768, davis.melnalksnis@varam.gov.lv</dc:description>
  <cp:lastModifiedBy>Marta Ošleja</cp:lastModifiedBy>
  <cp:revision>8</cp:revision>
  <cp:lastPrinted>2009-04-08T08:39:00Z</cp:lastPrinted>
  <dcterms:created xsi:type="dcterms:W3CDTF">2021-05-13T06:53:00Z</dcterms:created>
  <dcterms:modified xsi:type="dcterms:W3CDTF">2021-05-13T13:23:00Z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