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75598886" w:rsidR="000E4698" w:rsidRPr="00475925" w:rsidRDefault="003148AF" w:rsidP="00496EE3">
            <w:pPr>
              <w:ind w:left="223"/>
              <w:jc w:val="center"/>
              <w:rPr>
                <w:color w:val="000000"/>
              </w:rPr>
            </w:pPr>
            <w:r w:rsidRPr="003148AF">
              <w:rPr>
                <w:color w:val="000000"/>
              </w:rPr>
              <w:t xml:space="preserve">Ministru kabineta rīkojuma projekta </w:t>
            </w:r>
            <w:r w:rsidR="00380E25">
              <w:rPr>
                <w:color w:val="000000"/>
              </w:rPr>
              <w:t>“</w:t>
            </w:r>
            <w:r w:rsidR="00496EE3" w:rsidRPr="00496EE3">
              <w:rPr>
                <w:color w:val="000000"/>
              </w:rPr>
              <w:t>Par valstij piekrītošo nekustamo īpašumu nodošanu Limbažu novada pašvaldības īpašumā</w:t>
            </w:r>
            <w:r w:rsidRPr="003148AF">
              <w:rPr>
                <w:color w:val="000000"/>
              </w:rPr>
              <w:t>”</w:t>
            </w:r>
            <w:r w:rsidR="00526450">
              <w:rPr>
                <w:color w:val="000000"/>
              </w:rPr>
              <w:t xml:space="preserve"> VSS-</w:t>
            </w:r>
            <w:r w:rsidR="00423838">
              <w:rPr>
                <w:color w:val="000000"/>
              </w:rPr>
              <w:t>2</w:t>
            </w:r>
            <w:r w:rsidR="00496EE3">
              <w:rPr>
                <w:color w:val="000000"/>
              </w:rPr>
              <w:t>27</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56002C8E" w:rsidR="000E4698" w:rsidRPr="00475925" w:rsidRDefault="00423838" w:rsidP="00496EE3">
            <w:pPr>
              <w:pStyle w:val="NormalWeb"/>
              <w:spacing w:before="0" w:beforeAutospacing="0" w:after="0" w:afterAutospacing="0"/>
              <w:jc w:val="both"/>
              <w:rPr>
                <w:color w:val="000000"/>
              </w:rPr>
            </w:pPr>
            <w:r>
              <w:rPr>
                <w:color w:val="000000" w:themeColor="text1"/>
              </w:rPr>
              <w:t>1</w:t>
            </w:r>
            <w:r w:rsidR="00496EE3">
              <w:rPr>
                <w:color w:val="000000" w:themeColor="text1"/>
              </w:rPr>
              <w:t>8</w:t>
            </w:r>
            <w:r>
              <w:rPr>
                <w:color w:val="000000" w:themeColor="text1"/>
              </w:rPr>
              <w:t>.03</w:t>
            </w:r>
            <w:r w:rsidR="00526450">
              <w:rPr>
                <w:color w:val="000000" w:themeColor="text1"/>
              </w:rPr>
              <w:t>.2021</w:t>
            </w:r>
            <w:r w:rsidR="003148AF">
              <w:rPr>
                <w:color w:val="000000" w:themeColor="text1"/>
              </w:rPr>
              <w:t>., VSS-</w:t>
            </w:r>
            <w:r>
              <w:rPr>
                <w:color w:val="000000" w:themeColor="text1"/>
              </w:rPr>
              <w:t>2</w:t>
            </w:r>
            <w:r w:rsidR="00496EE3">
              <w:rPr>
                <w:color w:val="000000" w:themeColor="text1"/>
              </w:rPr>
              <w:t>27</w:t>
            </w:r>
            <w:r w:rsidR="0008374E">
              <w:rPr>
                <w:color w:val="000000" w:themeColor="text1"/>
              </w:rPr>
              <w:t>; 30.04.2021.</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03A473D4" w:rsidR="000E4698" w:rsidRPr="00475925" w:rsidRDefault="00526450" w:rsidP="0086484E">
            <w:pPr>
              <w:pStyle w:val="naiskr"/>
              <w:spacing w:before="0" w:after="0"/>
              <w:ind w:left="-108"/>
              <w:jc w:val="both"/>
              <w:rPr>
                <w:color w:val="000000"/>
              </w:rPr>
            </w:pPr>
            <w:r>
              <w:rPr>
                <w:color w:val="000000" w:themeColor="text1"/>
              </w:rPr>
              <w:t>Tieslietu</w:t>
            </w:r>
            <w:r w:rsidR="0086484E">
              <w:rPr>
                <w:color w:val="000000" w:themeColor="text1"/>
              </w:rPr>
              <w:t xml:space="preserve"> ministrija</w:t>
            </w:r>
            <w:r w:rsidR="0008374E">
              <w:rPr>
                <w:color w:val="000000" w:themeColor="text1"/>
              </w:rPr>
              <w:t>s</w:t>
            </w:r>
            <w:r w:rsidR="00423838">
              <w:rPr>
                <w:color w:val="000000" w:themeColor="text1"/>
              </w:rPr>
              <w:t>, Finanšu ministrija</w:t>
            </w:r>
            <w:r w:rsidR="0008374E">
              <w:rPr>
                <w:color w:val="000000" w:themeColor="text1"/>
              </w:rPr>
              <w:t>s</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2522"/>
        <w:gridCol w:w="4847"/>
        <w:gridCol w:w="2555"/>
        <w:gridCol w:w="4817"/>
      </w:tblGrid>
      <w:tr w:rsidR="00D7241B" w:rsidRPr="00475925" w14:paraId="2FCDD50B" w14:textId="77777777" w:rsidTr="003148AF">
        <w:tc>
          <w:tcPr>
            <w:tcW w:w="705" w:type="dxa"/>
            <w:gridSpan w:val="2"/>
            <w:vAlign w:val="center"/>
          </w:tcPr>
          <w:p w14:paraId="1D3D9B2F" w14:textId="79078DE4" w:rsidR="00D7241B" w:rsidRPr="00475925" w:rsidRDefault="00D7241B" w:rsidP="002974DA">
            <w:pPr>
              <w:pStyle w:val="naisc"/>
              <w:spacing w:before="0" w:after="0"/>
            </w:pPr>
            <w:r>
              <w:t>Nr. p.k.</w:t>
            </w:r>
          </w:p>
        </w:tc>
        <w:tc>
          <w:tcPr>
            <w:tcW w:w="2522" w:type="dxa"/>
            <w:vAlign w:val="center"/>
          </w:tcPr>
          <w:p w14:paraId="5F770C33" w14:textId="2432013D" w:rsidR="00D7241B" w:rsidRPr="00475925" w:rsidRDefault="00D7241B" w:rsidP="002974DA">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2974DA">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2974DA">
            <w:pPr>
              <w:pStyle w:val="naisc"/>
              <w:spacing w:before="0" w:after="0"/>
              <w:ind w:firstLine="21"/>
            </w:pPr>
            <w:r>
              <w:t>Atbildīgās ministrijas norāde par to, ka iebildums ir ņemts vērā, vai informācija par saskaņošanā panākto alternatīvo risinājumu</w:t>
            </w:r>
          </w:p>
        </w:tc>
        <w:tc>
          <w:tcPr>
            <w:tcW w:w="4817" w:type="dxa"/>
            <w:vAlign w:val="center"/>
          </w:tcPr>
          <w:p w14:paraId="41F003C8" w14:textId="6BC2B50D" w:rsidR="00D7241B" w:rsidRPr="00475925" w:rsidRDefault="00D7241B" w:rsidP="002974DA">
            <w:pPr>
              <w:jc w:val="center"/>
            </w:pPr>
            <w:r>
              <w:t>Projekta attiecīgā punkta (panta) galīgā redakcija</w:t>
            </w:r>
          </w:p>
        </w:tc>
      </w:tr>
      <w:tr w:rsidR="00D7241B" w:rsidRPr="00475925" w14:paraId="7FA5DBD5" w14:textId="77777777" w:rsidTr="003148AF">
        <w:tc>
          <w:tcPr>
            <w:tcW w:w="705" w:type="dxa"/>
            <w:gridSpan w:val="2"/>
          </w:tcPr>
          <w:p w14:paraId="1342461B" w14:textId="27A8AE3B" w:rsidR="00D7241B" w:rsidRPr="00475925" w:rsidRDefault="00D7241B" w:rsidP="002974DA">
            <w:pPr>
              <w:pStyle w:val="naisc"/>
              <w:spacing w:before="0" w:after="0"/>
            </w:pPr>
            <w:r>
              <w:t>1</w:t>
            </w:r>
          </w:p>
        </w:tc>
        <w:tc>
          <w:tcPr>
            <w:tcW w:w="2522" w:type="dxa"/>
          </w:tcPr>
          <w:p w14:paraId="70883659" w14:textId="0D30E6AD" w:rsidR="00D7241B" w:rsidRPr="00475925" w:rsidRDefault="00D7241B" w:rsidP="002974DA">
            <w:pPr>
              <w:pStyle w:val="naisc"/>
              <w:spacing w:before="0" w:after="0"/>
              <w:ind w:firstLine="12"/>
            </w:pPr>
            <w:r w:rsidRPr="00E3343C">
              <w:t>2</w:t>
            </w:r>
          </w:p>
        </w:tc>
        <w:tc>
          <w:tcPr>
            <w:tcW w:w="4847" w:type="dxa"/>
          </w:tcPr>
          <w:p w14:paraId="3499EB8B" w14:textId="280E3B23" w:rsidR="00D7241B" w:rsidRPr="00475925" w:rsidRDefault="00D7241B" w:rsidP="002974DA">
            <w:pPr>
              <w:pStyle w:val="naisc"/>
              <w:spacing w:before="0" w:after="0"/>
              <w:ind w:right="3"/>
            </w:pPr>
            <w:r>
              <w:t>3</w:t>
            </w:r>
          </w:p>
        </w:tc>
        <w:tc>
          <w:tcPr>
            <w:tcW w:w="2555" w:type="dxa"/>
          </w:tcPr>
          <w:p w14:paraId="0FEE0D0A" w14:textId="44FF81B6" w:rsidR="00D7241B" w:rsidRPr="00475925" w:rsidRDefault="00D7241B" w:rsidP="002974DA">
            <w:pPr>
              <w:pStyle w:val="naisc"/>
              <w:spacing w:before="0" w:after="0"/>
              <w:ind w:firstLine="21"/>
            </w:pPr>
            <w:r>
              <w:t>4</w:t>
            </w:r>
          </w:p>
        </w:tc>
        <w:tc>
          <w:tcPr>
            <w:tcW w:w="4817" w:type="dxa"/>
          </w:tcPr>
          <w:p w14:paraId="3A76EE6F" w14:textId="191FEE59" w:rsidR="00D7241B" w:rsidRPr="00475925" w:rsidRDefault="00D7241B" w:rsidP="002974DA">
            <w:pPr>
              <w:jc w:val="center"/>
            </w:pPr>
            <w:r>
              <w:t>5</w:t>
            </w:r>
          </w:p>
        </w:tc>
      </w:tr>
      <w:tr w:rsidR="712E55AA" w14:paraId="77341968" w14:textId="77777777" w:rsidTr="519709B8">
        <w:tc>
          <w:tcPr>
            <w:tcW w:w="15446" w:type="dxa"/>
            <w:gridSpan w:val="6"/>
          </w:tcPr>
          <w:p w14:paraId="3CD4BB16" w14:textId="1FE4304F" w:rsidR="712E55AA" w:rsidRDefault="712E55AA" w:rsidP="002974DA">
            <w:pPr>
              <w:jc w:val="center"/>
              <w:rPr>
                <w:b/>
                <w:bCs/>
                <w:color w:val="000000" w:themeColor="text1"/>
              </w:rPr>
            </w:pPr>
          </w:p>
        </w:tc>
      </w:tr>
      <w:tr w:rsidR="00E248E4" w14:paraId="515DEFF6" w14:textId="54587C49" w:rsidTr="003148AF">
        <w:tc>
          <w:tcPr>
            <w:tcW w:w="697" w:type="dxa"/>
          </w:tcPr>
          <w:p w14:paraId="3A93C0F3" w14:textId="20B095A7" w:rsidR="00E248E4" w:rsidRPr="007A2107" w:rsidRDefault="007A2107" w:rsidP="007A2107">
            <w:pPr>
              <w:jc w:val="both"/>
              <w:rPr>
                <w:bCs/>
                <w:color w:val="000000" w:themeColor="text1"/>
              </w:rPr>
            </w:pPr>
            <w:r w:rsidRPr="007A2107">
              <w:rPr>
                <w:bCs/>
                <w:color w:val="000000" w:themeColor="text1"/>
              </w:rPr>
              <w:t>1.</w:t>
            </w:r>
          </w:p>
        </w:tc>
        <w:tc>
          <w:tcPr>
            <w:tcW w:w="2530" w:type="dxa"/>
            <w:gridSpan w:val="2"/>
          </w:tcPr>
          <w:p w14:paraId="63D48EDF" w14:textId="46BCE93C" w:rsidR="00E248E4" w:rsidRPr="0086484E" w:rsidRDefault="00E248E4" w:rsidP="007A2107">
            <w:pPr>
              <w:jc w:val="both"/>
              <w:rPr>
                <w:bCs/>
                <w:color w:val="000000" w:themeColor="text1"/>
              </w:rPr>
            </w:pPr>
          </w:p>
        </w:tc>
        <w:tc>
          <w:tcPr>
            <w:tcW w:w="4847" w:type="dxa"/>
          </w:tcPr>
          <w:p w14:paraId="595DD02B" w14:textId="062D07A9" w:rsidR="00496EE3" w:rsidRPr="00496EE3" w:rsidRDefault="00496EE3" w:rsidP="007A2107">
            <w:pPr>
              <w:jc w:val="both"/>
              <w:rPr>
                <w:b/>
              </w:rPr>
            </w:pPr>
            <w:r>
              <w:t xml:space="preserve"> </w:t>
            </w:r>
            <w:r w:rsidRPr="00496EE3">
              <w:rPr>
                <w:b/>
              </w:rPr>
              <w:t>Finanšu ministrija</w:t>
            </w:r>
          </w:p>
          <w:p w14:paraId="3485B246" w14:textId="02F703EA" w:rsidR="00E248E4" w:rsidRPr="00E248E4" w:rsidRDefault="00496EE3" w:rsidP="007A2107">
            <w:pPr>
              <w:jc w:val="both"/>
              <w:rPr>
                <w:bCs/>
                <w:color w:val="000000" w:themeColor="text1"/>
              </w:rPr>
            </w:pPr>
            <w:r w:rsidRPr="00496EE3">
              <w:rPr>
                <w:bCs/>
                <w:color w:val="000000" w:themeColor="text1"/>
              </w:rPr>
              <w:t>Anotācijas I sadaļas 2.punkta 1.1.apakšpunktā un rīkojuma projekta pielikuma 1.punktā par valstij piekrītošo dzīvokli Cēsu ielā 34-61, Limbažos, Limbažu novadā, ir lietots jēdziens dzīvokļa īpašums. Paskaidrojam, ka saskaņā ar Dzīvokļa īpašuma likuma 6.panta otro daļu dzīvokļa īpašums ir nodibināts līdz ar tā ierakstīšanu zemesgrāmatā. Kā secināms no anotācijas I sadaļas 2.punktā ietvertā skaidrojuma, dzīvoklis Cēsu ielā 34-61, Limbažos, Limbažu novadā, nav ierakstīts zemesgrāmatā. Tādējādi nav nodibināts attiecīgais dzīvokļa īpašums. Ņemot vērā minēto, lūdzam precizēt anotācijas I sadaļas 2.punkta 1.1.apakšpunktu un rīkojuma projekta pielikuma 1.punktu, lietojot jēdzienu – valstij piekrītošais dzīvoklis.</w:t>
            </w:r>
          </w:p>
        </w:tc>
        <w:tc>
          <w:tcPr>
            <w:tcW w:w="2555" w:type="dxa"/>
          </w:tcPr>
          <w:p w14:paraId="00C47460" w14:textId="77777777" w:rsidR="00EA10B6" w:rsidRPr="00EA10B6" w:rsidRDefault="00EA10B6" w:rsidP="00C55571">
            <w:pPr>
              <w:jc w:val="both"/>
              <w:rPr>
                <w:b/>
                <w:bCs/>
                <w:color w:val="000000" w:themeColor="text1"/>
              </w:rPr>
            </w:pPr>
            <w:r w:rsidRPr="00EA10B6">
              <w:rPr>
                <w:b/>
                <w:bCs/>
                <w:color w:val="000000" w:themeColor="text1"/>
              </w:rPr>
              <w:t>Ņemts vērā</w:t>
            </w:r>
          </w:p>
          <w:p w14:paraId="0B2AC3A3" w14:textId="39C4D9C2" w:rsidR="00E248E4" w:rsidRPr="00E248E4" w:rsidRDefault="00EA10B6" w:rsidP="00C55571">
            <w:pPr>
              <w:jc w:val="both"/>
              <w:rPr>
                <w:bCs/>
                <w:color w:val="000000" w:themeColor="text1"/>
              </w:rPr>
            </w:pPr>
            <w:r>
              <w:rPr>
                <w:bCs/>
                <w:color w:val="000000" w:themeColor="text1"/>
              </w:rPr>
              <w:t>Precizēta rīkojuma projekta 1.punkta redakcija un  anotācija</w:t>
            </w:r>
          </w:p>
        </w:tc>
        <w:tc>
          <w:tcPr>
            <w:tcW w:w="4817" w:type="dxa"/>
          </w:tcPr>
          <w:p w14:paraId="61A4CCEA" w14:textId="52852889" w:rsidR="00E248E4" w:rsidRPr="00E248E4" w:rsidRDefault="00C75FA1" w:rsidP="007A2107">
            <w:pPr>
              <w:jc w:val="both"/>
              <w:rPr>
                <w:bCs/>
                <w:color w:val="000000" w:themeColor="text1"/>
              </w:rPr>
            </w:pPr>
            <w:r w:rsidRPr="00C75FA1">
              <w:rPr>
                <w:bCs/>
                <w:color w:val="000000" w:themeColor="text1"/>
              </w:rPr>
              <w:t xml:space="preserve">1. Saskaņā ar Publiskas personas mantas atsavināšanas likuma 42. panta pirmo daļu, 42.1, 43. pantu un 45. panta pirmo daļu, Valsts ieņēmumu dienestam bez atlīdzības nodot Limbažu novada pašvaldības īpašumā valstij piekrītošo bezmantinieka mantu – dzīvokli līdz dzīvojamās mājas privatizācijai - dzīvokli Nr. 61 (nekustamā īpašuma kadastra Nr. 6601 314 0030), kura sastāvā ir telpu grupa ar kadastra apzīmējumu 6601 014 0043 001 061 un dzīvoklim piekrītošās   3610/297450 domājamās daļas no dzīvojamās mājas (būves kadastra apzīmējums 6601 014 0043 001) un  3610/297450 domājamās daļas no zemes vienības  (zemes vienības kadastra apzīmējums 6601 014 0043) - Cēsu ielā 34 - 61, Limbažos  un dzīvokļa īpašumu (nekustamā īpašuma kadastra Nr. 6601 900 2167) – dzīvokli Nr.6 (telpu grupas kadastra apzīmējums 6601 007 0011 005 024) un tam piekrītošās 2015/59779 kopīpašuma domājamās daļas no dzīvojamās mājas (būves kadastra apzīmējums 6601 007 0011 005) - Lauku ielā 6 - 24, Limbažos (turpmāk abi kopā – nekustamais īpašums), lai saskaņā ar likuma "Par pašvaldībām" 15. panta </w:t>
            </w:r>
            <w:r w:rsidRPr="00C75FA1">
              <w:rPr>
                <w:bCs/>
                <w:color w:val="000000" w:themeColor="text1"/>
              </w:rPr>
              <w:lastRenderedPageBreak/>
              <w:t>pirmās daļas 9. punktu tos izmantotu pašvaldības autonomās funkcijas īstenošanai – palīdzības sniegšanai iedzīvotājiem dzīvokļa jautājumu risināšanā.</w:t>
            </w:r>
          </w:p>
        </w:tc>
      </w:tr>
      <w:tr w:rsidR="00423838" w14:paraId="4F6298DB" w14:textId="77777777" w:rsidTr="003148AF">
        <w:tc>
          <w:tcPr>
            <w:tcW w:w="697" w:type="dxa"/>
          </w:tcPr>
          <w:p w14:paraId="09206DBE" w14:textId="29543824" w:rsidR="00423838" w:rsidRPr="007A2107" w:rsidRDefault="00423838" w:rsidP="007A2107">
            <w:pPr>
              <w:jc w:val="both"/>
              <w:rPr>
                <w:bCs/>
                <w:color w:val="000000" w:themeColor="text1"/>
              </w:rPr>
            </w:pPr>
            <w:r>
              <w:rPr>
                <w:bCs/>
                <w:color w:val="000000" w:themeColor="text1"/>
              </w:rPr>
              <w:lastRenderedPageBreak/>
              <w:t>2.</w:t>
            </w:r>
          </w:p>
        </w:tc>
        <w:tc>
          <w:tcPr>
            <w:tcW w:w="2530" w:type="dxa"/>
            <w:gridSpan w:val="2"/>
          </w:tcPr>
          <w:p w14:paraId="3C1EC1FA" w14:textId="77777777" w:rsidR="00423838" w:rsidRPr="0086484E" w:rsidRDefault="00423838" w:rsidP="007A2107">
            <w:pPr>
              <w:jc w:val="both"/>
              <w:rPr>
                <w:bCs/>
                <w:color w:val="000000" w:themeColor="text1"/>
              </w:rPr>
            </w:pPr>
          </w:p>
        </w:tc>
        <w:tc>
          <w:tcPr>
            <w:tcW w:w="4847" w:type="dxa"/>
          </w:tcPr>
          <w:p w14:paraId="03047741" w14:textId="2CD71A65" w:rsidR="00423838" w:rsidRDefault="00496EE3" w:rsidP="007A2107">
            <w:pPr>
              <w:jc w:val="both"/>
              <w:rPr>
                <w:bCs/>
                <w:color w:val="000000" w:themeColor="text1"/>
              </w:rPr>
            </w:pPr>
            <w:r>
              <w:t xml:space="preserve"> </w:t>
            </w:r>
            <w:r w:rsidRPr="00496EE3">
              <w:rPr>
                <w:bCs/>
                <w:color w:val="000000" w:themeColor="text1"/>
              </w:rPr>
              <w:t>Lūdzam paskaidrojošajiem dokumentiem pievienot Valsts ieņēmumu dienesta 2018.gada 23.jūlija valstij piekritīgās mantas aprakstes un novērtējuma aktu Nr.018417, ar kuru par bezmantinieka mantu atzītais dzīvoklis Lauku ielā 6-24, Limbažos, Limbažu novadā, ir ņemts valsts uzskaitē.</w:t>
            </w:r>
          </w:p>
        </w:tc>
        <w:tc>
          <w:tcPr>
            <w:tcW w:w="2555" w:type="dxa"/>
          </w:tcPr>
          <w:p w14:paraId="5D5FAD83" w14:textId="6BD6B295" w:rsidR="00BC194C" w:rsidRPr="002B4953" w:rsidRDefault="002B4953" w:rsidP="004F2EAE">
            <w:pPr>
              <w:jc w:val="both"/>
              <w:rPr>
                <w:b/>
                <w:bCs/>
                <w:color w:val="000000" w:themeColor="text1"/>
              </w:rPr>
            </w:pPr>
            <w:r w:rsidRPr="002B4953">
              <w:rPr>
                <w:b/>
                <w:bCs/>
                <w:color w:val="000000" w:themeColor="text1"/>
              </w:rPr>
              <w:t>Ņemts vērā</w:t>
            </w:r>
          </w:p>
        </w:tc>
        <w:tc>
          <w:tcPr>
            <w:tcW w:w="4817" w:type="dxa"/>
          </w:tcPr>
          <w:p w14:paraId="3A905D93" w14:textId="77777777" w:rsidR="00423838" w:rsidRPr="00E248E4" w:rsidRDefault="00423838" w:rsidP="007A2107">
            <w:pPr>
              <w:jc w:val="both"/>
              <w:rPr>
                <w:bCs/>
                <w:color w:val="000000" w:themeColor="text1"/>
              </w:rPr>
            </w:pPr>
          </w:p>
        </w:tc>
      </w:tr>
      <w:tr w:rsidR="00423838" w14:paraId="0ACA771F" w14:textId="77777777" w:rsidTr="003148AF">
        <w:tc>
          <w:tcPr>
            <w:tcW w:w="697" w:type="dxa"/>
          </w:tcPr>
          <w:p w14:paraId="1CCBC404" w14:textId="77777777" w:rsidR="00423838" w:rsidRDefault="00423838" w:rsidP="007A2107">
            <w:pPr>
              <w:jc w:val="both"/>
              <w:rPr>
                <w:bCs/>
                <w:color w:val="000000" w:themeColor="text1"/>
              </w:rPr>
            </w:pPr>
            <w:r>
              <w:rPr>
                <w:bCs/>
                <w:color w:val="000000" w:themeColor="text1"/>
              </w:rPr>
              <w:t>3.</w:t>
            </w:r>
          </w:p>
          <w:p w14:paraId="6DB71C06" w14:textId="0965ADDE" w:rsidR="00423838" w:rsidRPr="007A2107" w:rsidRDefault="00423838" w:rsidP="007A2107">
            <w:pPr>
              <w:jc w:val="both"/>
              <w:rPr>
                <w:bCs/>
                <w:color w:val="000000" w:themeColor="text1"/>
              </w:rPr>
            </w:pPr>
          </w:p>
        </w:tc>
        <w:tc>
          <w:tcPr>
            <w:tcW w:w="2530" w:type="dxa"/>
            <w:gridSpan w:val="2"/>
          </w:tcPr>
          <w:p w14:paraId="24BAF6CF" w14:textId="77777777" w:rsidR="00423838" w:rsidRPr="0086484E" w:rsidRDefault="00423838" w:rsidP="007A2107">
            <w:pPr>
              <w:jc w:val="both"/>
              <w:rPr>
                <w:bCs/>
                <w:color w:val="000000" w:themeColor="text1"/>
              </w:rPr>
            </w:pPr>
          </w:p>
        </w:tc>
        <w:tc>
          <w:tcPr>
            <w:tcW w:w="4847" w:type="dxa"/>
          </w:tcPr>
          <w:p w14:paraId="3E0E100A" w14:textId="77777777" w:rsidR="00496EE3" w:rsidRPr="002B4953" w:rsidRDefault="00496EE3" w:rsidP="00423838">
            <w:pPr>
              <w:jc w:val="both"/>
              <w:rPr>
                <w:b/>
                <w:bCs/>
                <w:color w:val="000000" w:themeColor="text1"/>
              </w:rPr>
            </w:pPr>
            <w:r w:rsidRPr="002B4953">
              <w:rPr>
                <w:b/>
                <w:bCs/>
                <w:color w:val="000000" w:themeColor="text1"/>
              </w:rPr>
              <w:t>Tieslietu ministrija</w:t>
            </w:r>
          </w:p>
          <w:p w14:paraId="134E9B5E" w14:textId="77777777" w:rsidR="00496EE3" w:rsidRPr="00496EE3" w:rsidRDefault="00496EE3" w:rsidP="00496EE3">
            <w:pPr>
              <w:jc w:val="both"/>
              <w:rPr>
                <w:bCs/>
                <w:color w:val="000000" w:themeColor="text1"/>
              </w:rPr>
            </w:pPr>
            <w:r w:rsidRPr="00496EE3">
              <w:rPr>
                <w:bCs/>
                <w:color w:val="000000" w:themeColor="text1"/>
              </w:rPr>
              <w:t>Atbilstoši rīkojuma projektam tiek plānots nodot Limbažu novada pašvaldībai īpašumā dzīvokli Nr. 61 36,10 m2 platībā Cēsu ielā 34 - 61, Limbažos (nekustamā īpašuma kadastra Nr. 6601 314 0030) jeb telpu grupu (kadastra apzīmējumu 6601 014 0043 001 061).</w:t>
            </w:r>
          </w:p>
          <w:p w14:paraId="49AB1F84" w14:textId="77777777" w:rsidR="00496EE3" w:rsidRPr="00496EE3" w:rsidRDefault="00496EE3" w:rsidP="00496EE3">
            <w:pPr>
              <w:jc w:val="both"/>
              <w:rPr>
                <w:bCs/>
                <w:color w:val="000000" w:themeColor="text1"/>
              </w:rPr>
            </w:pPr>
            <w:r w:rsidRPr="00496EE3">
              <w:rPr>
                <w:bCs/>
                <w:color w:val="000000" w:themeColor="text1"/>
              </w:rPr>
              <w:t>Pirmšķietami, no rīkojuma projektam pievienotās Nekustamā īpašuma valsts kadastra informācijas sistēmas (turpmāk - NĪVKIS) informācijas izriet, ka minētais dzīvoklis varētu būt paātrināti privatizēts dzīvoklis. Minētais gan nav minēts anotācijā.</w:t>
            </w:r>
          </w:p>
          <w:p w14:paraId="44E4F7E6" w14:textId="77777777" w:rsidR="00496EE3" w:rsidRPr="00496EE3" w:rsidRDefault="00496EE3" w:rsidP="00496EE3">
            <w:pPr>
              <w:jc w:val="both"/>
              <w:rPr>
                <w:bCs/>
                <w:color w:val="000000" w:themeColor="text1"/>
              </w:rPr>
            </w:pPr>
            <w:r w:rsidRPr="00496EE3">
              <w:rPr>
                <w:bCs/>
                <w:color w:val="000000" w:themeColor="text1"/>
              </w:rPr>
              <w:t xml:space="preserve">Saskaņā ar likuma “Par valsts un pašvaldību dzīvojamo māju privatizāciju” 73.9 panta pirmo daļu persona, kura ieguvusi dzīvokli, mākslinieka darbnīcu vai neapdzīvojamo telpu īpašumā līdz dzīvojamās mājas privatizācijai, atzīstama par īpašnieku no brīža, kad dzīvoklis, mākslinieka darbnīca, neapdzīvojamā telpa un to īpašnieki reģistrēti Kadastra reģistrā (šobrīd – NĪVKIS). Saskaņā ar Nekustamā īpašuma valsts kadastra likuma 7. panta pirmās daļas 2. punkta a) apakšpunktu šādiem objektiem NĪVKIS </w:t>
            </w:r>
            <w:r w:rsidRPr="00496EE3">
              <w:rPr>
                <w:bCs/>
                <w:color w:val="000000" w:themeColor="text1"/>
              </w:rPr>
              <w:lastRenderedPageBreak/>
              <w:t xml:space="preserve">persona tiek reģistrēta kā īpašnieks. Atbilstoši likuma “Par valsts un pašvaldību dzīvojamo māju privatizāciju” 73.8 panta pirmajai daļai reģistrācija NĪVKIS pēc juridiskām sekām pielīdzināma reģistrācijai zemesgrāmatā. </w:t>
            </w:r>
          </w:p>
          <w:p w14:paraId="1F071071" w14:textId="77777777" w:rsidR="00496EE3" w:rsidRPr="00496EE3" w:rsidRDefault="00496EE3" w:rsidP="00496EE3">
            <w:pPr>
              <w:jc w:val="both"/>
              <w:rPr>
                <w:bCs/>
                <w:color w:val="000000" w:themeColor="text1"/>
              </w:rPr>
            </w:pPr>
            <w:r w:rsidRPr="00496EE3">
              <w:rPr>
                <w:bCs/>
                <w:color w:val="000000" w:themeColor="text1"/>
              </w:rPr>
              <w:t>Ne no anotācijas, ne pievienotajiem dokumentiem nav skaidrs, vai konkrētajā gadījumā privatizācijas process ir vai nav pabeigts, jo NĪVKIS joprojām ir reģistrēts paātrināti privatizēts dzīvoklis. Tāpat ne no anotācijas, ne pievienotajiem dokumentiem netika gūta pārliecība par to, vai dzīvojamā māja, kurā atrodas nododamā telpu grupa, un tai funkcionāli piederošā zeme ir vai nav sadalīta dzīvokļu īpašumos. Tātad iespējams, ka dzīvojamā māja pilnībā nav sadalīta dzīvokļa īpašumos, nav noslēgti pirkuma līgumi vai vienošanās par dzīvokļu nodošanu bez atlīdzības ar visiem dzīvokļu īpašniekiem. Līdz ar to lūdzam minēto izvērtēt un papildināt anotāciju ar nepieciešamo informāciju, kā arī pievienot paskaidrojošos dokumentus.</w:t>
            </w:r>
          </w:p>
          <w:p w14:paraId="6D0E8961" w14:textId="77777777" w:rsidR="00496EE3" w:rsidRPr="00496EE3" w:rsidRDefault="00496EE3" w:rsidP="00496EE3">
            <w:pPr>
              <w:jc w:val="both"/>
              <w:rPr>
                <w:bCs/>
                <w:color w:val="000000" w:themeColor="text1"/>
              </w:rPr>
            </w:pPr>
            <w:r w:rsidRPr="00496EE3">
              <w:rPr>
                <w:bCs/>
                <w:color w:val="000000" w:themeColor="text1"/>
              </w:rPr>
              <w:t xml:space="preserve">Vienlaikus, Tieslietu ministrijas ieskatā, telpu grupa nav īpašuma tiesību objekts pats par sevi. Vēršam uzmanību Dzīvokļa īpašuma likuma 2. un 6. pantam. Minētā likuma otrā daļa noteic, ka dzīvokļa īpašums kā lietu kopība sastāv no atsevišķā īpašuma un attiecīgas kopīpašuma domājamās daļas. Dzīvokļa īpašuma sastāvā ietilpstošais atsevišķais īpašums un kopīpašuma domājamā daļa tiesiski nav atdalāmi. Savukārt minētā likuma 6. panta pirmā daļa noteic, ka dzīvokļa īpašumu var izveidot uz likuma, tiesas sprieduma, darījuma, tai skaitā testamenta, vai mājas īpašnieka lēmuma pamata. Dzīvokļa </w:t>
            </w:r>
            <w:r w:rsidRPr="00496EE3">
              <w:rPr>
                <w:bCs/>
                <w:color w:val="000000" w:themeColor="text1"/>
              </w:rPr>
              <w:lastRenderedPageBreak/>
              <w:t xml:space="preserve">īpašumu izveido, sadalot atbilstoši šā likuma noteikumiem zemesgrāmatā ierakstītu dzīvojamo māju kopā ar tai piederīgajām palīgēkām, būvēm un zemi. Savukārt otrā daļa - dzīvokļa īpašums ir nodibināts līdz ar tā ierakstīšanu zemesgrāmatā. Ņemot vērā minēto un izvērtējot rīkojuma projektu, secināms, ka dzīvokļa īpašums nav izveidots, tāpat nav saprotams, ko valsts vēlas nodot pašvaldībai un ko vēlas, lai pašvaldība ar telpu grupu dara. Piemēram, vai mērķis ir pašvaldībai nodot telpu grupu – dzīvokli un attiecīgas kopīpašuma domājamās daļas (domājamās daļas no zemes, dzīvojamās mājas un citām būvēm) vai nodot tikai telpu grupas bez attiecīgas kopīpašuma domājamās daļas. Vai mērķis ir, ka pašvaldība izveidos valsts vietā dzīvokļa īpašumu. Līdz ar to lūdzam izvērtēt rīkojuma projektu, anotācijā sniegto skaidrojumu un pievienotos dokumentus un nepieciešamības gadījumā tos precizēt. Vienlaikus lūdzam skaidrot, vai valsts šobrīd var izveidot un nodibināt dzīvokļa īpašumus atbilstoši Dzīvokļa īpašuma likuma 2. un 6. pantam, tāpat lūdzam izvērtēt, vai valsts dzīvokļa īpašumu varētu izveidot pirms tā nodošanas pašvaldībai. Proti, zemesgrāmatā nostiprināt īpašumtiesības uz dzīvokļa īpašumu kā lietu kopību, kas sastāv no atsevišķā īpašuma un attiecīgas kopīpašuma domājamās daļas no dzīvojamās mājas un zemes. Ja pašvaldībai tiks nodota tikai telpu grupa, lūdzam skaidrot, vai pašvaldība varēs izveidot dzīvokļa īpašumu uz valsts vārda, kur attiecīgas kopīpašuma domājamās daļas būs no dzīvojamās mājas un arī zemes. Lūdzam skaidrot, ko rīkojums paredz, </w:t>
            </w:r>
            <w:r w:rsidRPr="00496EE3">
              <w:rPr>
                <w:bCs/>
                <w:color w:val="000000" w:themeColor="text1"/>
              </w:rPr>
              <w:lastRenderedPageBreak/>
              <w:t>kas pašvaldībai būs jādod atpakaļ, ja telpu grupa tai nebūs nepieciešama.</w:t>
            </w:r>
          </w:p>
          <w:p w14:paraId="61B92F45" w14:textId="77777777" w:rsidR="00496EE3" w:rsidRPr="00496EE3" w:rsidRDefault="00496EE3" w:rsidP="00496EE3">
            <w:pPr>
              <w:jc w:val="both"/>
              <w:rPr>
                <w:bCs/>
                <w:color w:val="000000" w:themeColor="text1"/>
              </w:rPr>
            </w:pPr>
            <w:r w:rsidRPr="00496EE3">
              <w:rPr>
                <w:bCs/>
                <w:color w:val="000000" w:themeColor="text1"/>
              </w:rPr>
              <w:t>Tieslietu ministrija vērš uzmanību Publiskas personas mantas atsavināšanas likuma 45. panta pirmajai daļai, kas noteic,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Lūdzam izvērtēt, vai minētā norma ir piemērojama šajā gadījumā, jo dzīvokļa īpašums nav izveidots un pašvaldībai netiek nodots dzīvokļa īpašums.</w:t>
            </w:r>
          </w:p>
          <w:p w14:paraId="18574C9A" w14:textId="77777777" w:rsidR="00496EE3" w:rsidRPr="00496EE3" w:rsidRDefault="00496EE3" w:rsidP="00496EE3">
            <w:pPr>
              <w:jc w:val="both"/>
              <w:rPr>
                <w:bCs/>
                <w:color w:val="000000" w:themeColor="text1"/>
              </w:rPr>
            </w:pPr>
            <w:r w:rsidRPr="00496EE3">
              <w:rPr>
                <w:bCs/>
                <w:color w:val="000000" w:themeColor="text1"/>
              </w:rPr>
              <w:t>Ievērojot minēto un iegūtos secinājumus un dokumentus pēc veiktās atkārtotās izvērtēšanas, iespējams, ja valsts neizveidos dzīvokļa īpašumu, lūdzam izvērtēt, vai rīkojuma projekts nebūtu jāveido pēc šāda parauga: "[…] Valsts ieņēmumu dienestam bez atlīdzības nodot Rīgas pilsētas pašvaldības īpašumā valstij piekrītošo dzīvokli līdz dzīvojamās mājas privatizācijai (dzīvokļa īpašuma kadastra Nr. 0100 376 0422), kurā ietilpst telpu grupa ar kadastra apzīmējumu 0100 076 2100 001 035) – Stendes ielā 7 k-3, Rīgā, un kopīpašuma domājamās daļas atbilstoši privatizācijas komisijas izziņā norādītajam […]".</w:t>
            </w:r>
          </w:p>
          <w:p w14:paraId="339B3AF1" w14:textId="68225DF3" w:rsidR="00423838" w:rsidRDefault="00496EE3" w:rsidP="00496EE3">
            <w:pPr>
              <w:jc w:val="both"/>
              <w:rPr>
                <w:bCs/>
                <w:color w:val="000000" w:themeColor="text1"/>
              </w:rPr>
            </w:pPr>
            <w:r w:rsidRPr="00496EE3">
              <w:rPr>
                <w:bCs/>
                <w:color w:val="000000" w:themeColor="text1"/>
              </w:rPr>
              <w:t>Vienlaikus lūdzam noskaidrot arī Ekonomikas ministrijas viedokli par rīkojuma projektu, īpaši attiecībā par telpu grupas nodošanu pašvaldībai.</w:t>
            </w:r>
          </w:p>
        </w:tc>
        <w:tc>
          <w:tcPr>
            <w:tcW w:w="2555" w:type="dxa"/>
          </w:tcPr>
          <w:p w14:paraId="012F4086" w14:textId="77777777" w:rsidR="002B4953" w:rsidRPr="002B4953" w:rsidRDefault="002B4953" w:rsidP="00C55571">
            <w:pPr>
              <w:jc w:val="both"/>
              <w:rPr>
                <w:b/>
                <w:bCs/>
                <w:color w:val="000000" w:themeColor="text1"/>
              </w:rPr>
            </w:pPr>
            <w:r w:rsidRPr="002B4953">
              <w:rPr>
                <w:b/>
                <w:bCs/>
                <w:color w:val="000000" w:themeColor="text1"/>
              </w:rPr>
              <w:lastRenderedPageBreak/>
              <w:t>Ņemts vērā</w:t>
            </w:r>
          </w:p>
          <w:p w14:paraId="6530FDED" w14:textId="5DA911F0" w:rsidR="00423838" w:rsidRDefault="002B4953" w:rsidP="00C55571">
            <w:pPr>
              <w:jc w:val="both"/>
              <w:rPr>
                <w:bCs/>
                <w:color w:val="000000" w:themeColor="text1"/>
              </w:rPr>
            </w:pPr>
            <w:r>
              <w:rPr>
                <w:bCs/>
                <w:color w:val="000000" w:themeColor="text1"/>
              </w:rPr>
              <w:t>Precizēta rīkojuma projekta 1.punkta redakcija un anotācija</w:t>
            </w:r>
          </w:p>
        </w:tc>
        <w:tc>
          <w:tcPr>
            <w:tcW w:w="4817" w:type="dxa"/>
          </w:tcPr>
          <w:p w14:paraId="238A46CA" w14:textId="0849AF83" w:rsidR="00423838" w:rsidRPr="00E248E4" w:rsidRDefault="00C75FA1" w:rsidP="007A2107">
            <w:pPr>
              <w:jc w:val="both"/>
              <w:rPr>
                <w:bCs/>
                <w:color w:val="000000" w:themeColor="text1"/>
              </w:rPr>
            </w:pPr>
            <w:r w:rsidRPr="00C75FA1">
              <w:rPr>
                <w:bCs/>
                <w:color w:val="000000" w:themeColor="text1"/>
              </w:rPr>
              <w:t xml:space="preserve">1. Saskaņā ar Publiskas personas mantas atsavināšanas likuma 42. panta pirmo daļu, 42.1, 43. pantu un 45. panta pirmo daļu, Valsts ieņēmumu dienestam bez atlīdzības nodot Limbažu novada pašvaldības īpašumā valstij piekrītošo bezmantinieka mantu – </w:t>
            </w:r>
            <w:r w:rsidRPr="00C75FA1">
              <w:rPr>
                <w:bCs/>
                <w:color w:val="000000" w:themeColor="text1"/>
                <w:u w:val="single"/>
              </w:rPr>
              <w:t>dzīvokli līdz dzīvojamās mājas privatizācijai - dzīvokli Nr. 61 (nekustamā īpašuma kadastra Nr. 6601 314 0030), kura sastāvā ir telpu grupa ar kadastra apzīmējumu 6601 014 0043 001 061 un dzīvoklim piekrītošās   3610/297450 domājamās daļas no dzīvojamās mājas (būves kadastra apzīmējums 6601 014 0043 001) un  3610/297450 domājamās daļas no zemes vienības  (zemes vienības kadastra apzīmējums 6601 014 0043) - Cēsu ielā 34 - 61, Limbažos</w:t>
            </w:r>
            <w:r w:rsidRPr="00C75FA1">
              <w:rPr>
                <w:bCs/>
                <w:color w:val="000000" w:themeColor="text1"/>
              </w:rPr>
              <w:t xml:space="preserve">  un dzīvokļa īpašumu (nekustamā īpašuma kadastra Nr. 6601 900 2167) – dzīvokli Nr.6 (telpu grupas kadastra apzīmējums 6601 007 0011 005 024) un tam piekrītošās 2015/59779 kopīpašuma domājamās daļas no dzīvojamās mājas (būves kadastra apzīmējums 6601 007 0011 005) - Lauku ielā 6 - 24, Limbažos (turpmāk abi kopā – nekustamais īpašums), lai </w:t>
            </w:r>
            <w:r w:rsidRPr="00C75FA1">
              <w:rPr>
                <w:bCs/>
                <w:color w:val="000000" w:themeColor="text1"/>
              </w:rPr>
              <w:lastRenderedPageBreak/>
              <w:t>saskaņā ar likuma "Par pašvaldībām" 15. panta pirmās daļas 9. punktu tos izmantotu pašvaldības autonomās funkcijas īstenošanai – palīdzības sniegšanai iedzīvotājiem dzīvokļa jautājumu risināšanā.</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19D" w14:textId="5D67634E" w:rsidR="00D60738" w:rsidRPr="00496EE3" w:rsidRDefault="00496EE3" w:rsidP="00496EE3">
    <w:pPr>
      <w:pStyle w:val="Footer"/>
    </w:pPr>
    <w:r w:rsidRPr="00496EE3">
      <w:rPr>
        <w:sz w:val="20"/>
        <w:szCs w:val="20"/>
      </w:rPr>
      <w:t>VARAMIzzina_140421_Limbazi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BD26" w14:textId="521E090A" w:rsidR="00D60738" w:rsidRPr="00B93FB3" w:rsidRDefault="00D60738" w:rsidP="00B93FB3">
    <w:pPr>
      <w:pStyle w:val="Footer"/>
      <w:rPr>
        <w:sz w:val="20"/>
        <w:szCs w:val="20"/>
      </w:rPr>
    </w:pPr>
    <w:r>
      <w:rPr>
        <w:sz w:val="20"/>
        <w:szCs w:val="20"/>
      </w:rPr>
      <w:t>VARAMIzzina_</w:t>
    </w:r>
    <w:r w:rsidR="00496EE3">
      <w:rPr>
        <w:sz w:val="20"/>
        <w:szCs w:val="20"/>
      </w:rPr>
      <w:t>1404</w:t>
    </w:r>
    <w:r w:rsidR="00423838">
      <w:rPr>
        <w:sz w:val="20"/>
        <w:szCs w:val="20"/>
      </w:rPr>
      <w:t>21</w:t>
    </w:r>
    <w:r>
      <w:rPr>
        <w:sz w:val="20"/>
        <w:szCs w:val="20"/>
      </w:rPr>
      <w:t>_</w:t>
    </w:r>
    <w:r w:rsidR="00496EE3">
      <w:rPr>
        <w:sz w:val="20"/>
        <w:szCs w:val="20"/>
      </w:rPr>
      <w:t>Limbazi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135098"/>
      <w:docPartObj>
        <w:docPartGallery w:val="Page Numbers (Top of Page)"/>
        <w:docPartUnique/>
      </w:docPartObj>
    </w:sdtPr>
    <w:sdtEndPr>
      <w:rPr>
        <w:noProof/>
      </w:rPr>
    </w:sdtEndPr>
    <w:sdtContent>
      <w:p w14:paraId="7522606C" w14:textId="546B2727" w:rsidR="00D60738" w:rsidRDefault="00D60738" w:rsidP="001E08AC">
        <w:pPr>
          <w:pStyle w:val="Header"/>
          <w:jc w:val="center"/>
        </w:pPr>
        <w:r>
          <w:fldChar w:fldCharType="begin"/>
        </w:r>
        <w:r>
          <w:instrText xml:space="preserve"> PAGE   \* MERGEFORMAT </w:instrText>
        </w:r>
        <w:r>
          <w:fldChar w:fldCharType="separate"/>
        </w:r>
        <w:r w:rsidR="00ED2FFF">
          <w:rPr>
            <w:noProof/>
          </w:rPr>
          <w:t>7</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55E7"/>
    <w:rsid w:val="000571F2"/>
    <w:rsid w:val="000608CD"/>
    <w:rsid w:val="00062E3C"/>
    <w:rsid w:val="00063F79"/>
    <w:rsid w:val="000655BB"/>
    <w:rsid w:val="000661B6"/>
    <w:rsid w:val="00070466"/>
    <w:rsid w:val="0008374E"/>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84D97"/>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0E25"/>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5FA1"/>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2FFF"/>
    <w:rsid w:val="00ED47B5"/>
    <w:rsid w:val="00ED575B"/>
    <w:rsid w:val="00EE2CF9"/>
    <w:rsid w:val="00EE403A"/>
    <w:rsid w:val="00EE6A5F"/>
    <w:rsid w:val="00EE6D90"/>
    <w:rsid w:val="00EF0307"/>
    <w:rsid w:val="00EF49F3"/>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1E3-7E15-4018-93F1-8C686DB6E0AD}">
  <ds:schemaRef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122e0e09-afb4-4bf9-abab-ecc4519bc6eb"/>
    <ds:schemaRef ds:uri="ace8e44c-fa88-44c0-8590-dfda63664a63"/>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AE50C-3DA6-433E-AFE1-E5B42A71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7075</Words>
  <Characters>4033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Par valstij piekrītošo nekustamo īpašumu nodošanu Limbažu novada pašvaldības īpašumā</vt:lpstr>
    </vt:vector>
  </TitlesOfParts>
  <Company>VARAM</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Limbažu novada pašvaldības īpašumā</dc:title>
  <dc:subject>Izziņa par atzinumos sniegtajiem iebildumiem</dc:subject>
  <dc:creator>Edvīns Kāpostiņš</dc:creator>
  <dc:description>67026565, edvins.kapostins@varam.gov.lv</dc:description>
  <cp:lastModifiedBy>Madara Gaile</cp:lastModifiedBy>
  <cp:revision>7</cp:revision>
  <cp:lastPrinted>2019-02-05T15:50:00Z</cp:lastPrinted>
  <dcterms:created xsi:type="dcterms:W3CDTF">2021-04-14T11:35:00Z</dcterms:created>
  <dcterms:modified xsi:type="dcterms:W3CDTF">2021-05-11T13:07:00Z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