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8"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17EEC" w:rsidRDefault="0007278B" w:rsidP="00AE4EFC">
      <w:pPr>
        <w:spacing w:after="0" w:line="240" w:lineRule="auto"/>
        <w:jc w:val="center"/>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7370"/>
      </w:tblGrid>
      <w:tr w:rsidR="000E2322" w:rsidRPr="00AE4EFC" w14:paraId="3A6EBCB3" w14:textId="77777777" w:rsidTr="00470FB8">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470FB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3F1379C4" w:rsidR="00F30098" w:rsidRPr="00C2181D" w:rsidRDefault="00F30098" w:rsidP="006D1AD8">
            <w:pPr>
              <w:spacing w:after="0" w:line="240" w:lineRule="auto"/>
              <w:jc w:val="both"/>
              <w:rPr>
                <w:rFonts w:ascii="Times New Roman" w:eastAsia="Times New Roman" w:hAnsi="Times New Roman" w:cs="Times New Roman"/>
                <w:bCs/>
                <w:sz w:val="24"/>
                <w:szCs w:val="24"/>
                <w:lang w:eastAsia="lv-LV"/>
              </w:rPr>
            </w:pPr>
            <w:r w:rsidRPr="009E60C7">
              <w:rPr>
                <w:rFonts w:ascii="Times New Roman" w:eastAsia="Times New Roman" w:hAnsi="Times New Roman" w:cs="Times New Roman"/>
                <w:bCs/>
                <w:sz w:val="24"/>
                <w:szCs w:val="24"/>
                <w:lang w:eastAsia="lv-LV"/>
              </w:rPr>
              <w:t>Ministru kabineta noteikumu projekta “Grozījumi Ministru kabineta 2020.</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“Epidemioloģiskās drošības pasākumi Covid-19 infekcijas izplatības ierobežošanai”” (turpmāk </w:t>
            </w:r>
            <w:r w:rsidR="00B608AE">
              <w:rPr>
                <w:rFonts w:ascii="Times New Roman" w:eastAsia="Times New Roman" w:hAnsi="Times New Roman" w:cs="Times New Roman"/>
                <w:bCs/>
                <w:sz w:val="24"/>
                <w:szCs w:val="24"/>
                <w:lang w:eastAsia="lv-LV"/>
              </w:rPr>
              <w:t xml:space="preserve">– </w:t>
            </w:r>
            <w:r w:rsidRPr="009E60C7">
              <w:rPr>
                <w:rFonts w:ascii="Times New Roman" w:eastAsia="Times New Roman" w:hAnsi="Times New Roman" w:cs="Times New Roman"/>
                <w:bCs/>
                <w:sz w:val="24"/>
                <w:szCs w:val="24"/>
                <w:lang w:eastAsia="lv-LV"/>
              </w:rPr>
              <w:t xml:space="preserve"> projekts) </w:t>
            </w:r>
            <w:r w:rsidRPr="00F30098">
              <w:rPr>
                <w:rFonts w:ascii="Times New Roman" w:eastAsia="Times New Roman" w:hAnsi="Times New Roman" w:cs="Times New Roman"/>
                <w:bCs/>
                <w:sz w:val="24"/>
                <w:szCs w:val="24"/>
                <w:lang w:eastAsia="lv-LV"/>
              </w:rPr>
              <w:t>mērķ</w:t>
            </w:r>
            <w:r>
              <w:rPr>
                <w:rFonts w:ascii="Times New Roman" w:eastAsia="Times New Roman" w:hAnsi="Times New Roman" w:cs="Times New Roman"/>
                <w:bCs/>
                <w:sz w:val="24"/>
                <w:szCs w:val="24"/>
                <w:lang w:eastAsia="lv-LV"/>
              </w:rPr>
              <w:t xml:space="preserve">is ir </w:t>
            </w:r>
            <w:r w:rsidR="006D1AD8">
              <w:rPr>
                <w:rFonts w:ascii="Times New Roman" w:eastAsia="Times New Roman" w:hAnsi="Times New Roman" w:cs="Times New Roman"/>
                <w:bCs/>
                <w:sz w:val="24"/>
                <w:szCs w:val="24"/>
                <w:lang w:eastAsia="lv-LV"/>
              </w:rPr>
              <w:t>precizēt</w:t>
            </w:r>
            <w:r w:rsidR="00196505">
              <w:rPr>
                <w:rFonts w:ascii="Times New Roman" w:eastAsia="Times New Roman" w:hAnsi="Times New Roman" w:cs="Times New Roman"/>
                <w:bCs/>
                <w:sz w:val="24"/>
                <w:szCs w:val="24"/>
                <w:lang w:eastAsia="lv-LV"/>
              </w:rPr>
              <w:t xml:space="preserve"> epidemioloģiskās drošības prasības</w:t>
            </w:r>
            <w:r w:rsidR="00CA5686">
              <w:rPr>
                <w:rFonts w:ascii="Times New Roman" w:eastAsia="Times New Roman" w:hAnsi="Times New Roman" w:cs="Times New Roman"/>
                <w:bCs/>
                <w:sz w:val="24"/>
                <w:szCs w:val="24"/>
                <w:lang w:eastAsia="lv-LV"/>
              </w:rPr>
              <w:t>, uzlabojoties epidemioloģiskajai situācijai, kā arī paredzēt ātru rīcību tās pasliktināšanās gadījumā .</w:t>
            </w:r>
            <w:r w:rsidR="004B402F" w:rsidRPr="004B402F">
              <w:rPr>
                <w:rFonts w:ascii="Times New Roman" w:eastAsia="Times New Roman" w:hAnsi="Times New Roman" w:cs="Times New Roman"/>
                <w:bCs/>
                <w:sz w:val="24"/>
                <w:szCs w:val="24"/>
                <w:lang w:eastAsia="lv-LV"/>
              </w:rPr>
              <w:t xml:space="preserve"> </w:t>
            </w:r>
          </w:p>
        </w:tc>
      </w:tr>
    </w:tbl>
    <w:p w14:paraId="6DAAEE09" w14:textId="77777777" w:rsidR="0007278B" w:rsidRPr="00A17EE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0"/>
        <w:gridCol w:w="1793"/>
        <w:gridCol w:w="7299"/>
      </w:tblGrid>
      <w:tr w:rsidR="000E2322" w:rsidRPr="00AE4EFC" w14:paraId="6CBE8600"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470FB8">
        <w:trPr>
          <w:trHeight w:val="1144"/>
        </w:trPr>
        <w:tc>
          <w:tcPr>
            <w:tcW w:w="211"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C8769C8" w14:textId="05BF5D6A" w:rsidR="00154080" w:rsidRPr="00154080" w:rsidRDefault="00154080" w:rsidP="00F30098">
            <w:pPr>
              <w:rPr>
                <w:rFonts w:ascii="Times New Roman" w:eastAsia="Times New Roman" w:hAnsi="Times New Roman" w:cs="Times New Roman"/>
                <w:sz w:val="24"/>
                <w:szCs w:val="24"/>
              </w:rPr>
            </w:pPr>
          </w:p>
        </w:tc>
        <w:tc>
          <w:tcPr>
            <w:tcW w:w="3844" w:type="pct"/>
            <w:tcBorders>
              <w:top w:val="single" w:sz="4" w:space="0" w:color="auto"/>
              <w:left w:val="single" w:sz="4" w:space="0" w:color="auto"/>
              <w:bottom w:val="single" w:sz="4" w:space="0" w:color="auto"/>
              <w:right w:val="single" w:sz="4" w:space="0" w:color="auto"/>
            </w:tcBorders>
          </w:tcPr>
          <w:p w14:paraId="40B49F66" w14:textId="77777777" w:rsidR="009D4395" w:rsidRDefault="005C5DC6" w:rsidP="005C5DC6">
            <w:pPr>
              <w:pStyle w:val="NoSpacing"/>
              <w:jc w:val="both"/>
              <w:rPr>
                <w:rFonts w:ascii="Times New Roman" w:hAnsi="Times New Roman"/>
                <w:sz w:val="24"/>
                <w:szCs w:val="24"/>
              </w:rPr>
            </w:pPr>
            <w:r w:rsidRPr="00B23552">
              <w:rPr>
                <w:rFonts w:ascii="Times New Roman" w:hAnsi="Times New Roman"/>
                <w:sz w:val="24"/>
                <w:szCs w:val="24"/>
              </w:rPr>
              <w:t>Izdoti saskaņā ar Epidemioloģiskās drošības likuma 3. panta otro daļu, 14. panta pirmās daļas 5. punktu, 19. panta pirmo un 2.</w:t>
            </w:r>
            <w:r w:rsidRPr="00B23552">
              <w:rPr>
                <w:rFonts w:ascii="Times New Roman" w:hAnsi="Times New Roman"/>
                <w:sz w:val="24"/>
                <w:szCs w:val="24"/>
                <w:vertAlign w:val="superscript"/>
              </w:rPr>
              <w:t>1</w:t>
            </w:r>
            <w:r w:rsidRPr="00B23552">
              <w:rPr>
                <w:rFonts w:ascii="Times New Roman" w:hAnsi="Times New Roman"/>
                <w:sz w:val="24"/>
                <w:szCs w:val="24"/>
              </w:rPr>
              <w:t> daļu, 19.</w:t>
            </w:r>
            <w:r w:rsidRPr="00B23552">
              <w:rPr>
                <w:rFonts w:ascii="Times New Roman" w:hAnsi="Times New Roman"/>
                <w:sz w:val="24"/>
                <w:szCs w:val="24"/>
                <w:vertAlign w:val="superscript"/>
              </w:rPr>
              <w:t>1</w:t>
            </w:r>
            <w:r w:rsidRPr="00B23552">
              <w:rPr>
                <w:rFonts w:ascii="Times New Roman" w:hAnsi="Times New Roman"/>
                <w:sz w:val="24"/>
                <w:szCs w:val="24"/>
              </w:rPr>
              <w:t> pantu, 30. panta trešo daļu, 31. panta piekto daļu, 39. panta pirmo un otro daļu un Covid-19 infekcijas izplatības pārvaldības likuma 4. panta 1., 2., 3., 4., 5., 6., 7., 8., 9., 10., 11., 12., 13., 14. un 16. punktu un 6.</w:t>
            </w:r>
            <w:r w:rsidRPr="00B23552">
              <w:rPr>
                <w:rFonts w:ascii="Times New Roman" w:hAnsi="Times New Roman"/>
                <w:sz w:val="24"/>
                <w:szCs w:val="24"/>
                <w:vertAlign w:val="superscript"/>
              </w:rPr>
              <w:t>1</w:t>
            </w:r>
            <w:r w:rsidR="00B23552">
              <w:rPr>
                <w:rFonts w:ascii="Times New Roman" w:hAnsi="Times New Roman"/>
                <w:sz w:val="24"/>
                <w:szCs w:val="24"/>
                <w:vertAlign w:val="superscript"/>
              </w:rPr>
              <w:t> </w:t>
            </w:r>
            <w:r w:rsidRPr="00B23552">
              <w:rPr>
                <w:rFonts w:ascii="Times New Roman" w:hAnsi="Times New Roman"/>
                <w:sz w:val="24"/>
                <w:szCs w:val="24"/>
              </w:rPr>
              <w:t>panta otro daļu un 6.</w:t>
            </w:r>
            <w:r w:rsidRPr="00B23552">
              <w:rPr>
                <w:rFonts w:ascii="Times New Roman" w:hAnsi="Times New Roman"/>
                <w:sz w:val="24"/>
                <w:szCs w:val="24"/>
                <w:vertAlign w:val="superscript"/>
              </w:rPr>
              <w:t>3</w:t>
            </w:r>
            <w:r w:rsidR="00B23552">
              <w:rPr>
                <w:rFonts w:ascii="Times New Roman" w:hAnsi="Times New Roman"/>
                <w:sz w:val="24"/>
                <w:szCs w:val="24"/>
                <w:vertAlign w:val="superscript"/>
              </w:rPr>
              <w:t> </w:t>
            </w:r>
            <w:r w:rsidRPr="00B23552">
              <w:rPr>
                <w:rFonts w:ascii="Times New Roman" w:hAnsi="Times New Roman"/>
                <w:sz w:val="24"/>
                <w:szCs w:val="24"/>
              </w:rPr>
              <w:t>panta otro daļu, Farmācijas likuma 5.</w:t>
            </w:r>
            <w:r w:rsidR="00B23552">
              <w:rPr>
                <w:rFonts w:ascii="Times New Roman" w:hAnsi="Times New Roman"/>
                <w:sz w:val="24"/>
                <w:szCs w:val="24"/>
              </w:rPr>
              <w:t> </w:t>
            </w:r>
            <w:r w:rsidRPr="00B23552">
              <w:rPr>
                <w:rFonts w:ascii="Times New Roman" w:hAnsi="Times New Roman"/>
                <w:sz w:val="24"/>
                <w:szCs w:val="24"/>
              </w:rPr>
              <w:t>panta 3. un 12.</w:t>
            </w:r>
            <w:r w:rsidR="00B23552">
              <w:rPr>
                <w:rFonts w:ascii="Times New Roman" w:hAnsi="Times New Roman"/>
                <w:sz w:val="24"/>
                <w:szCs w:val="24"/>
              </w:rPr>
              <w:t> </w:t>
            </w:r>
            <w:r w:rsidRPr="00B23552">
              <w:rPr>
                <w:rFonts w:ascii="Times New Roman" w:hAnsi="Times New Roman"/>
                <w:sz w:val="24"/>
                <w:szCs w:val="24"/>
              </w:rPr>
              <w:t>punktu</w:t>
            </w:r>
            <w:r w:rsidR="00B23552">
              <w:rPr>
                <w:rFonts w:ascii="Times New Roman" w:hAnsi="Times New Roman"/>
                <w:sz w:val="24"/>
                <w:szCs w:val="24"/>
              </w:rPr>
              <w:t>.</w:t>
            </w:r>
          </w:p>
          <w:p w14:paraId="4F9E7C09" w14:textId="7672A210" w:rsidR="009B775D" w:rsidRPr="005C5DC6" w:rsidRDefault="009B775D" w:rsidP="005C5DC6">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BD50E2" w:rsidRPr="00BD50E2" w14:paraId="44CA8137" w14:textId="77777777" w:rsidTr="00470FB8">
        <w:trPr>
          <w:trHeight w:val="1393"/>
        </w:trPr>
        <w:tc>
          <w:tcPr>
            <w:tcW w:w="211"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944" w:type="pct"/>
            <w:tcBorders>
              <w:top w:val="single" w:sz="4" w:space="0" w:color="auto"/>
              <w:left w:val="single" w:sz="4" w:space="0" w:color="auto"/>
              <w:bottom w:val="single" w:sz="4" w:space="0" w:color="auto"/>
              <w:right w:val="single" w:sz="4" w:space="0" w:color="auto"/>
            </w:tcBorders>
            <w:hideMark/>
          </w:tcPr>
          <w:p w14:paraId="0F8281CA" w14:textId="00B5CEA3" w:rsidR="00731409"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844" w:type="pct"/>
            <w:tcBorders>
              <w:top w:val="single" w:sz="4" w:space="0" w:color="auto"/>
              <w:left w:val="single" w:sz="4" w:space="0" w:color="auto"/>
              <w:bottom w:val="single" w:sz="4" w:space="0" w:color="auto"/>
              <w:right w:val="single" w:sz="4" w:space="0" w:color="auto"/>
            </w:tcBorders>
          </w:tcPr>
          <w:p w14:paraId="4E689D4B" w14:textId="3F1E6DE9" w:rsidR="00573277" w:rsidRPr="00267D85" w:rsidRDefault="00903727" w:rsidP="00267D85">
            <w:pPr>
              <w:pStyle w:val="ListParagraph"/>
              <w:numPr>
                <w:ilvl w:val="0"/>
                <w:numId w:val="18"/>
              </w:numPr>
              <w:shd w:val="clear" w:color="auto" w:fill="FFFFFF"/>
              <w:suppressAutoHyphens/>
              <w:autoSpaceDN w:val="0"/>
              <w:spacing w:after="0" w:line="240" w:lineRule="auto"/>
              <w:ind w:left="38" w:firstLine="0"/>
              <w:jc w:val="both"/>
              <w:rPr>
                <w:rFonts w:ascii="Times New Roman" w:eastAsia="Times New Roman" w:hAnsi="Times New Roman" w:cs="Times New Roman"/>
                <w:sz w:val="24"/>
                <w:szCs w:val="24"/>
                <w:lang w:eastAsia="lv-LV"/>
              </w:rPr>
            </w:pPr>
            <w:r w:rsidRPr="00267D85">
              <w:rPr>
                <w:rFonts w:ascii="Times New Roman" w:hAnsi="Times New Roman" w:cs="Times New Roman"/>
                <w:color w:val="000000"/>
                <w:sz w:val="24"/>
                <w:szCs w:val="24"/>
                <w:bdr w:val="none" w:sz="0" w:space="0" w:color="auto" w:frame="1"/>
              </w:rPr>
              <w:t>Projekts paredz iespēju personai, kurai Latvijā pienākas valsts apmaksāts vakcinācijas pret Covid-19 pakalpojums, saņemt vakcinācijas sertifikātu Latvijā.</w:t>
            </w:r>
          </w:p>
          <w:p w14:paraId="14B8F787" w14:textId="77777777" w:rsidR="00BE5426" w:rsidRPr="00267D85" w:rsidRDefault="00BE5426" w:rsidP="00BE5426">
            <w:pPr>
              <w:pStyle w:val="xmsonormal"/>
              <w:shd w:val="clear" w:color="auto" w:fill="FFFFFF"/>
              <w:spacing w:before="0" w:beforeAutospacing="0" w:after="0" w:afterAutospacing="0"/>
              <w:jc w:val="both"/>
              <w:rPr>
                <w:color w:val="201F1E"/>
              </w:rPr>
            </w:pPr>
            <w:r w:rsidRPr="00267D85">
              <w:rPr>
                <w:color w:val="000000"/>
                <w:bdr w:val="none" w:sz="0" w:space="0" w:color="auto" w:frame="1"/>
              </w:rPr>
              <w:t>Lai personām, kurām ir tiesības uz vakcinācijas  pret Covid-19 pakalpojumu Latvijā, bet kurām šī vakcinācija veikta ārvalstī, būtu tehniski iespējams ģenerēt digitālo vakcinācijas sertifikātu, informācija par minēto vakcinācijas faktu ir jāievada e-veselības sistēmā, kā arī pirms tam jāpārliecinās, ka personai ārvalstī izsniegtais dokuments par vakcinācijas faktu ir autentisks un satur visu nepieciešamo informāciju, kas nepieciešama vakcinācijas sertifikāta saņemšanai.</w:t>
            </w:r>
          </w:p>
          <w:p w14:paraId="44458CEF" w14:textId="77777777" w:rsidR="004E084F" w:rsidRPr="00267D85" w:rsidRDefault="004E084F" w:rsidP="004E084F">
            <w:pPr>
              <w:pStyle w:val="xmsonormal"/>
              <w:shd w:val="clear" w:color="auto" w:fill="FFFFFF"/>
              <w:spacing w:before="0" w:beforeAutospacing="0" w:after="0" w:afterAutospacing="0"/>
              <w:jc w:val="both"/>
              <w:rPr>
                <w:color w:val="201F1E"/>
              </w:rPr>
            </w:pPr>
            <w:r w:rsidRPr="00267D85">
              <w:rPr>
                <w:color w:val="000000"/>
                <w:bdr w:val="none" w:sz="0" w:space="0" w:color="auto" w:frame="1"/>
              </w:rPr>
              <w:t>Lai process notiktu centralizēti un to nodrošinātu valsts pārvaldes iestādes:</w:t>
            </w:r>
          </w:p>
          <w:p w14:paraId="3B3C847E" w14:textId="77777777" w:rsidR="004E084F" w:rsidRPr="00267D85" w:rsidRDefault="004E084F" w:rsidP="004E084F">
            <w:pPr>
              <w:pStyle w:val="xmsonormal"/>
              <w:numPr>
                <w:ilvl w:val="0"/>
                <w:numId w:val="17"/>
              </w:numPr>
              <w:shd w:val="clear" w:color="auto" w:fill="FFFFFF"/>
              <w:spacing w:before="0" w:beforeAutospacing="0" w:after="0" w:afterAutospacing="0"/>
              <w:jc w:val="both"/>
              <w:rPr>
                <w:color w:val="000000"/>
              </w:rPr>
            </w:pPr>
            <w:r w:rsidRPr="00267D85">
              <w:rPr>
                <w:color w:val="000000"/>
                <w:bdr w:val="none" w:sz="0" w:space="0" w:color="auto" w:frame="1"/>
              </w:rPr>
              <w:t>iedzīvotāji dokumentus, kas apliecina ārvalstī veiktu vakcināciju pret Covid-19, varēs iesniegt piecās Nacionālā veselības dienesta filiālēs;</w:t>
            </w:r>
          </w:p>
          <w:p w14:paraId="1BB39D2F" w14:textId="77777777" w:rsidR="004E084F" w:rsidRPr="00267D85" w:rsidRDefault="004E084F" w:rsidP="004E084F">
            <w:pPr>
              <w:pStyle w:val="xmsonormal"/>
              <w:numPr>
                <w:ilvl w:val="0"/>
                <w:numId w:val="17"/>
              </w:numPr>
              <w:shd w:val="clear" w:color="auto" w:fill="FFFFFF"/>
              <w:spacing w:before="0" w:beforeAutospacing="0" w:after="0" w:afterAutospacing="0"/>
              <w:jc w:val="both"/>
              <w:rPr>
                <w:color w:val="000000"/>
              </w:rPr>
            </w:pPr>
            <w:r w:rsidRPr="00267D85">
              <w:rPr>
                <w:color w:val="000000"/>
                <w:bdr w:val="none" w:sz="0" w:space="0" w:color="auto" w:frame="1"/>
              </w:rPr>
              <w:t>dokumentu izvērtēšanu veiks  Nacionālā veselības dienests  Administratīvā procesa likumā noteiktajā kārtībā;</w:t>
            </w:r>
          </w:p>
          <w:p w14:paraId="54A1CB85" w14:textId="77777777" w:rsidR="004E084F" w:rsidRPr="00267D85" w:rsidRDefault="004E084F" w:rsidP="004E084F">
            <w:pPr>
              <w:pStyle w:val="xmsonormal"/>
              <w:numPr>
                <w:ilvl w:val="0"/>
                <w:numId w:val="17"/>
              </w:numPr>
              <w:shd w:val="clear" w:color="auto" w:fill="FFFFFF"/>
              <w:spacing w:before="0" w:beforeAutospacing="0" w:after="0" w:afterAutospacing="0"/>
              <w:jc w:val="both"/>
              <w:rPr>
                <w:color w:val="000000"/>
              </w:rPr>
            </w:pPr>
            <w:r w:rsidRPr="00267D85">
              <w:rPr>
                <w:color w:val="000000"/>
                <w:bdr w:val="none" w:sz="0" w:space="0" w:color="auto" w:frame="1"/>
              </w:rPr>
              <w:t>tehniski datu ievadīšanu e-veselības sistēmā veiks Valsts asinsdonoru centrs, ņemot vērā, ka e-veselības sistēmā datus par personām veiktām medicīniskām manipulācijām var ievadīt vienīgi ārstniecības iestādē strādājoša ārstniecības persona, kura ir reģistrēta ārstniecības personu reģistrā.</w:t>
            </w:r>
          </w:p>
          <w:p w14:paraId="2CA7BE5E" w14:textId="77777777" w:rsidR="00267D85" w:rsidRPr="00267D85" w:rsidRDefault="00267D85" w:rsidP="00267D85">
            <w:pPr>
              <w:contextualSpacing/>
              <w:jc w:val="both"/>
              <w:rPr>
                <w:rFonts w:ascii="Times New Roman" w:eastAsia="Times New Roman" w:hAnsi="Times New Roman" w:cs="Times New Roman"/>
                <w:color w:val="000000" w:themeColor="text1"/>
                <w:sz w:val="24"/>
                <w:szCs w:val="24"/>
              </w:rPr>
            </w:pPr>
            <w:r w:rsidRPr="00267D85">
              <w:rPr>
                <w:rFonts w:ascii="Times New Roman" w:eastAsia="Times New Roman" w:hAnsi="Times New Roman" w:cs="Times New Roman"/>
                <w:color w:val="000000" w:themeColor="text1"/>
                <w:sz w:val="24"/>
                <w:szCs w:val="24"/>
              </w:rPr>
              <w:t>Pamats vakcinācijas fakta ievadei e-veselībā būs:</w:t>
            </w:r>
          </w:p>
          <w:p w14:paraId="3A3EED99" w14:textId="5770A012" w:rsidR="00267D85" w:rsidRPr="00267D85" w:rsidRDefault="00267D85" w:rsidP="00267D85">
            <w:pPr>
              <w:contextualSpacing/>
              <w:jc w:val="both"/>
              <w:rPr>
                <w:rFonts w:ascii="Times New Roman" w:hAnsi="Times New Roman" w:cs="Times New Roman"/>
                <w:color w:val="414142"/>
                <w:sz w:val="24"/>
                <w:szCs w:val="24"/>
              </w:rPr>
            </w:pPr>
            <w:r w:rsidRPr="00267D85">
              <w:rPr>
                <w:rFonts w:ascii="Times New Roman" w:hAnsi="Times New Roman" w:cs="Times New Roman"/>
                <w:b/>
                <w:bCs/>
                <w:sz w:val="24"/>
                <w:szCs w:val="24"/>
              </w:rPr>
              <w:t>Starptautisk</w:t>
            </w:r>
            <w:r w:rsidR="00EA00E8">
              <w:rPr>
                <w:rFonts w:ascii="Times New Roman" w:hAnsi="Times New Roman" w:cs="Times New Roman"/>
                <w:b/>
                <w:bCs/>
                <w:sz w:val="24"/>
                <w:szCs w:val="24"/>
              </w:rPr>
              <w:t>a</w:t>
            </w:r>
            <w:r w:rsidRPr="00267D85">
              <w:rPr>
                <w:rFonts w:ascii="Times New Roman" w:hAnsi="Times New Roman" w:cs="Times New Roman"/>
                <w:b/>
                <w:bCs/>
                <w:sz w:val="24"/>
                <w:szCs w:val="24"/>
              </w:rPr>
              <w:t xml:space="preserve"> vakcinācijas vai profilakses apliecība</w:t>
            </w:r>
            <w:r w:rsidRPr="00267D85">
              <w:rPr>
                <w:rFonts w:ascii="Times New Roman" w:hAnsi="Times New Roman" w:cs="Times New Roman"/>
                <w:sz w:val="24"/>
                <w:szCs w:val="24"/>
              </w:rPr>
              <w:t xml:space="preserve">, kuras formu noteikusi un pastiprinājusi </w:t>
            </w:r>
            <w:r w:rsidRPr="00267D85">
              <w:rPr>
                <w:rFonts w:ascii="Times New Roman" w:hAnsi="Times New Roman" w:cs="Times New Roman"/>
                <w:color w:val="414142"/>
                <w:sz w:val="24"/>
                <w:szCs w:val="24"/>
              </w:rPr>
              <w:t>PVO Starptautiskajos veselības aizsardzības noteikumos un mūsu Ministru kabineta 2007.gadā tos ir ratificējis (</w:t>
            </w:r>
            <w:hyperlink r:id="rId9" w:history="1">
              <w:r w:rsidRPr="00267D85">
                <w:rPr>
                  <w:rStyle w:val="Hyperlink"/>
                  <w:rFonts w:ascii="Times New Roman" w:hAnsi="Times New Roman" w:cs="Times New Roman"/>
                  <w:sz w:val="24"/>
                  <w:szCs w:val="24"/>
                </w:rPr>
                <w:t>https://likumi.lv/ta/lv/starptautiskie-ligumi/id/1592-starptautiskie-veselibas-aizsardzibas-noteikumi</w:t>
              </w:r>
            </w:hyperlink>
            <w:r w:rsidRPr="00267D85">
              <w:rPr>
                <w:rFonts w:ascii="Times New Roman" w:hAnsi="Times New Roman" w:cs="Times New Roman"/>
                <w:color w:val="414142"/>
                <w:sz w:val="24"/>
                <w:szCs w:val="24"/>
              </w:rPr>
              <w:t xml:space="preserve">). </w:t>
            </w:r>
          </w:p>
          <w:p w14:paraId="1B2DCB12" w14:textId="77777777" w:rsidR="00267D85" w:rsidRPr="00267D85" w:rsidRDefault="00267D85" w:rsidP="00267D85">
            <w:pPr>
              <w:rPr>
                <w:rFonts w:ascii="Times New Roman" w:eastAsia="Times New Roman" w:hAnsi="Times New Roman" w:cs="Times New Roman"/>
                <w:color w:val="000000"/>
                <w:sz w:val="24"/>
                <w:szCs w:val="24"/>
              </w:rPr>
            </w:pPr>
            <w:r w:rsidRPr="00267D85">
              <w:rPr>
                <w:rFonts w:ascii="Times New Roman" w:eastAsia="Times New Roman" w:hAnsi="Times New Roman" w:cs="Times New Roman"/>
                <w:b/>
                <w:bCs/>
                <w:color w:val="000000" w:themeColor="text1"/>
                <w:sz w:val="24"/>
                <w:szCs w:val="24"/>
              </w:rPr>
              <w:lastRenderedPageBreak/>
              <w:t>Ārstniecības iestādes sertifikāts</w:t>
            </w:r>
            <w:r w:rsidRPr="00267D85">
              <w:rPr>
                <w:rFonts w:ascii="Times New Roman" w:eastAsia="Times New Roman" w:hAnsi="Times New Roman" w:cs="Times New Roman"/>
                <w:color w:val="000000" w:themeColor="text1"/>
                <w:sz w:val="24"/>
                <w:szCs w:val="24"/>
              </w:rPr>
              <w:t xml:space="preserve"> – sertifikātu paraugu ir pieejami NVD tīmekļa vietnē (</w:t>
            </w:r>
            <w:hyperlink r:id="rId10" w:history="1">
              <w:r w:rsidRPr="00267D85">
                <w:rPr>
                  <w:rStyle w:val="Hyperlink"/>
                  <w:rFonts w:ascii="Times New Roman" w:eastAsia="Times New Roman" w:hAnsi="Times New Roman" w:cs="Times New Roman"/>
                  <w:sz w:val="24"/>
                  <w:szCs w:val="24"/>
                </w:rPr>
                <w:t>https://www.vmnvd.gov.lv/lv/citu-valstu-sertifikatu-paraugi</w:t>
              </w:r>
            </w:hyperlink>
            <w:r w:rsidRPr="00267D85">
              <w:rPr>
                <w:rFonts w:ascii="Times New Roman" w:hAnsi="Times New Roman" w:cs="Times New Roman"/>
                <w:sz w:val="24"/>
                <w:szCs w:val="24"/>
              </w:rPr>
              <w:t>)</w:t>
            </w:r>
          </w:p>
          <w:p w14:paraId="3E5DA951" w14:textId="3AB407E6" w:rsidR="00CA5686" w:rsidRPr="00267D85" w:rsidRDefault="00CA5686" w:rsidP="00267D85">
            <w:pPr>
              <w:pStyle w:val="ListParagraph"/>
              <w:numPr>
                <w:ilvl w:val="0"/>
                <w:numId w:val="18"/>
              </w:numPr>
              <w:shd w:val="clear" w:color="auto" w:fill="FFFFFF"/>
              <w:suppressAutoHyphens/>
              <w:autoSpaceDN w:val="0"/>
              <w:spacing w:after="0" w:line="240" w:lineRule="auto"/>
              <w:ind w:left="0" w:firstLine="0"/>
              <w:jc w:val="both"/>
              <w:rPr>
                <w:rFonts w:ascii="Times New Roman" w:eastAsia="Times New Roman" w:hAnsi="Times New Roman" w:cs="Times New Roman"/>
                <w:sz w:val="24"/>
                <w:szCs w:val="24"/>
                <w:lang w:eastAsia="lv-LV"/>
              </w:rPr>
            </w:pPr>
            <w:r w:rsidRPr="00267D85">
              <w:rPr>
                <w:rFonts w:ascii="Times New Roman" w:eastAsia="Times New Roman" w:hAnsi="Times New Roman" w:cs="Times New Roman"/>
                <w:sz w:val="24"/>
                <w:szCs w:val="24"/>
                <w:lang w:eastAsia="lv-LV"/>
              </w:rPr>
              <w:t>Atbilstoši luksofora principam, Covid-19 izplatības līmenim sasniedzot vidēju riska pakāpi (14 dienu jauno Covid-19 gadījumu skaits ir no 99 līdz 20 uz 100 000 iedzīvotājiem) ir iespējams mazināt piesardzības un drošības pasākumus. Vienlaicīgi ir nepieciešams paredzēt to, ka pieaugot Covid-19 izplatībai un situācijai atgriežoties augsta riska līmenī, ja saslimstība pārsniedz 120, tiek atjaunoti šobrīd spēkā esošie piesardzības un drošības pasākumi. Tāpat ir jāņem vērā, ka konstatējot Covid-19 saslimstības pieaugumu par 20%, ir jāņem vērā, ka arī pastāv augsts risks straujai infekcijas izplatībai, un ir nepieciešams lemt par papildus piesardzības un drošības pasākumu ieviešanu.</w:t>
            </w:r>
          </w:p>
          <w:p w14:paraId="2A35663D" w14:textId="52094B92" w:rsidR="00CA5686" w:rsidRPr="00CA5686" w:rsidRDefault="00CA5686" w:rsidP="00CA568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r w:rsidRPr="00CA5686">
              <w:rPr>
                <w:rFonts w:ascii="Times New Roman" w:eastAsia="Times New Roman" w:hAnsi="Times New Roman" w:cs="Times New Roman"/>
                <w:sz w:val="24"/>
                <w:szCs w:val="24"/>
                <w:lang w:eastAsia="lv-LV"/>
              </w:rPr>
              <w:t xml:space="preserve">Saslimstības rādītājus savā interneta vietnē publicē </w:t>
            </w:r>
            <w:r>
              <w:rPr>
                <w:rFonts w:ascii="Times New Roman" w:eastAsia="Times New Roman" w:hAnsi="Times New Roman" w:cs="Times New Roman"/>
                <w:sz w:val="24"/>
                <w:szCs w:val="24"/>
                <w:lang w:eastAsia="lv-LV"/>
              </w:rPr>
              <w:t>S</w:t>
            </w:r>
            <w:r w:rsidRPr="00CA5686">
              <w:rPr>
                <w:rFonts w:ascii="Times New Roman" w:eastAsia="Times New Roman" w:hAnsi="Times New Roman" w:cs="Times New Roman"/>
                <w:sz w:val="24"/>
                <w:szCs w:val="24"/>
                <w:lang w:eastAsia="lv-LV"/>
              </w:rPr>
              <w:t>limību profilakses un kontroles centrs un</w:t>
            </w:r>
            <w:r>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vadoties no tiem</w:t>
            </w:r>
            <w:r>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arī tiks automātiski piemēroti pasākumi, kas ir jāievēro, ja 14 dienu kumulatīvais Covid-19 gadījumu skaits ir </w:t>
            </w:r>
            <w:r>
              <w:rPr>
                <w:rFonts w:ascii="Times New Roman" w:eastAsia="Times New Roman" w:hAnsi="Times New Roman" w:cs="Times New Roman"/>
                <w:sz w:val="24"/>
                <w:szCs w:val="24"/>
                <w:lang w:eastAsia="lv-LV"/>
              </w:rPr>
              <w:t>zem</w:t>
            </w:r>
            <w:r w:rsidRPr="00CA5686">
              <w:rPr>
                <w:rFonts w:ascii="Times New Roman" w:eastAsia="Times New Roman" w:hAnsi="Times New Roman" w:cs="Times New Roman"/>
                <w:sz w:val="24"/>
                <w:szCs w:val="24"/>
                <w:lang w:eastAsia="lv-LV"/>
              </w:rPr>
              <w:t xml:space="preserve"> 100 uz 100 000 iedzīvotāju</w:t>
            </w:r>
            <w:r w:rsidR="006C2EC0">
              <w:rPr>
                <w:rFonts w:ascii="Times New Roman" w:eastAsia="Times New Roman" w:hAnsi="Times New Roman" w:cs="Times New Roman"/>
                <w:sz w:val="24"/>
                <w:szCs w:val="24"/>
                <w:lang w:eastAsia="lv-LV"/>
              </w:rPr>
              <w:t xml:space="preserve"> un šis nosacījums stāsies spēkā automātiski nākamajā dienā, kad SPKC mājaslapā būs publicēta minētā informācija</w:t>
            </w:r>
            <w:r w:rsidR="004C7B99">
              <w:rPr>
                <w:rFonts w:ascii="Times New Roman" w:eastAsia="Times New Roman" w:hAnsi="Times New Roman" w:cs="Times New Roman"/>
                <w:sz w:val="24"/>
                <w:szCs w:val="24"/>
                <w:lang w:eastAsia="lv-LV"/>
              </w:rPr>
              <w:t xml:space="preserve">. Savukārt </w:t>
            </w:r>
            <w:r w:rsidR="006C2EC0">
              <w:rPr>
                <w:rFonts w:ascii="Times New Roman" w:eastAsia="Times New Roman" w:hAnsi="Times New Roman" w:cs="Times New Roman"/>
                <w:sz w:val="24"/>
                <w:szCs w:val="24"/>
                <w:lang w:eastAsia="lv-LV"/>
              </w:rPr>
              <w:t xml:space="preserve"> </w:t>
            </w:r>
            <w:r w:rsidRPr="00CA5686">
              <w:rPr>
                <w:rFonts w:ascii="Times New Roman" w:eastAsia="Times New Roman" w:hAnsi="Times New Roman" w:cs="Times New Roman"/>
                <w:sz w:val="24"/>
                <w:szCs w:val="24"/>
                <w:lang w:eastAsia="lv-LV"/>
              </w:rPr>
              <w:t xml:space="preserve"> </w:t>
            </w:r>
            <w:r w:rsidR="004C7B99">
              <w:rPr>
                <w:rFonts w:ascii="Times New Roman" w:eastAsia="Times New Roman" w:hAnsi="Times New Roman" w:cs="Times New Roman"/>
                <w:sz w:val="24"/>
                <w:szCs w:val="24"/>
                <w:lang w:eastAsia="lv-LV"/>
              </w:rPr>
              <w:t>situācijā, kad būs jāatgriežas pie regulējama, kāds ir šobrīd augsta Covid-19 izplatības riska apstākļos, Slimību profilakses un kontroles centrs informāciju publicēs oficālajā laikrakstā Vēstnesis un nosacījumi automātiski stāsies spēkā pēc 3 dienām pēc informācijas publicēšanas.</w:t>
            </w:r>
          </w:p>
          <w:p w14:paraId="5D9FF585" w14:textId="7F353487" w:rsidR="00CA5686" w:rsidRPr="00CA5686" w:rsidRDefault="00CA5686" w:rsidP="00CA568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r w:rsidRPr="00CA5686">
              <w:rPr>
                <w:rFonts w:ascii="Times New Roman" w:eastAsia="Times New Roman" w:hAnsi="Times New Roman" w:cs="Times New Roman"/>
                <w:sz w:val="24"/>
                <w:szCs w:val="24"/>
                <w:lang w:eastAsia="lv-LV"/>
              </w:rPr>
              <w:t>Ņemot vērā minēto</w:t>
            </w:r>
            <w:r>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MK noteikumu projekts paredz izmaiņas piesardzības un drošības pasākumiem</w:t>
            </w:r>
            <w:r>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vadoties no trīs drošības līmeņiem:</w:t>
            </w:r>
          </w:p>
          <w:p w14:paraId="5C9AD478" w14:textId="659FD1A9" w:rsidR="00CA5686" w:rsidRPr="00CA5686" w:rsidRDefault="00CA5686" w:rsidP="00CA568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bookmarkStart w:id="0" w:name="_Hlk75180216"/>
            <w:r>
              <w:rPr>
                <w:rFonts w:ascii="Times New Roman" w:eastAsia="Times New Roman" w:hAnsi="Times New Roman" w:cs="Times New Roman"/>
                <w:sz w:val="24"/>
                <w:szCs w:val="24"/>
                <w:u w:val="single"/>
                <w:lang w:eastAsia="lv-LV"/>
              </w:rPr>
              <w:t>1.</w:t>
            </w:r>
            <w:r w:rsidRPr="00CA5686">
              <w:rPr>
                <w:rFonts w:ascii="Times New Roman" w:eastAsia="Times New Roman" w:hAnsi="Times New Roman" w:cs="Times New Roman"/>
                <w:sz w:val="24"/>
                <w:szCs w:val="24"/>
                <w:u w:val="single"/>
                <w:lang w:eastAsia="lv-LV"/>
              </w:rPr>
              <w:t>Visdrošākais (zaļais) aizsardzības līmenis</w:t>
            </w:r>
            <w:r w:rsidRPr="00CA5686">
              <w:rPr>
                <w:rFonts w:ascii="Times New Roman" w:eastAsia="Times New Roman" w:hAnsi="Times New Roman" w:cs="Times New Roman"/>
                <w:sz w:val="24"/>
                <w:szCs w:val="24"/>
                <w:lang w:eastAsia="lv-LV"/>
              </w:rPr>
              <w:t xml:space="preserve"> – attiecas uz personām, kas var uzrādīt vakcinācijas vai pārslimošanas sertifikātu. Personu, kas ir ieguvušas aizsardzību pret Covid-19, vidū infekcijas izplatības riski ir ļoti zem</w:t>
            </w:r>
            <w:r>
              <w:rPr>
                <w:rFonts w:ascii="Times New Roman" w:eastAsia="Times New Roman" w:hAnsi="Times New Roman" w:cs="Times New Roman"/>
                <w:sz w:val="24"/>
                <w:szCs w:val="24"/>
                <w:lang w:eastAsia="lv-LV"/>
              </w:rPr>
              <w:t>i</w:t>
            </w:r>
            <w:r w:rsidRPr="00CA5686">
              <w:rPr>
                <w:rFonts w:ascii="Times New Roman" w:eastAsia="Times New Roman" w:hAnsi="Times New Roman" w:cs="Times New Roman"/>
                <w:sz w:val="24"/>
                <w:szCs w:val="24"/>
                <w:lang w:eastAsia="lv-LV"/>
              </w:rPr>
              <w:t>, tādēļ šīs personas var savstarpēji sastapties līdzīgi</w:t>
            </w:r>
            <w:r w:rsidR="00457B37">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kā tas bija pirmspandēmijas periodā</w:t>
            </w:r>
            <w:r w:rsidR="00457B37">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un uz šīm personām var neattiecināt Covid-19 ierobežošanas pasākumus. Tādēļ papildus jau šobrīd noteiktajiem izņēmumiem Covid-19 epidemioloģiskās drošības pasākumu ievērošanā tiek atcelts ierobežojums personām, kas var uzrādīt vakcinācijas vai pārslimošanas sertifikātu pulcēties organizētos kolektīvos (darba vietās, amatiermākslas kolektīvos, amatieru sporta treniņu grupās utml.). Pulcējoties šādām personām gan organizētos kolektīvos, gan privātos pasākumos</w:t>
            </w:r>
            <w:r w:rsidR="00457B37">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jābūt atbildīgajai personai, kas pārliecinās, ka vienlaicīgi pulcējas tikai atbilstošas personas, organizētos kolektīvos atbildīgā persona ir kolektīva vadītājs, bet privātos pasākumos</w:t>
            </w:r>
            <w:r w:rsidR="00457B37">
              <w:rPr>
                <w:rFonts w:ascii="Times New Roman" w:eastAsia="Times New Roman" w:hAnsi="Times New Roman" w:cs="Times New Roman"/>
                <w:sz w:val="24"/>
                <w:szCs w:val="24"/>
                <w:lang w:eastAsia="lv-LV"/>
              </w:rPr>
              <w:t xml:space="preserve"> -</w:t>
            </w:r>
            <w:r w:rsidRPr="00CA5686">
              <w:rPr>
                <w:rFonts w:ascii="Times New Roman" w:eastAsia="Times New Roman" w:hAnsi="Times New Roman" w:cs="Times New Roman"/>
                <w:sz w:val="24"/>
                <w:szCs w:val="24"/>
                <w:lang w:eastAsia="lv-LV"/>
              </w:rPr>
              <w:t xml:space="preserve"> pasākuma norises vietas īpašnieks vai organizators. Valsts policijai šādos gadījumos ir tiesības veikt kontrol</w:t>
            </w:r>
            <w:r w:rsidR="00457B37">
              <w:rPr>
                <w:rFonts w:ascii="Times New Roman" w:eastAsia="Times New Roman" w:hAnsi="Times New Roman" w:cs="Times New Roman"/>
                <w:sz w:val="24"/>
                <w:szCs w:val="24"/>
                <w:lang w:eastAsia="lv-LV"/>
              </w:rPr>
              <w:t xml:space="preserve">i, </w:t>
            </w:r>
            <w:r w:rsidRPr="00CA5686">
              <w:rPr>
                <w:rFonts w:ascii="Times New Roman" w:eastAsia="Times New Roman" w:hAnsi="Times New Roman" w:cs="Times New Roman"/>
                <w:sz w:val="24"/>
                <w:szCs w:val="24"/>
                <w:lang w:eastAsia="lv-LV"/>
              </w:rPr>
              <w:t xml:space="preserve"> vai klātesošajām personām ir attiecīgi sertifikāti.</w:t>
            </w:r>
          </w:p>
          <w:p w14:paraId="3AD5E1AD" w14:textId="2039226F" w:rsidR="00CA5686" w:rsidRPr="00CA5686" w:rsidRDefault="00CA5686" w:rsidP="00CA568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 xml:space="preserve">2. </w:t>
            </w:r>
            <w:r w:rsidRPr="00CA5686">
              <w:rPr>
                <w:rFonts w:ascii="Times New Roman" w:eastAsia="Times New Roman" w:hAnsi="Times New Roman" w:cs="Times New Roman"/>
                <w:sz w:val="24"/>
                <w:szCs w:val="24"/>
                <w:u w:val="single"/>
                <w:lang w:eastAsia="lv-LV"/>
              </w:rPr>
              <w:t>Vidējas (dzeltenais) aizsardzības līmenis</w:t>
            </w:r>
            <w:r w:rsidRPr="00CA5686">
              <w:rPr>
                <w:rFonts w:ascii="Times New Roman" w:eastAsia="Times New Roman" w:hAnsi="Times New Roman" w:cs="Times New Roman"/>
                <w:sz w:val="24"/>
                <w:szCs w:val="24"/>
                <w:lang w:eastAsia="lv-LV"/>
              </w:rPr>
              <w:t xml:space="preserve"> – paredz iespēju ar papildus drošības prasībām saņemt pakalpojumus un piedalīties pasākumos personām, kas var uzrādīt pārslimošanas vai vakcinācijas sertifikātu, kā arī personas, kam ir testēšanas sertifikāts, kas apliecina, ka Covid-19 tests, nosakot SARS CoV-2  RNS ne agrāk kā pirms 48 stundām</w:t>
            </w:r>
            <w:r w:rsidR="00457B37">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ir negatīvs</w:t>
            </w:r>
            <w:r w:rsidR="00457B37">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vai SARS CoV-2 antigēna tests, kas veikts ne agrāk kā pirms 6 stundām</w:t>
            </w:r>
            <w:r w:rsidR="00457B37">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ir negatīvs. Šādā gadījumā pakalpojuma sniedzējam vai pasākuma organizēšanā iesaistītajām personām jābūt ar vakcinācijas, pārslimošanas vai testēšanas sertifikātu, kas apliecina, ka ir veikts Covid-19 tests, nosakot </w:t>
            </w:r>
            <w:r w:rsidRPr="00CA5686">
              <w:rPr>
                <w:rFonts w:ascii="Times New Roman" w:eastAsia="Times New Roman" w:hAnsi="Times New Roman" w:cs="Times New Roman"/>
                <w:sz w:val="24"/>
                <w:szCs w:val="24"/>
                <w:lang w:eastAsia="lv-LV"/>
              </w:rPr>
              <w:lastRenderedPageBreak/>
              <w:t>SARS CoV-2  RNS ne agrāk kā pirms 96 stundām</w:t>
            </w:r>
            <w:r w:rsidR="00457B37">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un tas ir negatīvs. Tāpat tiek saglabāti nosacījumi, ka šādos gadījumos tiek ievērti pārējie epidemioloģiskās drošības nosacījumi, kas tiek attiecināti uz pasākuma noris</w:t>
            </w:r>
            <w:r w:rsidR="00457B37">
              <w:rPr>
                <w:rFonts w:ascii="Times New Roman" w:eastAsia="Times New Roman" w:hAnsi="Times New Roman" w:cs="Times New Roman"/>
                <w:sz w:val="24"/>
                <w:szCs w:val="24"/>
                <w:lang w:eastAsia="lv-LV"/>
              </w:rPr>
              <w:t>i</w:t>
            </w:r>
            <w:r w:rsidRPr="00CA5686">
              <w:rPr>
                <w:rFonts w:ascii="Times New Roman" w:eastAsia="Times New Roman" w:hAnsi="Times New Roman" w:cs="Times New Roman"/>
                <w:sz w:val="24"/>
                <w:szCs w:val="24"/>
                <w:lang w:eastAsia="lv-LV"/>
              </w:rPr>
              <w:t xml:space="preserve"> vai konkrētā pakalpojuma sniegšanu. Samazinoties Covid-19 izplatības riskam uz vidēju līmeni, tiek paplašināta iespēja personām pulcēties dzeltenā aizsardzības līmeņa ietvarā – 300 personas iekštelpās un 500 personas ārtelpās. Vienlaicīgi ir jāņem vērā, ka personām, kas uzturas dzeltenā aizsardzības līmeņa ietvarā organizēto pasākumu vai sniegto pakalpojumu vietā, ir pienākums uzrādīt sertifikātus, kas apliecina atbilstību, gan pasākuma organizatoru, gan pakalpojumu sniedzēju nozīmētām atbildīgajām personām vai kontrolējošo iestāžu pārstāvjiem.</w:t>
            </w:r>
          </w:p>
          <w:p w14:paraId="3A3F7AC5" w14:textId="7140EEF8" w:rsidR="00CA5686" w:rsidRPr="00CA5686" w:rsidRDefault="00CA5686" w:rsidP="00CA568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 xml:space="preserve">3. </w:t>
            </w:r>
            <w:r w:rsidRPr="00CA5686">
              <w:rPr>
                <w:rFonts w:ascii="Times New Roman" w:eastAsia="Times New Roman" w:hAnsi="Times New Roman" w:cs="Times New Roman"/>
                <w:sz w:val="24"/>
                <w:szCs w:val="24"/>
                <w:u w:val="single"/>
                <w:lang w:eastAsia="lv-LV"/>
              </w:rPr>
              <w:t>Aizsardzības līmenis ar viszemāko drošības pakāpi (sarkanais)</w:t>
            </w:r>
            <w:r w:rsidRPr="00CA5686">
              <w:rPr>
                <w:rFonts w:ascii="Times New Roman" w:eastAsia="Times New Roman" w:hAnsi="Times New Roman" w:cs="Times New Roman"/>
                <w:sz w:val="24"/>
                <w:szCs w:val="24"/>
                <w:lang w:eastAsia="lv-LV"/>
              </w:rPr>
              <w:t xml:space="preserve"> – ietver epidemioloģiskās drošības prasības sastopoties personām, kurām nav nedz vakcinācijas vai pārslimošanas sertifikāta, nedz testēšanas sertifikāta. Šādos gadījumos tiek paredzēti piesardzības un drošības pasākumi ar ierobežojumiem pakalpojumu sniegšanai un pasākumu apmeklēšanai, paredzot personu skaita ierobežojumus, ierobežojumus sniegt augsta riska pakalpojumus, kuru gadījumā ir ciešs un ilgstošs kontakts starp personām un tamlīdzīgi. Samazinoties Covid-19 izplatības riskam uz vidēju līmeni, tiek paplašināta iespēja personām pulcēties arī šādos apstākļos – 20 personas iekštelpās un 50 personas brīvā dabā. Tas nozīmē, ka</w:t>
            </w:r>
            <w:r w:rsidR="00457B37">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neatkarīgi no vietas</w:t>
            </w:r>
            <w:r w:rsidR="00457B37">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nedrīkst pulcēties vairāk kā iepriekš minētais personu skaits,  vienlaicīgi ievērojot piesardzības un drošības pasākumus – distancēšanos, mutes un degunu aizsegu lietošanu utml. </w:t>
            </w:r>
          </w:p>
          <w:bookmarkEnd w:id="0"/>
          <w:p w14:paraId="3055B800" w14:textId="77777777" w:rsidR="00CA5686" w:rsidRPr="00CA5686" w:rsidRDefault="00CA5686" w:rsidP="00CA568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p>
          <w:p w14:paraId="6380A912" w14:textId="17827AD3" w:rsidR="00CA5686" w:rsidRPr="00CA5686" w:rsidRDefault="00CA5686" w:rsidP="00CA568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r w:rsidRPr="00CA5686">
              <w:rPr>
                <w:rFonts w:ascii="Times New Roman" w:eastAsia="Times New Roman" w:hAnsi="Times New Roman" w:cs="Times New Roman"/>
                <w:sz w:val="24"/>
                <w:szCs w:val="24"/>
                <w:lang w:eastAsia="lv-LV"/>
              </w:rPr>
              <w:t xml:space="preserve">Papildus minētajiem nosacījumiem noteikumu projekts arī paredz izmaiņas cilvēku pulcēšanās nosacījumiem gadījumā, ja Covid-19 saslimstības līmenis atbildīs vidējam izplatības riskam – 14 dienu kumulatīvais Covid-19 gadījumu skaits būs zem 100 uz 100 000 iedzīvotājiem. Noteikumu projekts attiecīgi paredz nosacījumus platības regulējumam objektos atkarībā no riska pakāpes – sporta norises vietās, saimniecisko pakalpojumu sniegšanas vietās, kur ir augsts risks Covid-19 izplatībai saistībā ar to, ka </w:t>
            </w:r>
            <w:r w:rsidR="00457B37">
              <w:rPr>
                <w:rFonts w:ascii="Times New Roman" w:eastAsia="Times New Roman" w:hAnsi="Times New Roman" w:cs="Times New Roman"/>
                <w:sz w:val="24"/>
                <w:szCs w:val="24"/>
                <w:lang w:eastAsia="lv-LV"/>
              </w:rPr>
              <w:t xml:space="preserve">ir </w:t>
            </w:r>
            <w:r w:rsidRPr="00CA5686">
              <w:rPr>
                <w:rFonts w:ascii="Times New Roman" w:eastAsia="Times New Roman" w:hAnsi="Times New Roman" w:cs="Times New Roman"/>
                <w:sz w:val="24"/>
                <w:szCs w:val="24"/>
                <w:lang w:eastAsia="lv-LV"/>
              </w:rPr>
              <w:t>intensīva elpošana  runāšanas, dziedāšanas vai fizisk</w:t>
            </w:r>
            <w:r w:rsidR="00457B37">
              <w:rPr>
                <w:rFonts w:ascii="Times New Roman" w:eastAsia="Times New Roman" w:hAnsi="Times New Roman" w:cs="Times New Roman"/>
                <w:sz w:val="24"/>
                <w:szCs w:val="24"/>
                <w:lang w:eastAsia="lv-LV"/>
              </w:rPr>
              <w:t>o</w:t>
            </w:r>
            <w:r w:rsidRPr="00CA5686">
              <w:rPr>
                <w:rFonts w:ascii="Times New Roman" w:eastAsia="Times New Roman" w:hAnsi="Times New Roman" w:cs="Times New Roman"/>
                <w:sz w:val="24"/>
                <w:szCs w:val="24"/>
                <w:lang w:eastAsia="lv-LV"/>
              </w:rPr>
              <w:t xml:space="preserve"> aktivitā</w:t>
            </w:r>
            <w:r w:rsidR="00457B37">
              <w:rPr>
                <w:rFonts w:ascii="Times New Roman" w:eastAsia="Times New Roman" w:hAnsi="Times New Roman" w:cs="Times New Roman"/>
                <w:sz w:val="24"/>
                <w:szCs w:val="24"/>
                <w:lang w:eastAsia="lv-LV"/>
              </w:rPr>
              <w:t>šu dēļ,</w:t>
            </w:r>
            <w:r w:rsidRPr="00CA5686">
              <w:rPr>
                <w:rFonts w:ascii="Times New Roman" w:eastAsia="Times New Roman" w:hAnsi="Times New Roman" w:cs="Times New Roman"/>
                <w:sz w:val="24"/>
                <w:szCs w:val="24"/>
                <w:lang w:eastAsia="lv-LV"/>
              </w:rPr>
              <w:t xml:space="preserve"> vai arī ciešs kontakts starp apmeklētājiem</w:t>
            </w:r>
            <w:r w:rsidR="00457B37">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izmantojot ģērbtuves</w:t>
            </w:r>
            <w:r w:rsidR="00457B37">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vai kur ir apgrūtināta iespēja nodrošināt distanci pakalpojuma specifikas dēļ, tiek paredzēts, ka uz vienu apmeklētāju ir jānodrošina 15m</w:t>
            </w:r>
            <w:r w:rsidRPr="00CA5686">
              <w:rPr>
                <w:rFonts w:ascii="Times New Roman" w:eastAsia="Times New Roman" w:hAnsi="Times New Roman" w:cs="Times New Roman"/>
                <w:sz w:val="24"/>
                <w:szCs w:val="24"/>
                <w:vertAlign w:val="superscript"/>
                <w:lang w:eastAsia="lv-LV"/>
              </w:rPr>
              <w:t>2</w:t>
            </w:r>
            <w:r w:rsidRPr="00CA5686">
              <w:rPr>
                <w:rFonts w:ascii="Times New Roman" w:eastAsia="Times New Roman" w:hAnsi="Times New Roman" w:cs="Times New Roman"/>
                <w:sz w:val="24"/>
                <w:szCs w:val="24"/>
                <w:lang w:eastAsia="lv-LV"/>
              </w:rPr>
              <w:t xml:space="preserve"> platība. Savukārt objektos, kur ir vidējs risks infekcijas izplatībai, jo cilvēki var distancēties iezīmētās vietās, vai kur ir aktīva cilvēku plūsma un cilvēku savstarpējais kontakts ir īslaicīgs</w:t>
            </w:r>
            <w:r w:rsidR="00457B37">
              <w:rPr>
                <w:rFonts w:ascii="Times New Roman" w:eastAsia="Times New Roman" w:hAnsi="Times New Roman" w:cs="Times New Roman"/>
                <w:sz w:val="24"/>
                <w:szCs w:val="24"/>
                <w:lang w:eastAsia="lv-LV"/>
              </w:rPr>
              <w:t xml:space="preserve"> </w:t>
            </w:r>
            <w:r w:rsidRPr="00CA5686">
              <w:rPr>
                <w:rFonts w:ascii="Times New Roman" w:eastAsia="Times New Roman" w:hAnsi="Times New Roman" w:cs="Times New Roman"/>
                <w:sz w:val="24"/>
                <w:szCs w:val="24"/>
                <w:lang w:eastAsia="lv-LV"/>
              </w:rPr>
              <w:t>(izstādes, muzeji, reliģiskās darbības veikšanas vietas utml.), ir jānodrošina platība 10m</w:t>
            </w:r>
            <w:r w:rsidRPr="00CA5686">
              <w:rPr>
                <w:rFonts w:ascii="Times New Roman" w:eastAsia="Times New Roman" w:hAnsi="Times New Roman" w:cs="Times New Roman"/>
                <w:sz w:val="24"/>
                <w:szCs w:val="24"/>
                <w:vertAlign w:val="superscript"/>
                <w:lang w:eastAsia="lv-LV"/>
              </w:rPr>
              <w:t>2</w:t>
            </w:r>
            <w:r w:rsidRPr="00CA5686">
              <w:rPr>
                <w:rFonts w:ascii="Times New Roman" w:eastAsia="Times New Roman" w:hAnsi="Times New Roman" w:cs="Times New Roman"/>
                <w:sz w:val="24"/>
                <w:szCs w:val="24"/>
                <w:lang w:eastAsia="lv-LV"/>
              </w:rPr>
              <w:t xml:space="preserve"> uz vienu apmeklētāju, ņemot vērā to, ka tirdzniecības vietās distancēšanās iespējas ierobežo tirdzniecības vietas aprīkojums – plaukti, preces utml., lai apmeklētājiem pieejamā platība būtu 10 m</w:t>
            </w:r>
            <w:r w:rsidRPr="00CA5686">
              <w:rPr>
                <w:rFonts w:ascii="Times New Roman" w:eastAsia="Times New Roman" w:hAnsi="Times New Roman" w:cs="Times New Roman"/>
                <w:sz w:val="24"/>
                <w:szCs w:val="24"/>
                <w:vertAlign w:val="superscript"/>
                <w:lang w:eastAsia="lv-LV"/>
              </w:rPr>
              <w:t>2</w:t>
            </w:r>
            <w:r w:rsidRPr="00CA5686">
              <w:rPr>
                <w:rFonts w:ascii="Times New Roman" w:eastAsia="Times New Roman" w:hAnsi="Times New Roman" w:cs="Times New Roman"/>
                <w:sz w:val="24"/>
                <w:szCs w:val="24"/>
                <w:lang w:eastAsia="lv-LV"/>
              </w:rPr>
              <w:t>, tirdzniecības vietām ir jānodrošina kopumā 15 m</w:t>
            </w:r>
            <w:r w:rsidRPr="00CA5686">
              <w:rPr>
                <w:rFonts w:ascii="Times New Roman" w:eastAsia="Times New Roman" w:hAnsi="Times New Roman" w:cs="Times New Roman"/>
                <w:sz w:val="24"/>
                <w:szCs w:val="24"/>
                <w:vertAlign w:val="superscript"/>
                <w:lang w:eastAsia="lv-LV"/>
              </w:rPr>
              <w:t xml:space="preserve">2 </w:t>
            </w:r>
            <w:r w:rsidRPr="00CA5686">
              <w:rPr>
                <w:rFonts w:ascii="Times New Roman" w:eastAsia="Times New Roman" w:hAnsi="Times New Roman" w:cs="Times New Roman"/>
                <w:sz w:val="24"/>
                <w:szCs w:val="24"/>
                <w:lang w:eastAsia="lv-LV"/>
              </w:rPr>
              <w:t>uz vienu cilvēku. Skaistumkopšanas un labsajūtas pakalpojumu sniegšanas vietā, ņemot vērā to, ka pakalpojums tiek sniegts dzeltenajā režīmā un pakalpojuma saņēmēji tiek reģistrēti, tiek noteikts, ka platība var būt atbilstoši vidēja riska nosacījumiem – 10m</w:t>
            </w:r>
            <w:r w:rsidRPr="00CA5686">
              <w:rPr>
                <w:rFonts w:ascii="Times New Roman" w:eastAsia="Times New Roman" w:hAnsi="Times New Roman" w:cs="Times New Roman"/>
                <w:sz w:val="24"/>
                <w:szCs w:val="24"/>
                <w:vertAlign w:val="superscript"/>
                <w:lang w:eastAsia="lv-LV"/>
              </w:rPr>
              <w:t>2</w:t>
            </w:r>
            <w:r w:rsidRPr="00CA5686">
              <w:rPr>
                <w:rFonts w:ascii="Times New Roman" w:eastAsia="Times New Roman" w:hAnsi="Times New Roman" w:cs="Times New Roman"/>
                <w:sz w:val="24"/>
                <w:szCs w:val="24"/>
                <w:lang w:eastAsia="lv-LV"/>
              </w:rPr>
              <w:t xml:space="preserve"> uz personu. Tāpat noteikumu projekts paredz, ka samazinoties Covid-19 izplatības riskam</w:t>
            </w:r>
            <w:r w:rsidR="00041FB2">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sabiedriskās ēdināšanas vietās pie galdiņa var atrasties lielāks cilvēks skaits</w:t>
            </w:r>
            <w:r w:rsidR="00041FB2">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to samērojot ar iespējām cilvēkiem pulcēties.</w:t>
            </w:r>
          </w:p>
          <w:p w14:paraId="59E305E8" w14:textId="03AE9F90" w:rsidR="00CA5686" w:rsidRPr="00CA5686" w:rsidRDefault="00CA5686" w:rsidP="00CA568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r w:rsidRPr="00CA5686">
              <w:rPr>
                <w:rFonts w:ascii="Times New Roman" w:eastAsia="Times New Roman" w:hAnsi="Times New Roman" w:cs="Times New Roman"/>
                <w:sz w:val="24"/>
                <w:szCs w:val="24"/>
                <w:lang w:eastAsia="lv-LV"/>
              </w:rPr>
              <w:t xml:space="preserve">Tāpat noteikumi paredz, ka pakalpojumi, kur ir augsts inficēšanās risks, kā sabiedriskā ēdināšana, pakalpojumi ar ciešu kontaktu, pakalpojumi, kas </w:t>
            </w:r>
            <w:r w:rsidRPr="00CA5686">
              <w:rPr>
                <w:rFonts w:ascii="Times New Roman" w:eastAsia="Times New Roman" w:hAnsi="Times New Roman" w:cs="Times New Roman"/>
                <w:sz w:val="24"/>
                <w:szCs w:val="24"/>
                <w:lang w:eastAsia="lv-LV"/>
              </w:rPr>
              <w:lastRenderedPageBreak/>
              <w:t>saistīti ar sporta norisēm</w:t>
            </w:r>
            <w:r w:rsidR="00041FB2">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var tikt sniegti tikai zaļā vai dzeltenā drošības režīma ietvarā.</w:t>
            </w:r>
          </w:p>
          <w:p w14:paraId="75668479" w14:textId="51441293" w:rsidR="00CA5686" w:rsidRPr="00CA5686" w:rsidRDefault="00CA5686" w:rsidP="00CA568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r w:rsidRPr="00CA5686">
              <w:rPr>
                <w:rFonts w:ascii="Times New Roman" w:eastAsia="Times New Roman" w:hAnsi="Times New Roman" w:cs="Times New Roman"/>
                <w:sz w:val="24"/>
                <w:szCs w:val="24"/>
                <w:lang w:eastAsia="lv-LV"/>
              </w:rPr>
              <w:t xml:space="preserve">Noteikumu projekts paredz arī nosacījumus cilvēku </w:t>
            </w:r>
            <w:r w:rsidR="00A15AA7">
              <w:rPr>
                <w:rFonts w:ascii="Times New Roman" w:eastAsia="Times New Roman" w:hAnsi="Times New Roman" w:cs="Times New Roman"/>
                <w:sz w:val="24"/>
                <w:szCs w:val="24"/>
                <w:lang w:eastAsia="lv-LV"/>
              </w:rPr>
              <w:t>skaita ierobežojumus sporta, kultūras pasākumu utml norises vietās</w:t>
            </w:r>
            <w:r w:rsidRPr="00CA5686">
              <w:rPr>
                <w:rFonts w:ascii="Times New Roman" w:eastAsia="Times New Roman" w:hAnsi="Times New Roman" w:cs="Times New Roman"/>
                <w:sz w:val="24"/>
                <w:szCs w:val="24"/>
                <w:lang w:eastAsia="lv-LV"/>
              </w:rPr>
              <w:t>, kas ir piesaistīti cilvēku pulcēšanās nosacījumiem</w:t>
            </w:r>
            <w:r w:rsidR="00041FB2">
              <w:rPr>
                <w:rFonts w:ascii="Times New Roman" w:eastAsia="Times New Roman" w:hAnsi="Times New Roman" w:cs="Times New Roman"/>
                <w:sz w:val="24"/>
                <w:szCs w:val="24"/>
                <w:lang w:eastAsia="lv-LV"/>
              </w:rPr>
              <w:t>:</w:t>
            </w:r>
            <w:r w:rsidRPr="00CA5686">
              <w:rPr>
                <w:rFonts w:ascii="Times New Roman" w:eastAsia="Times New Roman" w:hAnsi="Times New Roman" w:cs="Times New Roman"/>
                <w:sz w:val="24"/>
                <w:szCs w:val="24"/>
                <w:lang w:eastAsia="lv-LV"/>
              </w:rPr>
              <w:t xml:space="preserve"> iekštelpās – 20 cilvēki, ārtelpās</w:t>
            </w:r>
            <w:r w:rsidR="00041FB2">
              <w:rPr>
                <w:rFonts w:ascii="Times New Roman" w:eastAsia="Times New Roman" w:hAnsi="Times New Roman" w:cs="Times New Roman"/>
                <w:sz w:val="24"/>
                <w:szCs w:val="24"/>
                <w:lang w:eastAsia="lv-LV"/>
              </w:rPr>
              <w:t xml:space="preserve"> -</w:t>
            </w:r>
            <w:r w:rsidRPr="00CA5686">
              <w:rPr>
                <w:rFonts w:ascii="Times New Roman" w:eastAsia="Times New Roman" w:hAnsi="Times New Roman" w:cs="Times New Roman"/>
                <w:sz w:val="24"/>
                <w:szCs w:val="24"/>
                <w:lang w:eastAsia="lv-LV"/>
              </w:rPr>
              <w:t xml:space="preserve"> 50 cilvēki. Izņēmumi ir izglītības pasākumi, nometnes, amatiermākslas kolektīvi, aktivitātes, kur tiek pieļauts, ka vienā grupā ir 30 personas</w:t>
            </w:r>
            <w:r w:rsidR="00A15AA7">
              <w:rPr>
                <w:rFonts w:ascii="Times New Roman" w:eastAsia="Times New Roman" w:hAnsi="Times New Roman" w:cs="Times New Roman"/>
                <w:sz w:val="24"/>
                <w:szCs w:val="24"/>
                <w:lang w:eastAsia="lv-LV"/>
              </w:rPr>
              <w:t>. Noteikumi arī paredz to, ka gan bērnu, gan pieaugušo nometņu dalībnieki tiek testēti reizi nedēļā.</w:t>
            </w:r>
          </w:p>
          <w:p w14:paraId="78F50513" w14:textId="77777777" w:rsidR="00CA5686" w:rsidRPr="00CA5686" w:rsidRDefault="00CA5686" w:rsidP="00CA5686">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r w:rsidRPr="00CA5686">
              <w:rPr>
                <w:rFonts w:ascii="Times New Roman" w:eastAsia="Times New Roman" w:hAnsi="Times New Roman" w:cs="Times New Roman"/>
                <w:sz w:val="24"/>
                <w:szCs w:val="24"/>
                <w:lang w:eastAsia="lv-LV"/>
              </w:rPr>
              <w:t>Noteikumu projektā arī ir ietverti vispārēji nosacījumi pakalpojumu sniegšanai, kā piemēram pasta pakalpojumiem un tamlīdzīgiem pakalpojumiem, kas saistīts ar īslaicīgu kontaktu starp pakalpojuma sniedzēju un pakalpojuma saņēmēju, šādos gadījumos uz vienu personu ir jānodrošina 10m</w:t>
            </w:r>
            <w:r w:rsidRPr="00CA5686">
              <w:rPr>
                <w:rFonts w:ascii="Times New Roman" w:eastAsia="Times New Roman" w:hAnsi="Times New Roman" w:cs="Times New Roman"/>
                <w:sz w:val="24"/>
                <w:szCs w:val="24"/>
                <w:vertAlign w:val="superscript"/>
                <w:lang w:eastAsia="lv-LV"/>
              </w:rPr>
              <w:t>2</w:t>
            </w:r>
            <w:r w:rsidRPr="00CA5686">
              <w:rPr>
                <w:rFonts w:ascii="Times New Roman" w:eastAsia="Times New Roman" w:hAnsi="Times New Roman" w:cs="Times New Roman"/>
                <w:sz w:val="24"/>
                <w:szCs w:val="24"/>
                <w:lang w:eastAsia="lv-LV"/>
              </w:rPr>
              <w:t>.</w:t>
            </w:r>
          </w:p>
          <w:p w14:paraId="2AFCF187" w14:textId="1AF005B9" w:rsidR="00C61CB2" w:rsidRPr="006D1AD8" w:rsidRDefault="00CA5686" w:rsidP="009A72BC">
            <w:pPr>
              <w:shd w:val="clear" w:color="auto" w:fill="FFFFFF"/>
              <w:suppressAutoHyphens/>
              <w:autoSpaceDN w:val="0"/>
              <w:spacing w:after="0" w:line="240" w:lineRule="auto"/>
              <w:jc w:val="both"/>
              <w:rPr>
                <w:rFonts w:ascii="Times New Roman" w:eastAsia="Times New Roman" w:hAnsi="Times New Roman" w:cs="Times New Roman"/>
                <w:sz w:val="24"/>
                <w:szCs w:val="24"/>
                <w:lang w:eastAsia="lv-LV"/>
              </w:rPr>
            </w:pPr>
            <w:r w:rsidRPr="00CA5686">
              <w:rPr>
                <w:rFonts w:ascii="Times New Roman" w:eastAsia="Times New Roman" w:hAnsi="Times New Roman" w:cs="Times New Roman"/>
                <w:sz w:val="24"/>
                <w:szCs w:val="24"/>
                <w:lang w:eastAsia="lv-LV"/>
              </w:rPr>
              <w:t xml:space="preserve">Kad stājas spēkā regulējums, kas nosaka pasākumus samazinoties 14 dienu Covid-19 kumulatīvo gadījumu skaitam zem 100 uz 100 000, netiek piemēroti attiecīgie cilvēku skaita un platību nosacījumi, kas ir spēkā situācijā, kad 14 dienu Covid-19 kumulatīvo gadījumu skaits ir virs 100 uz 100 000. </w:t>
            </w:r>
          </w:p>
        </w:tc>
      </w:tr>
      <w:tr w:rsidR="00BD50E2" w:rsidRPr="00BD50E2" w14:paraId="64359952" w14:textId="77777777" w:rsidTr="00470FB8">
        <w:tc>
          <w:tcPr>
            <w:tcW w:w="211"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944"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44" w:type="pct"/>
            <w:tcBorders>
              <w:top w:val="single" w:sz="4" w:space="0" w:color="auto"/>
              <w:left w:val="single" w:sz="4" w:space="0" w:color="auto"/>
              <w:bottom w:val="single" w:sz="4" w:space="0" w:color="auto"/>
              <w:right w:val="single" w:sz="4" w:space="0" w:color="auto"/>
            </w:tcBorders>
            <w:hideMark/>
          </w:tcPr>
          <w:p w14:paraId="63E85C9B" w14:textId="6B3CEB51"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 Slimību profilakses un kontroles centrs</w:t>
            </w:r>
            <w:r w:rsidR="00A30813">
              <w:rPr>
                <w:rFonts w:ascii="Times New Roman" w:eastAsia="Times New Roman" w:hAnsi="Times New Roman" w:cs="Times New Roman"/>
                <w:bCs/>
                <w:sz w:val="24"/>
                <w:szCs w:val="24"/>
              </w:rPr>
              <w:t xml:space="preserve">, </w:t>
            </w:r>
            <w:r w:rsidR="00176445">
              <w:rPr>
                <w:rFonts w:ascii="Times New Roman" w:eastAsia="Times New Roman" w:hAnsi="Times New Roman" w:cs="Times New Roman"/>
                <w:bCs/>
                <w:sz w:val="24"/>
                <w:szCs w:val="24"/>
              </w:rPr>
              <w:t>Operatīvās vadības</w:t>
            </w:r>
            <w:r w:rsidR="00A30813">
              <w:rPr>
                <w:rFonts w:ascii="Times New Roman" w:eastAsia="Times New Roman" w:hAnsi="Times New Roman" w:cs="Times New Roman"/>
                <w:bCs/>
                <w:sz w:val="24"/>
                <w:szCs w:val="24"/>
              </w:rPr>
              <w:t xml:space="preserve"> grupa</w:t>
            </w:r>
            <w:r w:rsidR="00041FB2">
              <w:rPr>
                <w:rFonts w:ascii="Times New Roman" w:eastAsia="Times New Roman" w:hAnsi="Times New Roman" w:cs="Times New Roman"/>
                <w:bCs/>
                <w:sz w:val="24"/>
                <w:szCs w:val="24"/>
              </w:rPr>
              <w:t>, Kultūras ministrija</w:t>
            </w:r>
            <w:r w:rsidR="00176445">
              <w:rPr>
                <w:rFonts w:ascii="Times New Roman" w:eastAsia="Times New Roman" w:hAnsi="Times New Roman" w:cs="Times New Roman"/>
                <w:bCs/>
                <w:sz w:val="24"/>
                <w:szCs w:val="24"/>
              </w:rPr>
              <w:t>.</w:t>
            </w:r>
          </w:p>
        </w:tc>
      </w:tr>
      <w:tr w:rsidR="000E2322" w:rsidRPr="00BD50E2" w14:paraId="516EC393" w14:textId="77777777" w:rsidTr="00470FB8">
        <w:tc>
          <w:tcPr>
            <w:tcW w:w="211"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944"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44"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A17EEC" w:rsidRDefault="0007278B" w:rsidP="003D15E2">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6248"/>
      </w:tblGrid>
      <w:tr w:rsidR="00BD50E2" w:rsidRPr="00BD50E2" w14:paraId="015A4B4E"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12"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91" w:type="pct"/>
            <w:tcBorders>
              <w:top w:val="single" w:sz="4" w:space="0" w:color="auto"/>
              <w:left w:val="single" w:sz="4" w:space="0" w:color="auto"/>
              <w:bottom w:val="single" w:sz="4" w:space="0" w:color="auto"/>
              <w:right w:val="single" w:sz="4" w:space="0" w:color="auto"/>
            </w:tcBorders>
          </w:tcPr>
          <w:p w14:paraId="554E76BE" w14:textId="44D387BB" w:rsidR="00137903" w:rsidRPr="00BD50E2" w:rsidRDefault="00387CFE" w:rsidP="00AE4EFC">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Visi Latvijas iedzīvotāji</w:t>
            </w:r>
            <w:r w:rsidR="00EA00E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un ieceļotāji.</w:t>
            </w:r>
          </w:p>
        </w:tc>
      </w:tr>
      <w:tr w:rsidR="00BD50E2" w:rsidRPr="00BD50E2" w14:paraId="63982A56"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12"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91" w:type="pct"/>
            <w:tcBorders>
              <w:top w:val="single" w:sz="4" w:space="0" w:color="auto"/>
              <w:left w:val="single" w:sz="4" w:space="0" w:color="auto"/>
              <w:bottom w:val="single" w:sz="4" w:space="0" w:color="auto"/>
              <w:right w:val="single" w:sz="4" w:space="0" w:color="auto"/>
            </w:tcBorders>
            <w:hideMark/>
          </w:tcPr>
          <w:p w14:paraId="5931B922" w14:textId="3CE94EFC" w:rsidR="00AF30FC" w:rsidRPr="00BD50E2" w:rsidRDefault="009A72BC"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tc>
      </w:tr>
      <w:tr w:rsidR="00BD50E2" w:rsidRPr="00BD50E2" w14:paraId="54545A33"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12" w:type="pct"/>
            <w:tcBorders>
              <w:top w:val="single" w:sz="4" w:space="0" w:color="auto"/>
              <w:left w:val="single" w:sz="4" w:space="0" w:color="auto"/>
              <w:bottom w:val="single" w:sz="4" w:space="0" w:color="auto"/>
              <w:right w:val="single" w:sz="4" w:space="0" w:color="auto"/>
            </w:tcBorders>
            <w:hideMark/>
          </w:tcPr>
          <w:p w14:paraId="2756DEC2" w14:textId="4D99BEFA"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w:t>
            </w:r>
            <w:r w:rsidR="00555929">
              <w:rPr>
                <w:rFonts w:ascii="Times New Roman" w:eastAsia="Times New Roman" w:hAnsi="Times New Roman" w:cs="Times New Roman"/>
                <w:bCs/>
                <w:sz w:val="24"/>
                <w:szCs w:val="24"/>
              </w:rPr>
              <w:t xml:space="preserve"> </w:t>
            </w:r>
            <w:r w:rsidRPr="00BD50E2">
              <w:rPr>
                <w:rFonts w:ascii="Times New Roman" w:eastAsia="Times New Roman" w:hAnsi="Times New Roman" w:cs="Times New Roman"/>
                <w:bCs/>
                <w:sz w:val="24"/>
                <w:szCs w:val="24"/>
              </w:rPr>
              <w:t>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4AAC7013" w14:textId="240D85A6"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hAnsi="Times New Roman" w:cs="Times New Roman"/>
                <w:bCs/>
                <w:sz w:val="24"/>
                <w:szCs w:val="24"/>
              </w:rPr>
              <w:t>Administratīvās izmaksas (naudas izteiksmē) gada laikā mērķgrupai, ko veido fiziskas personas, nepārsniedz 200 eiro, bet mērķgrupai, kuru veido juridiskas personas, – 2000 eiro.</w:t>
            </w:r>
          </w:p>
        </w:tc>
      </w:tr>
      <w:tr w:rsidR="00BD50E2" w:rsidRPr="00BD50E2" w14:paraId="001375C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12"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12"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91"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00F80B93" w:rsidR="007E4536" w:rsidRPr="00A17EEC" w:rsidRDefault="007E4536" w:rsidP="00D856F7">
      <w:pPr>
        <w:spacing w:after="0" w:line="240" w:lineRule="auto"/>
        <w:rPr>
          <w:rFonts w:ascii="Times New Roman" w:eastAsia="Times New Roman" w:hAnsi="Times New Roman" w:cs="Times New Roman"/>
          <w:bCs/>
          <w:sz w:val="28"/>
          <w:szCs w:val="28"/>
          <w:lang w:eastAsia="lv-LV"/>
        </w:rPr>
      </w:pPr>
    </w:p>
    <w:tbl>
      <w:tblPr>
        <w:tblW w:w="5398" w:type="pct"/>
        <w:tblInd w:w="-289" w:type="dxa"/>
        <w:tblCellMar>
          <w:top w:w="30" w:type="dxa"/>
          <w:left w:w="30" w:type="dxa"/>
          <w:bottom w:w="30" w:type="dxa"/>
          <w:right w:w="30" w:type="dxa"/>
        </w:tblCellMar>
        <w:tblLook w:val="04A0" w:firstRow="1" w:lastRow="0" w:firstColumn="1" w:lastColumn="0" w:noHBand="0" w:noVBand="1"/>
      </w:tblPr>
      <w:tblGrid>
        <w:gridCol w:w="9782"/>
      </w:tblGrid>
      <w:tr w:rsidR="00470FB8" w:rsidRPr="00842AD1" w14:paraId="576D5B50" w14:textId="77777777" w:rsidTr="00470FB8">
        <w:tc>
          <w:tcPr>
            <w:tcW w:w="5000" w:type="pct"/>
            <w:tcBorders>
              <w:top w:val="single" w:sz="4" w:space="0" w:color="auto"/>
              <w:left w:val="single" w:sz="4" w:space="0" w:color="auto"/>
              <w:bottom w:val="single" w:sz="4" w:space="0" w:color="auto"/>
              <w:right w:val="single" w:sz="4" w:space="0" w:color="auto"/>
            </w:tcBorders>
            <w:vAlign w:val="center"/>
            <w:hideMark/>
          </w:tcPr>
          <w:p w14:paraId="4CAB01B5" w14:textId="77777777" w:rsidR="00470FB8" w:rsidRPr="00470FB8" w:rsidRDefault="00470FB8" w:rsidP="00470FB8">
            <w:pPr>
              <w:rPr>
                <w:rFonts w:ascii="Times New Roman" w:eastAsia="Times New Roman" w:hAnsi="Times New Roman" w:cs="Times New Roman"/>
                <w:b/>
                <w:sz w:val="24"/>
                <w:szCs w:val="24"/>
              </w:rPr>
            </w:pPr>
            <w:r w:rsidRPr="00470FB8">
              <w:rPr>
                <w:rFonts w:ascii="Times New Roman" w:eastAsia="Times New Roman" w:hAnsi="Times New Roman" w:cs="Times New Roman"/>
                <w:b/>
                <w:sz w:val="24"/>
                <w:szCs w:val="24"/>
              </w:rPr>
              <w:t>III. Tiesību akta projekta ietekme uz valsts budžetu un pašvaldību budžetiem</w:t>
            </w:r>
          </w:p>
        </w:tc>
      </w:tr>
    </w:tbl>
    <w:tbl>
      <w:tblPr>
        <w:tblStyle w:val="TableGrid"/>
        <w:tblW w:w="9768" w:type="dxa"/>
        <w:tblInd w:w="-275" w:type="dxa"/>
        <w:tblLayout w:type="fixed"/>
        <w:tblLook w:val="04A0" w:firstRow="1" w:lastRow="0" w:firstColumn="1" w:lastColumn="0" w:noHBand="0" w:noVBand="1"/>
      </w:tblPr>
      <w:tblGrid>
        <w:gridCol w:w="1830"/>
        <w:gridCol w:w="992"/>
        <w:gridCol w:w="1268"/>
        <w:gridCol w:w="1000"/>
        <w:gridCol w:w="1134"/>
        <w:gridCol w:w="992"/>
        <w:gridCol w:w="992"/>
        <w:gridCol w:w="1560"/>
      </w:tblGrid>
      <w:tr w:rsidR="00470FB8" w14:paraId="7F042909" w14:textId="77777777" w:rsidTr="00470FB8">
        <w:tc>
          <w:tcPr>
            <w:tcW w:w="1830" w:type="dxa"/>
            <w:vMerge w:val="restart"/>
          </w:tcPr>
          <w:p w14:paraId="1954EEBF"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Rādītāji</w:t>
            </w:r>
          </w:p>
        </w:tc>
        <w:tc>
          <w:tcPr>
            <w:tcW w:w="2260" w:type="dxa"/>
            <w:gridSpan w:val="2"/>
            <w:vMerge w:val="restart"/>
          </w:tcPr>
          <w:p w14:paraId="6A57D154"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2021. gads</w:t>
            </w:r>
          </w:p>
        </w:tc>
        <w:tc>
          <w:tcPr>
            <w:tcW w:w="5678" w:type="dxa"/>
            <w:gridSpan w:val="5"/>
          </w:tcPr>
          <w:p w14:paraId="46066958"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Turpmākie trīs gadi (</w:t>
            </w:r>
            <w:r w:rsidRPr="00EA00E8">
              <w:rPr>
                <w:rFonts w:ascii="Times New Roman" w:hAnsi="Times New Roman"/>
                <w:i/>
                <w:iCs/>
                <w:sz w:val="24"/>
                <w:szCs w:val="24"/>
              </w:rPr>
              <w:t>euro</w:t>
            </w:r>
            <w:r w:rsidRPr="00EA00E8">
              <w:rPr>
                <w:rFonts w:ascii="Times New Roman" w:hAnsi="Times New Roman"/>
                <w:iCs/>
                <w:sz w:val="24"/>
                <w:szCs w:val="24"/>
              </w:rPr>
              <w:t>)</w:t>
            </w:r>
          </w:p>
        </w:tc>
      </w:tr>
      <w:tr w:rsidR="00470FB8" w14:paraId="4031D5F0" w14:textId="77777777" w:rsidTr="00470FB8">
        <w:tc>
          <w:tcPr>
            <w:tcW w:w="1830" w:type="dxa"/>
            <w:vMerge/>
          </w:tcPr>
          <w:p w14:paraId="5DA736D4" w14:textId="77777777" w:rsidR="00470FB8" w:rsidRPr="00EA00E8" w:rsidRDefault="00470FB8" w:rsidP="00043DB1">
            <w:pPr>
              <w:pStyle w:val="NoSpacing"/>
              <w:rPr>
                <w:rFonts w:ascii="Times New Roman" w:hAnsi="Times New Roman"/>
                <w:iCs/>
                <w:sz w:val="24"/>
                <w:szCs w:val="24"/>
              </w:rPr>
            </w:pPr>
          </w:p>
        </w:tc>
        <w:tc>
          <w:tcPr>
            <w:tcW w:w="2260" w:type="dxa"/>
            <w:gridSpan w:val="2"/>
            <w:vMerge/>
          </w:tcPr>
          <w:p w14:paraId="72EF46E4" w14:textId="77777777" w:rsidR="00470FB8" w:rsidRPr="00EA00E8" w:rsidRDefault="00470FB8" w:rsidP="00043DB1">
            <w:pPr>
              <w:pStyle w:val="NoSpacing"/>
              <w:rPr>
                <w:rFonts w:ascii="Times New Roman" w:hAnsi="Times New Roman"/>
                <w:iCs/>
                <w:sz w:val="24"/>
                <w:szCs w:val="24"/>
              </w:rPr>
            </w:pPr>
          </w:p>
        </w:tc>
        <w:tc>
          <w:tcPr>
            <w:tcW w:w="2134" w:type="dxa"/>
            <w:gridSpan w:val="2"/>
          </w:tcPr>
          <w:p w14:paraId="607F9DE6"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2022. gads</w:t>
            </w:r>
          </w:p>
        </w:tc>
        <w:tc>
          <w:tcPr>
            <w:tcW w:w="1984" w:type="dxa"/>
            <w:gridSpan w:val="2"/>
          </w:tcPr>
          <w:p w14:paraId="1AD9712D"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2023. gads</w:t>
            </w:r>
          </w:p>
        </w:tc>
        <w:tc>
          <w:tcPr>
            <w:tcW w:w="1560" w:type="dxa"/>
          </w:tcPr>
          <w:p w14:paraId="22D77F0D"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2024. gads</w:t>
            </w:r>
          </w:p>
        </w:tc>
      </w:tr>
      <w:tr w:rsidR="00470FB8" w14:paraId="27FA9749" w14:textId="77777777" w:rsidTr="00470FB8">
        <w:tc>
          <w:tcPr>
            <w:tcW w:w="1830" w:type="dxa"/>
            <w:vMerge/>
          </w:tcPr>
          <w:p w14:paraId="52E92537" w14:textId="77777777" w:rsidR="00470FB8" w:rsidRPr="00EA00E8" w:rsidRDefault="00470FB8" w:rsidP="00043DB1">
            <w:pPr>
              <w:pStyle w:val="NoSpacing"/>
              <w:rPr>
                <w:rFonts w:ascii="Times New Roman" w:hAnsi="Times New Roman"/>
                <w:iCs/>
                <w:sz w:val="24"/>
                <w:szCs w:val="24"/>
              </w:rPr>
            </w:pPr>
          </w:p>
        </w:tc>
        <w:tc>
          <w:tcPr>
            <w:tcW w:w="992" w:type="dxa"/>
          </w:tcPr>
          <w:p w14:paraId="55457E54"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 xml:space="preserve">saskaņā ar valsts </w:t>
            </w:r>
            <w:r w:rsidRPr="00EA00E8">
              <w:rPr>
                <w:rFonts w:ascii="Times New Roman" w:hAnsi="Times New Roman"/>
                <w:iCs/>
                <w:sz w:val="24"/>
                <w:szCs w:val="24"/>
              </w:rPr>
              <w:lastRenderedPageBreak/>
              <w:t>budžetu kārtējam gadam</w:t>
            </w:r>
          </w:p>
        </w:tc>
        <w:tc>
          <w:tcPr>
            <w:tcW w:w="1268" w:type="dxa"/>
          </w:tcPr>
          <w:p w14:paraId="660C4411"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lastRenderedPageBreak/>
              <w:t xml:space="preserve">izmaiņas kārtējā gadā, </w:t>
            </w:r>
            <w:r w:rsidRPr="00EA00E8">
              <w:rPr>
                <w:rFonts w:ascii="Times New Roman" w:hAnsi="Times New Roman"/>
                <w:iCs/>
                <w:sz w:val="24"/>
                <w:szCs w:val="24"/>
              </w:rPr>
              <w:lastRenderedPageBreak/>
              <w:t>salīdzinot ar valsts budžetu kārtējam gadam</w:t>
            </w:r>
          </w:p>
        </w:tc>
        <w:tc>
          <w:tcPr>
            <w:tcW w:w="1000" w:type="dxa"/>
          </w:tcPr>
          <w:p w14:paraId="7F9C1B0F"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lastRenderedPageBreak/>
              <w:t xml:space="preserve">saskaņā ar vidēja </w:t>
            </w:r>
            <w:r w:rsidRPr="00EA00E8">
              <w:rPr>
                <w:rFonts w:ascii="Times New Roman" w:hAnsi="Times New Roman"/>
                <w:iCs/>
                <w:sz w:val="24"/>
                <w:szCs w:val="24"/>
              </w:rPr>
              <w:lastRenderedPageBreak/>
              <w:t>termiņa budžeta ietvaru</w:t>
            </w:r>
          </w:p>
        </w:tc>
        <w:tc>
          <w:tcPr>
            <w:tcW w:w="1134" w:type="dxa"/>
          </w:tcPr>
          <w:p w14:paraId="22C71B51"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lastRenderedPageBreak/>
              <w:t>izmaiņas, salīdzi-</w:t>
            </w:r>
          </w:p>
          <w:p w14:paraId="4B6FB87C"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lastRenderedPageBreak/>
              <w:t>not ar vidēja termiņa budžeta ietvaru 2022. gadam</w:t>
            </w:r>
          </w:p>
        </w:tc>
        <w:tc>
          <w:tcPr>
            <w:tcW w:w="992" w:type="dxa"/>
          </w:tcPr>
          <w:p w14:paraId="18054085"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lastRenderedPageBreak/>
              <w:t xml:space="preserve">saskaņā ar vidēja </w:t>
            </w:r>
            <w:r w:rsidRPr="00EA00E8">
              <w:rPr>
                <w:rFonts w:ascii="Times New Roman" w:hAnsi="Times New Roman"/>
                <w:iCs/>
                <w:sz w:val="24"/>
                <w:szCs w:val="24"/>
              </w:rPr>
              <w:lastRenderedPageBreak/>
              <w:t>termiņa budžeta ietvaru</w:t>
            </w:r>
          </w:p>
        </w:tc>
        <w:tc>
          <w:tcPr>
            <w:tcW w:w="992" w:type="dxa"/>
          </w:tcPr>
          <w:p w14:paraId="1C88EF22"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lastRenderedPageBreak/>
              <w:t>izmai-</w:t>
            </w:r>
          </w:p>
          <w:p w14:paraId="4C4AA366"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ņas, salīdzi-</w:t>
            </w:r>
          </w:p>
          <w:p w14:paraId="666B54CC"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lastRenderedPageBreak/>
              <w:t>not ar vidēja termiņa budžeta ietvaru 2023. gadam</w:t>
            </w:r>
          </w:p>
        </w:tc>
        <w:tc>
          <w:tcPr>
            <w:tcW w:w="1560" w:type="dxa"/>
          </w:tcPr>
          <w:p w14:paraId="3EA100A8"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lastRenderedPageBreak/>
              <w:t>izmaiņas, salīdzi-</w:t>
            </w:r>
          </w:p>
          <w:p w14:paraId="41A3121C"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lastRenderedPageBreak/>
              <w:t>not ar vidēja termiņa budžeta ietvaru 2023. gadam</w:t>
            </w:r>
          </w:p>
        </w:tc>
      </w:tr>
      <w:tr w:rsidR="00470FB8" w:rsidRPr="00EC6E12" w14:paraId="5A11C427" w14:textId="77777777" w:rsidTr="00470FB8">
        <w:tc>
          <w:tcPr>
            <w:tcW w:w="1830" w:type="dxa"/>
            <w:vAlign w:val="center"/>
          </w:tcPr>
          <w:p w14:paraId="538AA090"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lastRenderedPageBreak/>
              <w:t>1</w:t>
            </w:r>
          </w:p>
        </w:tc>
        <w:tc>
          <w:tcPr>
            <w:tcW w:w="992" w:type="dxa"/>
            <w:vAlign w:val="center"/>
          </w:tcPr>
          <w:p w14:paraId="083E9460"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w:t>
            </w:r>
          </w:p>
        </w:tc>
        <w:tc>
          <w:tcPr>
            <w:tcW w:w="1268" w:type="dxa"/>
            <w:vAlign w:val="center"/>
          </w:tcPr>
          <w:p w14:paraId="63CED51B"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3</w:t>
            </w:r>
          </w:p>
        </w:tc>
        <w:tc>
          <w:tcPr>
            <w:tcW w:w="1000" w:type="dxa"/>
            <w:vAlign w:val="center"/>
          </w:tcPr>
          <w:p w14:paraId="10D2496C"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4</w:t>
            </w:r>
          </w:p>
        </w:tc>
        <w:tc>
          <w:tcPr>
            <w:tcW w:w="1134" w:type="dxa"/>
            <w:vAlign w:val="center"/>
          </w:tcPr>
          <w:p w14:paraId="6E577B30"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5</w:t>
            </w:r>
          </w:p>
        </w:tc>
        <w:tc>
          <w:tcPr>
            <w:tcW w:w="992" w:type="dxa"/>
            <w:vAlign w:val="center"/>
          </w:tcPr>
          <w:p w14:paraId="2D1DE12A"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6</w:t>
            </w:r>
          </w:p>
        </w:tc>
        <w:tc>
          <w:tcPr>
            <w:tcW w:w="992" w:type="dxa"/>
            <w:vAlign w:val="center"/>
          </w:tcPr>
          <w:p w14:paraId="6E53E47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7</w:t>
            </w:r>
          </w:p>
        </w:tc>
        <w:tc>
          <w:tcPr>
            <w:tcW w:w="1560" w:type="dxa"/>
            <w:vAlign w:val="center"/>
          </w:tcPr>
          <w:p w14:paraId="2371A69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8</w:t>
            </w:r>
          </w:p>
        </w:tc>
      </w:tr>
      <w:tr w:rsidR="00470FB8" w:rsidRPr="001C797C" w14:paraId="7A6D9F6C" w14:textId="77777777" w:rsidTr="00470FB8">
        <w:tc>
          <w:tcPr>
            <w:tcW w:w="1830" w:type="dxa"/>
            <w:vAlign w:val="center"/>
          </w:tcPr>
          <w:p w14:paraId="769EF451"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1. Budžeta ieņēmumi</w:t>
            </w:r>
          </w:p>
        </w:tc>
        <w:tc>
          <w:tcPr>
            <w:tcW w:w="992" w:type="dxa"/>
            <w:vAlign w:val="center"/>
          </w:tcPr>
          <w:p w14:paraId="4B0FB3B2"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vAlign w:val="center"/>
          </w:tcPr>
          <w:p w14:paraId="346D9FA3"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6C92003C"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381FFDB3"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3E549844"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4E62332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28525AA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1C797C" w14:paraId="1F8AE724" w14:textId="77777777" w:rsidTr="00470FB8">
        <w:tc>
          <w:tcPr>
            <w:tcW w:w="1830" w:type="dxa"/>
            <w:vAlign w:val="center"/>
          </w:tcPr>
          <w:p w14:paraId="5A89E6BF"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1.1. valsts pamatbudžets, tai skaitā ieņēmumi no maksas pakalpojumiem un citi pašu ieņēmumi</w:t>
            </w:r>
          </w:p>
        </w:tc>
        <w:tc>
          <w:tcPr>
            <w:tcW w:w="992" w:type="dxa"/>
            <w:vAlign w:val="center"/>
          </w:tcPr>
          <w:p w14:paraId="7766189B"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vAlign w:val="center"/>
          </w:tcPr>
          <w:p w14:paraId="22CAEFB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5E5C0232"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0ACD1E85"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7A188C6F"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1AD08067"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4BDAAF7B"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1C797C" w14:paraId="269CC2BE" w14:textId="77777777" w:rsidTr="00470FB8">
        <w:tc>
          <w:tcPr>
            <w:tcW w:w="1830" w:type="dxa"/>
            <w:vAlign w:val="center"/>
          </w:tcPr>
          <w:p w14:paraId="2ED2014F"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1.2. valsts speciālais budžets</w:t>
            </w:r>
          </w:p>
        </w:tc>
        <w:tc>
          <w:tcPr>
            <w:tcW w:w="992" w:type="dxa"/>
            <w:vAlign w:val="center"/>
          </w:tcPr>
          <w:p w14:paraId="4988F423"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vAlign w:val="center"/>
          </w:tcPr>
          <w:p w14:paraId="260AC4A6"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0626D74B"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1B1E1A8F"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6CEDB045"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75903C7A"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396D0670"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1C797C" w14:paraId="527F7EB0" w14:textId="77777777" w:rsidTr="00470FB8">
        <w:tc>
          <w:tcPr>
            <w:tcW w:w="1830" w:type="dxa"/>
            <w:vAlign w:val="center"/>
          </w:tcPr>
          <w:p w14:paraId="66E7B482"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1.3. pašvaldību budžets</w:t>
            </w:r>
          </w:p>
        </w:tc>
        <w:tc>
          <w:tcPr>
            <w:tcW w:w="992" w:type="dxa"/>
            <w:vAlign w:val="center"/>
          </w:tcPr>
          <w:p w14:paraId="6204D5FC"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vAlign w:val="center"/>
          </w:tcPr>
          <w:p w14:paraId="6E9220ED"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77061204"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3EEE0F46"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4DCCD8F4"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46ABF164"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4D58609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544284" w14:paraId="0EFAF816" w14:textId="77777777" w:rsidTr="00470FB8">
        <w:tc>
          <w:tcPr>
            <w:tcW w:w="1830" w:type="dxa"/>
            <w:vAlign w:val="center"/>
          </w:tcPr>
          <w:p w14:paraId="002C185B"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2. Budžeta izdevumi</w:t>
            </w:r>
          </w:p>
        </w:tc>
        <w:tc>
          <w:tcPr>
            <w:tcW w:w="992" w:type="dxa"/>
          </w:tcPr>
          <w:p w14:paraId="36AF1C8C" w14:textId="77777777" w:rsidR="00470FB8" w:rsidRPr="00EA00E8" w:rsidRDefault="00470FB8" w:rsidP="00043DB1">
            <w:pPr>
              <w:rPr>
                <w:sz w:val="24"/>
                <w:szCs w:val="24"/>
              </w:rPr>
            </w:pPr>
            <w:r w:rsidRPr="00EA00E8">
              <w:rPr>
                <w:iCs/>
                <w:sz w:val="24"/>
                <w:szCs w:val="24"/>
              </w:rPr>
              <w:t>0</w:t>
            </w:r>
          </w:p>
        </w:tc>
        <w:tc>
          <w:tcPr>
            <w:tcW w:w="1268" w:type="dxa"/>
            <w:shd w:val="clear" w:color="auto" w:fill="auto"/>
            <w:vAlign w:val="center"/>
          </w:tcPr>
          <w:p w14:paraId="76E6F742"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sz w:val="24"/>
                <w:szCs w:val="24"/>
                <w:shd w:val="clear" w:color="auto" w:fill="FFFFFF"/>
              </w:rPr>
              <w:t>14 142</w:t>
            </w:r>
          </w:p>
        </w:tc>
        <w:tc>
          <w:tcPr>
            <w:tcW w:w="1000" w:type="dxa"/>
            <w:vAlign w:val="center"/>
          </w:tcPr>
          <w:p w14:paraId="15A88362"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7CC5095C"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c>
          <w:tcPr>
            <w:tcW w:w="992" w:type="dxa"/>
            <w:vAlign w:val="center"/>
          </w:tcPr>
          <w:p w14:paraId="2E05088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12260C6D"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c>
          <w:tcPr>
            <w:tcW w:w="1560" w:type="dxa"/>
            <w:vAlign w:val="center"/>
          </w:tcPr>
          <w:p w14:paraId="58B76718"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r>
      <w:tr w:rsidR="00470FB8" w:rsidRPr="00544284" w14:paraId="1620032B" w14:textId="77777777" w:rsidTr="00470FB8">
        <w:tc>
          <w:tcPr>
            <w:tcW w:w="1830" w:type="dxa"/>
            <w:vAlign w:val="center"/>
          </w:tcPr>
          <w:p w14:paraId="4D0C1AD7"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2.1. valsts pamatbudžets</w:t>
            </w:r>
          </w:p>
        </w:tc>
        <w:tc>
          <w:tcPr>
            <w:tcW w:w="992" w:type="dxa"/>
          </w:tcPr>
          <w:p w14:paraId="646E8272" w14:textId="77777777" w:rsidR="00470FB8" w:rsidRPr="00EA00E8" w:rsidRDefault="00470FB8" w:rsidP="00043DB1">
            <w:pPr>
              <w:rPr>
                <w:sz w:val="24"/>
                <w:szCs w:val="24"/>
              </w:rPr>
            </w:pPr>
            <w:r w:rsidRPr="00EA00E8">
              <w:rPr>
                <w:iCs/>
                <w:sz w:val="24"/>
                <w:szCs w:val="24"/>
              </w:rPr>
              <w:t>0</w:t>
            </w:r>
          </w:p>
        </w:tc>
        <w:tc>
          <w:tcPr>
            <w:tcW w:w="1268" w:type="dxa"/>
            <w:shd w:val="clear" w:color="auto" w:fill="auto"/>
            <w:vAlign w:val="center"/>
          </w:tcPr>
          <w:p w14:paraId="7E8F2F2B"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sz w:val="24"/>
                <w:szCs w:val="24"/>
                <w:shd w:val="clear" w:color="auto" w:fill="FFFFFF"/>
              </w:rPr>
              <w:t>14 142</w:t>
            </w:r>
          </w:p>
        </w:tc>
        <w:tc>
          <w:tcPr>
            <w:tcW w:w="1000" w:type="dxa"/>
            <w:vAlign w:val="center"/>
          </w:tcPr>
          <w:p w14:paraId="56118A11"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79EA9B58"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c>
          <w:tcPr>
            <w:tcW w:w="992" w:type="dxa"/>
            <w:vAlign w:val="center"/>
          </w:tcPr>
          <w:p w14:paraId="385671C2"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675703C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c>
          <w:tcPr>
            <w:tcW w:w="1560" w:type="dxa"/>
            <w:vAlign w:val="center"/>
          </w:tcPr>
          <w:p w14:paraId="1039D7FF"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r>
      <w:tr w:rsidR="00470FB8" w:rsidRPr="00544284" w14:paraId="5D764779" w14:textId="77777777" w:rsidTr="00470FB8">
        <w:tc>
          <w:tcPr>
            <w:tcW w:w="1830" w:type="dxa"/>
            <w:vAlign w:val="center"/>
          </w:tcPr>
          <w:p w14:paraId="65263E91"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2.2. valsts speciālais budžets</w:t>
            </w:r>
          </w:p>
        </w:tc>
        <w:tc>
          <w:tcPr>
            <w:tcW w:w="992" w:type="dxa"/>
            <w:vAlign w:val="center"/>
          </w:tcPr>
          <w:p w14:paraId="073B387D"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shd w:val="clear" w:color="auto" w:fill="auto"/>
            <w:vAlign w:val="center"/>
          </w:tcPr>
          <w:p w14:paraId="05F2D7E6"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505146C7"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59153149"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1D109410"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200CFBC9"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2D241CEC"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544284" w14:paraId="45A4B52D" w14:textId="77777777" w:rsidTr="00470FB8">
        <w:tc>
          <w:tcPr>
            <w:tcW w:w="1830" w:type="dxa"/>
            <w:vAlign w:val="center"/>
          </w:tcPr>
          <w:p w14:paraId="1DA0E093"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2.3. pašvaldību budžets</w:t>
            </w:r>
          </w:p>
        </w:tc>
        <w:tc>
          <w:tcPr>
            <w:tcW w:w="992" w:type="dxa"/>
            <w:vAlign w:val="center"/>
          </w:tcPr>
          <w:p w14:paraId="3FD4254B"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shd w:val="clear" w:color="auto" w:fill="auto"/>
            <w:vAlign w:val="center"/>
          </w:tcPr>
          <w:p w14:paraId="48A7896F"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5E504356"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4834162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1143B7AF"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6DEA674C"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5489CDB0"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544284" w14:paraId="11E37EB5" w14:textId="77777777" w:rsidTr="00470FB8">
        <w:tc>
          <w:tcPr>
            <w:tcW w:w="1830" w:type="dxa"/>
            <w:vAlign w:val="center"/>
          </w:tcPr>
          <w:p w14:paraId="5AC749D3"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3. Finansiālā ietekme</w:t>
            </w:r>
          </w:p>
        </w:tc>
        <w:tc>
          <w:tcPr>
            <w:tcW w:w="992" w:type="dxa"/>
            <w:vAlign w:val="center"/>
          </w:tcPr>
          <w:p w14:paraId="2A68129F"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shd w:val="clear" w:color="auto" w:fill="auto"/>
            <w:vAlign w:val="center"/>
          </w:tcPr>
          <w:p w14:paraId="759F37F9"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w:t>
            </w:r>
            <w:r w:rsidRPr="00EA00E8">
              <w:rPr>
                <w:rFonts w:ascii="Times New Roman" w:hAnsi="Times New Roman"/>
                <w:sz w:val="24"/>
                <w:szCs w:val="24"/>
                <w:shd w:val="clear" w:color="auto" w:fill="FFFFFF"/>
              </w:rPr>
              <w:t>14 142</w:t>
            </w:r>
          </w:p>
        </w:tc>
        <w:tc>
          <w:tcPr>
            <w:tcW w:w="1000" w:type="dxa"/>
            <w:vAlign w:val="center"/>
          </w:tcPr>
          <w:p w14:paraId="78333FF8"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6129F850"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c>
          <w:tcPr>
            <w:tcW w:w="992" w:type="dxa"/>
            <w:vAlign w:val="center"/>
          </w:tcPr>
          <w:p w14:paraId="22281292"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765D2807"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c>
          <w:tcPr>
            <w:tcW w:w="1560" w:type="dxa"/>
            <w:vAlign w:val="center"/>
          </w:tcPr>
          <w:p w14:paraId="6ED58F33"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r>
      <w:tr w:rsidR="00470FB8" w:rsidRPr="00544284" w14:paraId="5D7940BB" w14:textId="77777777" w:rsidTr="00470FB8">
        <w:tc>
          <w:tcPr>
            <w:tcW w:w="1830" w:type="dxa"/>
            <w:vAlign w:val="center"/>
          </w:tcPr>
          <w:p w14:paraId="5F809DE0"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3.1. valsts pamatbudžets</w:t>
            </w:r>
          </w:p>
        </w:tc>
        <w:tc>
          <w:tcPr>
            <w:tcW w:w="992" w:type="dxa"/>
            <w:vAlign w:val="center"/>
          </w:tcPr>
          <w:p w14:paraId="64357616"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shd w:val="clear" w:color="auto" w:fill="auto"/>
            <w:vAlign w:val="center"/>
          </w:tcPr>
          <w:p w14:paraId="7200106B"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w:t>
            </w:r>
            <w:r w:rsidRPr="00EA00E8">
              <w:rPr>
                <w:rFonts w:ascii="Times New Roman" w:hAnsi="Times New Roman"/>
                <w:sz w:val="24"/>
                <w:szCs w:val="24"/>
                <w:shd w:val="clear" w:color="auto" w:fill="FFFFFF"/>
              </w:rPr>
              <w:t>14 142</w:t>
            </w:r>
          </w:p>
        </w:tc>
        <w:tc>
          <w:tcPr>
            <w:tcW w:w="1000" w:type="dxa"/>
            <w:vAlign w:val="center"/>
          </w:tcPr>
          <w:p w14:paraId="0782BE54"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3DCC4DE5"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c>
          <w:tcPr>
            <w:tcW w:w="992" w:type="dxa"/>
            <w:vAlign w:val="center"/>
          </w:tcPr>
          <w:p w14:paraId="61D51891"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471C4C5D"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c>
          <w:tcPr>
            <w:tcW w:w="1560" w:type="dxa"/>
            <w:vAlign w:val="center"/>
          </w:tcPr>
          <w:p w14:paraId="23AA75E3"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r>
      <w:tr w:rsidR="00470FB8" w:rsidRPr="00544284" w14:paraId="3428031C" w14:textId="77777777" w:rsidTr="00470FB8">
        <w:tc>
          <w:tcPr>
            <w:tcW w:w="1830" w:type="dxa"/>
            <w:vAlign w:val="center"/>
          </w:tcPr>
          <w:p w14:paraId="0FB539C7"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3.2. speciālais budžets</w:t>
            </w:r>
          </w:p>
        </w:tc>
        <w:tc>
          <w:tcPr>
            <w:tcW w:w="992" w:type="dxa"/>
            <w:vAlign w:val="center"/>
          </w:tcPr>
          <w:p w14:paraId="367633BA"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shd w:val="clear" w:color="auto" w:fill="auto"/>
            <w:vAlign w:val="center"/>
          </w:tcPr>
          <w:p w14:paraId="6FAB3564"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162C40D5"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3ABFD677"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6C9357B6"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6B98E211"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6325973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544284" w14:paraId="1506ED04" w14:textId="77777777" w:rsidTr="00470FB8">
        <w:tc>
          <w:tcPr>
            <w:tcW w:w="1830" w:type="dxa"/>
            <w:vAlign w:val="center"/>
          </w:tcPr>
          <w:p w14:paraId="7E0C1DFD"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3.3. pašvaldību budžets</w:t>
            </w:r>
          </w:p>
        </w:tc>
        <w:tc>
          <w:tcPr>
            <w:tcW w:w="992" w:type="dxa"/>
            <w:vAlign w:val="center"/>
          </w:tcPr>
          <w:p w14:paraId="31E7646D"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shd w:val="clear" w:color="auto" w:fill="auto"/>
            <w:vAlign w:val="center"/>
          </w:tcPr>
          <w:p w14:paraId="15048AA2"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6A4724F1"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46612551"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17E16042"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3C36708F"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0F88FAB7"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544284" w14:paraId="2C0EA3D2" w14:textId="77777777" w:rsidTr="00470FB8">
        <w:tc>
          <w:tcPr>
            <w:tcW w:w="1830" w:type="dxa"/>
            <w:vAlign w:val="center"/>
          </w:tcPr>
          <w:p w14:paraId="45BF5E36"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4. Finanšu līdzekļi papildu izdevumu finansēšanai (kompensējošu izdevumu samazinājumu norāda ar "+" zīmi)</w:t>
            </w:r>
          </w:p>
        </w:tc>
        <w:tc>
          <w:tcPr>
            <w:tcW w:w="992" w:type="dxa"/>
            <w:vAlign w:val="center"/>
          </w:tcPr>
          <w:p w14:paraId="598E1A74"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X</w:t>
            </w:r>
          </w:p>
        </w:tc>
        <w:tc>
          <w:tcPr>
            <w:tcW w:w="1268" w:type="dxa"/>
            <w:shd w:val="clear" w:color="auto" w:fill="auto"/>
            <w:vAlign w:val="center"/>
          </w:tcPr>
          <w:p w14:paraId="3B99B001"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sz w:val="24"/>
                <w:szCs w:val="24"/>
                <w:shd w:val="clear" w:color="auto" w:fill="FFFFFF"/>
              </w:rPr>
              <w:t>14 142</w:t>
            </w:r>
          </w:p>
        </w:tc>
        <w:tc>
          <w:tcPr>
            <w:tcW w:w="1000" w:type="dxa"/>
            <w:vAlign w:val="center"/>
          </w:tcPr>
          <w:p w14:paraId="1201E45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6DA2A0F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c>
          <w:tcPr>
            <w:tcW w:w="992" w:type="dxa"/>
            <w:vAlign w:val="center"/>
          </w:tcPr>
          <w:p w14:paraId="13072EFB"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15A20CA8"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c>
          <w:tcPr>
            <w:tcW w:w="1560" w:type="dxa"/>
            <w:vAlign w:val="center"/>
          </w:tcPr>
          <w:p w14:paraId="04CC48B9"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26 043</w:t>
            </w:r>
          </w:p>
        </w:tc>
      </w:tr>
      <w:tr w:rsidR="00470FB8" w:rsidRPr="001C797C" w14:paraId="095A05AE" w14:textId="77777777" w:rsidTr="00470FB8">
        <w:tc>
          <w:tcPr>
            <w:tcW w:w="1830" w:type="dxa"/>
            <w:vAlign w:val="center"/>
          </w:tcPr>
          <w:p w14:paraId="48AF751F"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lastRenderedPageBreak/>
              <w:t>5. Precizēta finansiālā ietekme</w:t>
            </w:r>
          </w:p>
        </w:tc>
        <w:tc>
          <w:tcPr>
            <w:tcW w:w="992" w:type="dxa"/>
            <w:vMerge w:val="restart"/>
            <w:vAlign w:val="center"/>
          </w:tcPr>
          <w:p w14:paraId="0E2D0B32"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X</w:t>
            </w:r>
          </w:p>
        </w:tc>
        <w:tc>
          <w:tcPr>
            <w:tcW w:w="1268" w:type="dxa"/>
            <w:vAlign w:val="center"/>
          </w:tcPr>
          <w:p w14:paraId="711323F9"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Merge w:val="restart"/>
            <w:vAlign w:val="center"/>
          </w:tcPr>
          <w:p w14:paraId="06580B1C"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7AAEEA30"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Merge w:val="restart"/>
            <w:vAlign w:val="center"/>
          </w:tcPr>
          <w:p w14:paraId="235B3C69"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7E293D1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0F1A91DA"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1C797C" w14:paraId="0EB841A1" w14:textId="77777777" w:rsidTr="00470FB8">
        <w:tc>
          <w:tcPr>
            <w:tcW w:w="1830" w:type="dxa"/>
            <w:vAlign w:val="center"/>
          </w:tcPr>
          <w:p w14:paraId="5D98A180"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5.1. valsts pamatbudžets</w:t>
            </w:r>
          </w:p>
        </w:tc>
        <w:tc>
          <w:tcPr>
            <w:tcW w:w="992" w:type="dxa"/>
            <w:vMerge/>
            <w:vAlign w:val="center"/>
          </w:tcPr>
          <w:p w14:paraId="43789BAB" w14:textId="77777777" w:rsidR="00470FB8" w:rsidRPr="00EA00E8" w:rsidRDefault="00470FB8" w:rsidP="00043DB1">
            <w:pPr>
              <w:pStyle w:val="NoSpacing"/>
              <w:rPr>
                <w:rFonts w:ascii="Times New Roman" w:hAnsi="Times New Roman"/>
                <w:iCs/>
                <w:sz w:val="24"/>
                <w:szCs w:val="24"/>
              </w:rPr>
            </w:pPr>
          </w:p>
        </w:tc>
        <w:tc>
          <w:tcPr>
            <w:tcW w:w="1268" w:type="dxa"/>
            <w:vAlign w:val="center"/>
          </w:tcPr>
          <w:p w14:paraId="04F8C5B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Merge/>
            <w:vAlign w:val="center"/>
          </w:tcPr>
          <w:p w14:paraId="56C6BC99" w14:textId="77777777" w:rsidR="00470FB8" w:rsidRPr="00EA00E8" w:rsidRDefault="00470FB8" w:rsidP="00043DB1">
            <w:pPr>
              <w:pStyle w:val="NoSpacing"/>
              <w:rPr>
                <w:rFonts w:ascii="Times New Roman" w:hAnsi="Times New Roman"/>
                <w:iCs/>
                <w:sz w:val="24"/>
                <w:szCs w:val="24"/>
              </w:rPr>
            </w:pPr>
          </w:p>
        </w:tc>
        <w:tc>
          <w:tcPr>
            <w:tcW w:w="1134" w:type="dxa"/>
            <w:vAlign w:val="center"/>
          </w:tcPr>
          <w:p w14:paraId="213E2ABA"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Merge/>
            <w:vAlign w:val="center"/>
          </w:tcPr>
          <w:p w14:paraId="68F9DFAF" w14:textId="77777777" w:rsidR="00470FB8" w:rsidRPr="00EA00E8" w:rsidRDefault="00470FB8" w:rsidP="00043DB1">
            <w:pPr>
              <w:pStyle w:val="NoSpacing"/>
              <w:rPr>
                <w:rFonts w:ascii="Times New Roman" w:hAnsi="Times New Roman"/>
                <w:iCs/>
                <w:sz w:val="24"/>
                <w:szCs w:val="24"/>
              </w:rPr>
            </w:pPr>
          </w:p>
        </w:tc>
        <w:tc>
          <w:tcPr>
            <w:tcW w:w="992" w:type="dxa"/>
            <w:vAlign w:val="center"/>
          </w:tcPr>
          <w:p w14:paraId="55072CAA"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0F496BC6"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1C797C" w14:paraId="7AC794A2" w14:textId="77777777" w:rsidTr="00470FB8">
        <w:tc>
          <w:tcPr>
            <w:tcW w:w="1830" w:type="dxa"/>
            <w:vAlign w:val="center"/>
          </w:tcPr>
          <w:p w14:paraId="4DBA87E4"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5.2. speciālais budžets</w:t>
            </w:r>
          </w:p>
        </w:tc>
        <w:tc>
          <w:tcPr>
            <w:tcW w:w="992" w:type="dxa"/>
            <w:vMerge/>
            <w:vAlign w:val="center"/>
          </w:tcPr>
          <w:p w14:paraId="07FC1DD5" w14:textId="77777777" w:rsidR="00470FB8" w:rsidRPr="00EA00E8" w:rsidRDefault="00470FB8" w:rsidP="00043DB1">
            <w:pPr>
              <w:pStyle w:val="NoSpacing"/>
              <w:rPr>
                <w:rFonts w:ascii="Times New Roman" w:hAnsi="Times New Roman"/>
                <w:iCs/>
                <w:sz w:val="24"/>
                <w:szCs w:val="24"/>
              </w:rPr>
            </w:pPr>
          </w:p>
        </w:tc>
        <w:tc>
          <w:tcPr>
            <w:tcW w:w="1268" w:type="dxa"/>
            <w:vAlign w:val="center"/>
          </w:tcPr>
          <w:p w14:paraId="6E112C59"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Merge/>
            <w:vAlign w:val="center"/>
          </w:tcPr>
          <w:p w14:paraId="23DF4679" w14:textId="77777777" w:rsidR="00470FB8" w:rsidRPr="00EA00E8" w:rsidRDefault="00470FB8" w:rsidP="00043DB1">
            <w:pPr>
              <w:pStyle w:val="NoSpacing"/>
              <w:rPr>
                <w:rFonts w:ascii="Times New Roman" w:hAnsi="Times New Roman"/>
                <w:iCs/>
                <w:sz w:val="24"/>
                <w:szCs w:val="24"/>
              </w:rPr>
            </w:pPr>
          </w:p>
        </w:tc>
        <w:tc>
          <w:tcPr>
            <w:tcW w:w="1134" w:type="dxa"/>
            <w:vAlign w:val="center"/>
          </w:tcPr>
          <w:p w14:paraId="479F586A"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Merge/>
            <w:vAlign w:val="center"/>
          </w:tcPr>
          <w:p w14:paraId="470FA6C9" w14:textId="77777777" w:rsidR="00470FB8" w:rsidRPr="00EA00E8" w:rsidRDefault="00470FB8" w:rsidP="00043DB1">
            <w:pPr>
              <w:pStyle w:val="NoSpacing"/>
              <w:rPr>
                <w:rFonts w:ascii="Times New Roman" w:hAnsi="Times New Roman"/>
                <w:iCs/>
                <w:sz w:val="24"/>
                <w:szCs w:val="24"/>
              </w:rPr>
            </w:pPr>
          </w:p>
        </w:tc>
        <w:tc>
          <w:tcPr>
            <w:tcW w:w="992" w:type="dxa"/>
            <w:vAlign w:val="center"/>
          </w:tcPr>
          <w:p w14:paraId="3E7E436A"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0CECFD8C"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1C797C" w14:paraId="5C77B9C4" w14:textId="77777777" w:rsidTr="00470FB8">
        <w:tc>
          <w:tcPr>
            <w:tcW w:w="1830" w:type="dxa"/>
            <w:vAlign w:val="center"/>
          </w:tcPr>
          <w:p w14:paraId="559E1492"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5.3. pašvaldību budžets</w:t>
            </w:r>
          </w:p>
        </w:tc>
        <w:tc>
          <w:tcPr>
            <w:tcW w:w="992" w:type="dxa"/>
            <w:vMerge/>
            <w:vAlign w:val="center"/>
          </w:tcPr>
          <w:p w14:paraId="2C87F97C" w14:textId="77777777" w:rsidR="00470FB8" w:rsidRPr="00EA00E8" w:rsidRDefault="00470FB8" w:rsidP="00043DB1">
            <w:pPr>
              <w:pStyle w:val="NoSpacing"/>
              <w:rPr>
                <w:rFonts w:ascii="Times New Roman" w:hAnsi="Times New Roman"/>
                <w:iCs/>
                <w:sz w:val="24"/>
                <w:szCs w:val="24"/>
              </w:rPr>
            </w:pPr>
          </w:p>
        </w:tc>
        <w:tc>
          <w:tcPr>
            <w:tcW w:w="1268" w:type="dxa"/>
            <w:vAlign w:val="center"/>
          </w:tcPr>
          <w:p w14:paraId="777AD8B8"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Merge/>
            <w:vAlign w:val="center"/>
          </w:tcPr>
          <w:p w14:paraId="3ED90068" w14:textId="77777777" w:rsidR="00470FB8" w:rsidRPr="00EA00E8" w:rsidRDefault="00470FB8" w:rsidP="00043DB1">
            <w:pPr>
              <w:pStyle w:val="NoSpacing"/>
              <w:rPr>
                <w:rFonts w:ascii="Times New Roman" w:hAnsi="Times New Roman"/>
                <w:iCs/>
                <w:sz w:val="24"/>
                <w:szCs w:val="24"/>
              </w:rPr>
            </w:pPr>
          </w:p>
        </w:tc>
        <w:tc>
          <w:tcPr>
            <w:tcW w:w="1134" w:type="dxa"/>
            <w:vAlign w:val="center"/>
          </w:tcPr>
          <w:p w14:paraId="25F16F79"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Merge/>
            <w:vAlign w:val="center"/>
          </w:tcPr>
          <w:p w14:paraId="3A4E38B1" w14:textId="77777777" w:rsidR="00470FB8" w:rsidRPr="00EA00E8" w:rsidRDefault="00470FB8" w:rsidP="00043DB1">
            <w:pPr>
              <w:pStyle w:val="NoSpacing"/>
              <w:rPr>
                <w:rFonts w:ascii="Times New Roman" w:hAnsi="Times New Roman"/>
                <w:iCs/>
                <w:sz w:val="24"/>
                <w:szCs w:val="24"/>
              </w:rPr>
            </w:pPr>
          </w:p>
        </w:tc>
        <w:tc>
          <w:tcPr>
            <w:tcW w:w="992" w:type="dxa"/>
            <w:vAlign w:val="center"/>
          </w:tcPr>
          <w:p w14:paraId="65E1BFE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208D014D"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396D35" w14:paraId="715E1487" w14:textId="77777777" w:rsidTr="00470FB8">
        <w:tc>
          <w:tcPr>
            <w:tcW w:w="1830" w:type="dxa"/>
            <w:vAlign w:val="center"/>
          </w:tcPr>
          <w:p w14:paraId="781E8963"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6. Detalizēts ieņēmumu un izdevumu aprēķins (ja nepieciešams, detalizētu ieņēmumu un izdevumu aprēķinu var pievienot anotācijas pielikumā)</w:t>
            </w:r>
          </w:p>
        </w:tc>
        <w:tc>
          <w:tcPr>
            <w:tcW w:w="7938" w:type="dxa"/>
            <w:gridSpan w:val="7"/>
            <w:vMerge w:val="restart"/>
            <w:shd w:val="clear" w:color="auto" w:fill="auto"/>
          </w:tcPr>
          <w:p w14:paraId="46899E77" w14:textId="77777777" w:rsidR="00470FB8" w:rsidRPr="00EA00E8" w:rsidRDefault="00470FB8" w:rsidP="00043DB1">
            <w:pPr>
              <w:pStyle w:val="tv213"/>
              <w:tabs>
                <w:tab w:val="left" w:pos="709"/>
              </w:tabs>
              <w:spacing w:before="0" w:beforeAutospacing="0" w:after="0" w:afterAutospacing="0"/>
              <w:jc w:val="both"/>
              <w:rPr>
                <w:color w:val="000000"/>
                <w:bdr w:val="none" w:sz="0" w:space="0" w:color="auto" w:frame="1"/>
              </w:rPr>
            </w:pPr>
            <w:r w:rsidRPr="00EA00E8">
              <w:rPr>
                <w:shd w:val="clear" w:color="auto" w:fill="FFFFFF"/>
              </w:rPr>
              <w:t>Lai nodrošinātu digitālā vakcinācijas sertifikāta ģenerēšanu personām,</w:t>
            </w:r>
            <w:r w:rsidRPr="00EA00E8">
              <w:rPr>
                <w:color w:val="000000"/>
                <w:bdr w:val="none" w:sz="0" w:space="0" w:color="auto" w:frame="1"/>
              </w:rPr>
              <w:t xml:space="preserve"> kurām ir tiesības uz vakcinācijas pret Covid-19 pakalpojumu Latvijā, bet kurām šī vakcinācija veikta ārvalstīs, nepieciešams izveidot 1 jaunu amata vietu </w:t>
            </w:r>
            <w:r w:rsidRPr="00EA00E8">
              <w:rPr>
                <w:shd w:val="clear" w:color="auto" w:fill="FFFFFF"/>
              </w:rPr>
              <w:t xml:space="preserve">Nacionālajā veselības dienestā – jurists, kurš veiks </w:t>
            </w:r>
            <w:r w:rsidRPr="00EA00E8">
              <w:rPr>
                <w:color w:val="000000"/>
                <w:shd w:val="clear" w:color="auto" w:fill="FFFFFF"/>
              </w:rPr>
              <w:t>dokumentu izvērtēšanu Administratīvā procesa likumā noteiktajā kārtībā.</w:t>
            </w:r>
          </w:p>
          <w:p w14:paraId="28910CAE" w14:textId="77777777" w:rsidR="00470FB8" w:rsidRPr="00EA00E8" w:rsidRDefault="00470FB8" w:rsidP="00043DB1">
            <w:pPr>
              <w:pStyle w:val="tv213"/>
              <w:tabs>
                <w:tab w:val="left" w:pos="709"/>
              </w:tabs>
              <w:spacing w:before="0" w:beforeAutospacing="0" w:after="0" w:afterAutospacing="0"/>
              <w:jc w:val="both"/>
              <w:rPr>
                <w:shd w:val="clear" w:color="auto" w:fill="FFFFFF"/>
              </w:rPr>
            </w:pPr>
          </w:p>
          <w:p w14:paraId="5FA033B2" w14:textId="77777777" w:rsidR="00470FB8" w:rsidRPr="00EA00E8" w:rsidRDefault="00470FB8" w:rsidP="00043DB1">
            <w:pPr>
              <w:shd w:val="clear" w:color="auto" w:fill="FFFFFF"/>
              <w:jc w:val="both"/>
              <w:outlineLvl w:val="2"/>
              <w:rPr>
                <w:sz w:val="24"/>
                <w:szCs w:val="24"/>
              </w:rPr>
            </w:pPr>
            <w:r w:rsidRPr="00EA00E8">
              <w:rPr>
                <w:sz w:val="24"/>
                <w:szCs w:val="24"/>
              </w:rPr>
              <w:t>Detalizētu informāciju ar aprēķiniem par papildus nepieciešamo finansējumu 1 jaunas amata vietas nodrošināšanai 2021.gadam skatīt anotācijas pielikumā Nr.1.</w:t>
            </w:r>
          </w:p>
          <w:p w14:paraId="3DEB9E3E" w14:textId="77777777" w:rsidR="00470FB8" w:rsidRPr="00EA00E8" w:rsidRDefault="00470FB8" w:rsidP="00043DB1">
            <w:pPr>
              <w:pStyle w:val="tv213"/>
              <w:tabs>
                <w:tab w:val="left" w:pos="709"/>
              </w:tabs>
              <w:spacing w:before="0" w:beforeAutospacing="0" w:after="0" w:afterAutospacing="0"/>
              <w:jc w:val="both"/>
              <w:rPr>
                <w:shd w:val="clear" w:color="auto" w:fill="FFFFFF"/>
              </w:rPr>
            </w:pPr>
            <w:r w:rsidRPr="00EA00E8">
              <w:rPr>
                <w:shd w:val="clear" w:color="auto" w:fill="FFFFFF"/>
              </w:rPr>
              <w:t xml:space="preserve">Valsts asinsdonoru centrs, kuram tiks deleģēta funkcija - veikt </w:t>
            </w:r>
            <w:r w:rsidRPr="00EA00E8">
              <w:rPr>
                <w:bdr w:val="none" w:sz="0" w:space="0" w:color="auto" w:frame="1"/>
              </w:rPr>
              <w:t xml:space="preserve">datu ievadīšanu e-veselības sistēmā, to nodrošinās iestādes esošo amata vietu ietvaros. Atbilstoši </w:t>
            </w:r>
            <w:r w:rsidRPr="00EA00E8">
              <w:rPr>
                <w:shd w:val="clear" w:color="auto" w:fill="FFFFFF"/>
              </w:rPr>
              <w:t>Covid-19 infekcijas izplatības pārvaldības likuma 49.</w:t>
            </w:r>
            <w:r w:rsidRPr="00EA00E8">
              <w:rPr>
                <w:shd w:val="clear" w:color="auto" w:fill="FFFFFF"/>
                <w:vertAlign w:val="superscript"/>
              </w:rPr>
              <w:t>3</w:t>
            </w:r>
            <w:r w:rsidRPr="00EA00E8">
              <w:rPr>
                <w:shd w:val="clear" w:color="auto" w:fill="FFFFFF"/>
              </w:rPr>
              <w:t xml:space="preserve"> pantā noteiktajam, pēc faktiskās nepieciešamības nodarbinātajiem tiks </w:t>
            </w:r>
            <w:r w:rsidRPr="00EA00E8">
              <w:rPr>
                <w:rFonts w:eastAsia="Calibri"/>
                <w:shd w:val="clear" w:color="auto" w:fill="FFFFFF"/>
              </w:rPr>
              <w:t>noteikts virsstundu darbs un tā apmaksai nepieciešamie papildu finanšu līdzekļi tiks pieprasīti no valsts budžeta programmas 02.00.00 "Līdzekļi neparedzētiem gadījumiem" kopā ar pārējo iestāžu pārskatiem par attiecīgā perioda virsstundu, kas saistītas ar Covid-19 jautājumu risināšanu un seku novēršanu, darba apmaksu.</w:t>
            </w:r>
          </w:p>
          <w:p w14:paraId="13228712" w14:textId="77777777" w:rsidR="00470FB8" w:rsidRPr="00EA00E8" w:rsidRDefault="00470FB8" w:rsidP="00043DB1">
            <w:pPr>
              <w:pStyle w:val="tv213"/>
              <w:tabs>
                <w:tab w:val="left" w:pos="709"/>
              </w:tabs>
              <w:spacing w:before="0" w:beforeAutospacing="0" w:after="0" w:afterAutospacing="0"/>
              <w:jc w:val="both"/>
              <w:rPr>
                <w:shd w:val="clear" w:color="auto" w:fill="FFFFFF"/>
              </w:rPr>
            </w:pPr>
          </w:p>
          <w:p w14:paraId="2EA46926" w14:textId="2F4A96F5" w:rsidR="00470FB8" w:rsidRPr="00EA00E8" w:rsidRDefault="00470FB8" w:rsidP="00043DB1">
            <w:pPr>
              <w:pStyle w:val="tv213"/>
              <w:tabs>
                <w:tab w:val="left" w:pos="709"/>
              </w:tabs>
              <w:spacing w:before="0" w:beforeAutospacing="0" w:after="0" w:afterAutospacing="0"/>
              <w:jc w:val="both"/>
              <w:rPr>
                <w:shd w:val="clear" w:color="auto" w:fill="FFFFFF"/>
              </w:rPr>
            </w:pPr>
            <w:r w:rsidRPr="00EA00E8">
              <w:rPr>
                <w:shd w:val="clear" w:color="auto" w:fill="FFFFFF"/>
              </w:rPr>
              <w:t>Tiek plānots, ka projekts stāsies spēkā ar 2021.gada 1.jūliju. Līdz ar to papildus nepieciešamais finansējums 2021.gadam Nacionālajam veselības dienestam ir aprēķināts</w:t>
            </w:r>
            <w:r w:rsidR="004A7CD0">
              <w:rPr>
                <w:shd w:val="clear" w:color="auto" w:fill="FFFFFF"/>
              </w:rPr>
              <w:t xml:space="preserve"> un būtu attiecināms</w:t>
            </w:r>
            <w:r w:rsidRPr="00EA00E8">
              <w:rPr>
                <w:shd w:val="clear" w:color="auto" w:fill="FFFFFF"/>
              </w:rPr>
              <w:t xml:space="preserve"> no 2021.gada 1.jūlija līdz 2021.gada 31.decembrim (6 mēnešiem).</w:t>
            </w:r>
          </w:p>
          <w:p w14:paraId="7462A5B4" w14:textId="77777777" w:rsidR="00470FB8" w:rsidRPr="00EA00E8" w:rsidRDefault="00470FB8" w:rsidP="00043DB1">
            <w:pPr>
              <w:pStyle w:val="tv213"/>
              <w:tabs>
                <w:tab w:val="left" w:pos="709"/>
              </w:tabs>
              <w:spacing w:before="0" w:beforeAutospacing="0" w:after="0" w:afterAutospacing="0"/>
              <w:jc w:val="both"/>
              <w:rPr>
                <w:shd w:val="clear" w:color="auto" w:fill="FFFFFF"/>
              </w:rPr>
            </w:pPr>
          </w:p>
          <w:p w14:paraId="077BCE80" w14:textId="77777777" w:rsidR="00470FB8" w:rsidRPr="00EA00E8" w:rsidRDefault="00470FB8" w:rsidP="00043DB1">
            <w:pPr>
              <w:pStyle w:val="tv213"/>
              <w:tabs>
                <w:tab w:val="left" w:pos="709"/>
              </w:tabs>
              <w:spacing w:before="0" w:beforeAutospacing="0" w:after="0" w:afterAutospacing="0"/>
              <w:jc w:val="both"/>
              <w:rPr>
                <w:color w:val="000000"/>
                <w:bdr w:val="none" w:sz="0" w:space="0" w:color="auto" w:frame="1"/>
              </w:rPr>
            </w:pPr>
            <w:r w:rsidRPr="00EA00E8">
              <w:rPr>
                <w:shd w:val="clear" w:color="auto" w:fill="FFFFFF"/>
              </w:rPr>
              <w:t xml:space="preserve">Pēc projekta apstiprināšanas Ministru kabinetā tiks iesniegts </w:t>
            </w:r>
            <w:r w:rsidRPr="00EA00E8">
              <w:t xml:space="preserve">Ministru kabineta rīkojuma projekts “Par finanšu līdzekļu piešķiršanu no valsts budžeta programmas “Līdzekļi neparedzētiem gadījumiem””, kurš paredzēs Finanšu ministrijai no valsts budžeta programmas 02.00.00 “Līdzekļi neparedzētiem gadījumiem” piešķirt Veselības ministrijai finansējumu </w:t>
            </w:r>
            <w:r w:rsidRPr="00EA00E8">
              <w:rPr>
                <w:shd w:val="clear" w:color="auto" w:fill="FFFFFF"/>
              </w:rPr>
              <w:t>14 142</w:t>
            </w:r>
            <w:r w:rsidRPr="00EA00E8">
              <w:t> </w:t>
            </w:r>
            <w:r w:rsidRPr="00EA00E8">
              <w:rPr>
                <w:i/>
              </w:rPr>
              <w:t xml:space="preserve">euro </w:t>
            </w:r>
            <w:r w:rsidRPr="00EA00E8">
              <w:rPr>
                <w:iCs/>
              </w:rPr>
              <w:t xml:space="preserve">apmērā, </w:t>
            </w:r>
            <w:r w:rsidRPr="00EA00E8">
              <w:rPr>
                <w:shd w:val="clear" w:color="auto" w:fill="FFFFFF"/>
              </w:rPr>
              <w:t>lai nodrošinātu Nacionālajam veselības dieestam 2021.gadam vienu (1) amata vietu, kura veiks digitālā vakcinācijas sertifikāta ģenerēšanu personām,</w:t>
            </w:r>
            <w:r w:rsidRPr="00EA00E8">
              <w:rPr>
                <w:color w:val="000000"/>
                <w:bdr w:val="none" w:sz="0" w:space="0" w:color="auto" w:frame="1"/>
              </w:rPr>
              <w:t xml:space="preserve"> kurām ir tiesības uz vakcinācijas pret Covid-19 pakalpojumu Latvijā, bet kurām šī vakcinācija veikta ārvalstīs.</w:t>
            </w:r>
          </w:p>
          <w:p w14:paraId="33ADAB64" w14:textId="77777777" w:rsidR="00470FB8" w:rsidRPr="00EA00E8" w:rsidRDefault="00470FB8" w:rsidP="00043DB1">
            <w:pPr>
              <w:pStyle w:val="tv213"/>
              <w:tabs>
                <w:tab w:val="left" w:pos="709"/>
              </w:tabs>
              <w:spacing w:before="0" w:beforeAutospacing="0" w:after="0" w:afterAutospacing="0"/>
              <w:jc w:val="both"/>
              <w:rPr>
                <w:color w:val="000000"/>
                <w:bdr w:val="none" w:sz="0" w:space="0" w:color="auto" w:frame="1"/>
              </w:rPr>
            </w:pPr>
          </w:p>
          <w:p w14:paraId="2894D938" w14:textId="77777777" w:rsidR="00470FB8" w:rsidRPr="00EA00E8" w:rsidRDefault="00470FB8" w:rsidP="00043DB1">
            <w:pPr>
              <w:pStyle w:val="tv213"/>
              <w:tabs>
                <w:tab w:val="left" w:pos="709"/>
              </w:tabs>
              <w:spacing w:before="0" w:beforeAutospacing="0" w:after="0" w:afterAutospacing="0"/>
              <w:jc w:val="both"/>
              <w:rPr>
                <w:shd w:val="clear" w:color="auto" w:fill="FFFFFF"/>
              </w:rPr>
            </w:pPr>
            <w:r w:rsidRPr="00EA00E8">
              <w:rPr>
                <w:color w:val="000000"/>
                <w:shd w:val="clear" w:color="auto" w:fill="FFFFFF"/>
              </w:rPr>
              <w:t>Jautājums par papildus valsts budžeta līdzekļu piešķiršanu Veselības ministrijai (Nacionālajam veselības dienestam) 1 amata vietai, kura nodrošinās iepriekš minētās funkcijas veikšanu,  2022.-2024.gadam un turpmāk ik gadu tiks virzīts Ministru kabinetā likumprojekta “Par vidējā termiņa budžeta ietvaru 2022., 2023. un 2024.gadam” un likumprojekta “Par valsts budžetu 2022.gadam” sagatavošanas un izskatīšanas procesā.</w:t>
            </w:r>
          </w:p>
        </w:tc>
      </w:tr>
      <w:tr w:rsidR="00470FB8" w:rsidRPr="00EC6E12" w14:paraId="4B1AF72B" w14:textId="77777777" w:rsidTr="00470FB8">
        <w:tc>
          <w:tcPr>
            <w:tcW w:w="1830" w:type="dxa"/>
            <w:vAlign w:val="center"/>
          </w:tcPr>
          <w:p w14:paraId="4146816B"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6.1. detalizēts ieņēmumu aprēķins</w:t>
            </w:r>
          </w:p>
        </w:tc>
        <w:tc>
          <w:tcPr>
            <w:tcW w:w="7938" w:type="dxa"/>
            <w:gridSpan w:val="7"/>
            <w:vMerge/>
            <w:shd w:val="clear" w:color="auto" w:fill="auto"/>
            <w:vAlign w:val="center"/>
          </w:tcPr>
          <w:p w14:paraId="48DFC1CF" w14:textId="77777777" w:rsidR="00470FB8" w:rsidRPr="00EA00E8" w:rsidRDefault="00470FB8" w:rsidP="00043DB1">
            <w:pPr>
              <w:pStyle w:val="NoSpacing"/>
              <w:rPr>
                <w:rFonts w:ascii="Times New Roman" w:hAnsi="Times New Roman"/>
                <w:iCs/>
                <w:sz w:val="24"/>
                <w:szCs w:val="24"/>
              </w:rPr>
            </w:pPr>
          </w:p>
        </w:tc>
      </w:tr>
      <w:tr w:rsidR="00470FB8" w:rsidRPr="00EC6E12" w14:paraId="40799A9E" w14:textId="77777777" w:rsidTr="00470FB8">
        <w:tc>
          <w:tcPr>
            <w:tcW w:w="1830" w:type="dxa"/>
            <w:vAlign w:val="center"/>
          </w:tcPr>
          <w:p w14:paraId="648905B5"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6.2. detalizēts izdevumu aprēķins</w:t>
            </w:r>
          </w:p>
        </w:tc>
        <w:tc>
          <w:tcPr>
            <w:tcW w:w="7938" w:type="dxa"/>
            <w:gridSpan w:val="7"/>
            <w:vMerge/>
            <w:shd w:val="clear" w:color="auto" w:fill="auto"/>
            <w:vAlign w:val="center"/>
          </w:tcPr>
          <w:p w14:paraId="77ACEFD4" w14:textId="77777777" w:rsidR="00470FB8" w:rsidRPr="00EA00E8" w:rsidRDefault="00470FB8" w:rsidP="00043DB1">
            <w:pPr>
              <w:pStyle w:val="NoSpacing"/>
              <w:rPr>
                <w:rFonts w:ascii="Times New Roman" w:hAnsi="Times New Roman"/>
                <w:iCs/>
                <w:sz w:val="24"/>
                <w:szCs w:val="24"/>
              </w:rPr>
            </w:pPr>
          </w:p>
        </w:tc>
      </w:tr>
      <w:tr w:rsidR="00470FB8" w:rsidRPr="00396D35" w14:paraId="6A3F586D" w14:textId="77777777" w:rsidTr="00470FB8">
        <w:tc>
          <w:tcPr>
            <w:tcW w:w="1830" w:type="dxa"/>
            <w:vAlign w:val="center"/>
          </w:tcPr>
          <w:p w14:paraId="142D69F5"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lastRenderedPageBreak/>
              <w:t>7. Amata vietu skaita izmaiņas</w:t>
            </w:r>
          </w:p>
        </w:tc>
        <w:tc>
          <w:tcPr>
            <w:tcW w:w="7938" w:type="dxa"/>
            <w:gridSpan w:val="7"/>
            <w:vAlign w:val="center"/>
          </w:tcPr>
          <w:p w14:paraId="2D468537" w14:textId="77777777" w:rsidR="00470FB8" w:rsidRPr="00EA00E8" w:rsidRDefault="00470FB8" w:rsidP="00043DB1">
            <w:pPr>
              <w:keepLines/>
              <w:autoSpaceDE w:val="0"/>
              <w:autoSpaceDN w:val="0"/>
              <w:adjustRightInd w:val="0"/>
              <w:jc w:val="both"/>
              <w:rPr>
                <w:iCs/>
                <w:sz w:val="24"/>
                <w:szCs w:val="24"/>
              </w:rPr>
            </w:pPr>
            <w:r w:rsidRPr="00EA00E8">
              <w:rPr>
                <w:iCs/>
                <w:sz w:val="24"/>
                <w:szCs w:val="24"/>
              </w:rPr>
              <w:t>Nacionālajam veselības dienestam papildu nepieciešamo  1 amata vietu uz laiku no 2021.gada 1.jūlija līdz 2021.gada 31.decembrim tiek plānots pārdalīt no Neatliekamās medicīniskās palīdzības dienesta, nepalielinot nozares kopējo amata vietu skaitu.</w:t>
            </w:r>
          </w:p>
          <w:p w14:paraId="05716514" w14:textId="77777777" w:rsidR="00470FB8" w:rsidRPr="00EA00E8" w:rsidRDefault="00470FB8" w:rsidP="00043DB1">
            <w:pPr>
              <w:keepLines/>
              <w:autoSpaceDE w:val="0"/>
              <w:autoSpaceDN w:val="0"/>
              <w:adjustRightInd w:val="0"/>
              <w:jc w:val="both"/>
              <w:rPr>
                <w:iCs/>
                <w:sz w:val="24"/>
                <w:szCs w:val="24"/>
              </w:rPr>
            </w:pPr>
            <w:r w:rsidRPr="00EA00E8">
              <w:rPr>
                <w:iCs/>
                <w:sz w:val="24"/>
                <w:szCs w:val="24"/>
              </w:rPr>
              <w:t>Neatliekamās medicīniskās palīdzības dienests finansējuma ekonomiju, kas radusies no amata vietu pārdalēm,  novirzīs esošo darbinieku atlīdzībai, t.i. piemaksām par papildu darbu, speciālajām piemaksām (piemaksām par risku un stāžu), nakts darbu, piemaksām par svētku dienām, kā arī virsstundu apmaksai, lai tiktu nodrošināta Neatliekamās medicīniskās palīdzības dienesta funkcija “organizēt un nodrošināt neatliekamo medicīnisko palīdzību iedzīvotājiem pirmsslimnīcas etapā”.</w:t>
            </w:r>
          </w:p>
        </w:tc>
      </w:tr>
      <w:tr w:rsidR="00470FB8" w:rsidRPr="00EC6E12" w14:paraId="1AED4FB2" w14:textId="77777777" w:rsidTr="00470FB8">
        <w:tc>
          <w:tcPr>
            <w:tcW w:w="1830" w:type="dxa"/>
            <w:vAlign w:val="center"/>
          </w:tcPr>
          <w:p w14:paraId="1B30353A"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8. Cita informācija</w:t>
            </w:r>
          </w:p>
        </w:tc>
        <w:tc>
          <w:tcPr>
            <w:tcW w:w="7938" w:type="dxa"/>
            <w:gridSpan w:val="7"/>
            <w:vAlign w:val="center"/>
          </w:tcPr>
          <w:p w14:paraId="2376AD91" w14:textId="77777777" w:rsidR="00470FB8" w:rsidRPr="00EA00E8" w:rsidRDefault="00470FB8" w:rsidP="00043DB1">
            <w:pPr>
              <w:pStyle w:val="NoSpacing"/>
              <w:jc w:val="both"/>
              <w:rPr>
                <w:rFonts w:ascii="Times New Roman" w:hAnsi="Times New Roman"/>
                <w:iCs/>
                <w:sz w:val="24"/>
                <w:szCs w:val="24"/>
              </w:rPr>
            </w:pPr>
          </w:p>
        </w:tc>
      </w:tr>
    </w:tbl>
    <w:p w14:paraId="03D980F7" w14:textId="77777777" w:rsidR="00470FB8" w:rsidRDefault="00470FB8"/>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3"/>
        <w:gridCol w:w="2406"/>
        <w:gridCol w:w="6521"/>
      </w:tblGrid>
      <w:tr w:rsidR="007E4536" w:rsidRPr="00BD50E2" w14:paraId="086ACBDF"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BD50E2" w:rsidRDefault="007E4536" w:rsidP="006155DA">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t>IV. Tiesību akta projekta ietekme uz spēkā esošo tiesību normu sistēmu</w:t>
            </w:r>
          </w:p>
        </w:tc>
      </w:tr>
      <w:tr w:rsidR="007E4536" w:rsidRPr="00BD50E2" w14:paraId="06745513" w14:textId="77777777" w:rsidTr="00470FB8">
        <w:tc>
          <w:tcPr>
            <w:tcW w:w="436" w:type="pct"/>
            <w:tcBorders>
              <w:top w:val="single" w:sz="4" w:space="0" w:color="auto"/>
              <w:left w:val="single" w:sz="4" w:space="0" w:color="auto"/>
              <w:bottom w:val="single" w:sz="4" w:space="0" w:color="auto"/>
              <w:right w:val="single" w:sz="4" w:space="0" w:color="auto"/>
            </w:tcBorders>
            <w:hideMark/>
          </w:tcPr>
          <w:p w14:paraId="041BEE80" w14:textId="26FC4AEA" w:rsidR="007E4536" w:rsidRPr="00BD50E2" w:rsidRDefault="007E4536"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230" w:type="pct"/>
            <w:tcBorders>
              <w:top w:val="single" w:sz="4" w:space="0" w:color="auto"/>
              <w:left w:val="single" w:sz="4" w:space="0" w:color="auto"/>
              <w:bottom w:val="single" w:sz="4" w:space="0" w:color="auto"/>
              <w:right w:val="single" w:sz="4" w:space="0" w:color="auto"/>
            </w:tcBorders>
            <w:hideMark/>
          </w:tcPr>
          <w:p w14:paraId="3E9958BA" w14:textId="4AC75013"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Saistītie tiesību aktu projekti</w:t>
            </w:r>
          </w:p>
        </w:tc>
        <w:tc>
          <w:tcPr>
            <w:tcW w:w="3334" w:type="pct"/>
            <w:tcBorders>
              <w:top w:val="single" w:sz="4" w:space="0" w:color="auto"/>
              <w:left w:val="single" w:sz="4" w:space="0" w:color="auto"/>
              <w:bottom w:val="single" w:sz="4" w:space="0" w:color="auto"/>
              <w:right w:val="single" w:sz="4" w:space="0" w:color="auto"/>
            </w:tcBorders>
          </w:tcPr>
          <w:p w14:paraId="1BEDA234" w14:textId="56A662D9" w:rsidR="007E4536" w:rsidRPr="00BD50E2" w:rsidRDefault="008670E6" w:rsidP="007E4536">
            <w:pPr>
              <w:spacing w:after="0" w:line="240" w:lineRule="auto"/>
              <w:jc w:val="both"/>
              <w:rPr>
                <w:rFonts w:ascii="Times New Roman" w:eastAsia="Times New Roman" w:hAnsi="Times New Roman" w:cs="Times New Roman"/>
                <w:bCs/>
                <w:sz w:val="24"/>
                <w:szCs w:val="24"/>
              </w:rPr>
            </w:pPr>
            <w:r w:rsidRPr="008670E6">
              <w:rPr>
                <w:rFonts w:ascii="Times New Roman" w:eastAsia="Times New Roman" w:hAnsi="Times New Roman" w:cs="Times New Roman"/>
                <w:bCs/>
                <w:sz w:val="24"/>
                <w:szCs w:val="24"/>
              </w:rPr>
              <w:t>Projekts šo jomu neskar</w:t>
            </w:r>
            <w:r>
              <w:rPr>
                <w:rFonts w:ascii="Times New Roman" w:eastAsia="Times New Roman" w:hAnsi="Times New Roman" w:cs="Times New Roman"/>
                <w:bCs/>
                <w:sz w:val="24"/>
                <w:szCs w:val="24"/>
              </w:rPr>
              <w:t>.</w:t>
            </w:r>
          </w:p>
        </w:tc>
      </w:tr>
      <w:tr w:rsidR="007E4536" w:rsidRPr="00BD50E2" w14:paraId="1BF94135" w14:textId="77777777" w:rsidTr="00470FB8">
        <w:tc>
          <w:tcPr>
            <w:tcW w:w="436" w:type="pct"/>
            <w:tcBorders>
              <w:top w:val="single" w:sz="4" w:space="0" w:color="auto"/>
              <w:left w:val="single" w:sz="4" w:space="0" w:color="auto"/>
              <w:bottom w:val="single" w:sz="4" w:space="0" w:color="auto"/>
              <w:right w:val="single" w:sz="4" w:space="0" w:color="auto"/>
            </w:tcBorders>
            <w:hideMark/>
          </w:tcPr>
          <w:p w14:paraId="37F06583" w14:textId="77777777" w:rsidR="007E4536" w:rsidRPr="00BD50E2" w:rsidRDefault="007E4536" w:rsidP="006155DA">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230" w:type="pct"/>
            <w:tcBorders>
              <w:top w:val="single" w:sz="4" w:space="0" w:color="auto"/>
              <w:left w:val="single" w:sz="4" w:space="0" w:color="auto"/>
              <w:bottom w:val="single" w:sz="4" w:space="0" w:color="auto"/>
              <w:right w:val="single" w:sz="4" w:space="0" w:color="auto"/>
            </w:tcBorders>
            <w:hideMark/>
          </w:tcPr>
          <w:p w14:paraId="1C73217E" w14:textId="30FB45CB"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Atbildīgā institūcija</w:t>
            </w:r>
          </w:p>
        </w:tc>
        <w:tc>
          <w:tcPr>
            <w:tcW w:w="3334" w:type="pct"/>
            <w:tcBorders>
              <w:top w:val="single" w:sz="4" w:space="0" w:color="auto"/>
              <w:left w:val="single" w:sz="4" w:space="0" w:color="auto"/>
              <w:bottom w:val="single" w:sz="4" w:space="0" w:color="auto"/>
              <w:right w:val="single" w:sz="4" w:space="0" w:color="auto"/>
            </w:tcBorders>
          </w:tcPr>
          <w:p w14:paraId="07D89C85" w14:textId="03FB317E" w:rsidR="007E4536" w:rsidRPr="00BD50E2" w:rsidRDefault="008670E6" w:rsidP="006155DA">
            <w:pPr>
              <w:pStyle w:val="NormalWeb"/>
              <w:shd w:val="clear" w:color="auto" w:fill="FFFFFF"/>
              <w:spacing w:line="256" w:lineRule="auto"/>
              <w:jc w:val="both"/>
              <w:rPr>
                <w:shd w:val="clear" w:color="auto" w:fill="FFFFFF"/>
              </w:rPr>
            </w:pPr>
            <w:r w:rsidRPr="008670E6">
              <w:rPr>
                <w:shd w:val="clear" w:color="auto" w:fill="FFFFFF"/>
              </w:rPr>
              <w:t>Projekts šo jomu neskar</w:t>
            </w:r>
            <w:r>
              <w:rPr>
                <w:shd w:val="clear" w:color="auto" w:fill="FFFFFF"/>
              </w:rPr>
              <w:t>.</w:t>
            </w:r>
          </w:p>
        </w:tc>
      </w:tr>
      <w:tr w:rsidR="007E4536" w:rsidRPr="00BD50E2" w14:paraId="03142B10" w14:textId="77777777" w:rsidTr="00470FB8">
        <w:tc>
          <w:tcPr>
            <w:tcW w:w="436" w:type="pct"/>
            <w:tcBorders>
              <w:top w:val="single" w:sz="4" w:space="0" w:color="auto"/>
              <w:left w:val="single" w:sz="4" w:space="0" w:color="auto"/>
              <w:bottom w:val="single" w:sz="4" w:space="0" w:color="auto"/>
              <w:right w:val="single" w:sz="4" w:space="0" w:color="auto"/>
            </w:tcBorders>
            <w:hideMark/>
          </w:tcPr>
          <w:p w14:paraId="402825A8" w14:textId="5E38C5B0" w:rsidR="007E4536" w:rsidRPr="00BD50E2" w:rsidRDefault="007E4536" w:rsidP="006155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BD50E2">
              <w:rPr>
                <w:rFonts w:ascii="Times New Roman" w:eastAsia="Times New Roman" w:hAnsi="Times New Roman" w:cs="Times New Roman"/>
                <w:bCs/>
                <w:sz w:val="24"/>
                <w:szCs w:val="24"/>
              </w:rPr>
              <w:t>.</w:t>
            </w:r>
          </w:p>
        </w:tc>
        <w:tc>
          <w:tcPr>
            <w:tcW w:w="1230" w:type="pct"/>
            <w:tcBorders>
              <w:top w:val="single" w:sz="4" w:space="0" w:color="auto"/>
              <w:left w:val="single" w:sz="4" w:space="0" w:color="auto"/>
              <w:bottom w:val="single" w:sz="4" w:space="0" w:color="auto"/>
              <w:right w:val="single" w:sz="4" w:space="0" w:color="auto"/>
            </w:tcBorders>
            <w:hideMark/>
          </w:tcPr>
          <w:p w14:paraId="5F39771F" w14:textId="77777777" w:rsidR="007E4536" w:rsidRPr="00BD50E2" w:rsidRDefault="007E4536" w:rsidP="006155DA">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34" w:type="pct"/>
            <w:tcBorders>
              <w:top w:val="single" w:sz="4" w:space="0" w:color="auto"/>
              <w:left w:val="single" w:sz="4" w:space="0" w:color="auto"/>
              <w:bottom w:val="single" w:sz="4" w:space="0" w:color="auto"/>
              <w:right w:val="single" w:sz="4" w:space="0" w:color="auto"/>
            </w:tcBorders>
            <w:hideMark/>
          </w:tcPr>
          <w:p w14:paraId="3A9BB8FA" w14:textId="2F75731C" w:rsidR="007E4536" w:rsidRPr="00BD50E2" w:rsidRDefault="007E4536" w:rsidP="006155DA">
            <w:pPr>
              <w:spacing w:after="0" w:line="240" w:lineRule="auto"/>
              <w:jc w:val="both"/>
              <w:rPr>
                <w:rFonts w:ascii="Times New Roman" w:eastAsia="Times New Roman" w:hAnsi="Times New Roman" w:cs="Times New Roman"/>
                <w:bCs/>
                <w:sz w:val="24"/>
                <w:szCs w:val="24"/>
              </w:rPr>
            </w:pPr>
          </w:p>
        </w:tc>
      </w:tr>
    </w:tbl>
    <w:p w14:paraId="1A68D5C0" w14:textId="4304E2C1" w:rsidR="007E4536" w:rsidRPr="00A17EEC" w:rsidRDefault="007E4536" w:rsidP="00D74883">
      <w:pPr>
        <w:spacing w:after="0" w:line="240" w:lineRule="auto"/>
        <w:rPr>
          <w:rFonts w:ascii="Times New Roman" w:eastAsia="Times New Roman" w:hAnsi="Times New Roman" w:cs="Times New Roman"/>
          <w:bCs/>
          <w:sz w:val="28"/>
          <w:szCs w:val="28"/>
          <w:lang w:eastAsia="lv-LV"/>
        </w:rPr>
      </w:pPr>
    </w:p>
    <w:tbl>
      <w:tblPr>
        <w:tblW w:w="524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8"/>
      </w:tblGrid>
      <w:tr w:rsidR="00BD50E2" w:rsidRPr="00BD50E2" w14:paraId="564EC935" w14:textId="77777777" w:rsidTr="00470FB8">
        <w:tc>
          <w:tcPr>
            <w:tcW w:w="9497"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470FB8">
        <w:tc>
          <w:tcPr>
            <w:tcW w:w="9497"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521"/>
      </w:tblGrid>
      <w:tr w:rsidR="00BD50E2" w:rsidRPr="00BD50E2" w14:paraId="3B8C0E70"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712BE86" w14:textId="3366C382" w:rsidR="0007278B" w:rsidRPr="00BD50E2"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268"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435" w:type="pct"/>
            <w:tcBorders>
              <w:top w:val="single" w:sz="4" w:space="0" w:color="auto"/>
              <w:left w:val="single" w:sz="4" w:space="0" w:color="auto"/>
              <w:bottom w:val="single" w:sz="4" w:space="0" w:color="auto"/>
              <w:right w:val="single" w:sz="4" w:space="0" w:color="auto"/>
            </w:tcBorders>
          </w:tcPr>
          <w:p w14:paraId="7B7D311F" w14:textId="11E9E8FA" w:rsidR="00137903" w:rsidRPr="00BD50E2" w:rsidRDefault="0099298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Pēc p</w:t>
            </w:r>
            <w:r w:rsidR="00137903" w:rsidRPr="00BD50E2">
              <w:rPr>
                <w:rFonts w:ascii="Times New Roman" w:eastAsia="Times New Roman" w:hAnsi="Times New Roman" w:cs="Times New Roman"/>
                <w:iCs/>
                <w:sz w:val="24"/>
                <w:szCs w:val="24"/>
                <w:lang w:eastAsia="lv-LV"/>
              </w:rPr>
              <w:t>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w:t>
            </w:r>
            <w:r w:rsidR="006A5389">
              <w:rPr>
                <w:rFonts w:ascii="Times New Roman" w:eastAsia="Times New Roman" w:hAnsi="Times New Roman" w:cs="Times New Roman"/>
                <w:iCs/>
                <w:sz w:val="24"/>
                <w:szCs w:val="24"/>
                <w:lang w:eastAsia="lv-LV"/>
              </w:rPr>
              <w:t xml:space="preserve"> un SPKC </w:t>
            </w:r>
            <w:r w:rsidR="00E1494D" w:rsidRPr="00BD50E2">
              <w:rPr>
                <w:rFonts w:ascii="Times New Roman" w:eastAsia="Times New Roman" w:hAnsi="Times New Roman" w:cs="Times New Roman"/>
                <w:iCs/>
                <w:sz w:val="24"/>
                <w:szCs w:val="24"/>
                <w:lang w:eastAsia="lv-LV"/>
              </w:rPr>
              <w:t xml:space="preserve"> </w:t>
            </w:r>
            <w:r w:rsidR="00D70DC5">
              <w:rPr>
                <w:rFonts w:ascii="Times New Roman" w:eastAsia="Times New Roman" w:hAnsi="Times New Roman" w:cs="Times New Roman"/>
                <w:iCs/>
                <w:sz w:val="24"/>
                <w:szCs w:val="24"/>
                <w:lang w:eastAsia="lv-LV"/>
              </w:rPr>
              <w:t>tīmekļvietnēs</w:t>
            </w:r>
            <w:r w:rsidR="00137903" w:rsidRPr="00BD50E2">
              <w:rPr>
                <w:rFonts w:ascii="Times New Roman" w:eastAsia="Times New Roman" w:hAnsi="Times New Roman" w:cs="Times New Roman"/>
                <w:iCs/>
                <w:sz w:val="24"/>
                <w:szCs w:val="24"/>
                <w:lang w:eastAsia="lv-LV"/>
              </w:rPr>
              <w:t xml:space="preserve">, kā arī paredzēts to </w:t>
            </w:r>
            <w:r w:rsidR="00E1494D" w:rsidRPr="00BD50E2">
              <w:rPr>
                <w:rFonts w:ascii="Times New Roman" w:eastAsia="Times New Roman" w:hAnsi="Times New Roman" w:cs="Times New Roman"/>
                <w:iCs/>
                <w:sz w:val="24"/>
                <w:szCs w:val="24"/>
                <w:lang w:eastAsia="lv-LV"/>
              </w:rPr>
              <w:t xml:space="preserve">elektroniski </w:t>
            </w:r>
            <w:r w:rsidR="00137903"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268" w:type="pct"/>
            <w:tcBorders>
              <w:top w:val="single" w:sz="4" w:space="0" w:color="auto"/>
              <w:left w:val="single" w:sz="4" w:space="0" w:color="auto"/>
              <w:bottom w:val="single" w:sz="4" w:space="0" w:color="auto"/>
              <w:right w:val="single" w:sz="4" w:space="0" w:color="auto"/>
            </w:tcBorders>
            <w:hideMark/>
          </w:tcPr>
          <w:p w14:paraId="6A342042" w14:textId="27286997" w:rsidR="00B86F86"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435" w:type="pct"/>
            <w:tcBorders>
              <w:top w:val="single" w:sz="4" w:space="0" w:color="auto"/>
              <w:left w:val="single" w:sz="4" w:space="0" w:color="auto"/>
              <w:bottom w:val="single" w:sz="4" w:space="0" w:color="auto"/>
              <w:right w:val="single" w:sz="4" w:space="0" w:color="auto"/>
            </w:tcBorders>
          </w:tcPr>
          <w:p w14:paraId="6CC683E0" w14:textId="2D9F5705"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68081B">
              <w:rPr>
                <w:iCs/>
                <w:lang w:eastAsia="en-US"/>
              </w:rPr>
              <w:t>p</w:t>
            </w:r>
            <w:r w:rsidRPr="00BD50E2">
              <w:rPr>
                <w:iCs/>
                <w:lang w:eastAsia="en-US"/>
              </w:rPr>
              <w:t xml:space="preserve">rojekts tiek virzīts steidzamības kārtā, sabiedrības iesaiste </w:t>
            </w:r>
            <w:r w:rsidR="0068081B">
              <w:rPr>
                <w:iCs/>
                <w:lang w:eastAsia="en-US"/>
              </w:rPr>
              <w:t>p</w:t>
            </w:r>
            <w:r w:rsidRPr="00BD50E2">
              <w:rPr>
                <w:iCs/>
                <w:lang w:eastAsia="en-US"/>
              </w:rPr>
              <w:t>rojekta izstrādē netika organizēta.</w:t>
            </w:r>
          </w:p>
        </w:tc>
      </w:tr>
      <w:tr w:rsidR="00BD50E2" w:rsidRPr="00BD50E2" w14:paraId="4479B05F" w14:textId="77777777" w:rsidTr="00470FB8">
        <w:trPr>
          <w:trHeight w:val="585"/>
        </w:trPr>
        <w:tc>
          <w:tcPr>
            <w:tcW w:w="297"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268"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435"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268"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435"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3258"/>
        <w:gridCol w:w="5671"/>
      </w:tblGrid>
      <w:tr w:rsidR="00BD50E2" w:rsidRPr="00BD50E2" w14:paraId="20F6EC7B"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16"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987" w:type="pct"/>
            <w:tcBorders>
              <w:top w:val="single" w:sz="4" w:space="0" w:color="auto"/>
              <w:left w:val="single" w:sz="4" w:space="0" w:color="auto"/>
              <w:bottom w:val="single" w:sz="4" w:space="0" w:color="auto"/>
              <w:right w:val="single" w:sz="4" w:space="0" w:color="auto"/>
            </w:tcBorders>
          </w:tcPr>
          <w:p w14:paraId="2EFE8F23" w14:textId="68B03D07" w:rsidR="0007278B" w:rsidRPr="00BD50E2" w:rsidRDefault="00F13454" w:rsidP="00AE4EFC">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BD50E2" w:rsidRPr="00BD50E2" w14:paraId="3B2F7A2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16"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 xml:space="preserve">Jaunu institūciju izveide, esošu institūciju likvidācija vai </w:t>
            </w:r>
            <w:r w:rsidRPr="00BD50E2">
              <w:rPr>
                <w:rFonts w:ascii="Times New Roman" w:eastAsia="Times New Roman" w:hAnsi="Times New Roman" w:cs="Times New Roman"/>
                <w:bCs/>
                <w:sz w:val="24"/>
                <w:szCs w:val="24"/>
              </w:rPr>
              <w:lastRenderedPageBreak/>
              <w:t>reorganizācija, to ietekme uz institūcijas cilvēkresursiem</w:t>
            </w:r>
          </w:p>
        </w:tc>
        <w:tc>
          <w:tcPr>
            <w:tcW w:w="2987" w:type="pct"/>
            <w:tcBorders>
              <w:top w:val="single" w:sz="4" w:space="0" w:color="auto"/>
              <w:left w:val="single" w:sz="4" w:space="0" w:color="auto"/>
              <w:bottom w:val="single" w:sz="4" w:space="0" w:color="auto"/>
              <w:right w:val="single" w:sz="4" w:space="0" w:color="auto"/>
            </w:tcBorders>
            <w:hideMark/>
          </w:tcPr>
          <w:p w14:paraId="0E7F0D57" w14:textId="744A045A" w:rsidR="0007278B" w:rsidRPr="00BD50E2" w:rsidRDefault="00F13454" w:rsidP="007E4536">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lastRenderedPageBreak/>
              <w:t>Projekts šo jomu neskar.</w:t>
            </w:r>
          </w:p>
        </w:tc>
      </w:tr>
      <w:tr w:rsidR="0007278B" w:rsidRPr="00BD50E2" w14:paraId="35A396C5"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716"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987"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77777777" w:rsidR="005758FB" w:rsidRPr="00234042" w:rsidRDefault="005758FB" w:rsidP="008C3B71">
            <w:pPr>
              <w:pStyle w:val="pamattekststabul"/>
              <w:tabs>
                <w:tab w:val="left" w:pos="3969"/>
                <w:tab w:val="left" w:pos="6379"/>
              </w:tabs>
              <w:rPr>
                <w:rFonts w:eastAsia="Calibri"/>
                <w:sz w:val="28"/>
                <w:szCs w:val="28"/>
                <w:lang w:val="lv-LV"/>
              </w:rPr>
            </w:pPr>
            <w:r w:rsidRPr="00234042">
              <w:rPr>
                <w:rFonts w:eastAsia="Calibri"/>
                <w:noProof/>
                <w:sz w:val="28"/>
                <w:szCs w:val="28"/>
                <w:lang w:val="lv-LV"/>
              </w:rPr>
              <w:t>Veselības ministrs</w:t>
            </w:r>
          </w:p>
        </w:tc>
        <w:tc>
          <w:tcPr>
            <w:tcW w:w="4251" w:type="dxa"/>
          </w:tcPr>
          <w:p w14:paraId="1D46503B" w14:textId="73BC9583" w:rsidR="005758FB" w:rsidRPr="00234042" w:rsidRDefault="005758FB" w:rsidP="008C3B71">
            <w:pPr>
              <w:pStyle w:val="pamattekststabul"/>
              <w:tabs>
                <w:tab w:val="left" w:pos="3969"/>
                <w:tab w:val="left" w:pos="6379"/>
              </w:tabs>
              <w:jc w:val="right"/>
              <w:rPr>
                <w:rFonts w:eastAsia="Calibri"/>
                <w:sz w:val="28"/>
                <w:szCs w:val="28"/>
                <w:lang w:val="lv-LV"/>
              </w:rPr>
            </w:pPr>
            <w:r w:rsidRPr="00234042">
              <w:rPr>
                <w:rFonts w:eastAsia="Calibri"/>
                <w:noProof/>
                <w:sz w:val="28"/>
                <w:szCs w:val="28"/>
                <w:lang w:val="lv-LV"/>
              </w:rPr>
              <w:t>D</w:t>
            </w:r>
            <w:r>
              <w:rPr>
                <w:rFonts w:eastAsia="Calibri"/>
                <w:noProof/>
                <w:sz w:val="28"/>
                <w:szCs w:val="28"/>
                <w:lang w:val="lv-LV"/>
              </w:rPr>
              <w:t>.</w:t>
            </w:r>
            <w:r w:rsidR="00886D79">
              <w:rPr>
                <w:rFonts w:eastAsia="Calibri"/>
                <w:noProof/>
                <w:sz w:val="28"/>
                <w:szCs w:val="28"/>
                <w:lang w:val="lv-LV"/>
              </w:rPr>
              <w:t> </w:t>
            </w:r>
            <w:r w:rsidRPr="00234042">
              <w:rPr>
                <w:rFonts w:eastAsia="Calibri"/>
                <w:noProof/>
                <w:sz w:val="28"/>
                <w:szCs w:val="28"/>
                <w:lang w:val="lv-LV"/>
              </w:rPr>
              <w:t>Pavļuts</w:t>
            </w:r>
          </w:p>
        </w:tc>
      </w:tr>
    </w:tbl>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16C995"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w:t>
      </w:r>
      <w:r w:rsidR="00886D79">
        <w:rPr>
          <w:bCs/>
          <w:sz w:val="28"/>
          <w:szCs w:val="28"/>
        </w:rPr>
        <w:t>e</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366538">
        <w:rPr>
          <w:bCs/>
          <w:sz w:val="28"/>
          <w:szCs w:val="28"/>
        </w:rPr>
        <w:t xml:space="preserve">           </w:t>
      </w:r>
      <w:r w:rsidR="00333F6A">
        <w:rPr>
          <w:bCs/>
          <w:sz w:val="28"/>
          <w:szCs w:val="28"/>
        </w:rPr>
        <w:t xml:space="preserve"> </w:t>
      </w:r>
      <w:r w:rsidR="00196505">
        <w:rPr>
          <w:bCs/>
          <w:sz w:val="28"/>
          <w:szCs w:val="28"/>
        </w:rPr>
        <w:t>I.Dreika</w:t>
      </w:r>
    </w:p>
    <w:p w14:paraId="03C1A199" w14:textId="204BF587" w:rsidR="0099398F" w:rsidRDefault="0099398F" w:rsidP="00886D79">
      <w:pPr>
        <w:tabs>
          <w:tab w:val="right" w:pos="9356"/>
        </w:tabs>
        <w:spacing w:after="0" w:line="240" w:lineRule="auto"/>
        <w:rPr>
          <w:rFonts w:ascii="Times New Roman" w:hAnsi="Times New Roman" w:cs="Times New Roman"/>
          <w:bCs/>
          <w:sz w:val="28"/>
          <w:szCs w:val="28"/>
        </w:rPr>
      </w:pPr>
    </w:p>
    <w:p w14:paraId="1D170E3E" w14:textId="77777777" w:rsidR="00886D79" w:rsidRDefault="00886D79" w:rsidP="00886D79">
      <w:pPr>
        <w:tabs>
          <w:tab w:val="right" w:pos="9356"/>
        </w:tabs>
        <w:spacing w:after="0" w:line="240" w:lineRule="auto"/>
        <w:rPr>
          <w:rFonts w:ascii="Times New Roman" w:hAnsi="Times New Roman" w:cs="Times New Roman"/>
          <w:bCs/>
          <w:sz w:val="28"/>
          <w:szCs w:val="28"/>
        </w:rPr>
      </w:pPr>
    </w:p>
    <w:p w14:paraId="77A18525" w14:textId="77777777" w:rsidR="00A17EEC" w:rsidRDefault="00A17EEC" w:rsidP="00FA153F">
      <w:pPr>
        <w:spacing w:after="0" w:line="240" w:lineRule="auto"/>
        <w:rPr>
          <w:rFonts w:ascii="Times New Roman" w:hAnsi="Times New Roman" w:cs="Times New Roman"/>
          <w:sz w:val="24"/>
          <w:szCs w:val="28"/>
        </w:rPr>
      </w:pPr>
    </w:p>
    <w:p w14:paraId="28AA86C7" w14:textId="0E87B1E2" w:rsidR="00886D79" w:rsidRPr="00FA153F" w:rsidRDefault="00886D79" w:rsidP="00FA153F">
      <w:pPr>
        <w:spacing w:after="0" w:line="240" w:lineRule="auto"/>
        <w:rPr>
          <w:rFonts w:ascii="Times New Roman" w:hAnsi="Times New Roman" w:cs="Times New Roman"/>
          <w:sz w:val="24"/>
          <w:szCs w:val="28"/>
        </w:rPr>
      </w:pPr>
    </w:p>
    <w:sectPr w:rsidR="00886D79" w:rsidRPr="00FA153F" w:rsidSect="006A3F8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B06A6" w14:textId="77777777" w:rsidR="00724FFA" w:rsidRDefault="00724FFA" w:rsidP="0007278B">
      <w:pPr>
        <w:spacing w:after="0" w:line="240" w:lineRule="auto"/>
      </w:pPr>
      <w:r>
        <w:separator/>
      </w:r>
    </w:p>
  </w:endnote>
  <w:endnote w:type="continuationSeparator" w:id="0">
    <w:p w14:paraId="325F830C" w14:textId="77777777" w:rsidR="00724FFA" w:rsidRDefault="00724FFA" w:rsidP="0007278B">
      <w:pPr>
        <w:spacing w:after="0" w:line="240" w:lineRule="auto"/>
      </w:pPr>
      <w:r>
        <w:continuationSeparator/>
      </w:r>
    </w:p>
  </w:endnote>
  <w:endnote w:type="continuationNotice" w:id="1">
    <w:p w14:paraId="68A8CBBE" w14:textId="77777777" w:rsidR="00724FFA" w:rsidRDefault="00724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2E140" w14:textId="77777777" w:rsidR="00041FB2" w:rsidRDefault="00041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37442470" w:rsidR="009D7D59" w:rsidRPr="00F046BC" w:rsidRDefault="009D7D59" w:rsidP="00F046BC">
    <w:pPr>
      <w:pStyle w:val="Footer"/>
    </w:pPr>
    <w:r>
      <w:rPr>
        <w:rFonts w:ascii="Times New Roman" w:eastAsia="Times New Roman" w:hAnsi="Times New Roman" w:cs="Times New Roman"/>
        <w:sz w:val="20"/>
        <w:szCs w:val="20"/>
        <w:lang w:eastAsia="lv-LV"/>
      </w:rPr>
      <w:t>VManot_</w:t>
    </w:r>
    <w:r w:rsidR="006D1AD8">
      <w:rPr>
        <w:rFonts w:ascii="Times New Roman" w:eastAsia="Times New Roman" w:hAnsi="Times New Roman" w:cs="Times New Roman"/>
        <w:sz w:val="20"/>
        <w:szCs w:val="20"/>
        <w:lang w:eastAsia="lv-LV"/>
      </w:rPr>
      <w:t>2</w:t>
    </w:r>
    <w:r w:rsidR="00041FB2">
      <w:rPr>
        <w:rFonts w:ascii="Times New Roman" w:eastAsia="Times New Roman" w:hAnsi="Times New Roman" w:cs="Times New Roman"/>
        <w:sz w:val="20"/>
        <w:szCs w:val="20"/>
        <w:lang w:eastAsia="lv-LV"/>
      </w:rPr>
      <w:t>1062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30162A8C" w:rsidR="009D7D59" w:rsidRPr="007E4536" w:rsidRDefault="007E4536" w:rsidP="007E4536">
    <w:pPr>
      <w:pStyle w:val="Footer"/>
    </w:pPr>
    <w:r>
      <w:rPr>
        <w:rFonts w:ascii="Times New Roman" w:eastAsia="Times New Roman" w:hAnsi="Times New Roman" w:cs="Times New Roman"/>
        <w:sz w:val="20"/>
        <w:szCs w:val="20"/>
        <w:lang w:eastAsia="lv-LV"/>
      </w:rPr>
      <w:t>VManot_</w:t>
    </w:r>
    <w:r w:rsidR="006D1AD8">
      <w:rPr>
        <w:rFonts w:ascii="Times New Roman" w:eastAsia="Times New Roman" w:hAnsi="Times New Roman" w:cs="Times New Roman"/>
        <w:sz w:val="20"/>
        <w:szCs w:val="20"/>
        <w:lang w:eastAsia="lv-LV"/>
      </w:rPr>
      <w:t>2</w:t>
    </w:r>
    <w:r w:rsidR="00041FB2">
      <w:rPr>
        <w:rFonts w:ascii="Times New Roman" w:eastAsia="Times New Roman" w:hAnsi="Times New Roman" w:cs="Times New Roman"/>
        <w:sz w:val="20"/>
        <w:szCs w:val="20"/>
        <w:lang w:eastAsia="lv-LV"/>
      </w:rPr>
      <w:t>1062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EA9ED" w14:textId="77777777" w:rsidR="00724FFA" w:rsidRDefault="00724FFA" w:rsidP="0007278B">
      <w:pPr>
        <w:spacing w:after="0" w:line="240" w:lineRule="auto"/>
      </w:pPr>
      <w:r>
        <w:separator/>
      </w:r>
    </w:p>
  </w:footnote>
  <w:footnote w:type="continuationSeparator" w:id="0">
    <w:p w14:paraId="1358FF8E" w14:textId="77777777" w:rsidR="00724FFA" w:rsidRDefault="00724FFA" w:rsidP="0007278B">
      <w:pPr>
        <w:spacing w:after="0" w:line="240" w:lineRule="auto"/>
      </w:pPr>
      <w:r>
        <w:continuationSeparator/>
      </w:r>
    </w:p>
  </w:footnote>
  <w:footnote w:type="continuationNotice" w:id="1">
    <w:p w14:paraId="2B9B11A5" w14:textId="77777777" w:rsidR="00724FFA" w:rsidRDefault="00724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086A" w14:textId="77777777" w:rsidR="00041FB2" w:rsidRDefault="00041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D5F2" w14:textId="77777777" w:rsidR="00041FB2" w:rsidRDefault="00041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72962"/>
    <w:multiLevelType w:val="multilevel"/>
    <w:tmpl w:val="81BA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6B6B3D"/>
    <w:multiLevelType w:val="hybridMultilevel"/>
    <w:tmpl w:val="2482D7DE"/>
    <w:lvl w:ilvl="0" w:tplc="1D64044C">
      <w:start w:val="1"/>
      <w:numFmt w:val="decimal"/>
      <w:lvlText w:val="%1."/>
      <w:lvlJc w:val="left"/>
      <w:pPr>
        <w:ind w:left="720" w:hanging="360"/>
      </w:pPr>
      <w:rPr>
        <w:rFonts w:eastAsiaTheme="minorHAns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DDB09FE"/>
    <w:multiLevelType w:val="hybridMultilevel"/>
    <w:tmpl w:val="1CBEEFA2"/>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9"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4"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A069DA"/>
    <w:multiLevelType w:val="hybridMultilevel"/>
    <w:tmpl w:val="5C98C384"/>
    <w:lvl w:ilvl="0" w:tplc="C80CFC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9"/>
  </w:num>
  <w:num w:numId="3">
    <w:abstractNumId w:val="4"/>
  </w:num>
  <w:num w:numId="4">
    <w:abstractNumId w:val="15"/>
  </w:num>
  <w:num w:numId="5">
    <w:abstractNumId w:val="16"/>
  </w:num>
  <w:num w:numId="6">
    <w:abstractNumId w:val="12"/>
  </w:num>
  <w:num w:numId="7">
    <w:abstractNumId w:val="7"/>
  </w:num>
  <w:num w:numId="8">
    <w:abstractNumId w:val="10"/>
  </w:num>
  <w:num w:numId="9">
    <w:abstractNumId w:val="6"/>
  </w:num>
  <w:num w:numId="10">
    <w:abstractNumId w:val="11"/>
  </w:num>
  <w:num w:numId="11">
    <w:abstractNumId w:val="3"/>
  </w:num>
  <w:num w:numId="12">
    <w:abstractNumId w:val="14"/>
  </w:num>
  <w:num w:numId="13">
    <w:abstractNumId w:val="1"/>
  </w:num>
  <w:num w:numId="14">
    <w:abstractNumId w:val="0"/>
  </w:num>
  <w:num w:numId="15">
    <w:abstractNumId w:val="8"/>
  </w:num>
  <w:num w:numId="16">
    <w:abstractNumId w:val="17"/>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409"/>
    <w:rsid w:val="00012C86"/>
    <w:rsid w:val="00015E8A"/>
    <w:rsid w:val="00016372"/>
    <w:rsid w:val="00023AD6"/>
    <w:rsid w:val="000254EB"/>
    <w:rsid w:val="00031D93"/>
    <w:rsid w:val="00032EF2"/>
    <w:rsid w:val="00041FB2"/>
    <w:rsid w:val="00057EB1"/>
    <w:rsid w:val="00066E5F"/>
    <w:rsid w:val="0007278B"/>
    <w:rsid w:val="00075D37"/>
    <w:rsid w:val="00085A5A"/>
    <w:rsid w:val="00087335"/>
    <w:rsid w:val="00087A23"/>
    <w:rsid w:val="00092597"/>
    <w:rsid w:val="00095861"/>
    <w:rsid w:val="000976F2"/>
    <w:rsid w:val="000A1151"/>
    <w:rsid w:val="000A4D59"/>
    <w:rsid w:val="000B47C4"/>
    <w:rsid w:val="000C490C"/>
    <w:rsid w:val="000C6AFA"/>
    <w:rsid w:val="000C7D0F"/>
    <w:rsid w:val="000D08CA"/>
    <w:rsid w:val="000D2248"/>
    <w:rsid w:val="000D5547"/>
    <w:rsid w:val="000E0284"/>
    <w:rsid w:val="000E2322"/>
    <w:rsid w:val="000E3F6E"/>
    <w:rsid w:val="000F6AE3"/>
    <w:rsid w:val="00105AAC"/>
    <w:rsid w:val="00111363"/>
    <w:rsid w:val="00114943"/>
    <w:rsid w:val="00116C28"/>
    <w:rsid w:val="00122038"/>
    <w:rsid w:val="0013301B"/>
    <w:rsid w:val="001336B4"/>
    <w:rsid w:val="00137903"/>
    <w:rsid w:val="00140A51"/>
    <w:rsid w:val="00141D8E"/>
    <w:rsid w:val="00144998"/>
    <w:rsid w:val="00154080"/>
    <w:rsid w:val="00156BB8"/>
    <w:rsid w:val="001571CA"/>
    <w:rsid w:val="00157BFC"/>
    <w:rsid w:val="00160626"/>
    <w:rsid w:val="00162412"/>
    <w:rsid w:val="00176445"/>
    <w:rsid w:val="0018564F"/>
    <w:rsid w:val="00196505"/>
    <w:rsid w:val="001A05AA"/>
    <w:rsid w:val="001A4CC0"/>
    <w:rsid w:val="001A5304"/>
    <w:rsid w:val="001B05E3"/>
    <w:rsid w:val="001B66B2"/>
    <w:rsid w:val="001C088F"/>
    <w:rsid w:val="001C1B61"/>
    <w:rsid w:val="001C6B51"/>
    <w:rsid w:val="001D713B"/>
    <w:rsid w:val="001D75D0"/>
    <w:rsid w:val="001E1D31"/>
    <w:rsid w:val="001F3A4A"/>
    <w:rsid w:val="001F425F"/>
    <w:rsid w:val="001F7E87"/>
    <w:rsid w:val="00201BA6"/>
    <w:rsid w:val="002033F4"/>
    <w:rsid w:val="00242A4C"/>
    <w:rsid w:val="002519EE"/>
    <w:rsid w:val="00252768"/>
    <w:rsid w:val="002562FA"/>
    <w:rsid w:val="00263B22"/>
    <w:rsid w:val="00267D85"/>
    <w:rsid w:val="00272F7D"/>
    <w:rsid w:val="00276A81"/>
    <w:rsid w:val="00280A6B"/>
    <w:rsid w:val="0029585A"/>
    <w:rsid w:val="002961D8"/>
    <w:rsid w:val="00297A0B"/>
    <w:rsid w:val="002A5E19"/>
    <w:rsid w:val="002A6C7F"/>
    <w:rsid w:val="002B14B8"/>
    <w:rsid w:val="002C3B6A"/>
    <w:rsid w:val="002C3CF3"/>
    <w:rsid w:val="002C5AC6"/>
    <w:rsid w:val="002C7628"/>
    <w:rsid w:val="002D5487"/>
    <w:rsid w:val="002E027E"/>
    <w:rsid w:val="002E02AA"/>
    <w:rsid w:val="002E0487"/>
    <w:rsid w:val="002E1AE9"/>
    <w:rsid w:val="002F15FE"/>
    <w:rsid w:val="002F181A"/>
    <w:rsid w:val="002F4B93"/>
    <w:rsid w:val="003117FB"/>
    <w:rsid w:val="00316074"/>
    <w:rsid w:val="00317FDB"/>
    <w:rsid w:val="0033349E"/>
    <w:rsid w:val="00333F6A"/>
    <w:rsid w:val="003354AF"/>
    <w:rsid w:val="00337697"/>
    <w:rsid w:val="00341BAD"/>
    <w:rsid w:val="00342047"/>
    <w:rsid w:val="00342DB9"/>
    <w:rsid w:val="0034366D"/>
    <w:rsid w:val="00345AAA"/>
    <w:rsid w:val="00351B51"/>
    <w:rsid w:val="003545AB"/>
    <w:rsid w:val="00366538"/>
    <w:rsid w:val="00371C88"/>
    <w:rsid w:val="00371F18"/>
    <w:rsid w:val="00373448"/>
    <w:rsid w:val="00387CFE"/>
    <w:rsid w:val="0039061D"/>
    <w:rsid w:val="00390B4E"/>
    <w:rsid w:val="003A0E17"/>
    <w:rsid w:val="003A29E2"/>
    <w:rsid w:val="003A376A"/>
    <w:rsid w:val="003A3C5A"/>
    <w:rsid w:val="003A42C4"/>
    <w:rsid w:val="003A5C4E"/>
    <w:rsid w:val="003B4887"/>
    <w:rsid w:val="003C1921"/>
    <w:rsid w:val="003C3A51"/>
    <w:rsid w:val="003D1230"/>
    <w:rsid w:val="003D15E2"/>
    <w:rsid w:val="003E4BEA"/>
    <w:rsid w:val="004059A2"/>
    <w:rsid w:val="0041142C"/>
    <w:rsid w:val="00412439"/>
    <w:rsid w:val="004231CC"/>
    <w:rsid w:val="00425035"/>
    <w:rsid w:val="00425B3A"/>
    <w:rsid w:val="00426EE3"/>
    <w:rsid w:val="00454E76"/>
    <w:rsid w:val="00456B73"/>
    <w:rsid w:val="00457B37"/>
    <w:rsid w:val="00470FB8"/>
    <w:rsid w:val="00473581"/>
    <w:rsid w:val="00480999"/>
    <w:rsid w:val="00483A03"/>
    <w:rsid w:val="00487206"/>
    <w:rsid w:val="0049311E"/>
    <w:rsid w:val="00497DBB"/>
    <w:rsid w:val="004A2382"/>
    <w:rsid w:val="004A3552"/>
    <w:rsid w:val="004A5598"/>
    <w:rsid w:val="004A7CD0"/>
    <w:rsid w:val="004B402F"/>
    <w:rsid w:val="004C7B99"/>
    <w:rsid w:val="004E084F"/>
    <w:rsid w:val="004E2D9C"/>
    <w:rsid w:val="004F4AAB"/>
    <w:rsid w:val="004F738C"/>
    <w:rsid w:val="004F7F24"/>
    <w:rsid w:val="00502DFD"/>
    <w:rsid w:val="00504320"/>
    <w:rsid w:val="005152B1"/>
    <w:rsid w:val="0053215F"/>
    <w:rsid w:val="00534268"/>
    <w:rsid w:val="00535888"/>
    <w:rsid w:val="0055413D"/>
    <w:rsid w:val="00555929"/>
    <w:rsid w:val="00573277"/>
    <w:rsid w:val="005735D4"/>
    <w:rsid w:val="005758FB"/>
    <w:rsid w:val="005764B7"/>
    <w:rsid w:val="0059150F"/>
    <w:rsid w:val="00593BC7"/>
    <w:rsid w:val="0059599E"/>
    <w:rsid w:val="005A1388"/>
    <w:rsid w:val="005A1ABA"/>
    <w:rsid w:val="005A3731"/>
    <w:rsid w:val="005B3B62"/>
    <w:rsid w:val="005C3B9D"/>
    <w:rsid w:val="005C5DC6"/>
    <w:rsid w:val="005E1930"/>
    <w:rsid w:val="005E7398"/>
    <w:rsid w:val="005E7C04"/>
    <w:rsid w:val="005F3C49"/>
    <w:rsid w:val="0060363C"/>
    <w:rsid w:val="00603BD7"/>
    <w:rsid w:val="00604451"/>
    <w:rsid w:val="0060585D"/>
    <w:rsid w:val="00620304"/>
    <w:rsid w:val="0062651F"/>
    <w:rsid w:val="00626C1E"/>
    <w:rsid w:val="00636B7E"/>
    <w:rsid w:val="00641AF8"/>
    <w:rsid w:val="00652F39"/>
    <w:rsid w:val="00664759"/>
    <w:rsid w:val="0067096C"/>
    <w:rsid w:val="00675455"/>
    <w:rsid w:val="006803FE"/>
    <w:rsid w:val="0068081B"/>
    <w:rsid w:val="00681D29"/>
    <w:rsid w:val="00685C9E"/>
    <w:rsid w:val="00696E1B"/>
    <w:rsid w:val="006A3466"/>
    <w:rsid w:val="006A3F81"/>
    <w:rsid w:val="006A5389"/>
    <w:rsid w:val="006B32D8"/>
    <w:rsid w:val="006B681F"/>
    <w:rsid w:val="006B7255"/>
    <w:rsid w:val="006C2EC0"/>
    <w:rsid w:val="006C5703"/>
    <w:rsid w:val="006D1AD8"/>
    <w:rsid w:val="006D22E5"/>
    <w:rsid w:val="006D6DB7"/>
    <w:rsid w:val="0071090F"/>
    <w:rsid w:val="007223FE"/>
    <w:rsid w:val="00724197"/>
    <w:rsid w:val="00724FFA"/>
    <w:rsid w:val="00727E9F"/>
    <w:rsid w:val="00731409"/>
    <w:rsid w:val="0074015C"/>
    <w:rsid w:val="00742B05"/>
    <w:rsid w:val="00742C84"/>
    <w:rsid w:val="00746CE6"/>
    <w:rsid w:val="0075152B"/>
    <w:rsid w:val="007518AA"/>
    <w:rsid w:val="0079688F"/>
    <w:rsid w:val="007A71FC"/>
    <w:rsid w:val="007B0528"/>
    <w:rsid w:val="007C3F73"/>
    <w:rsid w:val="007C74EF"/>
    <w:rsid w:val="007D7575"/>
    <w:rsid w:val="007E4536"/>
    <w:rsid w:val="007E7B78"/>
    <w:rsid w:val="00802A02"/>
    <w:rsid w:val="00805BE3"/>
    <w:rsid w:val="00812A8C"/>
    <w:rsid w:val="008314E5"/>
    <w:rsid w:val="00863944"/>
    <w:rsid w:val="008670E6"/>
    <w:rsid w:val="008723FA"/>
    <w:rsid w:val="00882A36"/>
    <w:rsid w:val="00882DBA"/>
    <w:rsid w:val="00886392"/>
    <w:rsid w:val="00886D79"/>
    <w:rsid w:val="008A2D6D"/>
    <w:rsid w:val="008A49BF"/>
    <w:rsid w:val="008B1BB5"/>
    <w:rsid w:val="008B3101"/>
    <w:rsid w:val="008B3BDF"/>
    <w:rsid w:val="008C242E"/>
    <w:rsid w:val="008C46AB"/>
    <w:rsid w:val="008C5F53"/>
    <w:rsid w:val="008C7FF7"/>
    <w:rsid w:val="008E15C0"/>
    <w:rsid w:val="008E4C7D"/>
    <w:rsid w:val="009031F5"/>
    <w:rsid w:val="00903727"/>
    <w:rsid w:val="00911954"/>
    <w:rsid w:val="00914064"/>
    <w:rsid w:val="00922F28"/>
    <w:rsid w:val="00946B3B"/>
    <w:rsid w:val="00950838"/>
    <w:rsid w:val="00955A5B"/>
    <w:rsid w:val="009763A8"/>
    <w:rsid w:val="009771E5"/>
    <w:rsid w:val="00977FBF"/>
    <w:rsid w:val="0099298E"/>
    <w:rsid w:val="0099398F"/>
    <w:rsid w:val="00995645"/>
    <w:rsid w:val="00995846"/>
    <w:rsid w:val="009A3982"/>
    <w:rsid w:val="009A412D"/>
    <w:rsid w:val="009A5645"/>
    <w:rsid w:val="009A72BC"/>
    <w:rsid w:val="009B370A"/>
    <w:rsid w:val="009B3BE8"/>
    <w:rsid w:val="009B3CEC"/>
    <w:rsid w:val="009B775D"/>
    <w:rsid w:val="009D3273"/>
    <w:rsid w:val="009D4395"/>
    <w:rsid w:val="009D7D59"/>
    <w:rsid w:val="009E1D54"/>
    <w:rsid w:val="009E5C6B"/>
    <w:rsid w:val="009E60C7"/>
    <w:rsid w:val="009F13B8"/>
    <w:rsid w:val="00A03EFD"/>
    <w:rsid w:val="00A1243C"/>
    <w:rsid w:val="00A1381F"/>
    <w:rsid w:val="00A15AA7"/>
    <w:rsid w:val="00A16FD6"/>
    <w:rsid w:val="00A17EEC"/>
    <w:rsid w:val="00A235BA"/>
    <w:rsid w:val="00A30813"/>
    <w:rsid w:val="00A36D97"/>
    <w:rsid w:val="00A40AFD"/>
    <w:rsid w:val="00A504C8"/>
    <w:rsid w:val="00A52342"/>
    <w:rsid w:val="00A63523"/>
    <w:rsid w:val="00A751EC"/>
    <w:rsid w:val="00A764CA"/>
    <w:rsid w:val="00A7687B"/>
    <w:rsid w:val="00AA0090"/>
    <w:rsid w:val="00AA6D8E"/>
    <w:rsid w:val="00AB0F8D"/>
    <w:rsid w:val="00AC31B5"/>
    <w:rsid w:val="00AC3E32"/>
    <w:rsid w:val="00AD1C41"/>
    <w:rsid w:val="00AD7072"/>
    <w:rsid w:val="00AE31DA"/>
    <w:rsid w:val="00AE4EFC"/>
    <w:rsid w:val="00AF30FC"/>
    <w:rsid w:val="00B06392"/>
    <w:rsid w:val="00B07CE3"/>
    <w:rsid w:val="00B12CC7"/>
    <w:rsid w:val="00B13D9E"/>
    <w:rsid w:val="00B20E84"/>
    <w:rsid w:val="00B23552"/>
    <w:rsid w:val="00B236F0"/>
    <w:rsid w:val="00B24624"/>
    <w:rsid w:val="00B26BE2"/>
    <w:rsid w:val="00B309E7"/>
    <w:rsid w:val="00B32161"/>
    <w:rsid w:val="00B33F20"/>
    <w:rsid w:val="00B3576F"/>
    <w:rsid w:val="00B35F66"/>
    <w:rsid w:val="00B37EFB"/>
    <w:rsid w:val="00B53339"/>
    <w:rsid w:val="00B53A07"/>
    <w:rsid w:val="00B54E70"/>
    <w:rsid w:val="00B608AE"/>
    <w:rsid w:val="00B7759C"/>
    <w:rsid w:val="00B80753"/>
    <w:rsid w:val="00B86F86"/>
    <w:rsid w:val="00B90A06"/>
    <w:rsid w:val="00BB103E"/>
    <w:rsid w:val="00BB2713"/>
    <w:rsid w:val="00BC4A6D"/>
    <w:rsid w:val="00BC7E1B"/>
    <w:rsid w:val="00BD50E2"/>
    <w:rsid w:val="00BE5426"/>
    <w:rsid w:val="00BF0DE0"/>
    <w:rsid w:val="00BF6AD1"/>
    <w:rsid w:val="00BF71E8"/>
    <w:rsid w:val="00C02689"/>
    <w:rsid w:val="00C04FF8"/>
    <w:rsid w:val="00C061EA"/>
    <w:rsid w:val="00C135AA"/>
    <w:rsid w:val="00C2181D"/>
    <w:rsid w:val="00C25E4F"/>
    <w:rsid w:val="00C33657"/>
    <w:rsid w:val="00C34539"/>
    <w:rsid w:val="00C40082"/>
    <w:rsid w:val="00C401DF"/>
    <w:rsid w:val="00C40695"/>
    <w:rsid w:val="00C44496"/>
    <w:rsid w:val="00C47F2A"/>
    <w:rsid w:val="00C61CB2"/>
    <w:rsid w:val="00C704F2"/>
    <w:rsid w:val="00C71CC7"/>
    <w:rsid w:val="00C74659"/>
    <w:rsid w:val="00C800E2"/>
    <w:rsid w:val="00C80A89"/>
    <w:rsid w:val="00C901A8"/>
    <w:rsid w:val="00C94620"/>
    <w:rsid w:val="00CA5686"/>
    <w:rsid w:val="00CA6A47"/>
    <w:rsid w:val="00CB1936"/>
    <w:rsid w:val="00CB60A4"/>
    <w:rsid w:val="00CC0385"/>
    <w:rsid w:val="00CC0EA9"/>
    <w:rsid w:val="00CD26BC"/>
    <w:rsid w:val="00CE166E"/>
    <w:rsid w:val="00CE4139"/>
    <w:rsid w:val="00CF3D8A"/>
    <w:rsid w:val="00CF4976"/>
    <w:rsid w:val="00D0462F"/>
    <w:rsid w:val="00D20561"/>
    <w:rsid w:val="00D26DA9"/>
    <w:rsid w:val="00D32189"/>
    <w:rsid w:val="00D322A9"/>
    <w:rsid w:val="00D43B94"/>
    <w:rsid w:val="00D62EC3"/>
    <w:rsid w:val="00D70DC5"/>
    <w:rsid w:val="00D72509"/>
    <w:rsid w:val="00D729DF"/>
    <w:rsid w:val="00D74883"/>
    <w:rsid w:val="00D77367"/>
    <w:rsid w:val="00D827CA"/>
    <w:rsid w:val="00D856F7"/>
    <w:rsid w:val="00D94EEE"/>
    <w:rsid w:val="00D974CA"/>
    <w:rsid w:val="00DA2666"/>
    <w:rsid w:val="00DB015B"/>
    <w:rsid w:val="00DB63FD"/>
    <w:rsid w:val="00DD20E5"/>
    <w:rsid w:val="00DD556F"/>
    <w:rsid w:val="00DD6D9E"/>
    <w:rsid w:val="00DD7352"/>
    <w:rsid w:val="00DE1419"/>
    <w:rsid w:val="00DF75A0"/>
    <w:rsid w:val="00DF760B"/>
    <w:rsid w:val="00E021CF"/>
    <w:rsid w:val="00E06788"/>
    <w:rsid w:val="00E132DA"/>
    <w:rsid w:val="00E1494D"/>
    <w:rsid w:val="00E31492"/>
    <w:rsid w:val="00E37B29"/>
    <w:rsid w:val="00E402A6"/>
    <w:rsid w:val="00E4195C"/>
    <w:rsid w:val="00E41AB7"/>
    <w:rsid w:val="00E422C4"/>
    <w:rsid w:val="00E5298D"/>
    <w:rsid w:val="00E578A8"/>
    <w:rsid w:val="00E57C60"/>
    <w:rsid w:val="00E61EAE"/>
    <w:rsid w:val="00E6284D"/>
    <w:rsid w:val="00E67090"/>
    <w:rsid w:val="00E70E37"/>
    <w:rsid w:val="00E7205F"/>
    <w:rsid w:val="00E72A4E"/>
    <w:rsid w:val="00E804E9"/>
    <w:rsid w:val="00E909EF"/>
    <w:rsid w:val="00E93BD2"/>
    <w:rsid w:val="00E94387"/>
    <w:rsid w:val="00EA00E8"/>
    <w:rsid w:val="00EB18C7"/>
    <w:rsid w:val="00EC33C6"/>
    <w:rsid w:val="00EC4FFC"/>
    <w:rsid w:val="00EC7B41"/>
    <w:rsid w:val="00EE3EFE"/>
    <w:rsid w:val="00EF5D0E"/>
    <w:rsid w:val="00EF6116"/>
    <w:rsid w:val="00F046BC"/>
    <w:rsid w:val="00F0629B"/>
    <w:rsid w:val="00F12CA2"/>
    <w:rsid w:val="00F13454"/>
    <w:rsid w:val="00F15DCD"/>
    <w:rsid w:val="00F200EA"/>
    <w:rsid w:val="00F23674"/>
    <w:rsid w:val="00F26541"/>
    <w:rsid w:val="00F30098"/>
    <w:rsid w:val="00F35B81"/>
    <w:rsid w:val="00F45121"/>
    <w:rsid w:val="00F64DDA"/>
    <w:rsid w:val="00F65FB1"/>
    <w:rsid w:val="00F67E68"/>
    <w:rsid w:val="00F71269"/>
    <w:rsid w:val="00F74BAD"/>
    <w:rsid w:val="00F803D1"/>
    <w:rsid w:val="00F8151E"/>
    <w:rsid w:val="00FA153F"/>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5732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470FB8"/>
    <w:rPr>
      <w:rFonts w:ascii="Calibri" w:eastAsia="Calibri" w:hAnsi="Calibri" w:cs="Times New Roman"/>
    </w:rPr>
  </w:style>
  <w:style w:type="paragraph" w:customStyle="1" w:styleId="tv213">
    <w:name w:val="tv213"/>
    <w:basedOn w:val="Normal"/>
    <w:rsid w:val="00470FB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463497">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068990421">
      <w:bodyDiv w:val="1"/>
      <w:marLeft w:val="0"/>
      <w:marRight w:val="0"/>
      <w:marTop w:val="0"/>
      <w:marBottom w:val="0"/>
      <w:divBdr>
        <w:top w:val="none" w:sz="0" w:space="0" w:color="auto"/>
        <w:left w:val="none" w:sz="0" w:space="0" w:color="auto"/>
        <w:bottom w:val="none" w:sz="0" w:space="0" w:color="auto"/>
        <w:right w:val="none" w:sz="0" w:space="0" w:color="auto"/>
      </w:divBdr>
    </w:div>
    <w:div w:id="1145513547">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37789991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vmnvd.gov.lv/lv/citu-valstu-sertifikatu-paraugi" TargetMode="External"/><Relationship Id="rId4" Type="http://schemas.openxmlformats.org/officeDocument/2006/relationships/settings" Target="settings.xml"/><Relationship Id="rId9" Type="http://schemas.openxmlformats.org/officeDocument/2006/relationships/hyperlink" Target="https://likumi.lv/ta/lv/starptautiskie-ligumi/id/1592-starptautiskie-veselibas-aizsardzibas-noteikum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11918</Words>
  <Characters>6794</Characters>
  <Application>Microsoft Office Word</Application>
  <DocSecurity>0</DocSecurity>
  <Lines>56</Lines>
  <Paragraphs>37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Anita Jurševica</cp:lastModifiedBy>
  <cp:revision>3</cp:revision>
  <cp:lastPrinted>2020-09-10T14:00:00Z</cp:lastPrinted>
  <dcterms:created xsi:type="dcterms:W3CDTF">2021-06-21T20:09:00Z</dcterms:created>
  <dcterms:modified xsi:type="dcterms:W3CDTF">2021-06-22T05:32:00Z</dcterms:modified>
</cp:coreProperties>
</file>