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2703" w14:textId="0E57701E" w:rsidR="006A404A" w:rsidRPr="00C03997" w:rsidRDefault="004222A1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997">
        <w:rPr>
          <w:rFonts w:ascii="Times New Roman" w:hAnsi="Times New Roman"/>
          <w:b/>
          <w:bCs/>
          <w:sz w:val="28"/>
          <w:szCs w:val="28"/>
        </w:rPr>
        <w:t xml:space="preserve">Ministru kabineta noteikumu projekta </w:t>
      </w:r>
      <w:r w:rsidR="00C03997">
        <w:rPr>
          <w:rFonts w:ascii="Times New Roman" w:hAnsi="Times New Roman"/>
          <w:b/>
          <w:bCs/>
          <w:sz w:val="28"/>
          <w:szCs w:val="28"/>
        </w:rPr>
        <w:t>“</w:t>
      </w:r>
      <w:r w:rsidRPr="00C03997">
        <w:rPr>
          <w:rFonts w:ascii="Times New Roman" w:hAnsi="Times New Roman"/>
          <w:b/>
          <w:bCs/>
          <w:sz w:val="28"/>
          <w:szCs w:val="28"/>
        </w:rPr>
        <w:t xml:space="preserve">Grozījumi Ministru kabineta 2004. gada 5. oktobra noteikumos </w:t>
      </w:r>
      <w:r w:rsidRPr="003B5892">
        <w:rPr>
          <w:rFonts w:ascii="Times New Roman" w:hAnsi="Times New Roman" w:cs="Times New Roman"/>
          <w:b/>
          <w:bCs/>
          <w:sz w:val="28"/>
          <w:szCs w:val="28"/>
        </w:rPr>
        <w:t xml:space="preserve">Nr. 833 </w:t>
      </w:r>
      <w:r w:rsidRPr="003B5892">
        <w:rPr>
          <w:rFonts w:ascii="Times New Roman" w:hAnsi="Times New Roman" w:cs="Times New Roman"/>
          <w:b/>
          <w:bCs/>
          <w:sz w:val="28"/>
          <w:szCs w:val="28"/>
          <w:rtl/>
        </w:rPr>
        <w:t>“</w:t>
      </w:r>
      <w:r w:rsidRPr="003B5892">
        <w:rPr>
          <w:rFonts w:ascii="Times New Roman" w:hAnsi="Times New Roman" w:cs="Times New Roman"/>
          <w:b/>
          <w:bCs/>
          <w:sz w:val="28"/>
          <w:szCs w:val="28"/>
        </w:rPr>
        <w:t>Kārtība</w:t>
      </w:r>
      <w:r w:rsidRPr="00C03997">
        <w:rPr>
          <w:rFonts w:ascii="Times New Roman" w:hAnsi="Times New Roman"/>
          <w:b/>
          <w:bCs/>
          <w:sz w:val="28"/>
          <w:szCs w:val="28"/>
        </w:rPr>
        <w:t>, kādā iegūstama un apkopojama informācija par lauksaimniecībā izmantojamās zemes auglības līmeni un tā pārmaiņām”</w:t>
      </w:r>
      <w:r w:rsidR="00C03997">
        <w:rPr>
          <w:rFonts w:ascii="Times New Roman" w:hAnsi="Times New Roman"/>
          <w:b/>
          <w:bCs/>
          <w:sz w:val="28"/>
          <w:szCs w:val="28"/>
        </w:rPr>
        <w:t>”</w:t>
      </w:r>
      <w:r w:rsidRPr="00C03997">
        <w:rPr>
          <w:rFonts w:ascii="Times New Roman" w:hAnsi="Times New Roman"/>
          <w:b/>
          <w:bCs/>
          <w:sz w:val="28"/>
          <w:szCs w:val="28"/>
        </w:rPr>
        <w:t xml:space="preserve"> (anotācija)</w:t>
      </w:r>
    </w:p>
    <w:p w14:paraId="5C3A57C9" w14:textId="77777777" w:rsidR="006A404A" w:rsidRPr="00C03997" w:rsidRDefault="006A404A">
      <w:pPr>
        <w:pStyle w:val="Bezatstarpm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70"/>
        <w:gridCol w:w="5123"/>
      </w:tblGrid>
      <w:tr w:rsidR="006A404A" w:rsidRPr="00C03997" w14:paraId="3ED9F9A6" w14:textId="77777777">
        <w:trPr>
          <w:trHeight w:val="300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8E9D" w14:textId="77777777" w:rsidR="006A404A" w:rsidRPr="00C03997" w:rsidRDefault="004222A1">
            <w:pPr>
              <w:pStyle w:val="Bezatstarpm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6A404A" w:rsidRPr="00C03997" w14:paraId="4DF5A57A" w14:textId="77777777">
        <w:trPr>
          <w:trHeight w:val="60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1C43" w14:textId="77777777" w:rsidR="006A404A" w:rsidRPr="00C03997" w:rsidRDefault="004222A1">
            <w:pPr>
              <w:pStyle w:val="Bezatstarpm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10B5" w14:textId="4B74F482" w:rsidR="006A404A" w:rsidRPr="00C03997" w:rsidRDefault="004222A1">
            <w:pPr>
              <w:pStyle w:val="Bezatstarpm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4179ADEB" w14:textId="77777777" w:rsidR="006A404A" w:rsidRPr="00C03997" w:rsidRDefault="006A404A">
      <w:pPr>
        <w:pStyle w:val="Bezatstarpm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3"/>
        <w:gridCol w:w="1461"/>
        <w:gridCol w:w="7216"/>
      </w:tblGrid>
      <w:tr w:rsidR="006A404A" w:rsidRPr="00C03997" w14:paraId="6E448BEF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E9D5" w14:textId="77777777" w:rsidR="006A404A" w:rsidRPr="00C03997" w:rsidRDefault="004222A1">
            <w:pPr>
              <w:spacing w:after="0" w:line="312" w:lineRule="auto"/>
              <w:ind w:firstLine="300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6A404A" w:rsidRPr="00C03997" w14:paraId="6838DC8E" w14:textId="77777777" w:rsidTr="003B5892">
        <w:trPr>
          <w:trHeight w:val="381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3DE5" w14:textId="77777777" w:rsidR="006A404A" w:rsidRPr="00C03997" w:rsidRDefault="004222A1">
            <w:pPr>
              <w:spacing w:after="0" w:line="312" w:lineRule="auto"/>
              <w:ind w:firstLine="142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4D9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53B3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Zemkopības ministrijas iniciatīva</w:t>
            </w:r>
          </w:p>
        </w:tc>
      </w:tr>
      <w:tr w:rsidR="006A404A" w:rsidRPr="00C03997" w14:paraId="4F992FBE" w14:textId="77777777" w:rsidTr="003B5892">
        <w:trPr>
          <w:trHeight w:val="3328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2E51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C77E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675" w14:textId="5F4AD51D" w:rsidR="006A404A" w:rsidRPr="003B5892" w:rsidRDefault="004A46B7" w:rsidP="003B58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 2020. gada 23. jūnijā stājās spēkā jaunais Administratīvo teritoriju un apdzīvoto vietu likums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(turpmāk – likums)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, ir jāizdara grozījumi spēkā esošajos Ministru kabineta 2004. gada 5. oktobra noteikumos Nr. 833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rtl/>
              </w:rPr>
              <w:t>“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Kārtība, kādā iegūstama un apkopojama informācija par lauksaimniecībā izmantojamās zemes auglības līmeni un tā pārmaiņām”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(turpmāk – noteikumi).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ikumā tiek noteiktas administratīvās teritorijas,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tāpēc noteikumi ir jāprecizē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 spēkā esošajiem termin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iem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“lauksaimniecības sistēma” jau ietver saimniekošanas intensitātes pakāpi, tādēļ tā </w:t>
            </w:r>
            <w:r w:rsidR="00927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atsevišķi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vairs nav jānorāda.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 kā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atlasot saimniecības reprezentatīvajai kopai, ne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tiek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ņem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vērā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tas,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zemes auglības līmenis saimniecībā nav pētīts pēdējos 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piecus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gadus vai ilgāk, šis punkts no noteikumiem ir svītrojams. N</w:t>
            </w:r>
            <w:r w:rsidRPr="0033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noteikumiem</w:t>
            </w:r>
            <w:r w:rsidRPr="00C0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tiek svītrots</w:t>
            </w:r>
            <w:r w:rsidRPr="001C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</w:t>
            </w:r>
            <w:r w:rsidRPr="003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  <w:t>“</w:t>
            </w:r>
            <w:r w:rsidRPr="003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apriņķis”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jo </w:t>
            </w:r>
            <w:r w:rsidRPr="00E24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vairs nepastāv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šāda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administratīvā teritorijas iedalījum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vienība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Tā kā informācija pa zemes izmantošanas veidiem saimniecīb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netiek analizēta, 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“saimniecības” no noteikumiem tiek svītrots.</w:t>
            </w:r>
          </w:p>
        </w:tc>
      </w:tr>
      <w:tr w:rsidR="006A404A" w:rsidRPr="00C03997" w14:paraId="00D17398" w14:textId="77777777" w:rsidTr="003B5892">
        <w:trPr>
          <w:trHeight w:val="2166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72AD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2AD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Projekta izstrādē iesaistītās institūcijas </w:t>
            </w:r>
            <w:r w:rsidRPr="003B5892">
              <w:rPr>
                <w:rFonts w:ascii="Times New Roman" w:hAnsi="Times New Roman"/>
                <w:sz w:val="24"/>
                <w:szCs w:val="24"/>
              </w:rPr>
              <w:t>un publiskas personas kapitālsabiedrības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6BB2" w14:textId="36FC6211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Zemkopības ministrija un Valsts augu aizsardzības dienests</w:t>
            </w:r>
          </w:p>
        </w:tc>
      </w:tr>
      <w:tr w:rsidR="006A404A" w:rsidRPr="00C03997" w14:paraId="76E439AB" w14:textId="77777777" w:rsidTr="003B5892">
        <w:trPr>
          <w:trHeight w:val="591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3F4B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1F7A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5AAC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6A404A" w:rsidRPr="00C03997" w14:paraId="0C072878" w14:textId="77777777">
        <w:trPr>
          <w:trHeight w:val="6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5660" w14:textId="77777777" w:rsidR="006A404A" w:rsidRPr="00C03997" w:rsidRDefault="004222A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</w:t>
            </w:r>
          </w:p>
          <w:p w14:paraId="124F6CA1" w14:textId="77777777" w:rsidR="006A404A" w:rsidRPr="00C03997" w:rsidRDefault="004222A1">
            <w:pPr>
              <w:pStyle w:val="Bezatstarpm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administratīvo slogu</w:t>
            </w:r>
          </w:p>
        </w:tc>
      </w:tr>
      <w:tr w:rsidR="006A404A" w:rsidRPr="00C03997" w14:paraId="1663B30F" w14:textId="77777777">
        <w:trPr>
          <w:trHeight w:val="342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3E1E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6357D203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F5BC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A404A" w:rsidRPr="00C03997" w14:paraId="6C50B9DF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9714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087CBEBC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9785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Tiesību akta projekta ietekme uz spēkā esošo tiesību normu sistēmu</w:t>
            </w:r>
          </w:p>
        </w:tc>
      </w:tr>
      <w:tr w:rsidR="006A404A" w:rsidRPr="00C03997" w14:paraId="0C3846EB" w14:textId="77777777">
        <w:trPr>
          <w:trHeight w:val="539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D7B0" w14:textId="77777777" w:rsidR="006A404A" w:rsidRPr="00C03997" w:rsidRDefault="004222A1">
            <w:pPr>
              <w:shd w:val="clear" w:color="auto" w:fill="FFFFFF"/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73C8258" w14:textId="77777777" w:rsidR="006A404A" w:rsidRPr="00C03997" w:rsidRDefault="006A404A" w:rsidP="003B5892">
      <w:pPr>
        <w:spacing w:after="0" w:line="360" w:lineRule="auto"/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6"/>
      </w:tblGrid>
      <w:tr w:rsidR="006A404A" w:rsidRPr="00C03997" w14:paraId="1E91F2FA" w14:textId="77777777" w:rsidTr="003B5892">
        <w:trPr>
          <w:trHeight w:val="3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65F9" w14:textId="77777777" w:rsidR="006A404A" w:rsidRPr="00C03997" w:rsidRDefault="004222A1">
            <w:pPr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6A404A" w:rsidRPr="00C03997" w14:paraId="3DDF8CFF" w14:textId="77777777" w:rsidTr="003B5892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1B6A" w14:textId="77777777" w:rsidR="006A404A" w:rsidRPr="00C03997" w:rsidRDefault="004222A1">
            <w:pPr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22ADC459" w14:textId="77777777" w:rsidR="006A404A" w:rsidRPr="00C03997" w:rsidRDefault="006A404A" w:rsidP="003B5892">
      <w:pPr>
        <w:spacing w:after="0" w:line="240" w:lineRule="auto"/>
      </w:pP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1"/>
        <w:gridCol w:w="2637"/>
        <w:gridCol w:w="6082"/>
      </w:tblGrid>
      <w:tr w:rsidR="006A404A" w:rsidRPr="00C03997" w14:paraId="3CE85735" w14:textId="77777777" w:rsidTr="003B5892">
        <w:trPr>
          <w:trHeight w:val="426"/>
        </w:trPr>
        <w:tc>
          <w:tcPr>
            <w:tcW w:w="924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126A" w14:textId="77777777" w:rsidR="006A404A" w:rsidRPr="00C03997" w:rsidRDefault="004222A1" w:rsidP="003B5892">
            <w:pPr>
              <w:spacing w:after="0" w:line="312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6A404A" w:rsidRPr="00C03997" w14:paraId="7140D661" w14:textId="77777777" w:rsidTr="003B5892">
        <w:trPr>
          <w:trHeight w:val="12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8E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8F2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A0F7" w14:textId="06DEE956" w:rsidR="006A404A" w:rsidRPr="00C03997" w:rsidRDefault="00C039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97"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 xml:space="preserve"> ir tehniski, tie nav virzāmi sabiedriskai apspriešanai.</w:t>
            </w:r>
          </w:p>
        </w:tc>
      </w:tr>
      <w:tr w:rsidR="006A404A" w:rsidRPr="00C03997" w14:paraId="4B577CF3" w14:textId="77777777" w:rsidTr="003B5892">
        <w:trPr>
          <w:trHeight w:val="6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3F59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9C3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4546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197E73D2" w14:textId="77777777" w:rsidTr="003B5892">
        <w:trPr>
          <w:trHeight w:val="6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4D1E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65BF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0EF4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6A404A" w:rsidRPr="00C03997" w14:paraId="4AFE82C1" w14:textId="77777777" w:rsidTr="003B5892">
        <w:trPr>
          <w:trHeight w:val="322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F63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54ED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E3BD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4C5AA27" w14:textId="77777777" w:rsidR="006A404A" w:rsidRPr="00C03997" w:rsidRDefault="006A404A" w:rsidP="003B5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3131"/>
        <w:gridCol w:w="5645"/>
      </w:tblGrid>
      <w:tr w:rsidR="006A404A" w:rsidRPr="00C03997" w14:paraId="2D70A606" w14:textId="77777777" w:rsidTr="003B5892">
        <w:trPr>
          <w:trHeight w:val="475"/>
        </w:trPr>
        <w:tc>
          <w:tcPr>
            <w:tcW w:w="9346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847D" w14:textId="77777777" w:rsidR="006A404A" w:rsidRPr="00C03997" w:rsidRDefault="004222A1">
            <w:pPr>
              <w:spacing w:after="0" w:line="312" w:lineRule="auto"/>
              <w:ind w:firstLine="300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6A404A" w:rsidRPr="00C03997" w14:paraId="39B029A5" w14:textId="77777777" w:rsidTr="003B5892">
        <w:trPr>
          <w:trHeight w:val="601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C42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6624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37B7" w14:textId="30AA2A30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Valsts augu aizsardzības dienests</w:t>
            </w:r>
            <w:r w:rsidR="00C03997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C03997">
              <w:rPr>
                <w:rFonts w:ascii="Times New Roman" w:hAnsi="Times New Roman"/>
                <w:sz w:val="24"/>
                <w:szCs w:val="24"/>
              </w:rPr>
              <w:t xml:space="preserve"> Zemkopības ministrija</w:t>
            </w:r>
          </w:p>
        </w:tc>
      </w:tr>
      <w:tr w:rsidR="006A404A" w:rsidRPr="00C03997" w14:paraId="0F020F7D" w14:textId="77777777" w:rsidTr="003B5892">
        <w:trPr>
          <w:trHeight w:val="2077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6154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AACE" w14:textId="77777777" w:rsidR="006A404A" w:rsidRPr="00C03997" w:rsidRDefault="004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46099221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C80A" w14:textId="77777777" w:rsidR="006A404A" w:rsidRPr="00C03997" w:rsidRDefault="004222A1">
            <w:pPr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514523E4" w14:textId="77777777">
        <w:trPr>
          <w:trHeight w:val="305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D89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232D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34A9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6D095FC2" w14:textId="77777777" w:rsidR="00C03997" w:rsidRPr="00AD103B" w:rsidRDefault="00C03997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33C775" w14:textId="77777777" w:rsidR="006A404A" w:rsidRPr="00AD103B" w:rsidRDefault="006A4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44AD15" w14:textId="1E3F1BD4" w:rsidR="00AD103B" w:rsidRDefault="004222A1" w:rsidP="00AD103B">
      <w:pPr>
        <w:ind w:firstLine="720"/>
        <w:rPr>
          <w:rFonts w:ascii="Times New Roman" w:hAnsi="Times New Roman"/>
          <w:sz w:val="28"/>
          <w:szCs w:val="28"/>
        </w:rPr>
      </w:pPr>
      <w:r w:rsidRPr="00C03997">
        <w:rPr>
          <w:rFonts w:ascii="Times New Roman" w:hAnsi="Times New Roman"/>
          <w:sz w:val="28"/>
          <w:szCs w:val="28"/>
        </w:rPr>
        <w:t>Zemkopības ministrs</w:t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="00AD103B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  <w:t>K</w:t>
      </w:r>
      <w:r w:rsidR="00AD103B">
        <w:rPr>
          <w:rFonts w:ascii="Times New Roman" w:hAnsi="Times New Roman"/>
          <w:sz w:val="28"/>
          <w:szCs w:val="28"/>
        </w:rPr>
        <w:t>.</w:t>
      </w:r>
      <w:r w:rsidRPr="00C03997">
        <w:rPr>
          <w:rFonts w:ascii="Times New Roman" w:hAnsi="Times New Roman"/>
          <w:sz w:val="28"/>
          <w:szCs w:val="28"/>
        </w:rPr>
        <w:t xml:space="preserve">Gerhards </w:t>
      </w:r>
    </w:p>
    <w:p w14:paraId="761B4D1C" w14:textId="77777777" w:rsidR="00AD103B" w:rsidRPr="00AD103B" w:rsidRDefault="00AD103B" w:rsidP="00AD103B">
      <w:pPr>
        <w:ind w:firstLine="720"/>
        <w:rPr>
          <w:rFonts w:ascii="Times New Roman" w:hAnsi="Times New Roman"/>
          <w:sz w:val="16"/>
          <w:szCs w:val="18"/>
        </w:rPr>
      </w:pPr>
    </w:p>
    <w:p w14:paraId="064E75EF" w14:textId="77777777" w:rsidR="003B5892" w:rsidRPr="00590625" w:rsidRDefault="003B5892" w:rsidP="003B5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Krūmiņš</w:t>
      </w:r>
      <w:r w:rsidRPr="00590625">
        <w:rPr>
          <w:rFonts w:ascii="Times New Roman" w:hAnsi="Times New Roman"/>
          <w:sz w:val="24"/>
          <w:szCs w:val="24"/>
        </w:rPr>
        <w:t xml:space="preserve"> 67027</w:t>
      </w:r>
      <w:r>
        <w:rPr>
          <w:rFonts w:ascii="Times New Roman" w:hAnsi="Times New Roman"/>
          <w:sz w:val="24"/>
          <w:szCs w:val="24"/>
        </w:rPr>
        <w:t>313</w:t>
      </w:r>
    </w:p>
    <w:p w14:paraId="7CF9A320" w14:textId="28430821" w:rsidR="006A404A" w:rsidRPr="00AD103B" w:rsidRDefault="00AD103B" w:rsidP="00E03EE7">
      <w:pPr>
        <w:pStyle w:val="Bezatstarpm"/>
        <w:tabs>
          <w:tab w:val="center" w:pos="4535"/>
        </w:tabs>
      </w:pPr>
      <w:hyperlink r:id="rId6" w:history="1">
        <w:r w:rsidR="003B5892" w:rsidRPr="00AD103B">
          <w:rPr>
            <w:rStyle w:val="Hipersaite"/>
            <w:rFonts w:ascii="Times New Roman" w:hAnsi="Times New Roman"/>
            <w:sz w:val="24"/>
            <w:szCs w:val="24"/>
            <w:u w:val="none"/>
          </w:rPr>
          <w:t>Gints.Krumins@zm.gov.lv</w:t>
        </w:r>
      </w:hyperlink>
      <w:bookmarkStart w:id="0" w:name="_GoBack"/>
      <w:bookmarkEnd w:id="0"/>
    </w:p>
    <w:sectPr w:rsidR="006A404A" w:rsidRPr="00AD103B" w:rsidSect="00AD103B">
      <w:headerReference w:type="default" r:id="rId7"/>
      <w:footerReference w:type="default" r:id="rId8"/>
      <w:footerReference w:type="first" r:id="rId9"/>
      <w:pgSz w:w="1190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312E" w14:textId="77777777" w:rsidR="00A220E9" w:rsidRDefault="00A220E9">
      <w:pPr>
        <w:spacing w:after="0" w:line="240" w:lineRule="auto"/>
      </w:pPr>
      <w:r>
        <w:separator/>
      </w:r>
    </w:p>
  </w:endnote>
  <w:endnote w:type="continuationSeparator" w:id="0">
    <w:p w14:paraId="6425F47B" w14:textId="77777777" w:rsidR="00A220E9" w:rsidRDefault="00A2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77E6" w14:textId="77777777" w:rsidR="006A404A" w:rsidRDefault="006A404A">
    <w:pPr>
      <w:pStyle w:val="Kjene"/>
      <w:tabs>
        <w:tab w:val="clear" w:pos="8306"/>
        <w:tab w:val="right" w:pos="8280"/>
      </w:tabs>
    </w:pPr>
  </w:p>
  <w:p w14:paraId="2CD6716C" w14:textId="40B2343B" w:rsidR="006A404A" w:rsidRPr="00AD103B" w:rsidRDefault="00AD103B" w:rsidP="00AD103B">
    <w:pPr>
      <w:pStyle w:val="Kjene"/>
      <w:tabs>
        <w:tab w:val="clear" w:pos="8306"/>
        <w:tab w:val="left" w:pos="2410"/>
        <w:tab w:val="right" w:pos="8280"/>
      </w:tabs>
      <w:rPr>
        <w:sz w:val="20"/>
        <w:szCs w:val="20"/>
      </w:rPr>
    </w:pPr>
    <w:r w:rsidRPr="00AD103B">
      <w:rPr>
        <w:rFonts w:ascii="Times New Roman" w:hAnsi="Times New Roman"/>
        <w:sz w:val="20"/>
        <w:szCs w:val="20"/>
      </w:rPr>
      <w:t>ZManot_310521_kartib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8FFA" w14:textId="57E6C3C2" w:rsidR="00AD103B" w:rsidRPr="00AD103B" w:rsidRDefault="00AD103B">
    <w:pPr>
      <w:pStyle w:val="Kjene"/>
      <w:rPr>
        <w:rFonts w:ascii="Times New Roman" w:hAnsi="Times New Roman" w:cs="Times New Roman"/>
        <w:sz w:val="20"/>
        <w:szCs w:val="20"/>
      </w:rPr>
    </w:pPr>
    <w:r w:rsidRPr="00AD103B">
      <w:rPr>
        <w:rFonts w:ascii="Times New Roman" w:hAnsi="Times New Roman" w:cs="Times New Roman"/>
        <w:sz w:val="20"/>
        <w:szCs w:val="20"/>
      </w:rPr>
      <w:t>ZManot_310521_kartib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D635" w14:textId="77777777" w:rsidR="00A220E9" w:rsidRDefault="00A220E9">
      <w:pPr>
        <w:spacing w:after="0" w:line="240" w:lineRule="auto"/>
      </w:pPr>
      <w:r>
        <w:separator/>
      </w:r>
    </w:p>
  </w:footnote>
  <w:footnote w:type="continuationSeparator" w:id="0">
    <w:p w14:paraId="1DEE2A38" w14:textId="77777777" w:rsidR="00A220E9" w:rsidRDefault="00A2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267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077D03" w14:textId="52D9FDCB" w:rsidR="00AD103B" w:rsidRPr="00AD103B" w:rsidRDefault="00AD103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10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0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10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103B">
          <w:rPr>
            <w:rFonts w:ascii="Times New Roman" w:hAnsi="Times New Roman" w:cs="Times New Roman"/>
            <w:sz w:val="24"/>
            <w:szCs w:val="24"/>
          </w:rPr>
          <w:t>2</w:t>
        </w:r>
        <w:r w:rsidRPr="00AD10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05D550" w14:textId="77777777" w:rsidR="00AD103B" w:rsidRDefault="00AD103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4A"/>
    <w:rsid w:val="00175AF7"/>
    <w:rsid w:val="00293DA4"/>
    <w:rsid w:val="003B5892"/>
    <w:rsid w:val="003D49D1"/>
    <w:rsid w:val="003F083B"/>
    <w:rsid w:val="004222A1"/>
    <w:rsid w:val="004A46B7"/>
    <w:rsid w:val="006A404A"/>
    <w:rsid w:val="00713D98"/>
    <w:rsid w:val="00863D6A"/>
    <w:rsid w:val="008C1C16"/>
    <w:rsid w:val="00927C3E"/>
    <w:rsid w:val="00A220E9"/>
    <w:rsid w:val="00AD103B"/>
    <w:rsid w:val="00AD7A35"/>
    <w:rsid w:val="00C03997"/>
    <w:rsid w:val="00C51341"/>
    <w:rsid w:val="00D01319"/>
    <w:rsid w:val="00DF3761"/>
    <w:rsid w:val="00E03EE7"/>
    <w:rsid w:val="00EA1862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B350"/>
  <w15:docId w15:val="{B60A0F75-2BB1-4593-BF5B-B297E06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atstarpm">
    <w:name w:val="No Spacing"/>
    <w:uiPriority w:val="99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Galvene">
    <w:name w:val="header"/>
    <w:basedOn w:val="Parasts"/>
    <w:link w:val="GalveneRakstz"/>
    <w:uiPriority w:val="99"/>
    <w:unhideWhenUsed/>
    <w:rsid w:val="00C51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134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s.Krumins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2052</Words>
  <Characters>1171</Characters>
  <Application>Microsoft Office Word</Application>
  <DocSecurity>0</DocSecurity>
  <Lines>9</Lines>
  <Paragraphs>6</Paragraphs>
  <ScaleCrop>false</ScaleCrop>
  <Company>ZM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5. oktobra noteikumos Nr. 833 "Kārtība, kādā iegūstama un apkopojama informācija par lauksaimniecībā izmantojamās zemes auglības līmeni un tā pārmaiņām</dc:title>
  <dc:subject>anotācija</dc:subject>
  <dc:creator>Gints Krumins</dc:creator>
  <dc:description>Gints Krūmiņš, tālr. 67027313, e-pasts: gints.krumins@zm.gov.lv</dc:description>
  <cp:lastModifiedBy>Sanita Papinova</cp:lastModifiedBy>
  <cp:revision>4</cp:revision>
  <dcterms:created xsi:type="dcterms:W3CDTF">2021-05-31T12:00:00Z</dcterms:created>
  <dcterms:modified xsi:type="dcterms:W3CDTF">2021-06-01T06:24:00Z</dcterms:modified>
</cp:coreProperties>
</file>