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13E0F" w14:textId="77777777" w:rsidR="00E5737D" w:rsidRPr="008C586A" w:rsidRDefault="00DE2F03" w:rsidP="00E5737D">
      <w:pPr>
        <w:pStyle w:val="naisnod"/>
        <w:spacing w:before="0" w:beforeAutospacing="0" w:after="0" w:afterAutospacing="0"/>
        <w:jc w:val="center"/>
        <w:rPr>
          <w:b/>
          <w:sz w:val="28"/>
          <w:szCs w:val="28"/>
        </w:rPr>
      </w:pPr>
      <w:r w:rsidRPr="008C586A">
        <w:rPr>
          <w:b/>
        </w:rPr>
        <w:t>Izziņa par atzinumos sniegtajiem iebildumiem</w:t>
      </w:r>
    </w:p>
    <w:p w14:paraId="5B967E05" w14:textId="77777777" w:rsidR="00E5737D" w:rsidRPr="00771DAC" w:rsidRDefault="00E5737D" w:rsidP="001C0A53">
      <w:pPr>
        <w:pStyle w:val="naisf"/>
        <w:spacing w:before="0" w:beforeAutospacing="0" w:after="0" w:afterAutospacing="0"/>
        <w:rPr>
          <w:b/>
          <w:sz w:val="28"/>
          <w:szCs w:val="28"/>
        </w:rPr>
      </w:pPr>
    </w:p>
    <w:tbl>
      <w:tblPr>
        <w:tblW w:w="0" w:type="auto"/>
        <w:jc w:val="center"/>
        <w:tblCellSpacing w:w="0" w:type="dxa"/>
        <w:tblCellMar>
          <w:left w:w="0" w:type="dxa"/>
          <w:right w:w="0" w:type="dxa"/>
        </w:tblCellMar>
        <w:tblLook w:val="0000" w:firstRow="0" w:lastRow="0" w:firstColumn="0" w:lastColumn="0" w:noHBand="0" w:noVBand="0"/>
      </w:tblPr>
      <w:tblGrid>
        <w:gridCol w:w="10855"/>
      </w:tblGrid>
      <w:tr w:rsidR="00DE2F03" w:rsidRPr="00771DAC" w14:paraId="7AC79885" w14:textId="77777777">
        <w:trPr>
          <w:tblCellSpacing w:w="0" w:type="dxa"/>
          <w:jc w:val="center"/>
        </w:trPr>
        <w:tc>
          <w:tcPr>
            <w:tcW w:w="10855" w:type="dxa"/>
            <w:tcBorders>
              <w:top w:val="nil"/>
              <w:left w:val="nil"/>
              <w:bottom w:val="single" w:sz="8" w:space="0" w:color="000000"/>
              <w:right w:val="nil"/>
            </w:tcBorders>
          </w:tcPr>
          <w:p w14:paraId="376D64FA" w14:textId="628D4CB9" w:rsidR="00DE2F03" w:rsidRPr="00771DAC" w:rsidRDefault="004015B8" w:rsidP="0001264C">
            <w:pPr>
              <w:jc w:val="center"/>
              <w:rPr>
                <w:b/>
                <w:sz w:val="28"/>
                <w:szCs w:val="28"/>
              </w:rPr>
            </w:pPr>
            <w:r w:rsidRPr="00771DAC">
              <w:rPr>
                <w:b/>
              </w:rPr>
              <w:t xml:space="preserve">Par Ministru kabineta </w:t>
            </w:r>
            <w:r w:rsidR="0001264C" w:rsidRPr="00771DAC">
              <w:rPr>
                <w:b/>
              </w:rPr>
              <w:t xml:space="preserve">noteikumu projektu </w:t>
            </w:r>
            <w:r w:rsidR="003832C4" w:rsidRPr="003832C4">
              <w:rPr>
                <w:b/>
              </w:rPr>
              <w:t xml:space="preserve">"Grozījumi Ministru kabineta 2012. gada 17. aprīļa noteikumos Nr. 275 "Prasības tādu dzīvnieku izcelsmes blakusproduktu un atvasinātu produktu apritei, kas nav paredzēti cilvēku patēriņam"" </w:t>
            </w:r>
            <w:r w:rsidR="00771DAC" w:rsidRPr="00771DAC">
              <w:rPr>
                <w:b/>
                <w:bCs/>
              </w:rPr>
              <w:t>un anotāciju</w:t>
            </w:r>
          </w:p>
        </w:tc>
      </w:tr>
    </w:tbl>
    <w:p w14:paraId="56330E04" w14:textId="77777777" w:rsidR="00DE2F03" w:rsidRPr="008C586A" w:rsidRDefault="00DE2F03" w:rsidP="001C0A53">
      <w:pPr>
        <w:pStyle w:val="naisc"/>
        <w:spacing w:before="0" w:beforeAutospacing="0" w:after="0" w:afterAutospacing="0"/>
        <w:jc w:val="center"/>
        <w:rPr>
          <w:sz w:val="20"/>
          <w:szCs w:val="20"/>
        </w:rPr>
      </w:pPr>
      <w:r w:rsidRPr="008C586A">
        <w:rPr>
          <w:sz w:val="20"/>
          <w:szCs w:val="20"/>
        </w:rPr>
        <w:t>(dokumenta veids un nosaukums)</w:t>
      </w:r>
    </w:p>
    <w:p w14:paraId="7FAD9846" w14:textId="77777777" w:rsidR="00E5737D" w:rsidRPr="008C586A" w:rsidRDefault="00E5737D" w:rsidP="001C0A53">
      <w:pPr>
        <w:pStyle w:val="naisc"/>
        <w:spacing w:before="0" w:beforeAutospacing="0" w:after="0" w:afterAutospacing="0"/>
        <w:jc w:val="center"/>
        <w:rPr>
          <w:sz w:val="20"/>
          <w:szCs w:val="20"/>
        </w:rPr>
      </w:pPr>
    </w:p>
    <w:p w14:paraId="41B7BA0E" w14:textId="77777777" w:rsidR="008123B3" w:rsidRPr="008C586A" w:rsidRDefault="008123B3" w:rsidP="008123B3">
      <w:pPr>
        <w:pStyle w:val="naisf"/>
        <w:spacing w:before="0" w:after="0"/>
        <w:jc w:val="center"/>
        <w:rPr>
          <w:b/>
        </w:rPr>
      </w:pPr>
      <w:r w:rsidRPr="008C586A">
        <w:rPr>
          <w:b/>
        </w:rPr>
        <w:t>I. Jautājumi, par kuriem saskaņošanā vienošanās nav panākti</w:t>
      </w:r>
    </w:p>
    <w:tbl>
      <w:tblPr>
        <w:tblW w:w="14580" w:type="dxa"/>
        <w:tblInd w:w="-7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1812"/>
        <w:gridCol w:w="5040"/>
        <w:gridCol w:w="3012"/>
        <w:gridCol w:w="1848"/>
        <w:gridCol w:w="2160"/>
      </w:tblGrid>
      <w:tr w:rsidR="008123B3" w:rsidRPr="008C586A" w14:paraId="74D84C69" w14:textId="77777777">
        <w:tc>
          <w:tcPr>
            <w:tcW w:w="708" w:type="dxa"/>
            <w:tcBorders>
              <w:top w:val="single" w:sz="6" w:space="0" w:color="000000"/>
              <w:left w:val="single" w:sz="6" w:space="0" w:color="000000"/>
              <w:bottom w:val="single" w:sz="6" w:space="0" w:color="000000"/>
              <w:right w:val="single" w:sz="6" w:space="0" w:color="000000"/>
            </w:tcBorders>
            <w:vAlign w:val="center"/>
          </w:tcPr>
          <w:p w14:paraId="4069720B" w14:textId="77777777" w:rsidR="008123B3" w:rsidRPr="008C586A" w:rsidRDefault="008123B3" w:rsidP="00B00B82">
            <w:pPr>
              <w:pStyle w:val="naisc"/>
              <w:spacing w:before="0" w:after="0"/>
              <w:jc w:val="center"/>
            </w:pPr>
            <w:r w:rsidRPr="008C586A">
              <w:t>Nr. p.k.</w:t>
            </w:r>
          </w:p>
        </w:tc>
        <w:tc>
          <w:tcPr>
            <w:tcW w:w="1812" w:type="dxa"/>
            <w:tcBorders>
              <w:top w:val="single" w:sz="6" w:space="0" w:color="000000"/>
              <w:left w:val="single" w:sz="6" w:space="0" w:color="000000"/>
              <w:bottom w:val="single" w:sz="6" w:space="0" w:color="000000"/>
              <w:right w:val="single" w:sz="6" w:space="0" w:color="000000"/>
            </w:tcBorders>
            <w:vAlign w:val="center"/>
          </w:tcPr>
          <w:p w14:paraId="2848EA5D" w14:textId="77777777" w:rsidR="008123B3" w:rsidRPr="008C586A" w:rsidRDefault="008123B3" w:rsidP="00B00B82">
            <w:pPr>
              <w:pStyle w:val="naisc"/>
              <w:spacing w:before="0" w:after="0"/>
              <w:ind w:firstLine="12"/>
              <w:jc w:val="center"/>
            </w:pPr>
            <w:r w:rsidRPr="008C586A">
              <w:t>Saskaņošanai nosūtītā projekta redakcija (konkrēta punkta (panta) redakcija)</w:t>
            </w:r>
          </w:p>
        </w:tc>
        <w:tc>
          <w:tcPr>
            <w:tcW w:w="5040" w:type="dxa"/>
            <w:tcBorders>
              <w:top w:val="single" w:sz="6" w:space="0" w:color="000000"/>
              <w:left w:val="single" w:sz="6" w:space="0" w:color="000000"/>
              <w:bottom w:val="single" w:sz="6" w:space="0" w:color="000000"/>
              <w:right w:val="single" w:sz="6" w:space="0" w:color="000000"/>
            </w:tcBorders>
            <w:vAlign w:val="center"/>
          </w:tcPr>
          <w:p w14:paraId="1053A783" w14:textId="77777777" w:rsidR="008123B3" w:rsidRPr="008C586A" w:rsidRDefault="008123B3" w:rsidP="00B00B82">
            <w:pPr>
              <w:pStyle w:val="naisc"/>
              <w:spacing w:before="0" w:after="0"/>
              <w:ind w:right="3"/>
              <w:jc w:val="center"/>
            </w:pPr>
            <w:r w:rsidRPr="008C586A">
              <w:t>Atzinumā norādītais ministrijas (citas institūcijas) iebildums, kā arī saskaņošanā papildus izteiktais iebildums par projekta konkrēto punktu (pantu)</w:t>
            </w:r>
          </w:p>
        </w:tc>
        <w:tc>
          <w:tcPr>
            <w:tcW w:w="3012" w:type="dxa"/>
            <w:tcBorders>
              <w:top w:val="single" w:sz="6" w:space="0" w:color="000000"/>
              <w:left w:val="single" w:sz="6" w:space="0" w:color="000000"/>
              <w:bottom w:val="single" w:sz="6" w:space="0" w:color="000000"/>
              <w:right w:val="single" w:sz="6" w:space="0" w:color="000000"/>
            </w:tcBorders>
            <w:vAlign w:val="center"/>
          </w:tcPr>
          <w:p w14:paraId="744E0921" w14:textId="77777777" w:rsidR="008123B3" w:rsidRPr="008C586A" w:rsidRDefault="008123B3" w:rsidP="00B00B82">
            <w:pPr>
              <w:pStyle w:val="naisc"/>
              <w:spacing w:before="0" w:after="0"/>
              <w:ind w:firstLine="21"/>
              <w:jc w:val="center"/>
            </w:pPr>
            <w:r w:rsidRPr="008C586A">
              <w:t>Atbildīgās ministrijas pamatojums iebilduma noraidījumam</w:t>
            </w:r>
          </w:p>
        </w:tc>
        <w:tc>
          <w:tcPr>
            <w:tcW w:w="1848" w:type="dxa"/>
            <w:tcBorders>
              <w:top w:val="single" w:sz="4" w:space="0" w:color="auto"/>
              <w:left w:val="single" w:sz="4" w:space="0" w:color="auto"/>
              <w:bottom w:val="single" w:sz="4" w:space="0" w:color="auto"/>
              <w:right w:val="single" w:sz="4" w:space="0" w:color="auto"/>
            </w:tcBorders>
            <w:vAlign w:val="center"/>
          </w:tcPr>
          <w:p w14:paraId="70C12E32" w14:textId="77777777" w:rsidR="008123B3" w:rsidRPr="008C586A" w:rsidRDefault="008123B3" w:rsidP="00B00B82">
            <w:pPr>
              <w:jc w:val="center"/>
            </w:pPr>
            <w:r w:rsidRPr="008C586A">
              <w:t>Atzinuma sniedzēja uzturētais iebildums, ja tas atšķiras no atzinumā norādītā iebilduma pamatojuma</w:t>
            </w:r>
          </w:p>
        </w:tc>
        <w:tc>
          <w:tcPr>
            <w:tcW w:w="2160" w:type="dxa"/>
            <w:tcBorders>
              <w:top w:val="single" w:sz="4" w:space="0" w:color="auto"/>
              <w:left w:val="single" w:sz="4" w:space="0" w:color="auto"/>
              <w:bottom w:val="single" w:sz="4" w:space="0" w:color="auto"/>
            </w:tcBorders>
            <w:vAlign w:val="center"/>
          </w:tcPr>
          <w:p w14:paraId="3E163411" w14:textId="77777777" w:rsidR="008123B3" w:rsidRPr="008C586A" w:rsidRDefault="008123B3" w:rsidP="00B00B82">
            <w:pPr>
              <w:jc w:val="center"/>
            </w:pPr>
            <w:r w:rsidRPr="008C586A">
              <w:t>Projekta attiecīgā punkta (panta) galīgā redakcija</w:t>
            </w:r>
          </w:p>
        </w:tc>
      </w:tr>
      <w:tr w:rsidR="008123B3" w:rsidRPr="008C586A" w14:paraId="47479F16" w14:textId="77777777">
        <w:tc>
          <w:tcPr>
            <w:tcW w:w="708" w:type="dxa"/>
            <w:tcBorders>
              <w:top w:val="single" w:sz="6" w:space="0" w:color="000000"/>
              <w:left w:val="single" w:sz="6" w:space="0" w:color="000000"/>
              <w:bottom w:val="single" w:sz="6" w:space="0" w:color="000000"/>
              <w:right w:val="single" w:sz="6" w:space="0" w:color="000000"/>
            </w:tcBorders>
          </w:tcPr>
          <w:p w14:paraId="28F848FD" w14:textId="77777777" w:rsidR="008123B3" w:rsidRPr="008C586A" w:rsidRDefault="008123B3" w:rsidP="00E776D1">
            <w:pPr>
              <w:pStyle w:val="naisc"/>
              <w:spacing w:before="0" w:after="0"/>
            </w:pPr>
            <w:r w:rsidRPr="008C586A">
              <w:t>1</w:t>
            </w:r>
          </w:p>
        </w:tc>
        <w:tc>
          <w:tcPr>
            <w:tcW w:w="1812" w:type="dxa"/>
            <w:tcBorders>
              <w:top w:val="single" w:sz="6" w:space="0" w:color="000000"/>
              <w:left w:val="single" w:sz="6" w:space="0" w:color="000000"/>
              <w:bottom w:val="single" w:sz="6" w:space="0" w:color="000000"/>
              <w:right w:val="single" w:sz="6" w:space="0" w:color="000000"/>
            </w:tcBorders>
          </w:tcPr>
          <w:p w14:paraId="5814DAAA" w14:textId="77777777" w:rsidR="008123B3" w:rsidRPr="008C586A" w:rsidRDefault="008123B3" w:rsidP="00E776D1">
            <w:pPr>
              <w:pStyle w:val="naisc"/>
              <w:spacing w:before="0" w:after="0"/>
              <w:ind w:firstLine="720"/>
            </w:pPr>
            <w:r w:rsidRPr="008C586A">
              <w:t>2</w:t>
            </w:r>
          </w:p>
        </w:tc>
        <w:tc>
          <w:tcPr>
            <w:tcW w:w="5040" w:type="dxa"/>
            <w:tcBorders>
              <w:top w:val="single" w:sz="6" w:space="0" w:color="000000"/>
              <w:left w:val="single" w:sz="6" w:space="0" w:color="000000"/>
              <w:bottom w:val="single" w:sz="6" w:space="0" w:color="000000"/>
              <w:right w:val="single" w:sz="6" w:space="0" w:color="000000"/>
            </w:tcBorders>
          </w:tcPr>
          <w:p w14:paraId="331593E9" w14:textId="77777777" w:rsidR="008123B3" w:rsidRPr="008C586A" w:rsidRDefault="008123B3" w:rsidP="00E776D1">
            <w:pPr>
              <w:pStyle w:val="naisc"/>
              <w:spacing w:before="0" w:after="0"/>
              <w:ind w:firstLine="720"/>
            </w:pPr>
            <w:r w:rsidRPr="008C586A">
              <w:t>3</w:t>
            </w:r>
          </w:p>
        </w:tc>
        <w:tc>
          <w:tcPr>
            <w:tcW w:w="3012" w:type="dxa"/>
            <w:tcBorders>
              <w:top w:val="single" w:sz="6" w:space="0" w:color="000000"/>
              <w:left w:val="single" w:sz="6" w:space="0" w:color="000000"/>
              <w:bottom w:val="single" w:sz="6" w:space="0" w:color="000000"/>
              <w:right w:val="single" w:sz="6" w:space="0" w:color="000000"/>
            </w:tcBorders>
          </w:tcPr>
          <w:p w14:paraId="5DD8178D" w14:textId="77777777" w:rsidR="008123B3" w:rsidRPr="008C586A" w:rsidRDefault="008123B3" w:rsidP="00E776D1">
            <w:pPr>
              <w:pStyle w:val="naisc"/>
              <w:spacing w:before="0" w:after="0"/>
              <w:ind w:firstLine="720"/>
            </w:pPr>
            <w:r w:rsidRPr="008C586A">
              <w:t>4</w:t>
            </w:r>
          </w:p>
        </w:tc>
        <w:tc>
          <w:tcPr>
            <w:tcW w:w="1848" w:type="dxa"/>
            <w:tcBorders>
              <w:top w:val="single" w:sz="4" w:space="0" w:color="auto"/>
              <w:left w:val="single" w:sz="4" w:space="0" w:color="auto"/>
              <w:bottom w:val="single" w:sz="4" w:space="0" w:color="auto"/>
              <w:right w:val="single" w:sz="4" w:space="0" w:color="auto"/>
            </w:tcBorders>
          </w:tcPr>
          <w:p w14:paraId="460C681F" w14:textId="77777777" w:rsidR="008123B3" w:rsidRPr="008C586A" w:rsidRDefault="008123B3" w:rsidP="00E776D1">
            <w:pPr>
              <w:jc w:val="center"/>
            </w:pPr>
            <w:r w:rsidRPr="008C586A">
              <w:t>5</w:t>
            </w:r>
          </w:p>
        </w:tc>
        <w:tc>
          <w:tcPr>
            <w:tcW w:w="2160" w:type="dxa"/>
            <w:tcBorders>
              <w:top w:val="single" w:sz="4" w:space="0" w:color="auto"/>
              <w:left w:val="single" w:sz="4" w:space="0" w:color="auto"/>
              <w:bottom w:val="single" w:sz="4" w:space="0" w:color="auto"/>
            </w:tcBorders>
          </w:tcPr>
          <w:p w14:paraId="65033651" w14:textId="77777777" w:rsidR="008123B3" w:rsidRPr="008C586A" w:rsidRDefault="008123B3" w:rsidP="00E776D1">
            <w:pPr>
              <w:jc w:val="center"/>
            </w:pPr>
            <w:r w:rsidRPr="008C586A">
              <w:t>6</w:t>
            </w:r>
          </w:p>
        </w:tc>
      </w:tr>
      <w:tr w:rsidR="00F15720" w:rsidRPr="008C586A" w14:paraId="4E71C1B0" w14:textId="77777777">
        <w:tc>
          <w:tcPr>
            <w:tcW w:w="14580" w:type="dxa"/>
            <w:gridSpan w:val="6"/>
            <w:tcBorders>
              <w:left w:val="single" w:sz="6" w:space="0" w:color="000000"/>
              <w:bottom w:val="single" w:sz="4" w:space="0" w:color="auto"/>
              <w:right w:val="single" w:sz="4" w:space="0" w:color="auto"/>
            </w:tcBorders>
          </w:tcPr>
          <w:p w14:paraId="21AEEAC8" w14:textId="77777777" w:rsidR="00F15720" w:rsidRPr="008C586A" w:rsidRDefault="00F15720" w:rsidP="00B00B82">
            <w:pPr>
              <w:jc w:val="both"/>
              <w:rPr>
                <w:b/>
              </w:rPr>
            </w:pPr>
          </w:p>
        </w:tc>
      </w:tr>
      <w:tr w:rsidR="00B00B82" w:rsidRPr="008C586A" w14:paraId="3DCAC6DB" w14:textId="77777777" w:rsidTr="00EF3810">
        <w:trPr>
          <w:trHeight w:val="377"/>
        </w:trPr>
        <w:tc>
          <w:tcPr>
            <w:tcW w:w="708" w:type="dxa"/>
            <w:tcBorders>
              <w:left w:val="single" w:sz="6" w:space="0" w:color="000000"/>
              <w:bottom w:val="single" w:sz="4" w:space="0" w:color="auto"/>
              <w:right w:val="single" w:sz="6" w:space="0" w:color="000000"/>
            </w:tcBorders>
          </w:tcPr>
          <w:p w14:paraId="7D205E44" w14:textId="77777777" w:rsidR="00B00B82" w:rsidRPr="008C586A" w:rsidRDefault="00B00B82" w:rsidP="00E776D1">
            <w:pPr>
              <w:pStyle w:val="naisc"/>
              <w:spacing w:before="0" w:after="0"/>
              <w:jc w:val="both"/>
            </w:pPr>
            <w:r w:rsidRPr="008C586A">
              <w:t>1.</w:t>
            </w:r>
          </w:p>
        </w:tc>
        <w:tc>
          <w:tcPr>
            <w:tcW w:w="1812" w:type="dxa"/>
            <w:tcBorders>
              <w:left w:val="single" w:sz="6" w:space="0" w:color="000000"/>
              <w:bottom w:val="single" w:sz="4" w:space="0" w:color="auto"/>
              <w:right w:val="single" w:sz="6" w:space="0" w:color="000000"/>
            </w:tcBorders>
          </w:tcPr>
          <w:p w14:paraId="5DCD5508" w14:textId="77777777" w:rsidR="00B00B82" w:rsidRPr="008C586A" w:rsidRDefault="00B00B82" w:rsidP="007C753E">
            <w:pPr>
              <w:pStyle w:val="naisf"/>
              <w:spacing w:before="0" w:beforeAutospacing="0" w:after="0" w:afterAutospacing="0"/>
            </w:pPr>
          </w:p>
          <w:p w14:paraId="2943F756" w14:textId="77777777" w:rsidR="00B00B82" w:rsidRPr="008C586A" w:rsidRDefault="00B00B82" w:rsidP="007C753E">
            <w:pPr>
              <w:pStyle w:val="naisf"/>
              <w:spacing w:before="0" w:beforeAutospacing="0" w:after="0" w:afterAutospacing="0"/>
              <w:jc w:val="both"/>
            </w:pPr>
          </w:p>
        </w:tc>
        <w:tc>
          <w:tcPr>
            <w:tcW w:w="5040" w:type="dxa"/>
            <w:tcBorders>
              <w:left w:val="single" w:sz="6" w:space="0" w:color="000000"/>
              <w:bottom w:val="single" w:sz="4" w:space="0" w:color="auto"/>
              <w:right w:val="single" w:sz="6" w:space="0" w:color="000000"/>
            </w:tcBorders>
          </w:tcPr>
          <w:p w14:paraId="2F747982" w14:textId="77777777" w:rsidR="00B00B82" w:rsidRPr="008C586A" w:rsidRDefault="00B00B82" w:rsidP="007C753E">
            <w:pPr>
              <w:jc w:val="both"/>
              <w:rPr>
                <w:sz w:val="26"/>
                <w:szCs w:val="26"/>
              </w:rPr>
            </w:pPr>
          </w:p>
        </w:tc>
        <w:tc>
          <w:tcPr>
            <w:tcW w:w="3012" w:type="dxa"/>
            <w:tcBorders>
              <w:left w:val="single" w:sz="6" w:space="0" w:color="000000"/>
              <w:bottom w:val="single" w:sz="4" w:space="0" w:color="auto"/>
              <w:right w:val="single" w:sz="6" w:space="0" w:color="000000"/>
            </w:tcBorders>
          </w:tcPr>
          <w:p w14:paraId="22662CD8" w14:textId="77777777" w:rsidR="00B00B82" w:rsidRPr="008C586A" w:rsidRDefault="00B00B82" w:rsidP="007C753E">
            <w:pPr>
              <w:pStyle w:val="Pamatteksts"/>
              <w:spacing w:after="0"/>
              <w:jc w:val="both"/>
              <w:rPr>
                <w:lang w:val="lv-LV"/>
              </w:rPr>
            </w:pPr>
          </w:p>
        </w:tc>
        <w:tc>
          <w:tcPr>
            <w:tcW w:w="1848" w:type="dxa"/>
            <w:tcBorders>
              <w:top w:val="single" w:sz="4" w:space="0" w:color="auto"/>
              <w:left w:val="single" w:sz="4" w:space="0" w:color="auto"/>
              <w:bottom w:val="single" w:sz="4" w:space="0" w:color="auto"/>
              <w:right w:val="single" w:sz="4" w:space="0" w:color="auto"/>
            </w:tcBorders>
          </w:tcPr>
          <w:p w14:paraId="44D33249" w14:textId="77777777" w:rsidR="00B00B82" w:rsidRPr="008C586A" w:rsidRDefault="00B00B82" w:rsidP="007C753E">
            <w:pPr>
              <w:pStyle w:val="Pamatteksts"/>
              <w:tabs>
                <w:tab w:val="num" w:pos="0"/>
                <w:tab w:val="left" w:pos="286"/>
              </w:tabs>
              <w:spacing w:after="0"/>
              <w:jc w:val="both"/>
              <w:rPr>
                <w:lang w:val="lv-LV"/>
              </w:rPr>
            </w:pPr>
          </w:p>
        </w:tc>
        <w:tc>
          <w:tcPr>
            <w:tcW w:w="2160" w:type="dxa"/>
            <w:tcBorders>
              <w:top w:val="single" w:sz="4" w:space="0" w:color="auto"/>
              <w:left w:val="single" w:sz="4" w:space="0" w:color="auto"/>
              <w:bottom w:val="single" w:sz="4" w:space="0" w:color="auto"/>
              <w:right w:val="single" w:sz="4" w:space="0" w:color="auto"/>
            </w:tcBorders>
          </w:tcPr>
          <w:p w14:paraId="753CEFDC" w14:textId="77777777" w:rsidR="00B00B82" w:rsidRPr="008C586A" w:rsidRDefault="00B00B82" w:rsidP="00680220">
            <w:pPr>
              <w:jc w:val="both"/>
              <w:rPr>
                <w:lang w:eastAsia="en-US"/>
              </w:rPr>
            </w:pPr>
          </w:p>
        </w:tc>
      </w:tr>
    </w:tbl>
    <w:p w14:paraId="273B83D2" w14:textId="77777777" w:rsidR="008C586A" w:rsidRPr="008C586A" w:rsidRDefault="008C586A" w:rsidP="008123B3">
      <w:pPr>
        <w:pStyle w:val="naisf"/>
        <w:spacing w:before="0" w:beforeAutospacing="0" w:after="0" w:afterAutospacing="0"/>
        <w:rPr>
          <w:b/>
        </w:rPr>
      </w:pPr>
    </w:p>
    <w:p w14:paraId="313CD4F9" w14:textId="77777777" w:rsidR="008123B3" w:rsidRPr="008C586A" w:rsidRDefault="008123B3" w:rsidP="008123B3">
      <w:pPr>
        <w:pStyle w:val="naisf"/>
        <w:spacing w:before="0" w:beforeAutospacing="0" w:after="0" w:afterAutospacing="0"/>
        <w:rPr>
          <w:b/>
        </w:rPr>
      </w:pPr>
      <w:r w:rsidRPr="008C586A">
        <w:rPr>
          <w:b/>
        </w:rPr>
        <w:t>Informācija par starpministriju (starpinstitūciju) sanāksmi vai elektronisko saskaņošanu</w:t>
      </w:r>
    </w:p>
    <w:p w14:paraId="05C32B74" w14:textId="77777777" w:rsidR="008C586A" w:rsidRPr="008C586A" w:rsidRDefault="008C586A" w:rsidP="008123B3">
      <w:pPr>
        <w:pStyle w:val="naisf"/>
        <w:spacing w:before="0" w:beforeAutospacing="0" w:after="0" w:afterAutospacing="0"/>
        <w:rPr>
          <w:b/>
        </w:rPr>
      </w:pPr>
    </w:p>
    <w:tbl>
      <w:tblPr>
        <w:tblW w:w="14508" w:type="dxa"/>
        <w:tblLook w:val="00A0" w:firstRow="1" w:lastRow="0" w:firstColumn="1" w:lastColumn="0" w:noHBand="0" w:noVBand="0"/>
      </w:tblPr>
      <w:tblGrid>
        <w:gridCol w:w="3888"/>
        <w:gridCol w:w="1800"/>
        <w:gridCol w:w="1260"/>
        <w:gridCol w:w="840"/>
        <w:gridCol w:w="6720"/>
      </w:tblGrid>
      <w:tr w:rsidR="008123B3" w:rsidRPr="008C586A" w14:paraId="2A789B62" w14:textId="77777777">
        <w:tc>
          <w:tcPr>
            <w:tcW w:w="3888" w:type="dxa"/>
          </w:tcPr>
          <w:p w14:paraId="2B66B032" w14:textId="77777777" w:rsidR="008123B3" w:rsidRPr="008C586A" w:rsidRDefault="008123B3" w:rsidP="00E776D1">
            <w:pPr>
              <w:pStyle w:val="naisf"/>
              <w:spacing w:before="0" w:after="0"/>
            </w:pPr>
            <w:r w:rsidRPr="008C586A">
              <w:t>Datums</w:t>
            </w:r>
          </w:p>
        </w:tc>
        <w:tc>
          <w:tcPr>
            <w:tcW w:w="10620" w:type="dxa"/>
            <w:gridSpan w:val="4"/>
            <w:tcBorders>
              <w:bottom w:val="single" w:sz="4" w:space="0" w:color="auto"/>
            </w:tcBorders>
          </w:tcPr>
          <w:p w14:paraId="1D824AB4" w14:textId="03D4090A" w:rsidR="008123B3" w:rsidRPr="008C586A" w:rsidRDefault="003832C4" w:rsidP="0086631E">
            <w:pPr>
              <w:pStyle w:val="Paraststmeklis"/>
              <w:spacing w:before="0" w:after="0"/>
            </w:pPr>
            <w:r>
              <w:t>22</w:t>
            </w:r>
            <w:r w:rsidR="00534B18">
              <w:t>.0</w:t>
            </w:r>
            <w:r>
              <w:t>4</w:t>
            </w:r>
            <w:r w:rsidR="00534B18">
              <w:t>.2021.</w:t>
            </w:r>
          </w:p>
        </w:tc>
      </w:tr>
      <w:tr w:rsidR="008123B3" w:rsidRPr="008C586A" w14:paraId="29E7C7CD" w14:textId="77777777">
        <w:tc>
          <w:tcPr>
            <w:tcW w:w="3888" w:type="dxa"/>
          </w:tcPr>
          <w:p w14:paraId="6FEDB6B8" w14:textId="77777777" w:rsidR="008123B3" w:rsidRPr="008C586A" w:rsidRDefault="008123B3" w:rsidP="00E776D1">
            <w:pPr>
              <w:pStyle w:val="naiskr"/>
              <w:spacing w:before="0" w:after="0"/>
            </w:pPr>
            <w:r w:rsidRPr="008C586A">
              <w:t>Saskaņošanas dalībnieki</w:t>
            </w:r>
          </w:p>
        </w:tc>
        <w:tc>
          <w:tcPr>
            <w:tcW w:w="10620" w:type="dxa"/>
            <w:gridSpan w:val="4"/>
          </w:tcPr>
          <w:p w14:paraId="0D87B2EC" w14:textId="5B1CB2EE" w:rsidR="008123B3" w:rsidRPr="008C586A" w:rsidRDefault="00BB0CC5" w:rsidP="00102E7B">
            <w:pPr>
              <w:pStyle w:val="Paraststmeklis"/>
            </w:pPr>
            <w:r w:rsidRPr="00BB0CC5">
              <w:t>Tieslietu ministrija, Finanšu ministrija</w:t>
            </w:r>
            <w:r w:rsidR="00FA10C7">
              <w:t>,</w:t>
            </w:r>
            <w:r w:rsidRPr="00BB0CC5">
              <w:t xml:space="preserve"> </w:t>
            </w:r>
            <w:r w:rsidR="003832C4">
              <w:t>Ekonomikas</w:t>
            </w:r>
            <w:r w:rsidRPr="00BB0CC5">
              <w:t xml:space="preserve"> ministrija </w:t>
            </w:r>
            <w:r w:rsidR="00FA10C7" w:rsidRPr="00BB0CC5">
              <w:t>un</w:t>
            </w:r>
            <w:r w:rsidR="00FA10C7">
              <w:t xml:space="preserve"> </w:t>
            </w:r>
            <w:r w:rsidR="003832C4" w:rsidRPr="003832C4">
              <w:t>Vides aizsardzības un reģionālās attīstības ministrija</w:t>
            </w:r>
          </w:p>
        </w:tc>
      </w:tr>
      <w:tr w:rsidR="008123B3" w:rsidRPr="008C586A" w14:paraId="7E2435C6" w14:textId="77777777">
        <w:trPr>
          <w:trHeight w:val="285"/>
        </w:trPr>
        <w:tc>
          <w:tcPr>
            <w:tcW w:w="6948" w:type="dxa"/>
            <w:gridSpan w:val="3"/>
          </w:tcPr>
          <w:p w14:paraId="3BE8C290" w14:textId="77777777" w:rsidR="008123B3" w:rsidRPr="008C586A" w:rsidRDefault="008123B3" w:rsidP="00652253">
            <w:pPr>
              <w:pStyle w:val="naiskr"/>
              <w:spacing w:before="0" w:after="0"/>
              <w:ind w:right="72"/>
            </w:pPr>
            <w:r w:rsidRPr="008C586A">
              <w:t xml:space="preserve">Saskaņošanas dalībnieki izskatīja šādu ministriju (citu institūciju) </w:t>
            </w:r>
          </w:p>
        </w:tc>
        <w:tc>
          <w:tcPr>
            <w:tcW w:w="840" w:type="dxa"/>
          </w:tcPr>
          <w:p w14:paraId="6B7CE5E7" w14:textId="77777777" w:rsidR="008123B3" w:rsidRPr="008C586A" w:rsidRDefault="008123B3" w:rsidP="00E776D1">
            <w:pPr>
              <w:pStyle w:val="naiskr"/>
              <w:spacing w:before="0" w:after="0"/>
              <w:ind w:firstLine="720"/>
              <w:rPr>
                <w:color w:val="FF0000"/>
              </w:rPr>
            </w:pPr>
          </w:p>
        </w:tc>
        <w:tc>
          <w:tcPr>
            <w:tcW w:w="6720" w:type="dxa"/>
          </w:tcPr>
          <w:p w14:paraId="318CB5B9" w14:textId="77777777" w:rsidR="008123B3" w:rsidRPr="008C586A" w:rsidRDefault="00BB0CC5" w:rsidP="00102E7B">
            <w:pPr>
              <w:pStyle w:val="naiskr"/>
              <w:spacing w:before="0" w:after="0"/>
              <w:ind w:firstLine="12"/>
              <w:rPr>
                <w:b/>
              </w:rPr>
            </w:pPr>
            <w:r w:rsidRPr="00BB0CC5">
              <w:rPr>
                <w:b/>
              </w:rPr>
              <w:t>Tieslietu ministrija</w:t>
            </w:r>
            <w:r>
              <w:rPr>
                <w:b/>
              </w:rPr>
              <w:t>s</w:t>
            </w:r>
            <w:r w:rsidR="00FA10C7" w:rsidRPr="00BB0CC5">
              <w:rPr>
                <w:b/>
              </w:rPr>
              <w:t xml:space="preserve"> </w:t>
            </w:r>
            <w:r w:rsidR="00652253" w:rsidRPr="00652253">
              <w:rPr>
                <w:b/>
              </w:rPr>
              <w:t>iebildumus</w:t>
            </w:r>
          </w:p>
        </w:tc>
      </w:tr>
      <w:tr w:rsidR="008A7FEA" w:rsidRPr="008C586A" w14:paraId="44159E51" w14:textId="77777777">
        <w:tc>
          <w:tcPr>
            <w:tcW w:w="6948" w:type="dxa"/>
            <w:gridSpan w:val="3"/>
          </w:tcPr>
          <w:p w14:paraId="4E2FD647" w14:textId="77777777" w:rsidR="008A7FEA" w:rsidRDefault="008A7FEA" w:rsidP="00DD2B03">
            <w:pPr>
              <w:jc w:val="both"/>
            </w:pPr>
          </w:p>
          <w:p w14:paraId="1C3C4A9F" w14:textId="77777777" w:rsidR="00771DAC" w:rsidRDefault="00771DAC" w:rsidP="00DD2B03">
            <w:pPr>
              <w:jc w:val="both"/>
            </w:pPr>
          </w:p>
          <w:p w14:paraId="50076DA8" w14:textId="77777777" w:rsidR="00771DAC" w:rsidRPr="008C586A" w:rsidRDefault="00771DAC" w:rsidP="00DD2B03">
            <w:pPr>
              <w:jc w:val="both"/>
            </w:pPr>
          </w:p>
        </w:tc>
        <w:tc>
          <w:tcPr>
            <w:tcW w:w="7560" w:type="dxa"/>
            <w:gridSpan w:val="2"/>
          </w:tcPr>
          <w:p w14:paraId="4806B334" w14:textId="77777777" w:rsidR="008A7FEA" w:rsidRPr="008C586A" w:rsidRDefault="008A7FEA" w:rsidP="008A7FEA">
            <w:pPr>
              <w:pStyle w:val="naiskr"/>
              <w:spacing w:before="0" w:beforeAutospacing="0" w:after="0" w:afterAutospacing="0"/>
            </w:pPr>
          </w:p>
        </w:tc>
      </w:tr>
      <w:tr w:rsidR="008123B3" w:rsidRPr="008C586A" w14:paraId="198899F6" w14:textId="77777777">
        <w:tc>
          <w:tcPr>
            <w:tcW w:w="5688" w:type="dxa"/>
            <w:gridSpan w:val="2"/>
          </w:tcPr>
          <w:p w14:paraId="0C676DC2" w14:textId="77777777" w:rsidR="008123B3" w:rsidRPr="008C586A" w:rsidRDefault="008123B3" w:rsidP="00E776D1">
            <w:pPr>
              <w:pStyle w:val="naiskr"/>
              <w:spacing w:before="0" w:after="0"/>
            </w:pPr>
            <w:r w:rsidRPr="008C586A">
              <w:t>Ministrijas (citas institūcijas), kuras nav ieradušās uz sanāksmi vai kuras nav atbildējušas uz uzaicinājumu piedalīties elektroniskajā saskaņošanā</w:t>
            </w:r>
          </w:p>
        </w:tc>
        <w:tc>
          <w:tcPr>
            <w:tcW w:w="8820" w:type="dxa"/>
            <w:gridSpan w:val="3"/>
          </w:tcPr>
          <w:p w14:paraId="76EA6744" w14:textId="77777777" w:rsidR="008123B3" w:rsidRPr="008C586A" w:rsidRDefault="00E5737D" w:rsidP="00E5737D">
            <w:pPr>
              <w:pStyle w:val="naiskr"/>
              <w:spacing w:before="0" w:after="0"/>
            </w:pPr>
            <w:r w:rsidRPr="008C586A">
              <w:t>nav</w:t>
            </w:r>
          </w:p>
        </w:tc>
      </w:tr>
    </w:tbl>
    <w:p w14:paraId="28872864" w14:textId="77777777" w:rsidR="00745729" w:rsidRPr="008C586A" w:rsidRDefault="00745729" w:rsidP="00771DAC">
      <w:pPr>
        <w:pStyle w:val="naisf"/>
        <w:spacing w:before="0" w:after="0"/>
        <w:rPr>
          <w:b/>
        </w:rPr>
      </w:pPr>
    </w:p>
    <w:p w14:paraId="64255CBE" w14:textId="77777777" w:rsidR="008123B3" w:rsidRPr="008C586A" w:rsidRDefault="008123B3" w:rsidP="00E5737D">
      <w:pPr>
        <w:pStyle w:val="naisf"/>
        <w:spacing w:before="0" w:after="0"/>
        <w:jc w:val="center"/>
        <w:rPr>
          <w:b/>
        </w:rPr>
      </w:pPr>
      <w:r w:rsidRPr="008C586A">
        <w:rPr>
          <w:b/>
        </w:rPr>
        <w:t>II. Jautājumi, par kuriem saskaņošanā vienošanās ir panākta</w:t>
      </w:r>
    </w:p>
    <w:tbl>
      <w:tblPr>
        <w:tblW w:w="14760" w:type="dxa"/>
        <w:tblInd w:w="-25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99"/>
        <w:gridCol w:w="2033"/>
        <w:gridCol w:w="1148"/>
        <w:gridCol w:w="4500"/>
        <w:gridCol w:w="329"/>
        <w:gridCol w:w="2787"/>
        <w:gridCol w:w="3364"/>
      </w:tblGrid>
      <w:tr w:rsidR="00D75D2B" w:rsidRPr="008C586A" w14:paraId="4C0F5166" w14:textId="77777777" w:rsidTr="00774DF5">
        <w:tc>
          <w:tcPr>
            <w:tcW w:w="599" w:type="dxa"/>
            <w:tcBorders>
              <w:top w:val="single" w:sz="6" w:space="0" w:color="000000"/>
              <w:left w:val="single" w:sz="6" w:space="0" w:color="000000"/>
              <w:bottom w:val="single" w:sz="6" w:space="0" w:color="000000"/>
              <w:right w:val="single" w:sz="6" w:space="0" w:color="000000"/>
            </w:tcBorders>
            <w:vAlign w:val="center"/>
          </w:tcPr>
          <w:p w14:paraId="0863CBC1" w14:textId="77777777" w:rsidR="00D75D2B" w:rsidRPr="008C586A" w:rsidRDefault="00D75D2B" w:rsidP="00AE206B">
            <w:pPr>
              <w:pStyle w:val="naisc"/>
              <w:spacing w:before="0" w:after="0"/>
              <w:jc w:val="center"/>
            </w:pPr>
            <w:r w:rsidRPr="008C586A">
              <w:t>Nr. p.k.</w:t>
            </w:r>
          </w:p>
        </w:tc>
        <w:tc>
          <w:tcPr>
            <w:tcW w:w="3181" w:type="dxa"/>
            <w:gridSpan w:val="2"/>
            <w:tcBorders>
              <w:top w:val="single" w:sz="6" w:space="0" w:color="000000"/>
              <w:left w:val="single" w:sz="6" w:space="0" w:color="000000"/>
              <w:bottom w:val="single" w:sz="6" w:space="0" w:color="000000"/>
              <w:right w:val="single" w:sz="6" w:space="0" w:color="000000"/>
            </w:tcBorders>
            <w:vAlign w:val="center"/>
          </w:tcPr>
          <w:p w14:paraId="778C5FB6" w14:textId="77777777" w:rsidR="00D75D2B" w:rsidRPr="008C586A" w:rsidRDefault="00D75D2B" w:rsidP="00AE206B">
            <w:pPr>
              <w:pStyle w:val="naisc"/>
              <w:spacing w:before="0" w:after="0"/>
              <w:ind w:firstLine="12"/>
              <w:jc w:val="center"/>
            </w:pPr>
            <w:r w:rsidRPr="008C586A">
              <w:t>Saskaņošanai nosūtītā projekta redakcija (konkrēta punkta (panta) redakcija)</w:t>
            </w:r>
          </w:p>
        </w:tc>
        <w:tc>
          <w:tcPr>
            <w:tcW w:w="4500" w:type="dxa"/>
            <w:tcBorders>
              <w:top w:val="single" w:sz="6" w:space="0" w:color="000000"/>
              <w:left w:val="single" w:sz="6" w:space="0" w:color="000000"/>
              <w:bottom w:val="single" w:sz="6" w:space="0" w:color="000000"/>
              <w:right w:val="single" w:sz="6" w:space="0" w:color="000000"/>
            </w:tcBorders>
            <w:vAlign w:val="center"/>
          </w:tcPr>
          <w:p w14:paraId="5F40B696" w14:textId="77777777" w:rsidR="00D75D2B" w:rsidRPr="008C586A" w:rsidRDefault="00D75D2B" w:rsidP="00AE206B">
            <w:pPr>
              <w:pStyle w:val="naisc"/>
              <w:spacing w:before="0" w:after="0"/>
              <w:ind w:right="3"/>
              <w:jc w:val="center"/>
            </w:pPr>
            <w:r w:rsidRPr="008C586A">
              <w:t>Atzinumā norādītais ministrijas (citas institūcijas) iebildums, kā arī saskaņošanā papildus izteiktais iebildums par projekta konkrēto punktu (pantu)</w:t>
            </w:r>
          </w:p>
        </w:tc>
        <w:tc>
          <w:tcPr>
            <w:tcW w:w="3116" w:type="dxa"/>
            <w:gridSpan w:val="2"/>
            <w:tcBorders>
              <w:top w:val="single" w:sz="6" w:space="0" w:color="000000"/>
              <w:left w:val="single" w:sz="6" w:space="0" w:color="000000"/>
              <w:bottom w:val="single" w:sz="6" w:space="0" w:color="000000"/>
              <w:right w:val="single" w:sz="6" w:space="0" w:color="000000"/>
            </w:tcBorders>
            <w:vAlign w:val="center"/>
          </w:tcPr>
          <w:p w14:paraId="50A980DE" w14:textId="77777777" w:rsidR="00D75D2B" w:rsidRPr="008C586A" w:rsidRDefault="00D75D2B" w:rsidP="00AE206B">
            <w:pPr>
              <w:pStyle w:val="naisc"/>
              <w:spacing w:before="0" w:after="0"/>
              <w:ind w:firstLine="21"/>
              <w:jc w:val="center"/>
            </w:pPr>
            <w:r w:rsidRPr="008C586A">
              <w:t>Atbildīgās ministrijas norāde par to, ka iebildums ir ņemts vērā, vai informācija par saskaņošanā panākto alternatīvo risinājumu</w:t>
            </w:r>
          </w:p>
        </w:tc>
        <w:tc>
          <w:tcPr>
            <w:tcW w:w="3364" w:type="dxa"/>
            <w:tcBorders>
              <w:top w:val="single" w:sz="4" w:space="0" w:color="auto"/>
              <w:left w:val="single" w:sz="4" w:space="0" w:color="auto"/>
              <w:bottom w:val="single" w:sz="4" w:space="0" w:color="auto"/>
            </w:tcBorders>
            <w:vAlign w:val="center"/>
          </w:tcPr>
          <w:p w14:paraId="11C19F77" w14:textId="77777777" w:rsidR="00D75D2B" w:rsidRPr="008C586A" w:rsidRDefault="00D75D2B" w:rsidP="00AE206B">
            <w:pPr>
              <w:jc w:val="center"/>
            </w:pPr>
            <w:r w:rsidRPr="008C586A">
              <w:t>Projekta attiecīgā punkta (panta) galīgā redakcija</w:t>
            </w:r>
          </w:p>
        </w:tc>
      </w:tr>
      <w:tr w:rsidR="00D75D2B" w:rsidRPr="008C586A" w14:paraId="60778518" w14:textId="77777777" w:rsidTr="00774DF5">
        <w:tc>
          <w:tcPr>
            <w:tcW w:w="599" w:type="dxa"/>
            <w:tcBorders>
              <w:top w:val="single" w:sz="6" w:space="0" w:color="000000"/>
              <w:left w:val="single" w:sz="6" w:space="0" w:color="000000"/>
              <w:bottom w:val="single" w:sz="6" w:space="0" w:color="000000"/>
              <w:right w:val="single" w:sz="6" w:space="0" w:color="000000"/>
            </w:tcBorders>
          </w:tcPr>
          <w:p w14:paraId="02B2A69A" w14:textId="77777777" w:rsidR="00D75D2B" w:rsidRPr="008C586A" w:rsidRDefault="00D75D2B" w:rsidP="00AE206B">
            <w:pPr>
              <w:pStyle w:val="naisc"/>
              <w:spacing w:before="0" w:after="0"/>
            </w:pPr>
            <w:r w:rsidRPr="008C586A">
              <w:t>1</w:t>
            </w:r>
          </w:p>
        </w:tc>
        <w:tc>
          <w:tcPr>
            <w:tcW w:w="3181" w:type="dxa"/>
            <w:gridSpan w:val="2"/>
            <w:tcBorders>
              <w:top w:val="single" w:sz="6" w:space="0" w:color="000000"/>
              <w:left w:val="single" w:sz="6" w:space="0" w:color="000000"/>
              <w:bottom w:val="single" w:sz="6" w:space="0" w:color="000000"/>
              <w:right w:val="single" w:sz="6" w:space="0" w:color="000000"/>
            </w:tcBorders>
          </w:tcPr>
          <w:p w14:paraId="1AAE0EAE" w14:textId="77777777" w:rsidR="00D75D2B" w:rsidRPr="008C586A" w:rsidRDefault="00D75D2B" w:rsidP="00AE206B">
            <w:pPr>
              <w:pStyle w:val="naisc"/>
              <w:spacing w:before="0" w:after="0"/>
              <w:ind w:firstLine="720"/>
            </w:pPr>
            <w:r w:rsidRPr="008C586A">
              <w:t>2</w:t>
            </w:r>
          </w:p>
        </w:tc>
        <w:tc>
          <w:tcPr>
            <w:tcW w:w="4500" w:type="dxa"/>
            <w:tcBorders>
              <w:top w:val="single" w:sz="6" w:space="0" w:color="000000"/>
              <w:left w:val="single" w:sz="6" w:space="0" w:color="000000"/>
              <w:bottom w:val="single" w:sz="6" w:space="0" w:color="000000"/>
              <w:right w:val="single" w:sz="6" w:space="0" w:color="000000"/>
            </w:tcBorders>
          </w:tcPr>
          <w:p w14:paraId="2275ED8D" w14:textId="77777777" w:rsidR="00D75D2B" w:rsidRPr="008C586A" w:rsidRDefault="00D75D2B" w:rsidP="00AE206B">
            <w:pPr>
              <w:pStyle w:val="naisc"/>
              <w:spacing w:before="0" w:after="0"/>
              <w:ind w:firstLine="720"/>
            </w:pPr>
            <w:r w:rsidRPr="008C586A">
              <w:t>3</w:t>
            </w:r>
          </w:p>
        </w:tc>
        <w:tc>
          <w:tcPr>
            <w:tcW w:w="3116" w:type="dxa"/>
            <w:gridSpan w:val="2"/>
            <w:tcBorders>
              <w:top w:val="single" w:sz="6" w:space="0" w:color="000000"/>
              <w:left w:val="single" w:sz="6" w:space="0" w:color="000000"/>
              <w:bottom w:val="single" w:sz="6" w:space="0" w:color="000000"/>
              <w:right w:val="single" w:sz="6" w:space="0" w:color="000000"/>
            </w:tcBorders>
          </w:tcPr>
          <w:p w14:paraId="2126F784" w14:textId="77777777" w:rsidR="00D75D2B" w:rsidRPr="008C586A" w:rsidRDefault="00D75D2B" w:rsidP="00AE206B">
            <w:pPr>
              <w:pStyle w:val="naisc"/>
              <w:spacing w:before="0" w:after="0"/>
              <w:ind w:firstLine="720"/>
            </w:pPr>
            <w:r w:rsidRPr="008C586A">
              <w:t>4</w:t>
            </w:r>
          </w:p>
        </w:tc>
        <w:tc>
          <w:tcPr>
            <w:tcW w:w="3364" w:type="dxa"/>
            <w:tcBorders>
              <w:top w:val="single" w:sz="4" w:space="0" w:color="auto"/>
              <w:left w:val="single" w:sz="4" w:space="0" w:color="auto"/>
              <w:bottom w:val="single" w:sz="4" w:space="0" w:color="auto"/>
            </w:tcBorders>
          </w:tcPr>
          <w:p w14:paraId="6EF24CC1" w14:textId="77777777" w:rsidR="00D75D2B" w:rsidRPr="008C586A" w:rsidRDefault="00D75D2B" w:rsidP="00AE206B">
            <w:pPr>
              <w:jc w:val="center"/>
            </w:pPr>
            <w:r w:rsidRPr="008C586A">
              <w:t>5</w:t>
            </w:r>
          </w:p>
        </w:tc>
      </w:tr>
      <w:tr w:rsidR="00D75D2B" w:rsidRPr="008C586A" w14:paraId="16ED982D" w14:textId="77777777" w:rsidTr="00774DF5">
        <w:tblPrEx>
          <w:tblLook w:val="0000" w:firstRow="0" w:lastRow="0" w:firstColumn="0" w:lastColumn="0" w:noHBand="0" w:noVBand="0"/>
        </w:tblPrEx>
        <w:tc>
          <w:tcPr>
            <w:tcW w:w="14760" w:type="dxa"/>
            <w:gridSpan w:val="7"/>
            <w:tcBorders>
              <w:top w:val="single" w:sz="6" w:space="0" w:color="000000"/>
              <w:left w:val="single" w:sz="6" w:space="0" w:color="000000"/>
              <w:bottom w:val="single" w:sz="6" w:space="0" w:color="000000"/>
              <w:right w:val="single" w:sz="6" w:space="0" w:color="000000"/>
            </w:tcBorders>
          </w:tcPr>
          <w:p w14:paraId="6439C2A8" w14:textId="43417557" w:rsidR="00D75D2B" w:rsidRPr="008C586A" w:rsidRDefault="0001264C" w:rsidP="005D2ED9">
            <w:pPr>
              <w:pStyle w:val="Pamatteksts"/>
              <w:spacing w:after="0"/>
              <w:jc w:val="center"/>
              <w:rPr>
                <w:lang w:val="lv-LV"/>
              </w:rPr>
            </w:pPr>
            <w:r>
              <w:rPr>
                <w:b/>
                <w:iCs/>
                <w:lang w:val="lv-LV"/>
              </w:rPr>
              <w:t>Tieslietu</w:t>
            </w:r>
            <w:r w:rsidR="00D75D2B" w:rsidRPr="008C586A">
              <w:rPr>
                <w:b/>
                <w:iCs/>
                <w:lang w:val="lv-LV"/>
              </w:rPr>
              <w:t xml:space="preserve"> ministrijas </w:t>
            </w:r>
            <w:r w:rsidR="0066733C">
              <w:rPr>
                <w:b/>
                <w:iCs/>
                <w:lang w:val="lv-LV"/>
              </w:rPr>
              <w:t>2</w:t>
            </w:r>
            <w:r w:rsidR="003832C4">
              <w:rPr>
                <w:b/>
                <w:iCs/>
                <w:lang w:val="lv-LV"/>
              </w:rPr>
              <w:t>0</w:t>
            </w:r>
            <w:r w:rsidR="0066733C">
              <w:rPr>
                <w:b/>
                <w:iCs/>
                <w:lang w:val="lv-LV"/>
              </w:rPr>
              <w:t>.0</w:t>
            </w:r>
            <w:r w:rsidR="003832C4">
              <w:rPr>
                <w:b/>
                <w:iCs/>
                <w:lang w:val="lv-LV"/>
              </w:rPr>
              <w:t>4</w:t>
            </w:r>
            <w:r w:rsidR="0066733C">
              <w:rPr>
                <w:b/>
                <w:iCs/>
                <w:lang w:val="lv-LV"/>
              </w:rPr>
              <w:t>.202</w:t>
            </w:r>
            <w:r w:rsidR="003832C4">
              <w:rPr>
                <w:b/>
                <w:iCs/>
                <w:lang w:val="lv-LV"/>
              </w:rPr>
              <w:t>1</w:t>
            </w:r>
            <w:r w:rsidR="0066733C">
              <w:rPr>
                <w:b/>
                <w:iCs/>
                <w:lang w:val="lv-LV"/>
              </w:rPr>
              <w:t xml:space="preserve">. </w:t>
            </w:r>
            <w:r w:rsidR="00D75D2B" w:rsidRPr="008C586A">
              <w:rPr>
                <w:b/>
                <w:iCs/>
                <w:lang w:val="lv-LV"/>
              </w:rPr>
              <w:t>iebildum</w:t>
            </w:r>
            <w:r w:rsidR="002838E8">
              <w:rPr>
                <w:b/>
                <w:iCs/>
                <w:lang w:val="lv-LV"/>
              </w:rPr>
              <w:t>i</w:t>
            </w:r>
          </w:p>
        </w:tc>
      </w:tr>
      <w:tr w:rsidR="00BD09E0" w:rsidRPr="008C586A" w14:paraId="602E1C14" w14:textId="77777777" w:rsidTr="00774DF5">
        <w:tblPrEx>
          <w:tblLook w:val="0000" w:firstRow="0" w:lastRow="0" w:firstColumn="0" w:lastColumn="0" w:noHBand="0" w:noVBand="0"/>
        </w:tblPrEx>
        <w:tc>
          <w:tcPr>
            <w:tcW w:w="599" w:type="dxa"/>
            <w:tcBorders>
              <w:top w:val="single" w:sz="6" w:space="0" w:color="000000"/>
              <w:left w:val="single" w:sz="6" w:space="0" w:color="000000"/>
              <w:bottom w:val="single" w:sz="6" w:space="0" w:color="000000"/>
              <w:right w:val="single" w:sz="6" w:space="0" w:color="000000"/>
            </w:tcBorders>
          </w:tcPr>
          <w:p w14:paraId="33F3B477" w14:textId="77777777" w:rsidR="00BD09E0" w:rsidRPr="008C586A" w:rsidRDefault="00BD09E0" w:rsidP="00BD09E0">
            <w:pPr>
              <w:pStyle w:val="naisc"/>
              <w:spacing w:before="0" w:after="0"/>
            </w:pPr>
            <w:r>
              <w:t>1.</w:t>
            </w:r>
          </w:p>
        </w:tc>
        <w:tc>
          <w:tcPr>
            <w:tcW w:w="3181" w:type="dxa"/>
            <w:gridSpan w:val="2"/>
            <w:tcBorders>
              <w:top w:val="single" w:sz="6" w:space="0" w:color="000000"/>
              <w:left w:val="single" w:sz="6" w:space="0" w:color="000000"/>
              <w:bottom w:val="single" w:sz="6" w:space="0" w:color="000000"/>
              <w:right w:val="single" w:sz="6" w:space="0" w:color="000000"/>
            </w:tcBorders>
          </w:tcPr>
          <w:p w14:paraId="04FB5C70" w14:textId="77777777" w:rsidR="00BD09E0" w:rsidRPr="00BD09E0" w:rsidRDefault="00BD09E0" w:rsidP="00BD09E0">
            <w:pPr>
              <w:jc w:val="both"/>
              <w:rPr>
                <w:rFonts w:eastAsia="Calibri"/>
                <w:lang w:eastAsia="en-US"/>
              </w:rPr>
            </w:pPr>
            <w:r w:rsidRPr="00BD09E0">
              <w:rPr>
                <w:rFonts w:eastAsia="Calibri"/>
                <w:lang w:eastAsia="en-US"/>
              </w:rPr>
              <w:t>3. Papildināt V nodaļu ar 28.</w:t>
            </w:r>
            <w:r w:rsidRPr="00BD09E0">
              <w:rPr>
                <w:rFonts w:eastAsia="Calibri"/>
                <w:vertAlign w:val="superscript"/>
                <w:lang w:eastAsia="en-US"/>
              </w:rPr>
              <w:t>1</w:t>
            </w:r>
            <w:r w:rsidRPr="00BD09E0">
              <w:rPr>
                <w:rFonts w:eastAsia="Calibri"/>
                <w:lang w:eastAsia="en-US"/>
              </w:rPr>
              <w:t> punktu šādā redakcijā:</w:t>
            </w:r>
          </w:p>
          <w:p w14:paraId="3A15DE93" w14:textId="77777777" w:rsidR="00BD09E0" w:rsidRPr="00BD09E0" w:rsidRDefault="00BD09E0" w:rsidP="00BD09E0">
            <w:pPr>
              <w:jc w:val="both"/>
              <w:rPr>
                <w:rFonts w:eastAsia="Calibri"/>
                <w:lang w:eastAsia="en-US"/>
              </w:rPr>
            </w:pPr>
            <w:r w:rsidRPr="00BD09E0">
              <w:rPr>
                <w:lang w:eastAsia="en-US"/>
              </w:rPr>
              <w:t>"</w:t>
            </w:r>
            <w:r w:rsidRPr="00BD09E0">
              <w:rPr>
                <w:rFonts w:eastAsia="Calibri"/>
                <w:lang w:eastAsia="en-US"/>
              </w:rPr>
              <w:t>28.</w:t>
            </w:r>
            <w:r w:rsidRPr="00BD09E0">
              <w:rPr>
                <w:rFonts w:eastAsia="Calibri"/>
                <w:vertAlign w:val="superscript"/>
                <w:lang w:eastAsia="en-US"/>
              </w:rPr>
              <w:t>1</w:t>
            </w:r>
            <w:r w:rsidRPr="00BD09E0">
              <w:rPr>
                <w:rFonts w:eastAsia="Calibri"/>
                <w:lang w:eastAsia="en-US"/>
              </w:rPr>
              <w:t xml:space="preserve"> </w:t>
            </w:r>
            <w:bookmarkStart w:id="0" w:name="_Hlk55830225"/>
            <w:r w:rsidRPr="00BD09E0">
              <w:rPr>
                <w:rFonts w:eastAsia="Calibri"/>
                <w:lang w:eastAsia="en-US"/>
              </w:rPr>
              <w:t xml:space="preserve">Lai novērstu risku cilvēku un dzīvnieku veselībai, kā arī apkārtējai videi, attiecīgās sugas un vecuma dzīvnieka (liellopa, aitas un kazas) līķim galvas smadzeņu paraugu laboratoriskai izmeklēšanai uz transmisīvo sūkļveida encefalopātijas (TSE) </w:t>
            </w:r>
            <w:proofErr w:type="spellStart"/>
            <w:r w:rsidRPr="00BD09E0">
              <w:rPr>
                <w:rFonts w:eastAsia="Calibri"/>
                <w:lang w:eastAsia="en-US"/>
              </w:rPr>
              <w:t>priona</w:t>
            </w:r>
            <w:proofErr w:type="spellEnd"/>
            <w:r w:rsidRPr="00BD09E0">
              <w:rPr>
                <w:rFonts w:eastAsia="Calibri"/>
                <w:lang w:eastAsia="en-US"/>
              </w:rPr>
              <w:t xml:space="preserve"> proteīnu ņem:</w:t>
            </w:r>
          </w:p>
          <w:p w14:paraId="7408757B" w14:textId="77777777" w:rsidR="00BD09E0" w:rsidRPr="00BD09E0" w:rsidRDefault="00BD09E0" w:rsidP="00BD09E0">
            <w:pPr>
              <w:jc w:val="both"/>
              <w:rPr>
                <w:rFonts w:eastAsia="Calibri"/>
                <w:lang w:eastAsia="en-US"/>
              </w:rPr>
            </w:pPr>
            <w:r w:rsidRPr="00BD09E0">
              <w:rPr>
                <w:rFonts w:eastAsia="Calibri"/>
                <w:lang w:eastAsia="en-US"/>
              </w:rPr>
              <w:t>28.</w:t>
            </w:r>
            <w:r w:rsidRPr="00BD09E0">
              <w:rPr>
                <w:rFonts w:eastAsia="Calibri"/>
                <w:vertAlign w:val="superscript"/>
                <w:lang w:eastAsia="en-US"/>
              </w:rPr>
              <w:t>1</w:t>
            </w:r>
            <w:r w:rsidRPr="00BD09E0">
              <w:rPr>
                <w:rFonts w:eastAsia="Calibri"/>
                <w:lang w:eastAsia="en-US"/>
              </w:rPr>
              <w:t xml:space="preserve">1. uzņēmumā, kas ir atzīts atbilstoši normatīvajiem aktiem par kārtību, kādā atzīst </w:t>
            </w:r>
            <w:r w:rsidRPr="00BD09E0">
              <w:rPr>
                <w:rFonts w:eastAsia="Calibri"/>
                <w:lang w:eastAsia="en-US"/>
              </w:rPr>
              <w:lastRenderedPageBreak/>
              <w:t>uzņēmumus un iekārtas un reģistrē personas, kuras iesaistītas tādu blakusproduktu un atvasinātu produktu apritē, kas nav paredzēti cilvēku patēriņam;</w:t>
            </w:r>
          </w:p>
          <w:p w14:paraId="275F02F6" w14:textId="0667CB5A" w:rsidR="00BD09E0" w:rsidRPr="00BD09E0" w:rsidRDefault="00BD09E0" w:rsidP="00BD09E0">
            <w:pPr>
              <w:jc w:val="both"/>
              <w:rPr>
                <w:bCs/>
              </w:rPr>
            </w:pPr>
            <w:r w:rsidRPr="00BD09E0">
              <w:rPr>
                <w:rFonts w:eastAsia="Calibri"/>
                <w:lang w:eastAsia="en-US"/>
              </w:rPr>
              <w:t>28.</w:t>
            </w:r>
            <w:r w:rsidRPr="00BD09E0">
              <w:rPr>
                <w:rFonts w:eastAsia="Calibri"/>
                <w:vertAlign w:val="superscript"/>
                <w:lang w:eastAsia="en-US"/>
              </w:rPr>
              <w:t>1</w:t>
            </w:r>
            <w:r w:rsidRPr="00BD09E0">
              <w:rPr>
                <w:rFonts w:eastAsia="Calibri"/>
                <w:lang w:eastAsia="en-US"/>
              </w:rPr>
              <w:t>2. dienesta pilnvarots praktizējošs veterinārārsts.</w:t>
            </w:r>
            <w:r w:rsidRPr="00BD09E0">
              <w:rPr>
                <w:lang w:eastAsia="en-US"/>
              </w:rPr>
              <w:t>"</w:t>
            </w:r>
            <w:bookmarkEnd w:id="0"/>
          </w:p>
        </w:tc>
        <w:tc>
          <w:tcPr>
            <w:tcW w:w="4500" w:type="dxa"/>
            <w:tcBorders>
              <w:top w:val="single" w:sz="6" w:space="0" w:color="000000"/>
              <w:left w:val="single" w:sz="6" w:space="0" w:color="000000"/>
              <w:bottom w:val="single" w:sz="6" w:space="0" w:color="000000"/>
              <w:right w:val="single" w:sz="6" w:space="0" w:color="000000"/>
            </w:tcBorders>
          </w:tcPr>
          <w:p w14:paraId="3A36B0C1" w14:textId="782DA7AF" w:rsidR="00BD09E0" w:rsidRDefault="00BD09E0" w:rsidP="00BD09E0">
            <w:pPr>
              <w:jc w:val="both"/>
            </w:pPr>
            <w:r w:rsidRPr="005D2ED9">
              <w:lastRenderedPageBreak/>
              <w:t>1.</w:t>
            </w:r>
            <w:r>
              <w:t xml:space="preserve"> Lūdzam izvērtēt projekta 3. punktā izteiktā 28.</w:t>
            </w:r>
            <w:r w:rsidRPr="003832C4">
              <w:rPr>
                <w:vertAlign w:val="superscript"/>
              </w:rPr>
              <w:t>1</w:t>
            </w:r>
            <w:r>
              <w:t xml:space="preserve"> punkta nosacījumus un projekta anotācijā </w:t>
            </w:r>
            <w:proofErr w:type="spellStart"/>
            <w:r>
              <w:t>izvērstāk</w:t>
            </w:r>
            <w:proofErr w:type="spellEnd"/>
            <w:r>
              <w:t xml:space="preserve"> skaidrot 3. punkta atbilstību Lēmuma 2009/719/EL 2. panta “c” apakšpunktam, kā arī </w:t>
            </w:r>
            <w:proofErr w:type="spellStart"/>
            <w:r>
              <w:t>izvērstāk</w:t>
            </w:r>
            <w:proofErr w:type="spellEnd"/>
            <w:r>
              <w:t xml:space="preserve"> skaidrot, kā projekta 3. punktā tiek ieviestas Regulas 999/2001 6. panta un III pielikuma prasības. </w:t>
            </w:r>
          </w:p>
          <w:p w14:paraId="03016705" w14:textId="5F27A398" w:rsidR="00BD09E0" w:rsidRPr="00CE6545" w:rsidRDefault="00BD09E0" w:rsidP="00BD09E0">
            <w:pPr>
              <w:jc w:val="both"/>
            </w:pPr>
            <w:r>
              <w:t>Vēršam arī uzmanību, ka 28.</w:t>
            </w:r>
            <w:r w:rsidRPr="003832C4">
              <w:rPr>
                <w:vertAlign w:val="superscript"/>
              </w:rPr>
              <w:t>1</w:t>
            </w:r>
            <w:r>
              <w:t xml:space="preserve"> punkta ievaddaļā norāde “attiecīgās sugas un vecuma dzīvnieka (liellopa, aitas un kazas)” nav viennozīmīgi skaidra. Lūdzam izvērtēt nepieciešamību projekta 3. punktā ietvert atsauces uz Regulas 999/2001 normām, kas nosaka attiecīgās sugas un dzīvnieku vecumu.</w:t>
            </w:r>
          </w:p>
        </w:tc>
        <w:tc>
          <w:tcPr>
            <w:tcW w:w="3116" w:type="dxa"/>
            <w:gridSpan w:val="2"/>
            <w:tcBorders>
              <w:top w:val="single" w:sz="6" w:space="0" w:color="000000"/>
              <w:left w:val="single" w:sz="6" w:space="0" w:color="000000"/>
              <w:bottom w:val="single" w:sz="6" w:space="0" w:color="000000"/>
              <w:right w:val="single" w:sz="6" w:space="0" w:color="000000"/>
            </w:tcBorders>
          </w:tcPr>
          <w:p w14:paraId="67D9E183" w14:textId="77777777" w:rsidR="00BD09E0" w:rsidRDefault="00BD09E0" w:rsidP="00BD09E0">
            <w:pPr>
              <w:pStyle w:val="Pamatteksts"/>
              <w:spacing w:after="0"/>
              <w:jc w:val="both"/>
              <w:rPr>
                <w:lang w:val="lv-LV"/>
              </w:rPr>
            </w:pPr>
            <w:r>
              <w:rPr>
                <w:lang w:val="lv-LV"/>
              </w:rPr>
              <w:t xml:space="preserve">Ņemts vērā. </w:t>
            </w:r>
          </w:p>
          <w:p w14:paraId="6EBEE796" w14:textId="094968CF" w:rsidR="00BD09E0" w:rsidRDefault="00BD09E0" w:rsidP="00BD09E0">
            <w:pPr>
              <w:pStyle w:val="Pamatteksts"/>
              <w:spacing w:after="0"/>
              <w:jc w:val="both"/>
              <w:rPr>
                <w:lang w:val="lv-LV"/>
              </w:rPr>
            </w:pPr>
            <w:r w:rsidRPr="00D65EE4">
              <w:rPr>
                <w:lang w:val="lv-LV"/>
              </w:rPr>
              <w:t xml:space="preserve">Noteikumu projekta </w:t>
            </w:r>
            <w:r>
              <w:rPr>
                <w:lang w:val="lv-LV"/>
              </w:rPr>
              <w:t>3</w:t>
            </w:r>
            <w:r w:rsidRPr="00D65EE4">
              <w:rPr>
                <w:lang w:val="lv-LV"/>
              </w:rPr>
              <w:t>. punkt</w:t>
            </w:r>
            <w:r>
              <w:rPr>
                <w:lang w:val="lv-LV"/>
              </w:rPr>
              <w:t>s izvērtēts.</w:t>
            </w:r>
          </w:p>
          <w:p w14:paraId="2CAD4F5C" w14:textId="72510155" w:rsidR="00BD09E0" w:rsidRPr="008C586A" w:rsidRDefault="00BD09E0" w:rsidP="00BD09E0">
            <w:pPr>
              <w:pStyle w:val="Pamatteksts"/>
              <w:spacing w:after="0"/>
              <w:jc w:val="both"/>
              <w:rPr>
                <w:lang w:val="lv-LV"/>
              </w:rPr>
            </w:pPr>
            <w:r w:rsidRPr="003832C4">
              <w:rPr>
                <w:lang w:val="lv-LV"/>
              </w:rPr>
              <w:t>Papildināta anotācija.</w:t>
            </w:r>
          </w:p>
        </w:tc>
        <w:tc>
          <w:tcPr>
            <w:tcW w:w="3364" w:type="dxa"/>
            <w:tcBorders>
              <w:top w:val="single" w:sz="6" w:space="0" w:color="000000"/>
              <w:left w:val="single" w:sz="6" w:space="0" w:color="000000"/>
              <w:bottom w:val="single" w:sz="6" w:space="0" w:color="000000"/>
              <w:right w:val="single" w:sz="6" w:space="0" w:color="000000"/>
            </w:tcBorders>
          </w:tcPr>
          <w:p w14:paraId="2E51FC7A" w14:textId="77777777" w:rsidR="00BD09E0" w:rsidRPr="00BD09E0" w:rsidRDefault="00BD09E0" w:rsidP="00BD09E0">
            <w:pPr>
              <w:jc w:val="both"/>
              <w:rPr>
                <w:rFonts w:eastAsia="Calibri"/>
                <w:lang w:eastAsia="en-US"/>
              </w:rPr>
            </w:pPr>
            <w:r w:rsidRPr="00BD09E0">
              <w:rPr>
                <w:rFonts w:eastAsia="Calibri"/>
                <w:lang w:eastAsia="en-US"/>
              </w:rPr>
              <w:t>3. Papildināt V nodaļu ar 28.</w:t>
            </w:r>
            <w:r w:rsidRPr="00BD09E0">
              <w:rPr>
                <w:rFonts w:eastAsia="Calibri"/>
                <w:vertAlign w:val="superscript"/>
                <w:lang w:eastAsia="en-US"/>
              </w:rPr>
              <w:t>1</w:t>
            </w:r>
            <w:r w:rsidRPr="00BD09E0">
              <w:rPr>
                <w:rFonts w:eastAsia="Calibri"/>
                <w:lang w:eastAsia="en-US"/>
              </w:rPr>
              <w:t> punktu šādā redakcijā:</w:t>
            </w:r>
          </w:p>
          <w:p w14:paraId="1A4F9669" w14:textId="02BA643C" w:rsidR="00BD09E0" w:rsidRPr="00BD09E0" w:rsidRDefault="00BD09E0" w:rsidP="00BD09E0">
            <w:pPr>
              <w:jc w:val="both"/>
              <w:rPr>
                <w:rFonts w:eastAsia="Calibri"/>
                <w:lang w:eastAsia="en-US"/>
              </w:rPr>
            </w:pPr>
            <w:r w:rsidRPr="00BD09E0">
              <w:rPr>
                <w:lang w:eastAsia="en-US"/>
              </w:rPr>
              <w:t>"</w:t>
            </w:r>
            <w:r w:rsidRPr="00BD09E0">
              <w:rPr>
                <w:rFonts w:eastAsia="Calibri"/>
                <w:lang w:eastAsia="en-US"/>
              </w:rPr>
              <w:t>28.</w:t>
            </w:r>
            <w:r w:rsidRPr="00BD09E0">
              <w:rPr>
                <w:rFonts w:eastAsia="Calibri"/>
                <w:vertAlign w:val="superscript"/>
                <w:lang w:eastAsia="en-US"/>
              </w:rPr>
              <w:t>1</w:t>
            </w:r>
            <w:r w:rsidRPr="00BD09E0">
              <w:rPr>
                <w:rFonts w:eastAsia="Calibri"/>
                <w:lang w:eastAsia="en-US"/>
              </w:rPr>
              <w:t xml:space="preserve"> Lai novērstu risku cilvēku un dzīvnieku veselībai, kā arī apkārtējai </w:t>
            </w:r>
            <w:r w:rsidRPr="00A24192">
              <w:rPr>
                <w:rFonts w:eastAsia="Calibri"/>
                <w:lang w:eastAsia="en-US"/>
              </w:rPr>
              <w:t xml:space="preserve">videi, </w:t>
            </w:r>
            <w:r w:rsidR="00294648" w:rsidRPr="00A24192">
              <w:rPr>
                <w:rFonts w:eastAsia="Calibri"/>
                <w:lang w:eastAsia="en-US"/>
              </w:rPr>
              <w:t>Eiropas Parlamenta un Padomes 2001. gada 22. maija Regulā (EK) Nr. 999/2001, ar ko paredz noteikumus dažu transmisīvo sūkļveida encefalopātiju profilaksei, kontrolei un apkarošanai, minētajam</w:t>
            </w:r>
            <w:r w:rsidR="00294648" w:rsidRPr="00294648">
              <w:rPr>
                <w:rFonts w:eastAsia="Calibri"/>
                <w:lang w:eastAsia="en-US"/>
              </w:rPr>
              <w:t xml:space="preserve"> dzīvnieka</w:t>
            </w:r>
            <w:r w:rsidR="00294648" w:rsidRPr="00BD09E0">
              <w:rPr>
                <w:rFonts w:eastAsia="Calibri"/>
                <w:lang w:eastAsia="en-US"/>
              </w:rPr>
              <w:t xml:space="preserve"> </w:t>
            </w:r>
            <w:r w:rsidR="00294648" w:rsidRPr="00294648">
              <w:rPr>
                <w:rFonts w:eastAsia="Calibri"/>
                <w:lang w:eastAsia="en-US"/>
              </w:rPr>
              <w:t>līķim</w:t>
            </w:r>
            <w:r w:rsidR="00294648" w:rsidRPr="00294648">
              <w:rPr>
                <w:rFonts w:eastAsia="Calibri"/>
                <w:b/>
                <w:bCs/>
                <w:lang w:eastAsia="en-US"/>
              </w:rPr>
              <w:t xml:space="preserve"> </w:t>
            </w:r>
            <w:r w:rsidRPr="00BD09E0">
              <w:rPr>
                <w:rFonts w:eastAsia="Calibri"/>
                <w:lang w:eastAsia="en-US"/>
              </w:rPr>
              <w:t xml:space="preserve">galvas smadzeņu paraugu laboratoriskai izmeklēšanai uz transmisīvo </w:t>
            </w:r>
            <w:r w:rsidRPr="00BD09E0">
              <w:rPr>
                <w:rFonts w:eastAsia="Calibri"/>
                <w:lang w:eastAsia="en-US"/>
              </w:rPr>
              <w:lastRenderedPageBreak/>
              <w:t xml:space="preserve">sūkļveida encefalopātijas (TSE) </w:t>
            </w:r>
            <w:proofErr w:type="spellStart"/>
            <w:r w:rsidRPr="00BD09E0">
              <w:rPr>
                <w:rFonts w:eastAsia="Calibri"/>
                <w:lang w:eastAsia="en-US"/>
              </w:rPr>
              <w:t>priona</w:t>
            </w:r>
            <w:proofErr w:type="spellEnd"/>
            <w:r w:rsidRPr="00BD09E0">
              <w:rPr>
                <w:rFonts w:eastAsia="Calibri"/>
                <w:lang w:eastAsia="en-US"/>
              </w:rPr>
              <w:t xml:space="preserve"> proteīnu </w:t>
            </w:r>
            <w:r w:rsidR="005B7E94" w:rsidRPr="00BD09E0">
              <w:rPr>
                <w:rFonts w:eastAsia="Calibri"/>
                <w:lang w:eastAsia="en-US"/>
              </w:rPr>
              <w:t>ņem</w:t>
            </w:r>
            <w:r w:rsidRPr="00BD09E0">
              <w:rPr>
                <w:rFonts w:eastAsia="Calibri"/>
                <w:lang w:eastAsia="en-US"/>
              </w:rPr>
              <w:t>:</w:t>
            </w:r>
          </w:p>
          <w:p w14:paraId="7A49F58F" w14:textId="77777777" w:rsidR="00BD09E0" w:rsidRPr="00BD09E0" w:rsidRDefault="00BD09E0" w:rsidP="00BD09E0">
            <w:pPr>
              <w:jc w:val="both"/>
              <w:rPr>
                <w:rFonts w:eastAsia="Calibri"/>
                <w:lang w:eastAsia="en-US"/>
              </w:rPr>
            </w:pPr>
            <w:r w:rsidRPr="00BD09E0">
              <w:rPr>
                <w:rFonts w:eastAsia="Calibri"/>
                <w:lang w:eastAsia="en-US"/>
              </w:rPr>
              <w:t>28.</w:t>
            </w:r>
            <w:r w:rsidRPr="00BD09E0">
              <w:rPr>
                <w:rFonts w:eastAsia="Calibri"/>
                <w:vertAlign w:val="superscript"/>
                <w:lang w:eastAsia="en-US"/>
              </w:rPr>
              <w:t>1</w:t>
            </w:r>
            <w:r w:rsidRPr="00BD09E0">
              <w:rPr>
                <w:rFonts w:eastAsia="Calibri"/>
                <w:lang w:eastAsia="en-US"/>
              </w:rPr>
              <w:t>1. uzņēmumā, kas ir atzīts atbilstoši normatīvajiem aktiem par kārtību, kādā atzīst uzņēmumus un iekārtas un reģistrē personas, kuras iesaistītas tādu blakusproduktu un atvasinātu produktu apritē, kas nav paredzēti cilvēku patēriņam;</w:t>
            </w:r>
          </w:p>
          <w:p w14:paraId="0FCA5511" w14:textId="025E70BB" w:rsidR="00BD09E0" w:rsidRPr="004E6C8B" w:rsidRDefault="00BD09E0" w:rsidP="00BD09E0">
            <w:pPr>
              <w:jc w:val="both"/>
            </w:pPr>
            <w:r w:rsidRPr="00BD09E0">
              <w:rPr>
                <w:rFonts w:eastAsia="Calibri"/>
                <w:lang w:eastAsia="en-US"/>
              </w:rPr>
              <w:t>28.</w:t>
            </w:r>
            <w:r w:rsidRPr="00BD09E0">
              <w:rPr>
                <w:rFonts w:eastAsia="Calibri"/>
                <w:vertAlign w:val="superscript"/>
                <w:lang w:eastAsia="en-US"/>
              </w:rPr>
              <w:t>1</w:t>
            </w:r>
            <w:r w:rsidRPr="00BD09E0">
              <w:rPr>
                <w:rFonts w:eastAsia="Calibri"/>
                <w:lang w:eastAsia="en-US"/>
              </w:rPr>
              <w:t>2. dienesta pilnvarots praktizējošs veterinārārsts.</w:t>
            </w:r>
            <w:r w:rsidRPr="00BD09E0">
              <w:rPr>
                <w:lang w:eastAsia="en-US"/>
              </w:rPr>
              <w:t>"</w:t>
            </w:r>
          </w:p>
        </w:tc>
      </w:tr>
      <w:tr w:rsidR="00BD09E0" w:rsidRPr="008C586A" w14:paraId="1B8673C9" w14:textId="77777777" w:rsidTr="00774DF5">
        <w:tblPrEx>
          <w:tblLook w:val="0000" w:firstRow="0" w:lastRow="0" w:firstColumn="0" w:lastColumn="0" w:noHBand="0" w:noVBand="0"/>
        </w:tblPrEx>
        <w:tc>
          <w:tcPr>
            <w:tcW w:w="599" w:type="dxa"/>
            <w:tcBorders>
              <w:top w:val="single" w:sz="6" w:space="0" w:color="000000"/>
              <w:left w:val="single" w:sz="6" w:space="0" w:color="000000"/>
              <w:bottom w:val="single" w:sz="6" w:space="0" w:color="000000"/>
              <w:right w:val="single" w:sz="6" w:space="0" w:color="000000"/>
            </w:tcBorders>
          </w:tcPr>
          <w:p w14:paraId="63F8203A" w14:textId="77777777" w:rsidR="00BD09E0" w:rsidRDefault="00BD09E0" w:rsidP="00BD09E0">
            <w:pPr>
              <w:pStyle w:val="naisc"/>
              <w:spacing w:before="0" w:after="0"/>
            </w:pPr>
            <w:r>
              <w:lastRenderedPageBreak/>
              <w:t>2.</w:t>
            </w:r>
          </w:p>
        </w:tc>
        <w:tc>
          <w:tcPr>
            <w:tcW w:w="3181" w:type="dxa"/>
            <w:gridSpan w:val="2"/>
            <w:tcBorders>
              <w:top w:val="single" w:sz="6" w:space="0" w:color="000000"/>
              <w:left w:val="single" w:sz="6" w:space="0" w:color="000000"/>
              <w:bottom w:val="single" w:sz="6" w:space="0" w:color="000000"/>
              <w:right w:val="single" w:sz="6" w:space="0" w:color="000000"/>
            </w:tcBorders>
          </w:tcPr>
          <w:p w14:paraId="29A04050" w14:textId="77777777" w:rsidR="00253225" w:rsidRPr="00995D1C" w:rsidRDefault="00253225" w:rsidP="00253225">
            <w:pPr>
              <w:jc w:val="both"/>
              <w:rPr>
                <w:bCs/>
              </w:rPr>
            </w:pPr>
            <w:r w:rsidRPr="00995D1C">
              <w:rPr>
                <w:bCs/>
              </w:rPr>
              <w:t>5. Papildināt noteikumus ar 5. pielikumu šādā redakcijā:</w:t>
            </w:r>
          </w:p>
          <w:p w14:paraId="5C0C4723" w14:textId="77777777" w:rsidR="00253225" w:rsidRPr="00995D1C" w:rsidRDefault="00253225" w:rsidP="00253225">
            <w:pPr>
              <w:jc w:val="both"/>
              <w:rPr>
                <w:bCs/>
              </w:rPr>
            </w:pPr>
            <w:r w:rsidRPr="00995D1C">
              <w:rPr>
                <w:bCs/>
              </w:rPr>
              <w:t>"5. pielikums</w:t>
            </w:r>
          </w:p>
          <w:p w14:paraId="5E1201E6" w14:textId="77777777" w:rsidR="00253225" w:rsidRPr="00995D1C" w:rsidRDefault="00253225" w:rsidP="00253225">
            <w:pPr>
              <w:jc w:val="both"/>
              <w:rPr>
                <w:bCs/>
              </w:rPr>
            </w:pPr>
            <w:r w:rsidRPr="00995D1C">
              <w:rPr>
                <w:bCs/>
              </w:rPr>
              <w:t>Ministru kabineta</w:t>
            </w:r>
          </w:p>
          <w:p w14:paraId="73DFBBE1" w14:textId="77777777" w:rsidR="00253225" w:rsidRPr="00995D1C" w:rsidRDefault="00253225" w:rsidP="00253225">
            <w:pPr>
              <w:jc w:val="both"/>
              <w:rPr>
                <w:bCs/>
              </w:rPr>
            </w:pPr>
            <w:r w:rsidRPr="00995D1C">
              <w:rPr>
                <w:bCs/>
              </w:rPr>
              <w:t xml:space="preserve">2012. gada 17. aprīļa </w:t>
            </w:r>
          </w:p>
          <w:p w14:paraId="69379315" w14:textId="77777777" w:rsidR="00253225" w:rsidRPr="00995D1C" w:rsidRDefault="00253225" w:rsidP="00253225">
            <w:pPr>
              <w:jc w:val="both"/>
              <w:rPr>
                <w:bCs/>
              </w:rPr>
            </w:pPr>
            <w:r w:rsidRPr="00995D1C">
              <w:rPr>
                <w:bCs/>
              </w:rPr>
              <w:t>noteikumiem Nr. 275</w:t>
            </w:r>
          </w:p>
          <w:p w14:paraId="24B7AFD0" w14:textId="77777777" w:rsidR="00253225" w:rsidRPr="00995D1C" w:rsidRDefault="00253225" w:rsidP="00253225">
            <w:pPr>
              <w:jc w:val="both"/>
              <w:rPr>
                <w:bCs/>
              </w:rPr>
            </w:pPr>
            <w:r w:rsidRPr="00995D1C">
              <w:rPr>
                <w:bCs/>
              </w:rPr>
              <w:t>Lolojumdzīvnieku līķu vai to pelnu transportēšanas pavaddokuments</w:t>
            </w:r>
          </w:p>
          <w:p w14:paraId="350C3A7E" w14:textId="35E0945B" w:rsidR="00BD09E0" w:rsidRPr="00995D1C" w:rsidRDefault="00253225" w:rsidP="00253225">
            <w:pPr>
              <w:jc w:val="both"/>
              <w:rPr>
                <w:bCs/>
              </w:rPr>
            </w:pPr>
            <w:r w:rsidRPr="00995D1C">
              <w:rPr>
                <w:bCs/>
              </w:rPr>
              <w:t>Nr.________________</w:t>
            </w:r>
          </w:p>
        </w:tc>
        <w:tc>
          <w:tcPr>
            <w:tcW w:w="4500" w:type="dxa"/>
            <w:tcBorders>
              <w:top w:val="single" w:sz="6" w:space="0" w:color="000000"/>
              <w:left w:val="single" w:sz="6" w:space="0" w:color="000000"/>
              <w:bottom w:val="single" w:sz="6" w:space="0" w:color="000000"/>
              <w:right w:val="single" w:sz="6" w:space="0" w:color="000000"/>
            </w:tcBorders>
          </w:tcPr>
          <w:p w14:paraId="312CD688" w14:textId="30647839" w:rsidR="00BD09E0" w:rsidRPr="00102E7B" w:rsidRDefault="00BD09E0" w:rsidP="00BD09E0">
            <w:pPr>
              <w:jc w:val="both"/>
            </w:pPr>
            <w:r w:rsidRPr="005D2ED9">
              <w:t>2.</w:t>
            </w:r>
            <w:r>
              <w:t xml:space="preserve"> </w:t>
            </w:r>
            <w:r w:rsidRPr="003832C4">
              <w:t xml:space="preserve">Lūdzam projekta anotācijā </w:t>
            </w:r>
            <w:proofErr w:type="spellStart"/>
            <w:r w:rsidRPr="003832C4">
              <w:t>izvērstāk</w:t>
            </w:r>
            <w:proofErr w:type="spellEnd"/>
            <w:r w:rsidRPr="003832C4">
              <w:t xml:space="preserve"> skaidrot, kā projekta  5. punktā izteiktajā 5. pielikumā ieviestas Regulas 142/2011 prasības, norādot konkrētas regulas 142/2011 normas, kas tiek ieviestas minētajā 5. pielikumā, lai būtu iespējams pārliecināties, ka 5. pielikumā tiek norādīta Regulas 142/2011 VIII  pielikumā noteiktā informācija.</w:t>
            </w:r>
          </w:p>
        </w:tc>
        <w:tc>
          <w:tcPr>
            <w:tcW w:w="3116" w:type="dxa"/>
            <w:gridSpan w:val="2"/>
            <w:tcBorders>
              <w:top w:val="single" w:sz="6" w:space="0" w:color="000000"/>
              <w:left w:val="single" w:sz="6" w:space="0" w:color="000000"/>
              <w:bottom w:val="single" w:sz="6" w:space="0" w:color="000000"/>
              <w:right w:val="single" w:sz="6" w:space="0" w:color="000000"/>
            </w:tcBorders>
          </w:tcPr>
          <w:p w14:paraId="478B16B4" w14:textId="3D4442B9" w:rsidR="00BD09E0" w:rsidRDefault="00BD09E0" w:rsidP="00BD09E0">
            <w:pPr>
              <w:pStyle w:val="Pamatteksts"/>
              <w:spacing w:after="0"/>
              <w:jc w:val="both"/>
              <w:rPr>
                <w:lang w:val="lv-LV"/>
              </w:rPr>
            </w:pPr>
            <w:r>
              <w:rPr>
                <w:lang w:val="lv-LV"/>
              </w:rPr>
              <w:t xml:space="preserve">Ņemts vērā. </w:t>
            </w:r>
          </w:p>
          <w:p w14:paraId="202EE252" w14:textId="684B8103" w:rsidR="00BD09E0" w:rsidRDefault="00BD09E0" w:rsidP="00BD09E0">
            <w:pPr>
              <w:pStyle w:val="Pamatteksts"/>
              <w:spacing w:after="0"/>
              <w:jc w:val="both"/>
              <w:rPr>
                <w:lang w:val="lv-LV"/>
              </w:rPr>
            </w:pPr>
            <w:r>
              <w:rPr>
                <w:lang w:val="lv-LV"/>
              </w:rPr>
              <w:t>Papildināta anotācija.</w:t>
            </w:r>
          </w:p>
        </w:tc>
        <w:tc>
          <w:tcPr>
            <w:tcW w:w="3364" w:type="dxa"/>
            <w:tcBorders>
              <w:top w:val="single" w:sz="6" w:space="0" w:color="000000"/>
              <w:left w:val="single" w:sz="6" w:space="0" w:color="000000"/>
              <w:bottom w:val="single" w:sz="6" w:space="0" w:color="000000"/>
              <w:right w:val="single" w:sz="6" w:space="0" w:color="000000"/>
            </w:tcBorders>
          </w:tcPr>
          <w:p w14:paraId="30CDE99C" w14:textId="77777777" w:rsidR="00253225" w:rsidRDefault="00253225" w:rsidP="00253225">
            <w:pPr>
              <w:jc w:val="both"/>
            </w:pPr>
            <w:r>
              <w:t>5. Papildināt noteikumus ar 5. pielikumu šādā redakcijā:</w:t>
            </w:r>
          </w:p>
          <w:p w14:paraId="04ECDDE5" w14:textId="77777777" w:rsidR="00253225" w:rsidRDefault="00253225" w:rsidP="00253225">
            <w:pPr>
              <w:jc w:val="both"/>
            </w:pPr>
            <w:r>
              <w:t>"5. pielikums</w:t>
            </w:r>
          </w:p>
          <w:p w14:paraId="0E095A2F" w14:textId="77777777" w:rsidR="00253225" w:rsidRDefault="00253225" w:rsidP="00253225">
            <w:pPr>
              <w:jc w:val="both"/>
            </w:pPr>
            <w:r>
              <w:t>Ministru kabineta</w:t>
            </w:r>
          </w:p>
          <w:p w14:paraId="17D57533" w14:textId="77777777" w:rsidR="00253225" w:rsidRDefault="00253225" w:rsidP="00253225">
            <w:pPr>
              <w:jc w:val="both"/>
            </w:pPr>
            <w:r>
              <w:t xml:space="preserve">2012. gada 17. aprīļa </w:t>
            </w:r>
          </w:p>
          <w:p w14:paraId="72FDDAE0" w14:textId="77777777" w:rsidR="00253225" w:rsidRPr="00A24192" w:rsidRDefault="00253225" w:rsidP="00253225">
            <w:pPr>
              <w:jc w:val="both"/>
            </w:pPr>
            <w:r w:rsidRPr="00A24192">
              <w:t>noteikumiem Nr. 275</w:t>
            </w:r>
          </w:p>
          <w:p w14:paraId="39F90300" w14:textId="77777777" w:rsidR="00253225" w:rsidRPr="00A24192" w:rsidRDefault="00253225" w:rsidP="00253225">
            <w:pPr>
              <w:jc w:val="both"/>
            </w:pPr>
            <w:r w:rsidRPr="00A24192">
              <w:t>Lolojumdzīvnieku līķu vai to pelnu transportēšanas pavaddokuments</w:t>
            </w:r>
          </w:p>
          <w:p w14:paraId="29902FCC" w14:textId="20F4F590" w:rsidR="00BD09E0" w:rsidRPr="004E6C8B" w:rsidRDefault="00253225" w:rsidP="00253225">
            <w:pPr>
              <w:jc w:val="both"/>
            </w:pPr>
            <w:r w:rsidRPr="00A24192">
              <w:t>Nr.________________</w:t>
            </w:r>
          </w:p>
        </w:tc>
      </w:tr>
      <w:tr w:rsidR="00BD09E0" w:rsidRPr="008C586A" w14:paraId="48280822" w14:textId="77777777" w:rsidTr="00774DF5">
        <w:tblPrEx>
          <w:tblBorders>
            <w:top w:val="none" w:sz="0" w:space="0" w:color="auto"/>
            <w:left w:val="none" w:sz="0" w:space="0" w:color="auto"/>
            <w:bottom w:val="none" w:sz="0" w:space="0" w:color="auto"/>
            <w:right w:val="none" w:sz="0" w:space="0" w:color="auto"/>
          </w:tblBorders>
        </w:tblPrEx>
        <w:trPr>
          <w:gridAfter w:val="2"/>
          <w:wAfter w:w="6151" w:type="dxa"/>
        </w:trPr>
        <w:tc>
          <w:tcPr>
            <w:tcW w:w="2632" w:type="dxa"/>
            <w:gridSpan w:val="2"/>
          </w:tcPr>
          <w:p w14:paraId="5C479037" w14:textId="77777777" w:rsidR="00BD09E0" w:rsidRDefault="00BD09E0" w:rsidP="00BD09E0">
            <w:pPr>
              <w:pStyle w:val="naiskr"/>
              <w:spacing w:before="0" w:after="0"/>
            </w:pPr>
          </w:p>
          <w:p w14:paraId="4074699E" w14:textId="77777777" w:rsidR="00BD09E0" w:rsidRPr="008C586A" w:rsidRDefault="00BD09E0" w:rsidP="00BD09E0">
            <w:pPr>
              <w:pStyle w:val="naiskr"/>
              <w:spacing w:before="0" w:after="0"/>
            </w:pPr>
            <w:r w:rsidRPr="008C586A">
              <w:t>Atbildīgā amatpersona</w:t>
            </w:r>
          </w:p>
        </w:tc>
        <w:tc>
          <w:tcPr>
            <w:tcW w:w="5977" w:type="dxa"/>
            <w:gridSpan w:val="3"/>
          </w:tcPr>
          <w:p w14:paraId="4D04B1DB" w14:textId="77777777" w:rsidR="00BD09E0" w:rsidRPr="008C586A" w:rsidRDefault="00BD09E0" w:rsidP="00BD09E0">
            <w:pPr>
              <w:pStyle w:val="naiskr"/>
              <w:spacing w:before="0" w:after="0"/>
              <w:ind w:firstLine="720"/>
            </w:pPr>
            <w:r w:rsidRPr="008C586A">
              <w:t>  </w:t>
            </w:r>
          </w:p>
        </w:tc>
      </w:tr>
      <w:tr w:rsidR="00BD09E0" w:rsidRPr="008C586A" w14:paraId="31B0902D" w14:textId="77777777" w:rsidTr="00774DF5">
        <w:tblPrEx>
          <w:tblBorders>
            <w:top w:val="none" w:sz="0" w:space="0" w:color="auto"/>
            <w:left w:val="none" w:sz="0" w:space="0" w:color="auto"/>
            <w:bottom w:val="none" w:sz="0" w:space="0" w:color="auto"/>
            <w:right w:val="none" w:sz="0" w:space="0" w:color="auto"/>
          </w:tblBorders>
        </w:tblPrEx>
        <w:trPr>
          <w:gridAfter w:val="2"/>
          <w:wAfter w:w="6151" w:type="dxa"/>
        </w:trPr>
        <w:tc>
          <w:tcPr>
            <w:tcW w:w="2632" w:type="dxa"/>
            <w:gridSpan w:val="2"/>
          </w:tcPr>
          <w:p w14:paraId="42CCD791" w14:textId="77777777" w:rsidR="00BD09E0" w:rsidRPr="008C586A" w:rsidRDefault="00BD09E0" w:rsidP="00BD09E0">
            <w:pPr>
              <w:pStyle w:val="naiskr"/>
              <w:spacing w:before="0" w:after="0"/>
              <w:ind w:firstLine="720"/>
            </w:pPr>
          </w:p>
        </w:tc>
        <w:tc>
          <w:tcPr>
            <w:tcW w:w="5977" w:type="dxa"/>
            <w:gridSpan w:val="3"/>
            <w:tcBorders>
              <w:top w:val="single" w:sz="6" w:space="0" w:color="000000"/>
            </w:tcBorders>
          </w:tcPr>
          <w:p w14:paraId="4776C000" w14:textId="77777777" w:rsidR="00BD09E0" w:rsidRPr="008C586A" w:rsidRDefault="00BD09E0" w:rsidP="00BD09E0">
            <w:pPr>
              <w:pStyle w:val="naisc"/>
              <w:spacing w:before="0" w:after="0"/>
              <w:ind w:firstLine="720"/>
            </w:pPr>
            <w:r w:rsidRPr="008C586A">
              <w:t>(paraksts)*</w:t>
            </w:r>
          </w:p>
        </w:tc>
      </w:tr>
    </w:tbl>
    <w:p w14:paraId="5D97CF75" w14:textId="77777777" w:rsidR="00D75D2B" w:rsidRPr="008C586A" w:rsidRDefault="00D75D2B" w:rsidP="00774DF5">
      <w:pPr>
        <w:pStyle w:val="naisf"/>
        <w:spacing w:before="0" w:beforeAutospacing="0" w:after="0" w:afterAutospacing="0"/>
      </w:pPr>
    </w:p>
    <w:p w14:paraId="23FEB5CA" w14:textId="77777777" w:rsidR="008F2490" w:rsidRPr="008C586A" w:rsidRDefault="008F2490" w:rsidP="008F2490">
      <w:pPr>
        <w:pStyle w:val="naisf"/>
        <w:spacing w:before="0" w:beforeAutospacing="0" w:after="0" w:afterAutospacing="0"/>
        <w:ind w:firstLine="720"/>
      </w:pPr>
      <w:r w:rsidRPr="008C586A">
        <w:t xml:space="preserve">Piezīme. * Dokumenta rekvizītu </w:t>
      </w:r>
      <w:r w:rsidR="00EF3810" w:rsidRPr="008C586A">
        <w:t>„paraksts”</w:t>
      </w:r>
      <w:r w:rsidRPr="008C586A">
        <w:t xml:space="preserve"> neaizpilda, ja elektroniskais dokuments ir sagatavots atbilstoši normatīvajiem aktiem par elektronisko dokumentu noformēšanu.</w:t>
      </w:r>
    </w:p>
    <w:p w14:paraId="7D90CAA4" w14:textId="6B99ED84" w:rsidR="008F2490" w:rsidRDefault="008F2490" w:rsidP="008F2490">
      <w:pPr>
        <w:pStyle w:val="naisf"/>
        <w:spacing w:before="0" w:beforeAutospacing="0" w:after="0" w:afterAutospacing="0"/>
        <w:ind w:left="2880" w:firstLine="720"/>
      </w:pPr>
    </w:p>
    <w:p w14:paraId="0B39C18A" w14:textId="77777777" w:rsidR="003B5F47" w:rsidRPr="008C586A" w:rsidRDefault="003B5F47" w:rsidP="008F2490">
      <w:pPr>
        <w:pStyle w:val="naisf"/>
        <w:spacing w:before="0" w:beforeAutospacing="0" w:after="0" w:afterAutospacing="0"/>
        <w:ind w:left="2880" w:firstLine="720"/>
      </w:pPr>
      <w:bookmarkStart w:id="1" w:name="_GoBack"/>
      <w:bookmarkEnd w:id="1"/>
    </w:p>
    <w:p w14:paraId="36BAE1A0" w14:textId="77777777" w:rsidR="008F2490" w:rsidRPr="008C586A" w:rsidRDefault="002844A0" w:rsidP="008F2490">
      <w:pPr>
        <w:pStyle w:val="naisf"/>
        <w:spacing w:before="0" w:beforeAutospacing="0" w:after="0" w:afterAutospacing="0"/>
        <w:ind w:left="2880" w:firstLine="720"/>
      </w:pPr>
      <w:r>
        <w:lastRenderedPageBreak/>
        <w:t>Aija Tora</w:t>
      </w:r>
    </w:p>
    <w:tbl>
      <w:tblPr>
        <w:tblW w:w="0" w:type="auto"/>
        <w:tblLook w:val="00A0" w:firstRow="1" w:lastRow="0" w:firstColumn="1" w:lastColumn="0" w:noHBand="0" w:noVBand="0"/>
      </w:tblPr>
      <w:tblGrid>
        <w:gridCol w:w="8268"/>
      </w:tblGrid>
      <w:tr w:rsidR="008F2490" w:rsidRPr="008C586A" w14:paraId="3E54AA0F" w14:textId="77777777">
        <w:tc>
          <w:tcPr>
            <w:tcW w:w="8268" w:type="dxa"/>
            <w:tcBorders>
              <w:top w:val="single" w:sz="4" w:space="0" w:color="000000"/>
            </w:tcBorders>
          </w:tcPr>
          <w:p w14:paraId="3A6E8E44" w14:textId="77777777" w:rsidR="008F2490" w:rsidRPr="008C586A" w:rsidRDefault="008F2490" w:rsidP="00E776D1">
            <w:pPr>
              <w:jc w:val="center"/>
            </w:pPr>
            <w:r w:rsidRPr="008C586A">
              <w:t>(par projektu atbildīgās amatpersonas vārds un uzvārds)</w:t>
            </w:r>
          </w:p>
        </w:tc>
      </w:tr>
      <w:tr w:rsidR="008F2490" w:rsidRPr="008C586A" w14:paraId="7470C11F" w14:textId="77777777">
        <w:tc>
          <w:tcPr>
            <w:tcW w:w="8268" w:type="dxa"/>
            <w:tcBorders>
              <w:bottom w:val="single" w:sz="4" w:space="0" w:color="000000"/>
            </w:tcBorders>
          </w:tcPr>
          <w:p w14:paraId="510CD5BE" w14:textId="77777777" w:rsidR="008F2490" w:rsidRPr="008C586A" w:rsidRDefault="008F2490" w:rsidP="00E776D1">
            <w:pPr>
              <w:jc w:val="center"/>
            </w:pPr>
            <w:r w:rsidRPr="008C586A">
              <w:t>Zemkopības ministrijas Veterinārā un pārtikas departamenta Dzīvnieku veselības un veterināro zāļu nodaļas vecākā referente</w:t>
            </w:r>
          </w:p>
        </w:tc>
      </w:tr>
      <w:tr w:rsidR="008F2490" w:rsidRPr="008C586A" w14:paraId="38AE251E" w14:textId="77777777">
        <w:tc>
          <w:tcPr>
            <w:tcW w:w="8268" w:type="dxa"/>
            <w:tcBorders>
              <w:top w:val="single" w:sz="4" w:space="0" w:color="000000"/>
            </w:tcBorders>
          </w:tcPr>
          <w:p w14:paraId="24ADC011" w14:textId="77777777" w:rsidR="008F2490" w:rsidRPr="008C586A" w:rsidRDefault="008F2490" w:rsidP="00E776D1">
            <w:pPr>
              <w:jc w:val="center"/>
            </w:pPr>
            <w:r w:rsidRPr="008C586A">
              <w:t>(amats)</w:t>
            </w:r>
          </w:p>
        </w:tc>
      </w:tr>
      <w:tr w:rsidR="008F2490" w:rsidRPr="008C586A" w14:paraId="2E506354" w14:textId="77777777">
        <w:tc>
          <w:tcPr>
            <w:tcW w:w="8268" w:type="dxa"/>
            <w:tcBorders>
              <w:bottom w:val="single" w:sz="4" w:space="0" w:color="000000"/>
            </w:tcBorders>
          </w:tcPr>
          <w:p w14:paraId="0BD2BAAE" w14:textId="77777777" w:rsidR="008F2490" w:rsidRPr="008C586A" w:rsidRDefault="008F2490" w:rsidP="00E776D1">
            <w:pPr>
              <w:jc w:val="center"/>
            </w:pPr>
            <w:r w:rsidRPr="008C586A">
              <w:t>67027</w:t>
            </w:r>
            <w:r w:rsidR="002844A0">
              <w:t>620</w:t>
            </w:r>
          </w:p>
        </w:tc>
      </w:tr>
      <w:tr w:rsidR="008F2490" w:rsidRPr="008C586A" w14:paraId="4AC2DB89" w14:textId="77777777">
        <w:tc>
          <w:tcPr>
            <w:tcW w:w="8268" w:type="dxa"/>
            <w:tcBorders>
              <w:top w:val="single" w:sz="4" w:space="0" w:color="000000"/>
            </w:tcBorders>
          </w:tcPr>
          <w:p w14:paraId="5CFF573E" w14:textId="77777777" w:rsidR="008F2490" w:rsidRPr="008C586A" w:rsidRDefault="008F2490" w:rsidP="00E776D1">
            <w:pPr>
              <w:jc w:val="center"/>
            </w:pPr>
            <w:r w:rsidRPr="008C586A">
              <w:t>(tālruņa un faksa numurs)</w:t>
            </w:r>
          </w:p>
        </w:tc>
      </w:tr>
      <w:tr w:rsidR="008F2490" w:rsidRPr="008C586A" w14:paraId="5ED2FCC8" w14:textId="77777777">
        <w:tc>
          <w:tcPr>
            <w:tcW w:w="8268" w:type="dxa"/>
            <w:tcBorders>
              <w:bottom w:val="single" w:sz="4" w:space="0" w:color="000000"/>
            </w:tcBorders>
          </w:tcPr>
          <w:p w14:paraId="306CF3D5" w14:textId="77777777" w:rsidR="008F2490" w:rsidRPr="008C586A" w:rsidRDefault="003B5F47" w:rsidP="00E776D1">
            <w:pPr>
              <w:jc w:val="center"/>
            </w:pPr>
            <w:hyperlink r:id="rId7" w:history="1">
              <w:r w:rsidR="002844A0" w:rsidRPr="00677E67">
                <w:rPr>
                  <w:rStyle w:val="Hipersaite"/>
                </w:rPr>
                <w:t>aija.tora@zm.gov.lv</w:t>
              </w:r>
            </w:hyperlink>
            <w:r w:rsidR="002844A0">
              <w:t xml:space="preserve"> </w:t>
            </w:r>
          </w:p>
        </w:tc>
      </w:tr>
      <w:tr w:rsidR="008F2490" w:rsidRPr="008C586A" w14:paraId="12AD475E" w14:textId="77777777">
        <w:tc>
          <w:tcPr>
            <w:tcW w:w="8268" w:type="dxa"/>
            <w:tcBorders>
              <w:top w:val="single" w:sz="4" w:space="0" w:color="000000"/>
            </w:tcBorders>
          </w:tcPr>
          <w:p w14:paraId="5F386CA8" w14:textId="77777777" w:rsidR="008F2490" w:rsidRPr="008C586A" w:rsidRDefault="008F2490" w:rsidP="00E776D1">
            <w:pPr>
              <w:jc w:val="center"/>
            </w:pPr>
            <w:r w:rsidRPr="008C586A">
              <w:t>(e-pasta adrese)</w:t>
            </w:r>
          </w:p>
        </w:tc>
      </w:tr>
    </w:tbl>
    <w:p w14:paraId="1C97AEED" w14:textId="77777777" w:rsidR="008123B3" w:rsidRPr="008C586A" w:rsidRDefault="008123B3" w:rsidP="00432B40">
      <w:pPr>
        <w:pStyle w:val="naisnod"/>
        <w:spacing w:before="0" w:beforeAutospacing="0" w:after="0" w:afterAutospacing="0"/>
      </w:pPr>
    </w:p>
    <w:sectPr w:rsidR="008123B3" w:rsidRPr="008C586A" w:rsidSect="00923B05">
      <w:headerReference w:type="default" r:id="rId8"/>
      <w:footerReference w:type="default" r:id="rId9"/>
      <w:footerReference w:type="first" r:id="rId10"/>
      <w:pgSz w:w="16838" w:h="11906" w:orient="landscape" w:code="9"/>
      <w:pgMar w:top="1701" w:right="1418" w:bottom="1134" w:left="1134"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B33F2" w16cex:dateUtc="2021-03-16T11:41:00Z"/>
  <w16cex:commentExtensible w16cex:durableId="23FB378F" w16cex:dateUtc="2021-03-16T11: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C0E1C" w14:textId="77777777" w:rsidR="00181474" w:rsidRDefault="00181474">
      <w:r>
        <w:separator/>
      </w:r>
    </w:p>
  </w:endnote>
  <w:endnote w:type="continuationSeparator" w:id="0">
    <w:p w14:paraId="322E67B4" w14:textId="77777777" w:rsidR="00181474" w:rsidRDefault="00181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omic Sans MS">
    <w:panose1 w:val="030F0702030302020204"/>
    <w:charset w:val="BA"/>
    <w:family w:val="script"/>
    <w:pitch w:val="variable"/>
    <w:sig w:usb0="00000287" w:usb1="00000013"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7CC3B" w14:textId="757D8666" w:rsidR="009836B9" w:rsidRPr="003B5F47" w:rsidRDefault="003B5F47" w:rsidP="003B5F47">
    <w:pPr>
      <w:pStyle w:val="Kjene"/>
    </w:pPr>
    <w:r w:rsidRPr="003B5F47">
      <w:rPr>
        <w:sz w:val="20"/>
        <w:szCs w:val="20"/>
      </w:rPr>
      <w:t>ZMizz_210421_abp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7D697" w14:textId="51745DC0" w:rsidR="009836B9" w:rsidRPr="003B5F47" w:rsidRDefault="003B5F47" w:rsidP="003B5F47">
    <w:pPr>
      <w:pStyle w:val="Kjene"/>
    </w:pPr>
    <w:r w:rsidRPr="003B5F47">
      <w:rPr>
        <w:sz w:val="20"/>
        <w:szCs w:val="20"/>
      </w:rPr>
      <w:t>ZMizz_210421_abp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1EF07" w14:textId="77777777" w:rsidR="00181474" w:rsidRDefault="00181474">
      <w:r>
        <w:separator/>
      </w:r>
    </w:p>
  </w:footnote>
  <w:footnote w:type="continuationSeparator" w:id="0">
    <w:p w14:paraId="3C1A6375" w14:textId="77777777" w:rsidR="00181474" w:rsidRDefault="00181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07DF3" w14:textId="77777777" w:rsidR="009836B9" w:rsidRDefault="009836B9" w:rsidP="001C0A53">
    <w:pPr>
      <w:pStyle w:val="Galvene"/>
      <w:jc w:val="center"/>
    </w:pPr>
    <w:r>
      <w:rPr>
        <w:rStyle w:val="Lappusesnumurs"/>
      </w:rPr>
      <w:fldChar w:fldCharType="begin"/>
    </w:r>
    <w:r>
      <w:rPr>
        <w:rStyle w:val="Lappusesnumurs"/>
      </w:rPr>
      <w:instrText xml:space="preserve"> PAGE </w:instrText>
    </w:r>
    <w:r>
      <w:rPr>
        <w:rStyle w:val="Lappusesnumurs"/>
      </w:rPr>
      <w:fldChar w:fldCharType="separate"/>
    </w:r>
    <w:r w:rsidR="00225B4F">
      <w:rPr>
        <w:rStyle w:val="Lappusesnumurs"/>
        <w:noProof/>
      </w:rPr>
      <w:t>6</w:t>
    </w:r>
    <w:r>
      <w:rPr>
        <w:rStyle w:val="Lappusesnumur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33350"/>
    <w:multiLevelType w:val="hybridMultilevel"/>
    <w:tmpl w:val="5700EFA0"/>
    <w:lvl w:ilvl="0" w:tplc="61849D18">
      <w:start w:val="1"/>
      <w:numFmt w:val="decimal"/>
      <w:lvlText w:val="%1."/>
      <w:lvlJc w:val="left"/>
      <w:pPr>
        <w:ind w:left="1080" w:hanging="360"/>
      </w:pPr>
      <w:rPr>
        <w:rFonts w:ascii="Times New Roman" w:eastAsia="Times New Roman" w:hAnsi="Times New Roman" w:cs="Times New Roman" w:hint="default"/>
        <w:sz w:val="26"/>
        <w:szCs w:val="2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3956769"/>
    <w:multiLevelType w:val="hybridMultilevel"/>
    <w:tmpl w:val="3E9C4B04"/>
    <w:lvl w:ilvl="0" w:tplc="63B0C8FC">
      <w:start w:val="1"/>
      <w:numFmt w:val="decimal"/>
      <w:lvlText w:val="%1)"/>
      <w:lvlJc w:val="left"/>
      <w:pPr>
        <w:tabs>
          <w:tab w:val="num" w:pos="720"/>
        </w:tabs>
        <w:ind w:left="720" w:hanging="360"/>
      </w:pPr>
      <w:rPr>
        <w:color w:val="auto"/>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255D1BBE"/>
    <w:multiLevelType w:val="hybridMultilevel"/>
    <w:tmpl w:val="005E8800"/>
    <w:lvl w:ilvl="0" w:tplc="3FCA93FE">
      <w:start w:val="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DD42DD3"/>
    <w:multiLevelType w:val="hybridMultilevel"/>
    <w:tmpl w:val="40CEAC6A"/>
    <w:lvl w:ilvl="0" w:tplc="84C271A4">
      <w:start w:val="1"/>
      <w:numFmt w:val="decimal"/>
      <w:lvlText w:val="%1)"/>
      <w:lvlJc w:val="left"/>
      <w:pPr>
        <w:tabs>
          <w:tab w:val="num" w:pos="720"/>
        </w:tabs>
        <w:ind w:left="720" w:hanging="360"/>
      </w:pPr>
      <w:rPr>
        <w:color w:val="auto"/>
      </w:rPr>
    </w:lvl>
    <w:lvl w:ilvl="1" w:tplc="CC321E5A">
      <w:start w:val="1"/>
      <w:numFmt w:val="decimal"/>
      <w:lvlText w:val="%2)"/>
      <w:lvlJc w:val="left"/>
      <w:pPr>
        <w:tabs>
          <w:tab w:val="num" w:pos="1440"/>
        </w:tabs>
        <w:ind w:left="1440" w:hanging="360"/>
      </w:pPr>
      <w:rPr>
        <w:color w:val="auto"/>
      </w:rPr>
    </w:lvl>
    <w:lvl w:ilvl="2" w:tplc="0DCE11FA">
      <w:numFmt w:val="bullet"/>
      <w:lvlText w:val="-"/>
      <w:lvlJc w:val="left"/>
      <w:pPr>
        <w:tabs>
          <w:tab w:val="num" w:pos="2340"/>
        </w:tabs>
        <w:ind w:left="2340" w:hanging="360"/>
      </w:pPr>
      <w:rPr>
        <w:rFonts w:ascii="Times New Roman" w:eastAsia="Times New Roman" w:hAnsi="Times New Roman" w:cs="Times New Roman" w:hint="default"/>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3F350ABA"/>
    <w:multiLevelType w:val="hybridMultilevel"/>
    <w:tmpl w:val="36ACCB68"/>
    <w:lvl w:ilvl="0" w:tplc="0426000F">
      <w:start w:val="1"/>
      <w:numFmt w:val="decimal"/>
      <w:lvlText w:val="%1."/>
      <w:lvlJc w:val="left"/>
      <w:pPr>
        <w:tabs>
          <w:tab w:val="num" w:pos="780"/>
        </w:tabs>
        <w:ind w:left="7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15:restartNumberingAfterBreak="0">
    <w:nsid w:val="44066460"/>
    <w:multiLevelType w:val="hybridMultilevel"/>
    <w:tmpl w:val="7B2E180A"/>
    <w:lvl w:ilvl="0" w:tplc="88525ADC">
      <w:start w:val="1"/>
      <w:numFmt w:val="decimal"/>
      <w:lvlText w:val="%1)"/>
      <w:lvlJc w:val="left"/>
      <w:pPr>
        <w:tabs>
          <w:tab w:val="num" w:pos="960"/>
        </w:tabs>
        <w:ind w:left="960" w:hanging="600"/>
      </w:pPr>
      <w:rPr>
        <w:rFonts w:hint="default"/>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671F63FE"/>
    <w:multiLevelType w:val="hybridMultilevel"/>
    <w:tmpl w:val="C232B2D8"/>
    <w:lvl w:ilvl="0" w:tplc="925E9C6A">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6B92034C"/>
    <w:multiLevelType w:val="multilevel"/>
    <w:tmpl w:val="0F685D2E"/>
    <w:lvl w:ilvl="0">
      <w:start w:val="1"/>
      <w:numFmt w:val="decimal"/>
      <w:lvlText w:val="%1."/>
      <w:lvlJc w:val="left"/>
      <w:pPr>
        <w:tabs>
          <w:tab w:val="num" w:pos="1080"/>
        </w:tabs>
        <w:ind w:left="1080" w:hanging="360"/>
      </w:pPr>
      <w:rPr>
        <w:rFonts w:hint="default"/>
      </w:rPr>
    </w:lvl>
    <w:lvl w:ilvl="1">
      <w:start w:val="1"/>
      <w:numFmt w:val="decimal"/>
      <w:isLgl/>
      <w:lvlText w:val="%2."/>
      <w:lvlJc w:val="left"/>
      <w:pPr>
        <w:tabs>
          <w:tab w:val="num" w:pos="1440"/>
        </w:tabs>
        <w:ind w:left="1440" w:hanging="720"/>
      </w:pPr>
      <w:rPr>
        <w:rFonts w:ascii="Times New Roman" w:eastAsia="Times New Roman" w:hAnsi="Times New Roman" w:cs="Times New Roman"/>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8" w15:restartNumberingAfterBreak="0">
    <w:nsid w:val="6D2567E4"/>
    <w:multiLevelType w:val="hybridMultilevel"/>
    <w:tmpl w:val="69C41E8A"/>
    <w:lvl w:ilvl="0" w:tplc="E794BF16">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15:restartNumberingAfterBreak="0">
    <w:nsid w:val="79FF7D5C"/>
    <w:multiLevelType w:val="hybridMultilevel"/>
    <w:tmpl w:val="1E226E6C"/>
    <w:lvl w:ilvl="0" w:tplc="0426000F">
      <w:start w:val="2"/>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6"/>
  </w:num>
  <w:num w:numId="5">
    <w:abstractNumId w:val="5"/>
  </w:num>
  <w:num w:numId="6">
    <w:abstractNumId w:val="7"/>
  </w:num>
  <w:num w:numId="7">
    <w:abstractNumId w:val="9"/>
  </w:num>
  <w:num w:numId="8">
    <w:abstractNumId w:val="8"/>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F03"/>
    <w:rsid w:val="00007D65"/>
    <w:rsid w:val="0001264C"/>
    <w:rsid w:val="00014991"/>
    <w:rsid w:val="000214BA"/>
    <w:rsid w:val="0003076A"/>
    <w:rsid w:val="00047959"/>
    <w:rsid w:val="00061F66"/>
    <w:rsid w:val="00074682"/>
    <w:rsid w:val="00086F61"/>
    <w:rsid w:val="00090059"/>
    <w:rsid w:val="000A6082"/>
    <w:rsid w:val="000B08E0"/>
    <w:rsid w:val="000C291D"/>
    <w:rsid w:val="000F59B0"/>
    <w:rsid w:val="00102E7B"/>
    <w:rsid w:val="00123A1A"/>
    <w:rsid w:val="001615D8"/>
    <w:rsid w:val="00165AE3"/>
    <w:rsid w:val="00167AD9"/>
    <w:rsid w:val="00173954"/>
    <w:rsid w:val="00176AD9"/>
    <w:rsid w:val="00181474"/>
    <w:rsid w:val="00184B9C"/>
    <w:rsid w:val="00185AEE"/>
    <w:rsid w:val="001913B4"/>
    <w:rsid w:val="001A621B"/>
    <w:rsid w:val="001B3361"/>
    <w:rsid w:val="001B4D35"/>
    <w:rsid w:val="001C0A53"/>
    <w:rsid w:val="001D065D"/>
    <w:rsid w:val="001D107F"/>
    <w:rsid w:val="001D7F67"/>
    <w:rsid w:val="001E1AF3"/>
    <w:rsid w:val="001E224F"/>
    <w:rsid w:val="001E789F"/>
    <w:rsid w:val="001F1817"/>
    <w:rsid w:val="001F2264"/>
    <w:rsid w:val="001F286C"/>
    <w:rsid w:val="00204DAA"/>
    <w:rsid w:val="00210B3F"/>
    <w:rsid w:val="00214D54"/>
    <w:rsid w:val="00225B4F"/>
    <w:rsid w:val="0024045F"/>
    <w:rsid w:val="00253225"/>
    <w:rsid w:val="0027133F"/>
    <w:rsid w:val="002838E8"/>
    <w:rsid w:val="002844A0"/>
    <w:rsid w:val="00294648"/>
    <w:rsid w:val="002A129F"/>
    <w:rsid w:val="002D1C8E"/>
    <w:rsid w:val="002D1D5F"/>
    <w:rsid w:val="002D3670"/>
    <w:rsid w:val="002E7349"/>
    <w:rsid w:val="002F03A3"/>
    <w:rsid w:val="002F09E1"/>
    <w:rsid w:val="002F1092"/>
    <w:rsid w:val="0030257B"/>
    <w:rsid w:val="0030459B"/>
    <w:rsid w:val="0030599D"/>
    <w:rsid w:val="00326A6F"/>
    <w:rsid w:val="0033117C"/>
    <w:rsid w:val="00333EE4"/>
    <w:rsid w:val="00337CBF"/>
    <w:rsid w:val="00346FA6"/>
    <w:rsid w:val="00351D9E"/>
    <w:rsid w:val="00362C18"/>
    <w:rsid w:val="00371CD5"/>
    <w:rsid w:val="003832C4"/>
    <w:rsid w:val="003A539F"/>
    <w:rsid w:val="003B0441"/>
    <w:rsid w:val="003B1DF6"/>
    <w:rsid w:val="003B1EAD"/>
    <w:rsid w:val="003B5F47"/>
    <w:rsid w:val="003C1202"/>
    <w:rsid w:val="003D07A0"/>
    <w:rsid w:val="003D3598"/>
    <w:rsid w:val="003D5AA7"/>
    <w:rsid w:val="003D6249"/>
    <w:rsid w:val="004015B8"/>
    <w:rsid w:val="00411254"/>
    <w:rsid w:val="004124A8"/>
    <w:rsid w:val="004146FC"/>
    <w:rsid w:val="004308FF"/>
    <w:rsid w:val="00432B40"/>
    <w:rsid w:val="004413DC"/>
    <w:rsid w:val="00445AD1"/>
    <w:rsid w:val="004601B3"/>
    <w:rsid w:val="00460651"/>
    <w:rsid w:val="00464118"/>
    <w:rsid w:val="004672CE"/>
    <w:rsid w:val="00467BC7"/>
    <w:rsid w:val="00475A1A"/>
    <w:rsid w:val="0047780F"/>
    <w:rsid w:val="004953C4"/>
    <w:rsid w:val="004A0D85"/>
    <w:rsid w:val="004A0FB3"/>
    <w:rsid w:val="004D5314"/>
    <w:rsid w:val="004E0E30"/>
    <w:rsid w:val="004E677A"/>
    <w:rsid w:val="004E6C8B"/>
    <w:rsid w:val="0051038F"/>
    <w:rsid w:val="00520D1A"/>
    <w:rsid w:val="00534B18"/>
    <w:rsid w:val="005400DB"/>
    <w:rsid w:val="005405E3"/>
    <w:rsid w:val="005425C5"/>
    <w:rsid w:val="00562FAC"/>
    <w:rsid w:val="00565D84"/>
    <w:rsid w:val="005744F7"/>
    <w:rsid w:val="005835F5"/>
    <w:rsid w:val="00591A15"/>
    <w:rsid w:val="0059406D"/>
    <w:rsid w:val="005B0F7A"/>
    <w:rsid w:val="005B7E94"/>
    <w:rsid w:val="005C1B5A"/>
    <w:rsid w:val="005D2ED9"/>
    <w:rsid w:val="005D5D7F"/>
    <w:rsid w:val="005E33A5"/>
    <w:rsid w:val="005F3A32"/>
    <w:rsid w:val="005F77AB"/>
    <w:rsid w:val="00607BCC"/>
    <w:rsid w:val="00612219"/>
    <w:rsid w:val="00616399"/>
    <w:rsid w:val="00617E32"/>
    <w:rsid w:val="00623C5C"/>
    <w:rsid w:val="006242C8"/>
    <w:rsid w:val="00624E0B"/>
    <w:rsid w:val="006402E2"/>
    <w:rsid w:val="00644569"/>
    <w:rsid w:val="00647581"/>
    <w:rsid w:val="00647B1C"/>
    <w:rsid w:val="00652253"/>
    <w:rsid w:val="00664B8F"/>
    <w:rsid w:val="0066733C"/>
    <w:rsid w:val="00672F14"/>
    <w:rsid w:val="00680220"/>
    <w:rsid w:val="00683BA6"/>
    <w:rsid w:val="006D47C6"/>
    <w:rsid w:val="006D591A"/>
    <w:rsid w:val="006E6DAE"/>
    <w:rsid w:val="00702672"/>
    <w:rsid w:val="0071094A"/>
    <w:rsid w:val="00713509"/>
    <w:rsid w:val="0074508F"/>
    <w:rsid w:val="00745729"/>
    <w:rsid w:val="00745AD2"/>
    <w:rsid w:val="00747A98"/>
    <w:rsid w:val="00771DAC"/>
    <w:rsid w:val="00774DF5"/>
    <w:rsid w:val="007823C3"/>
    <w:rsid w:val="007A522C"/>
    <w:rsid w:val="007B54B7"/>
    <w:rsid w:val="007B6CE9"/>
    <w:rsid w:val="007C58E7"/>
    <w:rsid w:val="007C753E"/>
    <w:rsid w:val="007D6DEF"/>
    <w:rsid w:val="007D6F0A"/>
    <w:rsid w:val="00807ADB"/>
    <w:rsid w:val="0081067A"/>
    <w:rsid w:val="008123B3"/>
    <w:rsid w:val="00816B9E"/>
    <w:rsid w:val="00826E4E"/>
    <w:rsid w:val="00827BB3"/>
    <w:rsid w:val="008340F2"/>
    <w:rsid w:val="00837504"/>
    <w:rsid w:val="008445FC"/>
    <w:rsid w:val="0086631E"/>
    <w:rsid w:val="00866362"/>
    <w:rsid w:val="00871C18"/>
    <w:rsid w:val="00871E04"/>
    <w:rsid w:val="00875291"/>
    <w:rsid w:val="0087691B"/>
    <w:rsid w:val="00890DC1"/>
    <w:rsid w:val="00892F8E"/>
    <w:rsid w:val="008A7FEA"/>
    <w:rsid w:val="008B21B7"/>
    <w:rsid w:val="008B4DC8"/>
    <w:rsid w:val="008B5E89"/>
    <w:rsid w:val="008B7110"/>
    <w:rsid w:val="008C586A"/>
    <w:rsid w:val="008E0045"/>
    <w:rsid w:val="008F2490"/>
    <w:rsid w:val="008F6C3D"/>
    <w:rsid w:val="00915D4C"/>
    <w:rsid w:val="00917470"/>
    <w:rsid w:val="00923B05"/>
    <w:rsid w:val="00925675"/>
    <w:rsid w:val="0094126F"/>
    <w:rsid w:val="0097029A"/>
    <w:rsid w:val="009736FD"/>
    <w:rsid w:val="00981343"/>
    <w:rsid w:val="00982CE4"/>
    <w:rsid w:val="009836B9"/>
    <w:rsid w:val="00987316"/>
    <w:rsid w:val="00995D1C"/>
    <w:rsid w:val="009A3FD0"/>
    <w:rsid w:val="009F1753"/>
    <w:rsid w:val="009F2868"/>
    <w:rsid w:val="009F462C"/>
    <w:rsid w:val="00A03FCF"/>
    <w:rsid w:val="00A05CB5"/>
    <w:rsid w:val="00A14BB2"/>
    <w:rsid w:val="00A158ED"/>
    <w:rsid w:val="00A16986"/>
    <w:rsid w:val="00A1725B"/>
    <w:rsid w:val="00A24192"/>
    <w:rsid w:val="00A41164"/>
    <w:rsid w:val="00A45454"/>
    <w:rsid w:val="00A5306F"/>
    <w:rsid w:val="00A6341A"/>
    <w:rsid w:val="00A734F9"/>
    <w:rsid w:val="00A76182"/>
    <w:rsid w:val="00A76AA0"/>
    <w:rsid w:val="00A87797"/>
    <w:rsid w:val="00AB00CA"/>
    <w:rsid w:val="00AC3676"/>
    <w:rsid w:val="00AD4AC4"/>
    <w:rsid w:val="00AE206B"/>
    <w:rsid w:val="00AE43D4"/>
    <w:rsid w:val="00AF3112"/>
    <w:rsid w:val="00AF56EF"/>
    <w:rsid w:val="00B00B82"/>
    <w:rsid w:val="00B110F2"/>
    <w:rsid w:val="00B12347"/>
    <w:rsid w:val="00B200A6"/>
    <w:rsid w:val="00B45F88"/>
    <w:rsid w:val="00B5628E"/>
    <w:rsid w:val="00B67018"/>
    <w:rsid w:val="00B8360B"/>
    <w:rsid w:val="00B87152"/>
    <w:rsid w:val="00B9046C"/>
    <w:rsid w:val="00BB0CC5"/>
    <w:rsid w:val="00BB6B52"/>
    <w:rsid w:val="00BC42C4"/>
    <w:rsid w:val="00BC719B"/>
    <w:rsid w:val="00BD09E0"/>
    <w:rsid w:val="00BD336F"/>
    <w:rsid w:val="00BD41E2"/>
    <w:rsid w:val="00BD53AD"/>
    <w:rsid w:val="00BD712B"/>
    <w:rsid w:val="00BE6F9B"/>
    <w:rsid w:val="00C074E7"/>
    <w:rsid w:val="00C16B33"/>
    <w:rsid w:val="00C37CD8"/>
    <w:rsid w:val="00C5784C"/>
    <w:rsid w:val="00C81069"/>
    <w:rsid w:val="00C82BC1"/>
    <w:rsid w:val="00C87738"/>
    <w:rsid w:val="00C91DF6"/>
    <w:rsid w:val="00CC11C4"/>
    <w:rsid w:val="00CC43AB"/>
    <w:rsid w:val="00CE06FD"/>
    <w:rsid w:val="00CE6545"/>
    <w:rsid w:val="00D13168"/>
    <w:rsid w:val="00D13B78"/>
    <w:rsid w:val="00D279F1"/>
    <w:rsid w:val="00D355E5"/>
    <w:rsid w:val="00D37CE6"/>
    <w:rsid w:val="00D45780"/>
    <w:rsid w:val="00D51FA5"/>
    <w:rsid w:val="00D65EE4"/>
    <w:rsid w:val="00D71A7A"/>
    <w:rsid w:val="00D75D2B"/>
    <w:rsid w:val="00D82310"/>
    <w:rsid w:val="00DA06FA"/>
    <w:rsid w:val="00DA2EAC"/>
    <w:rsid w:val="00DA3F0C"/>
    <w:rsid w:val="00DA3F29"/>
    <w:rsid w:val="00DA4B45"/>
    <w:rsid w:val="00DB7AC3"/>
    <w:rsid w:val="00DC5737"/>
    <w:rsid w:val="00DD2B03"/>
    <w:rsid w:val="00DD48AB"/>
    <w:rsid w:val="00DD5B55"/>
    <w:rsid w:val="00DE152B"/>
    <w:rsid w:val="00DE2F03"/>
    <w:rsid w:val="00DF19F1"/>
    <w:rsid w:val="00E01E21"/>
    <w:rsid w:val="00E043FB"/>
    <w:rsid w:val="00E11D0D"/>
    <w:rsid w:val="00E338B0"/>
    <w:rsid w:val="00E367D7"/>
    <w:rsid w:val="00E37ED8"/>
    <w:rsid w:val="00E50036"/>
    <w:rsid w:val="00E5737D"/>
    <w:rsid w:val="00E60710"/>
    <w:rsid w:val="00E6157C"/>
    <w:rsid w:val="00E776D1"/>
    <w:rsid w:val="00EB6BD4"/>
    <w:rsid w:val="00ED2D0F"/>
    <w:rsid w:val="00ED65FD"/>
    <w:rsid w:val="00EF3810"/>
    <w:rsid w:val="00EF4579"/>
    <w:rsid w:val="00F0599C"/>
    <w:rsid w:val="00F12466"/>
    <w:rsid w:val="00F15720"/>
    <w:rsid w:val="00F4250E"/>
    <w:rsid w:val="00F521E0"/>
    <w:rsid w:val="00F54667"/>
    <w:rsid w:val="00F63C2F"/>
    <w:rsid w:val="00F66E17"/>
    <w:rsid w:val="00F708F5"/>
    <w:rsid w:val="00F76CB1"/>
    <w:rsid w:val="00F91087"/>
    <w:rsid w:val="00FA10C7"/>
    <w:rsid w:val="00FA33F9"/>
    <w:rsid w:val="00FA4339"/>
    <w:rsid w:val="00FE2F9B"/>
    <w:rsid w:val="00FE66B3"/>
    <w:rsid w:val="00FF44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088182"/>
  <w15:docId w15:val="{A61B362D-ABA5-4702-87E4-E64C8976F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Pr>
      <w:sz w:val="24"/>
      <w:szCs w:val="24"/>
    </w:rPr>
  </w:style>
  <w:style w:type="paragraph" w:styleId="Virsraksts2">
    <w:name w:val="heading 2"/>
    <w:basedOn w:val="Parasts"/>
    <w:next w:val="Parasts"/>
    <w:qFormat/>
    <w:rsid w:val="008123B3"/>
    <w:pPr>
      <w:keepNext/>
      <w:spacing w:before="240" w:after="60"/>
      <w:outlineLvl w:val="1"/>
    </w:pPr>
    <w:rPr>
      <w:rFonts w:ascii="Arial" w:hAnsi="Arial" w:cs="Arial"/>
      <w:b/>
      <w:bCs/>
      <w:i/>
      <w:i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A16986"/>
    <w:pPr>
      <w:spacing w:before="100" w:beforeAutospacing="1" w:after="100" w:afterAutospacing="1"/>
    </w:pPr>
  </w:style>
  <w:style w:type="paragraph" w:customStyle="1" w:styleId="naisvisr">
    <w:name w:val="naisvisr"/>
    <w:basedOn w:val="Parasts"/>
    <w:rsid w:val="00A16986"/>
    <w:pPr>
      <w:spacing w:before="100" w:beforeAutospacing="1" w:after="100" w:afterAutospacing="1"/>
    </w:pPr>
  </w:style>
  <w:style w:type="character" w:styleId="Hipersaite">
    <w:name w:val="Hyperlink"/>
    <w:basedOn w:val="Noklusjumarindkopasfonts"/>
    <w:rsid w:val="00DE2F03"/>
    <w:rPr>
      <w:color w:val="0000FF"/>
      <w:u w:val="single"/>
    </w:rPr>
  </w:style>
  <w:style w:type="paragraph" w:customStyle="1" w:styleId="naisnod">
    <w:name w:val="naisnod"/>
    <w:basedOn w:val="Parasts"/>
    <w:rsid w:val="00DE2F03"/>
    <w:pPr>
      <w:spacing w:before="100" w:beforeAutospacing="1" w:after="100" w:afterAutospacing="1"/>
    </w:pPr>
  </w:style>
  <w:style w:type="paragraph" w:customStyle="1" w:styleId="naisf">
    <w:name w:val="naisf"/>
    <w:basedOn w:val="Parasts"/>
    <w:rsid w:val="00DE2F03"/>
    <w:pPr>
      <w:spacing w:before="100" w:beforeAutospacing="1" w:after="100" w:afterAutospacing="1"/>
    </w:pPr>
  </w:style>
  <w:style w:type="paragraph" w:customStyle="1" w:styleId="naisc">
    <w:name w:val="naisc"/>
    <w:basedOn w:val="Parasts"/>
    <w:rsid w:val="00DE2F03"/>
    <w:pPr>
      <w:spacing w:before="100" w:beforeAutospacing="1" w:after="100" w:afterAutospacing="1"/>
    </w:pPr>
  </w:style>
  <w:style w:type="paragraph" w:customStyle="1" w:styleId="naiskr">
    <w:name w:val="naiskr"/>
    <w:basedOn w:val="Parasts"/>
    <w:rsid w:val="00DE2F03"/>
    <w:pPr>
      <w:spacing w:before="100" w:beforeAutospacing="1" w:after="100" w:afterAutospacing="1"/>
    </w:pPr>
  </w:style>
  <w:style w:type="paragraph" w:styleId="Galvene">
    <w:name w:val="header"/>
    <w:basedOn w:val="Parasts"/>
    <w:rsid w:val="001C0A53"/>
    <w:pPr>
      <w:tabs>
        <w:tab w:val="center" w:pos="4153"/>
        <w:tab w:val="right" w:pos="8306"/>
      </w:tabs>
    </w:pPr>
  </w:style>
  <w:style w:type="paragraph" w:styleId="Kjene">
    <w:name w:val="footer"/>
    <w:basedOn w:val="Parasts"/>
    <w:link w:val="KjeneRakstz"/>
    <w:rsid w:val="001C0A53"/>
    <w:pPr>
      <w:tabs>
        <w:tab w:val="center" w:pos="4153"/>
        <w:tab w:val="right" w:pos="8306"/>
      </w:tabs>
    </w:pPr>
  </w:style>
  <w:style w:type="character" w:styleId="Lappusesnumurs">
    <w:name w:val="page number"/>
    <w:basedOn w:val="Noklusjumarindkopasfonts"/>
    <w:rsid w:val="001C0A53"/>
  </w:style>
  <w:style w:type="character" w:customStyle="1" w:styleId="KjeneRakstz">
    <w:name w:val="Kājene Rakstz."/>
    <w:basedOn w:val="Noklusjumarindkopasfonts"/>
    <w:link w:val="Kjene"/>
    <w:locked/>
    <w:rsid w:val="00623C5C"/>
    <w:rPr>
      <w:sz w:val="24"/>
      <w:szCs w:val="24"/>
      <w:lang w:val="lv-LV" w:eastAsia="lv-LV" w:bidi="ar-SA"/>
    </w:rPr>
  </w:style>
  <w:style w:type="paragraph" w:styleId="Vresteksts">
    <w:name w:val="footnote text"/>
    <w:basedOn w:val="Parasts"/>
    <w:semiHidden/>
    <w:rsid w:val="00AF3112"/>
    <w:rPr>
      <w:sz w:val="20"/>
      <w:szCs w:val="20"/>
    </w:rPr>
  </w:style>
  <w:style w:type="paragraph" w:styleId="Paraststmeklis">
    <w:name w:val="Normal (Web)"/>
    <w:basedOn w:val="Parasts"/>
    <w:rsid w:val="00F76CB1"/>
    <w:pPr>
      <w:spacing w:before="100" w:after="100"/>
    </w:pPr>
  </w:style>
  <w:style w:type="character" w:styleId="Izteiksmgs">
    <w:name w:val="Strong"/>
    <w:basedOn w:val="Noklusjumarindkopasfonts"/>
    <w:qFormat/>
    <w:rsid w:val="00866362"/>
    <w:rPr>
      <w:b/>
      <w:bCs/>
    </w:rPr>
  </w:style>
  <w:style w:type="paragraph" w:customStyle="1" w:styleId="CharCharRakstzCharCharRakstzCharChar">
    <w:name w:val="Char Char Rakstz. Char Char Rakstz. Char Char"/>
    <w:basedOn w:val="Parasts"/>
    <w:rsid w:val="008123B3"/>
    <w:pPr>
      <w:spacing w:before="40"/>
    </w:pPr>
    <w:rPr>
      <w:lang w:val="pl-PL" w:eastAsia="pl-PL"/>
    </w:rPr>
  </w:style>
  <w:style w:type="paragraph" w:styleId="Pamatteksts">
    <w:name w:val="Body Text"/>
    <w:basedOn w:val="Parasts"/>
    <w:rsid w:val="008123B3"/>
    <w:pPr>
      <w:spacing w:after="120"/>
    </w:pPr>
    <w:rPr>
      <w:lang w:val="en-GB" w:eastAsia="en-US"/>
    </w:rPr>
  </w:style>
  <w:style w:type="character" w:customStyle="1" w:styleId="SigitaRubene">
    <w:name w:val="Sigita.Rubene"/>
    <w:basedOn w:val="Noklusjumarindkopasfonts"/>
    <w:semiHidden/>
    <w:rsid w:val="008123B3"/>
    <w:rPr>
      <w:rFonts w:ascii="Comic Sans MS" w:hAnsi="Comic Sans MS" w:cs="Arial" w:hint="default"/>
      <w:color w:val="auto"/>
      <w:sz w:val="24"/>
      <w:szCs w:val="24"/>
    </w:rPr>
  </w:style>
  <w:style w:type="paragraph" w:styleId="Nosaukums">
    <w:name w:val="Title"/>
    <w:basedOn w:val="Parasts"/>
    <w:qFormat/>
    <w:rsid w:val="00E37ED8"/>
    <w:pPr>
      <w:jc w:val="center"/>
    </w:pPr>
    <w:rPr>
      <w:sz w:val="28"/>
      <w:szCs w:val="20"/>
      <w:lang w:eastAsia="en-US"/>
    </w:rPr>
  </w:style>
  <w:style w:type="paragraph" w:customStyle="1" w:styleId="CharChar1">
    <w:name w:val="Char Char1"/>
    <w:basedOn w:val="Parasts"/>
    <w:next w:val="Parasts"/>
    <w:rsid w:val="001615D8"/>
    <w:pPr>
      <w:spacing w:after="160" w:line="240" w:lineRule="exact"/>
    </w:pPr>
    <w:rPr>
      <w:rFonts w:ascii="Tahoma" w:hAnsi="Tahoma"/>
      <w:szCs w:val="20"/>
      <w:lang w:val="en-US" w:eastAsia="en-US"/>
    </w:rPr>
  </w:style>
  <w:style w:type="paragraph" w:styleId="Balonteksts">
    <w:name w:val="Balloon Text"/>
    <w:basedOn w:val="Parasts"/>
    <w:link w:val="BalontekstsRakstz"/>
    <w:rsid w:val="004A0FB3"/>
    <w:rPr>
      <w:rFonts w:ascii="Tahoma" w:hAnsi="Tahoma" w:cs="Tahoma"/>
      <w:sz w:val="16"/>
      <w:szCs w:val="16"/>
      <w:lang w:val="en-US" w:eastAsia="en-US"/>
    </w:rPr>
  </w:style>
  <w:style w:type="character" w:customStyle="1" w:styleId="BalontekstsRakstz">
    <w:name w:val="Balonteksts Rakstz."/>
    <w:basedOn w:val="Noklusjumarindkopasfonts"/>
    <w:link w:val="Balonteksts"/>
    <w:rsid w:val="004A0FB3"/>
    <w:rPr>
      <w:rFonts w:ascii="Tahoma" w:hAnsi="Tahoma" w:cs="Tahoma"/>
      <w:sz w:val="16"/>
      <w:szCs w:val="16"/>
      <w:lang w:val="en-US" w:eastAsia="en-US" w:bidi="ar-SA"/>
    </w:rPr>
  </w:style>
  <w:style w:type="paragraph" w:styleId="Komentrateksts">
    <w:name w:val="annotation text"/>
    <w:basedOn w:val="Parasts"/>
    <w:link w:val="KomentratekstsRakstz"/>
    <w:semiHidden/>
    <w:rsid w:val="0087691B"/>
    <w:rPr>
      <w:sz w:val="20"/>
      <w:szCs w:val="20"/>
    </w:rPr>
  </w:style>
  <w:style w:type="character" w:customStyle="1" w:styleId="KomentratekstsRakstz">
    <w:name w:val="Komentāra teksts Rakstz."/>
    <w:basedOn w:val="Noklusjumarindkopasfonts"/>
    <w:link w:val="Komentrateksts"/>
    <w:rsid w:val="0087691B"/>
    <w:rPr>
      <w:lang w:val="lv-LV" w:eastAsia="lv-LV" w:bidi="ar-SA"/>
    </w:rPr>
  </w:style>
  <w:style w:type="paragraph" w:styleId="Sarakstarindkopa">
    <w:name w:val="List Paragraph"/>
    <w:basedOn w:val="Parasts"/>
    <w:uiPriority w:val="34"/>
    <w:qFormat/>
    <w:rsid w:val="005D2ED9"/>
    <w:pPr>
      <w:ind w:left="720"/>
      <w:contextualSpacing/>
    </w:pPr>
  </w:style>
  <w:style w:type="character" w:styleId="Neatrisintapieminana">
    <w:name w:val="Unresolved Mention"/>
    <w:basedOn w:val="Noklusjumarindkopasfonts"/>
    <w:uiPriority w:val="99"/>
    <w:semiHidden/>
    <w:unhideWhenUsed/>
    <w:rsid w:val="002844A0"/>
    <w:rPr>
      <w:color w:val="605E5C"/>
      <w:shd w:val="clear" w:color="auto" w:fill="E1DFDD"/>
    </w:rPr>
  </w:style>
  <w:style w:type="character" w:styleId="Komentraatsauce">
    <w:name w:val="annotation reference"/>
    <w:basedOn w:val="Noklusjumarindkopasfonts"/>
    <w:semiHidden/>
    <w:unhideWhenUsed/>
    <w:rsid w:val="004308FF"/>
    <w:rPr>
      <w:sz w:val="16"/>
      <w:szCs w:val="16"/>
    </w:rPr>
  </w:style>
  <w:style w:type="paragraph" w:styleId="Komentratma">
    <w:name w:val="annotation subject"/>
    <w:basedOn w:val="Komentrateksts"/>
    <w:next w:val="Komentrateksts"/>
    <w:link w:val="KomentratmaRakstz"/>
    <w:semiHidden/>
    <w:unhideWhenUsed/>
    <w:rsid w:val="004308FF"/>
    <w:rPr>
      <w:b/>
      <w:bCs/>
    </w:rPr>
  </w:style>
  <w:style w:type="character" w:customStyle="1" w:styleId="KomentratmaRakstz">
    <w:name w:val="Komentāra tēma Rakstz."/>
    <w:basedOn w:val="KomentratekstsRakstz"/>
    <w:link w:val="Komentratma"/>
    <w:semiHidden/>
    <w:rsid w:val="004308FF"/>
    <w:rPr>
      <w:b/>
      <w:bCs/>
      <w:lang w:val="lv-LV"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537741">
      <w:bodyDiv w:val="1"/>
      <w:marLeft w:val="0"/>
      <w:marRight w:val="0"/>
      <w:marTop w:val="0"/>
      <w:marBottom w:val="0"/>
      <w:divBdr>
        <w:top w:val="none" w:sz="0" w:space="0" w:color="auto"/>
        <w:left w:val="none" w:sz="0" w:space="0" w:color="auto"/>
        <w:bottom w:val="none" w:sz="0" w:space="0" w:color="auto"/>
        <w:right w:val="none" w:sz="0" w:space="0" w:color="auto"/>
      </w:divBdr>
    </w:div>
    <w:div w:id="258487572">
      <w:bodyDiv w:val="1"/>
      <w:marLeft w:val="0"/>
      <w:marRight w:val="0"/>
      <w:marTop w:val="0"/>
      <w:marBottom w:val="0"/>
      <w:divBdr>
        <w:top w:val="none" w:sz="0" w:space="0" w:color="auto"/>
        <w:left w:val="none" w:sz="0" w:space="0" w:color="auto"/>
        <w:bottom w:val="none" w:sz="0" w:space="0" w:color="auto"/>
        <w:right w:val="none" w:sz="0" w:space="0" w:color="auto"/>
      </w:divBdr>
    </w:div>
    <w:div w:id="774403678">
      <w:bodyDiv w:val="1"/>
      <w:marLeft w:val="0"/>
      <w:marRight w:val="0"/>
      <w:marTop w:val="0"/>
      <w:marBottom w:val="0"/>
      <w:divBdr>
        <w:top w:val="none" w:sz="0" w:space="0" w:color="auto"/>
        <w:left w:val="none" w:sz="0" w:space="0" w:color="auto"/>
        <w:bottom w:val="none" w:sz="0" w:space="0" w:color="auto"/>
        <w:right w:val="none" w:sz="0" w:space="0" w:color="auto"/>
      </w:divBdr>
    </w:div>
    <w:div w:id="1016080306">
      <w:bodyDiv w:val="1"/>
      <w:marLeft w:val="0"/>
      <w:marRight w:val="0"/>
      <w:marTop w:val="0"/>
      <w:marBottom w:val="0"/>
      <w:divBdr>
        <w:top w:val="none" w:sz="0" w:space="0" w:color="auto"/>
        <w:left w:val="none" w:sz="0" w:space="0" w:color="auto"/>
        <w:bottom w:val="none" w:sz="0" w:space="0" w:color="auto"/>
        <w:right w:val="none" w:sz="0" w:space="0" w:color="auto"/>
      </w:divBdr>
    </w:div>
    <w:div w:id="1899854465">
      <w:bodyDiv w:val="1"/>
      <w:marLeft w:val="0"/>
      <w:marRight w:val="0"/>
      <w:marTop w:val="0"/>
      <w:marBottom w:val="0"/>
      <w:divBdr>
        <w:top w:val="none" w:sz="0" w:space="0" w:color="auto"/>
        <w:left w:val="none" w:sz="0" w:space="0" w:color="auto"/>
        <w:bottom w:val="none" w:sz="0" w:space="0" w:color="auto"/>
        <w:right w:val="none" w:sz="0" w:space="0" w:color="auto"/>
      </w:divBdr>
    </w:div>
    <w:div w:id="209658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mailto:aija.tora@z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lita.vecuma-veco\Application%20Data\Microsoft\Veidnes\Parasta%20veidlapa_2009.dot"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Parasta veidlapa_2009</Template>
  <TotalTime>284</TotalTime>
  <Pages>4</Pages>
  <Words>648</Words>
  <Characters>4652</Characters>
  <Application>Microsoft Office Word</Application>
  <DocSecurity>0</DocSecurity>
  <Lines>38</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par Ministru kabineta noteikumu projektu "Zirgu infekciozās anēmijas uzraudzības, kontroles un apkarošanas kārtība"</vt:lpstr>
      <vt:lpstr>Izziņa par atzinumos sniegtajiem iebildumiem par Ministru kabineta noteikumu projektu "Zirgu infekciozās anēmijas uzraudzības, kontroles un apkarošanas kārtība"</vt:lpstr>
    </vt:vector>
  </TitlesOfParts>
  <Company>Zemkopības ministrija</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"Zirgu infekciozās anēmijas uzraudzības, kontroles un apkarošanas kārtība"</dc:title>
  <dc:subject>Izziņa</dc:subject>
  <dc:creator>Aija Tora</dc:creator>
  <cp:keywords/>
  <dc:description>Tora 67027620 aija.tora@zm.gov.lv</dc:description>
  <cp:lastModifiedBy>Sanita Papinova</cp:lastModifiedBy>
  <cp:revision>11</cp:revision>
  <dcterms:created xsi:type="dcterms:W3CDTF">2021-03-16T12:42:00Z</dcterms:created>
  <dcterms:modified xsi:type="dcterms:W3CDTF">2021-05-06T12:10:00Z</dcterms:modified>
</cp:coreProperties>
</file>