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9F07" w14:textId="525357CC" w:rsidR="002B15FE" w:rsidRPr="000A20AD" w:rsidRDefault="002B15FE" w:rsidP="00F2270C">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Izziņa par atzinumos sniegtajiem iebildumiem</w:t>
      </w:r>
      <w:r w:rsidR="00820EE5" w:rsidRPr="000A20AD">
        <w:rPr>
          <w:rFonts w:ascii="Times New Roman" w:eastAsia="Times New Roman" w:hAnsi="Times New Roman" w:cs="Times New Roman"/>
          <w:b/>
          <w:lang w:eastAsia="lv-LV"/>
        </w:rPr>
        <w:t xml:space="preserve"> un priekšlikumiem</w:t>
      </w:r>
    </w:p>
    <w:p w14:paraId="55F154B3" w14:textId="438561AC" w:rsidR="001557B8" w:rsidRPr="000A20AD" w:rsidRDefault="0004575C" w:rsidP="002B15FE">
      <w:pPr>
        <w:spacing w:after="0" w:line="240" w:lineRule="auto"/>
        <w:ind w:left="2410" w:right="2663"/>
        <w:jc w:val="center"/>
        <w:rPr>
          <w:rFonts w:ascii="Times New Roman" w:eastAsia="Times New Roman" w:hAnsi="Times New Roman" w:cs="Times New Roman"/>
          <w:b/>
          <w:bCs/>
          <w:lang w:eastAsia="lv-LV"/>
        </w:rPr>
      </w:pPr>
      <w:r w:rsidRPr="000A20AD">
        <w:rPr>
          <w:rFonts w:ascii="Times New Roman" w:eastAsia="Times New Roman" w:hAnsi="Times New Roman" w:cs="Times New Roman"/>
          <w:b/>
          <w:bCs/>
          <w:lang w:eastAsia="lv-LV"/>
        </w:rPr>
        <w:t>Ministru kabineta noteikumu projektam</w:t>
      </w:r>
      <w:r w:rsidR="000A20AD" w:rsidRPr="000A20AD">
        <w:rPr>
          <w:rFonts w:ascii="Times New Roman" w:eastAsia="Times New Roman" w:hAnsi="Times New Roman" w:cs="Times New Roman"/>
          <w:b/>
          <w:bCs/>
          <w:lang w:eastAsia="lv-LV"/>
        </w:rPr>
        <w:t xml:space="preserve"> </w:t>
      </w:r>
      <w:r w:rsidR="00E2552E" w:rsidRPr="000A20AD">
        <w:rPr>
          <w:rFonts w:ascii="Times New Roman" w:eastAsia="Times New Roman" w:hAnsi="Times New Roman" w:cs="Times New Roman"/>
          <w:b/>
          <w:bCs/>
          <w:lang w:eastAsia="lv-LV"/>
        </w:rPr>
        <w:t>“</w:t>
      </w:r>
      <w:r w:rsidRPr="000A20AD">
        <w:rPr>
          <w:rFonts w:ascii="Times New Roman" w:hAnsi="Times New Roman" w:cs="Times New Roman"/>
          <w:b/>
          <w:sz w:val="24"/>
          <w:szCs w:val="24"/>
        </w:rPr>
        <w:t xml:space="preserve">Kārtība, kādā piemēro izņēmumus pilsoņu iesaukšanai aktīvajā dienestā un iedzīvotāju mobilizāciju civilās aizsardzības formējumos un civilās aizsardzības pasākumu veikšanai, </w:t>
      </w:r>
      <w:r w:rsidRPr="000A20AD">
        <w:rPr>
          <w:rFonts w:ascii="Times New Roman" w:eastAsia="Times New Roman" w:hAnsi="Times New Roman" w:cs="Times New Roman"/>
          <w:b/>
          <w:sz w:val="24"/>
          <w:szCs w:val="24"/>
          <w:lang w:eastAsia="lv-LV"/>
        </w:rPr>
        <w:t>kā arī kārtība, kādā Nacionālo bruņoto spēku rezerves uzskaites struktūrvienību informē par minētajām personām, kurām piemērots izņēmums</w:t>
      </w:r>
      <w:r w:rsidR="00E2552E" w:rsidRPr="000A20AD">
        <w:rPr>
          <w:rFonts w:ascii="Times New Roman" w:eastAsia="Times New Roman" w:hAnsi="Times New Roman" w:cs="Times New Roman"/>
          <w:b/>
          <w:bCs/>
          <w:lang w:eastAsia="lv-LV"/>
        </w:rPr>
        <w:t>” (VSS-</w:t>
      </w:r>
      <w:r w:rsidRPr="000A20AD">
        <w:rPr>
          <w:rFonts w:ascii="Times New Roman" w:eastAsia="Times New Roman" w:hAnsi="Times New Roman" w:cs="Times New Roman"/>
          <w:b/>
          <w:bCs/>
          <w:lang w:eastAsia="lv-LV"/>
        </w:rPr>
        <w:t>56</w:t>
      </w:r>
      <w:r w:rsidR="00E2552E" w:rsidRPr="000A20AD">
        <w:rPr>
          <w:rFonts w:ascii="Times New Roman" w:eastAsia="Times New Roman" w:hAnsi="Times New Roman" w:cs="Times New Roman"/>
          <w:b/>
          <w:bCs/>
          <w:lang w:eastAsia="lv-LV"/>
        </w:rPr>
        <w:t>)</w:t>
      </w:r>
    </w:p>
    <w:p w14:paraId="69A7C52A" w14:textId="77777777" w:rsidR="002B15FE" w:rsidRPr="000A20AD" w:rsidRDefault="002B15FE" w:rsidP="002B15FE">
      <w:pPr>
        <w:spacing w:after="0" w:line="240" w:lineRule="auto"/>
        <w:ind w:left="2410" w:right="2663"/>
        <w:jc w:val="center"/>
        <w:rPr>
          <w:rFonts w:ascii="Times New Roman" w:eastAsia="Times New Roman" w:hAnsi="Times New Roman" w:cs="Times New Roman"/>
          <w:b/>
          <w:lang w:eastAsia="lv-LV"/>
        </w:rPr>
      </w:pPr>
    </w:p>
    <w:p w14:paraId="6443C8D4" w14:textId="77777777" w:rsidR="002B15FE" w:rsidRPr="000A20AD" w:rsidRDefault="002B15FE" w:rsidP="00A0575B">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Informācija par starpministriju (starpinstitūciju) sanāksmi vai elektronisko saskaņošanu</w:t>
      </w:r>
    </w:p>
    <w:p w14:paraId="177C4E6D" w14:textId="77777777" w:rsidR="002B15FE" w:rsidRPr="000A20AD" w:rsidRDefault="002B15FE" w:rsidP="002B15FE">
      <w:pPr>
        <w:spacing w:after="0" w:line="240" w:lineRule="auto"/>
        <w:jc w:val="both"/>
        <w:rPr>
          <w:rFonts w:ascii="Times New Roman" w:eastAsia="Times New Roman" w:hAnsi="Times New Roman" w:cs="Times New Roman"/>
          <w:b/>
          <w:lang w:eastAsia="lv-LV"/>
        </w:rPr>
      </w:pPr>
    </w:p>
    <w:tbl>
      <w:tblPr>
        <w:tblW w:w="12393" w:type="dxa"/>
        <w:tblLook w:val="00A0" w:firstRow="1" w:lastRow="0" w:firstColumn="1" w:lastColumn="0" w:noHBand="0" w:noVBand="0"/>
      </w:tblPr>
      <w:tblGrid>
        <w:gridCol w:w="7509"/>
        <w:gridCol w:w="429"/>
        <w:gridCol w:w="4402"/>
        <w:gridCol w:w="53"/>
      </w:tblGrid>
      <w:tr w:rsidR="00635090" w:rsidRPr="000A20AD" w14:paraId="5A925A5B" w14:textId="77777777" w:rsidTr="00AC62D2">
        <w:trPr>
          <w:gridAfter w:val="1"/>
          <w:wAfter w:w="53" w:type="dxa"/>
        </w:trPr>
        <w:tc>
          <w:tcPr>
            <w:tcW w:w="7509" w:type="dxa"/>
            <w:hideMark/>
          </w:tcPr>
          <w:p w14:paraId="16D9642C" w14:textId="77777777" w:rsidR="002B15FE" w:rsidRPr="000A20AD" w:rsidRDefault="002B15FE" w:rsidP="002B15FE">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Datums</w:t>
            </w:r>
          </w:p>
        </w:tc>
        <w:tc>
          <w:tcPr>
            <w:tcW w:w="4831" w:type="dxa"/>
            <w:gridSpan w:val="2"/>
            <w:tcBorders>
              <w:top w:val="nil"/>
              <w:left w:val="nil"/>
              <w:bottom w:val="single" w:sz="4" w:space="0" w:color="auto"/>
              <w:right w:val="nil"/>
            </w:tcBorders>
            <w:hideMark/>
          </w:tcPr>
          <w:p w14:paraId="10B2CB26" w14:textId="234A56EC" w:rsidR="00D437DF" w:rsidRPr="000A20AD" w:rsidRDefault="006A5C3E" w:rsidP="000E0EB3">
            <w:pPr>
              <w:spacing w:after="0" w:line="240" w:lineRule="auto"/>
              <w:ind w:firstLine="460"/>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E</w:t>
            </w:r>
            <w:r w:rsidR="00434FA6" w:rsidRPr="000A20AD">
              <w:rPr>
                <w:rFonts w:ascii="Times New Roman" w:eastAsia="Times New Roman" w:hAnsi="Times New Roman" w:cs="Times New Roman"/>
                <w:lang w:eastAsia="lv-LV"/>
              </w:rPr>
              <w:t>lektroniskā saskaņošana</w:t>
            </w:r>
            <w:r w:rsidRPr="000A20AD">
              <w:rPr>
                <w:rFonts w:ascii="Times New Roman" w:eastAsia="Times New Roman" w:hAnsi="Times New Roman" w:cs="Times New Roman"/>
                <w:lang w:eastAsia="lv-LV"/>
              </w:rPr>
              <w:t xml:space="preserve"> </w:t>
            </w:r>
            <w:r w:rsidR="00012DD5" w:rsidRPr="000A20AD">
              <w:rPr>
                <w:rFonts w:ascii="Times New Roman" w:eastAsia="Times New Roman" w:hAnsi="Times New Roman" w:cs="Times New Roman"/>
                <w:lang w:eastAsia="lv-LV"/>
              </w:rPr>
              <w:t>16</w:t>
            </w:r>
            <w:r w:rsidR="00911706" w:rsidRPr="000A20AD">
              <w:rPr>
                <w:rFonts w:ascii="Times New Roman" w:eastAsia="Times New Roman" w:hAnsi="Times New Roman" w:cs="Times New Roman"/>
                <w:lang w:eastAsia="lv-LV"/>
              </w:rPr>
              <w:t>.</w:t>
            </w:r>
            <w:r w:rsidR="00A1712C" w:rsidRPr="000A20AD">
              <w:rPr>
                <w:rFonts w:ascii="Times New Roman" w:eastAsia="Times New Roman" w:hAnsi="Times New Roman" w:cs="Times New Roman"/>
                <w:lang w:eastAsia="lv-LV"/>
              </w:rPr>
              <w:t>0</w:t>
            </w:r>
            <w:r w:rsidR="00012DD5" w:rsidRPr="000A20AD">
              <w:rPr>
                <w:rFonts w:ascii="Times New Roman" w:eastAsia="Times New Roman" w:hAnsi="Times New Roman" w:cs="Times New Roman"/>
                <w:lang w:eastAsia="lv-LV"/>
              </w:rPr>
              <w:t>4</w:t>
            </w:r>
            <w:r w:rsidR="00911706" w:rsidRPr="000A20AD">
              <w:rPr>
                <w:rFonts w:ascii="Times New Roman" w:eastAsia="Times New Roman" w:hAnsi="Times New Roman" w:cs="Times New Roman"/>
                <w:lang w:eastAsia="lv-LV"/>
              </w:rPr>
              <w:t>.202</w:t>
            </w:r>
            <w:r w:rsidR="0004575C" w:rsidRPr="000A20AD">
              <w:rPr>
                <w:rFonts w:ascii="Times New Roman" w:eastAsia="Times New Roman" w:hAnsi="Times New Roman" w:cs="Times New Roman"/>
                <w:lang w:eastAsia="lv-LV"/>
              </w:rPr>
              <w:t>1</w:t>
            </w:r>
            <w:r w:rsidR="00911706" w:rsidRPr="000A20AD">
              <w:rPr>
                <w:rFonts w:ascii="Times New Roman" w:eastAsia="Times New Roman" w:hAnsi="Times New Roman" w:cs="Times New Roman"/>
                <w:lang w:eastAsia="lv-LV"/>
              </w:rPr>
              <w:t>.</w:t>
            </w:r>
          </w:p>
          <w:p w14:paraId="2CE4A4C8" w14:textId="3CEA5009" w:rsidR="005F0BED" w:rsidRPr="000A20AD" w:rsidRDefault="005F0BED" w:rsidP="002B15FE">
            <w:pPr>
              <w:spacing w:after="0" w:line="240" w:lineRule="auto"/>
              <w:ind w:firstLine="460"/>
              <w:rPr>
                <w:rFonts w:ascii="Times New Roman" w:eastAsia="Times New Roman" w:hAnsi="Times New Roman" w:cs="Times New Roman"/>
                <w:lang w:eastAsia="lv-LV"/>
              </w:rPr>
            </w:pPr>
          </w:p>
        </w:tc>
      </w:tr>
      <w:tr w:rsidR="00635090" w:rsidRPr="000A20AD" w14:paraId="537EB33B" w14:textId="77777777" w:rsidTr="00AC62D2">
        <w:trPr>
          <w:gridAfter w:val="1"/>
          <w:wAfter w:w="53" w:type="dxa"/>
        </w:trPr>
        <w:tc>
          <w:tcPr>
            <w:tcW w:w="7509" w:type="dxa"/>
          </w:tcPr>
          <w:p w14:paraId="3BA13CC3" w14:textId="77777777" w:rsidR="002B15FE" w:rsidRPr="000A20AD" w:rsidRDefault="002B15FE" w:rsidP="002B15FE">
            <w:pPr>
              <w:spacing w:after="0" w:line="240" w:lineRule="auto"/>
              <w:jc w:val="both"/>
              <w:rPr>
                <w:rFonts w:ascii="Times New Roman" w:eastAsia="Times New Roman" w:hAnsi="Times New Roman" w:cs="Times New Roman"/>
                <w:lang w:eastAsia="lv-LV"/>
              </w:rPr>
            </w:pPr>
          </w:p>
        </w:tc>
        <w:tc>
          <w:tcPr>
            <w:tcW w:w="4831" w:type="dxa"/>
            <w:gridSpan w:val="2"/>
            <w:tcBorders>
              <w:top w:val="single" w:sz="4" w:space="0" w:color="auto"/>
              <w:left w:val="nil"/>
              <w:bottom w:val="nil"/>
              <w:right w:val="nil"/>
            </w:tcBorders>
          </w:tcPr>
          <w:p w14:paraId="33A4C74D" w14:textId="77777777" w:rsidR="002B15FE" w:rsidRPr="000A20AD" w:rsidRDefault="002B15FE" w:rsidP="002B15FE">
            <w:pPr>
              <w:spacing w:after="0" w:line="240" w:lineRule="auto"/>
              <w:ind w:firstLine="720"/>
              <w:rPr>
                <w:rFonts w:ascii="Times New Roman" w:eastAsia="Times New Roman" w:hAnsi="Times New Roman" w:cs="Times New Roman"/>
                <w:lang w:eastAsia="lv-LV"/>
              </w:rPr>
            </w:pPr>
          </w:p>
        </w:tc>
      </w:tr>
      <w:tr w:rsidR="00635090" w:rsidRPr="000A20AD" w14:paraId="083FA1A1" w14:textId="77777777" w:rsidTr="00AC62D2">
        <w:trPr>
          <w:gridAfter w:val="1"/>
          <w:wAfter w:w="53" w:type="dxa"/>
        </w:trPr>
        <w:tc>
          <w:tcPr>
            <w:tcW w:w="7509" w:type="dxa"/>
            <w:hideMark/>
          </w:tcPr>
          <w:p w14:paraId="3EAECB9B" w14:textId="77777777" w:rsidR="002B15FE" w:rsidRPr="000A20AD" w:rsidRDefault="002B15FE" w:rsidP="002B15FE">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Saskaņošanas dalībnieki</w:t>
            </w:r>
          </w:p>
        </w:tc>
        <w:tc>
          <w:tcPr>
            <w:tcW w:w="4831" w:type="dxa"/>
            <w:gridSpan w:val="2"/>
          </w:tcPr>
          <w:p w14:paraId="52C5C5BC" w14:textId="6D0A0072" w:rsidR="002B15FE" w:rsidRPr="000A20AD" w:rsidRDefault="006A5C3E" w:rsidP="000C2214">
            <w:pPr>
              <w:tabs>
                <w:tab w:val="left" w:pos="915"/>
              </w:tabs>
              <w:spacing w:after="120" w:line="240" w:lineRule="auto"/>
              <w:ind w:left="635"/>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Ārlietu ministrija, Finanšu ministrija, Iekšlietu ministrija, Satiksmes mi</w:t>
            </w:r>
            <w:r w:rsidR="00EF60C4" w:rsidRPr="000A20AD">
              <w:rPr>
                <w:rFonts w:ascii="Times New Roman" w:eastAsia="Times New Roman" w:hAnsi="Times New Roman" w:cs="Times New Roman"/>
                <w:lang w:eastAsia="lv-LV"/>
              </w:rPr>
              <w:t xml:space="preserve">nistrija, Tieslietu ministrija, </w:t>
            </w:r>
            <w:r w:rsidRPr="000A20AD">
              <w:rPr>
                <w:rFonts w:ascii="Times New Roman" w:eastAsia="Times New Roman" w:hAnsi="Times New Roman" w:cs="Times New Roman"/>
                <w:lang w:eastAsia="lv-LV"/>
              </w:rPr>
              <w:t>Vides aizsardzības un reģionālās attīstības ministrija,</w:t>
            </w:r>
            <w:r w:rsidR="000E0EB3" w:rsidRPr="000A20AD">
              <w:rPr>
                <w:rFonts w:ascii="Times New Roman" w:eastAsia="Times New Roman" w:hAnsi="Times New Roman" w:cs="Times New Roman"/>
                <w:lang w:eastAsia="lv-LV"/>
              </w:rPr>
              <w:t xml:space="preserve"> Veselības ministrija, Ekonomikas ministrija, Labklājības ministrija, Zemkopības ministrija, Valsts kanceleja, Valsts kontrole, Latvijas Banka,</w:t>
            </w:r>
            <w:r w:rsidR="00873A53" w:rsidRPr="000A20AD">
              <w:rPr>
                <w:rFonts w:ascii="Times New Roman" w:eastAsia="Times New Roman" w:hAnsi="Times New Roman" w:cs="Times New Roman"/>
                <w:lang w:eastAsia="lv-LV"/>
              </w:rPr>
              <w:t xml:space="preserve"> Finanšu un kapitāla tirgus komisija, Sabiedrisko pakalpojumu regulēšanas komisija, </w:t>
            </w:r>
            <w:r w:rsidR="000E0EB3" w:rsidRPr="000A20AD">
              <w:rPr>
                <w:rFonts w:ascii="Times New Roman" w:eastAsia="Times New Roman" w:hAnsi="Times New Roman" w:cs="Times New Roman"/>
                <w:lang w:eastAsia="lv-LV"/>
              </w:rPr>
              <w:t>Ģenerālprokuratūra, Korupcijas novēršanas un apkarošanas birojs,</w:t>
            </w:r>
            <w:r w:rsidR="00873A53" w:rsidRPr="000A20AD">
              <w:rPr>
                <w:rFonts w:ascii="Times New Roman" w:eastAsia="Times New Roman" w:hAnsi="Times New Roman" w:cs="Times New Roman"/>
                <w:lang w:eastAsia="lv-LV"/>
              </w:rPr>
              <w:t xml:space="preserve"> Centrālā vēlēšanu komisija, Latvijas Valsts prezidenta kanceleja</w:t>
            </w:r>
            <w:r w:rsidR="000E0EB3" w:rsidRPr="000A20AD">
              <w:rPr>
                <w:rFonts w:ascii="Times New Roman" w:eastAsia="Times New Roman" w:hAnsi="Times New Roman" w:cs="Times New Roman"/>
                <w:lang w:eastAsia="lv-LV"/>
              </w:rPr>
              <w:t xml:space="preserve"> </w:t>
            </w:r>
            <w:r w:rsidRPr="000A20AD">
              <w:rPr>
                <w:rFonts w:ascii="Times New Roman" w:eastAsia="Times New Roman" w:hAnsi="Times New Roman" w:cs="Times New Roman"/>
                <w:lang w:eastAsia="lv-LV"/>
              </w:rPr>
              <w:t xml:space="preserve"> </w:t>
            </w:r>
            <w:r w:rsidR="000E0EB3" w:rsidRPr="000A20AD">
              <w:rPr>
                <w:rFonts w:ascii="Times New Roman" w:eastAsia="Times New Roman" w:hAnsi="Times New Roman" w:cs="Times New Roman"/>
                <w:lang w:eastAsia="lv-LV"/>
              </w:rPr>
              <w:t xml:space="preserve">Saeimas Administrācija, </w:t>
            </w:r>
            <w:r w:rsidRPr="000A20AD">
              <w:rPr>
                <w:rFonts w:ascii="Times New Roman" w:eastAsia="Times New Roman" w:hAnsi="Times New Roman" w:cs="Times New Roman"/>
                <w:lang w:eastAsia="lv-LV"/>
              </w:rPr>
              <w:t xml:space="preserve">Valsts drošības dienests, </w:t>
            </w:r>
            <w:r w:rsidR="000E0EB3" w:rsidRPr="000A20AD">
              <w:rPr>
                <w:rFonts w:ascii="Times New Roman" w:eastAsia="Times New Roman" w:hAnsi="Times New Roman" w:cs="Times New Roman"/>
                <w:lang w:eastAsia="lv-LV"/>
              </w:rPr>
              <w:t>Satversmes aizsardzības birojs</w:t>
            </w:r>
            <w:r w:rsidR="00873A53" w:rsidRPr="000A20AD">
              <w:rPr>
                <w:rFonts w:ascii="Times New Roman" w:eastAsia="Times New Roman" w:hAnsi="Times New Roman" w:cs="Times New Roman"/>
                <w:lang w:eastAsia="lv-LV"/>
              </w:rPr>
              <w:t>, Latvijas pašvaldību savienība, Latvijas Darba devēju konfederācija</w:t>
            </w:r>
            <w:r w:rsidR="00554A38" w:rsidRPr="000A20AD">
              <w:rPr>
                <w:rFonts w:ascii="Times New Roman" w:eastAsia="Times New Roman" w:hAnsi="Times New Roman" w:cs="Times New Roman"/>
                <w:lang w:eastAsia="lv-LV"/>
              </w:rPr>
              <w:t>,</w:t>
            </w:r>
            <w:r w:rsidR="000C2214" w:rsidRPr="000A20AD">
              <w:rPr>
                <w:rFonts w:ascii="Times New Roman" w:eastAsia="Times New Roman" w:hAnsi="Times New Roman" w:cs="Times New Roman"/>
                <w:lang w:eastAsia="lv-LV"/>
              </w:rPr>
              <w:t xml:space="preserve"> Rīgas brīvostas pārvalde</w:t>
            </w:r>
            <w:r w:rsidR="00554A38" w:rsidRPr="000A20AD">
              <w:rPr>
                <w:rFonts w:ascii="Times New Roman" w:eastAsia="Times New Roman" w:hAnsi="Times New Roman" w:cs="Times New Roman"/>
                <w:lang w:eastAsia="lv-LV"/>
              </w:rPr>
              <w:t xml:space="preserve">, Rīgas pilsētas pašvaldība, Rīgas pašvaldības </w:t>
            </w:r>
            <w:r w:rsidR="00554A38" w:rsidRPr="000A20AD">
              <w:rPr>
                <w:rFonts w:ascii="Times New Roman" w:eastAsia="Times New Roman" w:hAnsi="Times New Roman" w:cs="Times New Roman"/>
                <w:lang w:eastAsia="lv-LV"/>
              </w:rPr>
              <w:lastRenderedPageBreak/>
              <w:t>policija, Latvijas Drošības un aizsardzības industrijas federācija</w:t>
            </w:r>
          </w:p>
        </w:tc>
      </w:tr>
      <w:tr w:rsidR="00635090" w:rsidRPr="000A20AD" w14:paraId="4FE38EEF" w14:textId="77777777" w:rsidTr="00AC62D2">
        <w:trPr>
          <w:gridAfter w:val="1"/>
          <w:wAfter w:w="53" w:type="dxa"/>
          <w:trHeight w:val="285"/>
        </w:trPr>
        <w:tc>
          <w:tcPr>
            <w:tcW w:w="7509" w:type="dxa"/>
          </w:tcPr>
          <w:p w14:paraId="0C285949" w14:textId="77777777" w:rsidR="002B15FE" w:rsidRPr="000A20AD" w:rsidRDefault="002B15FE" w:rsidP="002B15FE">
            <w:pPr>
              <w:spacing w:after="0" w:line="240" w:lineRule="auto"/>
              <w:rPr>
                <w:rFonts w:ascii="Times New Roman" w:eastAsia="Times New Roman" w:hAnsi="Times New Roman" w:cs="Times New Roman"/>
                <w:lang w:eastAsia="lv-LV"/>
              </w:rPr>
            </w:pPr>
          </w:p>
        </w:tc>
        <w:tc>
          <w:tcPr>
            <w:tcW w:w="429" w:type="dxa"/>
          </w:tcPr>
          <w:p w14:paraId="02F5F70D" w14:textId="77777777" w:rsidR="002B15FE" w:rsidRPr="000A20AD" w:rsidRDefault="002B15FE" w:rsidP="002B15FE">
            <w:pPr>
              <w:spacing w:after="0" w:line="240" w:lineRule="auto"/>
              <w:ind w:firstLine="720"/>
              <w:rPr>
                <w:rFonts w:ascii="Times New Roman" w:eastAsia="Times New Roman" w:hAnsi="Times New Roman" w:cs="Times New Roman"/>
                <w:lang w:eastAsia="lv-LV"/>
              </w:rPr>
            </w:pPr>
          </w:p>
        </w:tc>
        <w:tc>
          <w:tcPr>
            <w:tcW w:w="4402" w:type="dxa"/>
          </w:tcPr>
          <w:p w14:paraId="311363AC" w14:textId="77777777" w:rsidR="002B15FE" w:rsidRPr="000A20AD" w:rsidRDefault="002B15FE" w:rsidP="002B15FE">
            <w:pPr>
              <w:spacing w:after="0" w:line="240" w:lineRule="auto"/>
              <w:ind w:firstLine="12"/>
              <w:rPr>
                <w:rFonts w:ascii="Times New Roman" w:eastAsia="Times New Roman" w:hAnsi="Times New Roman" w:cs="Times New Roman"/>
                <w:lang w:eastAsia="lv-LV"/>
              </w:rPr>
            </w:pPr>
          </w:p>
        </w:tc>
      </w:tr>
      <w:tr w:rsidR="00AC62D2" w:rsidRPr="000A20AD" w14:paraId="550B3361" w14:textId="77777777" w:rsidTr="00AC62D2">
        <w:trPr>
          <w:trHeight w:val="501"/>
        </w:trPr>
        <w:tc>
          <w:tcPr>
            <w:tcW w:w="7938" w:type="dxa"/>
            <w:gridSpan w:val="2"/>
            <w:hideMark/>
          </w:tcPr>
          <w:p w14:paraId="67EF424F" w14:textId="77777777" w:rsidR="00AC62D2" w:rsidRPr="000A20AD" w:rsidRDefault="00AC62D2" w:rsidP="002B15FE">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Saskaņošanas dalībnieki izskatīja šādu ministriju (citu institūciju) iebildumus</w:t>
            </w:r>
          </w:p>
        </w:tc>
        <w:tc>
          <w:tcPr>
            <w:tcW w:w="4455" w:type="dxa"/>
            <w:gridSpan w:val="2"/>
          </w:tcPr>
          <w:p w14:paraId="1E4EEDF3" w14:textId="78071620" w:rsidR="00AC62D2" w:rsidRPr="000A20AD" w:rsidRDefault="00AC62D2" w:rsidP="00AC62D2">
            <w:pPr>
              <w:tabs>
                <w:tab w:val="left" w:pos="915"/>
              </w:tabs>
              <w:spacing w:after="120" w:line="240" w:lineRule="auto"/>
              <w:ind w:left="182" w:firstLine="1"/>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Valsts kanceleja, Tieslietu ministrija, Finanšu ministrija, Veselības ministrija, Tiesībsargs, Korupcijas novēršanas un apkarošanas birojs, Saeimas Administrācija, Centrālā vēlēšanu komisija, Nacionālā elektronisko plašsaziņas līdzekļu padome</w:t>
            </w:r>
            <w:r w:rsidR="00013636" w:rsidRPr="000A20AD">
              <w:rPr>
                <w:rFonts w:ascii="Times New Roman" w:eastAsia="Times New Roman" w:hAnsi="Times New Roman" w:cs="Times New Roman"/>
                <w:lang w:eastAsia="lv-LV"/>
              </w:rPr>
              <w:t>, Ģenerālprokuratūra, Ārlietu ministrija, Satversmes aizsardzības birojs</w:t>
            </w:r>
          </w:p>
        </w:tc>
      </w:tr>
      <w:tr w:rsidR="00635090" w:rsidRPr="000A20AD" w14:paraId="5AD4FC3E" w14:textId="77777777" w:rsidTr="00AC62D2">
        <w:trPr>
          <w:gridAfter w:val="1"/>
          <w:wAfter w:w="53" w:type="dxa"/>
        </w:trPr>
        <w:tc>
          <w:tcPr>
            <w:tcW w:w="7938" w:type="dxa"/>
            <w:gridSpan w:val="2"/>
          </w:tcPr>
          <w:p w14:paraId="29BF019B" w14:textId="77777777" w:rsidR="002B15FE" w:rsidRPr="000A20AD" w:rsidRDefault="002B15FE" w:rsidP="002B15FE">
            <w:pPr>
              <w:spacing w:after="0" w:line="240" w:lineRule="auto"/>
              <w:rPr>
                <w:rFonts w:ascii="Times New Roman" w:eastAsia="Times New Roman" w:hAnsi="Times New Roman" w:cs="Times New Roman"/>
                <w:lang w:eastAsia="lv-LV"/>
              </w:rPr>
            </w:pPr>
          </w:p>
        </w:tc>
        <w:tc>
          <w:tcPr>
            <w:tcW w:w="4402" w:type="dxa"/>
          </w:tcPr>
          <w:p w14:paraId="1FAD6A55" w14:textId="77777777" w:rsidR="002B15FE" w:rsidRPr="000A20AD" w:rsidRDefault="002B15FE" w:rsidP="002B15FE">
            <w:pPr>
              <w:spacing w:after="0" w:line="240" w:lineRule="auto"/>
              <w:ind w:firstLine="720"/>
              <w:rPr>
                <w:rFonts w:ascii="Times New Roman" w:eastAsia="Times New Roman" w:hAnsi="Times New Roman" w:cs="Times New Roman"/>
                <w:lang w:eastAsia="lv-LV"/>
              </w:rPr>
            </w:pPr>
          </w:p>
        </w:tc>
      </w:tr>
      <w:tr w:rsidR="002B15FE" w:rsidRPr="000A20AD" w14:paraId="32076A25" w14:textId="77777777" w:rsidTr="00AC62D2">
        <w:trPr>
          <w:gridAfter w:val="1"/>
          <w:wAfter w:w="53" w:type="dxa"/>
        </w:trPr>
        <w:tc>
          <w:tcPr>
            <w:tcW w:w="7938" w:type="dxa"/>
            <w:gridSpan w:val="2"/>
            <w:hideMark/>
          </w:tcPr>
          <w:p w14:paraId="37DDCDA9" w14:textId="77777777" w:rsidR="002B15FE" w:rsidRPr="000A20AD" w:rsidRDefault="002B15FE" w:rsidP="002B15FE">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4402" w:type="dxa"/>
            <w:hideMark/>
          </w:tcPr>
          <w:p w14:paraId="53279EE4" w14:textId="1E5BF067" w:rsidR="002B15FE" w:rsidRPr="000A20AD" w:rsidRDefault="00AC62D2" w:rsidP="00AC62D2">
            <w:pPr>
              <w:spacing w:after="0" w:line="240" w:lineRule="auto"/>
              <w:ind w:left="182"/>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Latvijas Drošības un aizsardzības industrijas federācija</w:t>
            </w:r>
            <w:r w:rsidR="00013636" w:rsidRPr="000A20AD">
              <w:rPr>
                <w:rFonts w:ascii="Times New Roman" w:eastAsia="Times New Roman" w:hAnsi="Times New Roman" w:cs="Times New Roman"/>
                <w:lang w:eastAsia="lv-LV"/>
              </w:rPr>
              <w:t>, Rīgas brīvostas pārvalde</w:t>
            </w:r>
          </w:p>
        </w:tc>
      </w:tr>
    </w:tbl>
    <w:p w14:paraId="617FD4B2" w14:textId="77777777" w:rsidR="008C37A2" w:rsidRPr="000A20AD" w:rsidRDefault="008C37A2"/>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678"/>
        <w:gridCol w:w="3260"/>
        <w:gridCol w:w="3402"/>
      </w:tblGrid>
      <w:tr w:rsidR="00635090" w:rsidRPr="000A20AD" w14:paraId="2C27F3BA" w14:textId="77777777" w:rsidTr="003F66BD">
        <w:tc>
          <w:tcPr>
            <w:tcW w:w="843" w:type="dxa"/>
            <w:tcBorders>
              <w:top w:val="single" w:sz="6" w:space="0" w:color="000000"/>
              <w:left w:val="single" w:sz="6" w:space="0" w:color="000000"/>
              <w:bottom w:val="single" w:sz="6" w:space="0" w:color="000000"/>
              <w:right w:val="single" w:sz="6" w:space="0" w:color="000000"/>
            </w:tcBorders>
            <w:vAlign w:val="center"/>
          </w:tcPr>
          <w:p w14:paraId="000FA6E8" w14:textId="77777777" w:rsidR="002B15FE" w:rsidRPr="000A20AD" w:rsidRDefault="002B15FE" w:rsidP="002B15FE">
            <w:pPr>
              <w:spacing w:after="0" w:line="240" w:lineRule="auto"/>
              <w:jc w:val="center"/>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Nr. p.k.</w:t>
            </w:r>
          </w:p>
        </w:tc>
        <w:tc>
          <w:tcPr>
            <w:tcW w:w="2551" w:type="dxa"/>
            <w:tcBorders>
              <w:top w:val="single" w:sz="6" w:space="0" w:color="000000"/>
              <w:left w:val="single" w:sz="6" w:space="0" w:color="000000"/>
              <w:bottom w:val="single" w:sz="6" w:space="0" w:color="000000"/>
              <w:right w:val="single" w:sz="6" w:space="0" w:color="000000"/>
            </w:tcBorders>
            <w:vAlign w:val="center"/>
          </w:tcPr>
          <w:p w14:paraId="7382B785" w14:textId="77777777" w:rsidR="002B15FE" w:rsidRPr="000A20AD" w:rsidRDefault="002B15FE" w:rsidP="002B15FE">
            <w:pPr>
              <w:spacing w:after="0" w:line="240" w:lineRule="auto"/>
              <w:ind w:firstLine="12"/>
              <w:jc w:val="center"/>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78C74DB8" w14:textId="77777777" w:rsidR="002B15FE" w:rsidRPr="000A20AD" w:rsidRDefault="002B15FE" w:rsidP="002B15FE">
            <w:pPr>
              <w:spacing w:after="0" w:line="240" w:lineRule="auto"/>
              <w:ind w:right="3"/>
              <w:jc w:val="center"/>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10FD82C2" w14:textId="77777777" w:rsidR="002B15FE" w:rsidRPr="000A20AD" w:rsidRDefault="002B15FE" w:rsidP="002B15FE">
            <w:pPr>
              <w:spacing w:after="0" w:line="240" w:lineRule="auto"/>
              <w:ind w:firstLine="21"/>
              <w:jc w:val="center"/>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688E0A24" w14:textId="77777777" w:rsidR="002B15FE" w:rsidRPr="000A20AD" w:rsidRDefault="002B15FE" w:rsidP="002B15FE">
            <w:pPr>
              <w:spacing w:after="0" w:line="240" w:lineRule="auto"/>
              <w:jc w:val="center"/>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Projekta attiecīgā punkta (panta) galīgā redakcija</w:t>
            </w:r>
          </w:p>
        </w:tc>
      </w:tr>
      <w:tr w:rsidR="00635090" w:rsidRPr="000A20AD" w14:paraId="1C2F9FBA" w14:textId="77777777" w:rsidTr="00982C0F">
        <w:tc>
          <w:tcPr>
            <w:tcW w:w="843" w:type="dxa"/>
            <w:tcBorders>
              <w:top w:val="single" w:sz="6" w:space="0" w:color="000000"/>
              <w:left w:val="single" w:sz="6" w:space="0" w:color="000000"/>
              <w:bottom w:val="single" w:sz="6" w:space="0" w:color="000000"/>
              <w:right w:val="single" w:sz="6" w:space="0" w:color="000000"/>
            </w:tcBorders>
            <w:shd w:val="clear" w:color="auto" w:fill="auto"/>
          </w:tcPr>
          <w:p w14:paraId="13BDE896" w14:textId="77777777" w:rsidR="002B15FE" w:rsidRPr="000A20AD" w:rsidRDefault="002B15FE" w:rsidP="002B15FE">
            <w:pPr>
              <w:spacing w:after="0" w:line="240" w:lineRule="auto"/>
              <w:jc w:val="center"/>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1</w:t>
            </w:r>
          </w:p>
        </w:tc>
        <w:tc>
          <w:tcPr>
            <w:tcW w:w="2551" w:type="dxa"/>
            <w:tcBorders>
              <w:top w:val="single" w:sz="6" w:space="0" w:color="000000"/>
              <w:left w:val="single" w:sz="6" w:space="0" w:color="000000"/>
              <w:bottom w:val="single" w:sz="4" w:space="0" w:color="auto"/>
              <w:right w:val="single" w:sz="6" w:space="0" w:color="000000"/>
            </w:tcBorders>
            <w:shd w:val="clear" w:color="auto" w:fill="auto"/>
          </w:tcPr>
          <w:p w14:paraId="779076F0" w14:textId="77777777" w:rsidR="002B15FE" w:rsidRPr="000A20AD" w:rsidRDefault="002B15FE" w:rsidP="002B15FE">
            <w:pPr>
              <w:spacing w:after="0" w:line="240" w:lineRule="auto"/>
              <w:jc w:val="center"/>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2</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14:paraId="7C2FDB15" w14:textId="77777777" w:rsidR="002B15FE" w:rsidRPr="000A20AD" w:rsidRDefault="002B15FE" w:rsidP="002B15FE">
            <w:pPr>
              <w:spacing w:after="0" w:line="240" w:lineRule="auto"/>
              <w:jc w:val="center"/>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2F4A53F" w14:textId="77777777" w:rsidR="002B15FE" w:rsidRPr="000A20AD" w:rsidRDefault="002B15FE" w:rsidP="002B15FE">
            <w:pPr>
              <w:spacing w:after="0" w:line="240" w:lineRule="auto"/>
              <w:jc w:val="center"/>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4</w:t>
            </w:r>
          </w:p>
        </w:tc>
        <w:tc>
          <w:tcPr>
            <w:tcW w:w="3402" w:type="dxa"/>
            <w:tcBorders>
              <w:top w:val="single" w:sz="4" w:space="0" w:color="auto"/>
              <w:left w:val="single" w:sz="4" w:space="0" w:color="auto"/>
              <w:bottom w:val="single" w:sz="4" w:space="0" w:color="auto"/>
            </w:tcBorders>
            <w:shd w:val="clear" w:color="auto" w:fill="auto"/>
          </w:tcPr>
          <w:p w14:paraId="0E743C07" w14:textId="77777777" w:rsidR="002B15FE" w:rsidRPr="000A20AD" w:rsidRDefault="002B15FE" w:rsidP="002B15FE">
            <w:pPr>
              <w:spacing w:after="0" w:line="240" w:lineRule="auto"/>
              <w:jc w:val="center"/>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5</w:t>
            </w:r>
          </w:p>
        </w:tc>
      </w:tr>
      <w:tr w:rsidR="00D23DA6" w:rsidRPr="000A20AD" w14:paraId="249ADE51"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15306E3F" w14:textId="77777777" w:rsidR="00D23DA6" w:rsidRPr="000A20AD" w:rsidRDefault="00D23DA6" w:rsidP="00D23DA6">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021544" w14:textId="5D18CE31" w:rsidR="00D23DA6" w:rsidRPr="000A20AD" w:rsidRDefault="00D23DA6" w:rsidP="00D23DA6">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projekts kopumā</w:t>
            </w:r>
            <w:r w:rsidR="00112CC6" w:rsidRPr="000A20AD">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2F8AD86B" w14:textId="77777777" w:rsidR="00D23DA6" w:rsidRPr="000A20AD" w:rsidRDefault="00D23DA6" w:rsidP="00D23DA6">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Tieslietu ministrija:</w:t>
            </w:r>
          </w:p>
          <w:p w14:paraId="7C9D3EE9" w14:textId="77777777" w:rsidR="00D23DA6" w:rsidRPr="000A20AD" w:rsidRDefault="00D23DA6" w:rsidP="00D23DA6">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“Tādējādi atbilstoši likuma 14.1 panta trešajā daļā noteiktajam pilnvarojumam ar Ministru kabineta noteikumiem jāveido procedūra par citām valsts un pašvaldības institūcijas amatpersonām, darbiniekiem vai publisko un privāto tiesību subjektu amatpersonām un darbiniekiem. Projektā vairākkārt tiek izmantots apzīmējums mobilizācijas izņēmumu subjektiem “valsts un pašvaldības institūcija, kā arī persona, kura nodrošina kritiskās funkcijas veikšanu”. Vēršam </w:t>
            </w:r>
            <w:r w:rsidRPr="000A20AD">
              <w:rPr>
                <w:rFonts w:ascii="Times New Roman" w:eastAsia="Times New Roman" w:hAnsi="Times New Roman" w:cs="Times New Roman"/>
                <w:lang w:eastAsia="lv-LV"/>
              </w:rPr>
              <w:lastRenderedPageBreak/>
              <w:t>uzmanību, ka šāds vispārīgs apzīmējums neatbilst šobrīd likumprojektā noteiktajam. Piedāvājam projektā veidot atrunātu dažādo valsts pārvaldes institūciju (valsts un pašvaldības iestādes) un privātpersonu (valsts, pašvaldību un privātie komersanti) saīsinājumu, vai arī projektā veidot izvērstu regulējumu visām grupām atsevišķi.”</w:t>
            </w:r>
          </w:p>
          <w:p w14:paraId="378359C5" w14:textId="77777777" w:rsidR="00D23DA6" w:rsidRPr="000A20AD" w:rsidRDefault="00D23DA6" w:rsidP="00D23DA6">
            <w:pPr>
              <w:widowControl w:val="0"/>
              <w:spacing w:after="0" w:line="240" w:lineRule="auto"/>
              <w:jc w:val="both"/>
              <w:rPr>
                <w:rFonts w:ascii="Times New Roman" w:eastAsia="Times New Roman" w:hAnsi="Times New Roman" w:cs="Times New Roman"/>
                <w:lang w:eastAsia="lv-LV"/>
              </w:rPr>
            </w:pPr>
          </w:p>
          <w:p w14:paraId="4517AE69" w14:textId="77777777" w:rsidR="00D23DA6" w:rsidRPr="000A20AD" w:rsidRDefault="00D23DA6" w:rsidP="00D23DA6">
            <w:pPr>
              <w:spacing w:after="0"/>
              <w:rPr>
                <w:rFonts w:ascii="Times New Roman" w:hAnsi="Times New Roman" w:cs="Times New Roman"/>
                <w:b/>
              </w:rPr>
            </w:pPr>
            <w:r w:rsidRPr="000A20AD">
              <w:rPr>
                <w:rFonts w:ascii="Times New Roman" w:hAnsi="Times New Roman" w:cs="Times New Roman"/>
                <w:b/>
              </w:rPr>
              <w:t>Finanšu ministrija:</w:t>
            </w:r>
          </w:p>
          <w:p w14:paraId="388AD5CD" w14:textId="77777777" w:rsidR="00D23DA6" w:rsidRPr="000A20AD" w:rsidRDefault="00D23DA6" w:rsidP="00D23DA6">
            <w:pPr>
              <w:spacing w:after="0"/>
              <w:jc w:val="both"/>
              <w:rPr>
                <w:rFonts w:ascii="Times New Roman" w:hAnsi="Times New Roman" w:cs="Times New Roman"/>
              </w:rPr>
            </w:pPr>
            <w:r w:rsidRPr="000A20AD">
              <w:rPr>
                <w:rFonts w:ascii="Times New Roman" w:hAnsi="Times New Roman" w:cs="Times New Roman"/>
              </w:rPr>
              <w:t>No noteikumu projektā izmantotajiem formulējumiem nav viennozīmīgi izsecināms, vai un kādi pienākumi ir attiecināmi uz publiskai personai piederošām kapitālsabiedrībām. No noteikumu projekta secināms, ka tajā minētie nosacījumi attiecināmi uz valsts un pašvaldību institūcijām, kā arī uz personām, kas nodrošina kritisko funkciju veikšanu. Valsts un pašvaldību</w:t>
            </w:r>
            <w:proofErr w:type="gramStart"/>
            <w:r w:rsidRPr="000A20AD">
              <w:rPr>
                <w:rFonts w:ascii="Times New Roman" w:hAnsi="Times New Roman" w:cs="Times New Roman"/>
              </w:rPr>
              <w:t xml:space="preserve">  </w:t>
            </w:r>
            <w:proofErr w:type="gramEnd"/>
            <w:r w:rsidRPr="000A20AD">
              <w:rPr>
                <w:rFonts w:ascii="Times New Roman" w:hAnsi="Times New Roman" w:cs="Times New Roman"/>
              </w:rPr>
              <w:t>kapitālsabiedrības ir privāto tiesību juridiskas personas, kuru kapitāla daļas (arī akcijas) pieder publiskai personai, taču kapitālsabiedrības neatrodas šo institūciju padotībā</w:t>
            </w:r>
            <w:r w:rsidRPr="000A20AD">
              <w:rPr>
                <w:rStyle w:val="FootnoteReference"/>
                <w:rFonts w:ascii="Times New Roman" w:hAnsi="Times New Roman" w:cs="Times New Roman"/>
              </w:rPr>
              <w:footnoteReference w:id="1"/>
            </w:r>
            <w:r w:rsidRPr="000A20AD">
              <w:rPr>
                <w:rFonts w:ascii="Times New Roman" w:hAnsi="Times New Roman" w:cs="Times New Roman"/>
              </w:rPr>
              <w:t xml:space="preserve">. </w:t>
            </w:r>
          </w:p>
          <w:p w14:paraId="30F6BC41" w14:textId="77777777" w:rsidR="00D23DA6" w:rsidRPr="000A20AD" w:rsidRDefault="00D23DA6" w:rsidP="00D23DA6">
            <w:pPr>
              <w:spacing w:after="0" w:line="240" w:lineRule="auto"/>
              <w:rPr>
                <w:rFonts w:ascii="Times New Roman" w:hAnsi="Times New Roman" w:cs="Times New Roman"/>
                <w:b/>
                <w:shd w:val="clear" w:color="auto" w:fill="FFFFFF"/>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4A0C87B" w14:textId="51441A0C" w:rsidR="00D23DA6" w:rsidRPr="000A20AD" w:rsidRDefault="00D23DA6"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3CA81397" w14:textId="77777777" w:rsidR="00D23DA6" w:rsidRPr="000A20AD" w:rsidRDefault="00D23DA6" w:rsidP="00D23DA6">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anotācijas I sadaļas 2. punktā precizēta šādā redakcijā:</w:t>
            </w:r>
          </w:p>
          <w:p w14:paraId="1704661E" w14:textId="77777777" w:rsidR="00D23DA6" w:rsidRPr="000A20AD" w:rsidRDefault="00D23DA6" w:rsidP="00D23DA6">
            <w:pPr>
              <w:spacing w:after="0" w:line="240" w:lineRule="auto"/>
              <w:jc w:val="both"/>
              <w:rPr>
                <w:rFonts w:ascii="Times New Roman" w:hAnsi="Times New Roman" w:cs="Times New Roman"/>
                <w:lang w:eastAsia="lv-LV"/>
              </w:rPr>
            </w:pPr>
            <w:r w:rsidRPr="000A20AD">
              <w:rPr>
                <w:rFonts w:ascii="Times New Roman" w:hAnsi="Times New Roman" w:cs="Times New Roman"/>
                <w:lang w:eastAsia="lv-LV"/>
              </w:rPr>
              <w:t xml:space="preserve">“Noteikumu projekts attiecas uz visām valsts un pašvaldības institūcijām un personām (ar to noteikumu projekta tekstā ir saprotamas juridiskas personas, tajā skaitā publiskai personai piederošas kapitālsabiedrības), kas ir uzskatāmas par kritisko </w:t>
            </w:r>
            <w:r w:rsidRPr="000A20AD">
              <w:rPr>
                <w:rFonts w:ascii="Times New Roman" w:hAnsi="Times New Roman" w:cs="Times New Roman"/>
                <w:lang w:eastAsia="lv-LV"/>
              </w:rPr>
              <w:lastRenderedPageBreak/>
              <w:t>infrastruktūru vai kritisko finanšu nozares pakalpojumu sniedzējiem.”</w:t>
            </w:r>
          </w:p>
          <w:p w14:paraId="2737D95F" w14:textId="77777777" w:rsidR="00D23DA6" w:rsidRPr="000A20AD" w:rsidRDefault="00D23DA6" w:rsidP="00D23DA6">
            <w:pPr>
              <w:spacing w:after="0" w:line="240" w:lineRule="auto"/>
              <w:jc w:val="both"/>
              <w:rPr>
                <w:rFonts w:ascii="Times New Roman" w:eastAsia="Times New Roman" w:hAnsi="Times New Roman" w:cs="Times New Roman"/>
                <w:lang w:eastAsia="lv-LV"/>
              </w:rPr>
            </w:pPr>
          </w:p>
        </w:tc>
      </w:tr>
      <w:tr w:rsidR="00B30AE0" w:rsidRPr="000A20AD" w14:paraId="16D5BB03"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1EEB8DEC" w14:textId="77777777" w:rsidR="00B30AE0" w:rsidRPr="000A20AD" w:rsidRDefault="00B30AE0" w:rsidP="00B30AE0">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DB06063" w14:textId="497A27DF" w:rsidR="00B30AE0" w:rsidRPr="000A20AD" w:rsidRDefault="00B30AE0" w:rsidP="00B30AE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projekts kopumā</w:t>
            </w:r>
            <w:r w:rsidR="00112CC6" w:rsidRPr="000A20AD">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58CCDAB9" w14:textId="77777777" w:rsidR="00B30AE0" w:rsidRPr="000A20AD" w:rsidRDefault="00B30AE0" w:rsidP="00B30AE0">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Veselības ministrija:</w:t>
            </w:r>
          </w:p>
          <w:p w14:paraId="45EFC13A" w14:textId="5E38840A" w:rsidR="00B30AE0" w:rsidRPr="000A20AD" w:rsidRDefault="00B30AE0" w:rsidP="00B30AE0">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w:t>
            </w:r>
            <w:r w:rsidR="00E004E3" w:rsidRPr="000A20AD">
              <w:rPr>
                <w:rFonts w:ascii="Times New Roman" w:eastAsia="Times New Roman" w:hAnsi="Times New Roman" w:cs="Times New Roman"/>
                <w:lang w:eastAsia="lv-LV"/>
              </w:rPr>
              <w:t xml:space="preserve">Vēršam uzmanību, ka slimnīcas </w:t>
            </w:r>
            <w:r w:rsidRPr="000A20AD">
              <w:rPr>
                <w:rFonts w:ascii="Times New Roman" w:eastAsia="Times New Roman" w:hAnsi="Times New Roman" w:cs="Times New Roman"/>
                <w:lang w:eastAsia="lv-LV"/>
              </w:rPr>
              <w:t xml:space="preserve">ir institūcijas, kas nodrošina Valsts civilās aizsardzības un Valsts katastrofu medicīnas plānā noteiktos valsts </w:t>
            </w:r>
            <w:r w:rsidRPr="000A20AD">
              <w:rPr>
                <w:rFonts w:ascii="Times New Roman" w:eastAsia="Times New Roman" w:hAnsi="Times New Roman" w:cs="Times New Roman"/>
                <w:lang w:eastAsia="lv-LV"/>
              </w:rPr>
              <w:lastRenderedPageBreak/>
              <w:t xml:space="preserve">apdraudējuma pārvarēšanas pasākumus, taču saskaņā ar Noteikumu projektu slimnīcām uzliktie pienākumi </w:t>
            </w:r>
            <w:proofErr w:type="gramStart"/>
            <w:r w:rsidRPr="000A20AD">
              <w:rPr>
                <w:rFonts w:ascii="Times New Roman" w:eastAsia="Times New Roman" w:hAnsi="Times New Roman" w:cs="Times New Roman"/>
                <w:lang w:eastAsia="lv-LV"/>
              </w:rPr>
              <w:t>(</w:t>
            </w:r>
            <w:proofErr w:type="gramEnd"/>
            <w:r w:rsidRPr="000A20AD">
              <w:rPr>
                <w:rFonts w:ascii="Times New Roman" w:eastAsia="Times New Roman" w:hAnsi="Times New Roman" w:cs="Times New Roman"/>
                <w:lang w:eastAsia="lv-LV"/>
              </w:rPr>
              <w:t xml:space="preserve">4., 5., 6. un 7., 14. un 16. punktā noteiktās prasības) radītu nesamērīgi lielu administratīvo slogu un resursus. Lai nodrošinātu slimnīcu funkcionēšanu un attiecīgajā situācijā minimālo nepieciešamo veselības aprūpes pakalpojumu apjomu, slimnīcas darbība attiecīgajā situācijā tiktu pārorganizēta (ņemot vērā arī uzkrāto pieredzi Covid-19 infekcijas ierobežošanas laikā), tādējādi viss slimnīcas personāls būtu pieciešams situācijas pārvaldībai. Piemēram, vienā no universitātes slimnīcām strādā vairāk kā 3000 darbinieki. Pie uzdevuma regulāri nosūtīt (šajā gadījumā divas reizes gadā) slimnīcas personāla vārdu, uzvārdu un personas kodu Nacionālajiem  bruņotajiem spēkiem (kas ir liels datu apstrādes apjoms), tāpat personāla amata aprakstā iekļaut informāciju par personai noteikto mobilizācijas izņēmumu, ir milzīgs administratīvais slogs, kas prasīs papildus gan cilvēk, gan finanšu resursus. </w:t>
            </w:r>
          </w:p>
          <w:p w14:paraId="19D495A1" w14:textId="77777777" w:rsidR="00B30AE0" w:rsidRPr="000A20AD" w:rsidRDefault="00B30AE0" w:rsidP="00B30AE0">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Ievērojot </w:t>
            </w:r>
            <w:proofErr w:type="gramStart"/>
            <w:r w:rsidRPr="000A20AD">
              <w:rPr>
                <w:rFonts w:ascii="Times New Roman" w:eastAsia="Times New Roman" w:hAnsi="Times New Roman" w:cs="Times New Roman"/>
                <w:lang w:eastAsia="lv-LV"/>
              </w:rPr>
              <w:t>augstāk minēto</w:t>
            </w:r>
            <w:proofErr w:type="gramEnd"/>
            <w:r w:rsidRPr="000A20AD">
              <w:rPr>
                <w:rFonts w:ascii="Times New Roman" w:eastAsia="Times New Roman" w:hAnsi="Times New Roman" w:cs="Times New Roman"/>
                <w:lang w:eastAsia="lv-LV"/>
              </w:rPr>
              <w:t>, aicinām noteikt, ka valsts un pašvaldību slimnīcu darbinieki ir atzīstami par kritisko personālu un uz valsts un pašvaldību slimnīcām Noteikumu projektā noteiktās prasības netiek attiecinātas.”</w:t>
            </w:r>
          </w:p>
          <w:p w14:paraId="026EA503" w14:textId="77777777" w:rsidR="00B30AE0" w:rsidRPr="000A20AD" w:rsidRDefault="00B30AE0" w:rsidP="00B30AE0">
            <w:pPr>
              <w:widowControl w:val="0"/>
              <w:spacing w:after="0" w:line="240" w:lineRule="auto"/>
              <w:jc w:val="both"/>
              <w:rPr>
                <w:rFonts w:ascii="Times New Roman" w:eastAsia="Times New Roman" w:hAnsi="Times New Roman" w:cs="Times New Roman"/>
                <w:b/>
                <w:lang w:eastAsia="lv-LV"/>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9BD1EE8" w14:textId="32D38D4B" w:rsidR="00B30AE0" w:rsidRPr="000A20AD" w:rsidRDefault="00486E1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567D7A7E" w14:textId="2EF18ABC" w:rsidR="00B30AE0" w:rsidRPr="000A20AD" w:rsidRDefault="00DA17AB" w:rsidP="00B30AE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w:t>
            </w:r>
            <w:r w:rsidR="00B30AE0" w:rsidRPr="000A20AD">
              <w:rPr>
                <w:rFonts w:ascii="Times New Roman" w:eastAsia="Times New Roman" w:hAnsi="Times New Roman" w:cs="Times New Roman"/>
                <w:lang w:eastAsia="lv-LV"/>
              </w:rPr>
              <w:t xml:space="preserve">oteikumu projekts nenosaka noteiktu personāla skaitu vai īpatsvaru, uz kuru būtu attiecināms mobilizācijas izņēmums, pieņemot, </w:t>
            </w:r>
            <w:r w:rsidR="00B30AE0" w:rsidRPr="000A20AD">
              <w:rPr>
                <w:rFonts w:ascii="Times New Roman" w:eastAsia="Times New Roman" w:hAnsi="Times New Roman" w:cs="Times New Roman"/>
                <w:lang w:eastAsia="lv-LV"/>
              </w:rPr>
              <w:lastRenderedPageBreak/>
              <w:t>ka tas varētu būtiski atšķirties starp dažādām nozarēm un institūcijām, tajā skaitā, piemēram, attiecībā uz slimnīcu personālu. Vienlaikus noteikumu projekts paredz, ka katras institūcijas kompetencē ir pilnvērtīgi izvērtēt, kuras amatpersonas vai darbinieki ir patiesi uzskatāmi par kritisko personālu, piemēram, vai to ir nepieciešams paredzēt uz visu personālu, piemēram, administratīvo vai atbalsta personālu.</w:t>
            </w:r>
          </w:p>
          <w:p w14:paraId="17579AAE" w14:textId="26D119AE" w:rsidR="00B30AE0" w:rsidRPr="000A20AD" w:rsidRDefault="00B30AE0" w:rsidP="00B30AE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Noteikumu projekts un tā anotācija precizēta, nosakot, ka informācija par kritisko personālu ir sniedzama vienu reizi gadā, </w:t>
            </w:r>
            <w:proofErr w:type="gramStart"/>
            <w:r w:rsidRPr="000A20AD">
              <w:rPr>
                <w:rFonts w:ascii="Times New Roman" w:eastAsia="Times New Roman" w:hAnsi="Times New Roman" w:cs="Times New Roman"/>
                <w:lang w:eastAsia="lv-LV"/>
              </w:rPr>
              <w:t>tādējādi mazinot paredzamo</w:t>
            </w:r>
            <w:proofErr w:type="gramEnd"/>
            <w:r w:rsidRPr="000A20AD">
              <w:rPr>
                <w:rFonts w:ascii="Times New Roman" w:eastAsia="Times New Roman" w:hAnsi="Times New Roman" w:cs="Times New Roman"/>
                <w:lang w:eastAsia="lv-LV"/>
              </w:rPr>
              <w:t xml:space="preserve"> administratīvo slogu.</w:t>
            </w:r>
          </w:p>
        </w:tc>
      </w:tr>
      <w:tr w:rsidR="00B30AE0" w:rsidRPr="000A20AD" w14:paraId="4664FA83"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6DF975CB" w14:textId="77777777" w:rsidR="00B30AE0" w:rsidRPr="000A20AD" w:rsidRDefault="00B30AE0" w:rsidP="00B30AE0">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628E4DC" w14:textId="26AEE69A" w:rsidR="00B30AE0" w:rsidRPr="000A20AD" w:rsidRDefault="00B30AE0" w:rsidP="00B30AE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projekts kopumā</w:t>
            </w:r>
            <w:r w:rsidR="00112CC6" w:rsidRPr="000A20AD">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510EF55" w14:textId="77777777" w:rsidR="00B30AE0" w:rsidRPr="000A20AD" w:rsidRDefault="00B30AE0" w:rsidP="00B30AE0">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Tiesībsargs:</w:t>
            </w:r>
          </w:p>
          <w:p w14:paraId="55BA7AA7" w14:textId="77777777" w:rsidR="00B30AE0" w:rsidRPr="000A20AD" w:rsidRDefault="00B30AE0" w:rsidP="00B30AE0">
            <w:pPr>
              <w:pStyle w:val="Header"/>
              <w:tabs>
                <w:tab w:val="center" w:pos="709"/>
              </w:tabs>
              <w:jc w:val="both"/>
              <w:rPr>
                <w:rFonts w:ascii="Times New Roman" w:hAnsi="Times New Roman" w:cs="Times New Roman"/>
              </w:rPr>
            </w:pPr>
            <w:r w:rsidRPr="000A20AD">
              <w:rPr>
                <w:rFonts w:ascii="Times New Roman" w:hAnsi="Times New Roman" w:cs="Times New Roman"/>
              </w:rPr>
              <w:t xml:space="preserve">“Atbilstoši Ministru kabineta </w:t>
            </w:r>
            <w:proofErr w:type="gramStart"/>
            <w:r w:rsidRPr="000A20AD">
              <w:rPr>
                <w:rFonts w:ascii="Times New Roman" w:hAnsi="Times New Roman" w:cs="Times New Roman"/>
              </w:rPr>
              <w:t>2007.gada</w:t>
            </w:r>
            <w:proofErr w:type="gramEnd"/>
            <w:r w:rsidRPr="000A20AD">
              <w:rPr>
                <w:rFonts w:ascii="Times New Roman" w:hAnsi="Times New Roman" w:cs="Times New Roman"/>
              </w:rPr>
              <w:t xml:space="preserve"> 20.novembra noteikumu Nr.779 “Kārtība, kādā rezerves karavīrus un rezervistus reģistrē, uzskaita un iesauc aktīvajā dienestā, kā arī pieprasa un </w:t>
            </w:r>
            <w:r w:rsidRPr="000A20AD">
              <w:rPr>
                <w:rFonts w:ascii="Times New Roman" w:hAnsi="Times New Roman" w:cs="Times New Roman"/>
              </w:rPr>
              <w:lastRenderedPageBreak/>
              <w:t>izsniedz informāciju par rezerves karavīriem un rezervistiem” 4.punktam par rezerves karavīriem uzskatāmi zemessargi un pilsoņi, kuri brīvprātīgi pieteikušies dienestam NBS rezervē. Militārā dienesta likums un Latvijas Republikas Zemessardzes likums (ar izņēmumiem, kas noteikti 14.panta pirmās daļas 2. un 3.punktā)  pēc būtības neliedz personām, kuras jau atrodas amatā iestādē, kura nodrošina kritisko funkciju veikšanu, iestāties zemessardzē vai kļūt par rezerves karavīru.</w:t>
            </w:r>
          </w:p>
          <w:p w14:paraId="6E002C49" w14:textId="487A9356" w:rsidR="00B30AE0" w:rsidRPr="000A20AD" w:rsidRDefault="00B30AE0" w:rsidP="00B30AE0">
            <w:pPr>
              <w:pStyle w:val="Header"/>
              <w:tabs>
                <w:tab w:val="center" w:pos="709"/>
              </w:tabs>
              <w:ind w:firstLine="709"/>
              <w:jc w:val="both"/>
              <w:rPr>
                <w:rFonts w:ascii="Times New Roman" w:hAnsi="Times New Roman" w:cs="Times New Roman"/>
              </w:rPr>
            </w:pPr>
            <w:r w:rsidRPr="000A20AD">
              <w:rPr>
                <w:rFonts w:ascii="Times New Roman" w:hAnsi="Times New Roman" w:cs="Times New Roman"/>
              </w:rPr>
              <w:t xml:space="preserve">Anotācija </w:t>
            </w:r>
            <w:proofErr w:type="gramStart"/>
            <w:r w:rsidRPr="000A20AD">
              <w:rPr>
                <w:rFonts w:ascii="Times New Roman" w:hAnsi="Times New Roman" w:cs="Times New Roman"/>
              </w:rPr>
              <w:t>paredzēts</w:t>
            </w:r>
            <w:proofErr w:type="gramEnd"/>
            <w:r w:rsidRPr="000A20AD">
              <w:rPr>
                <w:rFonts w:ascii="Times New Roman" w:hAnsi="Times New Roman" w:cs="Times New Roman"/>
              </w:rPr>
              <w:t xml:space="preserve">, ka rezerves karavīri (zemessargi) netiks atbrīvoti no Militārā dienesta likumā paredzētajiem pienākumiem, iesaistīties plānotajās militārajās mācībās. Tomēr nav viennozīmīgi noteikts, vai minētās personas var tikt iesauktas aktīvajā dienestā Militārā dienesta likumā </w:t>
            </w:r>
            <w:proofErr w:type="gramStart"/>
            <w:r w:rsidRPr="000A20AD">
              <w:rPr>
                <w:rFonts w:ascii="Times New Roman" w:hAnsi="Times New Roman" w:cs="Times New Roman"/>
              </w:rPr>
              <w:t>65.panta</w:t>
            </w:r>
            <w:proofErr w:type="gramEnd"/>
            <w:r w:rsidRPr="000A20AD">
              <w:rPr>
                <w:rFonts w:ascii="Times New Roman" w:hAnsi="Times New Roman" w:cs="Times New Roman"/>
              </w:rPr>
              <w:t xml:space="preserve"> kārtībā, un vai mobilizācijas izsludināšanas gadījumā, viņām ir saistošas Ministru kabineta 2007.gada 20.novembras noteikumu Nr.779 “Kārtība, kādā rezerves karavīrus un rezervistus reģistrē, uzskaita un iesauc aktīvajā dienestā, kā arī pieprasa un izsniedz informāciju par rezerves karavīriem un rezervistiem” prasības. Līdz ar to Projekts un Anotācija būtu pilnveidojami attiecībā uz zemessargiem un rezerves karavīriem, kuri ieņem amatus iestādēs, kuras nodrošina kritiskās infrastruktūras darbību.”</w:t>
            </w:r>
          </w:p>
          <w:p w14:paraId="39E085FE" w14:textId="77777777" w:rsidR="00B30AE0" w:rsidRPr="000A20AD" w:rsidRDefault="00B30AE0" w:rsidP="00B30AE0">
            <w:pPr>
              <w:widowControl w:val="0"/>
              <w:spacing w:after="0" w:line="240" w:lineRule="auto"/>
              <w:jc w:val="both"/>
              <w:rPr>
                <w:rFonts w:ascii="Times New Roman" w:eastAsia="Times New Roman" w:hAnsi="Times New Roman" w:cs="Times New Roman"/>
                <w:lang w:eastAsia="lv-LV"/>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5813258" w14:textId="3258EB6E" w:rsidR="00B30AE0" w:rsidRPr="000A20AD" w:rsidRDefault="00597242" w:rsidP="00385089">
            <w:pPr>
              <w:spacing w:after="0" w:line="240" w:lineRule="auto"/>
              <w:jc w:val="center"/>
              <w:rPr>
                <w:rFonts w:ascii="Times New Roman" w:eastAsia="Times New Roman" w:hAnsi="Times New Roman" w:cs="Times New Roman"/>
                <w:lang w:eastAsia="lv-LV"/>
              </w:rPr>
            </w:pPr>
            <w:r w:rsidRPr="000A20AD">
              <w:rPr>
                <w:rFonts w:ascii="Times New Roman" w:eastAsia="Times New Roman" w:hAnsi="Times New Roman" w:cs="Times New Roman"/>
                <w:b/>
                <w:lang w:eastAsia="lv-LV"/>
              </w:rPr>
              <w:lastRenderedPageBreak/>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78754856" w14:textId="3C567AC5" w:rsidR="00B30AE0" w:rsidRPr="000A20AD" w:rsidRDefault="00DA17AB" w:rsidP="00DA17AB">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projekts paredz, ka r</w:t>
            </w:r>
            <w:r w:rsidR="00B30AE0" w:rsidRPr="000A20AD">
              <w:rPr>
                <w:rFonts w:ascii="Times New Roman" w:eastAsia="Times New Roman" w:hAnsi="Times New Roman" w:cs="Times New Roman"/>
                <w:lang w:eastAsia="lv-LV"/>
              </w:rPr>
              <w:t xml:space="preserve">ezerves karavīri, </w:t>
            </w:r>
            <w:r w:rsidRPr="000A20AD">
              <w:rPr>
                <w:rFonts w:ascii="Times New Roman" w:eastAsia="Times New Roman" w:hAnsi="Times New Roman" w:cs="Times New Roman"/>
                <w:lang w:eastAsia="lv-LV"/>
              </w:rPr>
              <w:t>kas atbilstoši</w:t>
            </w:r>
            <w:r w:rsidR="00B30AE0" w:rsidRPr="000A20AD">
              <w:rPr>
                <w:rFonts w:ascii="Times New Roman" w:eastAsia="Times New Roman" w:hAnsi="Times New Roman" w:cs="Times New Roman"/>
                <w:lang w:eastAsia="lv-LV"/>
              </w:rPr>
              <w:t xml:space="preserve"> projektā noteiktajam </w:t>
            </w:r>
            <w:r w:rsidRPr="000A20AD">
              <w:rPr>
                <w:rFonts w:ascii="Times New Roman" w:eastAsia="Times New Roman" w:hAnsi="Times New Roman" w:cs="Times New Roman"/>
                <w:lang w:eastAsia="lv-LV"/>
              </w:rPr>
              <w:t>būs uzskatāmi par kritisko personālu</w:t>
            </w:r>
            <w:r w:rsidR="00B30AE0" w:rsidRPr="000A20AD">
              <w:rPr>
                <w:rFonts w:ascii="Times New Roman" w:eastAsia="Times New Roman" w:hAnsi="Times New Roman" w:cs="Times New Roman"/>
                <w:lang w:eastAsia="lv-LV"/>
              </w:rPr>
              <w:t xml:space="preserve">, mobilizācijas izsludināšanas gadījumā netiks </w:t>
            </w:r>
            <w:r w:rsidR="00B30AE0" w:rsidRPr="000A20AD">
              <w:rPr>
                <w:rFonts w:ascii="Times New Roman" w:eastAsia="Times New Roman" w:hAnsi="Times New Roman" w:cs="Times New Roman"/>
                <w:lang w:eastAsia="lv-LV"/>
              </w:rPr>
              <w:lastRenderedPageBreak/>
              <w:t xml:space="preserve">pakļauti </w:t>
            </w:r>
            <w:r w:rsidR="00B30AE0" w:rsidRPr="000A20AD">
              <w:rPr>
                <w:rFonts w:ascii="Times New Roman" w:hAnsi="Times New Roman" w:cs="Times New Roman"/>
              </w:rPr>
              <w:t xml:space="preserve">mobilizācijai saskaņā ar Ministru kabineta </w:t>
            </w:r>
            <w:proofErr w:type="gramStart"/>
            <w:r w:rsidR="00B30AE0" w:rsidRPr="000A20AD">
              <w:rPr>
                <w:rFonts w:ascii="Times New Roman" w:hAnsi="Times New Roman" w:cs="Times New Roman"/>
              </w:rPr>
              <w:t>2007.gada</w:t>
            </w:r>
            <w:proofErr w:type="gramEnd"/>
            <w:r w:rsidR="00B30AE0" w:rsidRPr="000A20AD">
              <w:rPr>
                <w:rFonts w:ascii="Times New Roman" w:hAnsi="Times New Roman" w:cs="Times New Roman"/>
              </w:rPr>
              <w:t xml:space="preserve"> 20.novembras noteikumu Nr.779 “Kārtība, kādā rezerves karavīrus un rezervistus reģistrē, uzskaita un iesauc aktīvajā dienestā, kā arī pieprasa un izsniedz informāciju par rezerves karavīriem un rezervistiem”.</w:t>
            </w:r>
          </w:p>
        </w:tc>
      </w:tr>
      <w:tr w:rsidR="0055138A" w:rsidRPr="000A20AD" w14:paraId="1F642D57"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71C63586" w14:textId="77777777" w:rsidR="0055138A" w:rsidRPr="000A20AD" w:rsidRDefault="0055138A" w:rsidP="00B30AE0">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C0052A9" w14:textId="0C40F388" w:rsidR="0055138A" w:rsidRPr="000A20AD" w:rsidRDefault="0055138A" w:rsidP="00B30AE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anotācijas I sadaļas 2.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32CB64F3" w14:textId="77777777" w:rsidR="0055138A" w:rsidRPr="000A20AD" w:rsidRDefault="0055138A" w:rsidP="00D23DA6">
            <w:pPr>
              <w:spacing w:after="0" w:line="240" w:lineRule="auto"/>
              <w:rPr>
                <w:rFonts w:ascii="Times New Roman" w:hAnsi="Times New Roman" w:cs="Times New Roman"/>
                <w:shd w:val="clear" w:color="auto" w:fill="FFFFFF"/>
              </w:rPr>
            </w:pPr>
            <w:r w:rsidRPr="000A20AD">
              <w:rPr>
                <w:rFonts w:ascii="Times New Roman" w:hAnsi="Times New Roman" w:cs="Times New Roman"/>
                <w:b/>
                <w:shd w:val="clear" w:color="auto" w:fill="FFFFFF"/>
              </w:rPr>
              <w:t>Valsts kanceleja:</w:t>
            </w:r>
          </w:p>
          <w:p w14:paraId="3FEC8F20" w14:textId="77777777" w:rsidR="0055138A" w:rsidRPr="000A20AD" w:rsidRDefault="0055138A" w:rsidP="00D23DA6">
            <w:pPr>
              <w:spacing w:after="0" w:line="240" w:lineRule="auto"/>
              <w:jc w:val="both"/>
              <w:rPr>
                <w:rFonts w:ascii="Times New Roman" w:hAnsi="Times New Roman" w:cs="Times New Roman"/>
                <w:shd w:val="clear" w:color="auto" w:fill="FFFFFF"/>
              </w:rPr>
            </w:pPr>
            <w:r w:rsidRPr="000A20AD">
              <w:rPr>
                <w:rFonts w:ascii="Times New Roman" w:hAnsi="Times New Roman" w:cs="Times New Roman"/>
                <w:shd w:val="clear" w:color="auto" w:fill="FFFFFF"/>
              </w:rPr>
              <w:t xml:space="preserve">“Izslēgt no sākotnējās ietekmes novērtējuma ziņojuma (anotācijas) I sadaļas 2. punkta šādu </w:t>
            </w:r>
            <w:r w:rsidRPr="000A20AD">
              <w:rPr>
                <w:rFonts w:ascii="Times New Roman" w:hAnsi="Times New Roman" w:cs="Times New Roman"/>
                <w:shd w:val="clear" w:color="auto" w:fill="FFFFFF"/>
              </w:rPr>
              <w:lastRenderedPageBreak/>
              <w:t>tekstu: "</w:t>
            </w:r>
            <w:r w:rsidRPr="000A20AD">
              <w:rPr>
                <w:rFonts w:ascii="Times New Roman" w:hAnsi="Times New Roman" w:cs="Times New Roman"/>
                <w:bCs/>
                <w:lang w:eastAsia="lv-LV"/>
              </w:rPr>
              <w:t>Valsts kanceleja ir vadošā valsts pārvaldes iestāde, kas nodrošina kopējo valsts pārvaldes cilvēkresursu attīstības politiku, tajā skaitā ir atbildīga par valsts augstāko amatpersonu atlasi. Atbilstoši Valsts kancelejas rīcībā ir primārā apkopotā informācija par valsts augstākajām amatpersonām.".</w:t>
            </w:r>
            <w:r w:rsidRPr="000A20AD">
              <w:rPr>
                <w:rFonts w:ascii="Times New Roman" w:hAnsi="Times New Roman" w:cs="Times New Roman"/>
                <w:shd w:val="clear" w:color="auto" w:fill="FFFFFF"/>
              </w:rPr>
              <w:t xml:space="preserve"> </w:t>
            </w:r>
            <w:r w:rsidRPr="000A20AD">
              <w:rPr>
                <w:rFonts w:ascii="Times New Roman" w:hAnsi="Times New Roman" w:cs="Times New Roman"/>
                <w:bCs/>
                <w:lang w:eastAsia="lv-LV"/>
              </w:rPr>
              <w:t>Minētais teksts nevar būt par tiesisku pamatu valsts sekretāru datu apstrādei.</w:t>
            </w:r>
            <w:r w:rsidRPr="000A20AD">
              <w:rPr>
                <w:rFonts w:ascii="Times New Roman" w:hAnsi="Times New Roman" w:cs="Times New Roman"/>
                <w:shd w:val="clear" w:color="auto" w:fill="FFFFFF"/>
              </w:rPr>
              <w:t xml:space="preserve"> Vēršam uzmanību, ka, lai gan Valsts kanceleja saskaņā ar Valsts civildienesta likuma 4. panta otrās daļas 4. punktu nodrošina iestādes vadītāju (tai skaitā valsts sekretāru) atlasi, izņemot, ja persona tiek pārcelta valsts sekretāra amatā (Valsts civildienesta likuma 37. pants), Valsts kancelejai nav pienākums apkopot valsts sekretāru personas datu. Ievērojot minēto, Valsts kancelejas rīcībā nav valsts sekretāru personas datu apkopojums.”</w:t>
            </w:r>
          </w:p>
          <w:p w14:paraId="136FF656" w14:textId="48374C33" w:rsidR="0055138A" w:rsidRPr="000A20AD" w:rsidRDefault="0055138A" w:rsidP="00B30AE0">
            <w:pPr>
              <w:widowControl w:val="0"/>
              <w:spacing w:after="0" w:line="240" w:lineRule="auto"/>
              <w:jc w:val="both"/>
              <w:rPr>
                <w:rFonts w:ascii="Times New Roman" w:eastAsia="Times New Roman" w:hAnsi="Times New Roman" w:cs="Times New Roman"/>
                <w:b/>
                <w:lang w:eastAsia="lv-LV"/>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94A0C05" w14:textId="713B9816"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16467F8D" w14:textId="77777777" w:rsidR="0055138A" w:rsidRPr="000A20AD" w:rsidRDefault="0055138A" w:rsidP="00656AC7">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anotācija precizēta šādā redakcijā:</w:t>
            </w:r>
          </w:p>
          <w:p w14:paraId="38BC004C" w14:textId="29980BEE" w:rsidR="0055138A" w:rsidRPr="000A20AD" w:rsidRDefault="0055138A" w:rsidP="00E004E3">
            <w:pPr>
              <w:spacing w:after="0" w:line="240" w:lineRule="auto"/>
              <w:jc w:val="both"/>
              <w:rPr>
                <w:rFonts w:ascii="Times New Roman" w:eastAsia="Times New Roman" w:hAnsi="Times New Roman" w:cs="Times New Roman"/>
                <w:highlight w:val="yellow"/>
                <w:lang w:eastAsia="lv-LV"/>
              </w:rPr>
            </w:pPr>
            <w:r w:rsidRPr="000A20AD">
              <w:rPr>
                <w:rFonts w:ascii="Times New Roman" w:hAnsi="Times New Roman" w:cs="Times New Roman"/>
                <w:bCs/>
                <w:lang w:eastAsia="lv-LV"/>
              </w:rPr>
              <w:lastRenderedPageBreak/>
              <w:t xml:space="preserve">“Atbilstoši Valsts kancelejas nolikuma </w:t>
            </w:r>
            <w:r w:rsidRPr="000A20AD">
              <w:rPr>
                <w:rFonts w:ascii="Times New Roman" w:hAnsi="Times New Roman" w:cs="Times New Roman"/>
              </w:rPr>
              <w:t xml:space="preserve">4.21. punktam Valsts kanceleja kārto Ministru prezidenta, Ministru prezidenta biedra, ministru, parlamentāro sekretāru un to personu uzskaites lietas, </w:t>
            </w:r>
            <w:proofErr w:type="gramStart"/>
            <w:r w:rsidRPr="000A20AD">
              <w:rPr>
                <w:rFonts w:ascii="Times New Roman" w:hAnsi="Times New Roman" w:cs="Times New Roman"/>
              </w:rPr>
              <w:t>kuras iecēlis amatā Ministru kabinets, Ministru prezidents vai Ministru prezidenta biedrs,</w:t>
            </w:r>
            <w:proofErr w:type="gramEnd"/>
            <w:r w:rsidRPr="000A20AD">
              <w:rPr>
                <w:rFonts w:ascii="Times New Roman" w:hAnsi="Times New Roman" w:cs="Times New Roman"/>
              </w:rPr>
              <w:t xml:space="preserve"> un noformē nepieciešamos dokumentus. </w:t>
            </w:r>
            <w:r w:rsidRPr="000A20AD">
              <w:rPr>
                <w:rFonts w:ascii="Times New Roman" w:hAnsi="Times New Roman" w:cs="Times New Roman"/>
                <w:bCs/>
                <w:lang w:eastAsia="lv-LV"/>
              </w:rPr>
              <w:t>Attiecīgi Valsts kancelejas rīcībā ir primārā informācija par Ministru prezidentu, ministriem un par tām personām, kuras iecēlis amatā Ministru kabinets.”</w:t>
            </w:r>
          </w:p>
        </w:tc>
      </w:tr>
      <w:tr w:rsidR="0055138A" w:rsidRPr="000A20AD" w14:paraId="4618E7DF"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4FDFC212" w14:textId="77777777" w:rsidR="0055138A" w:rsidRPr="000A20AD" w:rsidRDefault="0055138A" w:rsidP="004E0A8F">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624FD3C" w14:textId="490E7CC8" w:rsidR="0055138A" w:rsidRPr="000A20AD" w:rsidRDefault="0055138A" w:rsidP="004E0A8F">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anotācijas I sadaļas 2.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4BD5DDE5" w14:textId="77777777" w:rsidR="0055138A" w:rsidRPr="000A20AD" w:rsidRDefault="0055138A" w:rsidP="00D23DA6">
            <w:pPr>
              <w:spacing w:after="0" w:line="240" w:lineRule="auto"/>
              <w:rPr>
                <w:rFonts w:ascii="Times New Roman" w:hAnsi="Times New Roman" w:cs="Times New Roman"/>
                <w:b/>
                <w:shd w:val="clear" w:color="auto" w:fill="FFFFFF"/>
              </w:rPr>
            </w:pPr>
            <w:r w:rsidRPr="000A20AD">
              <w:rPr>
                <w:rFonts w:ascii="Times New Roman" w:hAnsi="Times New Roman" w:cs="Times New Roman"/>
                <w:b/>
                <w:shd w:val="clear" w:color="auto" w:fill="FFFFFF"/>
              </w:rPr>
              <w:t>Valsts kanceleja:</w:t>
            </w:r>
          </w:p>
          <w:p w14:paraId="66AE80D7" w14:textId="77777777" w:rsidR="0055138A" w:rsidRPr="000A20AD" w:rsidRDefault="0055138A" w:rsidP="005B1FA3">
            <w:pPr>
              <w:spacing w:after="0" w:line="240" w:lineRule="auto"/>
              <w:jc w:val="both"/>
              <w:rPr>
                <w:rFonts w:ascii="Times New Roman" w:hAnsi="Times New Roman" w:cs="Times New Roman"/>
                <w:shd w:val="clear" w:color="auto" w:fill="FFFFFF"/>
              </w:rPr>
            </w:pPr>
            <w:r w:rsidRPr="000A20AD">
              <w:rPr>
                <w:rFonts w:ascii="Times New Roman" w:hAnsi="Times New Roman" w:cs="Times New Roman"/>
                <w:shd w:val="clear" w:color="auto" w:fill="FFFFFF"/>
              </w:rPr>
              <w:t xml:space="preserve">“Aizstāt sākotnējās ietekmes novērtējuma ziņojuma (anotācijas) I sadaļas 2. punktā tekstu: </w:t>
            </w:r>
            <w:r w:rsidRPr="000A20AD">
              <w:rPr>
                <w:rFonts w:ascii="Times New Roman" w:hAnsi="Times New Roman" w:cs="Times New Roman"/>
                <w:bCs/>
                <w:lang w:eastAsia="lv-LV"/>
              </w:rPr>
              <w:t>"Ņemot vērā, ka Latvijas valsts un pašvaldību pārvaldē nepastāv vienota amatpersonu un darbinieku uzskaites sistēma, kā arī faktu, ka kritisko personālu pamatā ir spējīgas noteikt tikai pašas atbildīgās institūcijas vai juridiskās personas, veicot kritisko funkciju izvērtējumu, tikai šāda kārtība, kurā katra noteiktā atbildīgā institūcija un juridiskā personas patstāvīgi un regulāri sniedz attiecīgo informāciju."</w:t>
            </w:r>
            <w:r w:rsidRPr="000A20AD">
              <w:rPr>
                <w:rFonts w:ascii="Times New Roman" w:hAnsi="Times New Roman" w:cs="Times New Roman"/>
                <w:shd w:val="clear" w:color="auto" w:fill="FFFFFF"/>
              </w:rPr>
              <w:t xml:space="preserve"> </w:t>
            </w:r>
          </w:p>
          <w:p w14:paraId="4F91B276" w14:textId="77777777" w:rsidR="0055138A" w:rsidRPr="000A20AD" w:rsidRDefault="0055138A" w:rsidP="005B1FA3">
            <w:pPr>
              <w:spacing w:after="0" w:line="240" w:lineRule="auto"/>
              <w:jc w:val="both"/>
              <w:rPr>
                <w:rFonts w:ascii="Times New Roman" w:hAnsi="Times New Roman" w:cs="Times New Roman"/>
                <w:shd w:val="clear" w:color="auto" w:fill="FFFFFF"/>
              </w:rPr>
            </w:pPr>
            <w:r w:rsidRPr="000A20AD">
              <w:rPr>
                <w:rFonts w:ascii="Times New Roman" w:hAnsi="Times New Roman" w:cs="Times New Roman"/>
                <w:bCs/>
                <w:lang w:eastAsia="lv-LV"/>
              </w:rPr>
              <w:t>Ar šādu tekstu:</w:t>
            </w:r>
            <w:r w:rsidRPr="000A20AD">
              <w:rPr>
                <w:rFonts w:ascii="Times New Roman" w:hAnsi="Times New Roman" w:cs="Times New Roman"/>
                <w:shd w:val="clear" w:color="auto" w:fill="FFFFFF"/>
              </w:rPr>
              <w:t xml:space="preserve"> </w:t>
            </w:r>
            <w:r w:rsidRPr="000A20AD">
              <w:rPr>
                <w:rFonts w:ascii="Times New Roman" w:hAnsi="Times New Roman" w:cs="Times New Roman"/>
                <w:bCs/>
                <w:lang w:eastAsia="lv-LV"/>
              </w:rPr>
              <w:t xml:space="preserve">"Ņemot vērā, ka Latvijas valsts un pašvaldību pārvaldē nepastāv amatpersonu un </w:t>
            </w:r>
            <w:r w:rsidRPr="000A20AD">
              <w:rPr>
                <w:rFonts w:ascii="Times New Roman" w:hAnsi="Times New Roman" w:cs="Times New Roman"/>
                <w:bCs/>
                <w:lang w:eastAsia="lv-LV"/>
              </w:rPr>
              <w:lastRenderedPageBreak/>
              <w:t xml:space="preserve">darbinieku uzskaites sistēma, kas aptvertu visu </w:t>
            </w:r>
            <w:r w:rsidRPr="000A20AD">
              <w:rPr>
                <w:rFonts w:ascii="Times New Roman" w:eastAsia="Times New Roman" w:hAnsi="Times New Roman" w:cs="Times New Roman"/>
                <w:lang w:eastAsia="lv-LV"/>
              </w:rPr>
              <w:t>Mobilizācijas likuma 14.</w:t>
            </w:r>
            <w:r w:rsidRPr="000A20AD">
              <w:rPr>
                <w:rFonts w:ascii="Times New Roman" w:eastAsia="Times New Roman" w:hAnsi="Times New Roman" w:cs="Times New Roman"/>
                <w:vertAlign w:val="superscript"/>
                <w:lang w:eastAsia="lv-LV"/>
              </w:rPr>
              <w:t>1</w:t>
            </w:r>
            <w:r w:rsidRPr="000A20AD">
              <w:rPr>
                <w:rFonts w:ascii="Times New Roman" w:eastAsia="Times New Roman" w:hAnsi="Times New Roman" w:cs="Times New Roman"/>
                <w:lang w:eastAsia="lv-LV"/>
              </w:rPr>
              <w:t> panta pirmajā daļā minēto personu loku</w:t>
            </w:r>
            <w:r w:rsidRPr="000A20AD">
              <w:rPr>
                <w:rFonts w:ascii="Times New Roman" w:hAnsi="Times New Roman" w:cs="Times New Roman"/>
                <w:bCs/>
                <w:lang w:eastAsia="lv-LV"/>
              </w:rPr>
              <w:t>, kā arī faktu, ka kritisko personālu pamatā ir spējīgas noteikt tikai pašas atbildīgās institūcijas vai juridiskās personas, veicot kritisko funkciju izvērtējumu, tikai šāda kārtība, kurā katra noteiktā atbildīgā institūcija un juridiskā personas patstāvīgi un regulāri sniedz attiecīgo informāciju."</w:t>
            </w:r>
          </w:p>
          <w:p w14:paraId="23784A76" w14:textId="77777777" w:rsidR="0055138A" w:rsidRPr="000A20AD" w:rsidRDefault="0055138A" w:rsidP="005B1FA3">
            <w:pPr>
              <w:spacing w:after="0" w:line="240" w:lineRule="auto"/>
              <w:jc w:val="both"/>
              <w:rPr>
                <w:rFonts w:ascii="Times New Roman" w:hAnsi="Times New Roman" w:cs="Times New Roman"/>
                <w:shd w:val="clear" w:color="auto" w:fill="FFFFFF"/>
              </w:rPr>
            </w:pPr>
            <w:r w:rsidRPr="000A20AD">
              <w:rPr>
                <w:rFonts w:ascii="Times New Roman" w:hAnsi="Times New Roman" w:cs="Times New Roman"/>
                <w:bCs/>
                <w:lang w:eastAsia="lv-LV"/>
              </w:rPr>
              <w:t xml:space="preserve">Valsts un pašvaldību institūciju amatpersonu un darbinieku atlīdzības likuma 3. panta astotajā daļā noteikts, ka </w:t>
            </w:r>
            <w:r w:rsidRPr="000A20AD">
              <w:rPr>
                <w:rFonts w:ascii="Times New Roman" w:hAnsi="Times New Roman" w:cs="Times New Roman"/>
                <w:shd w:val="clear" w:color="auto" w:fill="FFFFFF"/>
              </w:rPr>
              <w:t xml:space="preserve">Ministru kabinets nosaka valsts tiešās pārvaldes iestāžu amatpersonu (darbinieku) atlīdzības un personu uzskaites sistēmu (datubāzi), kā arī citu valsts un pašvaldību institūciju un šā likuma 2. panta  otrās daļas 4. punktā minēto kapitālsabiedrību amatpersonu (darbinieku) atlīdzības uzskaites sistēmu (datubāzi). </w:t>
            </w:r>
          </w:p>
          <w:p w14:paraId="58CD526E" w14:textId="77777777" w:rsidR="0055138A" w:rsidRPr="000A20AD" w:rsidRDefault="0055138A" w:rsidP="005B1FA3">
            <w:pPr>
              <w:spacing w:after="0" w:line="240" w:lineRule="auto"/>
              <w:jc w:val="both"/>
              <w:rPr>
                <w:rFonts w:ascii="Times New Roman" w:hAnsi="Times New Roman" w:cs="Times New Roman"/>
                <w:shd w:val="clear" w:color="auto" w:fill="FFFFFF"/>
              </w:rPr>
            </w:pPr>
            <w:r w:rsidRPr="000A20AD">
              <w:rPr>
                <w:rFonts w:ascii="Times New Roman" w:hAnsi="Times New Roman" w:cs="Times New Roman"/>
                <w:shd w:val="clear" w:color="auto" w:fill="FFFFFF"/>
              </w:rPr>
              <w:t>Ievērojot minēto, Latvijā ir izveidota amatpersonu (darbinieku) atlīdzības un personu uzskaites sistēma.</w:t>
            </w:r>
          </w:p>
          <w:p w14:paraId="57E01D54" w14:textId="77777777" w:rsidR="0055138A" w:rsidRPr="000A20AD" w:rsidRDefault="0055138A" w:rsidP="005B1FA3">
            <w:pPr>
              <w:pStyle w:val="tv213"/>
              <w:shd w:val="clear" w:color="auto" w:fill="FFFFFF"/>
              <w:spacing w:before="0" w:beforeAutospacing="0" w:after="0" w:afterAutospacing="0"/>
              <w:rPr>
                <w:sz w:val="22"/>
                <w:szCs w:val="22"/>
              </w:rPr>
            </w:pPr>
            <w:r w:rsidRPr="000A20AD">
              <w:rPr>
                <w:bCs/>
                <w:sz w:val="22"/>
                <w:szCs w:val="22"/>
              </w:rPr>
              <w:t>Saskaņā ar Ministru kabineta 2017. gada 7. novembra noteikumu Nr. 662 "</w:t>
            </w:r>
            <w:r w:rsidRPr="000A20AD">
              <w:rPr>
                <w:bCs/>
                <w:sz w:val="22"/>
                <w:szCs w:val="22"/>
                <w:shd w:val="clear" w:color="auto" w:fill="FFFFFF"/>
              </w:rPr>
              <w:t xml:space="preserve">Noteikumi par valsts tiešās pārvaldes iestāžu un citu valsts un pašvaldību institūciju amatpersonu (darbinieku) atlīdzības un personu uzskaites sistēmu" 2. punktu </w:t>
            </w:r>
            <w:r w:rsidRPr="000A20AD">
              <w:rPr>
                <w:sz w:val="22"/>
                <w:szCs w:val="22"/>
                <w:shd w:val="clear" w:color="auto" w:fill="FFFFFF"/>
              </w:rPr>
              <w:t xml:space="preserve">valsts tiešās pārvaldes iestāžu amatpersonu (darbinieku) atlīdzības un personu uzskaites sistēma </w:t>
            </w:r>
            <w:proofErr w:type="gramStart"/>
            <w:r w:rsidRPr="000A20AD">
              <w:rPr>
                <w:sz w:val="22"/>
                <w:szCs w:val="22"/>
                <w:shd w:val="clear" w:color="auto" w:fill="FFFFFF"/>
              </w:rPr>
              <w:t>(</w:t>
            </w:r>
            <w:proofErr w:type="gramEnd"/>
            <w:r w:rsidRPr="000A20AD">
              <w:rPr>
                <w:sz w:val="22"/>
                <w:szCs w:val="22"/>
                <w:shd w:val="clear" w:color="auto" w:fill="FFFFFF"/>
              </w:rPr>
              <w:t xml:space="preserve">datubāze) (turpmāk – AUS) </w:t>
            </w:r>
            <w:r w:rsidRPr="000A20AD">
              <w:rPr>
                <w:sz w:val="22"/>
                <w:szCs w:val="22"/>
              </w:rPr>
              <w:t>ir valsts informācijas sistēma, kuru, izmanto, lai:</w:t>
            </w:r>
          </w:p>
          <w:p w14:paraId="4BD1F169" w14:textId="77777777" w:rsidR="0055138A" w:rsidRPr="000A20AD" w:rsidRDefault="0055138A" w:rsidP="005B1FA3">
            <w:pPr>
              <w:pStyle w:val="tv213"/>
              <w:shd w:val="clear" w:color="auto" w:fill="FFFFFF"/>
              <w:spacing w:before="0" w:beforeAutospacing="0" w:after="0" w:afterAutospacing="0"/>
              <w:rPr>
                <w:sz w:val="22"/>
                <w:szCs w:val="22"/>
              </w:rPr>
            </w:pPr>
            <w:r w:rsidRPr="000A20AD">
              <w:rPr>
                <w:sz w:val="22"/>
                <w:szCs w:val="22"/>
              </w:rPr>
              <w:t xml:space="preserve">1. apkopotu, sistematizētu un aktualizētu informāciju par amatpersonu (darbinieku) </w:t>
            </w:r>
            <w:r w:rsidRPr="000A20AD">
              <w:rPr>
                <w:sz w:val="22"/>
                <w:szCs w:val="22"/>
              </w:rPr>
              <w:lastRenderedPageBreak/>
              <w:t>atlīdzību, kā arī analizētu finansējuma pieprasījumus un izlietojumu atlīdzībai;</w:t>
            </w:r>
          </w:p>
          <w:p w14:paraId="50273770" w14:textId="77777777" w:rsidR="0055138A" w:rsidRPr="000A20AD" w:rsidRDefault="0055138A" w:rsidP="005B1FA3">
            <w:pPr>
              <w:pStyle w:val="tv213"/>
              <w:shd w:val="clear" w:color="auto" w:fill="FFFFFF"/>
              <w:spacing w:before="0" w:beforeAutospacing="0" w:after="0" w:afterAutospacing="0"/>
              <w:rPr>
                <w:sz w:val="22"/>
                <w:szCs w:val="22"/>
              </w:rPr>
            </w:pPr>
            <w:r w:rsidRPr="000A20AD">
              <w:rPr>
                <w:sz w:val="22"/>
                <w:szCs w:val="22"/>
              </w:rPr>
              <w:t>2. plānotu un aprēķinātu nepieciešamo finansējumu, izstrādājot valsts budžeta likumprojektu kārtējam gadam un tiesību aktu projektus par atlīdzību;</w:t>
            </w:r>
          </w:p>
          <w:p w14:paraId="0B86ABEB" w14:textId="77777777" w:rsidR="0055138A" w:rsidRPr="000A20AD" w:rsidRDefault="0055138A" w:rsidP="005B1FA3">
            <w:pPr>
              <w:pStyle w:val="tv213"/>
              <w:shd w:val="clear" w:color="auto" w:fill="FFFFFF"/>
              <w:spacing w:before="0" w:beforeAutospacing="0" w:after="0" w:afterAutospacing="0"/>
              <w:rPr>
                <w:sz w:val="22"/>
                <w:szCs w:val="22"/>
              </w:rPr>
            </w:pPr>
            <w:r w:rsidRPr="000A20AD">
              <w:rPr>
                <w:sz w:val="22"/>
                <w:szCs w:val="22"/>
              </w:rPr>
              <w:t>3. apzinātu un kontrolētu esošo situāciju attiecībā uz amata vietām un amatpersonu (darbinieku) atlīdzību.</w:t>
            </w:r>
          </w:p>
          <w:p w14:paraId="487DFCE2" w14:textId="77777777" w:rsidR="0055138A" w:rsidRPr="000A20AD" w:rsidRDefault="0055138A" w:rsidP="005B1FA3">
            <w:pPr>
              <w:pStyle w:val="tv213"/>
              <w:shd w:val="clear" w:color="auto" w:fill="FFFFFF"/>
              <w:spacing w:before="0" w:beforeAutospacing="0" w:after="0" w:afterAutospacing="0"/>
              <w:rPr>
                <w:sz w:val="22"/>
                <w:szCs w:val="22"/>
              </w:rPr>
            </w:pPr>
            <w:r w:rsidRPr="000A20AD">
              <w:rPr>
                <w:sz w:val="22"/>
                <w:szCs w:val="22"/>
              </w:rPr>
              <w:t>Vēršam uzmanību, ka AUS nevar izmantot Mobilizācijas likuma 14.</w:t>
            </w:r>
            <w:r w:rsidRPr="000A20AD">
              <w:rPr>
                <w:sz w:val="22"/>
                <w:szCs w:val="22"/>
                <w:vertAlign w:val="superscript"/>
              </w:rPr>
              <w:t>1</w:t>
            </w:r>
            <w:r w:rsidRPr="000A20AD">
              <w:rPr>
                <w:sz w:val="22"/>
                <w:szCs w:val="22"/>
              </w:rPr>
              <w:t> panta pirmajā daļā minēto personu datu iegūšanai un apstrādei, jo:</w:t>
            </w:r>
          </w:p>
          <w:p w14:paraId="245B51E1" w14:textId="77777777" w:rsidR="0055138A" w:rsidRPr="000A20AD" w:rsidRDefault="0055138A" w:rsidP="005B1FA3">
            <w:pPr>
              <w:pStyle w:val="tv213"/>
              <w:shd w:val="clear" w:color="auto" w:fill="FFFFFF"/>
              <w:spacing w:before="0" w:beforeAutospacing="0" w:after="0" w:afterAutospacing="0"/>
              <w:rPr>
                <w:sz w:val="22"/>
                <w:szCs w:val="22"/>
              </w:rPr>
            </w:pPr>
            <w:r w:rsidRPr="000A20AD">
              <w:rPr>
                <w:sz w:val="22"/>
                <w:szCs w:val="22"/>
              </w:rPr>
              <w:t>1) AUS esošo datu apstrādes mērķis ir atlīdzības uzskaite un budžeta plānošana. Ievērojot minēto, vēršam uzmanību, ka saskaņā ar Regulu</w:t>
            </w:r>
            <w:r w:rsidRPr="000A20AD">
              <w:rPr>
                <w:rStyle w:val="FootnoteReference"/>
                <w:sz w:val="22"/>
                <w:szCs w:val="22"/>
              </w:rPr>
              <w:footnoteReference w:id="2"/>
            </w:r>
            <w:r w:rsidRPr="000A20AD">
              <w:rPr>
                <w:sz w:val="22"/>
                <w:szCs w:val="22"/>
              </w:rPr>
              <w:t xml:space="preserve"> personas datu apstrāde nolūkos, kas nav tie, kādos personas dati sākotnēji tika vākti, būtu jāatļauj tikai tad, ja apstrāde ir saderīga ar tiem nolūkiem, kādos personas dati sākotnēji tika vākti.</w:t>
            </w:r>
          </w:p>
          <w:p w14:paraId="5E60EE2B" w14:textId="77777777" w:rsidR="0055138A" w:rsidRPr="000A20AD" w:rsidRDefault="0055138A" w:rsidP="005B1FA3">
            <w:pPr>
              <w:pStyle w:val="tv213"/>
              <w:shd w:val="clear" w:color="auto" w:fill="FFFFFF"/>
              <w:spacing w:before="0" w:beforeAutospacing="0" w:after="0" w:afterAutospacing="0"/>
              <w:rPr>
                <w:sz w:val="22"/>
                <w:szCs w:val="22"/>
              </w:rPr>
            </w:pPr>
            <w:r w:rsidRPr="000A20AD">
              <w:rPr>
                <w:sz w:val="22"/>
                <w:szCs w:val="22"/>
              </w:rPr>
              <w:t>2) AUS nav pieejami visu Mobilizācijas likuma 14.</w:t>
            </w:r>
            <w:r w:rsidRPr="000A20AD">
              <w:rPr>
                <w:sz w:val="22"/>
                <w:szCs w:val="22"/>
                <w:vertAlign w:val="superscript"/>
              </w:rPr>
              <w:t>1</w:t>
            </w:r>
            <w:r w:rsidRPr="000A20AD">
              <w:rPr>
                <w:sz w:val="22"/>
                <w:szCs w:val="22"/>
              </w:rPr>
              <w:t> panta pirmajā daļā minēto personu dati, piemēram, nav datu par pašvaldību deputātiem, Eiropas Parlamenta deputātiem, Eiropas Savienības komisāriem, Latvijas Bankas prezidentu, prezidenta vietnieku un padomes locekli u.c.</w:t>
            </w:r>
          </w:p>
          <w:p w14:paraId="479DC1C2" w14:textId="77777777" w:rsidR="0055138A" w:rsidRPr="000A20AD" w:rsidRDefault="0055138A" w:rsidP="00D23DA6">
            <w:pPr>
              <w:pStyle w:val="tv213"/>
              <w:shd w:val="clear" w:color="auto" w:fill="FFFFFF"/>
              <w:spacing w:before="0" w:beforeAutospacing="0" w:after="0" w:afterAutospacing="0"/>
              <w:rPr>
                <w:sz w:val="22"/>
                <w:szCs w:val="22"/>
              </w:rPr>
            </w:pPr>
            <w:r w:rsidRPr="000A20AD">
              <w:rPr>
                <w:sz w:val="22"/>
                <w:szCs w:val="22"/>
              </w:rPr>
              <w:t>3) AUS nav tiešsaistes informācijas sistēma</w:t>
            </w:r>
            <w:proofErr w:type="gramStart"/>
            <w:r w:rsidRPr="000A20AD">
              <w:rPr>
                <w:sz w:val="22"/>
                <w:szCs w:val="22"/>
              </w:rPr>
              <w:t xml:space="preserve"> un</w:t>
            </w:r>
            <w:proofErr w:type="gramEnd"/>
            <w:r w:rsidRPr="000A20AD">
              <w:rPr>
                <w:sz w:val="22"/>
                <w:szCs w:val="22"/>
              </w:rPr>
              <w:t xml:space="preserve"> tās dati netiek validēti un pārbaudīti, piemēram, pret Iedzīvotāju reģistru un citām informācijas </w:t>
            </w:r>
            <w:r w:rsidRPr="000A20AD">
              <w:rPr>
                <w:sz w:val="22"/>
                <w:szCs w:val="22"/>
              </w:rPr>
              <w:lastRenderedPageBreak/>
              <w:t>sistēmām, tāpēc iespējamas datu neprecizitātes, jo tiek vadīti galvenokārt manuāli, tai skaitā var nebūt norādīts personas kods, bet tikai dzimšanas datums.</w:t>
            </w:r>
          </w:p>
          <w:p w14:paraId="0A1F1D06" w14:textId="77777777" w:rsidR="0055138A" w:rsidRPr="000A20AD" w:rsidRDefault="0055138A" w:rsidP="00D23DA6">
            <w:pPr>
              <w:pStyle w:val="tv213"/>
              <w:shd w:val="clear" w:color="auto" w:fill="FFFFFF"/>
              <w:spacing w:before="0" w:beforeAutospacing="0" w:after="0" w:afterAutospacing="0"/>
              <w:rPr>
                <w:sz w:val="22"/>
                <w:szCs w:val="22"/>
              </w:rPr>
            </w:pPr>
            <w:r w:rsidRPr="000A20AD">
              <w:rPr>
                <w:sz w:val="22"/>
                <w:szCs w:val="22"/>
              </w:rPr>
              <w:t xml:space="preserve">4) Dati AUS tiek iesniegti noteiktā kārtībā un termiņā, līdz ar to tālāk sniedzamā informācija nebūs aktuālākā, bet ar aptuveni 1,5 mēnešu nobīdi. </w:t>
            </w:r>
          </w:p>
          <w:p w14:paraId="66A93815" w14:textId="77777777" w:rsidR="0055138A" w:rsidRPr="000A20AD" w:rsidRDefault="0055138A" w:rsidP="00D23DA6">
            <w:pPr>
              <w:pStyle w:val="tv213"/>
              <w:shd w:val="clear" w:color="auto" w:fill="FFFFFF"/>
              <w:spacing w:before="0" w:beforeAutospacing="0" w:after="0" w:afterAutospacing="0"/>
              <w:rPr>
                <w:sz w:val="22"/>
                <w:szCs w:val="22"/>
              </w:rPr>
            </w:pPr>
            <w:r w:rsidRPr="000A20AD">
              <w:rPr>
                <w:sz w:val="22"/>
                <w:szCs w:val="22"/>
              </w:rPr>
              <w:t>5) Atsevišķos gadījumos AUS esošie personas dati tiek aizstāti ar kodu – ciparu virkni, kur kodēšanu veic iestāde - datu iesniedzējs.</w:t>
            </w:r>
          </w:p>
          <w:p w14:paraId="6413D8B0" w14:textId="04D973B8" w:rsidR="0055138A" w:rsidRPr="000A20AD" w:rsidRDefault="0055138A" w:rsidP="004E0A8F">
            <w:pPr>
              <w:widowControl w:val="0"/>
              <w:spacing w:after="0" w:line="240" w:lineRule="auto"/>
              <w:jc w:val="both"/>
              <w:rPr>
                <w:rFonts w:ascii="Times New Roman" w:eastAsia="Times New Roman" w:hAnsi="Times New Roman" w:cs="Times New Roman"/>
                <w:b/>
                <w:lang w:eastAsia="lv-LV"/>
              </w:rPr>
            </w:pPr>
            <w:r w:rsidRPr="000A20AD">
              <w:rPr>
                <w:rFonts w:ascii="Times New Roman" w:hAnsi="Times New Roman" w:cs="Times New Roman"/>
              </w:rPr>
              <w:t xml:space="preserve">6) AUS tiek norādīti tādi amata statusi kā ierēdņa amats, darbinieka amats u.tml. Attiecībā uz amatpersonas statusu norādāms, ka tas tiek izmantots parlamentāro sekretāru amata statusa klasificēšanai. Līdz ar to no AUS nebūtu iespējams sniegt datus, piemēram, par Valsts prezidenta kancelejas amatpersonu. Turklāt vēršam uzmanību, ka ne likumprojektā "Grozījumi Mobilizācijas likumā" (reģ. Nr. 691/Lp13), ne </w:t>
            </w:r>
            <w:proofErr w:type="gramStart"/>
            <w:r w:rsidRPr="000A20AD">
              <w:rPr>
                <w:rFonts w:ascii="Times New Roman" w:hAnsi="Times New Roman" w:cs="Times New Roman"/>
              </w:rPr>
              <w:t>tā sākotnējās ietekmes</w:t>
            </w:r>
            <w:proofErr w:type="gramEnd"/>
            <w:r w:rsidRPr="000A20AD">
              <w:rPr>
                <w:rFonts w:ascii="Times New Roman" w:hAnsi="Times New Roman" w:cs="Times New Roman"/>
              </w:rPr>
              <w:t xml:space="preserve"> novērtējuma ziņojumā (anotācijā) nav norādīts, kas saprotams ar vārdu "amatpersona".”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86CB55F" w14:textId="1A47C2E0"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2D76EAC2" w14:textId="4E0BCD63" w:rsidR="0055138A" w:rsidRPr="000A20AD" w:rsidRDefault="0055138A" w:rsidP="00E004E3">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projekts un tā anotācija precizēta atbilstoši norādītajam.</w:t>
            </w:r>
          </w:p>
        </w:tc>
      </w:tr>
      <w:tr w:rsidR="0055138A" w:rsidRPr="000A20AD" w14:paraId="417F0EAC"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10E2922B" w14:textId="77777777" w:rsidR="0055138A" w:rsidRPr="000A20AD" w:rsidRDefault="0055138A" w:rsidP="004E0A8F">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F0E3AC9" w14:textId="35D329C7" w:rsidR="0055138A" w:rsidRPr="000A20AD" w:rsidRDefault="0055138A" w:rsidP="004E0A8F">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anotācija.</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00F696D5" w14:textId="77777777" w:rsidR="0055138A" w:rsidRPr="000A20AD" w:rsidRDefault="0055138A" w:rsidP="00D23DA6">
            <w:pPr>
              <w:spacing w:after="0" w:line="240" w:lineRule="auto"/>
              <w:rPr>
                <w:rFonts w:ascii="Times New Roman" w:hAnsi="Times New Roman" w:cs="Times New Roman"/>
                <w:bCs/>
              </w:rPr>
            </w:pPr>
            <w:r w:rsidRPr="000A20AD">
              <w:rPr>
                <w:rFonts w:ascii="Times New Roman" w:hAnsi="Times New Roman" w:cs="Times New Roman"/>
                <w:b/>
                <w:bCs/>
              </w:rPr>
              <w:t>Valsts kanceleja:</w:t>
            </w:r>
          </w:p>
          <w:p w14:paraId="0F050D33" w14:textId="77777777" w:rsidR="0055138A" w:rsidRPr="000A20AD" w:rsidRDefault="0055138A" w:rsidP="00D23DA6">
            <w:pPr>
              <w:spacing w:after="0" w:line="240" w:lineRule="auto"/>
              <w:jc w:val="both"/>
              <w:rPr>
                <w:rFonts w:ascii="Times New Roman" w:hAnsi="Times New Roman" w:cs="Times New Roman"/>
                <w:bCs/>
              </w:rPr>
            </w:pPr>
            <w:r w:rsidRPr="000A20AD">
              <w:rPr>
                <w:rFonts w:ascii="Times New Roman" w:hAnsi="Times New Roman" w:cs="Times New Roman"/>
                <w:bCs/>
              </w:rPr>
              <w:t xml:space="preserve">“Papildināt sākotnējās ietekmes novērtējuma ziņojumu (anotāciju) ar pamatojumu ziņu sniegšanas biežumam, proti, divas reizes gadā. Vēršam uzmanību, ka </w:t>
            </w:r>
            <w:r w:rsidRPr="000A20AD">
              <w:rPr>
                <w:rFonts w:ascii="Times New Roman" w:eastAsia="Times New Roman" w:hAnsi="Times New Roman" w:cs="Times New Roman"/>
                <w:lang w:eastAsia="lv-LV"/>
              </w:rPr>
              <w:t>Mobilizācijas likuma 14.</w:t>
            </w:r>
            <w:r w:rsidRPr="000A20AD">
              <w:rPr>
                <w:rFonts w:ascii="Times New Roman" w:eastAsia="Times New Roman" w:hAnsi="Times New Roman" w:cs="Times New Roman"/>
                <w:vertAlign w:val="superscript"/>
                <w:lang w:eastAsia="lv-LV"/>
              </w:rPr>
              <w:t>1</w:t>
            </w:r>
            <w:r w:rsidRPr="000A20AD">
              <w:rPr>
                <w:rFonts w:ascii="Times New Roman" w:eastAsia="Times New Roman" w:hAnsi="Times New Roman" w:cs="Times New Roman"/>
                <w:lang w:eastAsia="lv-LV"/>
              </w:rPr>
              <w:t> panta pirmajā daļā minēto personu mainība nav tik bieža, lai būtu saskatāma samērīga un pamatota nepieciešamība tik biežai datu apstrādes nepieciešamībai.</w:t>
            </w:r>
            <w:r w:rsidRPr="000A20AD">
              <w:rPr>
                <w:rFonts w:ascii="Times New Roman" w:hAnsi="Times New Roman" w:cs="Times New Roman"/>
                <w:bCs/>
              </w:rPr>
              <w:t xml:space="preserve"> </w:t>
            </w:r>
            <w:r w:rsidRPr="000A20AD">
              <w:rPr>
                <w:rFonts w:ascii="Times New Roman" w:eastAsia="Times New Roman" w:hAnsi="Times New Roman" w:cs="Times New Roman"/>
                <w:lang w:eastAsia="lv-LV"/>
              </w:rPr>
              <w:t xml:space="preserve">Turklāt piemēram, saskaņā ar Ministru kabineta 2007. gada 20. novembra </w:t>
            </w:r>
            <w:r w:rsidRPr="000A20AD">
              <w:rPr>
                <w:rFonts w:ascii="Times New Roman" w:eastAsia="Times New Roman" w:hAnsi="Times New Roman" w:cs="Times New Roman"/>
                <w:lang w:eastAsia="lv-LV"/>
              </w:rPr>
              <w:lastRenderedPageBreak/>
              <w:t>noteikumu Nr. 779 "</w:t>
            </w:r>
            <w:r w:rsidRPr="000A20AD">
              <w:rPr>
                <w:rFonts w:ascii="Times New Roman" w:hAnsi="Times New Roman" w:cs="Times New Roman"/>
                <w:bCs/>
                <w:shd w:val="clear" w:color="auto" w:fill="FFFFFF"/>
              </w:rPr>
              <w:t>Kārtība, kādā rezerves karavīrus un rezervistus reģistrē, uzskaita un iesauc aktīvajā dienestā, kā arī pieprasa un izsniedz informāciju par rezerves karavīriem un rezervistiem" 15. punktu</w:t>
            </w:r>
            <w:r w:rsidRPr="000A20AD">
              <w:rPr>
                <w:rFonts w:ascii="Times New Roman" w:hAnsi="Times New Roman" w:cs="Times New Roman"/>
                <w:b/>
                <w:bCs/>
                <w:shd w:val="clear" w:color="auto" w:fill="FFFFFF"/>
              </w:rPr>
              <w:t xml:space="preserve"> </w:t>
            </w:r>
            <w:r w:rsidRPr="000A20AD">
              <w:rPr>
                <w:rFonts w:ascii="Times New Roman" w:hAnsi="Times New Roman" w:cs="Times New Roman"/>
                <w:shd w:val="clear" w:color="auto" w:fill="FFFFFF"/>
              </w:rPr>
              <w:t xml:space="preserve">informāciju par visiem 18 gadu vecumu sasniegušiem Latvijas pilsoņiem vīriešiem pieprasa reizi gadā.” </w:t>
            </w:r>
          </w:p>
          <w:p w14:paraId="3FF20F94" w14:textId="430687D7" w:rsidR="0055138A" w:rsidRPr="000A20AD" w:rsidRDefault="0055138A" w:rsidP="004E0A8F">
            <w:pPr>
              <w:widowControl w:val="0"/>
              <w:spacing w:after="0" w:line="240" w:lineRule="auto"/>
              <w:jc w:val="both"/>
              <w:rPr>
                <w:rFonts w:ascii="Times New Roman" w:eastAsia="Times New Roman" w:hAnsi="Times New Roman" w:cs="Times New Roman"/>
                <w:b/>
                <w:lang w:eastAsia="lv-LV"/>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44C8372" w14:textId="4FD80A43"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465B8EB8" w14:textId="2E0E7C2D" w:rsidR="0055138A" w:rsidRPr="000A20AD" w:rsidRDefault="0055138A" w:rsidP="00104A38">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Precizēts noteikumu projekts un anotācija, precizējot informācijas pieprasīšanas kārtību reizi gadā, vienlaikus noteikumu projekta anotācijā precizēta norāde, ka Aizsardzības ministrija nosūta atgādinājuma vēstuli par informācijas sniegšanas nepieciešamību, lai nodrošinātu </w:t>
            </w:r>
            <w:r w:rsidRPr="000A20AD">
              <w:rPr>
                <w:rFonts w:ascii="Times New Roman" w:eastAsia="Times New Roman" w:hAnsi="Times New Roman" w:cs="Times New Roman"/>
                <w:lang w:eastAsia="lv-LV"/>
              </w:rPr>
              <w:lastRenderedPageBreak/>
              <w:t>informācijas aprites nepārtrauktību un kontroli.</w:t>
            </w:r>
          </w:p>
        </w:tc>
      </w:tr>
      <w:tr w:rsidR="0055138A" w:rsidRPr="000A20AD" w14:paraId="5B4DD60F"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7C381444" w14:textId="77777777" w:rsidR="0055138A" w:rsidRPr="000A20AD" w:rsidRDefault="0055138A" w:rsidP="00D23DA6">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6E6134" w14:textId="38E434A7" w:rsidR="0055138A" w:rsidRPr="000A20AD" w:rsidRDefault="0055138A" w:rsidP="00D23DA6">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anotācija.</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25C4C290" w14:textId="77777777" w:rsidR="0055138A" w:rsidRPr="000A20AD" w:rsidRDefault="0055138A" w:rsidP="00D23DA6">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Valsts kanceleja:</w:t>
            </w:r>
          </w:p>
          <w:p w14:paraId="3B93BBF7" w14:textId="0868C444" w:rsidR="0055138A" w:rsidRPr="000A20AD" w:rsidRDefault="0055138A" w:rsidP="00D23DA6">
            <w:pPr>
              <w:widowControl w:val="0"/>
              <w:spacing w:after="0" w:line="240" w:lineRule="auto"/>
              <w:jc w:val="both"/>
              <w:rPr>
                <w:rFonts w:ascii="Times New Roman" w:eastAsia="Times New Roman" w:hAnsi="Times New Roman" w:cs="Times New Roman"/>
                <w:b/>
                <w:lang w:eastAsia="lv-LV"/>
              </w:rPr>
            </w:pPr>
            <w:r w:rsidRPr="000A20AD">
              <w:rPr>
                <w:rFonts w:ascii="Times New Roman" w:hAnsi="Times New Roman" w:cs="Times New Roman"/>
                <w:bCs/>
              </w:rPr>
              <w:t>“Sākotnējās ietekmes novērtējuma ziņojuma (anotācijas) II sadaļā: 6.1. precizēt 1. punktu norādot visas mērķgrupas, kuras izstrādātais regulējums ietekmē</w:t>
            </w:r>
            <w:proofErr w:type="gramStart"/>
            <w:r w:rsidRPr="000A20AD">
              <w:rPr>
                <w:rFonts w:ascii="Times New Roman" w:hAnsi="Times New Roman" w:cs="Times New Roman"/>
                <w:bCs/>
              </w:rPr>
              <w:t xml:space="preserve"> vai varētu ietekmēt</w:t>
            </w:r>
            <w:proofErr w:type="gramEnd"/>
            <w:r w:rsidRPr="000A20AD">
              <w:rPr>
                <w:rFonts w:ascii="Times New Roman" w:hAnsi="Times New Roman" w:cs="Times New Roman"/>
                <w:bCs/>
              </w:rPr>
              <w:t xml:space="preserve">, t.sk. valsts un pašvaldību institūcijas, </w:t>
            </w:r>
            <w:r w:rsidRPr="000A20AD">
              <w:rPr>
                <w:rFonts w:ascii="Times New Roman" w:eastAsia="Times New Roman" w:hAnsi="Times New Roman" w:cs="Times New Roman"/>
                <w:lang w:eastAsia="lv-LV"/>
              </w:rPr>
              <w:t>Nacionālo bruņoto spēku rezerves uzskaites struktūrvienību</w:t>
            </w:r>
            <w:r w:rsidRPr="000A20AD">
              <w:rPr>
                <w:rFonts w:ascii="Times New Roman" w:hAnsi="Times New Roman" w:cs="Times New Roman"/>
                <w:bCs/>
              </w:rPr>
              <w:t>; 6.2. ņemot vērā, ka izstrādātais Noteikumu projekts palielina administratīvo slogu vairākām institūcijām, un administratīvo izmaksu palielinājuma monetārais novērtējums publiskās pārvaldes iestādēm ir jāaprēķina sākot ar 1 </w:t>
            </w:r>
            <w:r w:rsidRPr="000A20AD">
              <w:rPr>
                <w:rFonts w:ascii="Times New Roman" w:hAnsi="Times New Roman" w:cs="Times New Roman"/>
                <w:bCs/>
                <w:i/>
              </w:rPr>
              <w:t>euro</w:t>
            </w:r>
            <w:r w:rsidRPr="000A20AD">
              <w:rPr>
                <w:rFonts w:ascii="Times New Roman" w:hAnsi="Times New Roman" w:cs="Times New Roman"/>
                <w:bCs/>
              </w:rPr>
              <w:t xml:space="preserve">, papildināt 3. punktu ar Noteikumu projekta rādīto </w:t>
            </w:r>
            <w:r w:rsidRPr="000A20AD">
              <w:rPr>
                <w:rFonts w:ascii="Times New Roman" w:eastAsia="Times New Roman" w:hAnsi="Times New Roman" w:cs="Times New Roman"/>
                <w:iCs/>
                <w:lang w:eastAsia="lv-LV"/>
              </w:rPr>
              <w:t xml:space="preserve">administratīvo izmaksu monetāro novērtējumu visām  iestādēm, norādot </w:t>
            </w:r>
            <w:r w:rsidRPr="000A20AD">
              <w:rPr>
                <w:rFonts w:ascii="Times New Roman" w:hAnsi="Times New Roman" w:cs="Times New Roman"/>
                <w:shd w:val="clear" w:color="auto" w:fill="FFFFFF"/>
              </w:rPr>
              <w:t>izmaksas, ko radīs Noteikumu projektā paredzētie informācijas apstrādes, sniegšanas un uzglabāšanas pienākumi</w:t>
            </w:r>
            <w:r w:rsidRPr="000A20AD">
              <w:rPr>
                <w:rFonts w:ascii="Times New Roman" w:eastAsia="Times New Roman" w:hAnsi="Times New Roman" w:cs="Times New Roman"/>
                <w:iCs/>
                <w:lang w:eastAsia="lv-LV"/>
              </w:rPr>
              <w:t xml:space="preserve">, t.i., divas reizes gadā atlasīt datus, sagatavot pārskatu, parakstīt, reģistrēt un nosūtīt dokumentu. Slogs radīsies arī </w:t>
            </w:r>
            <w:r w:rsidRPr="000A20AD">
              <w:rPr>
                <w:rFonts w:ascii="Times New Roman" w:eastAsia="Times New Roman" w:hAnsi="Times New Roman" w:cs="Times New Roman"/>
                <w:lang w:eastAsia="lv-LV"/>
              </w:rPr>
              <w:t>Nacionālo bruņoto spēku rezerves uzskaites struktūrvienībai, kurai no 29 institūcijām saņemtie dokumenti būs jāreģistrē un jāapstrādā, līdz ar to aprēķins jāveic arī par šiem pienākumiem."</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D9ED5CA" w14:textId="05F07CDF"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0CCE8DCB" w14:textId="77777777" w:rsidR="0055138A" w:rsidRPr="000A20AD" w:rsidRDefault="0055138A" w:rsidP="00656AC7">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Noteikumu projekta anotācijas II sadaļas 1. punktā precizētas mērķgrupas, </w:t>
            </w:r>
            <w:proofErr w:type="gramStart"/>
            <w:r w:rsidRPr="000A20AD">
              <w:rPr>
                <w:rFonts w:ascii="Times New Roman" w:eastAsia="Times New Roman" w:hAnsi="Times New Roman" w:cs="Times New Roman"/>
                <w:lang w:eastAsia="lv-LV"/>
              </w:rPr>
              <w:t>kuras ietekmēs</w:t>
            </w:r>
            <w:proofErr w:type="gramEnd"/>
            <w:r w:rsidRPr="000A20AD">
              <w:rPr>
                <w:rFonts w:ascii="Times New Roman" w:eastAsia="Times New Roman" w:hAnsi="Times New Roman" w:cs="Times New Roman"/>
                <w:lang w:eastAsia="lv-LV"/>
              </w:rPr>
              <w:t xml:space="preserve"> vai varētu ietekmēt attiecīgais regulējums.</w:t>
            </w:r>
          </w:p>
          <w:p w14:paraId="6B2254EC" w14:textId="77777777" w:rsidR="0055138A" w:rsidRPr="000A20AD" w:rsidRDefault="0055138A" w:rsidP="00656AC7">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Vienlaikus noteikumu projekta anotācijas II sadaļas 3. punkts ir izteikts šādā redakcijā:</w:t>
            </w:r>
          </w:p>
          <w:p w14:paraId="1F20DA12" w14:textId="77777777" w:rsidR="0055138A" w:rsidRPr="000A20AD" w:rsidRDefault="0055138A" w:rsidP="00656AC7">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“Nav iespējams precīzi aprēķināt. Paredzamā administratīvā sloga apmērs nav precīzi nosakāms, ņemot vērā </w:t>
            </w:r>
            <w:proofErr w:type="gramStart"/>
            <w:r w:rsidRPr="000A20AD">
              <w:rPr>
                <w:rFonts w:ascii="Times New Roman" w:eastAsia="Times New Roman" w:hAnsi="Times New Roman" w:cs="Times New Roman"/>
                <w:lang w:eastAsia="lv-LV"/>
              </w:rPr>
              <w:t>vairāku atšķirīgo nozaru</w:t>
            </w:r>
            <w:proofErr w:type="gramEnd"/>
            <w:r w:rsidRPr="000A20AD">
              <w:rPr>
                <w:rFonts w:ascii="Times New Roman" w:eastAsia="Times New Roman" w:hAnsi="Times New Roman" w:cs="Times New Roman"/>
                <w:lang w:eastAsia="lv-LV"/>
              </w:rPr>
              <w:t xml:space="preserve"> specifiku, kā arī dažādo institūciju apmērus un esošo darbinieku uzskaites sistēmas praksi. Vienlaikus, lai arī sākotnēji administratīvais slogs varētu būt lielāks, izveidojot sākotnējo kritiskā personāla sarakstu, paredzams, ka turpmākajos gados tas ievērojami</w:t>
            </w:r>
            <w:proofErr w:type="gramStart"/>
            <w:r w:rsidRPr="000A20AD">
              <w:rPr>
                <w:rFonts w:ascii="Times New Roman" w:eastAsia="Times New Roman" w:hAnsi="Times New Roman" w:cs="Times New Roman"/>
                <w:lang w:eastAsia="lv-LV"/>
              </w:rPr>
              <w:t xml:space="preserve">  </w:t>
            </w:r>
            <w:proofErr w:type="gramEnd"/>
            <w:r w:rsidRPr="000A20AD">
              <w:rPr>
                <w:rFonts w:ascii="Times New Roman" w:eastAsia="Times New Roman" w:hAnsi="Times New Roman" w:cs="Times New Roman"/>
                <w:lang w:eastAsia="lv-LV"/>
              </w:rPr>
              <w:t xml:space="preserve">samazinātos un nebūtu uzskatāms par būtisku. </w:t>
            </w:r>
          </w:p>
          <w:p w14:paraId="417C5ECE" w14:textId="4A5AB397" w:rsidR="0055138A" w:rsidRPr="000A20AD" w:rsidRDefault="0055138A" w:rsidP="00656AC7">
            <w:pPr>
              <w:spacing w:after="0" w:line="240" w:lineRule="auto"/>
              <w:jc w:val="both"/>
              <w:rPr>
                <w:rFonts w:ascii="Times New Roman" w:hAnsi="Times New Roman" w:cs="Times New Roman"/>
                <w:bCs/>
                <w:lang w:eastAsia="lv-LV"/>
              </w:rPr>
            </w:pPr>
            <w:r w:rsidRPr="000A20AD">
              <w:rPr>
                <w:rFonts w:ascii="Times New Roman" w:eastAsia="Times New Roman" w:hAnsi="Times New Roman" w:cs="Times New Roman"/>
                <w:lang w:eastAsia="lv-LV"/>
              </w:rPr>
              <w:t xml:space="preserve">Attiecībā uz Nacionālo bruņoto spēku rezerves uzskaites </w:t>
            </w:r>
            <w:r w:rsidRPr="000A20AD">
              <w:rPr>
                <w:rFonts w:ascii="Times New Roman" w:eastAsia="Times New Roman" w:hAnsi="Times New Roman" w:cs="Times New Roman"/>
                <w:lang w:eastAsia="lv-LV"/>
              </w:rPr>
              <w:lastRenderedPageBreak/>
              <w:t>struktūrvienību administratīvais slogs nav precīzi aprēķināms un nodalāms, ņemot vērā, ka tā jau pašlaik ir uzskatāma par tās kompetenci un primāro funkciju atbilstoši Ministru kabineta 2007. gada 20. novembra noteikumu Nr. 779 "Kārtība, kādā rezerves karavīrus un rezervistus reģistrē, uzskaita un iesauc aktīvajā dienestā, kā arī pieprasa un izsniedz informāciju par rezerves karavīriem un rezervistiem" 1. punktam.”</w:t>
            </w:r>
          </w:p>
        </w:tc>
      </w:tr>
      <w:tr w:rsidR="0055138A" w:rsidRPr="000A20AD" w14:paraId="43573F53"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6851920F" w14:textId="77777777" w:rsidR="0055138A" w:rsidRPr="000A20AD" w:rsidRDefault="0055138A" w:rsidP="00D23DA6">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5D460F" w14:textId="1D6513C8" w:rsidR="0055138A" w:rsidRPr="000A20AD" w:rsidRDefault="0055138A" w:rsidP="00D23DA6">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II sadaļa.</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31299DC1" w14:textId="77777777" w:rsidR="0055138A" w:rsidRPr="000A20AD" w:rsidRDefault="0055138A" w:rsidP="000642CE">
            <w:pPr>
              <w:tabs>
                <w:tab w:val="left" w:pos="851"/>
              </w:tabs>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b/>
                <w:lang w:eastAsia="lv-LV"/>
              </w:rPr>
              <w:t>Korupcijas novēršanas un apkarošanas birojs:</w:t>
            </w:r>
            <w:proofErr w:type="gramStart"/>
            <w:r w:rsidRPr="000A20AD">
              <w:rPr>
                <w:rFonts w:ascii="Times New Roman" w:eastAsia="Times New Roman" w:hAnsi="Times New Roman" w:cs="Times New Roman"/>
                <w:b/>
                <w:lang w:eastAsia="lv-LV"/>
              </w:rPr>
              <w:t xml:space="preserve"> </w:t>
            </w:r>
            <w:r w:rsidRPr="000A20AD">
              <w:rPr>
                <w:rFonts w:ascii="Times New Roman" w:eastAsia="Times New Roman" w:hAnsi="Times New Roman" w:cs="Times New Roman"/>
                <w:lang w:eastAsia="lv-LV"/>
              </w:rPr>
              <w:t xml:space="preserve"> </w:t>
            </w:r>
            <w:proofErr w:type="gramEnd"/>
            <w:r w:rsidRPr="000A20AD">
              <w:rPr>
                <w:rFonts w:ascii="Times New Roman" w:eastAsia="Times New Roman" w:hAnsi="Times New Roman" w:cs="Times New Roman"/>
                <w:lang w:eastAsia="lv-LV"/>
              </w:rPr>
              <w:br/>
              <w:t>Noteikumu projekta otrā nodaļa nosaka valsts apdraudējuma pārvarēšanas pasākumu veikšanā vai kritiskās infrastruktūras vai kritisko finanšu nozares pakalpojumu darbības nepārtrauktības nodrošināšanā iesaistītās valsts un pašvaldības institūcijas, publisko un privāto tiesību subjekta amatpersonas un darbiniekus. Anotācijas 2. lapaspusē skaidrots, ka noteikumu projekts attiecas uz visām valsts un pašvaldības institūcijām un personām (ar to noteikumu projekta tekstā ir saprotamas juridiskas personas), kas ir uzskatāmas par kritisko infrastruktūru vai kritisko finanšu nozares pakalpojumu sniedzējiem.</w:t>
            </w:r>
          </w:p>
          <w:p w14:paraId="4155638C" w14:textId="2495CE48" w:rsidR="0055138A" w:rsidRPr="000A20AD" w:rsidRDefault="0055138A" w:rsidP="00D23DA6">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lang w:eastAsia="lv-LV"/>
              </w:rPr>
              <w:t xml:space="preserve">Vēršam uzmanību, ka noteikumu projektā un tā anotācijā nav norādīts, vai publiskas personas institūcijai, kuras amatpersonas un darbinieki vienlaikus ir kritiskās funkcijas veicēji un tiem ir noteikti izņēmumi iesaukšanai aktīvajā dienestā un </w:t>
            </w:r>
            <w:r w:rsidRPr="000A20AD">
              <w:rPr>
                <w:rFonts w:ascii="Times New Roman" w:eastAsia="Times New Roman" w:hAnsi="Times New Roman" w:cs="Times New Roman"/>
                <w:lang w:eastAsia="lv-LV"/>
              </w:rPr>
              <w:lastRenderedPageBreak/>
              <w:t>mobilizācijai civilās aizsardzības formējumos un civilās aizsardzības pasākumu veikšanai, ir jāiesniedz Nacionālo bruņoto spēku rezerves uzskaites struktūrvienībai gan kritiskā personāla saraksts, gan informācija par personām, kurām ir noteikti iepriekš minētie izņēmumi.</w:t>
            </w:r>
            <w:r w:rsidRPr="000A20AD">
              <w:rPr>
                <w:rFonts w:ascii="Times New Roman" w:hAnsi="Times New Roman" w:cs="Times New Roman"/>
              </w:rPr>
              <w:t xml:space="preserve"> </w:t>
            </w:r>
            <w:r w:rsidRPr="000A20AD">
              <w:rPr>
                <w:rFonts w:ascii="Times New Roman" w:eastAsia="Times New Roman" w:hAnsi="Times New Roman" w:cs="Times New Roman"/>
                <w:lang w:eastAsia="lv-LV"/>
              </w:rPr>
              <w:t>Atbilstoši minētajam, lūdzam precizēt noteikumu projektu un  anotāciju.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3D8D13F" w14:textId="74D0756F"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41BEDDA8" w14:textId="77777777" w:rsidR="0055138A" w:rsidRPr="000A20AD" w:rsidRDefault="0055138A" w:rsidP="001651BB">
            <w:pPr>
              <w:spacing w:after="0" w:line="240" w:lineRule="auto"/>
              <w:jc w:val="both"/>
              <w:rPr>
                <w:rFonts w:ascii="Times New Roman" w:hAnsi="Times New Roman" w:cs="Times New Roman"/>
                <w:lang w:eastAsia="lv-LV"/>
              </w:rPr>
            </w:pPr>
            <w:r w:rsidRPr="000A20AD">
              <w:rPr>
                <w:rFonts w:ascii="Times New Roman" w:eastAsia="Times New Roman" w:hAnsi="Times New Roman" w:cs="Times New Roman"/>
                <w:lang w:eastAsia="lv-LV"/>
              </w:rPr>
              <w:t>Atbilstoši noteikumu projektā un tā anotācijā norādītajam</w:t>
            </w:r>
            <w:r w:rsidRPr="000A20AD">
              <w:rPr>
                <w:rFonts w:ascii="Times New Roman" w:hAnsi="Times New Roman" w:cs="Times New Roman"/>
                <w:lang w:eastAsia="lv-LV"/>
              </w:rPr>
              <w:t xml:space="preserve"> noteikumu projekts nosaka kārtību, kas paredzēta attiecībā uz izņēmumiem, kurus nosaka, pamatojoties uz Mobilizācijas likuma 14.</w:t>
            </w:r>
            <w:r w:rsidRPr="000A20AD">
              <w:rPr>
                <w:rFonts w:ascii="Times New Roman" w:hAnsi="Times New Roman" w:cs="Times New Roman"/>
                <w:vertAlign w:val="superscript"/>
                <w:lang w:eastAsia="lv-LV"/>
              </w:rPr>
              <w:t xml:space="preserve">1 </w:t>
            </w:r>
            <w:r w:rsidRPr="000A20AD">
              <w:rPr>
                <w:rFonts w:ascii="Times New Roman" w:hAnsi="Times New Roman" w:cs="Times New Roman"/>
                <w:lang w:eastAsia="lv-LV"/>
              </w:rPr>
              <w:t>panta otro daļu, un tie ir attiecināmi uz citām valsts un pašvaldības institūciju amatpersonām vai darbiniekiem vai personām, kuras atrodas darba tiesiskajās attiecībās ar personām, kas nodrošina kritiskās infrastruktūras darbības nepārtrauktību vai kritisko finanšu nozares pakalpojumu pieejamību.</w:t>
            </w:r>
          </w:p>
          <w:p w14:paraId="524A42AF" w14:textId="77777777" w:rsidR="0055138A" w:rsidRPr="000A20AD" w:rsidRDefault="0055138A" w:rsidP="00807393">
            <w:pPr>
              <w:spacing w:after="0" w:line="240" w:lineRule="auto"/>
              <w:jc w:val="both"/>
              <w:rPr>
                <w:rFonts w:ascii="Times New Roman" w:hAnsi="Times New Roman" w:cs="Times New Roman"/>
                <w:lang w:eastAsia="lv-LV"/>
              </w:rPr>
            </w:pPr>
            <w:r w:rsidRPr="000A20AD">
              <w:rPr>
                <w:rFonts w:ascii="Times New Roman" w:hAnsi="Times New Roman" w:cs="Times New Roman"/>
                <w:lang w:eastAsia="lv-LV"/>
              </w:rPr>
              <w:t>Vienlaikus attiecībā uz Mobilizācijas likuma 14.</w:t>
            </w:r>
            <w:r w:rsidRPr="000A20AD">
              <w:rPr>
                <w:rFonts w:ascii="Times New Roman" w:hAnsi="Times New Roman" w:cs="Times New Roman"/>
                <w:vertAlign w:val="superscript"/>
                <w:lang w:eastAsia="lv-LV"/>
              </w:rPr>
              <w:t>1</w:t>
            </w:r>
            <w:r w:rsidRPr="000A20AD">
              <w:rPr>
                <w:rFonts w:ascii="Times New Roman" w:hAnsi="Times New Roman" w:cs="Times New Roman"/>
                <w:lang w:eastAsia="lv-LV"/>
              </w:rPr>
              <w:t xml:space="preserve"> panta pirmajā daļā noteiktajām institūcijām netiek attiecināta </w:t>
            </w:r>
            <w:r w:rsidRPr="000A20AD">
              <w:rPr>
                <w:rFonts w:ascii="Times New Roman" w:hAnsi="Times New Roman" w:cs="Times New Roman"/>
                <w:lang w:eastAsia="lv-LV"/>
              </w:rPr>
              <w:lastRenderedPageBreak/>
              <w:t>kārtība par nepieciešamību veikt kritisko funkciju izvērtējumu un kritisko amatpersonu un darbinieku sarakstu, ņemot vērā, ka mobilizācijas izņēmumus attiecībā uz šīm personām jau ir noteikts likumā.</w:t>
            </w:r>
          </w:p>
          <w:p w14:paraId="2FE01A21" w14:textId="05ED0673" w:rsidR="0055138A" w:rsidRPr="000A20AD" w:rsidRDefault="0055138A" w:rsidP="00D23DA6">
            <w:pPr>
              <w:spacing w:after="0" w:line="240" w:lineRule="auto"/>
              <w:jc w:val="both"/>
              <w:rPr>
                <w:rFonts w:ascii="Times New Roman" w:eastAsia="Times New Roman" w:hAnsi="Times New Roman" w:cs="Times New Roman"/>
                <w:lang w:eastAsia="lv-LV"/>
              </w:rPr>
            </w:pPr>
            <w:r w:rsidRPr="000A20AD">
              <w:rPr>
                <w:rFonts w:ascii="Times New Roman" w:hAnsi="Times New Roman" w:cs="Times New Roman"/>
                <w:lang w:eastAsia="lv-LV"/>
              </w:rPr>
              <w:t>Atbilstoši precizēta noteikumu projekts un anotācija, lai novērstu šādas interpretācijas iespējamību.</w:t>
            </w:r>
          </w:p>
        </w:tc>
      </w:tr>
      <w:tr w:rsidR="0055138A" w:rsidRPr="000A20AD" w14:paraId="3FEF6539"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388B18F7" w14:textId="77777777" w:rsidR="0055138A" w:rsidRPr="000A20AD" w:rsidRDefault="0055138A" w:rsidP="00D23DA6">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4989A8" w14:textId="045CDF46" w:rsidR="0055138A" w:rsidRPr="000A20AD" w:rsidRDefault="0055138A" w:rsidP="00D23DA6">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2. un 3.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79EE2BCF" w14:textId="77777777" w:rsidR="0055138A" w:rsidRPr="000A20AD" w:rsidRDefault="0055138A" w:rsidP="005868C6">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Tieslietu ministrija:</w:t>
            </w:r>
          </w:p>
          <w:p w14:paraId="5F32C846" w14:textId="4113AAEC" w:rsidR="0055138A" w:rsidRPr="000A20AD" w:rsidRDefault="0055138A" w:rsidP="00D23DA6">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lang w:eastAsia="lv-LV"/>
              </w:rPr>
              <w:t>“Projekta 2. un 3. punktu nepieciešams svītrot, jo tie neatbilst likumprojektā noteiktajam pilnvarojumam. Vēršam uzmanību, ka pilnvarojums Ministru kabinetam noteikt kārtību paredz procesuāla rakstura regulējumu, nevis materiālo tiesību normas, piemēram, definēt kritiskās funkcijas. Procesuālā regulējuma korektai piemērošanai projekta normās var paredzēt ārējās atsauces uz Nacionālās drošības likumā noteikto regulējumu. Papildus norādām, ka publiskā ārējā normatīvajā aktā nevar noteikt klasificētu valsts noslēpuma objektu (Valsts aizsardzības plāns) kā saistošu dokumentu.”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A3A01E4" w14:textId="146D68FA"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5824C94B" w14:textId="77777777" w:rsidR="0055138A" w:rsidRPr="000A20AD" w:rsidRDefault="0055138A" w:rsidP="000807A0">
            <w:pPr>
              <w:spacing w:after="0"/>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Vēršam uzmanību, ka Grozījumi mobilizācijas likuma 14.</w:t>
            </w:r>
            <w:r w:rsidRPr="000A20AD">
              <w:rPr>
                <w:rFonts w:ascii="Times New Roman" w:eastAsia="Times New Roman" w:hAnsi="Times New Roman" w:cs="Times New Roman"/>
                <w:vertAlign w:val="superscript"/>
                <w:lang w:eastAsia="lv-LV"/>
              </w:rPr>
              <w:t>1</w:t>
            </w:r>
            <w:r w:rsidRPr="000A20AD">
              <w:rPr>
                <w:rFonts w:ascii="Times New Roman" w:eastAsia="Times New Roman" w:hAnsi="Times New Roman" w:cs="Times New Roman"/>
                <w:lang w:eastAsia="lv-LV"/>
              </w:rPr>
              <w:t xml:space="preserve">. panta otrā daļa paredz Ministru kabinetam kompetenci lemt par mobilizācijas izņēmumu attiecināšanu uz citām valsts un pašvaldību institūciju amatpersonām vai darbiniekiem vai personām, kuras atrodas darba tiesiskajās attiecībās ar personām, kas nodrošina kritiskās infrastruktūras vai kritisko finanšu nozares pakalpojumu darbības nepārtrauktību, balstoties uz valsts apdraudējuma veida, tā intensitātes un rakstura. Attiecīgi šī norma paredz attiecināt izņēmumus mobilizācijai noteiktām amatpersonām un darbiniekiem </w:t>
            </w:r>
          </w:p>
          <w:p w14:paraId="164B37F6" w14:textId="77777777" w:rsidR="0055138A" w:rsidRPr="000A20AD" w:rsidRDefault="0055138A" w:rsidP="000807A0">
            <w:pPr>
              <w:spacing w:after="0"/>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Vienlaikus attiecīgais jautājums ir skatāms kontekstā ar Grozījumiem </w:t>
            </w:r>
            <w:r w:rsidRPr="000A20AD">
              <w:rPr>
                <w:rFonts w:ascii="Times New Roman" w:eastAsia="Times New Roman" w:hAnsi="Times New Roman" w:cs="Times New Roman"/>
                <w:lang w:eastAsia="lv-LV"/>
              </w:rPr>
              <w:lastRenderedPageBreak/>
              <w:t>Ministru kabineta 2010. gada 1. jūnija noteikumos Nr. 496 “Kritiskās infrastruktūras, tajā skaitā Eiropas kritiskās infrastruktūras, apzināšanas un drošības pasākumu plānošanas un īstenošanas kārtība” (VSS-57), kas paredz nepieciešamību nodrošināt kritiskās infrastruktūras darbības nepārtrauktību, tajā skaitā attiecībā uz kritiskā personāla noteikšanu un sagatavošanu.</w:t>
            </w:r>
          </w:p>
          <w:p w14:paraId="5E676736" w14:textId="5EAE998E" w:rsidR="0055138A" w:rsidRPr="000A20AD" w:rsidRDefault="0055138A" w:rsidP="00D23DA6">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Līdz ar to Aizsardzības ministrijas ieskatā ir svarīgi saglabāt noteikumu projekta 2. un 3. punktu vai tajos iekļauto informāciju, kas sniedz nepieciešamo izpratni par lietoto jēdzienu nozīmi šī noteikumu projekta ietvaros.</w:t>
            </w:r>
          </w:p>
        </w:tc>
      </w:tr>
      <w:tr w:rsidR="0055138A" w:rsidRPr="000A20AD" w14:paraId="56028C9F"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6D541B63" w14:textId="77777777" w:rsidR="0055138A" w:rsidRPr="000A20AD" w:rsidRDefault="0055138A" w:rsidP="00D23DA6">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EAB889E" w14:textId="6C9C8375" w:rsidR="0055138A" w:rsidRPr="000A20AD" w:rsidRDefault="0055138A" w:rsidP="00D23DA6">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4.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0B1256A5" w14:textId="77777777" w:rsidR="0055138A" w:rsidRPr="000A20AD" w:rsidRDefault="0055138A" w:rsidP="00AE72AB">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Tieslietu ministrija:</w:t>
            </w:r>
          </w:p>
          <w:p w14:paraId="25A505B8" w14:textId="5992BFB9" w:rsidR="0055138A" w:rsidRPr="000A20AD" w:rsidRDefault="0055138A" w:rsidP="00D23DA6">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rPr>
              <w:t>“Projekta 4. punktā esošo saīsinājumu “kritiskais personāls”, kas tiek izmantots turpmākajā projekta tekstā, nepieciešams papildus izvērtēt. Latviešu valodā attiecībā uz fiziskām personām vārds “kritisks” ir ar negatīvu nozīmi. Piedāvājam veidot labskanīgāku šīs personu kopas apzīmējumu.”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6D92209" w14:textId="2AEA3B42"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732E4B0C" w14:textId="77777777" w:rsidR="0055138A" w:rsidRPr="000A20AD" w:rsidRDefault="0055138A" w:rsidP="000807A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Aizsardzības ministrija ir izvērtējusi minēto Tieslietu ministrijas iebildumu attiecībā uz vārda lietojuma nozīmi un pašlaik nesaskata nepieciešamību pēc alternatīva apzīmējuma attiecībā uz personu kopu, kas ir iesaistīti vitāli svarīgo funkciju nodrošināšanā.</w:t>
            </w:r>
          </w:p>
          <w:p w14:paraId="52020EDC" w14:textId="77777777" w:rsidR="0055138A" w:rsidRPr="000A20AD" w:rsidRDefault="0055138A" w:rsidP="000807A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Attiecīgais termins ir izvēlēts analogi angļu valodā lietotajam “</w:t>
            </w:r>
            <w:proofErr w:type="spellStart"/>
            <w:r w:rsidRPr="000A20AD">
              <w:rPr>
                <w:rFonts w:ascii="Times New Roman" w:eastAsia="Times New Roman" w:hAnsi="Times New Roman" w:cs="Times New Roman"/>
                <w:i/>
                <w:lang w:eastAsia="lv-LV"/>
              </w:rPr>
              <w:t>critical</w:t>
            </w:r>
            <w:proofErr w:type="spellEnd"/>
            <w:r w:rsidRPr="000A20AD">
              <w:rPr>
                <w:rFonts w:ascii="Times New Roman" w:eastAsia="Times New Roman" w:hAnsi="Times New Roman" w:cs="Times New Roman"/>
                <w:i/>
                <w:lang w:eastAsia="lv-LV"/>
              </w:rPr>
              <w:t xml:space="preserve"> </w:t>
            </w:r>
            <w:proofErr w:type="spellStart"/>
            <w:r w:rsidRPr="000A20AD">
              <w:rPr>
                <w:rFonts w:ascii="Times New Roman" w:eastAsia="Times New Roman" w:hAnsi="Times New Roman" w:cs="Times New Roman"/>
                <w:i/>
                <w:lang w:eastAsia="lv-LV"/>
              </w:rPr>
              <w:t>personnel</w:t>
            </w:r>
            <w:proofErr w:type="spellEnd"/>
            <w:r w:rsidRPr="000A20AD">
              <w:rPr>
                <w:rFonts w:ascii="Times New Roman" w:eastAsia="Times New Roman" w:hAnsi="Times New Roman" w:cs="Times New Roman"/>
                <w:lang w:eastAsia="lv-LV"/>
              </w:rPr>
              <w:t xml:space="preserve"> vai </w:t>
            </w:r>
            <w:proofErr w:type="spellStart"/>
            <w:r w:rsidRPr="000A20AD">
              <w:rPr>
                <w:rFonts w:ascii="Times New Roman" w:eastAsia="Times New Roman" w:hAnsi="Times New Roman" w:cs="Times New Roman"/>
                <w:i/>
                <w:lang w:eastAsia="lv-LV"/>
              </w:rPr>
              <w:t>critical</w:t>
            </w:r>
            <w:proofErr w:type="spellEnd"/>
            <w:r w:rsidRPr="000A20AD">
              <w:rPr>
                <w:rFonts w:ascii="Times New Roman" w:eastAsia="Times New Roman" w:hAnsi="Times New Roman" w:cs="Times New Roman"/>
                <w:i/>
                <w:lang w:eastAsia="lv-LV"/>
              </w:rPr>
              <w:t xml:space="preserve"> </w:t>
            </w:r>
            <w:proofErr w:type="spellStart"/>
            <w:r w:rsidRPr="000A20AD">
              <w:rPr>
                <w:rFonts w:ascii="Times New Roman" w:eastAsia="Times New Roman" w:hAnsi="Times New Roman" w:cs="Times New Roman"/>
                <w:i/>
                <w:lang w:eastAsia="lv-LV"/>
              </w:rPr>
              <w:t>staff</w:t>
            </w:r>
            <w:proofErr w:type="spellEnd"/>
            <w:r w:rsidRPr="000A20AD">
              <w:rPr>
                <w:rFonts w:ascii="Times New Roman" w:eastAsia="Times New Roman" w:hAnsi="Times New Roman" w:cs="Times New Roman"/>
                <w:lang w:eastAsia="lv-LV"/>
              </w:rPr>
              <w:t xml:space="preserve">”, kas tiek lietots gan ES, gan </w:t>
            </w:r>
            <w:r w:rsidRPr="000A20AD">
              <w:rPr>
                <w:rFonts w:ascii="Times New Roman" w:eastAsia="Times New Roman" w:hAnsi="Times New Roman" w:cs="Times New Roman"/>
                <w:lang w:eastAsia="lv-LV"/>
              </w:rPr>
              <w:lastRenderedPageBreak/>
              <w:t xml:space="preserve">NATO ietvaros. Līdzvērtīgi šāds termins “kritiskais personāls” jau šobrīd tiek lietots gan sarunvalodā, gan oficiālos dokumentos </w:t>
            </w:r>
            <w:proofErr w:type="gramStart"/>
            <w:r w:rsidRPr="000A20AD">
              <w:rPr>
                <w:rFonts w:ascii="Times New Roman" w:eastAsia="Times New Roman" w:hAnsi="Times New Roman" w:cs="Times New Roman"/>
                <w:lang w:eastAsia="lv-LV"/>
              </w:rPr>
              <w:t>(</w:t>
            </w:r>
            <w:proofErr w:type="gramEnd"/>
            <w:r w:rsidRPr="000A20AD">
              <w:rPr>
                <w:rFonts w:ascii="Times New Roman" w:eastAsia="Times New Roman" w:hAnsi="Times New Roman" w:cs="Times New Roman"/>
                <w:lang w:eastAsia="lv-LV"/>
              </w:rPr>
              <w:t>piemēram, 2021. gada 11. februāra informatīvajā ziņojumā</w:t>
            </w:r>
          </w:p>
          <w:p w14:paraId="12FB83F8" w14:textId="3400DF5F" w:rsidR="0055138A" w:rsidRPr="000A20AD" w:rsidRDefault="0055138A" w:rsidP="00656AC7">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“Par prioritāri vakcinējamām personu grupām”).</w:t>
            </w:r>
          </w:p>
        </w:tc>
      </w:tr>
      <w:tr w:rsidR="0055138A" w:rsidRPr="000A20AD" w14:paraId="0134B660"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4149327A" w14:textId="77777777" w:rsidR="0055138A" w:rsidRPr="000A20AD" w:rsidRDefault="0055138A" w:rsidP="000642CE">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022517B" w14:textId="50542839" w:rsidR="0055138A" w:rsidRPr="000A20AD" w:rsidRDefault="0055138A" w:rsidP="000642CE">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5.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2DD2C092" w14:textId="77777777" w:rsidR="0055138A" w:rsidRPr="000A20AD" w:rsidRDefault="0055138A" w:rsidP="00B30AE0">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Tiesībsargs:</w:t>
            </w:r>
          </w:p>
          <w:p w14:paraId="09327304" w14:textId="77777777" w:rsidR="0055138A" w:rsidRPr="000A20AD" w:rsidRDefault="0055138A" w:rsidP="00B30AE0">
            <w:pPr>
              <w:pStyle w:val="Header"/>
              <w:tabs>
                <w:tab w:val="center" w:pos="709"/>
              </w:tabs>
              <w:jc w:val="both"/>
              <w:rPr>
                <w:rFonts w:ascii="Times New Roman" w:eastAsia="Times New Roman" w:hAnsi="Times New Roman" w:cs="Times New Roman"/>
              </w:rPr>
            </w:pPr>
            <w:r w:rsidRPr="000A20AD">
              <w:rPr>
                <w:rFonts w:ascii="Times New Roman" w:eastAsia="Times New Roman" w:hAnsi="Times New Roman" w:cs="Times New Roman"/>
                <w:b/>
                <w:lang w:eastAsia="lv-LV"/>
              </w:rPr>
              <w:t>“</w:t>
            </w:r>
            <w:r w:rsidRPr="000A20AD">
              <w:rPr>
                <w:rFonts w:ascii="Times New Roman" w:eastAsia="Times New Roman" w:hAnsi="Times New Roman" w:cs="Times New Roman"/>
              </w:rPr>
              <w:t xml:space="preserve">Projekta 5.punkts paredz institūcijas vadītāja pienākumu kritiskā personāla sarakstu nosūtīt </w:t>
            </w:r>
            <w:r w:rsidRPr="000A20AD">
              <w:rPr>
                <w:rFonts w:ascii="Times New Roman" w:eastAsia="Times New Roman" w:hAnsi="Times New Roman" w:cs="Times New Roman"/>
                <w:i/>
                <w:iCs/>
              </w:rPr>
              <w:t>saskaņošanai un</w:t>
            </w:r>
            <w:r w:rsidRPr="000A20AD">
              <w:rPr>
                <w:rFonts w:ascii="Times New Roman" w:eastAsia="Times New Roman" w:hAnsi="Times New Roman" w:cs="Times New Roman"/>
              </w:rPr>
              <w:t xml:space="preserve"> </w:t>
            </w:r>
            <w:r w:rsidRPr="000A20AD">
              <w:rPr>
                <w:rFonts w:ascii="Times New Roman" w:eastAsia="Times New Roman" w:hAnsi="Times New Roman" w:cs="Times New Roman"/>
                <w:i/>
                <w:iCs/>
              </w:rPr>
              <w:t>izvērtēšanai</w:t>
            </w:r>
            <w:r w:rsidRPr="000A20AD">
              <w:rPr>
                <w:rFonts w:ascii="Times New Roman" w:eastAsia="Times New Roman" w:hAnsi="Times New Roman" w:cs="Times New Roman"/>
              </w:rPr>
              <w:t xml:space="preserve"> Nacionālo bruņoto spēku (NBS) struktūrvienībai. Savukārt Anotācijā (7.p.) norādīts, ka</w:t>
            </w:r>
            <w:proofErr w:type="gramStart"/>
            <w:r w:rsidRPr="000A20AD">
              <w:rPr>
                <w:rFonts w:ascii="Times New Roman" w:eastAsia="Times New Roman" w:hAnsi="Times New Roman" w:cs="Times New Roman"/>
              </w:rPr>
              <w:t xml:space="preserve">  </w:t>
            </w:r>
            <w:proofErr w:type="gramEnd"/>
            <w:r w:rsidRPr="000A20AD">
              <w:rPr>
                <w:rFonts w:ascii="Times New Roman" w:eastAsia="Times New Roman" w:hAnsi="Times New Roman" w:cs="Times New Roman"/>
              </w:rPr>
              <w:t xml:space="preserve">“… </w:t>
            </w:r>
            <w:r w:rsidRPr="000A20AD">
              <w:rPr>
                <w:rFonts w:ascii="Times New Roman" w:eastAsia="Times New Roman" w:hAnsi="Times New Roman" w:cs="Times New Roman"/>
                <w:bCs/>
                <w:i/>
                <w:iCs/>
              </w:rPr>
              <w:t>kritisko personālu pamatā ir spējīgas noteikt tikai pašas atbildīgās institūcijas vai juridiskās personas, veicot kritisko funkciju izvērtējumu.</w:t>
            </w:r>
            <w:r w:rsidRPr="000A20AD">
              <w:rPr>
                <w:rFonts w:ascii="Times New Roman" w:eastAsia="Times New Roman" w:hAnsi="Times New Roman" w:cs="Times New Roman"/>
                <w:bCs/>
              </w:rPr>
              <w:t>” Personai, kura nodrošinās kritiski svarīgas funkcijas darbību, ir izvirzāmas augstas prasības arī no valsts drošības skatupunkta. Tomēr atbilstību šāda veida prasībām būtu jāvērtē darba devējam, t.sk., nepieciešamības gadījumā iesaistot valsts drošības iestādes, kad persona pretendē uz attiecīgo amatu. Proti, nebūtu pieļaujams, kad attiecīgajā amatā un kritiskā personāla sarakstā nonāk persona, kura neatbilst darba devēja izvirzītajām (t.sk. drošības) prasībām. Līdz ar to nav saprotams, kāda veida saskaņošanu un izvērtēšanu paredzēts veikt NBS, ja darba devējs jau būs personu atzinis par atbilstošu amatam un iekļāvis kritiskā personāla sarakstā.</w:t>
            </w:r>
            <w:r w:rsidRPr="000A20AD">
              <w:rPr>
                <w:rFonts w:ascii="Times New Roman" w:eastAsia="Times New Roman" w:hAnsi="Times New Roman" w:cs="Times New Roman"/>
              </w:rPr>
              <w:t xml:space="preserve"> Tāpat Projektā un Anotācijā nav informācijas par to, vai un kāda </w:t>
            </w:r>
            <w:r w:rsidRPr="000A20AD">
              <w:rPr>
                <w:rFonts w:ascii="Times New Roman" w:eastAsia="Times New Roman" w:hAnsi="Times New Roman" w:cs="Times New Roman"/>
              </w:rPr>
              <w:lastRenderedPageBreak/>
              <w:t>veida lēmumus NBS varēs pieņemt minētās izvērtēšanas rezultātā.”</w:t>
            </w:r>
          </w:p>
          <w:p w14:paraId="2F9CA963" w14:textId="479803B3" w:rsidR="0055138A" w:rsidRPr="000A20AD" w:rsidRDefault="0055138A" w:rsidP="000642CE">
            <w:pPr>
              <w:widowControl w:val="0"/>
              <w:spacing w:after="0" w:line="240" w:lineRule="auto"/>
              <w:jc w:val="both"/>
              <w:rPr>
                <w:rFonts w:ascii="Times New Roman" w:eastAsia="Times New Roman" w:hAnsi="Times New Roman" w:cs="Times New Roman"/>
                <w:b/>
                <w:lang w:eastAsia="lv-LV"/>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81AFC4E" w14:textId="2B2CB604"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1EA2D1A6" w14:textId="77777777" w:rsidR="0055138A" w:rsidRPr="000A20AD" w:rsidRDefault="0055138A" w:rsidP="00D57E5D">
            <w:pPr>
              <w:spacing w:after="0"/>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Precizēta noteikumu projekta 5., 6. un 7. punkts šādā redakcijā:</w:t>
            </w:r>
          </w:p>
          <w:p w14:paraId="67518247" w14:textId="77777777" w:rsidR="0055138A" w:rsidRPr="000A20AD" w:rsidRDefault="0055138A" w:rsidP="00D57E5D">
            <w:pPr>
              <w:spacing w:after="0" w:line="240" w:lineRule="auto"/>
              <w:jc w:val="both"/>
              <w:rPr>
                <w:rFonts w:ascii="Times New Roman" w:hAnsi="Times New Roman"/>
              </w:rPr>
            </w:pPr>
            <w:r w:rsidRPr="000A20AD">
              <w:rPr>
                <w:rFonts w:ascii="Times New Roman" w:hAnsi="Times New Roman"/>
              </w:rPr>
              <w:t>“5. Pirms kritiskā personāla saraksta apstiprināšanas ārstniecības iestādes, elektroniski nosūta informāciju par identificēto kritisko personālu Nacionālo bruņoto spēku rezerves uzskaites struktūrvienības pārbaudei, norādot identificētā kritiskā personāla vārdu, uzvārdu un personas kodu.</w:t>
            </w:r>
          </w:p>
          <w:p w14:paraId="3CFFC7BE" w14:textId="77777777" w:rsidR="0055138A" w:rsidRPr="000A20AD" w:rsidRDefault="0055138A" w:rsidP="00D57E5D">
            <w:pPr>
              <w:spacing w:after="0" w:line="240" w:lineRule="auto"/>
              <w:jc w:val="both"/>
              <w:rPr>
                <w:rFonts w:ascii="Times New Roman" w:hAnsi="Times New Roman"/>
              </w:rPr>
            </w:pPr>
            <w:r w:rsidRPr="000A20AD">
              <w:rPr>
                <w:rFonts w:ascii="Times New Roman" w:hAnsi="Times New Roman"/>
              </w:rPr>
              <w:t>6. Nacionālo bruņoto spēku rezerves uzskaites struktūrvienība pārbauda ārstniecības iestādes kritiskā personāla sarakstā iekļautās ārstniecības personas ar rezerves karavīru uzskaites datiem un informē attiecīgo ārstniecības iestādi par tām kritiskā personāla sarakstā iekļautajām personām, kuras ir rezerves karavīri.</w:t>
            </w:r>
          </w:p>
          <w:p w14:paraId="3B9E97B8" w14:textId="77777777" w:rsidR="0055138A" w:rsidRPr="000A20AD" w:rsidRDefault="0055138A" w:rsidP="00D57E5D">
            <w:pPr>
              <w:spacing w:after="0" w:line="240" w:lineRule="auto"/>
              <w:jc w:val="both"/>
              <w:rPr>
                <w:rFonts w:ascii="Times New Roman" w:hAnsi="Times New Roman"/>
              </w:rPr>
            </w:pPr>
            <w:r w:rsidRPr="000A20AD">
              <w:rPr>
                <w:rFonts w:ascii="Times New Roman" w:hAnsi="Times New Roman"/>
              </w:rPr>
              <w:t>7. Ārstniecības iestādes aizstāj kritiskā personāla sarakstā iekļauto rezerves karavīru ar citu personu.”</w:t>
            </w:r>
          </w:p>
          <w:p w14:paraId="2E4DFECC" w14:textId="6D4F84B4" w:rsidR="0055138A" w:rsidRPr="000A20AD" w:rsidRDefault="0055138A" w:rsidP="00807393">
            <w:pPr>
              <w:spacing w:after="0" w:line="240" w:lineRule="auto"/>
              <w:jc w:val="both"/>
              <w:rPr>
                <w:rFonts w:ascii="Times New Roman" w:eastAsia="Times New Roman" w:hAnsi="Times New Roman" w:cs="Times New Roman"/>
                <w:lang w:eastAsia="lv-LV"/>
              </w:rPr>
            </w:pPr>
          </w:p>
        </w:tc>
      </w:tr>
      <w:tr w:rsidR="0055138A" w:rsidRPr="000A20AD" w14:paraId="5DC0BE05"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36BDBF87" w14:textId="77777777" w:rsidR="0055138A" w:rsidRPr="000A20AD" w:rsidRDefault="0055138A" w:rsidP="00D23DA6">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86962C1" w14:textId="063FBD5D" w:rsidR="0055138A" w:rsidRPr="000A20AD" w:rsidRDefault="0055138A" w:rsidP="00D23DA6">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5., 6. un 7.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0F21EDD" w14:textId="77777777" w:rsidR="0055138A" w:rsidRPr="000A20AD" w:rsidRDefault="0055138A" w:rsidP="005868C6">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Tieslietu ministrija:</w:t>
            </w:r>
          </w:p>
          <w:p w14:paraId="6DFE4F3E" w14:textId="4396F846" w:rsidR="0055138A" w:rsidRPr="000A20AD" w:rsidRDefault="0055138A" w:rsidP="00D23DA6">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lang w:eastAsia="lv-LV"/>
              </w:rPr>
              <w:t>“Projekta 5., 6. un 7. punktā noteiktās procedūras par sarakstu sastādīšanu un izvērtēšanu (pārbaudi) norāda uz neefektīvu valsts pārvaldi, proti, nelietderīgu resursu izmantošanu. Piedāvājam procedūras veidot tādējādi, ka vispirms tiek identificēti rezerves karavīri, bet sarakstu sastādīšana notiek pēc tam, ja nepieciešams, veicot konsultācijas ar Nacionālo bruņoto spēku rezerves uzskaites struktūrvienību par rezerves karavīriem.”</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032E227" w14:textId="7924EFD6"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4B1AC9E9" w14:textId="5F2422AD" w:rsidR="0055138A" w:rsidRPr="000A20AD" w:rsidRDefault="0055138A" w:rsidP="000807A0">
            <w:pPr>
              <w:spacing w:after="0"/>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izstrādes gaitā ņemti vērā apsvērumi, vadoties pēc labas pārvaldības principiem, tādējādi pēc iespējas cenšoties</w:t>
            </w:r>
            <w:proofErr w:type="gramStart"/>
            <w:r w:rsidRPr="000A20AD">
              <w:rPr>
                <w:rFonts w:ascii="Times New Roman" w:eastAsia="Times New Roman" w:hAnsi="Times New Roman" w:cs="Times New Roman"/>
                <w:lang w:eastAsia="lv-LV"/>
              </w:rPr>
              <w:t xml:space="preserve"> novēršot administratīvo slogu iesaistītajām iestādēm</w:t>
            </w:r>
            <w:proofErr w:type="gramEnd"/>
            <w:r w:rsidRPr="000A20AD">
              <w:rPr>
                <w:rFonts w:ascii="Times New Roman" w:eastAsia="Times New Roman" w:hAnsi="Times New Roman" w:cs="Times New Roman"/>
                <w:lang w:eastAsia="lv-LV"/>
              </w:rPr>
              <w:t xml:space="preserve">. Vienlaikus pašreizējā situācijā, kā norādīts </w:t>
            </w:r>
            <w:proofErr w:type="gramStart"/>
            <w:r w:rsidRPr="000A20AD">
              <w:rPr>
                <w:rFonts w:ascii="Times New Roman" w:eastAsia="Times New Roman" w:hAnsi="Times New Roman" w:cs="Times New Roman"/>
                <w:lang w:eastAsia="lv-LV"/>
              </w:rPr>
              <w:t>arī noteikumu</w:t>
            </w:r>
            <w:proofErr w:type="gramEnd"/>
            <w:r w:rsidRPr="000A20AD">
              <w:rPr>
                <w:rFonts w:ascii="Times New Roman" w:eastAsia="Times New Roman" w:hAnsi="Times New Roman" w:cs="Times New Roman"/>
                <w:lang w:eastAsia="lv-LV"/>
              </w:rPr>
              <w:t xml:space="preserve"> projekta anotācijā, Aizsardzības ministrijai nav pieeja pilnīgai un aktuālākai informācijai par rezerves karavīru darba vietām, turklāt ņemot vērā kopējo darbinieku relatīvi augsto mainību valsts pārvaldē un arī privātajā sektorā, tikai šāda procedūra sniedz iespēju precīzi identificēt personas, kurām būtu piemērojams mobilizācijas izņēmums.</w:t>
            </w:r>
          </w:p>
        </w:tc>
      </w:tr>
      <w:tr w:rsidR="0055138A" w:rsidRPr="000A20AD" w14:paraId="67F4150D"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36BD81D2" w14:textId="77777777" w:rsidR="0055138A" w:rsidRPr="000A20AD" w:rsidRDefault="0055138A"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F2A17D4" w14:textId="7A39192A" w:rsidR="0055138A" w:rsidRPr="000A20AD" w:rsidRDefault="0055138A" w:rsidP="00085327">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7.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11BD9583" w14:textId="77777777" w:rsidR="0055138A" w:rsidRPr="000A20AD" w:rsidRDefault="0055138A" w:rsidP="005868C6">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Tieslietu ministrija:</w:t>
            </w:r>
          </w:p>
          <w:p w14:paraId="09F56BE3" w14:textId="311D8EF1" w:rsidR="0055138A" w:rsidRPr="000A20AD" w:rsidRDefault="0055138A" w:rsidP="00EF60C4">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Projekta 7. punktu nepieciešams precizēt vai svītrot, jo šāda norma netiešā veidā nosaka ierobežojumu rezerves karavīram ieņemt noteiktu amatu vai strādāt noteiktā profesijā. Likumprojektā esošais pilnvarojums Ministru kabinetam paredz noteikt procesuāla rakstura regulējumu, nevis ierobežojumus.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F2C026F" w14:textId="152120ED" w:rsidR="0055138A" w:rsidRPr="000A20AD" w:rsidRDefault="0055138A" w:rsidP="00385089">
            <w:pPr>
              <w:spacing w:after="0" w:line="240" w:lineRule="auto"/>
              <w:jc w:val="center"/>
              <w:rPr>
                <w:rFonts w:ascii="Times New Roman" w:eastAsia="Times New Roman" w:hAnsi="Times New Roman" w:cs="Times New Roman"/>
                <w:lang w:eastAsia="lv-LV"/>
              </w:rPr>
            </w:pPr>
            <w:r w:rsidRPr="000A20AD">
              <w:rPr>
                <w:rFonts w:ascii="Times New Roman" w:eastAsia="Times New Roman" w:hAnsi="Times New Roman" w:cs="Times New Roman"/>
                <w:b/>
                <w:lang w:eastAsia="lv-LV"/>
              </w:rPr>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0F19D816" w14:textId="77777777" w:rsidR="0055138A" w:rsidRPr="000A20AD" w:rsidRDefault="0055138A" w:rsidP="000807A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Aizsardzības ministrija nesaskata, ka attiecīgi noteikumu projekta 7. punkts nosaka ierobežojumu rezerves karavīram ieņemt noteiktu amatu vai strādāt noteiktā profesijā.</w:t>
            </w:r>
          </w:p>
          <w:p w14:paraId="6D8383AE" w14:textId="77777777" w:rsidR="0055138A" w:rsidRPr="000A20AD" w:rsidRDefault="0055138A" w:rsidP="000807A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Pirmkārt, esošais regulējums par kritisko personāla darbību ir lielākoties attiecināms uz ārkārtas situāciju vai izņēmumu stāvokli, kas tiek ieviests, lai pārvarētu valsts </w:t>
            </w:r>
            <w:r w:rsidRPr="000A20AD">
              <w:rPr>
                <w:rFonts w:ascii="Times New Roman" w:eastAsia="Times New Roman" w:hAnsi="Times New Roman" w:cs="Times New Roman"/>
                <w:lang w:eastAsia="lv-LV"/>
              </w:rPr>
              <w:lastRenderedPageBreak/>
              <w:t>apdraudējumu.  Šāds stāvoklis ir uzskatāms par īpašu tiesisko režīmu, kas nosaka valstij īpašas tiesības noteiktajā kārtībā un apjomā ierobežot valsts pārvaldes un pašvaldību institūciju, fizisko un juridisko personu tiesības un brīvības, kā arī uzlikt tām papildu pienākumus. Citādi piedāvātajam regulējumam nebūtu ietekme uz personu tiesībām ieņemt sev vēlamo amatu.</w:t>
            </w:r>
          </w:p>
          <w:p w14:paraId="16662708" w14:textId="695F932F" w:rsidR="0055138A" w:rsidRPr="000A20AD" w:rsidRDefault="0055138A" w:rsidP="000807A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Otrkārt, noteikumu projekta anotācija I sadaļas 2. punktā paredz, ka</w:t>
            </w:r>
            <w:r w:rsidRPr="000A20AD">
              <w:t xml:space="preserve"> </w:t>
            </w:r>
            <w:r w:rsidRPr="000A20AD">
              <w:rPr>
                <w:rFonts w:ascii="Times New Roman" w:eastAsia="Times New Roman" w:hAnsi="Times New Roman" w:cs="Times New Roman"/>
                <w:lang w:eastAsia="lv-LV"/>
              </w:rPr>
              <w:t>rezerves karavīri, uz kuriem attieksies noteiktie izņēmumi, turpinās iesaistīties plānotajās militārajās mācībās normatīvajos aktos noteiktajā kārtībā, tādējādi netiks ierobežota šo personu tiesības izvēlēties sev vēlamo nodarbošanos (amatu) vai tiesības iesaistīties valsts aizsardzības sistēmā.</w:t>
            </w:r>
          </w:p>
        </w:tc>
      </w:tr>
      <w:tr w:rsidR="0055138A" w:rsidRPr="000A20AD" w14:paraId="178BBB4F"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60DB313A" w14:textId="77777777" w:rsidR="0055138A" w:rsidRPr="000A20AD" w:rsidRDefault="0055138A" w:rsidP="00B30AE0">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3FC652C" w14:textId="609641DD" w:rsidR="0055138A" w:rsidRPr="000A20AD" w:rsidRDefault="0055138A" w:rsidP="00B30AE0">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8.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7F69AAB3" w14:textId="77777777" w:rsidR="0055138A" w:rsidRPr="000A20AD" w:rsidRDefault="0055138A" w:rsidP="00AE72AB">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Tieslietu ministrija:</w:t>
            </w:r>
          </w:p>
          <w:p w14:paraId="14C2206E" w14:textId="13C6990E" w:rsidR="0055138A" w:rsidRPr="000A20AD" w:rsidRDefault="0055138A" w:rsidP="00B30AE0">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lang w:eastAsia="lv-LV"/>
              </w:rPr>
              <w:t xml:space="preserve">“Projekta 8. punkta pirmo teikumu par sarakstu apstiprināšanu nepieciešams precizēt, </w:t>
            </w:r>
            <w:proofErr w:type="gramStart"/>
            <w:r w:rsidRPr="000A20AD">
              <w:rPr>
                <w:rFonts w:ascii="Times New Roman" w:eastAsia="Times New Roman" w:hAnsi="Times New Roman" w:cs="Times New Roman"/>
                <w:lang w:eastAsia="lv-LV"/>
              </w:rPr>
              <w:t>jo komersanta īpašnieks vai tiesiskais valdītājs nav komersanta</w:t>
            </w:r>
            <w:proofErr w:type="gramEnd"/>
            <w:r w:rsidRPr="000A20AD">
              <w:rPr>
                <w:rFonts w:ascii="Times New Roman" w:eastAsia="Times New Roman" w:hAnsi="Times New Roman" w:cs="Times New Roman"/>
                <w:lang w:eastAsia="lv-LV"/>
              </w:rPr>
              <w:t xml:space="preserve"> vadītājs, piemēram, VAS “Latvenergo” īpašnieks ir valsts. Piedāvājam šo punktu veidot atbilstoši Komerclikumā noteiktajam par paraksta tiesībām. Savukārt projekta 8. punkta otro teikumu par ministrijas </w:t>
            </w:r>
            <w:r w:rsidRPr="000A20AD">
              <w:rPr>
                <w:rFonts w:ascii="Times New Roman" w:eastAsia="Times New Roman" w:hAnsi="Times New Roman" w:cs="Times New Roman"/>
                <w:lang w:eastAsia="lv-LV"/>
              </w:rPr>
              <w:lastRenderedPageBreak/>
              <w:t>tiesībām sarakstu papildināšanā nepieciešams svītrot, jo šāds regulējums neatbilst ministriju kompetencei. Ministrijām nav tiesības ietekmēt nozares komersantu darbību.”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662CE76" w14:textId="6EFE1F5C"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47976F0A" w14:textId="26060BE0" w:rsidR="0055138A" w:rsidRPr="000A20AD" w:rsidRDefault="0055138A" w:rsidP="00B30AE0">
            <w:pPr>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Notiekumu projektā un tā anotācijā vārdi “īpašnieks vai tiesiskais valdītājs” ir aizstāti ar vārdiem “pilnvarotā persona” atbilstoši Komerclikumā noteiktajam. Vienlaikus vēlamies vērst uzmanību, ka </w:t>
            </w:r>
            <w:r w:rsidRPr="000A20AD">
              <w:rPr>
                <w:rFonts w:ascii="Times New Roman" w:hAnsi="Times New Roman" w:cs="Times New Roman"/>
                <w:bCs/>
              </w:rPr>
              <w:t>Nacionālā drošības likuma 22.</w:t>
            </w:r>
            <w:r w:rsidRPr="000A20AD">
              <w:rPr>
                <w:rFonts w:ascii="Times New Roman" w:hAnsi="Times New Roman" w:cs="Times New Roman"/>
                <w:bCs/>
                <w:vertAlign w:val="superscript"/>
              </w:rPr>
              <w:t>2</w:t>
            </w:r>
            <w:r w:rsidRPr="000A20AD">
              <w:rPr>
                <w:rFonts w:ascii="Times New Roman" w:hAnsi="Times New Roman" w:cs="Times New Roman"/>
                <w:bCs/>
              </w:rPr>
              <w:t xml:space="preserve"> panta ceturtajā un </w:t>
            </w:r>
            <w:r w:rsidRPr="000A20AD">
              <w:rPr>
                <w:rFonts w:ascii="Times New Roman" w:hAnsi="Times New Roman" w:cs="Times New Roman"/>
                <w:bCs/>
              </w:rPr>
              <w:lastRenderedPageBreak/>
              <w:t>piektajā daļā tiek lietots</w:t>
            </w:r>
            <w:r w:rsidRPr="000A20AD">
              <w:rPr>
                <w:rFonts w:ascii="Times New Roman" w:hAnsi="Times New Roman" w:cs="Times New Roman"/>
              </w:rPr>
              <w:t xml:space="preserve"> termins kritiskās infrastruktūras “īpašnieks vai tiesiskais valdītājs”, tādējādi šāds precizējošs grozījums būtu nepieciešams arī citos saistītajos tiesību aktos.</w:t>
            </w:r>
          </w:p>
        </w:tc>
      </w:tr>
      <w:tr w:rsidR="0055138A" w:rsidRPr="000A20AD" w14:paraId="500E5F26"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19D887F0" w14:textId="77777777" w:rsidR="0055138A" w:rsidRPr="000A20AD" w:rsidRDefault="0055138A"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E3D177" w14:textId="64895376" w:rsidR="0055138A" w:rsidRPr="000A20AD" w:rsidRDefault="0055138A" w:rsidP="002B15FE">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8.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3F5CE3D6" w14:textId="77777777" w:rsidR="0055138A" w:rsidRPr="000A20AD" w:rsidRDefault="0055138A" w:rsidP="00B30AE0">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Veselības ministrija:</w:t>
            </w:r>
          </w:p>
          <w:p w14:paraId="6542D325" w14:textId="699D5F6F" w:rsidR="0055138A" w:rsidRPr="000A20AD" w:rsidRDefault="0055138A" w:rsidP="005868C6">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Lūdzam izvērtēt, vai Noteikumu projektu ir nepieciešams papildināt ar tiesību normu, kas nosaka detalizētāku kārtību, kādā valsts un pašvaldības institūcijas vadītājs, saskaņo kritiskā personāla sarakstā iekļaujamos amatus ar augstāku iestādi. Gadījumā, ja tas ir nepieciešams, tad būtu ieteicams konkretizēt Noteikumu projekta 8. punktu, nosakot, ka kritiskā personāla sarakstu saskaņo ar nozares ministriju, pirms Noteikumu projekta 5. punktā </w:t>
            </w:r>
            <w:proofErr w:type="gramStart"/>
            <w:r w:rsidRPr="000A20AD">
              <w:rPr>
                <w:rFonts w:ascii="Times New Roman" w:eastAsia="Times New Roman" w:hAnsi="Times New Roman" w:cs="Times New Roman"/>
                <w:lang w:eastAsia="lv-LV"/>
              </w:rPr>
              <w:t>noteikto darbību</w:t>
            </w:r>
            <w:proofErr w:type="gramEnd"/>
            <w:r w:rsidRPr="000A20AD">
              <w:rPr>
                <w:rFonts w:ascii="Times New Roman" w:eastAsia="Times New Roman" w:hAnsi="Times New Roman" w:cs="Times New Roman"/>
                <w:lang w:eastAsia="lv-LV"/>
              </w:rPr>
              <w:t xml:space="preserve"> veikšanas. Ja Noteikumu projekts paredz, ka informāciju par kritisko personālu Nacionālo bruņoto spēku rezerves uzskaites struktūrvienībai sniedz valsts un pašvaldību institūcija (tās vadītājs), nevis nozares ministrija, tad būtu ieteicams papildināt Noteikumu projektu ar tiesību normu, kas noteiktu, ka sniedzot informāciju saskaņā ar Noteikumu projekta 5. punktu, valsts vai pašvaldības iestādes vadītājs norāda informāciju par saraksta saskaņošanas faktu ar nozares ministriju (piemēram, vēstules datums, numurs).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FAB2262" w14:textId="563F0DC0"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1FBC9619" w14:textId="77777777" w:rsidR="0055138A" w:rsidRPr="000A20AD" w:rsidRDefault="0055138A" w:rsidP="00B30AE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Precizēta noteikumu projekta anotācija.</w:t>
            </w:r>
          </w:p>
          <w:p w14:paraId="7352F1AD" w14:textId="20D6F129" w:rsidR="0055138A" w:rsidRPr="000A20AD" w:rsidRDefault="0055138A" w:rsidP="00104A38">
            <w:pPr>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Atbilstoši noteiktajam nozares ministrija var noteikt papildu nosacījumus, kādā saskaņojama un iesniedzama informācija par mobilizācijas izņēmumu piemērošanu attiecībā uz padotības iestādēm vai kapitālsabiedrībām, kurās tā ir kapitāldaļu turētāja.</w:t>
            </w:r>
          </w:p>
        </w:tc>
      </w:tr>
      <w:tr w:rsidR="0055138A" w:rsidRPr="000A20AD" w14:paraId="3F70AD32"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0631966A" w14:textId="77777777" w:rsidR="0055138A" w:rsidRPr="000A20AD" w:rsidRDefault="0055138A"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76402AD" w14:textId="06154F48" w:rsidR="0055138A" w:rsidRPr="000A20AD" w:rsidRDefault="0055138A" w:rsidP="00181D09">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10.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101D744" w14:textId="77777777" w:rsidR="0055138A" w:rsidRPr="000A20AD" w:rsidRDefault="0055138A" w:rsidP="00AE72AB">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Tieslietu ministrija:</w:t>
            </w:r>
          </w:p>
          <w:p w14:paraId="1EAC2E89" w14:textId="77777777" w:rsidR="0055138A" w:rsidRPr="000A20AD" w:rsidRDefault="0055138A" w:rsidP="00AE72AB">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“Projekta 10. punktu nepieciešams papildus izvērtēt un precizēt vai svītrot, jo Nacionālo </w:t>
            </w:r>
            <w:r w:rsidRPr="000A20AD">
              <w:rPr>
                <w:rFonts w:ascii="Times New Roman" w:eastAsia="Times New Roman" w:hAnsi="Times New Roman" w:cs="Times New Roman"/>
                <w:lang w:eastAsia="lv-LV"/>
              </w:rPr>
              <w:lastRenderedPageBreak/>
              <w:t>bruņoto spēku rezerves uzskaites struktūrvienībai vai Aizsardzības ministrijai Ministru kabineta noteikumos nevar paredzēt tiesības “atsevišķos gadījumos” vērtēt un ietekmēt sarakstu veidošanu. Vēršam uzmanību, ka jebkurš valsts pārvaldē pieņemts, pret privātpersonu vērsts lēmums būs administratīvais akts, kura tiesiskuma pārbaudei jānotiek Administratīvā procesa likumā noteiktajā kārtībā. Tādējādi Tieslietu ministrijai nav saprotams projektā iekļauto Aizsardzības ministrijas un nozaru ministriju konsultāciju mērķis. Turklāt sarakstu veidošana un izskatīšana ir fiziskas personas datu apstrāde un dažādu institūciju iesaiste tajā bez precīzi noteikta mērķa</w:t>
            </w:r>
            <w:proofErr w:type="gramStart"/>
            <w:r w:rsidRPr="000A20AD">
              <w:rPr>
                <w:rFonts w:ascii="Times New Roman" w:eastAsia="Times New Roman" w:hAnsi="Times New Roman" w:cs="Times New Roman"/>
                <w:lang w:eastAsia="lv-LV"/>
              </w:rPr>
              <w:t xml:space="preserve"> un</w:t>
            </w:r>
            <w:proofErr w:type="gramEnd"/>
            <w:r w:rsidRPr="000A20AD">
              <w:rPr>
                <w:rFonts w:ascii="Times New Roman" w:eastAsia="Times New Roman" w:hAnsi="Times New Roman" w:cs="Times New Roman"/>
                <w:lang w:eastAsia="lv-LV"/>
              </w:rPr>
              <w:t xml:space="preserve"> kompetences nav pieļaujama. Dažādas vispārīga rakstura ministriju konsultācijas var notikt jebkurā laikā iestāžu sadarbības ietvaros. Papildus norādām, ka projekta 10. punktā nav saprotams vārds “</w:t>
            </w:r>
            <w:proofErr w:type="spellStart"/>
            <w:r w:rsidRPr="000A20AD">
              <w:rPr>
                <w:rFonts w:ascii="Times New Roman" w:eastAsia="Times New Roman" w:hAnsi="Times New Roman" w:cs="Times New Roman"/>
                <w:lang w:eastAsia="lv-LV"/>
              </w:rPr>
              <w:t>dekonfliktācija</w:t>
            </w:r>
            <w:proofErr w:type="spellEnd"/>
            <w:r w:rsidRPr="000A20AD">
              <w:rPr>
                <w:rFonts w:ascii="Times New Roman" w:eastAsia="Times New Roman" w:hAnsi="Times New Roman" w:cs="Times New Roman"/>
                <w:lang w:eastAsia="lv-LV"/>
              </w:rPr>
              <w:t>”. Normatīvajos aktos bez īpaša skaidrojuma var izmantot vispārpieņemtus un plaši izmantotus vārdus. Piedāvājam projektā paredzēto regulējumu veidot saprotamu plašam lasītāju lokam.”</w:t>
            </w:r>
          </w:p>
          <w:p w14:paraId="4E8207A6" w14:textId="77777777" w:rsidR="0055138A" w:rsidRPr="000A20AD" w:rsidRDefault="0055138A" w:rsidP="00AE72AB">
            <w:pPr>
              <w:widowControl w:val="0"/>
              <w:spacing w:after="0" w:line="240" w:lineRule="auto"/>
              <w:jc w:val="both"/>
              <w:rPr>
                <w:rFonts w:ascii="Times New Roman" w:eastAsia="Times New Roman" w:hAnsi="Times New Roman" w:cs="Times New Roman"/>
                <w:lang w:eastAsia="lv-LV"/>
              </w:rPr>
            </w:pPr>
          </w:p>
          <w:p w14:paraId="6D6C48E3" w14:textId="77777777" w:rsidR="0055138A" w:rsidRPr="000A20AD" w:rsidRDefault="0055138A" w:rsidP="00584839">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Korupcijas novēršanas un apkarošanas birojs:</w:t>
            </w:r>
          </w:p>
          <w:p w14:paraId="12C77A19" w14:textId="6E3527A5" w:rsidR="0055138A" w:rsidRPr="000A20AD" w:rsidRDefault="0055138A" w:rsidP="001832F1">
            <w:pPr>
              <w:spacing w:line="240" w:lineRule="auto"/>
              <w:jc w:val="both"/>
              <w:rPr>
                <w:rFonts w:ascii="Times New Roman" w:eastAsia="Times New Roman" w:hAnsi="Times New Roman" w:cs="Times New Roman"/>
              </w:rPr>
            </w:pPr>
            <w:r w:rsidRPr="000A20AD">
              <w:rPr>
                <w:rFonts w:ascii="Times New Roman" w:eastAsia="Times New Roman" w:hAnsi="Times New Roman" w:cs="Times New Roman"/>
                <w:lang w:eastAsia="lv-LV"/>
              </w:rPr>
              <w:t xml:space="preserve">“Noteikumu projekta 10. punkts paredz, ka atsevišķos gadījumos Nacionālo bruņoto spēku rezerves uzskaites struktūrvienība, izvērtējot konkrētās valsts vai pašvaldības institūcijas, kā arī personas, kura nodrošina kritiskās funkcijas veikšanu, iesniegto kritiskā personāla sarakstu, var informēt Aizsardzības ministriju par </w:t>
            </w:r>
            <w:r w:rsidRPr="000A20AD">
              <w:rPr>
                <w:rFonts w:ascii="Times New Roman" w:eastAsia="Times New Roman" w:hAnsi="Times New Roman" w:cs="Times New Roman"/>
                <w:lang w:eastAsia="lv-LV"/>
              </w:rPr>
              <w:lastRenderedPageBreak/>
              <w:t>nepieciešamību izvērtēt tajā iekļauto rezerves karavīru skaitu un to apjomu. Norādām, ka nedz no noteikumu projekta, nedz no anotācijas nav saprotams, kādos gadījumos Nacionālo bruņoto spēku rezerves uzskaites struktūrvienība var informēt Aizsardzības ministriju par nepieciešamību izvērtēt iesniegto kritiskā personāla sarakstā iekļauto rezerves karavīru skaitu un to apjomu. Ņemot vērā minēto, kā arī, lai novērtu noteikumu projekta 10. punkta interpretācijas iespēju, aicinām anotācijā sniegt nepieciešamo skaidrojumu.”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9A3BCFE" w14:textId="6DB62789"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699620AE" w14:textId="23C49FA0" w:rsidR="0055138A" w:rsidRPr="000A20AD" w:rsidRDefault="0055138A" w:rsidP="000807A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Precizēts noteikumu projekts, svītrojot projekta 10. punktu.</w:t>
            </w:r>
          </w:p>
        </w:tc>
      </w:tr>
      <w:tr w:rsidR="0055138A" w:rsidRPr="000A20AD" w14:paraId="7BD22127"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5C988067" w14:textId="77777777" w:rsidR="0055138A" w:rsidRPr="000A20AD" w:rsidRDefault="0055138A"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82DC83" w14:textId="48E5C362" w:rsidR="0055138A" w:rsidRPr="000A20AD" w:rsidRDefault="0055138A" w:rsidP="000C01B8">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11.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5B4B681" w14:textId="77777777" w:rsidR="0055138A" w:rsidRPr="000A20AD" w:rsidRDefault="0055138A" w:rsidP="005868C6">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Tieslietu ministrija:</w:t>
            </w:r>
          </w:p>
          <w:p w14:paraId="74527969" w14:textId="60CA5FF5" w:rsidR="0055138A" w:rsidRPr="000A20AD" w:rsidRDefault="0055138A" w:rsidP="005868C6">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“Saskaņā ar Ministru kabineta 2017. gada 16. augusta noteikumu Nr.474 “Tieslietu ministrijas nolikums” 4.1.2. apakšpunktā noteikto Tieslietu ministrijas viena no funkcijām ir rajona (pilsētu) tiesu un apgabaltiesu administrēšana. Augstākās tiesas administratīvo darbu saskaņā ar likuma “Par tiesu varu” 50.1 panta pirmajā daļā noteikto organizē un nodrošina Augstākās tiesas Administrācija. Savukārt Karatiesu likuma 8. panta otrā daļa noteic, ka prokuroru reģistru izveido un uztur Ģenerālprokuratūra, bet Karatiesu likuma 9. panta otrā daļa noteic, ka advokātu reģistru izveido un uztur Latvijas Zvērinātu advokātu padome. Ievērojot minēto, Tieslietu ministrija Nacionālo bruņoto spēku rezerves uzskaites struktūrvienībai ir kompetenta sniegt informāciju par likuma 14.1 panta pirmās daļas 18. un 19. punktā minētajām personām. Līdz ar to projekta 11. punkts papildināms ar jauniem apakšpunktiem nosakot, ka </w:t>
            </w:r>
            <w:r w:rsidRPr="000A20AD">
              <w:rPr>
                <w:rFonts w:ascii="Times New Roman" w:eastAsia="Times New Roman" w:hAnsi="Times New Roman" w:cs="Times New Roman"/>
                <w:lang w:eastAsia="lv-LV"/>
              </w:rPr>
              <w:lastRenderedPageBreak/>
              <w:t xml:space="preserve">Nacionālo bruņoto spēku rezerves uzskaites struktūrvienībai informāciju sniedz Augstākā tiesa (par likuma 14.1 panta pirmās daļas 17. punktā minētajām personām), Ģenerālprokuratūra (par likuma 14.1 panta pirmās daļas 20. punktā minētajām personām) un Latvijas Zvērinātu advokātu padome </w:t>
            </w:r>
            <w:proofErr w:type="gramStart"/>
            <w:r w:rsidRPr="000A20AD">
              <w:rPr>
                <w:rFonts w:ascii="Times New Roman" w:eastAsia="Times New Roman" w:hAnsi="Times New Roman" w:cs="Times New Roman"/>
                <w:lang w:eastAsia="lv-LV"/>
              </w:rPr>
              <w:t>(</w:t>
            </w:r>
            <w:proofErr w:type="gramEnd"/>
            <w:r w:rsidRPr="000A20AD">
              <w:rPr>
                <w:rFonts w:ascii="Times New Roman" w:eastAsia="Times New Roman" w:hAnsi="Times New Roman" w:cs="Times New Roman"/>
                <w:lang w:eastAsia="lv-LV"/>
              </w:rPr>
              <w:t>par likuma 14.1 panta pirmās daļas 21. punktā minēto personu). Atbilstoši precizējama arī projekta anotācija par atsevišķajiem ziņotājiem, un par Tieslietu ministrijas kompetenci ziņot par padotības iestādēm, un rajona (pilsētu) tiesu un apgabaltiesu tiesnešiem.”</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B089999" w14:textId="2247F81B"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33F93E27" w14:textId="02518F7D" w:rsidR="0055138A" w:rsidRPr="000A20AD" w:rsidRDefault="0055138A" w:rsidP="00536384">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projekts un tā anotācija precizēta atbilstoši norādītajam.</w:t>
            </w:r>
          </w:p>
        </w:tc>
      </w:tr>
      <w:tr w:rsidR="0055138A" w:rsidRPr="000A20AD" w14:paraId="029B4D4A"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084AD1EA" w14:textId="77777777" w:rsidR="0055138A" w:rsidRPr="000A20AD" w:rsidRDefault="0055138A" w:rsidP="00B30AE0">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63A86B" w14:textId="573FAD85" w:rsidR="0055138A" w:rsidRPr="000A20AD" w:rsidRDefault="0055138A" w:rsidP="00B30AE0">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11.2. apakšpunkts.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D460BF7" w14:textId="77777777" w:rsidR="0055138A" w:rsidRPr="000A20AD" w:rsidRDefault="0055138A" w:rsidP="00105A8F">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Saeimas Administrācija:</w:t>
            </w:r>
          </w:p>
          <w:p w14:paraId="3F40E35E" w14:textId="3345EB2E" w:rsidR="0055138A" w:rsidRPr="000A20AD" w:rsidRDefault="0055138A" w:rsidP="00B30AE0">
            <w:pPr>
              <w:widowControl w:val="0"/>
              <w:spacing w:after="0" w:line="240" w:lineRule="auto"/>
              <w:jc w:val="both"/>
              <w:rPr>
                <w:rFonts w:ascii="Times New Roman" w:eastAsia="Times New Roman" w:hAnsi="Times New Roman" w:cs="Times New Roman"/>
                <w:b/>
                <w:lang w:eastAsia="lv-LV"/>
              </w:rPr>
            </w:pPr>
            <w:r w:rsidRPr="000A20AD">
              <w:rPr>
                <w:rFonts w:ascii="Times New Roman" w:hAnsi="Times New Roman" w:cs="Times New Roman"/>
              </w:rPr>
              <w:t xml:space="preserve">“Nepieciešams precizēt Ministru kabineta noteikumu projekta </w:t>
            </w:r>
            <w:r w:rsidRPr="000A20AD">
              <w:rPr>
                <w:rFonts w:ascii="Times New Roman" w:eastAsia="Times New Roman" w:hAnsi="Times New Roman" w:cs="Times New Roman"/>
              </w:rPr>
              <w:t>11.2.punktu, aizstājot vārdus “</w:t>
            </w:r>
            <w:r w:rsidRPr="000A20AD">
              <w:rPr>
                <w:rFonts w:ascii="Times New Roman" w:eastAsia="Times New Roman" w:hAnsi="Times New Roman" w:cs="Times New Roman"/>
                <w:i/>
              </w:rPr>
              <w:t>Saeimas kanceleja”</w:t>
            </w:r>
            <w:r w:rsidRPr="000A20AD">
              <w:rPr>
                <w:rFonts w:ascii="Times New Roman" w:eastAsia="Times New Roman" w:hAnsi="Times New Roman" w:cs="Times New Roman"/>
              </w:rPr>
              <w:t xml:space="preserve"> ar vārdiem “</w:t>
            </w:r>
            <w:r w:rsidRPr="000A20AD">
              <w:rPr>
                <w:rFonts w:ascii="Times New Roman" w:eastAsia="Times New Roman" w:hAnsi="Times New Roman" w:cs="Times New Roman"/>
                <w:i/>
              </w:rPr>
              <w:t>Saeimas Administrācija</w:t>
            </w:r>
            <w:r w:rsidRPr="000A20AD">
              <w:rPr>
                <w:rFonts w:ascii="Times New Roman" w:eastAsia="Times New Roman" w:hAnsi="Times New Roman" w:cs="Times New Roman"/>
              </w:rPr>
              <w:t>”.”</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75F6677" w14:textId="161CEDEE"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61EAAA7C" w14:textId="3678CD41" w:rsidR="0055138A" w:rsidRPr="000A20AD" w:rsidRDefault="0055138A" w:rsidP="00B30AE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un anotācijas tekstā vārdi “Saeimas kanceleja” aizstāti ar vārdiem “Saeimas Administrācija”.</w:t>
            </w:r>
          </w:p>
        </w:tc>
      </w:tr>
      <w:tr w:rsidR="0055138A" w:rsidRPr="000A20AD" w14:paraId="6C430195"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4E6EE36C" w14:textId="77777777" w:rsidR="0055138A" w:rsidRPr="000A20AD" w:rsidRDefault="0055138A" w:rsidP="003F66BD">
            <w:pPr>
              <w:numPr>
                <w:ilvl w:val="0"/>
                <w:numId w:val="1"/>
              </w:numPr>
              <w:spacing w:after="0" w:line="240" w:lineRule="auto"/>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1787DF" w14:textId="32511670" w:rsidR="0055138A" w:rsidRPr="000A20AD" w:rsidRDefault="0055138A" w:rsidP="002B15FE">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11.3. apakšpunkts.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20BA10AB" w14:textId="77777777" w:rsidR="0055138A" w:rsidRPr="000A20AD" w:rsidRDefault="0055138A" w:rsidP="00105A8F">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Centrālā vēlēšanu komisija:</w:t>
            </w:r>
          </w:p>
          <w:p w14:paraId="1D1E4445" w14:textId="77777777" w:rsidR="0055138A" w:rsidRPr="000A20AD" w:rsidRDefault="0055138A" w:rsidP="00105A8F">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“Noteikumu projekta 11.3. punktā paredzēts, ka Centrālajai vēlēšanu komisijai būtu jāsniedz Nacionālo bruņoto spēku rezerves uzskaites struktūrvienībai informācija par Eiropas Parlamenta deputātiem un pašvaldību deputātiem. </w:t>
            </w:r>
          </w:p>
          <w:p w14:paraId="2D2DBDDF" w14:textId="77777777" w:rsidR="0055138A" w:rsidRPr="000A20AD" w:rsidRDefault="0055138A" w:rsidP="00105A8F">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Centrālā vēlēšanu komisija atbilstīgi Eiropas Parlamenta vēlēšanu likuma 44. un 46. pantam nosaka Eiropas Parlamentā ievēlētos deputātus, kā arī informē Eiropas Parlamentu par nākamo deputāta kandidātu, kurš stājas tā deputāta vietā, kurš nolicis vai zaudējis mandātu. Līdz ar to Centrālās vēlēšanu komisijas rīcībā ir aktuālā informācija par Eiropas Parlamenta deputātiem, </w:t>
            </w:r>
            <w:r w:rsidRPr="000A20AD">
              <w:rPr>
                <w:rFonts w:ascii="Times New Roman" w:eastAsia="Times New Roman" w:hAnsi="Times New Roman" w:cs="Times New Roman"/>
                <w:lang w:eastAsia="lv-LV"/>
              </w:rPr>
              <w:lastRenderedPageBreak/>
              <w:t>kuri ievēlēti no Latvijas.</w:t>
            </w:r>
          </w:p>
          <w:p w14:paraId="4ED9CD55" w14:textId="77777777" w:rsidR="0055138A" w:rsidRPr="000A20AD" w:rsidRDefault="0055138A" w:rsidP="00105A8F">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11.3. punktu izteikt šādā redakcijā:</w:t>
            </w:r>
          </w:p>
          <w:p w14:paraId="14C41D21" w14:textId="14A70DFF" w:rsidR="0055138A" w:rsidRPr="000A20AD" w:rsidRDefault="0055138A" w:rsidP="005868C6">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“11.3. Centrālā vēlēšanu komisija – par Mobilizācijas likuma 14.1 panta pirmās daļas 3. punktā minētajām personām””</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29E276C" w14:textId="4D8F38DB"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485B290F" w14:textId="2E97D26E" w:rsidR="0055138A" w:rsidRPr="000A20AD" w:rsidRDefault="0055138A" w:rsidP="000807A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projekts un tā anotācija precizēta atbilstoši norādītajam.</w:t>
            </w:r>
          </w:p>
        </w:tc>
      </w:tr>
      <w:tr w:rsidR="0055138A" w:rsidRPr="000A20AD" w14:paraId="36871ED2"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0E481EE1" w14:textId="77777777" w:rsidR="0055138A" w:rsidRPr="000A20AD" w:rsidRDefault="0055138A"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D54B5E" w14:textId="28A3CDAA" w:rsidR="0055138A" w:rsidRPr="000A20AD" w:rsidRDefault="0055138A" w:rsidP="009F0C16">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11.4. apakšpunkts.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EFE41CA" w14:textId="77777777" w:rsidR="0055138A" w:rsidRPr="000A20AD" w:rsidRDefault="0055138A" w:rsidP="004F5549">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Valsts kanceleja:</w:t>
            </w:r>
          </w:p>
          <w:p w14:paraId="2B2EE296" w14:textId="77777777" w:rsidR="0055138A" w:rsidRPr="000A20AD" w:rsidRDefault="0055138A" w:rsidP="004F5549">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“Izteikt Noteikumu projekta 11.4. apakšpunktu šādā redakcijā:</w:t>
            </w:r>
          </w:p>
          <w:p w14:paraId="34B946BE" w14:textId="40B7663D" w:rsidR="0055138A" w:rsidRPr="000A20AD" w:rsidRDefault="0055138A" w:rsidP="00AE72AB">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"11.4. Valsts kanceleja – par Mobilizācijas likuma 14.1 panta pirmās daļas 5. un 7. punktā minēto personu;" un attiecīgi precizēt sākotnējās ietekmes novērtējuma ziņojumu (anotāciju). Saskaņā ar Ministru kabineta 2003. gada 20. maija noteikumu Nr. 263 "Valsts kancelejas nolikums" 4.21. apakšpunktu Valsts kanceleja kārto Ministru prezidenta, Ministru prezidenta biedra, ministru, parlamentāro sekretāru un to personu uzskaites lietas, kuras iecēlis amatā Ministru kabinets, Ministru prezidents vai Ministru prezidenta biedrs. Ievērojot minēto, Valsts kanceleja var sniegt datus tikai par Ministru kabineta locekļiem un Valsts kancelejas direktoru.”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2DBA896" w14:textId="0705426D"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7FDF59DB" w14:textId="64BEB93D" w:rsidR="0055138A" w:rsidRPr="000A20AD" w:rsidRDefault="0055138A" w:rsidP="008647A5">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projekts un tā anotācija precizēta atbilstoši norādītajam.</w:t>
            </w:r>
          </w:p>
        </w:tc>
      </w:tr>
      <w:tr w:rsidR="0055138A" w:rsidRPr="000A20AD" w14:paraId="5D3B2421"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4A04EB50" w14:textId="77777777" w:rsidR="0055138A" w:rsidRPr="000A20AD" w:rsidRDefault="0055138A" w:rsidP="00105A8F">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C42844" w14:textId="28CCADBD" w:rsidR="0055138A" w:rsidRPr="000A20AD" w:rsidRDefault="0055138A" w:rsidP="00105A8F">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11.6. apakšpunkts.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49273DEB" w14:textId="77777777" w:rsidR="0055138A" w:rsidRPr="000A20AD" w:rsidRDefault="0055138A" w:rsidP="00105A8F">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Centrālā vēlēšanu komisija:</w:t>
            </w:r>
          </w:p>
          <w:p w14:paraId="35498821" w14:textId="017F4035" w:rsidR="0055138A" w:rsidRPr="000A20AD" w:rsidRDefault="0055138A" w:rsidP="00105A8F">
            <w:pPr>
              <w:widowControl w:val="0"/>
              <w:spacing w:after="0" w:line="240" w:lineRule="auto"/>
              <w:jc w:val="both"/>
              <w:rPr>
                <w:rFonts w:ascii="Times New Roman" w:eastAsia="Times New Roman" w:hAnsi="Times New Roman" w:cs="Times New Roman"/>
                <w:b/>
                <w:lang w:eastAsia="lv-LV"/>
              </w:rPr>
            </w:pPr>
            <w:r w:rsidRPr="000A20AD">
              <w:rPr>
                <w:rFonts w:ascii="Times New Roman" w:hAnsi="Times New Roman" w:cs="Times New Roman"/>
              </w:rPr>
              <w:t xml:space="preserve">“Atbilstīgi Pašvaldības domes vēlēšanu likuma 44. panta pirmajai daļai Centrālās vēlēšanu komisijas rīcībā ir informācija (vēlēšanu rezultātu protokoli), kuri kandidāti tika ievēlēti pašvaldības domē. Tomēr likums neparedz ne domēm sniegt informāciju Centrālajai vēlēšanu komisijai par deputātu sastāva maiņām, ne arī Centrālajai vēlēšanu komisijai šādu informāciju apkopot, uzturēt un aktualizēt. Primārā informācijas turētāja </w:t>
            </w:r>
            <w:r w:rsidRPr="000A20AD">
              <w:rPr>
                <w:rFonts w:ascii="Times New Roman" w:hAnsi="Times New Roman" w:cs="Times New Roman"/>
              </w:rPr>
              <w:lastRenderedPageBreak/>
              <w:t xml:space="preserve">par pašvaldības deputātu sastāvu ir attiecīgā dome. Līdz ar to nepieciešams noteikt, ka informāciju par pašvaldības domes deputātiem sniedz pašvaldības dome. </w:t>
            </w:r>
            <w:r w:rsidRPr="000A20AD">
              <w:rPr>
                <w:rFonts w:ascii="Times New Roman" w:eastAsia="Times New Roman" w:hAnsi="Times New Roman" w:cs="Times New Roman"/>
                <w:lang w:eastAsia="lv-LV"/>
              </w:rPr>
              <w:t>11.6. punktu izteikt šādā redakcijā:</w:t>
            </w:r>
            <w:r w:rsidRPr="000A20AD">
              <w:rPr>
                <w:rFonts w:ascii="Times New Roman" w:hAnsi="Times New Roman" w:cs="Times New Roman"/>
              </w:rPr>
              <w:t xml:space="preserve"> </w:t>
            </w:r>
            <w:r w:rsidRPr="000A20AD">
              <w:rPr>
                <w:rFonts w:ascii="Times New Roman" w:eastAsia="Times New Roman" w:hAnsi="Times New Roman" w:cs="Times New Roman"/>
                <w:lang w:eastAsia="lv-LV"/>
              </w:rPr>
              <w:t>“11.6. pašvaldības dome – par Mobilizācijas likuma 14.1 panta pirmās daļas 25. un 26. punktā minētajām personām.””</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0F82224" w14:textId="62FE3686"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2A42BC36" w14:textId="0F5B186B" w:rsidR="0055138A" w:rsidRPr="000A20AD" w:rsidRDefault="0055138A" w:rsidP="00105A8F">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projekts un tā anotācija precizēta atbilstoši norādītajam.</w:t>
            </w:r>
          </w:p>
        </w:tc>
      </w:tr>
      <w:tr w:rsidR="0055138A" w:rsidRPr="000A20AD" w14:paraId="36210429"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58F5DDBE" w14:textId="77777777" w:rsidR="0055138A" w:rsidRPr="000A20AD" w:rsidRDefault="0055138A" w:rsidP="00105A8F">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B48A813" w14:textId="7034860D" w:rsidR="0055138A" w:rsidRPr="000A20AD" w:rsidRDefault="0055138A" w:rsidP="00105A8F">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11.11. apakšpunkts.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01FA72BF" w14:textId="77777777" w:rsidR="0055138A" w:rsidRPr="000A20AD" w:rsidRDefault="0055138A" w:rsidP="00BD641A">
            <w:pPr>
              <w:pStyle w:val="Header"/>
              <w:tabs>
                <w:tab w:val="center" w:pos="709"/>
              </w:tabs>
              <w:jc w:val="both"/>
              <w:rPr>
                <w:rFonts w:ascii="Times New Roman" w:hAnsi="Times New Roman" w:cs="Times New Roman"/>
                <w:b/>
              </w:rPr>
            </w:pPr>
            <w:r w:rsidRPr="000A20AD">
              <w:rPr>
                <w:rFonts w:ascii="Times New Roman" w:hAnsi="Times New Roman" w:cs="Times New Roman"/>
                <w:b/>
              </w:rPr>
              <w:t>Nacionālā elektronisko plašsaziņas līdzekļu padome:</w:t>
            </w:r>
          </w:p>
          <w:p w14:paraId="0010AD35" w14:textId="77777777" w:rsidR="0055138A" w:rsidRPr="000A20AD" w:rsidRDefault="0055138A" w:rsidP="00BD641A">
            <w:pPr>
              <w:pStyle w:val="Header"/>
              <w:tabs>
                <w:tab w:val="center" w:pos="709"/>
              </w:tabs>
              <w:jc w:val="both"/>
              <w:rPr>
                <w:rFonts w:ascii="Times New Roman" w:hAnsi="Times New Roman" w:cs="Times New Roman"/>
                <w:b/>
              </w:rPr>
            </w:pPr>
            <w:r w:rsidRPr="000A20AD">
              <w:rPr>
                <w:rFonts w:ascii="Times New Roman" w:hAnsi="Times New Roman" w:cs="Times New Roman"/>
                <w:color w:val="000000"/>
              </w:rPr>
              <w:t>“Precizēt noteikumu projekta 11.11. punktā  norādīto Nacionālās elektronisko plašsaziņas līdzekļu padomes nosaukumu un izteikt 11.11. punktu šādā redakcijā:  "11.11. Nacionālā elektronisko plašsaziņas līdzekļu padome – par Mobilizācijas likuma 14.</w:t>
            </w:r>
            <w:r w:rsidRPr="000A20AD">
              <w:rPr>
                <w:rFonts w:ascii="Times New Roman" w:hAnsi="Times New Roman" w:cs="Times New Roman"/>
                <w:color w:val="000000"/>
                <w:vertAlign w:val="superscript"/>
              </w:rPr>
              <w:t>1</w:t>
            </w:r>
            <w:r w:rsidRPr="000A20AD">
              <w:rPr>
                <w:rFonts w:ascii="Times New Roman" w:hAnsi="Times New Roman" w:cs="Times New Roman"/>
                <w:color w:val="000000"/>
              </w:rPr>
              <w:t xml:space="preserve"> panta pirmās daļas 14. punktā minētajām personām"; precizēt noteikumu anotācijā norādīto Nacionālās elektronisko plašsaziņas līdzekļu padomes nosaukumu un izteikt 11.punktu šādā redakcijā: "11. Nacionālā elektronisko plašsaziņas līdzekļu padome – par Mobilizācijas likuma 14.</w:t>
            </w:r>
            <w:r w:rsidRPr="000A20AD">
              <w:rPr>
                <w:rFonts w:ascii="Times New Roman" w:hAnsi="Times New Roman" w:cs="Times New Roman"/>
                <w:color w:val="000000"/>
                <w:vertAlign w:val="superscript"/>
              </w:rPr>
              <w:t>1</w:t>
            </w:r>
            <w:r w:rsidRPr="000A20AD">
              <w:rPr>
                <w:rFonts w:ascii="Times New Roman" w:hAnsi="Times New Roman" w:cs="Times New Roman"/>
                <w:color w:val="000000"/>
              </w:rPr>
              <w:t xml:space="preserve"> panta pirmās daļas 14. punktā minētajām personām".”</w:t>
            </w:r>
          </w:p>
          <w:p w14:paraId="5D64C9E0" w14:textId="2A07A2BA" w:rsidR="0055138A" w:rsidRPr="000A20AD" w:rsidRDefault="0055138A" w:rsidP="00105A8F">
            <w:pPr>
              <w:widowControl w:val="0"/>
              <w:spacing w:after="0" w:line="240" w:lineRule="auto"/>
              <w:jc w:val="both"/>
              <w:rPr>
                <w:rFonts w:ascii="Times New Roman" w:eastAsia="Times New Roman" w:hAnsi="Times New Roman" w:cs="Times New Roman"/>
                <w:b/>
                <w:lang w:eastAsia="lv-LV"/>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EA182A5" w14:textId="70CEA33D"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151DDFD7" w14:textId="78F1C1FB" w:rsidR="0055138A" w:rsidRPr="000A20AD" w:rsidRDefault="0055138A" w:rsidP="00105A8F">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projekts un tā anotācija precizēta atbilstoši norādītajam.</w:t>
            </w:r>
          </w:p>
        </w:tc>
      </w:tr>
      <w:tr w:rsidR="0055138A" w:rsidRPr="000A20AD" w14:paraId="1766094E"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265A0658" w14:textId="77777777" w:rsidR="0055138A" w:rsidRPr="000A20AD" w:rsidRDefault="0055138A"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6B21291" w14:textId="6C294707" w:rsidR="0055138A" w:rsidRPr="000A20AD" w:rsidRDefault="0055138A" w:rsidP="002B15FE">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11.13. apakšpunkts.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21F204E" w14:textId="77777777" w:rsidR="0055138A" w:rsidRPr="000A20AD" w:rsidRDefault="0055138A" w:rsidP="00D23DA6">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Ģenerālprokuratūra:</w:t>
            </w:r>
          </w:p>
          <w:p w14:paraId="587F3225" w14:textId="5F274DC4" w:rsidR="0055138A" w:rsidRPr="000A20AD" w:rsidRDefault="0055138A" w:rsidP="00584839">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“Noteikumu projekta 11.13. punktā cita starpā tiek paredzēts, ka Tieslietu ministrija sniedz informāciju Nacionālo bruņoto spēku rezerves uzskaites struktūrvienībai par ģenerālprokuroru un prokuroru, kas norīkots darbam karatiesā. Vēršam uzmanību, ka atbilstoši Karatiesu likuma </w:t>
            </w:r>
            <w:proofErr w:type="gramStart"/>
            <w:r w:rsidRPr="000A20AD">
              <w:rPr>
                <w:rFonts w:ascii="Times New Roman" w:eastAsia="Times New Roman" w:hAnsi="Times New Roman" w:cs="Times New Roman"/>
                <w:lang w:eastAsia="lv-LV"/>
              </w:rPr>
              <w:t>8.panta</w:t>
            </w:r>
            <w:proofErr w:type="gramEnd"/>
            <w:r w:rsidRPr="000A20AD">
              <w:rPr>
                <w:rFonts w:ascii="Times New Roman" w:eastAsia="Times New Roman" w:hAnsi="Times New Roman" w:cs="Times New Roman"/>
                <w:lang w:eastAsia="lv-LV"/>
              </w:rPr>
              <w:t xml:space="preserve"> otrajai daļai to prokuroru reģistru, kuriem pēc tam, </w:t>
            </w:r>
            <w:r w:rsidRPr="000A20AD">
              <w:rPr>
                <w:rFonts w:ascii="Times New Roman" w:eastAsia="Times New Roman" w:hAnsi="Times New Roman" w:cs="Times New Roman"/>
                <w:lang w:eastAsia="lv-LV"/>
              </w:rPr>
              <w:lastRenderedPageBreak/>
              <w:t>kad paziņots tieslietu ministra rīkojums par karatiesu darbības uzsākšanu, jāveic prokuroru funkcijas karatiesām piekritīgās lietās, izveido un uztur Ģenerālprokuratūra. Turklāt arī likumprojektā “Grozījumi Karatiesu likumā” (Nr. 504/Lp13) šobrīd netiek paredzēts mainīt norādīto kārtību. Tādēļ, mūsuprāt, lai praksē nerastos sarežģījumi ar savlaicīgu informācijas sniegšanu Nacionālo bruņoto spēku rezerves uzskaites struktūrvienībai, jāparedz, ka ziņas par</w:t>
            </w:r>
            <w:proofErr w:type="gramStart"/>
            <w:r w:rsidRPr="000A20AD">
              <w:rPr>
                <w:rFonts w:ascii="Times New Roman" w:eastAsia="Times New Roman" w:hAnsi="Times New Roman" w:cs="Times New Roman"/>
                <w:lang w:eastAsia="lv-LV"/>
              </w:rPr>
              <w:t xml:space="preserve">  </w:t>
            </w:r>
            <w:proofErr w:type="gramEnd"/>
            <w:r w:rsidRPr="000A20AD">
              <w:rPr>
                <w:rFonts w:ascii="Times New Roman" w:eastAsia="Times New Roman" w:hAnsi="Times New Roman" w:cs="Times New Roman"/>
                <w:lang w:eastAsia="lv-LV"/>
              </w:rPr>
              <w:t>ģenerālprokuroru un prokuroru, kas norīkots darbam karatiesā, sniedz Ģenerālprokuratūra.”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2B39DBE" w14:textId="6AF15D45"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71D58BB6" w14:textId="77777777" w:rsidR="0055138A" w:rsidRPr="000A20AD" w:rsidRDefault="0055138A" w:rsidP="00D23DA6">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projektā veikts labojums atbilstoši norādījumiem, anotācija precizēta ar šādu redakciju:</w:t>
            </w:r>
          </w:p>
          <w:p w14:paraId="285DA986" w14:textId="77777777" w:rsidR="0055138A" w:rsidRPr="000A20AD" w:rsidRDefault="0055138A" w:rsidP="00D23DA6">
            <w:pPr>
              <w:spacing w:after="0" w:line="240" w:lineRule="auto"/>
              <w:jc w:val="both"/>
              <w:rPr>
                <w:rFonts w:ascii="Times New Roman" w:hAnsi="Times New Roman"/>
                <w:bCs/>
                <w:lang w:eastAsia="lv-LV"/>
              </w:rPr>
            </w:pPr>
            <w:r w:rsidRPr="000A20AD">
              <w:rPr>
                <w:rFonts w:ascii="Times New Roman" w:eastAsia="Times New Roman" w:hAnsi="Times New Roman"/>
                <w:lang w:eastAsia="lv-LV"/>
              </w:rPr>
              <w:t>“15. Ģenerālprokuratūra – par Mobilizācijas likuma 14.</w:t>
            </w:r>
            <w:r w:rsidRPr="000A20AD">
              <w:rPr>
                <w:rFonts w:ascii="Times New Roman" w:eastAsia="Times New Roman" w:hAnsi="Times New Roman"/>
                <w:vertAlign w:val="superscript"/>
                <w:lang w:eastAsia="lv-LV"/>
              </w:rPr>
              <w:t>1</w:t>
            </w:r>
            <w:r w:rsidRPr="000A20AD">
              <w:rPr>
                <w:rFonts w:ascii="Times New Roman" w:eastAsia="Times New Roman" w:hAnsi="Times New Roman"/>
                <w:lang w:eastAsia="lv-LV"/>
              </w:rPr>
              <w:t> panta pirmās daļas 20. punktā minētajām personām;</w:t>
            </w:r>
          </w:p>
          <w:p w14:paraId="2C3D3C71" w14:textId="77777777" w:rsidR="0055138A" w:rsidRPr="000A20AD" w:rsidRDefault="0055138A" w:rsidP="00D23DA6">
            <w:pPr>
              <w:spacing w:after="0" w:line="240" w:lineRule="auto"/>
              <w:jc w:val="both"/>
              <w:rPr>
                <w:rFonts w:ascii="Times New Roman" w:hAnsi="Times New Roman" w:cs="Times New Roman"/>
                <w:bCs/>
                <w:lang w:eastAsia="lv-LV"/>
              </w:rPr>
            </w:pPr>
            <w:r w:rsidRPr="000A20AD">
              <w:rPr>
                <w:rFonts w:ascii="Times New Roman" w:eastAsia="Times New Roman" w:hAnsi="Times New Roman" w:cs="Times New Roman"/>
                <w:lang w:eastAsia="lv-LV"/>
              </w:rPr>
              <w:lastRenderedPageBreak/>
              <w:t>Ģenerālprokuratūra sniedz informāciju par tām personām (prokuroriem), kuri tiek noteikti darbam karatiesā, ņemot vērā, ka tā uzskatāma par primāro informācijas turētāju. Atbilstoši Karatiesu likuma 8. pantam to prokuroru reģistru, kuriem pēc tam, kad paziņots tieslietu ministra rīkojums par karatiesu darbības uzsākšanu, jāveic prokuroru funkcijas karatiesām piekritīgās lietās, izveido un uztur Ģenerālprokuratūra.”</w:t>
            </w:r>
          </w:p>
          <w:p w14:paraId="5FB755DE" w14:textId="489406CC" w:rsidR="0055138A" w:rsidRPr="000A20AD" w:rsidRDefault="0055138A" w:rsidP="00B621F3">
            <w:pPr>
              <w:spacing w:after="0" w:line="240" w:lineRule="auto"/>
              <w:jc w:val="both"/>
              <w:rPr>
                <w:rFonts w:ascii="Times New Roman" w:eastAsia="Times New Roman" w:hAnsi="Times New Roman" w:cs="Times New Roman"/>
                <w:lang w:eastAsia="lv-LV"/>
              </w:rPr>
            </w:pPr>
          </w:p>
        </w:tc>
      </w:tr>
      <w:tr w:rsidR="0055138A" w:rsidRPr="000A20AD" w14:paraId="6EF1E72D"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0331D6EC" w14:textId="77777777" w:rsidR="0055138A" w:rsidRPr="000A20AD" w:rsidRDefault="0055138A" w:rsidP="00105A8F">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A0ED13C" w14:textId="1527EAFA" w:rsidR="0055138A" w:rsidRPr="000A20AD" w:rsidRDefault="0055138A" w:rsidP="00105A8F">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11.6. apakšpunkts.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1C9CE3A2" w14:textId="77777777" w:rsidR="0055138A" w:rsidRPr="000A20AD" w:rsidRDefault="0055138A" w:rsidP="00B30AE0">
            <w:pPr>
              <w:pStyle w:val="Header"/>
              <w:tabs>
                <w:tab w:val="center" w:pos="709"/>
              </w:tabs>
              <w:jc w:val="both"/>
              <w:rPr>
                <w:rFonts w:ascii="Times New Roman" w:hAnsi="Times New Roman" w:cs="Times New Roman"/>
                <w:b/>
              </w:rPr>
            </w:pPr>
            <w:r w:rsidRPr="000A20AD">
              <w:rPr>
                <w:rFonts w:ascii="Times New Roman" w:hAnsi="Times New Roman" w:cs="Times New Roman"/>
                <w:b/>
              </w:rPr>
              <w:t>Tiesībsargs:</w:t>
            </w:r>
          </w:p>
          <w:p w14:paraId="157DB8CD" w14:textId="49D573F3" w:rsidR="0055138A" w:rsidRPr="000A20AD" w:rsidRDefault="0055138A" w:rsidP="00105A8F">
            <w:pPr>
              <w:widowControl w:val="0"/>
              <w:spacing w:after="0" w:line="240" w:lineRule="auto"/>
              <w:jc w:val="both"/>
              <w:rPr>
                <w:rFonts w:ascii="Times New Roman" w:eastAsia="Times New Roman" w:hAnsi="Times New Roman" w:cs="Times New Roman"/>
                <w:b/>
                <w:lang w:eastAsia="lv-LV"/>
              </w:rPr>
            </w:pPr>
            <w:r w:rsidRPr="000A20AD">
              <w:rPr>
                <w:rFonts w:ascii="Times New Roman" w:hAnsi="Times New Roman" w:cs="Times New Roman"/>
              </w:rPr>
              <w:t>“Projekta 11.6.punkts un Anotācijās (4.lp.) norādīts, ka “Latvijas Republikas Tiesībsargs sniedz informāciju par Mobilizācijas likuma 14.1 panta pirmās daļas 10. punktā minēto personu.” Atbilstoši Likumprojekta 691/Lp13</w:t>
            </w:r>
            <w:proofErr w:type="gramStart"/>
            <w:r w:rsidRPr="000A20AD">
              <w:rPr>
                <w:rFonts w:ascii="Times New Roman" w:hAnsi="Times New Roman" w:cs="Times New Roman"/>
              </w:rPr>
              <w:t xml:space="preserve">  </w:t>
            </w:r>
            <w:proofErr w:type="gramEnd"/>
            <w:r w:rsidRPr="000A20AD">
              <w:rPr>
                <w:rFonts w:ascii="Times New Roman" w:hAnsi="Times New Roman" w:cs="Times New Roman"/>
              </w:rPr>
              <w:t>nosacījumiem Mobilizācijas likuma 14.1 panta pirmās daļas 10. punkts paredz, ka mobilizācijai nav pakļauts tiesībsargs. Savukārt citas Likumprojekta 14.1 pantā pirmajā daļā minētās amatpersonas, atbilstoši Anotācijas nosacījumiem, informē par to darbības nodrošināšanai nepieciešamo minimālo personālu.  Ņemot vērā minēto, kā arī to, ka Tiesībsarga likuma 18.panta pirmajā daļā noteikts, ka tiesībsarga darbību nodrošināšana Tiesībsarga birojs, Projekts un Anotācija šajā daļā būtu precizējama.”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3275E54" w14:textId="28620600"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64AC1230" w14:textId="77777777" w:rsidR="0055138A" w:rsidRPr="000A20AD" w:rsidRDefault="0055138A" w:rsidP="00B30AE0">
            <w:pPr>
              <w:spacing w:after="0" w:line="240" w:lineRule="auto"/>
              <w:jc w:val="both"/>
              <w:rPr>
                <w:rFonts w:ascii="Times New Roman" w:hAnsi="Times New Roman" w:cs="Times New Roman"/>
              </w:rPr>
            </w:pPr>
            <w:r w:rsidRPr="000A20AD">
              <w:rPr>
                <w:rFonts w:ascii="Times New Roman" w:hAnsi="Times New Roman" w:cs="Times New Roman"/>
              </w:rPr>
              <w:t>Atbilstoši likumprojekta “ 691/Lp13</w:t>
            </w:r>
            <w:proofErr w:type="gramStart"/>
            <w:r w:rsidRPr="000A20AD">
              <w:rPr>
                <w:rFonts w:ascii="Times New Roman" w:hAnsi="Times New Roman" w:cs="Times New Roman"/>
              </w:rPr>
              <w:t xml:space="preserve">  </w:t>
            </w:r>
            <w:proofErr w:type="gramEnd"/>
            <w:r w:rsidRPr="000A20AD">
              <w:rPr>
                <w:rFonts w:ascii="Times New Roman" w:hAnsi="Times New Roman" w:cs="Times New Roman"/>
              </w:rPr>
              <w:t>nosacījumiem Mobilizācijas likuma 14.</w:t>
            </w:r>
            <w:r w:rsidRPr="000A20AD">
              <w:rPr>
                <w:rFonts w:ascii="Times New Roman" w:hAnsi="Times New Roman" w:cs="Times New Roman"/>
                <w:vertAlign w:val="superscript"/>
              </w:rPr>
              <w:t>1</w:t>
            </w:r>
            <w:r w:rsidRPr="000A20AD">
              <w:rPr>
                <w:rFonts w:ascii="Times New Roman" w:hAnsi="Times New Roman" w:cs="Times New Roman"/>
              </w:rPr>
              <w:t xml:space="preserve"> panta pirmās daļas 10. punkts paredz, ka mobilizācijai nav pakļauts tiesībsargs. Ņemot vērā minēto, Aizsardzības ministrijas ieskatā, noteikumu projektā nav pieļaujama mobilizācijas izņēmumam pakļauto personu loka paplašināšana, ņemot vērā, ka tas neatbilst attiecīgā likumprojekta sniegtajam deleģējumam Ministru kabinetam.</w:t>
            </w:r>
          </w:p>
          <w:p w14:paraId="685A656D" w14:textId="3842B57F" w:rsidR="0055138A" w:rsidRPr="000A20AD" w:rsidRDefault="0055138A" w:rsidP="00105A8F">
            <w:pPr>
              <w:spacing w:after="0" w:line="240" w:lineRule="auto"/>
              <w:jc w:val="both"/>
              <w:rPr>
                <w:rFonts w:ascii="Times New Roman" w:eastAsia="Times New Roman" w:hAnsi="Times New Roman" w:cs="Times New Roman"/>
                <w:lang w:eastAsia="lv-LV"/>
              </w:rPr>
            </w:pPr>
            <w:r w:rsidRPr="000A20AD">
              <w:rPr>
                <w:rFonts w:ascii="Times New Roman" w:hAnsi="Times New Roman" w:cs="Times New Roman"/>
              </w:rPr>
              <w:t xml:space="preserve">Vienlaikus vēlamies vērst uzmanību, ka, ja attiecīgās valsts vai pašvaldības iestādes amatpersonas vai darbiniekiem ir piemērojams mobilizācijas izņēmums atbilstoši </w:t>
            </w:r>
            <w:r w:rsidRPr="000A20AD">
              <w:rPr>
                <w:rFonts w:ascii="Times New Roman" w:hAnsi="Times New Roman" w:cs="Times New Roman"/>
              </w:rPr>
              <w:lastRenderedPageBreak/>
              <w:t>Mobilizācijas likuma 14.1. panta otrajai daļai, tas netiek izvērsts noteikumu projekta anotācijā.</w:t>
            </w:r>
          </w:p>
        </w:tc>
      </w:tr>
      <w:tr w:rsidR="0055138A" w:rsidRPr="000A20AD" w14:paraId="1BABC651"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0DBD6C1C" w14:textId="77777777" w:rsidR="0055138A" w:rsidRPr="000A20AD" w:rsidRDefault="0055138A" w:rsidP="00105A8F">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6E926BE" w14:textId="2790099B" w:rsidR="0055138A" w:rsidRPr="000A20AD" w:rsidRDefault="0055138A" w:rsidP="00105A8F">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11.17. un 11.18. apakšpunkts.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5BCD5540" w14:textId="77777777" w:rsidR="0055138A" w:rsidRPr="000A20AD" w:rsidRDefault="0055138A" w:rsidP="00E76148">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Tieslietu ministrija:</w:t>
            </w:r>
          </w:p>
          <w:p w14:paraId="2980262F" w14:textId="6F4C5F33" w:rsidR="0055138A" w:rsidRPr="000A20AD" w:rsidRDefault="0055138A" w:rsidP="00105A8F">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lang w:eastAsia="lv-LV"/>
              </w:rPr>
              <w:t>“Projekta 11.17. un 11.18. apakšpunktu nepieciešams precizēt atbilstoši likuma “Par policiju” 2.1 un 2.2 pantu pirmajās daļās noteiktajam, proti, ka informāciju sniedz policijas dibinātājs – pašvaldība vai Ostas pārvalde. Vienlaikus piedāvājam izvērtēt iespēju apvienot projekta 11.16. un 11.17. apakšpunktu ar norādi, ka informāciju abos gadījumos sniedz pašvaldība.”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445A6C7" w14:textId="25A75EE0"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6F1BE1A1" w14:textId="1F4437F1" w:rsidR="0055138A" w:rsidRPr="000A20AD" w:rsidRDefault="0055138A" w:rsidP="00105A8F">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redakcija precizēta atbilstoši norādītajam, tajā skaitā apvienojot noteikumu projekta 11.16. un 11.17. apakšpunktu.</w:t>
            </w:r>
          </w:p>
        </w:tc>
      </w:tr>
      <w:tr w:rsidR="0055138A" w:rsidRPr="000A20AD" w14:paraId="1AAD1EA9"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0EFA2A69" w14:textId="77777777" w:rsidR="0055138A" w:rsidRPr="000A20AD" w:rsidRDefault="0055138A" w:rsidP="00105A8F">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E39BA9D" w14:textId="30BCEEE4" w:rsidR="0055138A" w:rsidRPr="000A20AD" w:rsidRDefault="0055138A" w:rsidP="00105A8F">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12.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47E2A3AA" w14:textId="77777777" w:rsidR="0055138A" w:rsidRPr="000A20AD" w:rsidRDefault="0055138A" w:rsidP="00030682">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Tieslietu ministrija, Satversmes aizsardzības birojs:</w:t>
            </w:r>
          </w:p>
          <w:p w14:paraId="77B8E2E9" w14:textId="5CAD8606" w:rsidR="0055138A" w:rsidRPr="000A20AD" w:rsidRDefault="0055138A" w:rsidP="00105A8F">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lang w:eastAsia="lv-LV"/>
              </w:rPr>
              <w:t xml:space="preserve">“Projekta 12. punkts šobrīd paredz, ka Nacionālo bruņoto spēku rezerves uzskaites struktūrvienība un attiecīgā valsts drošības iestāde vienojas par atsevišķu kārtību, kādā tiek nodrošināts Mobilizācijas likumā noteiktais uz valsts drošības iestāžu amatpersonām un darbiniekiem attiecināmais izņēmums iesaukšanai aktīvajā dienestā un mobilizācijai civilās aizsardzības formējumos. Vēlamies norādīt, ka projekta izstrādes gaitā nav notikušas konsultācijas ar Satversmes aizsardzības biroju par šādas normas piemērošanas iespējām. </w:t>
            </w:r>
            <w:proofErr w:type="gramStart"/>
            <w:r w:rsidRPr="000A20AD">
              <w:rPr>
                <w:rFonts w:ascii="Times New Roman" w:eastAsia="Times New Roman" w:hAnsi="Times New Roman" w:cs="Times New Roman"/>
                <w:lang w:eastAsia="lv-LV"/>
              </w:rPr>
              <w:t>Neskatoties uz to, ka</w:t>
            </w:r>
            <w:proofErr w:type="gramEnd"/>
            <w:r w:rsidRPr="000A20AD">
              <w:rPr>
                <w:rFonts w:ascii="Times New Roman" w:eastAsia="Times New Roman" w:hAnsi="Times New Roman" w:cs="Times New Roman"/>
                <w:lang w:eastAsia="lv-LV"/>
              </w:rPr>
              <w:t xml:space="preserve"> likums “Par valsts noslēpumu” un Valsts drošības iestāžu likums nosaka, ka valsts drošības iestāžu amatu saraksti ir valsts noslēpuma objekts, un to, ka personām, kuras ir dienestā Nacionālajos bruņotajos spēkos ir speciālā atļauja pieejai valsts noslēpumam, šāda informācija nav izplatāma ārpus </w:t>
            </w:r>
            <w:r w:rsidRPr="000A20AD">
              <w:rPr>
                <w:rFonts w:ascii="Times New Roman" w:eastAsia="Times New Roman" w:hAnsi="Times New Roman" w:cs="Times New Roman"/>
                <w:lang w:eastAsia="lv-LV"/>
              </w:rPr>
              <w:lastRenderedPageBreak/>
              <w:t>Satversmes aizsardzības biroja. Par paredzētās normas piemērošanas iespējām būtu nepieciešamas konsultācijas ar visām trīs valsts drošības iestādēm. Šobrīd projektā ietvertā norma nav izpildāma.”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AE60899" w14:textId="57C918AC"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35E4841D" w14:textId="58C45C38" w:rsidR="0055138A" w:rsidRPr="000A20AD" w:rsidRDefault="0055138A" w:rsidP="00105A8F">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13. punkts (precizēta numerācija) izteikts šādā redakcijā: “Nacionālie bruņotie spēki un valsts drošības iestāde atsevišķi vienojas par informācijas sniegšanas kārtību par Mobilizācijas likuma 14.</w:t>
            </w:r>
            <w:r w:rsidRPr="000A20AD">
              <w:rPr>
                <w:rFonts w:ascii="Times New Roman" w:eastAsia="Times New Roman" w:hAnsi="Times New Roman" w:cs="Times New Roman"/>
                <w:vertAlign w:val="superscript"/>
                <w:lang w:eastAsia="lv-LV"/>
              </w:rPr>
              <w:t>1</w:t>
            </w:r>
            <w:r w:rsidRPr="000A20AD">
              <w:rPr>
                <w:rFonts w:ascii="Times New Roman" w:eastAsia="Times New Roman" w:hAnsi="Times New Roman" w:cs="Times New Roman"/>
                <w:lang w:eastAsia="lv-LV"/>
              </w:rPr>
              <w:t xml:space="preserve"> panta pirmās daļas 23.punktā norādītajām personām." Vienlaikus precizēta noteikumu projekta anotācijas, kas izteikta šādā redakcijā: </w:t>
            </w:r>
            <w:r w:rsidRPr="000A20AD">
              <w:rPr>
                <w:rFonts w:ascii="Times New Roman" w:hAnsi="Times New Roman" w:cs="Times New Roman"/>
                <w:bCs/>
                <w:lang w:eastAsia="lv-LV"/>
              </w:rPr>
              <w:t xml:space="preserve"> “Noteikumu projekts paredz atsevišķu kārtību kādā tiek nodrošināta informācijas apmaiņa starp valsts drošības iestādēm un Nacionālajiem bruņotajiem spējiem, nosakot, ka Nacionālie bruņotie spēki un valsts drošības iestāde atsevišķi vienojas par informācijas sniegšanas kārtību par Mobilizācijas likuma 14.1 panta pirmās daļas </w:t>
            </w:r>
            <w:r w:rsidRPr="000A20AD">
              <w:rPr>
                <w:rFonts w:ascii="Times New Roman" w:hAnsi="Times New Roman" w:cs="Times New Roman"/>
                <w:bCs/>
                <w:lang w:eastAsia="lv-LV"/>
              </w:rPr>
              <w:lastRenderedPageBreak/>
              <w:t>23.punktā norādītajām personām. Šāda atsevišķa kārtība tiek paredzēta, ņemot vērā, ka informācija par valsts drošības iestāžu darbiniekiem ir valsts noslēpuma objekts un uzskatāma par īpaši sensitīvu.”</w:t>
            </w:r>
          </w:p>
        </w:tc>
      </w:tr>
      <w:tr w:rsidR="0055138A" w:rsidRPr="000A20AD" w14:paraId="1CA635AF"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303825C2" w14:textId="77777777" w:rsidR="0055138A" w:rsidRPr="000A20AD" w:rsidRDefault="0055138A" w:rsidP="00B30AE0">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0D5F56" w14:textId="686DAF5B" w:rsidR="0055138A" w:rsidRPr="000A20AD" w:rsidRDefault="0055138A" w:rsidP="00B30AE0">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13.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CB59C48" w14:textId="77777777" w:rsidR="0055138A" w:rsidRPr="000A20AD" w:rsidRDefault="0055138A" w:rsidP="009A68B7">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Ārlietu ministrija:</w:t>
            </w:r>
          </w:p>
          <w:p w14:paraId="1D0F5A9C" w14:textId="0E396D72" w:rsidR="0055138A" w:rsidRPr="000A20AD" w:rsidRDefault="0055138A" w:rsidP="00B30AE0">
            <w:pPr>
              <w:widowControl w:val="0"/>
              <w:spacing w:after="0" w:line="240" w:lineRule="auto"/>
              <w:jc w:val="both"/>
              <w:rPr>
                <w:rFonts w:ascii="Times New Roman" w:eastAsia="Times New Roman" w:hAnsi="Times New Roman" w:cs="Times New Roman"/>
                <w:b/>
                <w:lang w:eastAsia="lv-LV"/>
              </w:rPr>
            </w:pPr>
            <w:r w:rsidRPr="000A20AD">
              <w:rPr>
                <w:rFonts w:ascii="Times New Roman" w:eastAsia="Calibri" w:hAnsi="Times New Roman" w:cs="Times New Roman"/>
              </w:rPr>
              <w:t xml:space="preserve">“Ņemot vērā Informācijas atklātības likuma </w:t>
            </w:r>
            <w:r w:rsidRPr="000A20AD">
              <w:rPr>
                <w:rFonts w:ascii="Times New Roman" w:hAnsi="Times New Roman" w:cs="Times New Roman"/>
                <w:bCs/>
              </w:rPr>
              <w:t>8.</w:t>
            </w:r>
            <w:proofErr w:type="gramStart"/>
            <w:r w:rsidRPr="000A20AD">
              <w:rPr>
                <w:rFonts w:ascii="Times New Roman" w:hAnsi="Times New Roman" w:cs="Times New Roman"/>
                <w:bCs/>
                <w:vertAlign w:val="superscript"/>
              </w:rPr>
              <w:t>1</w:t>
            </w:r>
            <w:r w:rsidRPr="000A20AD">
              <w:rPr>
                <w:rFonts w:ascii="Times New Roman" w:hAnsi="Times New Roman" w:cs="Times New Roman"/>
                <w:bCs/>
              </w:rPr>
              <w:t>panta</w:t>
            </w:r>
            <w:proofErr w:type="gramEnd"/>
            <w:r w:rsidRPr="000A20AD">
              <w:rPr>
                <w:rFonts w:ascii="Times New Roman" w:hAnsi="Times New Roman" w:cs="Times New Roman"/>
                <w:bCs/>
              </w:rPr>
              <w:t xml:space="preserve"> pirmās daļas 1.punktu, kas paredz, ka </w:t>
            </w:r>
            <w:r w:rsidRPr="000A20AD">
              <w:rPr>
                <w:rFonts w:ascii="Times New Roman" w:hAnsi="Times New Roman" w:cs="Times New Roman"/>
              </w:rPr>
              <w:t>Latvijā radīta aizsargājama informācija, kas saistīta ar valsts drošību un nesatur valsts noslēpumu, ir uzskatāma par informāciju dienesta vajadzībām, l</w:t>
            </w:r>
            <w:r w:rsidRPr="000A20AD">
              <w:rPr>
                <w:rFonts w:ascii="Times New Roman" w:eastAsia="Calibri" w:hAnsi="Times New Roman" w:cs="Times New Roman"/>
              </w:rPr>
              <w:t xml:space="preserve">ūdzam skaidrot noteikumu projekta 13.punktu par informācijas statusa “ierobežotas pieejamība informācija” noteikšanu kritiskā personāla informācijai. Vienlaikus lūdzam izvērtēt statusa </w:t>
            </w:r>
            <w:r w:rsidRPr="000A20AD">
              <w:rPr>
                <w:rFonts w:ascii="Times New Roman" w:hAnsi="Times New Roman" w:cs="Times New Roman"/>
              </w:rPr>
              <w:t xml:space="preserve">"informācija dienesta vajadzībām" noteikšanu </w:t>
            </w:r>
            <w:r w:rsidRPr="000A20AD">
              <w:rPr>
                <w:rFonts w:ascii="Times New Roman" w:eastAsia="Calibri" w:hAnsi="Times New Roman" w:cs="Times New Roman"/>
              </w:rPr>
              <w:t>informācijai par kritisko personālu, kas sagatavota atbilstoši Mobilizācijas likuma 14.</w:t>
            </w:r>
            <w:r w:rsidRPr="000A20AD">
              <w:rPr>
                <w:rFonts w:ascii="Times New Roman" w:eastAsia="Calibri" w:hAnsi="Times New Roman" w:cs="Times New Roman"/>
                <w:vertAlign w:val="superscript"/>
              </w:rPr>
              <w:t>1</w:t>
            </w:r>
            <w:r w:rsidRPr="000A20AD">
              <w:rPr>
                <w:rFonts w:ascii="Times New Roman" w:eastAsia="Calibri" w:hAnsi="Times New Roman" w:cs="Times New Roman"/>
              </w:rPr>
              <w:t>panta pirmajai un otrajai daļai. Ārlietu ministrija norāda, ka informāciju, kurai ir noteikta klasifikācija “ierobežotas pieejamības informācija”, privātpersonas var salīdzinoši viegli pieprasīt un iegūt likumā noteiktā kārtībā, tajā skaitā tiesas procesā. Vienlaikus šāda kritiskā personāla identificēšana Ārlietu ministrijas ieskatā var radīt risku valsts drošībai un būtu klasificējama atbilstoši.”</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113C997" w14:textId="453D2E1F"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6098D6E5" w14:textId="77777777" w:rsidR="0055138A" w:rsidRPr="000A20AD" w:rsidRDefault="0055138A" w:rsidP="009A68B7">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Precizēta noteikumu projekts un tā anotācija, nosakot, ka informāciju par kritisko personālu ir klasificējama vismaz kā ierobežotas pieejamības informācija. </w:t>
            </w:r>
          </w:p>
          <w:p w14:paraId="6278FE4F" w14:textId="77777777" w:rsidR="0055138A" w:rsidRPr="000A20AD" w:rsidRDefault="0055138A" w:rsidP="009A68B7">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Ņemot vērā, ka institūciju loks, uz kurām ir attiecināms noteiktais regulējums, iekļauj arī tādas publiskās un privātās personas, kurām nav pieejas darbam ar informāciju dienesta vajadzībām, tad noteikumu projekts nosaka, ka šī informācija ir pamatā nosakāma kā ierobežotas pieejamības informācija.</w:t>
            </w:r>
          </w:p>
          <w:p w14:paraId="1F29AB88" w14:textId="56C104D9" w:rsidR="0055138A" w:rsidRPr="000A20AD" w:rsidRDefault="0055138A" w:rsidP="00A948BC">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Vienlaikus Aizsardzības ministrija nesaskata riskus, ka vien fakts, </w:t>
            </w:r>
            <w:proofErr w:type="gramStart"/>
            <w:r w:rsidRPr="000A20AD">
              <w:rPr>
                <w:rFonts w:ascii="Times New Roman" w:eastAsia="Times New Roman" w:hAnsi="Times New Roman" w:cs="Times New Roman"/>
                <w:lang w:eastAsia="lv-LV"/>
              </w:rPr>
              <w:t>ka attiecīgā informācijai ir noteikts ierobežotas pieejamības statuss</w:t>
            </w:r>
            <w:proofErr w:type="gramEnd"/>
            <w:r w:rsidRPr="000A20AD">
              <w:rPr>
                <w:rFonts w:ascii="Times New Roman" w:eastAsia="Times New Roman" w:hAnsi="Times New Roman" w:cs="Times New Roman"/>
                <w:lang w:eastAsia="lv-LV"/>
              </w:rPr>
              <w:t xml:space="preserve"> ir pietiekams pamats, lai privātpersona varētu likuma noteiktā kārtībā pieprasīt un iegūt minēto informāciju. Atbilstoši noteikumu projekta 13. punkts ir uzskatāms par pietiekamu pamatu, lai atbilstoši </w:t>
            </w:r>
            <w:r w:rsidRPr="000A20AD">
              <w:rPr>
                <w:rFonts w:ascii="Times New Roman" w:eastAsia="Times New Roman" w:hAnsi="Times New Roman" w:cs="Times New Roman"/>
                <w:lang w:eastAsia="lv-LV"/>
              </w:rPr>
              <w:lastRenderedPageBreak/>
              <w:t>Informācijas atklātības likuma 12. panta pirmajai daļai atteiktu minētās informācijas izsniegšanu.</w:t>
            </w:r>
          </w:p>
        </w:tc>
      </w:tr>
      <w:tr w:rsidR="0055138A" w:rsidRPr="000A20AD" w14:paraId="621C82F3"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5043F28C" w14:textId="77777777" w:rsidR="0055138A" w:rsidRPr="000A20AD" w:rsidRDefault="0055138A"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9BCD4A7" w14:textId="52D90257" w:rsidR="0055138A" w:rsidRPr="000A20AD" w:rsidRDefault="0055138A" w:rsidP="005A3951">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14.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0F4FCAD8" w14:textId="77777777" w:rsidR="0055138A" w:rsidRPr="000A20AD" w:rsidRDefault="0055138A" w:rsidP="004F5549">
            <w:pPr>
              <w:spacing w:after="0" w:line="240" w:lineRule="auto"/>
              <w:ind w:right="3"/>
              <w:jc w:val="both"/>
              <w:rPr>
                <w:rFonts w:ascii="Times New Roman" w:hAnsi="Times New Roman" w:cs="Times New Roman"/>
                <w:b/>
              </w:rPr>
            </w:pPr>
            <w:r w:rsidRPr="000A20AD">
              <w:rPr>
                <w:rFonts w:ascii="Times New Roman" w:hAnsi="Times New Roman" w:cs="Times New Roman"/>
                <w:b/>
              </w:rPr>
              <w:t>Ārlietu ministrija:</w:t>
            </w:r>
          </w:p>
          <w:p w14:paraId="032575E6" w14:textId="77777777" w:rsidR="0055138A" w:rsidRPr="000A20AD" w:rsidRDefault="0055138A" w:rsidP="004F5549">
            <w:pPr>
              <w:spacing w:after="0" w:line="240" w:lineRule="auto"/>
              <w:ind w:right="3"/>
              <w:jc w:val="both"/>
              <w:rPr>
                <w:rFonts w:ascii="Times New Roman" w:hAnsi="Times New Roman" w:cs="Times New Roman"/>
              </w:rPr>
            </w:pPr>
            <w:r w:rsidRPr="000A20AD">
              <w:rPr>
                <w:rFonts w:ascii="Times New Roman" w:hAnsi="Times New Roman" w:cs="Times New Roman"/>
              </w:rPr>
              <w:t>Lūdzam noteikumu projekta 14.punktā aizstāt vārdus “10.punktā” ar vārdiem “11.punktā”.</w:t>
            </w:r>
          </w:p>
          <w:p w14:paraId="3C36E4CF" w14:textId="6A3BB306" w:rsidR="0055138A" w:rsidRPr="000A20AD" w:rsidRDefault="0055138A" w:rsidP="005868C6">
            <w:pPr>
              <w:widowControl w:val="0"/>
              <w:spacing w:after="0" w:line="240" w:lineRule="auto"/>
              <w:jc w:val="both"/>
              <w:rPr>
                <w:rFonts w:ascii="Times New Roman" w:eastAsia="Times New Roman" w:hAnsi="Times New Roman" w:cs="Times New Roman"/>
                <w:lang w:eastAsia="lv-LV"/>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0F4A062" w14:textId="638B010A"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63B99881" w14:textId="1A96AD29" w:rsidR="0055138A" w:rsidRPr="000A20AD" w:rsidRDefault="0055138A" w:rsidP="005A3951">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Precizēta noteikumu projekta redakcija atbilstoši norādītajam.</w:t>
            </w:r>
          </w:p>
        </w:tc>
      </w:tr>
      <w:tr w:rsidR="0055138A" w:rsidRPr="000A20AD" w14:paraId="696ACA7E"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151F88A9" w14:textId="77777777" w:rsidR="0055138A" w:rsidRPr="000A20AD" w:rsidRDefault="0055138A" w:rsidP="00D23DA6">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CA808D" w14:textId="7209AD24" w:rsidR="0055138A" w:rsidRPr="000A20AD" w:rsidRDefault="0055138A" w:rsidP="00D23DA6">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16.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BA072B7" w14:textId="77777777" w:rsidR="0055138A" w:rsidRPr="000A20AD" w:rsidRDefault="0055138A" w:rsidP="009A68B7">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Tieslietu ministrija:</w:t>
            </w:r>
          </w:p>
          <w:p w14:paraId="055DB592" w14:textId="77777777" w:rsidR="0055138A" w:rsidRPr="000A20AD" w:rsidRDefault="0055138A" w:rsidP="009A68B7">
            <w:pPr>
              <w:widowControl w:val="0"/>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“Projekta 16. punktu par amata aprakstiem nepieciešams svītrot, jo šāda norma neatbilst likumprojektā paredzētajam pilnvarojumam. Projektā nav pieļaujams darba tiesiskās attiecības ietekmējošs regulējums.”</w:t>
            </w:r>
          </w:p>
          <w:p w14:paraId="770B427B" w14:textId="77777777" w:rsidR="0055138A" w:rsidRPr="000A20AD" w:rsidRDefault="0055138A" w:rsidP="009A68B7">
            <w:pPr>
              <w:widowControl w:val="0"/>
              <w:spacing w:after="0" w:line="240" w:lineRule="auto"/>
              <w:jc w:val="both"/>
              <w:rPr>
                <w:rFonts w:ascii="Times New Roman" w:eastAsia="Times New Roman" w:hAnsi="Times New Roman" w:cs="Times New Roman"/>
                <w:lang w:eastAsia="lv-LV"/>
              </w:rPr>
            </w:pPr>
          </w:p>
          <w:p w14:paraId="06025B7A" w14:textId="77777777" w:rsidR="0055138A" w:rsidRPr="000A20AD" w:rsidRDefault="0055138A" w:rsidP="009A68B7">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Valsts kanceleja:</w:t>
            </w:r>
          </w:p>
          <w:p w14:paraId="237C154A" w14:textId="77777777" w:rsidR="0055138A" w:rsidRPr="000A20AD" w:rsidRDefault="0055138A" w:rsidP="009A68B7">
            <w:pPr>
              <w:pStyle w:val="tv213"/>
              <w:shd w:val="clear" w:color="auto" w:fill="FFFFFF"/>
              <w:spacing w:before="0" w:beforeAutospacing="0" w:after="0" w:afterAutospacing="0"/>
              <w:rPr>
                <w:sz w:val="22"/>
                <w:szCs w:val="22"/>
              </w:rPr>
            </w:pPr>
            <w:r w:rsidRPr="000A20AD">
              <w:rPr>
                <w:sz w:val="22"/>
                <w:szCs w:val="22"/>
                <w:shd w:val="clear" w:color="auto" w:fill="FFFFFF"/>
              </w:rPr>
              <w:t xml:space="preserve">“Izslēgt no sākotnējās ietekmes ziņojuma (anotācijas) I sadaļas 2. punkta šādu tekstu: </w:t>
            </w:r>
            <w:r w:rsidRPr="000A20AD">
              <w:rPr>
                <w:sz w:val="22"/>
                <w:szCs w:val="22"/>
              </w:rPr>
              <w:t>"</w:t>
            </w:r>
            <w:proofErr w:type="gramStart"/>
            <w:r w:rsidRPr="000A20AD">
              <w:rPr>
                <w:sz w:val="22"/>
                <w:szCs w:val="22"/>
              </w:rPr>
              <w:t xml:space="preserve">Ja uz personu attieksies </w:t>
            </w:r>
            <w:r w:rsidRPr="000A20AD">
              <w:rPr>
                <w:bCs/>
                <w:sz w:val="22"/>
                <w:szCs w:val="22"/>
              </w:rPr>
              <w:t>izņēmumi atbilstoši</w:t>
            </w:r>
            <w:proofErr w:type="gramEnd"/>
            <w:r w:rsidRPr="000A20AD">
              <w:rPr>
                <w:bCs/>
                <w:sz w:val="22"/>
                <w:szCs w:val="22"/>
              </w:rPr>
              <w:t xml:space="preserve"> noteikumiem par pilsoņu iesaukšanu aktīvajā dienestā un iedzīvotāju mobilizāciju civilās aizsardzības formējumos un civilās aizsardzības pasākumu veikšanai</w:t>
            </w:r>
            <w:r w:rsidRPr="000A20AD">
              <w:rPr>
                <w:sz w:val="22"/>
                <w:szCs w:val="22"/>
              </w:rPr>
              <w:t>, to būs nepieciešams norādīt attiecīgajā amata aprakstā." Saskaņā ar Ministru kabineta 2010. gada 30. novembra noteikumu Nr. 1075 "Valsts un pašvaldību institūciju amatu katalogs" 11.</w:t>
            </w:r>
            <w:r w:rsidRPr="000A20AD">
              <w:rPr>
                <w:sz w:val="22"/>
                <w:szCs w:val="22"/>
                <w:vertAlign w:val="superscript"/>
              </w:rPr>
              <w:t>2</w:t>
            </w:r>
            <w:r w:rsidRPr="000A20AD">
              <w:rPr>
                <w:sz w:val="22"/>
                <w:szCs w:val="22"/>
              </w:rPr>
              <w:t> punktu un 1.</w:t>
            </w:r>
            <w:r w:rsidRPr="000A20AD">
              <w:rPr>
                <w:sz w:val="22"/>
                <w:szCs w:val="22"/>
                <w:vertAlign w:val="superscript"/>
              </w:rPr>
              <w:t>2</w:t>
            </w:r>
            <w:r w:rsidRPr="000A20AD">
              <w:rPr>
                <w:sz w:val="22"/>
                <w:szCs w:val="22"/>
              </w:rPr>
              <w:t xml:space="preserve"> pielikumu </w:t>
            </w:r>
            <w:r w:rsidRPr="000A20AD">
              <w:rPr>
                <w:sz w:val="22"/>
                <w:szCs w:val="22"/>
                <w:shd w:val="clear" w:color="auto" w:fill="FFFFFF"/>
              </w:rPr>
              <w:t xml:space="preserve">Valsts tiešās pārvaldes iestādēs amata aprakstā nenorāda informāciju par to vai uz noteikto amatu attiecas vai neattiecas izņēmumi par pilsoņu iesaukšanu dienestā un </w:t>
            </w:r>
            <w:r w:rsidRPr="000A20AD">
              <w:rPr>
                <w:bCs/>
                <w:sz w:val="22"/>
                <w:szCs w:val="22"/>
              </w:rPr>
              <w:t>iedzīvotāju mobilizāciju civilās aizsardzības formējumos un civilās aizsardzības pasākumu veikšanai.”</w:t>
            </w:r>
          </w:p>
          <w:p w14:paraId="6A4973AC" w14:textId="77777777" w:rsidR="0055138A" w:rsidRPr="000A20AD" w:rsidRDefault="0055138A" w:rsidP="009A68B7">
            <w:pPr>
              <w:widowControl w:val="0"/>
              <w:spacing w:after="0" w:line="240" w:lineRule="auto"/>
              <w:jc w:val="both"/>
              <w:rPr>
                <w:rFonts w:ascii="Times New Roman" w:eastAsia="Times New Roman" w:hAnsi="Times New Roman" w:cs="Times New Roman"/>
                <w:lang w:eastAsia="lv-LV"/>
              </w:rPr>
            </w:pPr>
          </w:p>
          <w:p w14:paraId="1EE78BBE" w14:textId="77777777" w:rsidR="0055138A" w:rsidRPr="000A20AD" w:rsidRDefault="0055138A" w:rsidP="009A68B7">
            <w:pPr>
              <w:pStyle w:val="Header"/>
              <w:tabs>
                <w:tab w:val="center" w:pos="709"/>
              </w:tabs>
              <w:jc w:val="both"/>
              <w:rPr>
                <w:rFonts w:ascii="Times New Roman" w:hAnsi="Times New Roman" w:cs="Times New Roman"/>
                <w:b/>
              </w:rPr>
            </w:pPr>
            <w:r w:rsidRPr="000A20AD">
              <w:rPr>
                <w:rFonts w:ascii="Times New Roman" w:hAnsi="Times New Roman" w:cs="Times New Roman"/>
                <w:b/>
              </w:rPr>
              <w:t>Tiesībsargs:</w:t>
            </w:r>
          </w:p>
          <w:p w14:paraId="33E8ADF9" w14:textId="77777777" w:rsidR="0055138A" w:rsidRPr="000A20AD" w:rsidRDefault="0055138A" w:rsidP="009A68B7">
            <w:pPr>
              <w:widowControl w:val="0"/>
              <w:spacing w:after="0" w:line="240" w:lineRule="auto"/>
              <w:jc w:val="both"/>
              <w:rPr>
                <w:rFonts w:ascii="Times New Roman" w:hAnsi="Times New Roman" w:cs="Times New Roman"/>
              </w:rPr>
            </w:pPr>
            <w:r w:rsidRPr="000A20AD">
              <w:rPr>
                <w:rFonts w:ascii="Times New Roman" w:hAnsi="Times New Roman" w:cs="Times New Roman"/>
              </w:rPr>
              <w:t xml:space="preserve">“Anotācijā (8.lp.) norādīts, </w:t>
            </w:r>
            <w:proofErr w:type="gramStart"/>
            <w:r w:rsidRPr="000A20AD">
              <w:rPr>
                <w:rFonts w:ascii="Times New Roman" w:hAnsi="Times New Roman" w:cs="Times New Roman"/>
              </w:rPr>
              <w:t>ja uz personu attieksies izņēmumi atbilstoši</w:t>
            </w:r>
            <w:proofErr w:type="gramEnd"/>
            <w:r w:rsidRPr="000A20AD">
              <w:rPr>
                <w:rFonts w:ascii="Times New Roman" w:hAnsi="Times New Roman" w:cs="Times New Roman"/>
              </w:rPr>
              <w:t xml:space="preserve"> noteikumiem par pilsoņu iesaukšanu aktīvajā dienestā un iedzīvotāju mobilizāciju civilās aizsardzības formējumos un civilās aizsardzības pasākumu veikšanai, to būs nepieciešams norādīt attiecīgajā amata aprakstā. Ņemot vērā to, ka aktīva iesaiste valsts aizsardzībā ir ne vien pilsoņa pienākums, bet arī tiesība, ir būtiski, lai personas, kuras kandidē uz attiecīgo amatu iestādē, kura nodrošina kritiskās infrastruktūras darbības nepārtrauktību, būtu informētas par šo tiesību īstenošanas ierobežojumu jau kandidējot uz vēlamo amatu. Proti, minētais ierobežojums var būt par iemeslu, kura dēļ persona var atteikties no kandidēšanas uz šāda veida amatu. Sevišķi aktuāls šis informēšanas pienākums varētu būt privātām juridiskām personām, kuru darbinieki nodrošina  kritiskās funkcijas darbības nepārtrauktību.”</w:t>
            </w:r>
          </w:p>
          <w:p w14:paraId="0066FAE9" w14:textId="77777777" w:rsidR="0055138A" w:rsidRPr="000A20AD" w:rsidRDefault="0055138A" w:rsidP="009A68B7">
            <w:pPr>
              <w:widowControl w:val="0"/>
              <w:spacing w:after="0" w:line="240" w:lineRule="auto"/>
              <w:jc w:val="both"/>
              <w:rPr>
                <w:rFonts w:ascii="Times New Roman" w:hAnsi="Times New Roman" w:cs="Times New Roman"/>
              </w:rPr>
            </w:pPr>
          </w:p>
          <w:p w14:paraId="09B45AC5" w14:textId="77777777" w:rsidR="0055138A" w:rsidRPr="000A20AD" w:rsidRDefault="0055138A" w:rsidP="009A68B7">
            <w:pPr>
              <w:spacing w:after="0" w:line="240" w:lineRule="auto"/>
              <w:rPr>
                <w:rFonts w:ascii="Times New Roman" w:hAnsi="Times New Roman" w:cs="Times New Roman"/>
                <w:b/>
              </w:rPr>
            </w:pPr>
            <w:r w:rsidRPr="000A20AD">
              <w:rPr>
                <w:rFonts w:ascii="Times New Roman" w:hAnsi="Times New Roman" w:cs="Times New Roman"/>
                <w:b/>
              </w:rPr>
              <w:t>Finanšu ministrija (priekšlikums):</w:t>
            </w:r>
          </w:p>
          <w:p w14:paraId="74B29429" w14:textId="670AEBCA" w:rsidR="0055138A" w:rsidRPr="000A20AD" w:rsidRDefault="0055138A" w:rsidP="00D23DA6">
            <w:pPr>
              <w:widowControl w:val="0"/>
              <w:spacing w:after="0" w:line="240" w:lineRule="auto"/>
              <w:jc w:val="both"/>
              <w:rPr>
                <w:rFonts w:ascii="Times New Roman" w:eastAsia="Times New Roman" w:hAnsi="Times New Roman" w:cs="Times New Roman"/>
                <w:b/>
                <w:lang w:eastAsia="lv-LV"/>
              </w:rPr>
            </w:pPr>
            <w:r w:rsidRPr="000A20AD">
              <w:rPr>
                <w:rFonts w:ascii="Times New Roman" w:hAnsi="Times New Roman" w:cs="Times New Roman"/>
              </w:rPr>
              <w:t>“Lūdzam skaidrot veidu, kā praktiski nodrošināt vienlaicīgu noteikumu projekta 13. punkta un 16.punkta ievērošanu, jo amata aprakstā (vispārpieejama informācija), nosakot amatu kā kritisko, nav iespējams pēc būtības nodrošināt informācijas par kritisko personālu ierobežotas pieejamības statusu.”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1EADB50" w14:textId="320AE593"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55703E90" w14:textId="77777777" w:rsidR="0055138A" w:rsidRPr="000A20AD" w:rsidRDefault="0055138A" w:rsidP="000807A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Precizēta noteikumu projekta 16. punkts un anotācija. Noteikumu projekta 17. punkts (precizēta numerācija) izteikts šādā redakcijā:</w:t>
            </w:r>
          </w:p>
          <w:p w14:paraId="4E1D0D1A" w14:textId="77777777" w:rsidR="0055138A" w:rsidRPr="000A20AD" w:rsidRDefault="0055138A" w:rsidP="000807A0">
            <w:pPr>
              <w:spacing w:after="0" w:line="240" w:lineRule="auto"/>
              <w:jc w:val="both"/>
              <w:rPr>
                <w:rFonts w:ascii="Times New Roman" w:hAnsi="Times New Roman" w:cs="Times New Roman"/>
              </w:rPr>
            </w:pPr>
            <w:r w:rsidRPr="000A20AD">
              <w:rPr>
                <w:rFonts w:ascii="Times New Roman" w:eastAsia="Times New Roman" w:hAnsi="Times New Roman" w:cs="Times New Roman"/>
                <w:lang w:eastAsia="lv-LV"/>
              </w:rPr>
              <w:t>“Valsts un pašvaldības institūcija, kā arī persona, kura nodrošina kritiskās infrastruktūras darbību vai kritisko finanšu nozares pakalpojumu nepārtrauktību, ir atbildīga par to, lai kritiskā personāla sarakstā iekļautā persona tiktu informēta par tai noteikto mobilizācijas izņēmumu</w:t>
            </w:r>
            <w:r w:rsidRPr="000A20AD">
              <w:rPr>
                <w:rFonts w:ascii="Times New Roman" w:hAnsi="Times New Roman" w:cs="Times New Roman"/>
              </w:rPr>
              <w:t xml:space="preserve">, kā arī informācija par </w:t>
            </w:r>
            <w:r w:rsidRPr="000A20AD">
              <w:rPr>
                <w:rFonts w:ascii="Times New Roman" w:eastAsia="Times New Roman" w:hAnsi="Times New Roman" w:cs="Times New Roman"/>
                <w:lang w:eastAsia="lv-LV"/>
              </w:rPr>
              <w:t xml:space="preserve">likumā </w:t>
            </w:r>
            <w:r w:rsidRPr="000A20AD">
              <w:rPr>
                <w:rFonts w:ascii="Times New Roman" w:hAnsi="Times New Roman" w:cs="Times New Roman"/>
              </w:rPr>
              <w:t>"Par ārkārtējo situāciju un izņēmuma stāvokli"</w:t>
            </w:r>
            <w:r w:rsidRPr="000A20AD">
              <w:rPr>
                <w:rFonts w:ascii="Times New Roman" w:eastAsia="Times New Roman" w:hAnsi="Times New Roman" w:cs="Times New Roman"/>
                <w:lang w:eastAsia="lv-LV"/>
              </w:rPr>
              <w:t xml:space="preserve"> </w:t>
            </w:r>
            <w:r w:rsidRPr="000A20AD">
              <w:rPr>
                <w:rFonts w:ascii="Times New Roman" w:hAnsi="Times New Roman" w:cs="Times New Roman"/>
              </w:rPr>
              <w:t>17. panta pirmās daļas 23. punktā noteikto aizliegumu.”</w:t>
            </w:r>
          </w:p>
          <w:p w14:paraId="4B8C82C6" w14:textId="77777777" w:rsidR="0055138A" w:rsidRPr="000A20AD" w:rsidRDefault="0055138A" w:rsidP="000807A0">
            <w:pPr>
              <w:spacing w:after="0" w:line="240" w:lineRule="auto"/>
              <w:jc w:val="both"/>
              <w:rPr>
                <w:rFonts w:ascii="Times New Roman" w:hAnsi="Times New Roman" w:cs="Times New Roman"/>
              </w:rPr>
            </w:pPr>
            <w:r w:rsidRPr="000A20AD">
              <w:rPr>
                <w:rFonts w:ascii="Times New Roman" w:hAnsi="Times New Roman" w:cs="Times New Roman"/>
              </w:rPr>
              <w:t>Tajā pašā laikā projekta anotācijā tiek precizēts, ka viens no informēšanas veidiem, ir šīs informācijas iekļaušana amata aprakstā.</w:t>
            </w:r>
          </w:p>
          <w:p w14:paraId="6881C815" w14:textId="77777777" w:rsidR="0055138A" w:rsidRPr="000A20AD" w:rsidRDefault="0055138A" w:rsidP="000807A0">
            <w:pPr>
              <w:spacing w:after="0" w:line="240" w:lineRule="auto"/>
              <w:jc w:val="both"/>
              <w:rPr>
                <w:rFonts w:ascii="Times New Roman" w:hAnsi="Times New Roman" w:cs="Times New Roman"/>
              </w:rPr>
            </w:pPr>
            <w:r w:rsidRPr="000A20AD">
              <w:rPr>
                <w:rFonts w:ascii="Times New Roman" w:hAnsi="Times New Roman" w:cs="Times New Roman"/>
              </w:rPr>
              <w:t xml:space="preserve">Saskaņā ar Ministru kabineta 2010. gada 30. novembra noteikumu Nr. 1075 "Valsts un </w:t>
            </w:r>
            <w:r w:rsidRPr="000A20AD">
              <w:rPr>
                <w:rFonts w:ascii="Times New Roman" w:hAnsi="Times New Roman" w:cs="Times New Roman"/>
              </w:rPr>
              <w:lastRenderedPageBreak/>
              <w:t>pašvaldību institūciju amatu katalogs" 11.</w:t>
            </w:r>
            <w:r w:rsidRPr="000A20AD">
              <w:rPr>
                <w:rFonts w:ascii="Times New Roman" w:hAnsi="Times New Roman" w:cs="Times New Roman"/>
                <w:vertAlign w:val="superscript"/>
              </w:rPr>
              <w:t xml:space="preserve">2 </w:t>
            </w:r>
            <w:r w:rsidRPr="000A20AD">
              <w:rPr>
                <w:rFonts w:ascii="Times New Roman" w:hAnsi="Times New Roman" w:cs="Times New Roman"/>
              </w:rPr>
              <w:t>15. punktu amata aprakstā tiek norādīta arī cita informācija par amatu, kas šajā gadījumā varētu arī tikt attiecināts uz informāciju par kritiskā personāla statusu.</w:t>
            </w:r>
          </w:p>
          <w:p w14:paraId="55E5CBE2" w14:textId="77777777" w:rsidR="0055138A" w:rsidRPr="000A20AD" w:rsidRDefault="0055138A" w:rsidP="000807A0">
            <w:pPr>
              <w:spacing w:after="0" w:line="240" w:lineRule="auto"/>
              <w:jc w:val="both"/>
              <w:rPr>
                <w:rFonts w:ascii="Times New Roman" w:eastAsia="Times New Roman" w:hAnsi="Times New Roman" w:cs="Times New Roman"/>
                <w:lang w:eastAsia="lv-LV"/>
              </w:rPr>
            </w:pPr>
            <w:r w:rsidRPr="000A20AD">
              <w:rPr>
                <w:rFonts w:ascii="Times New Roman" w:hAnsi="Times New Roman" w:cs="Times New Roman"/>
              </w:rPr>
              <w:t xml:space="preserve">Vienlaikus šīs normas ieviešana ir skatāma kontekstā ar </w:t>
            </w:r>
            <w:r w:rsidRPr="000A20AD">
              <w:rPr>
                <w:rFonts w:ascii="Times New Roman" w:eastAsia="Times New Roman" w:hAnsi="Times New Roman" w:cs="Times New Roman"/>
                <w:lang w:eastAsia="lv-LV"/>
              </w:rPr>
              <w:t>Grozījumiem Ministru kabineta 2010. gada 1. jūnija noteikumos Nr. 496 “Kritiskās infrastruktūras, tajā skaitā Eiropas kritiskās infrastruktūras, apzināšanas un drošības pasākumu plānošanas un īstenošanas kārtība” (VSS-57), kas ir norādīts precizētajā noteikumu anotācijas redakcijā.</w:t>
            </w:r>
          </w:p>
          <w:p w14:paraId="6BCB7969" w14:textId="77777777" w:rsidR="0055138A" w:rsidRPr="000A20AD" w:rsidRDefault="0055138A" w:rsidP="000807A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Tāpat precizēta noteikumu projekta anotācija šādā redakcijā:</w:t>
            </w:r>
          </w:p>
          <w:p w14:paraId="77FDA8F4" w14:textId="77777777" w:rsidR="0055138A" w:rsidRPr="000A20AD" w:rsidRDefault="0055138A" w:rsidP="000807A0">
            <w:pPr>
              <w:spacing w:after="0" w:line="240" w:lineRule="auto"/>
              <w:jc w:val="both"/>
              <w:rPr>
                <w:rFonts w:ascii="Times New Roman" w:hAnsi="Times New Roman" w:cs="Times New Roman"/>
              </w:rPr>
            </w:pPr>
            <w:r w:rsidRPr="000A20AD">
              <w:rPr>
                <w:rFonts w:ascii="Times New Roman" w:eastAsia="Times New Roman" w:hAnsi="Times New Roman" w:cs="Times New Roman"/>
                <w:lang w:eastAsia="lv-LV"/>
              </w:rPr>
              <w:t>“</w:t>
            </w:r>
            <w:r w:rsidRPr="000A20AD">
              <w:t xml:space="preserve"> </w:t>
            </w:r>
            <w:r w:rsidRPr="000A20AD">
              <w:rPr>
                <w:rFonts w:ascii="Times New Roman" w:hAnsi="Times New Roman" w:cs="Times New Roman"/>
              </w:rPr>
              <w:t xml:space="preserve">Ja uz personu attieksies izņēmumi atbilstoši noteikumiem par pilsoņu iesaukšanu aktīvajā dienestā un iedzīvotāju mobilizāciju civilās aizsardzības formējumos un civilās aizsardzības pasākumu veikšanai, to nepieciešams informēt attiecīgo personu, piemēram, attiecīgo informāciju norādot amatu aprakstā, iekļaujot darba līgumā, to nosakot ar atsevišķu iestādes izdotu iekšēju rīkojumu </w:t>
            </w:r>
            <w:proofErr w:type="gramStart"/>
            <w:r w:rsidRPr="000A20AD">
              <w:rPr>
                <w:rFonts w:ascii="Times New Roman" w:hAnsi="Times New Roman" w:cs="Times New Roman"/>
              </w:rPr>
              <w:t>(</w:t>
            </w:r>
            <w:proofErr w:type="gramEnd"/>
            <w:r w:rsidRPr="000A20AD">
              <w:rPr>
                <w:rFonts w:ascii="Times New Roman" w:hAnsi="Times New Roman" w:cs="Times New Roman"/>
              </w:rPr>
              <w:t xml:space="preserve">piemēram, par kritisko personālu) vai citādi. Tāpat ņemot </w:t>
            </w:r>
            <w:r w:rsidRPr="000A20AD">
              <w:rPr>
                <w:rFonts w:ascii="Times New Roman" w:hAnsi="Times New Roman" w:cs="Times New Roman"/>
              </w:rPr>
              <w:lastRenderedPageBreak/>
              <w:t>vērā, ka valsts un pašvaldību iestāžu amatu amatpersonu un darbinieku apraksti nav nosakāmi kā ierobežotas pieejas informācija, par ierobežotas pieejamības informāciju ir uzskatāms apkopots kritiskā personāla saraksts, nevis informācija par individuāliem valsts vai pašvaldību iestāžu amatiem.”</w:t>
            </w:r>
          </w:p>
          <w:p w14:paraId="29EC4DA0" w14:textId="671616A9" w:rsidR="0055138A" w:rsidRPr="000A20AD" w:rsidRDefault="0055138A" w:rsidP="00D23DA6">
            <w:pPr>
              <w:spacing w:after="0" w:line="240" w:lineRule="auto"/>
              <w:jc w:val="both"/>
              <w:rPr>
                <w:rFonts w:ascii="Times New Roman" w:eastAsia="Times New Roman" w:hAnsi="Times New Roman" w:cs="Times New Roman"/>
                <w:lang w:eastAsia="lv-LV"/>
              </w:rPr>
            </w:pPr>
          </w:p>
        </w:tc>
      </w:tr>
      <w:tr w:rsidR="0055138A" w:rsidRPr="000A20AD" w14:paraId="35AE4C7E"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4C182B1D" w14:textId="77777777" w:rsidR="0055138A" w:rsidRPr="000A20AD" w:rsidRDefault="0055138A" w:rsidP="004F5549">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63ADEDC" w14:textId="278F0CF2" w:rsidR="0055138A" w:rsidRPr="000A20AD" w:rsidRDefault="0055138A" w:rsidP="004F5549">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16.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63A1681F" w14:textId="77777777" w:rsidR="0055138A" w:rsidRPr="000A20AD" w:rsidRDefault="0055138A" w:rsidP="009A68B7">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Veselības ministrija:</w:t>
            </w:r>
          </w:p>
          <w:p w14:paraId="2B848A45" w14:textId="42246273" w:rsidR="0055138A" w:rsidRPr="000A20AD" w:rsidRDefault="0055138A" w:rsidP="004F5549">
            <w:pPr>
              <w:widowControl w:val="0"/>
              <w:spacing w:after="0" w:line="240" w:lineRule="auto"/>
              <w:jc w:val="both"/>
              <w:rPr>
                <w:rFonts w:ascii="Times New Roman" w:eastAsia="Times New Roman" w:hAnsi="Times New Roman" w:cs="Times New Roman"/>
                <w:b/>
                <w:lang w:eastAsia="lv-LV"/>
              </w:rPr>
            </w:pPr>
            <w:r w:rsidRPr="000A20AD">
              <w:rPr>
                <w:rFonts w:ascii="Times New Roman" w:eastAsia="Times New Roman" w:hAnsi="Times New Roman" w:cs="Times New Roman"/>
                <w:lang w:eastAsia="lv-LV"/>
              </w:rPr>
              <w:t>Lūdzam precizēt Noteikumu projekta 16. punktu, nosakot termiņu grozījumu veikšanai kritiskā personāla amata aprakstā, pēc līdzības ar Noteikumu projekta 18. punktu.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6B94592" w14:textId="55998C61" w:rsidR="0055138A" w:rsidRPr="000A20AD" w:rsidRDefault="0055138A" w:rsidP="00244C0E">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5CAEB6F9" w14:textId="0C20E29C" w:rsidR="0055138A" w:rsidRPr="000A20AD" w:rsidRDefault="0055138A" w:rsidP="004F5549">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Precizēta noteikumu projekta redakcija, izslēdzot kā obligātu prasību nepieciešamību informāciju par mobilizācijas izņēmumu iekļaut amatu aprakstā, vienlaikus nosakot atbildību informēt kritiskā personāla sarakstā iekļautās personas par tām noteikto mobilizācijas izņēmumu. Attiecīgais termiņš normas ieviešanai uzskatāms par saskaņotu ar noteikumu projekta 18. punktā noteikto.</w:t>
            </w:r>
          </w:p>
        </w:tc>
      </w:tr>
      <w:tr w:rsidR="0055138A" w:rsidRPr="000A20AD" w14:paraId="5FC4CE4E"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321C8665" w14:textId="77777777" w:rsidR="0055138A" w:rsidRPr="000A20AD" w:rsidRDefault="0055138A" w:rsidP="002B15FE">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5CB15A" w14:textId="403B1229" w:rsidR="0055138A" w:rsidRPr="000A20AD" w:rsidRDefault="0055138A" w:rsidP="00E77655">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17.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35349579" w14:textId="77777777" w:rsidR="0055138A" w:rsidRPr="000A20AD" w:rsidRDefault="0055138A" w:rsidP="009A68B7">
            <w:pPr>
              <w:pStyle w:val="Header"/>
              <w:tabs>
                <w:tab w:val="center" w:pos="709"/>
              </w:tabs>
              <w:jc w:val="both"/>
              <w:rPr>
                <w:rFonts w:ascii="Times New Roman" w:hAnsi="Times New Roman" w:cs="Times New Roman"/>
                <w:b/>
              </w:rPr>
            </w:pPr>
            <w:r w:rsidRPr="000A20AD">
              <w:rPr>
                <w:rFonts w:ascii="Times New Roman" w:hAnsi="Times New Roman" w:cs="Times New Roman"/>
                <w:b/>
              </w:rPr>
              <w:t>Tieslietu ministrija:</w:t>
            </w:r>
          </w:p>
          <w:p w14:paraId="3D570FFC" w14:textId="77777777" w:rsidR="0055138A" w:rsidRPr="000A20AD" w:rsidRDefault="0055138A" w:rsidP="009A68B7">
            <w:pPr>
              <w:pStyle w:val="Header"/>
              <w:tabs>
                <w:tab w:val="center" w:pos="709"/>
              </w:tabs>
              <w:jc w:val="both"/>
              <w:rPr>
                <w:rFonts w:ascii="Times New Roman" w:hAnsi="Times New Roman" w:cs="Times New Roman"/>
              </w:rPr>
            </w:pPr>
            <w:r w:rsidRPr="000A20AD">
              <w:rPr>
                <w:rFonts w:ascii="Times New Roman" w:hAnsi="Times New Roman" w:cs="Times New Roman"/>
              </w:rPr>
              <w:t>Projekta 17. punktu nepieciešams svītrot, jo šāda norma neatbilst likumprojektā paredzētajam pilnvarojumam, turklāt tā dublē likumprojektā paredzēto likuma 14.1 panta otro daļu. Ministru kabinets ar noteikumiem nevar sev pilnvarot papildu tiesības. Papildus norādām, ka projekta 17. punktā nav saprotami vārdi “papildu šo noteikumu otrajā un trešajā daļā noteiktajam”, jo noteikumos nav daļas.</w:t>
            </w:r>
          </w:p>
          <w:p w14:paraId="500D05E5" w14:textId="77777777" w:rsidR="0055138A" w:rsidRPr="000A20AD" w:rsidRDefault="0055138A" w:rsidP="009A68B7">
            <w:pPr>
              <w:pStyle w:val="Header"/>
              <w:tabs>
                <w:tab w:val="center" w:pos="709"/>
              </w:tabs>
              <w:jc w:val="both"/>
              <w:rPr>
                <w:rFonts w:ascii="Times New Roman" w:hAnsi="Times New Roman" w:cs="Times New Roman"/>
              </w:rPr>
            </w:pPr>
          </w:p>
          <w:p w14:paraId="1EA809BF" w14:textId="77777777" w:rsidR="0055138A" w:rsidRPr="000A20AD" w:rsidRDefault="0055138A" w:rsidP="009A68B7">
            <w:pPr>
              <w:pStyle w:val="Header"/>
              <w:tabs>
                <w:tab w:val="center" w:pos="709"/>
              </w:tabs>
              <w:jc w:val="both"/>
              <w:rPr>
                <w:rFonts w:ascii="Times New Roman" w:hAnsi="Times New Roman" w:cs="Times New Roman"/>
                <w:b/>
              </w:rPr>
            </w:pPr>
            <w:r w:rsidRPr="000A20AD">
              <w:rPr>
                <w:rFonts w:ascii="Times New Roman" w:hAnsi="Times New Roman" w:cs="Times New Roman"/>
                <w:b/>
              </w:rPr>
              <w:t>Tiesībsargs:</w:t>
            </w:r>
          </w:p>
          <w:p w14:paraId="7E0C894E" w14:textId="2F8A98EA" w:rsidR="0055138A" w:rsidRPr="000A20AD" w:rsidRDefault="0055138A" w:rsidP="00E76148">
            <w:pPr>
              <w:widowControl w:val="0"/>
              <w:spacing w:after="0" w:line="240" w:lineRule="auto"/>
              <w:jc w:val="both"/>
              <w:rPr>
                <w:rFonts w:ascii="Times New Roman" w:eastAsia="Times New Roman" w:hAnsi="Times New Roman" w:cs="Times New Roman"/>
                <w:lang w:eastAsia="lv-LV"/>
              </w:rPr>
            </w:pPr>
            <w:r w:rsidRPr="000A20AD">
              <w:rPr>
                <w:rFonts w:ascii="Times New Roman" w:hAnsi="Times New Roman" w:cs="Times New Roman"/>
              </w:rPr>
              <w:t>“Projekta 17.punktā noteikts, ka atkarībā no konkrētā valsts apdraudējuma veida, tā intensitātes un rakstura Ministru kabinets, pamatojoties uz operacionālo nepieciešamību, var lemt par izņēmumiem pilsoņu iesaukšanai aktīvajā dienestā un iedzīvotāju mobilizāciju civilās aizsardzības formējumos un civilās aizsardzības pasākumu veikšanai,</w:t>
            </w:r>
            <w:proofErr w:type="gramStart"/>
            <w:r w:rsidRPr="000A20AD">
              <w:rPr>
                <w:rFonts w:ascii="Times New Roman" w:hAnsi="Times New Roman" w:cs="Times New Roman"/>
              </w:rPr>
              <w:t xml:space="preserve">  </w:t>
            </w:r>
            <w:proofErr w:type="gramEnd"/>
            <w:r w:rsidRPr="000A20AD">
              <w:rPr>
                <w:rFonts w:ascii="Times New Roman" w:hAnsi="Times New Roman" w:cs="Times New Roman"/>
              </w:rPr>
              <w:t xml:space="preserve">papildu šo noteikumu otrajā un trešajā daļā noteiktajam. No minētās redakcijas nav viennozīmīgi saprotams, vai tiek noteiktas Ministru kabineta tiesības bez papildus nosacījumiem paplašināt no mobilizācijas pienākuma atbrīvoto personu loku vai brīvi noteikt jomas, kuras var tikt atzītas par valsts darbībai kritiski nepieciešamām. Vienlaikus var secināt, ka Ministru kabinetam tiek paredzētas tiesības lemt par izņēmumu noteikšanu attiecībā uz personām par kuru atbrīvošanu no mobilizācijas pienākuma vienreiz jau ir lemts. Pirmajā gadījumā Ministru kabinetam tiek piešķirta neierobežota rīcības brīvība, un Projekts pēc būtības zaudē jēgu, jo pieļauj iespēju neievērot tajā noteiktos kritērijus. Savukārt otrajā gadījumā vēršu uzmanību, ka personām, izņemot Mobilizācijas likuma 14.1 panta pirmajā daļa uzskaitītajām, nav piešķirtas subjektīvas tiesības tikt atbrīvotām no mobilizācijas pienākuma. Proti, ja Ministru kabinets nelemj par kādas personu grupas atbrīvošanu no mobilizācijas pienākuma vai arī atceļ savu lēmumu pilnībā vai daļā attiecībā uz </w:t>
            </w:r>
            <w:r w:rsidRPr="000A20AD">
              <w:rPr>
                <w:rFonts w:ascii="Times New Roman" w:hAnsi="Times New Roman" w:cs="Times New Roman"/>
              </w:rPr>
              <w:lastRenderedPageBreak/>
              <w:t>kādu no personu grupām, tam kļūst saistošs Mobilizācijas likumā noteiktie pienākumi. Līdz ar to, ja Projekta 17.punktā ir paredzētas Ministru kabineta tiesības grozīt vai atcelt sākotnējo lēmumu par personu atbrīvošanu no mobilizācijas pienākuma, tas būtu redakcionāli pilnveidojams.”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1FC7DB5" w14:textId="2280BCDD" w:rsidR="0055138A" w:rsidRPr="000A20AD" w:rsidRDefault="0055138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shd w:val="clear" w:color="auto" w:fill="auto"/>
          </w:tcPr>
          <w:p w14:paraId="0E6F52B6" w14:textId="3282DC29" w:rsidR="0055138A" w:rsidRPr="000A20AD" w:rsidRDefault="0055138A" w:rsidP="005A3951">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projekts precizēts, svītrojot projekta 17. punktu.</w:t>
            </w:r>
          </w:p>
        </w:tc>
      </w:tr>
      <w:tr w:rsidR="0055138A" w:rsidRPr="000A20AD" w14:paraId="18C64A99" w14:textId="77777777" w:rsidTr="00982C0F">
        <w:tc>
          <w:tcPr>
            <w:tcW w:w="843" w:type="dxa"/>
            <w:tcBorders>
              <w:top w:val="single" w:sz="6" w:space="0" w:color="000000"/>
              <w:left w:val="single" w:sz="6" w:space="0" w:color="000000"/>
              <w:bottom w:val="single" w:sz="6" w:space="0" w:color="000000"/>
              <w:right w:val="single" w:sz="4" w:space="0" w:color="auto"/>
            </w:tcBorders>
            <w:shd w:val="clear" w:color="auto" w:fill="auto"/>
          </w:tcPr>
          <w:p w14:paraId="3D48804A" w14:textId="77777777" w:rsidR="0055138A" w:rsidRPr="000A20AD" w:rsidRDefault="0055138A" w:rsidP="00030682">
            <w:pPr>
              <w:numPr>
                <w:ilvl w:val="0"/>
                <w:numId w:val="1"/>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16E6C3A" w14:textId="2BFF3F32" w:rsidR="0055138A" w:rsidRPr="000A20AD" w:rsidRDefault="0055138A" w:rsidP="00030682">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Noteikuma projekta 18. un 19.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70A6927C" w14:textId="77777777" w:rsidR="0055138A" w:rsidRPr="000A20AD" w:rsidRDefault="0055138A" w:rsidP="009A68B7">
            <w:pPr>
              <w:pStyle w:val="Header"/>
              <w:tabs>
                <w:tab w:val="center" w:pos="709"/>
              </w:tabs>
              <w:jc w:val="both"/>
              <w:rPr>
                <w:rFonts w:ascii="Times New Roman" w:hAnsi="Times New Roman" w:cs="Times New Roman"/>
                <w:b/>
              </w:rPr>
            </w:pPr>
            <w:r w:rsidRPr="000A20AD">
              <w:rPr>
                <w:rFonts w:ascii="Times New Roman" w:hAnsi="Times New Roman" w:cs="Times New Roman"/>
                <w:b/>
              </w:rPr>
              <w:t>Tieslietu ministrija:</w:t>
            </w:r>
          </w:p>
          <w:p w14:paraId="414EA28C" w14:textId="77777777" w:rsidR="0055138A" w:rsidRPr="000A20AD" w:rsidRDefault="0055138A" w:rsidP="009A68B7">
            <w:pPr>
              <w:pStyle w:val="Header"/>
              <w:tabs>
                <w:tab w:val="center" w:pos="709"/>
              </w:tabs>
              <w:jc w:val="both"/>
              <w:rPr>
                <w:rFonts w:ascii="Times New Roman" w:hAnsi="Times New Roman" w:cs="Times New Roman"/>
              </w:rPr>
            </w:pPr>
            <w:r w:rsidRPr="000A20AD">
              <w:rPr>
                <w:rFonts w:ascii="Times New Roman" w:hAnsi="Times New Roman" w:cs="Times New Roman"/>
              </w:rPr>
              <w:t xml:space="preserve">“Projekta 18. punktu </w:t>
            </w:r>
            <w:proofErr w:type="gramStart"/>
            <w:r w:rsidRPr="000A20AD">
              <w:rPr>
                <w:rFonts w:ascii="Times New Roman" w:hAnsi="Times New Roman" w:cs="Times New Roman"/>
              </w:rPr>
              <w:t>nepieciešams precizēt</w:t>
            </w:r>
            <w:proofErr w:type="gramEnd"/>
            <w:r w:rsidRPr="000A20AD">
              <w:rPr>
                <w:rFonts w:ascii="Times New Roman" w:hAnsi="Times New Roman" w:cs="Times New Roman"/>
              </w:rPr>
              <w:t>, korekti nosakot iestādēm un komersantiem paredzētos uzdevumus un to izpildes termiņus. Vēršam uzmanību, ka šobrīd uzdevums neparedz sākotnējo sarakstu iesniegšanu Nacionālo bruņoto spēku rezerves uzskaites struktūrvienībā.</w:t>
            </w:r>
          </w:p>
          <w:p w14:paraId="00BEA650" w14:textId="77777777" w:rsidR="0055138A" w:rsidRPr="000A20AD" w:rsidRDefault="0055138A" w:rsidP="009A68B7">
            <w:pPr>
              <w:pStyle w:val="Header"/>
              <w:tabs>
                <w:tab w:val="center" w:pos="709"/>
              </w:tabs>
              <w:jc w:val="both"/>
              <w:rPr>
                <w:rFonts w:ascii="Times New Roman" w:hAnsi="Times New Roman" w:cs="Times New Roman"/>
              </w:rPr>
            </w:pPr>
            <w:r w:rsidRPr="000A20AD">
              <w:rPr>
                <w:rFonts w:ascii="Times New Roman" w:hAnsi="Times New Roman" w:cs="Times New Roman"/>
              </w:rPr>
              <w:t xml:space="preserve">Projekta nodaļā “Noslēguma jautājums” punktu par noteikumu spēkā stāšanos nepieciešams iekļaut vienotā punktu numerācijā, proti, tas šobrīd būtu projekta 19. punkts. Vienlaikus nepieciešams precizēt nodaļas nosaukumu, izsakot to daudzskaitlī. Papildus norādām, ka noteikumu spēkā stāšanās termiņš jāsaskaņo ar likumprojektā noteikto likuma grozījumu kopumā spēkā stāšanās laiku, jo Ministru kabineta noteikumi nevar stāties spēkā </w:t>
            </w:r>
            <w:proofErr w:type="gramStart"/>
            <w:r w:rsidRPr="000A20AD">
              <w:rPr>
                <w:rFonts w:ascii="Times New Roman" w:hAnsi="Times New Roman" w:cs="Times New Roman"/>
              </w:rPr>
              <w:t>ātrāk kā</w:t>
            </w:r>
            <w:proofErr w:type="gramEnd"/>
            <w:r w:rsidRPr="000A20AD">
              <w:rPr>
                <w:rFonts w:ascii="Times New Roman" w:hAnsi="Times New Roman" w:cs="Times New Roman"/>
              </w:rPr>
              <w:t xml:space="preserve"> šo noteikumu izdošanas likuma pilnvarojuma norma, proti, nepieciešamības gadījumā projektā jāprecizē šis termiņš.”</w:t>
            </w:r>
          </w:p>
          <w:p w14:paraId="2CFEE92F" w14:textId="77777777" w:rsidR="0055138A" w:rsidRPr="000A20AD" w:rsidRDefault="0055138A" w:rsidP="009A68B7">
            <w:pPr>
              <w:pStyle w:val="Header"/>
              <w:tabs>
                <w:tab w:val="center" w:pos="709"/>
              </w:tabs>
              <w:jc w:val="both"/>
              <w:rPr>
                <w:rFonts w:ascii="Times New Roman" w:hAnsi="Times New Roman" w:cs="Times New Roman"/>
                <w:b/>
              </w:rPr>
            </w:pPr>
            <w:r w:rsidRPr="000A20AD">
              <w:rPr>
                <w:rFonts w:ascii="Times New Roman" w:hAnsi="Times New Roman" w:cs="Times New Roman"/>
                <w:b/>
              </w:rPr>
              <w:t>Nacionālā elektronisko plašsaziņas līdzekļu padome:</w:t>
            </w:r>
          </w:p>
          <w:p w14:paraId="243AC2A4" w14:textId="4A448AAA" w:rsidR="0055138A" w:rsidRPr="000A20AD" w:rsidRDefault="0055138A" w:rsidP="00030682">
            <w:pPr>
              <w:widowControl w:val="0"/>
              <w:spacing w:after="0" w:line="240" w:lineRule="auto"/>
              <w:jc w:val="both"/>
              <w:rPr>
                <w:rFonts w:ascii="Times New Roman" w:eastAsia="Times New Roman" w:hAnsi="Times New Roman" w:cs="Times New Roman"/>
                <w:lang w:eastAsia="lv-LV"/>
              </w:rPr>
            </w:pPr>
            <w:r w:rsidRPr="000A20AD">
              <w:rPr>
                <w:rFonts w:ascii="Times New Roman" w:hAnsi="Times New Roman" w:cs="Times New Roman"/>
                <w:color w:val="000000"/>
              </w:rPr>
              <w:t>“Precizēt noteikumu projekta 18.punktā vārdus "ne vēlāk kā gada laikā pēc notiekumu spēkā stāšanas", izsakot tos šādā redakcijā "ne vēlāk kā gada laikā pēc noteikumu spēkā stāšanās".”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D49D1AF" w14:textId="0785F69F" w:rsidR="0055138A" w:rsidRPr="000A20AD" w:rsidRDefault="0055138A" w:rsidP="00385089">
            <w:pPr>
              <w:spacing w:after="0" w:line="240" w:lineRule="auto"/>
              <w:jc w:val="center"/>
              <w:rPr>
                <w:rFonts w:ascii="Times New Roman" w:eastAsia="Times New Roman" w:hAnsi="Times New Roman" w:cs="Times New Roman"/>
                <w:lang w:eastAsia="lv-LV"/>
              </w:rPr>
            </w:pPr>
            <w:r w:rsidRPr="000A20AD">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3952ED7B" w14:textId="77777777" w:rsidR="0055138A" w:rsidRPr="000A20AD" w:rsidRDefault="0055138A" w:rsidP="005F5380">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projekts precizēts šādā redakcijā:</w:t>
            </w:r>
          </w:p>
          <w:p w14:paraId="3D6D589B" w14:textId="77777777" w:rsidR="0055138A" w:rsidRPr="000A20AD" w:rsidRDefault="0055138A" w:rsidP="0031739C">
            <w:pPr>
              <w:spacing w:after="0" w:line="240" w:lineRule="auto"/>
              <w:jc w:val="both"/>
              <w:rPr>
                <w:rFonts w:ascii="Times New Roman" w:hAnsi="Times New Roman" w:cs="Times New Roman"/>
              </w:rPr>
            </w:pPr>
            <w:r w:rsidRPr="000A20AD">
              <w:rPr>
                <w:rFonts w:ascii="Times New Roman" w:eastAsia="Times New Roman" w:hAnsi="Times New Roman" w:cs="Times New Roman"/>
                <w:lang w:eastAsia="lv-LV"/>
              </w:rPr>
              <w:t>“17. Valsts un pašvaldības institūcija, kā arī persona, kura nodrošina kritiskās infrastruktūras darbības nepārtrauktību vai kritisko finanšu nozares pakalpojumu pieejamību, ir atbildīga par to, lai kritiskā personāla sarakstā iekļautā persona tiktu informēta par tai noteikto mobilizācijas izņēmumu</w:t>
            </w:r>
            <w:r w:rsidRPr="000A20AD">
              <w:rPr>
                <w:rFonts w:ascii="Times New Roman" w:hAnsi="Times New Roman" w:cs="Times New Roman"/>
              </w:rPr>
              <w:t xml:space="preserve">, kā arī par </w:t>
            </w:r>
            <w:r w:rsidRPr="000A20AD">
              <w:rPr>
                <w:rFonts w:ascii="Times New Roman" w:eastAsia="Times New Roman" w:hAnsi="Times New Roman" w:cs="Times New Roman"/>
                <w:lang w:eastAsia="lv-LV"/>
              </w:rPr>
              <w:t xml:space="preserve">likumā </w:t>
            </w:r>
            <w:r w:rsidRPr="000A20AD">
              <w:rPr>
                <w:rFonts w:ascii="Times New Roman" w:hAnsi="Times New Roman" w:cs="Times New Roman"/>
              </w:rPr>
              <w:t>"Par ārkārtējo situāciju un izņēmuma stāvokli"</w:t>
            </w:r>
            <w:r w:rsidRPr="000A20AD">
              <w:rPr>
                <w:rFonts w:ascii="Times New Roman" w:eastAsia="Times New Roman" w:hAnsi="Times New Roman" w:cs="Times New Roman"/>
                <w:lang w:eastAsia="lv-LV"/>
              </w:rPr>
              <w:t xml:space="preserve"> </w:t>
            </w:r>
            <w:r w:rsidRPr="000A20AD">
              <w:rPr>
                <w:rFonts w:ascii="Times New Roman" w:hAnsi="Times New Roman" w:cs="Times New Roman"/>
              </w:rPr>
              <w:t>17. panta pirmās daļas 23. punktā noteikto aizliegumu.</w:t>
            </w:r>
          </w:p>
          <w:p w14:paraId="26ED12BE" w14:textId="77777777" w:rsidR="0055138A" w:rsidRPr="000A20AD" w:rsidRDefault="0055138A" w:rsidP="0031739C">
            <w:pPr>
              <w:spacing w:after="0" w:line="240" w:lineRule="auto"/>
              <w:rPr>
                <w:rFonts w:ascii="Times New Roman" w:eastAsia="Times New Roman" w:hAnsi="Times New Roman" w:cs="Times New Roman"/>
                <w:lang w:eastAsia="lv-LV"/>
              </w:rPr>
            </w:pPr>
          </w:p>
          <w:p w14:paraId="6FF4D418" w14:textId="77777777" w:rsidR="0055138A" w:rsidRPr="000A20AD" w:rsidRDefault="0055138A" w:rsidP="0031739C">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IV. Noslēguma jautājums</w:t>
            </w:r>
          </w:p>
          <w:p w14:paraId="1E798B17" w14:textId="77777777" w:rsidR="0055138A" w:rsidRPr="000A20AD" w:rsidRDefault="0055138A" w:rsidP="0031739C">
            <w:pPr>
              <w:spacing w:after="0" w:line="240" w:lineRule="auto"/>
              <w:jc w:val="both"/>
              <w:rPr>
                <w:rFonts w:ascii="Times New Roman" w:eastAsia="Times New Roman" w:hAnsi="Times New Roman" w:cs="Times New Roman"/>
                <w:lang w:eastAsia="lv-LV"/>
              </w:rPr>
            </w:pPr>
          </w:p>
          <w:p w14:paraId="13FE2B0D" w14:textId="37D9BA43" w:rsidR="0055138A" w:rsidRPr="000A20AD" w:rsidRDefault="0055138A" w:rsidP="00431514">
            <w:pPr>
              <w:spacing w:after="0" w:line="240" w:lineRule="auto"/>
              <w:jc w:val="both"/>
              <w:rPr>
                <w:rFonts w:ascii="Times New Roman" w:hAnsi="Times New Roman" w:cs="Times New Roman"/>
              </w:rPr>
            </w:pPr>
            <w:r w:rsidRPr="000A20AD">
              <w:rPr>
                <w:rFonts w:ascii="Times New Roman" w:hAnsi="Times New Roman" w:cs="Times New Roman"/>
                <w:shd w:val="clear" w:color="auto" w:fill="FFFFFF"/>
              </w:rPr>
              <w:t xml:space="preserve">18. Valsts un pašvaldības institūcijas, kā arī personas, kura nodrošina kritiskās funkcijas veikšanu, ne vēlāk kā gada laikā pēc notiekumu spēkā stāšanās izstrādā kritiskā personāla sarakstus un iesniedz tos </w:t>
            </w:r>
            <w:r w:rsidRPr="000A20AD">
              <w:rPr>
                <w:rFonts w:ascii="Times New Roman" w:hAnsi="Times New Roman" w:cs="Times New Roman"/>
              </w:rPr>
              <w:t xml:space="preserve">Nacionālo bruņoto </w:t>
            </w:r>
            <w:r w:rsidRPr="000A20AD">
              <w:rPr>
                <w:rFonts w:ascii="Times New Roman" w:hAnsi="Times New Roman" w:cs="Times New Roman"/>
              </w:rPr>
              <w:lastRenderedPageBreak/>
              <w:t>spēku rezerves uzskaites struktūrvienībai</w:t>
            </w:r>
            <w:r w:rsidRPr="000A20AD">
              <w:rPr>
                <w:rFonts w:ascii="Times New Roman" w:hAnsi="Times New Roman" w:cs="Times New Roman"/>
                <w:shd w:val="clear" w:color="auto" w:fill="FFFFFF"/>
              </w:rPr>
              <w:t>.”</w:t>
            </w:r>
          </w:p>
        </w:tc>
      </w:tr>
    </w:tbl>
    <w:p w14:paraId="4C64EF3A" w14:textId="205AB737" w:rsidR="00634874" w:rsidRPr="000A20AD" w:rsidRDefault="00634874" w:rsidP="001440AD">
      <w:pPr>
        <w:spacing w:after="0" w:line="240" w:lineRule="auto"/>
        <w:rPr>
          <w:rFonts w:ascii="Times New Roman" w:eastAsia="Times New Roman" w:hAnsi="Times New Roman" w:cs="Times New Roman"/>
          <w:lang w:eastAsia="lv-LV"/>
        </w:rPr>
      </w:pPr>
    </w:p>
    <w:p w14:paraId="53336E67" w14:textId="77777777" w:rsidR="004B46FD" w:rsidRPr="000A20AD" w:rsidRDefault="004B46FD" w:rsidP="001440AD">
      <w:pPr>
        <w:spacing w:after="0" w:line="240" w:lineRule="auto"/>
        <w:rPr>
          <w:rFonts w:ascii="Times New Roman" w:eastAsia="Times New Roman" w:hAnsi="Times New Roman" w:cs="Times New Roman"/>
          <w:lang w:eastAsia="lv-LV"/>
        </w:rPr>
      </w:pPr>
    </w:p>
    <w:p w14:paraId="2CCD97CE" w14:textId="3D785516" w:rsidR="001440AD" w:rsidRPr="000A20AD" w:rsidRDefault="001440AD" w:rsidP="001440AD">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Priekšlikumi</w:t>
      </w:r>
    </w:p>
    <w:p w14:paraId="3BBCF41D" w14:textId="1B2D8351" w:rsidR="001440AD" w:rsidRPr="000A20AD" w:rsidRDefault="001440AD" w:rsidP="00181D09">
      <w:pPr>
        <w:spacing w:after="0" w:line="240" w:lineRule="auto"/>
        <w:rPr>
          <w:rFonts w:ascii="Times New Roman" w:eastAsia="Times New Roman" w:hAnsi="Times New Roman" w:cs="Times New Roman"/>
          <w:lang w:eastAsia="lv-LV"/>
        </w:rPr>
      </w:pPr>
    </w:p>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678"/>
        <w:gridCol w:w="3260"/>
        <w:gridCol w:w="3402"/>
      </w:tblGrid>
      <w:tr w:rsidR="00B35425" w:rsidRPr="000A20AD" w14:paraId="531A3524" w14:textId="77777777" w:rsidTr="004B681A">
        <w:tc>
          <w:tcPr>
            <w:tcW w:w="843" w:type="dxa"/>
            <w:tcBorders>
              <w:top w:val="single" w:sz="6" w:space="0" w:color="000000"/>
              <w:left w:val="single" w:sz="6" w:space="0" w:color="000000"/>
              <w:bottom w:val="single" w:sz="6" w:space="0" w:color="000000"/>
              <w:right w:val="single" w:sz="4" w:space="0" w:color="auto"/>
            </w:tcBorders>
            <w:shd w:val="clear" w:color="auto" w:fill="auto"/>
          </w:tcPr>
          <w:p w14:paraId="6DD897AA" w14:textId="77777777" w:rsidR="00B35425" w:rsidRPr="000A20AD" w:rsidRDefault="00B35425" w:rsidP="00B35425">
            <w:pPr>
              <w:numPr>
                <w:ilvl w:val="0"/>
                <w:numId w:val="17"/>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93F34BE" w14:textId="518E11EF" w:rsidR="00B35425" w:rsidRPr="000A20AD" w:rsidRDefault="00B35425" w:rsidP="00B35425">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projekts kopumā.</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5252CC20" w14:textId="77777777" w:rsidR="00B35425" w:rsidRPr="000A20AD" w:rsidRDefault="00B35425" w:rsidP="00B35425">
            <w:pPr>
              <w:spacing w:after="0" w:line="240" w:lineRule="auto"/>
              <w:rPr>
                <w:rFonts w:ascii="Times New Roman" w:hAnsi="Times New Roman" w:cs="Times New Roman"/>
                <w:b/>
              </w:rPr>
            </w:pPr>
            <w:r w:rsidRPr="000A20AD">
              <w:rPr>
                <w:rFonts w:ascii="Times New Roman" w:hAnsi="Times New Roman" w:cs="Times New Roman"/>
                <w:b/>
              </w:rPr>
              <w:t>Finanšu ministrija:</w:t>
            </w:r>
          </w:p>
          <w:p w14:paraId="78D72AB9" w14:textId="5817084E" w:rsidR="00B35425" w:rsidRPr="000A20AD" w:rsidRDefault="005F5380" w:rsidP="00B35425">
            <w:pPr>
              <w:spacing w:after="0" w:line="240" w:lineRule="auto"/>
              <w:rPr>
                <w:rFonts w:ascii="Times New Roman" w:hAnsi="Times New Roman" w:cs="Times New Roman"/>
                <w:b/>
              </w:rPr>
            </w:pPr>
            <w:r w:rsidRPr="000A20AD">
              <w:rPr>
                <w:rFonts w:ascii="Times New Roman" w:hAnsi="Times New Roman" w:cs="Times New Roman"/>
              </w:rPr>
              <w:t>“</w:t>
            </w:r>
            <w:r w:rsidR="00B35425" w:rsidRPr="000A20AD">
              <w:rPr>
                <w:rFonts w:ascii="Times New Roman" w:hAnsi="Times New Roman" w:cs="Times New Roman"/>
              </w:rPr>
              <w:t>Lūdzam precizēt, vai kritiskā personāla sarakstā ir iekļaujami amati, kas nodrošina kritiskā personāla aizvietošanu. Attiecīgi, vai aizvietojošā personāla amatu aprakstos ir iekļaujama noteikumu projekta 16.punktā noteiktā informācija.</w:t>
            </w:r>
            <w:r w:rsidRPr="000A20AD">
              <w:rPr>
                <w:rFonts w:ascii="Times New Roman" w:hAnsi="Times New Roman" w:cs="Times New Roman"/>
              </w:rPr>
              <w:t>”</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18EE2E8" w14:textId="3BBB5B5D" w:rsidR="00B35425" w:rsidRPr="000A20AD" w:rsidRDefault="0073240A"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11A3C71C" w14:textId="57AC7F82" w:rsidR="00B35425" w:rsidRPr="000A20AD" w:rsidRDefault="00104A38" w:rsidP="00B35425">
            <w:pPr>
              <w:spacing w:after="0" w:line="240" w:lineRule="auto"/>
              <w:jc w:val="both"/>
              <w:rPr>
                <w:rFonts w:ascii="Times New Roman" w:eastAsia="Times New Roman" w:hAnsi="Times New Roman" w:cs="Times New Roman"/>
                <w:highlight w:val="yellow"/>
                <w:lang w:eastAsia="lv-LV"/>
              </w:rPr>
            </w:pPr>
            <w:r w:rsidRPr="000A20AD">
              <w:rPr>
                <w:rFonts w:ascii="Times New Roman" w:eastAsia="Times New Roman" w:hAnsi="Times New Roman" w:cs="Times New Roman"/>
                <w:lang w:eastAsia="lv-LV"/>
              </w:rPr>
              <w:t>Noteikumu projekta</w:t>
            </w:r>
            <w:r w:rsidR="0073240A" w:rsidRPr="000A20AD">
              <w:rPr>
                <w:rFonts w:ascii="Times New Roman" w:eastAsia="Times New Roman" w:hAnsi="Times New Roman" w:cs="Times New Roman"/>
                <w:lang w:eastAsia="lv-LV"/>
              </w:rPr>
              <w:t xml:space="preserve"> anotācija </w:t>
            </w:r>
            <w:r w:rsidRPr="000A20AD">
              <w:rPr>
                <w:rFonts w:ascii="Times New Roman" w:eastAsia="Times New Roman" w:hAnsi="Times New Roman" w:cs="Times New Roman"/>
                <w:lang w:eastAsia="lv-LV"/>
              </w:rPr>
              <w:t xml:space="preserve">precizēta </w:t>
            </w:r>
            <w:r w:rsidR="0073240A" w:rsidRPr="000A20AD">
              <w:rPr>
                <w:rFonts w:ascii="Times New Roman" w:eastAsia="Times New Roman" w:hAnsi="Times New Roman" w:cs="Times New Roman"/>
                <w:lang w:eastAsia="lv-LV"/>
              </w:rPr>
              <w:t xml:space="preserve">šādā redakcijā: </w:t>
            </w:r>
            <w:r w:rsidRPr="000A20AD">
              <w:rPr>
                <w:rFonts w:ascii="Times New Roman" w:eastAsia="Times New Roman" w:hAnsi="Times New Roman" w:cs="Times New Roman"/>
                <w:lang w:eastAsia="lv-LV"/>
              </w:rPr>
              <w:t>“Veicot attiecīgo izvērtējumu par nepieciešamā kritiskā personāla noteikšanu, valsts un pašvaldības institūcijas, kā arī personas, kas nodrošina kritiskās infrastruktūras darbības nepārtrauktību vai kritisko finanšu nozares pakalpojumu pieejamību, vadoties pēc saviem ieskatiem un ņemot vērā noteikto nozares specifiku un citus apsvērumus, var paredzēt nepieciešamība noteikt rezerves kritisko personālu, uz kuriem būtu attiecināmi mobilizācijas izņēmumi.”</w:t>
            </w:r>
          </w:p>
        </w:tc>
      </w:tr>
      <w:tr w:rsidR="00B35425" w:rsidRPr="000A20AD" w14:paraId="66CF63F1" w14:textId="77777777" w:rsidTr="004B681A">
        <w:tc>
          <w:tcPr>
            <w:tcW w:w="843" w:type="dxa"/>
            <w:tcBorders>
              <w:top w:val="single" w:sz="6" w:space="0" w:color="000000"/>
              <w:left w:val="single" w:sz="6" w:space="0" w:color="000000"/>
              <w:bottom w:val="single" w:sz="6" w:space="0" w:color="000000"/>
              <w:right w:val="single" w:sz="4" w:space="0" w:color="auto"/>
            </w:tcBorders>
            <w:shd w:val="clear" w:color="auto" w:fill="auto"/>
          </w:tcPr>
          <w:p w14:paraId="656CA140" w14:textId="77777777" w:rsidR="00B35425" w:rsidRPr="000A20AD" w:rsidRDefault="00B35425" w:rsidP="00B35425">
            <w:pPr>
              <w:numPr>
                <w:ilvl w:val="0"/>
                <w:numId w:val="17"/>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3730D0A" w14:textId="4A9B9521" w:rsidR="00B35425" w:rsidRPr="000A20AD" w:rsidRDefault="00B35425" w:rsidP="00B35425">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III sadaļa</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4DB4E256" w14:textId="77777777" w:rsidR="00B35425" w:rsidRPr="000A20AD" w:rsidRDefault="00B35425" w:rsidP="00B35425">
            <w:pPr>
              <w:spacing w:after="0" w:line="240" w:lineRule="auto"/>
              <w:jc w:val="both"/>
              <w:rPr>
                <w:rFonts w:ascii="Times New Roman" w:hAnsi="Times New Roman" w:cs="Times New Roman"/>
                <w:b/>
              </w:rPr>
            </w:pPr>
            <w:r w:rsidRPr="000A20AD">
              <w:rPr>
                <w:rFonts w:ascii="Times New Roman" w:hAnsi="Times New Roman" w:cs="Times New Roman"/>
                <w:b/>
              </w:rPr>
              <w:t>Veselības ministrija:</w:t>
            </w:r>
          </w:p>
          <w:p w14:paraId="3FC7E49E" w14:textId="2F5BE4CB" w:rsidR="00B35425" w:rsidRPr="000A20AD" w:rsidRDefault="00B35425" w:rsidP="00B35425">
            <w:pPr>
              <w:spacing w:after="0" w:line="240" w:lineRule="auto"/>
              <w:rPr>
                <w:rFonts w:ascii="Times New Roman" w:hAnsi="Times New Roman" w:cs="Times New Roman"/>
                <w:b/>
              </w:rPr>
            </w:pPr>
            <w:r w:rsidRPr="000A20AD">
              <w:rPr>
                <w:rFonts w:ascii="Times New Roman" w:hAnsi="Times New Roman" w:cs="Times New Roman"/>
              </w:rPr>
              <w:t>“Lūdzam izvērtēt, vai noteikumu projekta 3. nodaļas saturs atbilst Mobilizācijas likumprojekta 14.</w:t>
            </w:r>
            <w:r w:rsidRPr="000A20AD">
              <w:rPr>
                <w:rFonts w:ascii="Times New Roman" w:hAnsi="Times New Roman" w:cs="Times New Roman"/>
                <w:vertAlign w:val="superscript"/>
              </w:rPr>
              <w:t>1</w:t>
            </w:r>
            <w:r w:rsidRPr="000A20AD">
              <w:rPr>
                <w:rFonts w:ascii="Times New Roman" w:hAnsi="Times New Roman" w:cs="Times New Roman"/>
              </w:rPr>
              <w:t xml:space="preserve"> panta pirmajā daļā dotajam deleģējumam, proti, dotais deleģējums Ministru kabinetam ir</w:t>
            </w:r>
            <w:proofErr w:type="gramStart"/>
            <w:r w:rsidRPr="000A20AD">
              <w:rPr>
                <w:rFonts w:ascii="Times New Roman" w:hAnsi="Times New Roman" w:cs="Times New Roman"/>
              </w:rPr>
              <w:t xml:space="preserve">  </w:t>
            </w:r>
            <w:proofErr w:type="gramEnd"/>
            <w:r w:rsidRPr="000A20AD">
              <w:rPr>
                <w:rFonts w:ascii="Times New Roman" w:hAnsi="Times New Roman" w:cs="Times New Roman"/>
              </w:rPr>
              <w:t>par 14.</w:t>
            </w:r>
            <w:r w:rsidRPr="000A20AD">
              <w:rPr>
                <w:rFonts w:ascii="Times New Roman" w:hAnsi="Times New Roman" w:cs="Times New Roman"/>
                <w:vertAlign w:val="superscript"/>
              </w:rPr>
              <w:t>1</w:t>
            </w:r>
            <w:r w:rsidRPr="000A20AD">
              <w:rPr>
                <w:rFonts w:ascii="Times New Roman" w:hAnsi="Times New Roman" w:cs="Times New Roman"/>
              </w:rPr>
              <w:t xml:space="preserve"> panta otrajā daļā minētajām amatpersonām un darbiniekiem, tas ir, Ministru kabinets var lemt par papildu izņēmumiem, kuras </w:t>
            </w:r>
            <w:r w:rsidRPr="000A20AD">
              <w:rPr>
                <w:rFonts w:ascii="Times New Roman" w:hAnsi="Times New Roman" w:cs="Times New Roman"/>
              </w:rPr>
              <w:lastRenderedPageBreak/>
              <w:t>vēl personas nevar pakļaut mobilizācijai, nosakot kārtību.”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29A4CC6" w14:textId="0806E972" w:rsidR="00B35425" w:rsidRPr="000A20AD" w:rsidRDefault="00597242"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lastRenderedPageBreak/>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08BB9F5B" w14:textId="77777777" w:rsidR="00B35425" w:rsidRPr="000A20AD" w:rsidRDefault="00B35425" w:rsidP="00B35425">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Aizsardzības ministrijas ieskatā noteikumu projekts atbilst Mobilizācijas likumprojekta dotajam deleģējumam, kas ir aprakstīts arī likumprojekta anotācijā:</w:t>
            </w:r>
          </w:p>
          <w:p w14:paraId="20DD2C1E" w14:textId="77777777" w:rsidR="00B35425" w:rsidRPr="000A20AD" w:rsidRDefault="00B35425" w:rsidP="00B35425">
            <w:pPr>
              <w:spacing w:after="0" w:line="240" w:lineRule="auto"/>
              <w:jc w:val="both"/>
              <w:rPr>
                <w:rFonts w:ascii="Times New Roman" w:hAnsi="Times New Roman" w:cs="Times New Roman"/>
                <w:bCs/>
                <w:lang w:eastAsia="lv-LV"/>
              </w:rPr>
            </w:pPr>
            <w:r w:rsidRPr="000A20AD">
              <w:rPr>
                <w:rFonts w:ascii="Times New Roman" w:hAnsi="Times New Roman" w:cs="Times New Roman"/>
                <w:bCs/>
                <w:color w:val="000000" w:themeColor="text1"/>
              </w:rPr>
              <w:t>“14.</w:t>
            </w:r>
            <w:r w:rsidRPr="000A20AD">
              <w:rPr>
                <w:rFonts w:ascii="Times New Roman" w:hAnsi="Times New Roman" w:cs="Times New Roman"/>
                <w:bCs/>
                <w:color w:val="000000" w:themeColor="text1"/>
                <w:vertAlign w:val="superscript"/>
              </w:rPr>
              <w:t xml:space="preserve">1 </w:t>
            </w:r>
            <w:r w:rsidRPr="000A20AD">
              <w:rPr>
                <w:rFonts w:ascii="Times New Roman" w:hAnsi="Times New Roman" w:cs="Times New Roman"/>
                <w:bCs/>
                <w:color w:val="000000" w:themeColor="text1"/>
              </w:rPr>
              <w:t xml:space="preserve">panta </w:t>
            </w:r>
            <w:r w:rsidRPr="000A20AD">
              <w:rPr>
                <w:rFonts w:ascii="Times New Roman" w:hAnsi="Times New Roman" w:cs="Times New Roman"/>
                <w:bCs/>
                <w:lang w:eastAsia="lv-LV"/>
              </w:rPr>
              <w:t xml:space="preserve">otrā daļa par izņēmumiem un ar to saistītā trešā daļa paredz to, ka </w:t>
            </w:r>
            <w:r w:rsidRPr="000A20AD">
              <w:rPr>
                <w:rFonts w:ascii="Times New Roman" w:hAnsi="Times New Roman" w:cs="Times New Roman"/>
                <w:color w:val="000000" w:themeColor="text1"/>
              </w:rPr>
              <w:t xml:space="preserve">valsts un </w:t>
            </w:r>
            <w:r w:rsidRPr="000A20AD">
              <w:rPr>
                <w:rFonts w:ascii="Times New Roman" w:hAnsi="Times New Roman" w:cs="Times New Roman"/>
                <w:color w:val="000000" w:themeColor="text1"/>
              </w:rPr>
              <w:lastRenderedPageBreak/>
              <w:t xml:space="preserve">pašvaldības institūcijas un personas, kas nodrošina </w:t>
            </w:r>
            <w:r w:rsidRPr="000A20AD">
              <w:rPr>
                <w:rFonts w:ascii="Times New Roman" w:hAnsi="Times New Roman" w:cs="Times New Roman"/>
                <w:bCs/>
                <w:color w:val="000000" w:themeColor="text1"/>
              </w:rPr>
              <w:t>kritiskās infrastruktūras vai kritisko finanšu nozares pakalpojumu darbības nepārtrauktību, pamatojoties uz vienotu metodiku, tiks izvērtētas attiecībā uz personāla proporciju, kas ir nepieciešama tā pamatfunkciju darbības nodrošināšanai un attiecībā uz personāla proporciju, kas valsts apdraudējuma gadījumā var tikt pakļauta mobilizācijai.”</w:t>
            </w:r>
          </w:p>
          <w:p w14:paraId="24803DCB" w14:textId="77777777" w:rsidR="00B35425" w:rsidRPr="000A20AD" w:rsidRDefault="00B35425" w:rsidP="00B35425">
            <w:pPr>
              <w:spacing w:after="0" w:line="240" w:lineRule="auto"/>
              <w:jc w:val="both"/>
              <w:rPr>
                <w:rFonts w:ascii="Times New Roman" w:eastAsia="Times New Roman" w:hAnsi="Times New Roman" w:cs="Times New Roman"/>
                <w:lang w:eastAsia="lv-LV"/>
              </w:rPr>
            </w:pPr>
          </w:p>
        </w:tc>
      </w:tr>
      <w:tr w:rsidR="00B35425" w:rsidRPr="000A20AD" w14:paraId="5B5AF9FB" w14:textId="77777777" w:rsidTr="004B681A">
        <w:tc>
          <w:tcPr>
            <w:tcW w:w="843" w:type="dxa"/>
            <w:tcBorders>
              <w:top w:val="single" w:sz="6" w:space="0" w:color="000000"/>
              <w:left w:val="single" w:sz="6" w:space="0" w:color="000000"/>
              <w:bottom w:val="single" w:sz="6" w:space="0" w:color="000000"/>
              <w:right w:val="single" w:sz="4" w:space="0" w:color="auto"/>
            </w:tcBorders>
            <w:shd w:val="clear" w:color="auto" w:fill="auto"/>
          </w:tcPr>
          <w:p w14:paraId="5DF1B57B" w14:textId="77777777" w:rsidR="00B35425" w:rsidRPr="000A20AD" w:rsidRDefault="00B35425" w:rsidP="00B35425">
            <w:pPr>
              <w:numPr>
                <w:ilvl w:val="0"/>
                <w:numId w:val="17"/>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CC257A" w14:textId="7A42E1D0" w:rsidR="00B35425" w:rsidRPr="000A20AD" w:rsidRDefault="00B35425" w:rsidP="00B35425">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2.2. un 2.3. apakšpunkts.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72DDDB0D" w14:textId="77777777" w:rsidR="00B35425" w:rsidRPr="000A20AD" w:rsidRDefault="00B35425" w:rsidP="00B35425">
            <w:pPr>
              <w:spacing w:after="0" w:line="240" w:lineRule="auto"/>
              <w:jc w:val="both"/>
              <w:rPr>
                <w:rFonts w:ascii="Times New Roman" w:eastAsia="Times New Roman" w:hAnsi="Times New Roman" w:cs="Times New Roman"/>
                <w:b/>
                <w:iCs/>
                <w:lang w:eastAsia="ar-SA"/>
              </w:rPr>
            </w:pPr>
            <w:r w:rsidRPr="000A20AD">
              <w:rPr>
                <w:rFonts w:ascii="Times New Roman" w:eastAsia="Times New Roman" w:hAnsi="Times New Roman" w:cs="Times New Roman"/>
                <w:b/>
                <w:iCs/>
                <w:lang w:eastAsia="ar-SA"/>
              </w:rPr>
              <w:t>Veselības ministrija:</w:t>
            </w:r>
          </w:p>
          <w:p w14:paraId="5EC6721D" w14:textId="4429708B" w:rsidR="00B35425" w:rsidRPr="000A20AD" w:rsidRDefault="00B35425" w:rsidP="00B35425">
            <w:pPr>
              <w:spacing w:after="0" w:line="240" w:lineRule="auto"/>
              <w:rPr>
                <w:rFonts w:ascii="Times New Roman" w:hAnsi="Times New Roman" w:cs="Times New Roman"/>
                <w:b/>
              </w:rPr>
            </w:pPr>
            <w:r w:rsidRPr="000A20AD">
              <w:rPr>
                <w:rFonts w:ascii="Times New Roman" w:eastAsia="Times New Roman" w:hAnsi="Times New Roman" w:cs="Times New Roman"/>
                <w:iCs/>
                <w:lang w:eastAsia="ar-SA"/>
              </w:rPr>
              <w:t>“Lūdzam papildināt anotācijas projektu ar informāciju, kur ir norādīts normatīvo dokumentu regulējums, kas nosaka Noteikumu projekta 2.2. un 2.3 apakšpunktā noteiktās minimālās apmēra un apjoma prasības kritiskās infrastruktūras darbības nepārtrauktības un kritisko finanšu nozares pakalpojumu nepārtrauktības nodrošināšanai.”</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E14B698" w14:textId="601FB3FC" w:rsidR="00B35425" w:rsidRPr="000A20AD" w:rsidRDefault="00597242"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Panākta vienošanās starpinstitūciju sanāksmes ietvaros.</w:t>
            </w:r>
          </w:p>
        </w:tc>
        <w:tc>
          <w:tcPr>
            <w:tcW w:w="3402" w:type="dxa"/>
            <w:tcBorders>
              <w:top w:val="single" w:sz="4" w:space="0" w:color="auto"/>
              <w:left w:val="single" w:sz="4" w:space="0" w:color="auto"/>
              <w:bottom w:val="single" w:sz="4" w:space="0" w:color="auto"/>
            </w:tcBorders>
            <w:shd w:val="clear" w:color="auto" w:fill="auto"/>
          </w:tcPr>
          <w:p w14:paraId="205D7232" w14:textId="77777777" w:rsidR="00B35425" w:rsidRPr="000A20AD" w:rsidRDefault="00B35425" w:rsidP="00B35425">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Vēršam uzmanību, ka norādītā informācija jau šobrīd ir iekļauta noteikumu projekta anotācijā šādā redakcijā:</w:t>
            </w:r>
          </w:p>
          <w:p w14:paraId="7BADF348" w14:textId="3BF2A814" w:rsidR="00B35425" w:rsidRPr="000A20AD" w:rsidRDefault="00B35425" w:rsidP="00B35425">
            <w:pPr>
              <w:spacing w:after="0" w:line="240" w:lineRule="auto"/>
              <w:jc w:val="both"/>
              <w:rPr>
                <w:rFonts w:ascii="Times New Roman" w:eastAsia="Times New Roman" w:hAnsi="Times New Roman" w:cs="Times New Roman"/>
                <w:lang w:eastAsia="lv-LV"/>
              </w:rPr>
            </w:pPr>
            <w:r w:rsidRPr="000A20AD">
              <w:rPr>
                <w:rFonts w:ascii="Times New Roman" w:hAnsi="Times New Roman" w:cs="Times New Roman"/>
                <w:color w:val="000000"/>
              </w:rPr>
              <w:t>“Atbildīgās nozares ministrijas veicamā kritiskā personāla izvērtēšana ir daļa no kritiskās infrastruktūras darbības nepārtrauktības plānu izņēmuma stāvokļa vai kara laikam</w:t>
            </w:r>
            <w:r w:rsidRPr="000A20AD">
              <w:rPr>
                <w:rFonts w:ascii="Times New Roman" w:hAnsi="Times New Roman" w:cs="Times New Roman"/>
                <w:color w:val="1F497D"/>
              </w:rPr>
              <w:t xml:space="preserve"> i</w:t>
            </w:r>
            <w:r w:rsidRPr="000A20AD">
              <w:rPr>
                <w:rFonts w:ascii="Times New Roman" w:hAnsi="Times New Roman" w:cs="Times New Roman"/>
              </w:rPr>
              <w:t xml:space="preserve">zvērtēšanas </w:t>
            </w:r>
            <w:proofErr w:type="gramStart"/>
            <w:r w:rsidRPr="000A20AD">
              <w:rPr>
                <w:rFonts w:ascii="Times New Roman" w:hAnsi="Times New Roman" w:cs="Times New Roman"/>
                <w:color w:val="1F497D"/>
              </w:rPr>
              <w:t>(</w:t>
            </w:r>
            <w:proofErr w:type="gramEnd"/>
            <w:r w:rsidRPr="000A20AD">
              <w:rPr>
                <w:rFonts w:ascii="Times New Roman" w:hAnsi="Times New Roman" w:cs="Times New Roman"/>
              </w:rPr>
              <w:t xml:space="preserve">Grozījumu Ministru kabineta </w:t>
            </w:r>
            <w:bookmarkStart w:id="0" w:name="_Hlk11633236"/>
            <w:r w:rsidRPr="000A20AD">
              <w:rPr>
                <w:rFonts w:ascii="Times New Roman" w:hAnsi="Times New Roman" w:cs="Times New Roman"/>
              </w:rPr>
              <w:t>2010. gada 1. jūnija noteikumos Nr. 496 “Kritiskās infrastruktūras, tajā skaitā Eiropas kritiskās infrastruktūras, apzināšanas un drošības pasākumu plānošanas un īstenošanas kārtība”</w:t>
            </w:r>
            <w:bookmarkEnd w:id="0"/>
            <w:r w:rsidRPr="000A20AD">
              <w:rPr>
                <w:rFonts w:ascii="Times New Roman" w:hAnsi="Times New Roman" w:cs="Times New Roman"/>
              </w:rPr>
              <w:t xml:space="preserve"> izpratnē).”</w:t>
            </w:r>
          </w:p>
        </w:tc>
      </w:tr>
      <w:tr w:rsidR="00B35425" w:rsidRPr="000A20AD" w14:paraId="2F2A8EAC" w14:textId="77777777" w:rsidTr="004B681A">
        <w:tc>
          <w:tcPr>
            <w:tcW w:w="843" w:type="dxa"/>
            <w:tcBorders>
              <w:top w:val="single" w:sz="6" w:space="0" w:color="000000"/>
              <w:left w:val="single" w:sz="6" w:space="0" w:color="000000"/>
              <w:bottom w:val="single" w:sz="6" w:space="0" w:color="000000"/>
              <w:right w:val="single" w:sz="4" w:space="0" w:color="auto"/>
            </w:tcBorders>
            <w:shd w:val="clear" w:color="auto" w:fill="auto"/>
          </w:tcPr>
          <w:p w14:paraId="2A493869" w14:textId="77777777" w:rsidR="00B35425" w:rsidRPr="000A20AD" w:rsidRDefault="00B35425" w:rsidP="00B35425">
            <w:pPr>
              <w:numPr>
                <w:ilvl w:val="0"/>
                <w:numId w:val="17"/>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605D70E" w14:textId="7C4733F5" w:rsidR="00B35425" w:rsidRPr="000A20AD" w:rsidRDefault="00B35425" w:rsidP="00B35425">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7.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52A1422D" w14:textId="77777777" w:rsidR="00B35425" w:rsidRPr="000A20AD" w:rsidRDefault="00B35425" w:rsidP="00B35425">
            <w:pPr>
              <w:spacing w:after="0" w:line="240" w:lineRule="auto"/>
              <w:jc w:val="both"/>
              <w:rPr>
                <w:rFonts w:ascii="Times New Roman" w:hAnsi="Times New Roman" w:cs="Times New Roman"/>
                <w:b/>
              </w:rPr>
            </w:pPr>
            <w:r w:rsidRPr="000A20AD">
              <w:rPr>
                <w:rFonts w:ascii="Times New Roman" w:hAnsi="Times New Roman" w:cs="Times New Roman"/>
                <w:b/>
              </w:rPr>
              <w:t>Veselības ministrija:</w:t>
            </w:r>
          </w:p>
          <w:p w14:paraId="0F74A213" w14:textId="77777777" w:rsidR="00B35425" w:rsidRPr="000A20AD" w:rsidRDefault="00B35425" w:rsidP="00B35425">
            <w:pPr>
              <w:spacing w:after="0" w:line="240" w:lineRule="auto"/>
              <w:jc w:val="both"/>
              <w:rPr>
                <w:rFonts w:ascii="Times New Roman" w:hAnsi="Times New Roman" w:cs="Times New Roman"/>
              </w:rPr>
            </w:pPr>
            <w:r w:rsidRPr="000A20AD">
              <w:rPr>
                <w:rFonts w:ascii="Times New Roman" w:hAnsi="Times New Roman" w:cs="Times New Roman"/>
              </w:rPr>
              <w:t>“Ierosinām Noteikumu projekta 7. punktu izteikt šādā redakcijā:</w:t>
            </w:r>
          </w:p>
          <w:p w14:paraId="391815CB" w14:textId="087A71B2" w:rsidR="00B35425" w:rsidRPr="000A20AD" w:rsidRDefault="00B35425" w:rsidP="00B35425">
            <w:pPr>
              <w:spacing w:after="0" w:line="240" w:lineRule="auto"/>
              <w:jc w:val="both"/>
              <w:rPr>
                <w:rFonts w:ascii="Times New Roman" w:eastAsia="Times New Roman" w:hAnsi="Times New Roman" w:cs="Times New Roman"/>
                <w:b/>
                <w:iCs/>
                <w:lang w:eastAsia="ar-SA"/>
              </w:rPr>
            </w:pPr>
            <w:r w:rsidRPr="000A20AD">
              <w:rPr>
                <w:rFonts w:ascii="Times New Roman" w:hAnsi="Times New Roman" w:cs="Times New Roman"/>
              </w:rPr>
              <w:t>“Valsts un pašvaldības institūcija, kā arī persona, kura nodrošina kritiskās funkcijas veikšanu, aizstāj kritiskā personāla sarakstā iekļauto rezerves karavīru ar citu personu (alternatīvu personu, kas kompetenta ieņemt tādu pašu amatu)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C08E130" w14:textId="5C687561" w:rsidR="00B35425" w:rsidRPr="000A20AD" w:rsidRDefault="00B35425"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2BB3E37A" w14:textId="2E6C0187" w:rsidR="00B35425" w:rsidRPr="000A20AD" w:rsidRDefault="00B35425" w:rsidP="00B35425">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Precizēta noteikumu projekta redakcija atbilstoši norādītajam.</w:t>
            </w:r>
          </w:p>
        </w:tc>
      </w:tr>
      <w:tr w:rsidR="00B35425" w:rsidRPr="000A20AD" w14:paraId="1FC9B8A4" w14:textId="77777777" w:rsidTr="004B681A">
        <w:tc>
          <w:tcPr>
            <w:tcW w:w="843" w:type="dxa"/>
            <w:tcBorders>
              <w:top w:val="single" w:sz="6" w:space="0" w:color="000000"/>
              <w:left w:val="single" w:sz="6" w:space="0" w:color="000000"/>
              <w:bottom w:val="single" w:sz="6" w:space="0" w:color="000000"/>
              <w:right w:val="single" w:sz="4" w:space="0" w:color="auto"/>
            </w:tcBorders>
            <w:shd w:val="clear" w:color="auto" w:fill="auto"/>
          </w:tcPr>
          <w:p w14:paraId="07F04802" w14:textId="77777777" w:rsidR="00B35425" w:rsidRPr="000A20AD" w:rsidRDefault="00B35425" w:rsidP="00B35425">
            <w:pPr>
              <w:numPr>
                <w:ilvl w:val="0"/>
                <w:numId w:val="17"/>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80737F0" w14:textId="20F31843" w:rsidR="00B35425" w:rsidRPr="000A20AD" w:rsidRDefault="00B35425" w:rsidP="00B35425">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14.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28F67764" w14:textId="77777777" w:rsidR="00B35425" w:rsidRPr="000A20AD" w:rsidRDefault="00B35425" w:rsidP="00B35425">
            <w:pPr>
              <w:spacing w:after="0" w:line="240" w:lineRule="auto"/>
              <w:jc w:val="both"/>
              <w:rPr>
                <w:rFonts w:ascii="Times New Roman" w:hAnsi="Times New Roman" w:cs="Times New Roman"/>
                <w:b/>
              </w:rPr>
            </w:pPr>
            <w:r w:rsidRPr="000A20AD">
              <w:rPr>
                <w:rFonts w:ascii="Times New Roman" w:hAnsi="Times New Roman" w:cs="Times New Roman"/>
                <w:b/>
              </w:rPr>
              <w:t>Ekonomikas ministrija:</w:t>
            </w:r>
          </w:p>
          <w:p w14:paraId="37F9C968" w14:textId="124F01E3" w:rsidR="00B35425" w:rsidRPr="000A20AD" w:rsidRDefault="00B35425" w:rsidP="00B35425">
            <w:pPr>
              <w:spacing w:after="0" w:line="240" w:lineRule="auto"/>
              <w:jc w:val="both"/>
              <w:rPr>
                <w:rFonts w:ascii="Times New Roman" w:eastAsia="Times New Roman" w:hAnsi="Times New Roman" w:cs="Times New Roman"/>
                <w:b/>
                <w:iCs/>
                <w:lang w:eastAsia="ar-SA"/>
              </w:rPr>
            </w:pPr>
            <w:r w:rsidRPr="000A20AD">
              <w:rPr>
                <w:rFonts w:ascii="Times New Roman" w:hAnsi="Times New Roman" w:cs="Times New Roman"/>
              </w:rPr>
              <w:t xml:space="preserve">“Lūdzam izvērtēt iespēju samazināt Noteikumu 14.punktā minētās informācijas sniegšanas nepieciešamību divas reizes gadā uz vienu reizi gadā, ja jau Noteikumu 14.2 apakšpunktā norādīts, ka informāciju var arī pieprasīt jebkurā brīdī pēc atsevišķa Nacionālo bruņoto spēku rezerves personāla uzskaites struktūrvienības pieprasījuma.”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4B05EBF" w14:textId="7C080AAC" w:rsidR="00B35425" w:rsidRPr="000A20AD" w:rsidRDefault="00B35425"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7D2F6F31" w14:textId="6166ED59" w:rsidR="00B35425" w:rsidRPr="000A20AD" w:rsidRDefault="00B35425" w:rsidP="0031739C">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 xml:space="preserve">Precizēts noteikumu projekts un anotācija, nosakot, ka informāciju par personām, uz kurām attiecināmi izņēmumi mobilizācijai, ir </w:t>
            </w:r>
            <w:r w:rsidR="0031739C" w:rsidRPr="000A20AD">
              <w:rPr>
                <w:rFonts w:ascii="Times New Roman" w:eastAsia="Times New Roman" w:hAnsi="Times New Roman" w:cs="Times New Roman"/>
                <w:lang w:eastAsia="lv-LV"/>
              </w:rPr>
              <w:t>nepieciešams iesniegt</w:t>
            </w:r>
            <w:r w:rsidRPr="000A20AD">
              <w:rPr>
                <w:rFonts w:ascii="Times New Roman" w:eastAsia="Times New Roman" w:hAnsi="Times New Roman" w:cs="Times New Roman"/>
                <w:lang w:eastAsia="lv-LV"/>
              </w:rPr>
              <w:t xml:space="preserve"> vienu reizi gadā.</w:t>
            </w:r>
          </w:p>
        </w:tc>
      </w:tr>
      <w:tr w:rsidR="00B35425" w:rsidRPr="000A20AD" w14:paraId="4A955E55" w14:textId="77777777" w:rsidTr="004B681A">
        <w:tc>
          <w:tcPr>
            <w:tcW w:w="843" w:type="dxa"/>
            <w:tcBorders>
              <w:top w:val="single" w:sz="6" w:space="0" w:color="000000"/>
              <w:left w:val="single" w:sz="6" w:space="0" w:color="000000"/>
              <w:bottom w:val="single" w:sz="6" w:space="0" w:color="000000"/>
              <w:right w:val="single" w:sz="4" w:space="0" w:color="auto"/>
            </w:tcBorders>
            <w:shd w:val="clear" w:color="auto" w:fill="auto"/>
          </w:tcPr>
          <w:p w14:paraId="7E35A02A" w14:textId="77777777" w:rsidR="00B35425" w:rsidRPr="000A20AD" w:rsidRDefault="00B35425" w:rsidP="00B35425">
            <w:pPr>
              <w:numPr>
                <w:ilvl w:val="0"/>
                <w:numId w:val="17"/>
              </w:numPr>
              <w:spacing w:after="0" w:line="240" w:lineRule="auto"/>
              <w:jc w:val="center"/>
              <w:rPr>
                <w:rFonts w:ascii="Times New Roman" w:eastAsia="Times New Roman" w:hAnsi="Times New Roman" w:cs="Times New Roman"/>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4E6A42" w14:textId="6F43BCFD" w:rsidR="00B35425" w:rsidRPr="000A20AD" w:rsidRDefault="00B35425" w:rsidP="00B35425">
            <w:pPr>
              <w:spacing w:after="0" w:line="240" w:lineRule="auto"/>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Noteikumu projekta 15. punkts.</w:t>
            </w:r>
          </w:p>
        </w:tc>
        <w:tc>
          <w:tcPr>
            <w:tcW w:w="4678" w:type="dxa"/>
            <w:tcBorders>
              <w:top w:val="single" w:sz="6" w:space="0" w:color="000000"/>
              <w:left w:val="single" w:sz="4" w:space="0" w:color="auto"/>
              <w:bottom w:val="single" w:sz="6" w:space="0" w:color="000000"/>
              <w:right w:val="single" w:sz="6" w:space="0" w:color="000000"/>
            </w:tcBorders>
            <w:shd w:val="clear" w:color="auto" w:fill="auto"/>
          </w:tcPr>
          <w:p w14:paraId="14B638E3" w14:textId="77777777" w:rsidR="00B35425" w:rsidRPr="000A20AD" w:rsidRDefault="00B35425" w:rsidP="00B35425">
            <w:pPr>
              <w:spacing w:after="0" w:line="240" w:lineRule="auto"/>
              <w:jc w:val="both"/>
              <w:rPr>
                <w:rFonts w:ascii="Times New Roman" w:hAnsi="Times New Roman" w:cs="Times New Roman"/>
                <w:b/>
              </w:rPr>
            </w:pPr>
            <w:r w:rsidRPr="000A20AD">
              <w:rPr>
                <w:rFonts w:ascii="Times New Roman" w:hAnsi="Times New Roman" w:cs="Times New Roman"/>
                <w:b/>
              </w:rPr>
              <w:t>Veselības ministrija:</w:t>
            </w:r>
          </w:p>
          <w:p w14:paraId="5D4F61AF" w14:textId="2DB1236C" w:rsidR="00B35425" w:rsidRPr="000A20AD" w:rsidRDefault="00B35425" w:rsidP="00B35425">
            <w:pPr>
              <w:spacing w:after="0" w:line="240" w:lineRule="auto"/>
              <w:jc w:val="both"/>
              <w:rPr>
                <w:rFonts w:ascii="Times New Roman" w:hAnsi="Times New Roman" w:cs="Times New Roman"/>
                <w:b/>
              </w:rPr>
            </w:pPr>
            <w:r w:rsidRPr="000A20AD">
              <w:rPr>
                <w:rFonts w:ascii="Times New Roman" w:hAnsi="Times New Roman" w:cs="Times New Roman"/>
              </w:rPr>
              <w:t>“Lūdzam izskatīt, vai Noteikumu projekta 15. punktā minētā atsauce uz Noteikumu projekta 12. punktu ir vajadzīgā, ņemot vērā, ka Nacionālo bruņoto spēku uzskaites struktūrvienība attiecīgo informāciju saņem Noteikumu projekta 14. punktā.”</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9634C24" w14:textId="7FA8C098" w:rsidR="00B35425" w:rsidRPr="000A20AD" w:rsidRDefault="00B35425" w:rsidP="00385089">
            <w:pPr>
              <w:spacing w:after="0" w:line="240" w:lineRule="auto"/>
              <w:jc w:val="center"/>
              <w:rPr>
                <w:rFonts w:ascii="Times New Roman" w:eastAsia="Times New Roman" w:hAnsi="Times New Roman" w:cs="Times New Roman"/>
                <w:b/>
                <w:lang w:eastAsia="lv-LV"/>
              </w:rPr>
            </w:pPr>
            <w:r w:rsidRPr="000A20AD">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shd w:val="clear" w:color="auto" w:fill="auto"/>
          </w:tcPr>
          <w:p w14:paraId="016CEB8E" w14:textId="07F189AC" w:rsidR="00B35425" w:rsidRPr="000A20AD" w:rsidRDefault="00B35425" w:rsidP="00B35425">
            <w:pPr>
              <w:spacing w:after="0" w:line="240" w:lineRule="auto"/>
              <w:jc w:val="both"/>
              <w:rPr>
                <w:rFonts w:ascii="Times New Roman" w:eastAsia="Times New Roman" w:hAnsi="Times New Roman" w:cs="Times New Roman"/>
                <w:lang w:eastAsia="lv-LV"/>
              </w:rPr>
            </w:pPr>
            <w:r w:rsidRPr="000A20AD">
              <w:rPr>
                <w:rFonts w:ascii="Times New Roman" w:eastAsia="Times New Roman" w:hAnsi="Times New Roman" w:cs="Times New Roman"/>
                <w:lang w:eastAsia="lv-LV"/>
              </w:rPr>
              <w:t>Precizēta noteikumu projekta redakcija atbilstoši norādītajam.</w:t>
            </w:r>
          </w:p>
        </w:tc>
      </w:tr>
    </w:tbl>
    <w:p w14:paraId="33278B82" w14:textId="77777777" w:rsidR="000A20AD" w:rsidRDefault="000A20AD" w:rsidP="000A20AD"/>
    <w:p w14:paraId="0F1FB98B" w14:textId="54E411FE" w:rsidR="000A20AD" w:rsidRPr="000A20AD" w:rsidRDefault="000A20AD" w:rsidP="000A20AD">
      <w:pPr>
        <w:spacing w:after="0" w:line="240" w:lineRule="auto"/>
        <w:rPr>
          <w:rFonts w:ascii="Times New Roman" w:hAnsi="Times New Roman" w:cs="Times New Roman"/>
          <w:sz w:val="24"/>
          <w:szCs w:val="24"/>
        </w:rPr>
      </w:pPr>
      <w:r w:rsidRPr="000A20AD">
        <w:rPr>
          <w:rFonts w:ascii="Times New Roman" w:hAnsi="Times New Roman" w:cs="Times New Roman"/>
          <w:sz w:val="24"/>
          <w:szCs w:val="24"/>
        </w:rPr>
        <w:t>Atbildīgā amatpersona</w:t>
      </w:r>
      <w:r w:rsidR="002A1F9B">
        <w:rPr>
          <w:rFonts w:ascii="Times New Roman" w:hAnsi="Times New Roman" w:cs="Times New Roman"/>
          <w:sz w:val="24"/>
          <w:szCs w:val="24"/>
        </w:rPr>
        <w:t>:</w:t>
      </w:r>
    </w:p>
    <w:p w14:paraId="65FB2E43" w14:textId="77777777" w:rsidR="000A20AD" w:rsidRPr="000A20AD" w:rsidRDefault="000A20AD" w:rsidP="000A20AD">
      <w:pPr>
        <w:spacing w:after="0" w:line="240" w:lineRule="auto"/>
        <w:rPr>
          <w:rFonts w:ascii="Times New Roman" w:hAnsi="Times New Roman" w:cs="Times New Roman"/>
          <w:sz w:val="24"/>
          <w:szCs w:val="24"/>
        </w:rPr>
      </w:pPr>
      <w:r w:rsidRPr="000A20AD">
        <w:rPr>
          <w:rFonts w:ascii="Times New Roman" w:hAnsi="Times New Roman" w:cs="Times New Roman"/>
          <w:sz w:val="24"/>
          <w:szCs w:val="24"/>
        </w:rPr>
        <w:t>Aizsardzības ministri</w:t>
      </w:r>
      <w:r w:rsidRPr="000A20AD">
        <w:rPr>
          <w:rFonts w:ascii="Times New Roman" w:hAnsi="Times New Roman" w:cs="Times New Roman"/>
          <w:sz w:val="24"/>
          <w:szCs w:val="24"/>
        </w:rPr>
        <w:t>jas Krīzes vadības departamenta</w:t>
      </w:r>
    </w:p>
    <w:p w14:paraId="09C17D1B" w14:textId="77777777" w:rsidR="000A20AD" w:rsidRPr="000A20AD" w:rsidRDefault="000A20AD" w:rsidP="000A20AD">
      <w:pPr>
        <w:spacing w:after="0" w:line="240" w:lineRule="auto"/>
        <w:rPr>
          <w:rFonts w:ascii="Times New Roman" w:hAnsi="Times New Roman" w:cs="Times New Roman"/>
          <w:sz w:val="24"/>
          <w:szCs w:val="24"/>
        </w:rPr>
      </w:pPr>
      <w:r w:rsidRPr="000A20AD">
        <w:rPr>
          <w:rFonts w:ascii="Times New Roman" w:hAnsi="Times New Roman" w:cs="Times New Roman"/>
          <w:sz w:val="24"/>
          <w:szCs w:val="24"/>
        </w:rPr>
        <w:t>Visaptverošas valsts aizsardzības i</w:t>
      </w:r>
      <w:r w:rsidRPr="000A20AD">
        <w:rPr>
          <w:rFonts w:ascii="Times New Roman" w:hAnsi="Times New Roman" w:cs="Times New Roman"/>
          <w:sz w:val="24"/>
          <w:szCs w:val="24"/>
        </w:rPr>
        <w:t>eviešanas koordinācijas nodaļas</w:t>
      </w:r>
    </w:p>
    <w:p w14:paraId="678A6F78" w14:textId="77777777" w:rsidR="000A20AD" w:rsidRPr="000A20AD" w:rsidRDefault="000A20AD" w:rsidP="000A20AD">
      <w:pPr>
        <w:spacing w:after="0" w:line="240" w:lineRule="auto"/>
        <w:rPr>
          <w:rFonts w:ascii="Times New Roman" w:eastAsia="Times New Roman" w:hAnsi="Times New Roman" w:cs="Times New Roman"/>
          <w:sz w:val="24"/>
          <w:szCs w:val="24"/>
          <w:lang w:eastAsia="lv-LV"/>
        </w:rPr>
      </w:pPr>
      <w:r w:rsidRPr="000A20AD">
        <w:rPr>
          <w:rFonts w:ascii="Times New Roman" w:hAnsi="Times New Roman" w:cs="Times New Roman"/>
          <w:sz w:val="24"/>
          <w:szCs w:val="24"/>
        </w:rPr>
        <w:t>vecākais referents Armands Astukevičs</w:t>
      </w:r>
    </w:p>
    <w:p w14:paraId="2CC1B70B" w14:textId="2DB8A946" w:rsidR="002B15FE" w:rsidRPr="000A20AD" w:rsidRDefault="000A20AD" w:rsidP="002A1F9B">
      <w:pPr>
        <w:spacing w:after="0" w:line="240" w:lineRule="auto"/>
      </w:pPr>
      <w:r w:rsidRPr="000A20AD">
        <w:rPr>
          <w:rFonts w:ascii="Times New Roman" w:eastAsia="Times New Roman" w:hAnsi="Times New Roman" w:cs="Times New Roman"/>
          <w:sz w:val="24"/>
          <w:szCs w:val="24"/>
          <w:lang w:eastAsia="lv-LV"/>
        </w:rPr>
        <w:t xml:space="preserve">tālr.: </w:t>
      </w:r>
      <w:r w:rsidRPr="000A20AD">
        <w:rPr>
          <w:rFonts w:ascii="Times New Roman" w:eastAsia="Times New Roman" w:hAnsi="Times New Roman" w:cs="Times New Roman"/>
          <w:sz w:val="24"/>
          <w:szCs w:val="24"/>
          <w:lang w:eastAsia="lv-LV"/>
        </w:rPr>
        <w:t>67335258</w:t>
      </w:r>
      <w:r w:rsidRPr="000A20AD">
        <w:rPr>
          <w:rFonts w:ascii="Times New Roman" w:eastAsia="Times New Roman" w:hAnsi="Times New Roman" w:cs="Times New Roman"/>
          <w:sz w:val="24"/>
          <w:szCs w:val="24"/>
          <w:lang w:eastAsia="lv-LV"/>
        </w:rPr>
        <w:t xml:space="preserve">, e-pasts: </w:t>
      </w:r>
      <w:hyperlink r:id="rId8" w:history="1">
        <w:r w:rsidR="002A1F9B" w:rsidRPr="00F663D0">
          <w:rPr>
            <w:rStyle w:val="Hyperlink"/>
            <w:rFonts w:ascii="Times New Roman" w:eastAsia="Times New Roman" w:hAnsi="Times New Roman" w:cs="Times New Roman"/>
            <w:sz w:val="24"/>
            <w:szCs w:val="24"/>
            <w:lang w:eastAsia="lv-LV"/>
          </w:rPr>
          <w:t>Armands.Astukevics@mod.gov.lv</w:t>
        </w:r>
      </w:hyperlink>
      <w:bookmarkStart w:id="1" w:name="_GoBack"/>
      <w:bookmarkEnd w:id="1"/>
    </w:p>
    <w:sectPr w:rsidR="002B15FE" w:rsidRPr="000A20AD" w:rsidSect="002B15FE">
      <w:headerReference w:type="default" r:id="rId9"/>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AF44" w14:textId="77777777" w:rsidR="006556DF" w:rsidRDefault="006556DF" w:rsidP="009C2496">
      <w:pPr>
        <w:spacing w:after="0" w:line="240" w:lineRule="auto"/>
      </w:pPr>
      <w:r>
        <w:separator/>
      </w:r>
    </w:p>
  </w:endnote>
  <w:endnote w:type="continuationSeparator" w:id="0">
    <w:p w14:paraId="26E9478A" w14:textId="77777777" w:rsidR="006556DF" w:rsidRDefault="006556DF" w:rsidP="009C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85C73" w14:textId="4A1DFE8E" w:rsidR="00A74180" w:rsidRPr="001440AD" w:rsidRDefault="00A74180">
    <w:pPr>
      <w:pStyle w:val="Footer"/>
      <w:rPr>
        <w:rFonts w:ascii="Times New Roman" w:hAnsi="Times New Roman" w:cs="Times New Roman"/>
      </w:rPr>
    </w:pPr>
    <w:r w:rsidRPr="001440AD">
      <w:rPr>
        <w:rFonts w:ascii="Times New Roman" w:hAnsi="Times New Roman" w:cs="Times New Roman"/>
      </w:rPr>
      <w:t>AiMizz_</w:t>
    </w:r>
    <w:r w:rsidR="00FF3496">
      <w:rPr>
        <w:rFonts w:ascii="Times New Roman" w:hAnsi="Times New Roman" w:cs="Times New Roman"/>
      </w:rPr>
      <w:t>1106</w:t>
    </w:r>
    <w:r w:rsidRPr="001440AD">
      <w:rPr>
        <w:rFonts w:ascii="Times New Roman" w:hAnsi="Times New Roman" w:cs="Times New Roman"/>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DAFAD" w14:textId="77777777" w:rsidR="006556DF" w:rsidRDefault="006556DF" w:rsidP="009C2496">
      <w:pPr>
        <w:spacing w:after="0" w:line="240" w:lineRule="auto"/>
      </w:pPr>
      <w:r>
        <w:separator/>
      </w:r>
    </w:p>
  </w:footnote>
  <w:footnote w:type="continuationSeparator" w:id="0">
    <w:p w14:paraId="6B73D03C" w14:textId="77777777" w:rsidR="006556DF" w:rsidRDefault="006556DF" w:rsidP="009C2496">
      <w:pPr>
        <w:spacing w:after="0" w:line="240" w:lineRule="auto"/>
      </w:pPr>
      <w:r>
        <w:continuationSeparator/>
      </w:r>
    </w:p>
  </w:footnote>
  <w:footnote w:id="1">
    <w:p w14:paraId="4138E347" w14:textId="77777777" w:rsidR="00A74180" w:rsidRPr="000A20AD" w:rsidRDefault="00A74180" w:rsidP="00D23DA6">
      <w:pPr>
        <w:pStyle w:val="FootnoteText"/>
        <w:rPr>
          <w:rFonts w:ascii="Times New Roman" w:hAnsi="Times New Roman"/>
          <w:lang w:val="lv-LV"/>
        </w:rPr>
      </w:pPr>
      <w:r w:rsidRPr="000A20AD">
        <w:rPr>
          <w:rStyle w:val="FootnoteReference"/>
          <w:rFonts w:ascii="Times New Roman" w:hAnsi="Times New Roman"/>
          <w:lang w:val="lv-LV"/>
        </w:rPr>
        <w:footnoteRef/>
      </w:r>
      <w:r w:rsidRPr="000A20AD">
        <w:rPr>
          <w:rFonts w:ascii="Times New Roman" w:hAnsi="Times New Roman"/>
          <w:lang w:val="lv-LV"/>
        </w:rPr>
        <w:t xml:space="preserve"> Valsts pārvaldes iekārtas likuma </w:t>
      </w:r>
      <w:proofErr w:type="gramStart"/>
      <w:r w:rsidRPr="000A20AD">
        <w:rPr>
          <w:rFonts w:ascii="Times New Roman" w:hAnsi="Times New Roman"/>
          <w:lang w:val="lv-LV"/>
        </w:rPr>
        <w:t>7.pants</w:t>
      </w:r>
      <w:proofErr w:type="gramEnd"/>
      <w:r w:rsidRPr="000A20AD">
        <w:rPr>
          <w:rFonts w:ascii="Times New Roman" w:hAnsi="Times New Roman"/>
          <w:lang w:val="lv-LV"/>
        </w:rPr>
        <w:t xml:space="preserve"> (..)</w:t>
      </w:r>
    </w:p>
    <w:p w14:paraId="3E73F169" w14:textId="77777777" w:rsidR="00A74180" w:rsidRPr="000A20AD" w:rsidRDefault="00A74180" w:rsidP="00D23DA6">
      <w:pPr>
        <w:pStyle w:val="FootnoteText"/>
        <w:rPr>
          <w:rFonts w:ascii="Times New Roman" w:hAnsi="Times New Roman"/>
          <w:lang w:val="lv-LV"/>
        </w:rPr>
      </w:pPr>
      <w:r w:rsidRPr="000A20AD">
        <w:rPr>
          <w:rFonts w:ascii="Times New Roman" w:hAnsi="Times New Roman"/>
          <w:lang w:val="lv-LV"/>
        </w:rPr>
        <w:t>(3) Padotību īsteno pakļautības vai pārraudzības formā.</w:t>
      </w:r>
    </w:p>
    <w:p w14:paraId="01012217" w14:textId="77777777" w:rsidR="00A74180" w:rsidRPr="000A20AD" w:rsidRDefault="00A74180" w:rsidP="00D23DA6">
      <w:pPr>
        <w:pStyle w:val="FootnoteText"/>
        <w:rPr>
          <w:rFonts w:ascii="Times New Roman" w:hAnsi="Times New Roman"/>
          <w:lang w:val="lv-LV"/>
        </w:rPr>
      </w:pPr>
      <w:r w:rsidRPr="000A20AD">
        <w:rPr>
          <w:rFonts w:ascii="Times New Roman" w:hAnsi="Times New Roman"/>
          <w:lang w:val="lv-LV"/>
        </w:rPr>
        <w:t>(4) Pakļautība nozīmē augstākas iestādes vai amatpersonas tiesības dot rīkojumu zemākai iestādei vai amatpersonai, kā arī atcelt zemākas iestādes vai amatpersonas lēmumu.</w:t>
      </w:r>
    </w:p>
    <w:p w14:paraId="238570C6" w14:textId="77777777" w:rsidR="00A74180" w:rsidRPr="00352EB1" w:rsidRDefault="00A74180" w:rsidP="00D23DA6">
      <w:pPr>
        <w:pStyle w:val="FootnoteText"/>
        <w:rPr>
          <w:rFonts w:ascii="Times New Roman" w:hAnsi="Times New Roman"/>
        </w:rPr>
      </w:pPr>
      <w:r w:rsidRPr="000A20AD">
        <w:rPr>
          <w:rFonts w:ascii="Times New Roman" w:hAnsi="Times New Roman"/>
          <w:lang w:val="lv-LV"/>
        </w:rPr>
        <w:t>(5) Pārraudzība nozīmē augstākas iestādes vai amatpersonas tiesības pārbaudīt zemākas iestādes vai amatpersonas lēmuma tiesiskumu un atcelt prettiesisku lēmumu, kā arī prettiesiskas bezdarbības gadījumā dot rīkojumu pieņemt lēmumu.</w:t>
      </w:r>
    </w:p>
  </w:footnote>
  <w:footnote w:id="2">
    <w:p w14:paraId="25391783" w14:textId="77777777" w:rsidR="0055138A" w:rsidRPr="000A20AD" w:rsidRDefault="0055138A" w:rsidP="001F37D8">
      <w:pPr>
        <w:pStyle w:val="FootnoteText"/>
        <w:rPr>
          <w:rFonts w:ascii="Times New Roman" w:hAnsi="Times New Roman"/>
          <w:lang w:val="lv-LV"/>
        </w:rPr>
      </w:pPr>
      <w:r w:rsidRPr="000A20AD">
        <w:rPr>
          <w:rStyle w:val="FootnoteReference"/>
          <w:rFonts w:ascii="Times New Roman" w:hAnsi="Times New Roman"/>
          <w:lang w:val="lv-LV"/>
        </w:rPr>
        <w:footnoteRef/>
      </w:r>
      <w:r w:rsidRPr="000A20AD">
        <w:rPr>
          <w:rFonts w:ascii="Times New Roman" w:hAnsi="Times New Roman"/>
          <w:lang w:val="lv-LV"/>
        </w:rPr>
        <w:t xml:space="preserve"> </w:t>
      </w:r>
      <w:r w:rsidRPr="000A20AD">
        <w:rPr>
          <w:rFonts w:ascii="Times New Roman" w:hAnsi="Times New Roman"/>
          <w:shd w:val="clear" w:color="auto" w:fill="FFFFFF"/>
          <w:lang w:val="lv-LV"/>
        </w:rPr>
        <w:t>Eiropas Parlamenta un Padomes Regula (ES) 2016/679 (2016. gada 27. aprīlis) par fizisku personu aizsardzību attiecībā uz personas datu apstrādi un šādu datu brīvu apriti un ar ko atceļ Direktīvu 95/46/EK (Vispārīgā datu aizsardzības regula)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66348980"/>
      <w:docPartObj>
        <w:docPartGallery w:val="Page Numbers (Top of Page)"/>
        <w:docPartUnique/>
      </w:docPartObj>
    </w:sdtPr>
    <w:sdtEndPr>
      <w:rPr>
        <w:noProof/>
      </w:rPr>
    </w:sdtEndPr>
    <w:sdtContent>
      <w:p w14:paraId="03356238" w14:textId="6398A4F0" w:rsidR="00A74180" w:rsidRPr="00246DBD" w:rsidRDefault="00A74180">
        <w:pPr>
          <w:pStyle w:val="Header"/>
          <w:jc w:val="center"/>
          <w:rPr>
            <w:rFonts w:ascii="Times New Roman" w:hAnsi="Times New Roman" w:cs="Times New Roman"/>
          </w:rPr>
        </w:pPr>
        <w:r w:rsidRPr="00246DBD">
          <w:rPr>
            <w:rFonts w:ascii="Times New Roman" w:hAnsi="Times New Roman" w:cs="Times New Roman"/>
          </w:rPr>
          <w:fldChar w:fldCharType="begin"/>
        </w:r>
        <w:r w:rsidRPr="00246DBD">
          <w:rPr>
            <w:rFonts w:ascii="Times New Roman" w:hAnsi="Times New Roman" w:cs="Times New Roman"/>
          </w:rPr>
          <w:instrText xml:space="preserve"> PAGE   \* MERGEFORMAT </w:instrText>
        </w:r>
        <w:r w:rsidRPr="00246DBD">
          <w:rPr>
            <w:rFonts w:ascii="Times New Roman" w:hAnsi="Times New Roman" w:cs="Times New Roman"/>
          </w:rPr>
          <w:fldChar w:fldCharType="separate"/>
        </w:r>
        <w:r w:rsidR="002A1F9B">
          <w:rPr>
            <w:rFonts w:ascii="Times New Roman" w:hAnsi="Times New Roman" w:cs="Times New Roman"/>
            <w:noProof/>
          </w:rPr>
          <w:t>31</w:t>
        </w:r>
        <w:r w:rsidRPr="00246DB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18E"/>
    <w:multiLevelType w:val="hybridMultilevel"/>
    <w:tmpl w:val="76D4335E"/>
    <w:lvl w:ilvl="0" w:tplc="299489E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72501"/>
    <w:multiLevelType w:val="hybridMultilevel"/>
    <w:tmpl w:val="A2A07CE8"/>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BD611E"/>
    <w:multiLevelType w:val="hybridMultilevel"/>
    <w:tmpl w:val="CBA878CC"/>
    <w:lvl w:ilvl="0" w:tplc="80ACAB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75128F0"/>
    <w:multiLevelType w:val="hybridMultilevel"/>
    <w:tmpl w:val="91A265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A600054"/>
    <w:multiLevelType w:val="hybridMultilevel"/>
    <w:tmpl w:val="0220DC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233F09"/>
    <w:multiLevelType w:val="hybridMultilevel"/>
    <w:tmpl w:val="17C8DCCC"/>
    <w:lvl w:ilvl="0" w:tplc="B0EA7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15:restartNumberingAfterBreak="0">
    <w:nsid w:val="229B592E"/>
    <w:multiLevelType w:val="hybridMultilevel"/>
    <w:tmpl w:val="772AEA10"/>
    <w:lvl w:ilvl="0" w:tplc="43AEF284">
      <w:start w:val="1"/>
      <w:numFmt w:val="decimal"/>
      <w:lvlText w:val="%1."/>
      <w:lvlJc w:val="left"/>
      <w:pPr>
        <w:ind w:left="1080" w:hanging="360"/>
      </w:pPr>
      <w:rPr>
        <w:rFonts w:hint="default"/>
      </w:rPr>
    </w:lvl>
    <w:lvl w:ilvl="1" w:tplc="04260019">
      <w:start w:val="1"/>
      <w:numFmt w:val="lowerLetter"/>
      <w:lvlText w:val="%2."/>
      <w:lvlJc w:val="left"/>
      <w:pPr>
        <w:ind w:left="36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50B5141"/>
    <w:multiLevelType w:val="hybridMultilevel"/>
    <w:tmpl w:val="A2A07CE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CE1955"/>
    <w:multiLevelType w:val="hybridMultilevel"/>
    <w:tmpl w:val="6D722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A2521B"/>
    <w:multiLevelType w:val="hybridMultilevel"/>
    <w:tmpl w:val="7C02B598"/>
    <w:lvl w:ilvl="0" w:tplc="3FA4CE6C">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41E07214"/>
    <w:multiLevelType w:val="hybridMultilevel"/>
    <w:tmpl w:val="6D722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7E1B05"/>
    <w:multiLevelType w:val="hybridMultilevel"/>
    <w:tmpl w:val="C27A47CC"/>
    <w:lvl w:ilvl="0" w:tplc="7DD60F2E">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4E7B198F"/>
    <w:multiLevelType w:val="hybridMultilevel"/>
    <w:tmpl w:val="7C02B598"/>
    <w:lvl w:ilvl="0" w:tplc="3FA4CE6C">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F1359C6"/>
    <w:multiLevelType w:val="hybridMultilevel"/>
    <w:tmpl w:val="106687D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4" w15:restartNumberingAfterBreak="1">
    <w:nsid w:val="58B1562E"/>
    <w:multiLevelType w:val="hybridMultilevel"/>
    <w:tmpl w:val="63506798"/>
    <w:lvl w:ilvl="0" w:tplc="4C46A9B0">
      <w:start w:val="1"/>
      <w:numFmt w:val="decimal"/>
      <w:lvlText w:val="%1."/>
      <w:lvlJc w:val="left"/>
      <w:pPr>
        <w:ind w:left="644" w:hanging="360"/>
      </w:pPr>
      <w:rPr>
        <w:rFonts w:ascii="Times New Roman" w:eastAsia="Times New Roman" w:hAnsi="Times New Roman" w:cs="Times New Roman"/>
        <w:color w:val="auto"/>
        <w:sz w:val="24"/>
        <w:szCs w:val="24"/>
      </w:rPr>
    </w:lvl>
    <w:lvl w:ilvl="1" w:tplc="69601F64" w:tentative="1">
      <w:start w:val="1"/>
      <w:numFmt w:val="lowerLetter"/>
      <w:lvlText w:val="%2."/>
      <w:lvlJc w:val="left"/>
      <w:pPr>
        <w:ind w:left="1364" w:hanging="360"/>
      </w:pPr>
    </w:lvl>
    <w:lvl w:ilvl="2" w:tplc="97262626" w:tentative="1">
      <w:start w:val="1"/>
      <w:numFmt w:val="lowerRoman"/>
      <w:lvlText w:val="%3."/>
      <w:lvlJc w:val="right"/>
      <w:pPr>
        <w:ind w:left="2084" w:hanging="180"/>
      </w:pPr>
    </w:lvl>
    <w:lvl w:ilvl="3" w:tplc="01706CAE" w:tentative="1">
      <w:start w:val="1"/>
      <w:numFmt w:val="decimal"/>
      <w:lvlText w:val="%4."/>
      <w:lvlJc w:val="left"/>
      <w:pPr>
        <w:ind w:left="2804" w:hanging="360"/>
      </w:pPr>
    </w:lvl>
    <w:lvl w:ilvl="4" w:tplc="D6A2B25C" w:tentative="1">
      <w:start w:val="1"/>
      <w:numFmt w:val="lowerLetter"/>
      <w:lvlText w:val="%5."/>
      <w:lvlJc w:val="left"/>
      <w:pPr>
        <w:ind w:left="3524" w:hanging="360"/>
      </w:pPr>
    </w:lvl>
    <w:lvl w:ilvl="5" w:tplc="23363F46" w:tentative="1">
      <w:start w:val="1"/>
      <w:numFmt w:val="lowerRoman"/>
      <w:lvlText w:val="%6."/>
      <w:lvlJc w:val="right"/>
      <w:pPr>
        <w:ind w:left="4244" w:hanging="180"/>
      </w:pPr>
    </w:lvl>
    <w:lvl w:ilvl="6" w:tplc="CBA87ECA" w:tentative="1">
      <w:start w:val="1"/>
      <w:numFmt w:val="decimal"/>
      <w:lvlText w:val="%7."/>
      <w:lvlJc w:val="left"/>
      <w:pPr>
        <w:ind w:left="4964" w:hanging="360"/>
      </w:pPr>
    </w:lvl>
    <w:lvl w:ilvl="7" w:tplc="8EFCFE1C" w:tentative="1">
      <w:start w:val="1"/>
      <w:numFmt w:val="lowerLetter"/>
      <w:lvlText w:val="%8."/>
      <w:lvlJc w:val="left"/>
      <w:pPr>
        <w:ind w:left="5684" w:hanging="360"/>
      </w:pPr>
    </w:lvl>
    <w:lvl w:ilvl="8" w:tplc="0E82D89A" w:tentative="1">
      <w:start w:val="1"/>
      <w:numFmt w:val="lowerRoman"/>
      <w:lvlText w:val="%9."/>
      <w:lvlJc w:val="right"/>
      <w:pPr>
        <w:ind w:left="6404" w:hanging="180"/>
      </w:pPr>
    </w:lvl>
  </w:abstractNum>
  <w:abstractNum w:abstractNumId="15" w15:restartNumberingAfterBreak="0">
    <w:nsid w:val="5B8674A1"/>
    <w:multiLevelType w:val="hybridMultilevel"/>
    <w:tmpl w:val="A2A07CE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ED2545"/>
    <w:multiLevelType w:val="multilevel"/>
    <w:tmpl w:val="47062412"/>
    <w:lvl w:ilvl="0">
      <w:start w:val="1"/>
      <w:numFmt w:val="decimal"/>
      <w:lvlText w:val="%1."/>
      <w:lvlJc w:val="left"/>
      <w:pPr>
        <w:ind w:left="720" w:hanging="360"/>
      </w:pPr>
    </w:lvl>
    <w:lvl w:ilvl="1">
      <w:start w:val="1"/>
      <w:numFmt w:val="decimal"/>
      <w:isLgl/>
      <w:lvlText w:val="%1.%2."/>
      <w:lvlJc w:val="left"/>
      <w:pPr>
        <w:ind w:left="536"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0E632F"/>
    <w:multiLevelType w:val="hybridMultilevel"/>
    <w:tmpl w:val="7C02B598"/>
    <w:lvl w:ilvl="0" w:tplc="3FA4CE6C">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73D50E55"/>
    <w:multiLevelType w:val="hybridMultilevel"/>
    <w:tmpl w:val="25B05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9283959"/>
    <w:multiLevelType w:val="hybridMultilevel"/>
    <w:tmpl w:val="6D722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9"/>
  </w:num>
  <w:num w:numId="7">
    <w:abstractNumId w:val="8"/>
  </w:num>
  <w:num w:numId="8">
    <w:abstractNumId w:val="12"/>
  </w:num>
  <w:num w:numId="9">
    <w:abstractNumId w:val="9"/>
  </w:num>
  <w:num w:numId="10">
    <w:abstractNumId w:val="17"/>
  </w:num>
  <w:num w:numId="11">
    <w:abstractNumId w:val="14"/>
  </w:num>
  <w:num w:numId="12">
    <w:abstractNumId w:val="13"/>
  </w:num>
  <w:num w:numId="13">
    <w:abstractNumId w:val="11"/>
  </w:num>
  <w:num w:numId="14">
    <w:abstractNumId w:val="6"/>
  </w:num>
  <w:num w:numId="15">
    <w:abstractNumId w:val="3"/>
  </w:num>
  <w:num w:numId="16">
    <w:abstractNumId w:val="1"/>
  </w:num>
  <w:num w:numId="17">
    <w:abstractNumId w:val="7"/>
  </w:num>
  <w:num w:numId="18">
    <w:abstractNumId w:val="2"/>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006503"/>
    <w:rsid w:val="00012DD5"/>
    <w:rsid w:val="00013636"/>
    <w:rsid w:val="0002501D"/>
    <w:rsid w:val="000262F4"/>
    <w:rsid w:val="00030682"/>
    <w:rsid w:val="0004255D"/>
    <w:rsid w:val="0004575C"/>
    <w:rsid w:val="000642CE"/>
    <w:rsid w:val="00074C6C"/>
    <w:rsid w:val="00075D2A"/>
    <w:rsid w:val="000807A0"/>
    <w:rsid w:val="00085327"/>
    <w:rsid w:val="000A20AD"/>
    <w:rsid w:val="000A4DC4"/>
    <w:rsid w:val="000B5DE6"/>
    <w:rsid w:val="000B7A41"/>
    <w:rsid w:val="000C01B8"/>
    <w:rsid w:val="000C2214"/>
    <w:rsid w:val="000D26CA"/>
    <w:rsid w:val="000D70B0"/>
    <w:rsid w:val="000E0EB3"/>
    <w:rsid w:val="000E4BC3"/>
    <w:rsid w:val="000F352A"/>
    <w:rsid w:val="000F556C"/>
    <w:rsid w:val="000F7CC8"/>
    <w:rsid w:val="00104A38"/>
    <w:rsid w:val="00105A8F"/>
    <w:rsid w:val="00106176"/>
    <w:rsid w:val="00112CC6"/>
    <w:rsid w:val="00121196"/>
    <w:rsid w:val="00143D7D"/>
    <w:rsid w:val="001440AD"/>
    <w:rsid w:val="001557B8"/>
    <w:rsid w:val="0016301D"/>
    <w:rsid w:val="001651BB"/>
    <w:rsid w:val="001665A8"/>
    <w:rsid w:val="00181D09"/>
    <w:rsid w:val="001832F1"/>
    <w:rsid w:val="00186F28"/>
    <w:rsid w:val="001870F0"/>
    <w:rsid w:val="001A697E"/>
    <w:rsid w:val="001C6A77"/>
    <w:rsid w:val="001D3379"/>
    <w:rsid w:val="001D372B"/>
    <w:rsid w:val="001F37D8"/>
    <w:rsid w:val="002042C0"/>
    <w:rsid w:val="00244C0E"/>
    <w:rsid w:val="0024550B"/>
    <w:rsid w:val="00246DBD"/>
    <w:rsid w:val="002636CC"/>
    <w:rsid w:val="00263D0A"/>
    <w:rsid w:val="00271EBB"/>
    <w:rsid w:val="00272B12"/>
    <w:rsid w:val="0027717E"/>
    <w:rsid w:val="002A1F9B"/>
    <w:rsid w:val="002A4564"/>
    <w:rsid w:val="002B15FE"/>
    <w:rsid w:val="002B4302"/>
    <w:rsid w:val="002C1FE7"/>
    <w:rsid w:val="002D1975"/>
    <w:rsid w:val="002E2EBE"/>
    <w:rsid w:val="0030136C"/>
    <w:rsid w:val="00303A8C"/>
    <w:rsid w:val="00315F91"/>
    <w:rsid w:val="0031739C"/>
    <w:rsid w:val="00320789"/>
    <w:rsid w:val="003246BB"/>
    <w:rsid w:val="00326BA8"/>
    <w:rsid w:val="00327DC1"/>
    <w:rsid w:val="00346D26"/>
    <w:rsid w:val="00352EB1"/>
    <w:rsid w:val="00361DA8"/>
    <w:rsid w:val="00373E55"/>
    <w:rsid w:val="00376463"/>
    <w:rsid w:val="0038187A"/>
    <w:rsid w:val="00385089"/>
    <w:rsid w:val="00393DF4"/>
    <w:rsid w:val="0039428C"/>
    <w:rsid w:val="003A35EE"/>
    <w:rsid w:val="003A6C95"/>
    <w:rsid w:val="003C421F"/>
    <w:rsid w:val="003F66BD"/>
    <w:rsid w:val="00402224"/>
    <w:rsid w:val="00420301"/>
    <w:rsid w:val="00420A33"/>
    <w:rsid w:val="0042219F"/>
    <w:rsid w:val="0042243B"/>
    <w:rsid w:val="00431514"/>
    <w:rsid w:val="00434144"/>
    <w:rsid w:val="00434FA6"/>
    <w:rsid w:val="00441EB8"/>
    <w:rsid w:val="00446C34"/>
    <w:rsid w:val="00447672"/>
    <w:rsid w:val="00451268"/>
    <w:rsid w:val="004567FA"/>
    <w:rsid w:val="00464213"/>
    <w:rsid w:val="0046544B"/>
    <w:rsid w:val="00465E63"/>
    <w:rsid w:val="0046747A"/>
    <w:rsid w:val="00472F99"/>
    <w:rsid w:val="00486E1A"/>
    <w:rsid w:val="004975E3"/>
    <w:rsid w:val="004B46FD"/>
    <w:rsid w:val="004B5839"/>
    <w:rsid w:val="004B681A"/>
    <w:rsid w:val="004C71F3"/>
    <w:rsid w:val="004C79E4"/>
    <w:rsid w:val="004D6B41"/>
    <w:rsid w:val="004E0A8F"/>
    <w:rsid w:val="004F5040"/>
    <w:rsid w:val="004F5549"/>
    <w:rsid w:val="004F7255"/>
    <w:rsid w:val="00530006"/>
    <w:rsid w:val="00536384"/>
    <w:rsid w:val="0054671D"/>
    <w:rsid w:val="005503B8"/>
    <w:rsid w:val="0055138A"/>
    <w:rsid w:val="00551B9C"/>
    <w:rsid w:val="00554A38"/>
    <w:rsid w:val="00557DB1"/>
    <w:rsid w:val="00561173"/>
    <w:rsid w:val="00571D8E"/>
    <w:rsid w:val="00582FF0"/>
    <w:rsid w:val="00584839"/>
    <w:rsid w:val="005868C6"/>
    <w:rsid w:val="00597242"/>
    <w:rsid w:val="005A3951"/>
    <w:rsid w:val="005B1FA3"/>
    <w:rsid w:val="005B3AF2"/>
    <w:rsid w:val="005C416B"/>
    <w:rsid w:val="005D0A9E"/>
    <w:rsid w:val="005D246C"/>
    <w:rsid w:val="005D3D73"/>
    <w:rsid w:val="005F0BED"/>
    <w:rsid w:val="005F4444"/>
    <w:rsid w:val="005F5380"/>
    <w:rsid w:val="00607945"/>
    <w:rsid w:val="0061398A"/>
    <w:rsid w:val="00634874"/>
    <w:rsid w:val="00635090"/>
    <w:rsid w:val="00635333"/>
    <w:rsid w:val="00647D37"/>
    <w:rsid w:val="006556DF"/>
    <w:rsid w:val="00656AC7"/>
    <w:rsid w:val="00661A47"/>
    <w:rsid w:val="00686587"/>
    <w:rsid w:val="006944C0"/>
    <w:rsid w:val="006A5C3E"/>
    <w:rsid w:val="006B779C"/>
    <w:rsid w:val="006C2E47"/>
    <w:rsid w:val="006D029D"/>
    <w:rsid w:val="006D03B4"/>
    <w:rsid w:val="006F2B7F"/>
    <w:rsid w:val="00704872"/>
    <w:rsid w:val="00724D8C"/>
    <w:rsid w:val="0073240A"/>
    <w:rsid w:val="00743D16"/>
    <w:rsid w:val="00756B70"/>
    <w:rsid w:val="00767083"/>
    <w:rsid w:val="00771A6B"/>
    <w:rsid w:val="00772F81"/>
    <w:rsid w:val="0077737D"/>
    <w:rsid w:val="007807EE"/>
    <w:rsid w:val="0078375F"/>
    <w:rsid w:val="00796A21"/>
    <w:rsid w:val="007B4A29"/>
    <w:rsid w:val="007B74AC"/>
    <w:rsid w:val="007B781F"/>
    <w:rsid w:val="007E5A56"/>
    <w:rsid w:val="007F05E7"/>
    <w:rsid w:val="007F43B1"/>
    <w:rsid w:val="00807393"/>
    <w:rsid w:val="008144A4"/>
    <w:rsid w:val="00820EE5"/>
    <w:rsid w:val="008322A6"/>
    <w:rsid w:val="008605F0"/>
    <w:rsid w:val="00862E2B"/>
    <w:rsid w:val="00864151"/>
    <w:rsid w:val="008647A5"/>
    <w:rsid w:val="00873A53"/>
    <w:rsid w:val="008800C6"/>
    <w:rsid w:val="008A2FA7"/>
    <w:rsid w:val="008A4AB8"/>
    <w:rsid w:val="008B6E0E"/>
    <w:rsid w:val="008C37A2"/>
    <w:rsid w:val="008C4DFE"/>
    <w:rsid w:val="008E3C58"/>
    <w:rsid w:val="008F7C05"/>
    <w:rsid w:val="00911706"/>
    <w:rsid w:val="00920079"/>
    <w:rsid w:val="00920FF7"/>
    <w:rsid w:val="00921D32"/>
    <w:rsid w:val="00924764"/>
    <w:rsid w:val="00925979"/>
    <w:rsid w:val="00947F16"/>
    <w:rsid w:val="00982C0F"/>
    <w:rsid w:val="00983DDC"/>
    <w:rsid w:val="009876A0"/>
    <w:rsid w:val="00990CE5"/>
    <w:rsid w:val="009A26F8"/>
    <w:rsid w:val="009A68B7"/>
    <w:rsid w:val="009B5A88"/>
    <w:rsid w:val="009C2496"/>
    <w:rsid w:val="009D1708"/>
    <w:rsid w:val="009D18A5"/>
    <w:rsid w:val="009D3351"/>
    <w:rsid w:val="009E7E95"/>
    <w:rsid w:val="009F0C16"/>
    <w:rsid w:val="00A0575B"/>
    <w:rsid w:val="00A14B02"/>
    <w:rsid w:val="00A1712C"/>
    <w:rsid w:val="00A43679"/>
    <w:rsid w:val="00A47751"/>
    <w:rsid w:val="00A74180"/>
    <w:rsid w:val="00A948BC"/>
    <w:rsid w:val="00AA77B0"/>
    <w:rsid w:val="00AB259E"/>
    <w:rsid w:val="00AB5BF4"/>
    <w:rsid w:val="00AC62D2"/>
    <w:rsid w:val="00AE72AB"/>
    <w:rsid w:val="00AE766E"/>
    <w:rsid w:val="00AF77DA"/>
    <w:rsid w:val="00B07892"/>
    <w:rsid w:val="00B07A8E"/>
    <w:rsid w:val="00B13C39"/>
    <w:rsid w:val="00B209C6"/>
    <w:rsid w:val="00B30AE0"/>
    <w:rsid w:val="00B35425"/>
    <w:rsid w:val="00B440FB"/>
    <w:rsid w:val="00B621F3"/>
    <w:rsid w:val="00B6311E"/>
    <w:rsid w:val="00B80610"/>
    <w:rsid w:val="00B80A41"/>
    <w:rsid w:val="00B82A21"/>
    <w:rsid w:val="00B92B8C"/>
    <w:rsid w:val="00BA19E0"/>
    <w:rsid w:val="00BA31E6"/>
    <w:rsid w:val="00BB282D"/>
    <w:rsid w:val="00BD14C7"/>
    <w:rsid w:val="00BD641A"/>
    <w:rsid w:val="00BD6C2B"/>
    <w:rsid w:val="00BE500D"/>
    <w:rsid w:val="00BF345D"/>
    <w:rsid w:val="00C119B4"/>
    <w:rsid w:val="00C16E10"/>
    <w:rsid w:val="00C32E55"/>
    <w:rsid w:val="00C41CC2"/>
    <w:rsid w:val="00C44664"/>
    <w:rsid w:val="00C4480D"/>
    <w:rsid w:val="00C47EA2"/>
    <w:rsid w:val="00C52BC1"/>
    <w:rsid w:val="00C57DDB"/>
    <w:rsid w:val="00C627E1"/>
    <w:rsid w:val="00C95CF5"/>
    <w:rsid w:val="00CA27FD"/>
    <w:rsid w:val="00CA556F"/>
    <w:rsid w:val="00CB0FB0"/>
    <w:rsid w:val="00CB4B92"/>
    <w:rsid w:val="00CC67D0"/>
    <w:rsid w:val="00CD7364"/>
    <w:rsid w:val="00CE0914"/>
    <w:rsid w:val="00CF18D8"/>
    <w:rsid w:val="00CF30CB"/>
    <w:rsid w:val="00CF6CC0"/>
    <w:rsid w:val="00D15157"/>
    <w:rsid w:val="00D23DA6"/>
    <w:rsid w:val="00D23FFE"/>
    <w:rsid w:val="00D243E4"/>
    <w:rsid w:val="00D25653"/>
    <w:rsid w:val="00D3284D"/>
    <w:rsid w:val="00D378CA"/>
    <w:rsid w:val="00D405E3"/>
    <w:rsid w:val="00D437DF"/>
    <w:rsid w:val="00D463F3"/>
    <w:rsid w:val="00D5460F"/>
    <w:rsid w:val="00D57E5D"/>
    <w:rsid w:val="00D83B5E"/>
    <w:rsid w:val="00D96793"/>
    <w:rsid w:val="00DA17AB"/>
    <w:rsid w:val="00DE6D39"/>
    <w:rsid w:val="00DF20ED"/>
    <w:rsid w:val="00DF2520"/>
    <w:rsid w:val="00E004E3"/>
    <w:rsid w:val="00E100AC"/>
    <w:rsid w:val="00E16333"/>
    <w:rsid w:val="00E20792"/>
    <w:rsid w:val="00E21A4E"/>
    <w:rsid w:val="00E237F8"/>
    <w:rsid w:val="00E2552E"/>
    <w:rsid w:val="00E40844"/>
    <w:rsid w:val="00E42B3D"/>
    <w:rsid w:val="00E43CBC"/>
    <w:rsid w:val="00E43FB2"/>
    <w:rsid w:val="00E44854"/>
    <w:rsid w:val="00E5597B"/>
    <w:rsid w:val="00E76148"/>
    <w:rsid w:val="00E77655"/>
    <w:rsid w:val="00E77DF3"/>
    <w:rsid w:val="00E82E4A"/>
    <w:rsid w:val="00E84C73"/>
    <w:rsid w:val="00E9381D"/>
    <w:rsid w:val="00EC5C32"/>
    <w:rsid w:val="00ED4A44"/>
    <w:rsid w:val="00EE0199"/>
    <w:rsid w:val="00EE231C"/>
    <w:rsid w:val="00EF4583"/>
    <w:rsid w:val="00EF60C4"/>
    <w:rsid w:val="00F028C6"/>
    <w:rsid w:val="00F067AA"/>
    <w:rsid w:val="00F1591D"/>
    <w:rsid w:val="00F15B93"/>
    <w:rsid w:val="00F2270C"/>
    <w:rsid w:val="00F23D52"/>
    <w:rsid w:val="00F47399"/>
    <w:rsid w:val="00F57FA0"/>
    <w:rsid w:val="00F650F5"/>
    <w:rsid w:val="00F66DA9"/>
    <w:rsid w:val="00F9074D"/>
    <w:rsid w:val="00F925C6"/>
    <w:rsid w:val="00FC18B0"/>
    <w:rsid w:val="00FD653E"/>
    <w:rsid w:val="00FF1695"/>
    <w:rsid w:val="00FF3496"/>
    <w:rsid w:val="00FF5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945B"/>
  <w15:chartTrackingRefBased/>
  <w15:docId w15:val="{18359CE6-D2B5-4DA5-A260-C41C18D3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40FB"/>
    <w:pPr>
      <w:spacing w:after="0" w:line="240" w:lineRule="auto"/>
    </w:pPr>
    <w:rPr>
      <w:rFonts w:ascii="Calibri" w:hAnsi="Calibri" w:cs="Calibri"/>
    </w:rPr>
  </w:style>
  <w:style w:type="paragraph" w:styleId="ListParagraph">
    <w:name w:val="List Paragraph"/>
    <w:basedOn w:val="Normal"/>
    <w:uiPriority w:val="34"/>
    <w:qFormat/>
    <w:rsid w:val="00B440FB"/>
    <w:pPr>
      <w:widowControl w:val="0"/>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C24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2496"/>
  </w:style>
  <w:style w:type="paragraph" w:styleId="Footer">
    <w:name w:val="footer"/>
    <w:basedOn w:val="Normal"/>
    <w:link w:val="FooterChar"/>
    <w:uiPriority w:val="99"/>
    <w:unhideWhenUsed/>
    <w:rsid w:val="009C24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2496"/>
  </w:style>
  <w:style w:type="character" w:customStyle="1" w:styleId="st1">
    <w:name w:val="st1"/>
    <w:basedOn w:val="DefaultParagraphFont"/>
    <w:rsid w:val="00C119B4"/>
  </w:style>
  <w:style w:type="paragraph" w:styleId="BalloonText">
    <w:name w:val="Balloon Text"/>
    <w:basedOn w:val="Normal"/>
    <w:link w:val="BalloonTextChar"/>
    <w:uiPriority w:val="99"/>
    <w:semiHidden/>
    <w:unhideWhenUsed/>
    <w:rsid w:val="000A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C4"/>
    <w:rPr>
      <w:rFonts w:ascii="Segoe UI" w:hAnsi="Segoe UI" w:cs="Segoe UI"/>
      <w:sz w:val="18"/>
      <w:szCs w:val="18"/>
    </w:rPr>
  </w:style>
  <w:style w:type="character" w:styleId="CommentReference">
    <w:name w:val="annotation reference"/>
    <w:basedOn w:val="DefaultParagraphFont"/>
    <w:uiPriority w:val="99"/>
    <w:semiHidden/>
    <w:unhideWhenUsed/>
    <w:rsid w:val="00AA77B0"/>
    <w:rPr>
      <w:sz w:val="16"/>
      <w:szCs w:val="16"/>
    </w:rPr>
  </w:style>
  <w:style w:type="paragraph" w:styleId="CommentText">
    <w:name w:val="annotation text"/>
    <w:basedOn w:val="Normal"/>
    <w:link w:val="CommentTextChar"/>
    <w:uiPriority w:val="99"/>
    <w:semiHidden/>
    <w:unhideWhenUsed/>
    <w:rsid w:val="00AA77B0"/>
    <w:pPr>
      <w:spacing w:line="240" w:lineRule="auto"/>
    </w:pPr>
    <w:rPr>
      <w:sz w:val="20"/>
      <w:szCs w:val="20"/>
    </w:rPr>
  </w:style>
  <w:style w:type="character" w:customStyle="1" w:styleId="CommentTextChar">
    <w:name w:val="Comment Text Char"/>
    <w:basedOn w:val="DefaultParagraphFont"/>
    <w:link w:val="CommentText"/>
    <w:uiPriority w:val="99"/>
    <w:semiHidden/>
    <w:rsid w:val="00AA77B0"/>
    <w:rPr>
      <w:sz w:val="20"/>
      <w:szCs w:val="20"/>
    </w:rPr>
  </w:style>
  <w:style w:type="paragraph" w:styleId="CommentSubject">
    <w:name w:val="annotation subject"/>
    <w:basedOn w:val="CommentText"/>
    <w:next w:val="CommentText"/>
    <w:link w:val="CommentSubjectChar"/>
    <w:uiPriority w:val="99"/>
    <w:semiHidden/>
    <w:unhideWhenUsed/>
    <w:rsid w:val="00AA77B0"/>
    <w:rPr>
      <w:b/>
      <w:bCs/>
    </w:rPr>
  </w:style>
  <w:style w:type="character" w:customStyle="1" w:styleId="CommentSubjectChar">
    <w:name w:val="Comment Subject Char"/>
    <w:basedOn w:val="CommentTextChar"/>
    <w:link w:val="CommentSubject"/>
    <w:uiPriority w:val="99"/>
    <w:semiHidden/>
    <w:rsid w:val="00AA77B0"/>
    <w:rPr>
      <w:b/>
      <w:bCs/>
      <w:sz w:val="20"/>
      <w:szCs w:val="20"/>
    </w:rPr>
  </w:style>
  <w:style w:type="character" w:customStyle="1" w:styleId="spelle">
    <w:name w:val="spelle"/>
    <w:basedOn w:val="DefaultParagraphFont"/>
    <w:rsid w:val="00BF345D"/>
  </w:style>
  <w:style w:type="paragraph" w:customStyle="1" w:styleId="tv213">
    <w:name w:val="tv213"/>
    <w:basedOn w:val="Normal"/>
    <w:rsid w:val="00B07A8E"/>
    <w:pPr>
      <w:spacing w:before="100" w:beforeAutospacing="1" w:after="100" w:afterAutospacing="1" w:line="240" w:lineRule="auto"/>
      <w:jc w:val="both"/>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07A8E"/>
    <w:pPr>
      <w:widowControl w:val="0"/>
      <w:spacing w:after="0" w:line="240" w:lineRule="auto"/>
      <w:jc w:val="both"/>
    </w:pPr>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B07A8E"/>
    <w:rPr>
      <w:rFonts w:eastAsia="Calibri" w:cs="Times New Roman"/>
      <w:sz w:val="20"/>
      <w:szCs w:val="20"/>
      <w:lang w:val="en-US"/>
    </w:rPr>
  </w:style>
  <w:style w:type="character" w:styleId="FootnoteReference">
    <w:name w:val="footnote reference"/>
    <w:basedOn w:val="DefaultParagraphFont"/>
    <w:uiPriority w:val="99"/>
    <w:semiHidden/>
    <w:unhideWhenUsed/>
    <w:rsid w:val="00B07A8E"/>
    <w:rPr>
      <w:vertAlign w:val="superscript"/>
    </w:rPr>
  </w:style>
  <w:style w:type="paragraph" w:styleId="NormalWeb">
    <w:name w:val="Normal (Web)"/>
    <w:basedOn w:val="Normal"/>
    <w:uiPriority w:val="99"/>
    <w:semiHidden/>
    <w:unhideWhenUsed/>
    <w:rsid w:val="00420301"/>
    <w:pPr>
      <w:spacing w:before="100" w:beforeAutospacing="1" w:after="100" w:afterAutospacing="1" w:line="240" w:lineRule="auto"/>
    </w:pPr>
    <w:rPr>
      <w:rFonts w:ascii="Times New Roman" w:hAnsi="Times New Roman" w:cs="Times New Roman"/>
      <w:sz w:val="24"/>
      <w:szCs w:val="24"/>
      <w:lang w:eastAsia="lv-LV"/>
    </w:rPr>
  </w:style>
  <w:style w:type="character" w:styleId="Hyperlink">
    <w:name w:val="Hyperlink"/>
    <w:basedOn w:val="DefaultParagraphFont"/>
    <w:uiPriority w:val="99"/>
    <w:unhideWhenUsed/>
    <w:rsid w:val="002A1F9B"/>
    <w:rPr>
      <w:color w:val="0563C1" w:themeColor="hyperlink"/>
      <w:u w:val="single"/>
    </w:rPr>
  </w:style>
  <w:style w:type="paragraph" w:customStyle="1" w:styleId="naisf">
    <w:name w:val="naisf"/>
    <w:basedOn w:val="Normal"/>
    <w:rsid w:val="002A1F9B"/>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18165">
      <w:bodyDiv w:val="1"/>
      <w:marLeft w:val="0"/>
      <w:marRight w:val="0"/>
      <w:marTop w:val="0"/>
      <w:marBottom w:val="0"/>
      <w:divBdr>
        <w:top w:val="none" w:sz="0" w:space="0" w:color="auto"/>
        <w:left w:val="none" w:sz="0" w:space="0" w:color="auto"/>
        <w:bottom w:val="none" w:sz="0" w:space="0" w:color="auto"/>
        <w:right w:val="none" w:sz="0" w:space="0" w:color="auto"/>
      </w:divBdr>
    </w:div>
    <w:div w:id="1057555201">
      <w:bodyDiv w:val="1"/>
      <w:marLeft w:val="0"/>
      <w:marRight w:val="0"/>
      <w:marTop w:val="0"/>
      <w:marBottom w:val="0"/>
      <w:divBdr>
        <w:top w:val="none" w:sz="0" w:space="0" w:color="auto"/>
        <w:left w:val="none" w:sz="0" w:space="0" w:color="auto"/>
        <w:bottom w:val="none" w:sz="0" w:space="0" w:color="auto"/>
        <w:right w:val="none" w:sz="0" w:space="0" w:color="auto"/>
      </w:divBdr>
    </w:div>
    <w:div w:id="16631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ds.Astukevics@mo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2832-4D85-42D4-823C-3E081711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37649</Words>
  <Characters>21460</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Rublevska</dc:creator>
  <cp:keywords/>
  <dc:description/>
  <cp:lastModifiedBy>Irina Zeigliša</cp:lastModifiedBy>
  <cp:revision>4</cp:revision>
  <cp:lastPrinted>2020-09-04T11:40:00Z</cp:lastPrinted>
  <dcterms:created xsi:type="dcterms:W3CDTF">2021-06-09T12:33:00Z</dcterms:created>
  <dcterms:modified xsi:type="dcterms:W3CDTF">2021-06-16T16:41:00Z</dcterms:modified>
</cp:coreProperties>
</file>