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20236" w14:textId="77777777" w:rsidR="00E92E8E" w:rsidRDefault="00EA6CD3" w:rsidP="00A87D1C">
      <w:pPr>
        <w:contextualSpacing/>
        <w:jc w:val="center"/>
        <w:rPr>
          <w:b/>
          <w:sz w:val="26"/>
          <w:szCs w:val="26"/>
          <w:lang w:val="lv-LV"/>
        </w:rPr>
      </w:pPr>
      <w:bookmarkStart w:id="0" w:name="OLE_LINK3"/>
      <w:bookmarkStart w:id="1" w:name="OLE_LINK1"/>
      <w:bookmarkStart w:id="2" w:name="OLE_LINK2"/>
      <w:r w:rsidRPr="001319E5">
        <w:rPr>
          <w:b/>
          <w:sz w:val="26"/>
          <w:szCs w:val="26"/>
          <w:lang w:val="lv-LV"/>
        </w:rPr>
        <w:t>Ministru kabineta noteikumu projekta</w:t>
      </w:r>
      <w:bookmarkStart w:id="3" w:name="OLE_LINK7"/>
      <w:bookmarkStart w:id="4" w:name="OLE_LINK8"/>
    </w:p>
    <w:p w14:paraId="088F7E8E" w14:textId="291196E6" w:rsidR="00EA6CD3" w:rsidRPr="001319E5" w:rsidRDefault="00E66147" w:rsidP="00A87D1C">
      <w:pPr>
        <w:contextualSpacing/>
        <w:jc w:val="center"/>
        <w:rPr>
          <w:b/>
          <w:sz w:val="26"/>
          <w:szCs w:val="26"/>
          <w:lang w:val="lv-LV"/>
        </w:rPr>
      </w:pPr>
      <w:r w:rsidRPr="001319E5">
        <w:rPr>
          <w:b/>
          <w:sz w:val="26"/>
          <w:szCs w:val="26"/>
          <w:lang w:val="lv-LV"/>
        </w:rPr>
        <w:t>“</w:t>
      </w:r>
      <w:r w:rsidR="00FE76B5" w:rsidRPr="001319E5">
        <w:rPr>
          <w:b/>
          <w:sz w:val="26"/>
          <w:szCs w:val="26"/>
          <w:lang w:val="lv-LV"/>
        </w:rPr>
        <w:t>Grozījum</w:t>
      </w:r>
      <w:r w:rsidR="00CC2804">
        <w:rPr>
          <w:b/>
          <w:sz w:val="26"/>
          <w:szCs w:val="26"/>
          <w:lang w:val="lv-LV"/>
        </w:rPr>
        <w:t>i</w:t>
      </w:r>
      <w:r w:rsidR="00FE76B5" w:rsidRPr="001319E5">
        <w:rPr>
          <w:b/>
          <w:sz w:val="26"/>
          <w:szCs w:val="26"/>
          <w:lang w:val="lv-LV"/>
        </w:rPr>
        <w:t xml:space="preserve"> Ministru kabineta 2016.</w:t>
      </w:r>
      <w:r w:rsidR="006C7FAA">
        <w:rPr>
          <w:b/>
          <w:sz w:val="26"/>
          <w:szCs w:val="26"/>
          <w:lang w:val="lv-LV"/>
        </w:rPr>
        <w:t xml:space="preserve"> </w:t>
      </w:r>
      <w:r w:rsidR="00FE76B5" w:rsidRPr="001319E5">
        <w:rPr>
          <w:b/>
          <w:sz w:val="26"/>
          <w:szCs w:val="26"/>
          <w:lang w:val="lv-LV"/>
        </w:rPr>
        <w:t xml:space="preserve">gada </w:t>
      </w:r>
      <w:r w:rsidR="00123887" w:rsidRPr="001319E5">
        <w:rPr>
          <w:b/>
          <w:sz w:val="26"/>
          <w:szCs w:val="26"/>
          <w:lang w:val="lv-LV"/>
        </w:rPr>
        <w:t>1</w:t>
      </w:r>
      <w:r w:rsidR="00AB13CC" w:rsidRPr="001319E5">
        <w:rPr>
          <w:b/>
          <w:sz w:val="26"/>
          <w:szCs w:val="26"/>
          <w:lang w:val="lv-LV"/>
        </w:rPr>
        <w:t>2</w:t>
      </w:r>
      <w:r w:rsidR="00123887" w:rsidRPr="001319E5">
        <w:rPr>
          <w:b/>
          <w:sz w:val="26"/>
          <w:szCs w:val="26"/>
          <w:lang w:val="lv-LV"/>
        </w:rPr>
        <w:t>.</w:t>
      </w:r>
      <w:r w:rsidR="006C7FAA">
        <w:rPr>
          <w:b/>
          <w:sz w:val="26"/>
          <w:szCs w:val="26"/>
          <w:lang w:val="lv-LV"/>
        </w:rPr>
        <w:t xml:space="preserve"> </w:t>
      </w:r>
      <w:r w:rsidR="000B3A3F" w:rsidRPr="001319E5">
        <w:rPr>
          <w:b/>
          <w:sz w:val="26"/>
          <w:szCs w:val="26"/>
          <w:lang w:val="lv-LV"/>
        </w:rPr>
        <w:t>aprīļa</w:t>
      </w:r>
      <w:r w:rsidR="00FE76B5" w:rsidRPr="001319E5">
        <w:rPr>
          <w:b/>
          <w:sz w:val="26"/>
          <w:szCs w:val="26"/>
          <w:lang w:val="lv-LV"/>
        </w:rPr>
        <w:t xml:space="preserve"> noteikumos Nr.</w:t>
      </w:r>
      <w:r w:rsidR="006C7FAA">
        <w:rPr>
          <w:b/>
          <w:sz w:val="26"/>
          <w:szCs w:val="26"/>
          <w:lang w:val="lv-LV"/>
        </w:rPr>
        <w:t xml:space="preserve"> </w:t>
      </w:r>
      <w:r w:rsidR="000B3A3F" w:rsidRPr="001319E5">
        <w:rPr>
          <w:b/>
          <w:sz w:val="26"/>
          <w:szCs w:val="26"/>
          <w:lang w:val="lv-LV"/>
        </w:rPr>
        <w:t>226</w:t>
      </w:r>
      <w:r w:rsidR="00FE76B5" w:rsidRPr="001319E5">
        <w:rPr>
          <w:b/>
          <w:sz w:val="26"/>
          <w:szCs w:val="26"/>
          <w:lang w:val="lv-LV"/>
        </w:rPr>
        <w:t xml:space="preserve"> </w:t>
      </w:r>
      <w:r w:rsidR="00187921" w:rsidRPr="001319E5">
        <w:rPr>
          <w:lang w:val="lv-LV"/>
        </w:rPr>
        <w:t>“</w:t>
      </w:r>
      <w:r w:rsidR="000B3A3F" w:rsidRPr="001319E5">
        <w:rPr>
          <w:b/>
          <w:sz w:val="26"/>
          <w:szCs w:val="26"/>
          <w:lang w:val="lv-LV"/>
        </w:rPr>
        <w:t>Noteikumi par akcelerācijas fondiem saimnieciskās darbības veicēju izveides, attīstības un konkurētspējas veicināšanai</w:t>
      </w:r>
      <w:r w:rsidR="00FE76B5" w:rsidRPr="001319E5">
        <w:rPr>
          <w:b/>
          <w:sz w:val="26"/>
          <w:szCs w:val="26"/>
          <w:lang w:val="lv-LV"/>
        </w:rPr>
        <w:t>”</w:t>
      </w:r>
      <w:r w:rsidR="00EA6CD3" w:rsidRPr="001319E5">
        <w:rPr>
          <w:b/>
          <w:sz w:val="26"/>
          <w:szCs w:val="26"/>
          <w:lang w:val="lv-LV"/>
        </w:rPr>
        <w:t>”</w:t>
      </w:r>
      <w:bookmarkEnd w:id="3"/>
      <w:bookmarkEnd w:id="4"/>
      <w:r w:rsidR="00844176" w:rsidRPr="001319E5">
        <w:rPr>
          <w:b/>
          <w:sz w:val="26"/>
          <w:szCs w:val="26"/>
          <w:lang w:val="lv-LV"/>
        </w:rPr>
        <w:t xml:space="preserve"> </w:t>
      </w:r>
      <w:r w:rsidR="00EA6CD3" w:rsidRPr="001319E5">
        <w:rPr>
          <w:b/>
          <w:sz w:val="26"/>
          <w:szCs w:val="26"/>
          <w:lang w:val="lv-LV"/>
        </w:rPr>
        <w:t>sākotnējās ietekmes novērtējuma ziņojums (anotācija)</w:t>
      </w:r>
    </w:p>
    <w:p w14:paraId="4F03DE00" w14:textId="77777777" w:rsidR="00310924" w:rsidRPr="001319E5" w:rsidRDefault="00310924" w:rsidP="007B27D9">
      <w:pPr>
        <w:contextualSpacing/>
        <w:rPr>
          <w:b/>
          <w:sz w:val="26"/>
          <w:szCs w:val="26"/>
          <w:lang w:val="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0"/>
        <w:gridCol w:w="6245"/>
      </w:tblGrid>
      <w:tr w:rsidR="00310924" w:rsidRPr="001319E5" w14:paraId="06A3987D" w14:textId="77777777" w:rsidTr="006F29AD">
        <w:trPr>
          <w:trHeight w:val="267"/>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1319E5" w:rsidRDefault="00310924" w:rsidP="00443C9D">
            <w:pPr>
              <w:contextualSpacing/>
              <w:jc w:val="center"/>
              <w:rPr>
                <w:rFonts w:eastAsia="Times New Roman"/>
                <w:b/>
                <w:bCs/>
                <w:iCs/>
                <w:sz w:val="24"/>
                <w:szCs w:val="24"/>
                <w:lang w:val="lv-LV" w:eastAsia="lv-LV"/>
              </w:rPr>
            </w:pPr>
            <w:r w:rsidRPr="001319E5">
              <w:rPr>
                <w:rFonts w:eastAsia="Times New Roman"/>
                <w:b/>
                <w:bCs/>
                <w:iCs/>
                <w:sz w:val="24"/>
                <w:szCs w:val="24"/>
                <w:lang w:val="lv-LV" w:eastAsia="lv-LV"/>
              </w:rPr>
              <w:t>Tiesību akta projekta anotācijas kopsavilkums</w:t>
            </w:r>
          </w:p>
        </w:tc>
      </w:tr>
      <w:tr w:rsidR="00310924" w:rsidRPr="007D0BD7" w14:paraId="5F92C921" w14:textId="77777777" w:rsidTr="006F29AD">
        <w:trPr>
          <w:tblCellSpacing w:w="15" w:type="dxa"/>
        </w:trPr>
        <w:tc>
          <w:tcPr>
            <w:tcW w:w="1588" w:type="pct"/>
            <w:tcBorders>
              <w:top w:val="outset" w:sz="6" w:space="0" w:color="auto"/>
              <w:left w:val="outset" w:sz="6" w:space="0" w:color="auto"/>
              <w:bottom w:val="outset" w:sz="6" w:space="0" w:color="auto"/>
              <w:right w:val="outset" w:sz="6" w:space="0" w:color="auto"/>
            </w:tcBorders>
            <w:hideMark/>
          </w:tcPr>
          <w:p w14:paraId="4D1DBABE" w14:textId="77777777" w:rsidR="00310924" w:rsidRPr="001319E5" w:rsidRDefault="00310924" w:rsidP="00A87D1C">
            <w:pPr>
              <w:contextualSpacing/>
              <w:rPr>
                <w:rFonts w:eastAsia="Times New Roman"/>
                <w:iCs/>
                <w:sz w:val="24"/>
                <w:szCs w:val="24"/>
                <w:lang w:val="lv-LV" w:eastAsia="lv-LV"/>
              </w:rPr>
            </w:pPr>
            <w:r w:rsidRPr="001319E5">
              <w:rPr>
                <w:rFonts w:eastAsia="Times New Roman"/>
                <w:iCs/>
                <w:sz w:val="24"/>
                <w:szCs w:val="24"/>
                <w:lang w:val="lv-LV" w:eastAsia="lv-LV"/>
              </w:rPr>
              <w:t>Mērķis, risinājums un projekta spēkā stāšanās laiks (500 zīmes bez atstarpēm)</w:t>
            </w:r>
          </w:p>
        </w:tc>
        <w:tc>
          <w:tcPr>
            <w:tcW w:w="3363" w:type="pct"/>
            <w:tcBorders>
              <w:top w:val="outset" w:sz="6" w:space="0" w:color="auto"/>
              <w:left w:val="outset" w:sz="6" w:space="0" w:color="auto"/>
              <w:bottom w:val="outset" w:sz="6" w:space="0" w:color="auto"/>
              <w:right w:val="outset" w:sz="6" w:space="0" w:color="auto"/>
            </w:tcBorders>
            <w:hideMark/>
          </w:tcPr>
          <w:p w14:paraId="565FDB7D" w14:textId="0FA46BCA" w:rsidR="00DD696D" w:rsidRDefault="0065450B" w:rsidP="00A87D1C">
            <w:pPr>
              <w:contextualSpacing/>
              <w:jc w:val="both"/>
              <w:rPr>
                <w:sz w:val="24"/>
                <w:szCs w:val="24"/>
                <w:lang w:val="lv-LV"/>
              </w:rPr>
            </w:pPr>
            <w:r>
              <w:rPr>
                <w:rFonts w:eastAsia="Times New Roman"/>
                <w:iCs/>
                <w:sz w:val="24"/>
                <w:szCs w:val="24"/>
                <w:lang w:val="lv-LV" w:eastAsia="lv-LV"/>
              </w:rPr>
              <w:t>P</w:t>
            </w:r>
            <w:r w:rsidR="00310924" w:rsidRPr="001319E5">
              <w:rPr>
                <w:rFonts w:eastAsia="Times New Roman"/>
                <w:iCs/>
                <w:sz w:val="24"/>
                <w:szCs w:val="24"/>
                <w:lang w:val="lv-LV" w:eastAsia="lv-LV"/>
              </w:rPr>
              <w:t xml:space="preserve">rojekts paredz </w:t>
            </w:r>
            <w:r w:rsidR="00EA717A">
              <w:rPr>
                <w:rFonts w:eastAsia="Times New Roman"/>
                <w:iCs/>
                <w:sz w:val="24"/>
                <w:szCs w:val="24"/>
                <w:lang w:val="lv-LV" w:eastAsia="lv-LV"/>
              </w:rPr>
              <w:t xml:space="preserve">pagarināt </w:t>
            </w:r>
            <w:r w:rsidR="00D67CE9" w:rsidRPr="001319E5">
              <w:rPr>
                <w:rFonts w:eastAsia="Times New Roman"/>
                <w:iCs/>
                <w:sz w:val="24"/>
                <w:szCs w:val="24"/>
                <w:lang w:val="lv-LV" w:eastAsia="lv-LV"/>
              </w:rPr>
              <w:t>Ministru kabineta 2016.</w:t>
            </w:r>
            <w:r w:rsidR="006C7FAA">
              <w:rPr>
                <w:rFonts w:eastAsia="Times New Roman"/>
                <w:iCs/>
                <w:sz w:val="24"/>
                <w:szCs w:val="24"/>
                <w:lang w:val="lv-LV" w:eastAsia="lv-LV"/>
              </w:rPr>
              <w:t xml:space="preserve"> </w:t>
            </w:r>
            <w:r w:rsidR="00D67CE9" w:rsidRPr="001319E5">
              <w:rPr>
                <w:rFonts w:eastAsia="Times New Roman"/>
                <w:iCs/>
                <w:sz w:val="24"/>
                <w:szCs w:val="24"/>
                <w:lang w:val="lv-LV" w:eastAsia="lv-LV"/>
              </w:rPr>
              <w:t xml:space="preserve">gada </w:t>
            </w:r>
            <w:r w:rsidR="00123887" w:rsidRPr="001319E5">
              <w:rPr>
                <w:rFonts w:eastAsia="Times New Roman"/>
                <w:iCs/>
                <w:sz w:val="24"/>
                <w:szCs w:val="24"/>
                <w:lang w:val="lv-LV" w:eastAsia="lv-LV"/>
              </w:rPr>
              <w:t>1</w:t>
            </w:r>
            <w:r w:rsidR="005D3B18" w:rsidRPr="001319E5">
              <w:rPr>
                <w:rFonts w:eastAsia="Times New Roman"/>
                <w:iCs/>
                <w:sz w:val="24"/>
                <w:szCs w:val="24"/>
                <w:lang w:val="lv-LV" w:eastAsia="lv-LV"/>
              </w:rPr>
              <w:t>2</w:t>
            </w:r>
            <w:r w:rsidR="00123887" w:rsidRPr="001319E5">
              <w:rPr>
                <w:rFonts w:eastAsia="Times New Roman"/>
                <w:iCs/>
                <w:sz w:val="24"/>
                <w:szCs w:val="24"/>
                <w:lang w:val="lv-LV" w:eastAsia="lv-LV"/>
              </w:rPr>
              <w:t>.</w:t>
            </w:r>
            <w:r w:rsidR="00CC2804">
              <w:rPr>
                <w:rFonts w:eastAsia="Times New Roman"/>
                <w:iCs/>
                <w:sz w:val="24"/>
                <w:szCs w:val="24"/>
                <w:lang w:val="lv-LV" w:eastAsia="lv-LV"/>
              </w:rPr>
              <w:t> </w:t>
            </w:r>
            <w:r w:rsidR="000B3A3F" w:rsidRPr="001319E5">
              <w:rPr>
                <w:rFonts w:eastAsia="Times New Roman"/>
                <w:iCs/>
                <w:sz w:val="24"/>
                <w:szCs w:val="24"/>
                <w:lang w:val="lv-LV" w:eastAsia="lv-LV"/>
              </w:rPr>
              <w:t>aprīļa</w:t>
            </w:r>
            <w:r w:rsidR="00D67CE9" w:rsidRPr="001319E5">
              <w:rPr>
                <w:rFonts w:eastAsia="Times New Roman"/>
                <w:iCs/>
                <w:sz w:val="24"/>
                <w:szCs w:val="24"/>
                <w:lang w:val="lv-LV" w:eastAsia="lv-LV"/>
              </w:rPr>
              <w:t xml:space="preserve"> noteikumos Nr.</w:t>
            </w:r>
            <w:r w:rsidR="006C7FAA">
              <w:rPr>
                <w:rFonts w:eastAsia="Times New Roman"/>
                <w:iCs/>
                <w:sz w:val="24"/>
                <w:szCs w:val="24"/>
                <w:lang w:val="lv-LV" w:eastAsia="lv-LV"/>
              </w:rPr>
              <w:t xml:space="preserve"> </w:t>
            </w:r>
            <w:r w:rsidR="000B3A3F" w:rsidRPr="001319E5">
              <w:rPr>
                <w:rFonts w:eastAsia="Times New Roman"/>
                <w:iCs/>
                <w:sz w:val="24"/>
                <w:szCs w:val="24"/>
                <w:lang w:val="lv-LV" w:eastAsia="lv-LV"/>
              </w:rPr>
              <w:t>226</w:t>
            </w:r>
            <w:r w:rsidR="00D67CE9" w:rsidRPr="001319E5">
              <w:rPr>
                <w:rFonts w:eastAsia="Times New Roman"/>
                <w:iCs/>
                <w:sz w:val="24"/>
                <w:szCs w:val="24"/>
                <w:lang w:val="lv-LV" w:eastAsia="lv-LV"/>
              </w:rPr>
              <w:t xml:space="preserve"> </w:t>
            </w:r>
            <w:r w:rsidR="006C7FAA">
              <w:rPr>
                <w:rFonts w:eastAsia="Times New Roman"/>
                <w:iCs/>
                <w:sz w:val="24"/>
                <w:szCs w:val="24"/>
                <w:lang w:val="lv-LV" w:eastAsia="lv-LV"/>
              </w:rPr>
              <w:t>“</w:t>
            </w:r>
            <w:r w:rsidR="000B3A3F" w:rsidRPr="001319E5">
              <w:rPr>
                <w:rFonts w:eastAsia="Times New Roman"/>
                <w:iCs/>
                <w:sz w:val="24"/>
                <w:szCs w:val="24"/>
                <w:lang w:val="lv-LV" w:eastAsia="lv-LV"/>
              </w:rPr>
              <w:t>Noteikumi par akcelerācijas fondiem saimnieciskās darbības veicēju izveides, attīstības un konkurētspējas veicināšanai</w:t>
            </w:r>
            <w:r w:rsidR="00D67CE9" w:rsidRPr="001319E5">
              <w:rPr>
                <w:rFonts w:eastAsia="Times New Roman"/>
                <w:iCs/>
                <w:sz w:val="24"/>
                <w:szCs w:val="24"/>
                <w:lang w:val="lv-LV" w:eastAsia="lv-LV"/>
              </w:rPr>
              <w:t>”</w:t>
            </w:r>
            <w:r w:rsidR="00DD696D" w:rsidRPr="001319E5">
              <w:rPr>
                <w:rFonts w:eastAsia="Times New Roman"/>
                <w:iCs/>
                <w:sz w:val="24"/>
                <w:szCs w:val="24"/>
                <w:lang w:val="lv-LV" w:eastAsia="lv-LV"/>
              </w:rPr>
              <w:t xml:space="preserve"> </w:t>
            </w:r>
            <w:r w:rsidR="00D67CE9" w:rsidRPr="001319E5">
              <w:rPr>
                <w:rFonts w:eastAsia="Times New Roman"/>
                <w:iCs/>
                <w:sz w:val="24"/>
                <w:szCs w:val="24"/>
                <w:lang w:val="lv-LV" w:eastAsia="lv-LV"/>
              </w:rPr>
              <w:t>noteikt</w:t>
            </w:r>
            <w:r w:rsidR="00DD696D" w:rsidRPr="001319E5">
              <w:rPr>
                <w:rFonts w:eastAsia="Times New Roman"/>
                <w:iCs/>
                <w:sz w:val="24"/>
                <w:szCs w:val="24"/>
                <w:lang w:val="lv-LV" w:eastAsia="lv-LV"/>
              </w:rPr>
              <w:t xml:space="preserve">o </w:t>
            </w:r>
            <w:r w:rsidR="00EA717A">
              <w:rPr>
                <w:rFonts w:eastAsia="Times New Roman"/>
                <w:iCs/>
                <w:sz w:val="24"/>
                <w:szCs w:val="24"/>
                <w:lang w:val="lv-LV" w:eastAsia="lv-LV"/>
              </w:rPr>
              <w:t>termiņu lēmumu pieņemšanai par pirmssēklas naudas ieguldījumu piešķiršanu.</w:t>
            </w:r>
          </w:p>
          <w:p w14:paraId="0891E1DE" w14:textId="1E7A0BCA" w:rsidR="00B03741" w:rsidRPr="001319E5" w:rsidRDefault="00B03741" w:rsidP="00A87D1C">
            <w:pPr>
              <w:contextualSpacing/>
              <w:jc w:val="both"/>
              <w:rPr>
                <w:rFonts w:eastAsia="Times New Roman"/>
                <w:iCs/>
                <w:sz w:val="24"/>
                <w:szCs w:val="24"/>
                <w:lang w:val="lv-LV" w:eastAsia="lv-LV"/>
              </w:rPr>
            </w:pPr>
            <w:r w:rsidRPr="00B03741">
              <w:rPr>
                <w:rFonts w:eastAsia="Times New Roman"/>
                <w:iCs/>
                <w:sz w:val="24"/>
                <w:szCs w:val="24"/>
                <w:lang w:val="lv-LV" w:eastAsia="lv-LV"/>
              </w:rPr>
              <w:t xml:space="preserve">Ministru kabineta noteikumi stājas spēkā nākamajā dienā pēc to </w:t>
            </w:r>
            <w:r w:rsidR="00B92A84">
              <w:rPr>
                <w:rFonts w:eastAsia="Times New Roman"/>
                <w:iCs/>
                <w:sz w:val="24"/>
                <w:szCs w:val="24"/>
                <w:lang w:val="lv-LV" w:eastAsia="lv-LV"/>
              </w:rPr>
              <w:t>publicēšanas oficiālajā izdevumā “Latvijas Vēstnesis”</w:t>
            </w:r>
            <w:r w:rsidR="00630E46">
              <w:rPr>
                <w:rFonts w:eastAsia="Times New Roman"/>
                <w:iCs/>
                <w:sz w:val="24"/>
                <w:szCs w:val="24"/>
                <w:lang w:val="lv-LV" w:eastAsia="lv-LV"/>
              </w:rPr>
              <w:t>.</w:t>
            </w:r>
          </w:p>
        </w:tc>
      </w:tr>
    </w:tbl>
    <w:p w14:paraId="2DE059E4" w14:textId="6BA0F248" w:rsidR="003E171B" w:rsidRPr="001319E5" w:rsidRDefault="003E171B" w:rsidP="00A87D1C">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7"/>
        <w:gridCol w:w="2552"/>
        <w:gridCol w:w="6160"/>
      </w:tblGrid>
      <w:tr w:rsidR="00844176" w:rsidRPr="001319E5" w14:paraId="02364BB3" w14:textId="77777777" w:rsidTr="004A6A58">
        <w:trPr>
          <w:trHeight w:val="178"/>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I. Tiesību akta projekta izstrādes nepieciešamība</w:t>
            </w:r>
          </w:p>
        </w:tc>
      </w:tr>
      <w:tr w:rsidR="00844176" w:rsidRPr="007D0BD7" w14:paraId="7F385C9A" w14:textId="77777777" w:rsidTr="004A6A58">
        <w:trPr>
          <w:trHeight w:val="405"/>
        </w:trPr>
        <w:tc>
          <w:tcPr>
            <w:tcW w:w="417"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0ABD5214" w:rsidR="00A76035" w:rsidRPr="001319E5" w:rsidRDefault="00D615A0" w:rsidP="00D615A0">
            <w:pPr>
              <w:ind w:right="31"/>
              <w:contextualSpacing/>
              <w:jc w:val="both"/>
              <w:rPr>
                <w:sz w:val="24"/>
                <w:szCs w:val="24"/>
                <w:lang w:val="lv-LV"/>
              </w:rPr>
            </w:pPr>
            <w:r>
              <w:rPr>
                <w:sz w:val="24"/>
                <w:szCs w:val="24"/>
                <w:lang w:val="lv-LV"/>
              </w:rPr>
              <w:t xml:space="preserve">Projekts izstrādāts pēc Ekonomikas ministrijas iniciatīvas saskaņā ar </w:t>
            </w:r>
            <w:r w:rsidR="00F162CA" w:rsidRPr="001319E5">
              <w:rPr>
                <w:sz w:val="24"/>
                <w:szCs w:val="24"/>
                <w:lang w:val="lv-LV"/>
              </w:rPr>
              <w:t>Attīstības finanšu institūcijas likuma 12.</w:t>
            </w:r>
            <w:r w:rsidR="006C7FAA">
              <w:rPr>
                <w:sz w:val="24"/>
                <w:szCs w:val="24"/>
                <w:lang w:val="lv-LV"/>
              </w:rPr>
              <w:t xml:space="preserve"> </w:t>
            </w:r>
            <w:r w:rsidR="00F162CA" w:rsidRPr="001319E5">
              <w:rPr>
                <w:sz w:val="24"/>
                <w:szCs w:val="24"/>
                <w:lang w:val="lv-LV"/>
              </w:rPr>
              <w:t>panta ceturt</w:t>
            </w:r>
            <w:r w:rsidR="00F162CA">
              <w:rPr>
                <w:sz w:val="24"/>
                <w:szCs w:val="24"/>
                <w:lang w:val="lv-LV"/>
              </w:rPr>
              <w:t>o</w:t>
            </w:r>
            <w:r w:rsidR="00F162CA" w:rsidRPr="001319E5">
              <w:rPr>
                <w:sz w:val="24"/>
                <w:szCs w:val="24"/>
                <w:lang w:val="lv-LV"/>
              </w:rPr>
              <w:t xml:space="preserve"> daļ</w:t>
            </w:r>
            <w:r w:rsidR="00F162CA">
              <w:rPr>
                <w:sz w:val="24"/>
                <w:szCs w:val="24"/>
                <w:lang w:val="lv-LV"/>
              </w:rPr>
              <w:t xml:space="preserve">u un </w:t>
            </w:r>
            <w:hyperlink r:id="rId8" w:tgtFrame="_blank" w:history="1">
              <w:r w:rsidR="00F162CA" w:rsidRPr="001319E5">
                <w:rPr>
                  <w:sz w:val="24"/>
                  <w:szCs w:val="24"/>
                  <w:lang w:val="lv-LV"/>
                </w:rPr>
                <w:t>Eiropas Savienības struktūrfondu un</w:t>
              </w:r>
              <w:r w:rsidR="00F162CA">
                <w:rPr>
                  <w:sz w:val="24"/>
                  <w:szCs w:val="24"/>
                  <w:lang w:val="lv-LV"/>
                </w:rPr>
                <w:t xml:space="preserve"> </w:t>
              </w:r>
              <w:r w:rsidR="00F162CA" w:rsidRPr="001319E5">
                <w:rPr>
                  <w:sz w:val="24"/>
                  <w:szCs w:val="24"/>
                  <w:lang w:val="lv-LV"/>
                </w:rPr>
                <w:t>Kohēzijas fonda 2014.–2020.</w:t>
              </w:r>
              <w:r w:rsidR="00F162CA">
                <w:rPr>
                  <w:sz w:val="24"/>
                  <w:szCs w:val="24"/>
                  <w:lang w:val="lv-LV"/>
                </w:rPr>
                <w:t> </w:t>
              </w:r>
              <w:r w:rsidR="00F162CA" w:rsidRPr="001319E5">
                <w:rPr>
                  <w:sz w:val="24"/>
                  <w:szCs w:val="24"/>
                  <w:lang w:val="lv-LV"/>
                </w:rPr>
                <w:t>gada plānošanas perioda vadības likuma</w:t>
              </w:r>
            </w:hyperlink>
            <w:r w:rsidR="00F162CA">
              <w:rPr>
                <w:sz w:val="24"/>
                <w:szCs w:val="24"/>
                <w:lang w:val="lv-LV"/>
              </w:rPr>
              <w:t xml:space="preserve"> </w:t>
            </w:r>
            <w:hyperlink r:id="rId9" w:anchor="p20" w:tgtFrame="_blank" w:history="1">
              <w:r w:rsidR="00F162CA" w:rsidRPr="001319E5">
                <w:rPr>
                  <w:sz w:val="24"/>
                  <w:szCs w:val="24"/>
                  <w:lang w:val="lv-LV"/>
                </w:rPr>
                <w:t>20.</w:t>
              </w:r>
              <w:r w:rsidR="00443C9D">
                <w:rPr>
                  <w:sz w:val="24"/>
                  <w:szCs w:val="24"/>
                  <w:lang w:val="lv-LV"/>
                </w:rPr>
                <w:t> </w:t>
              </w:r>
              <w:r w:rsidR="00F162CA" w:rsidRPr="001319E5">
                <w:rPr>
                  <w:sz w:val="24"/>
                  <w:szCs w:val="24"/>
                  <w:lang w:val="lv-LV"/>
                </w:rPr>
                <w:t>pant</w:t>
              </w:r>
            </w:hyperlink>
            <w:r w:rsidR="00F162CA" w:rsidRPr="001319E5">
              <w:rPr>
                <w:sz w:val="24"/>
                <w:szCs w:val="24"/>
                <w:lang w:val="lv-LV"/>
              </w:rPr>
              <w:t>a 14.</w:t>
            </w:r>
            <w:r w:rsidR="006C7FAA">
              <w:rPr>
                <w:sz w:val="24"/>
                <w:szCs w:val="24"/>
                <w:lang w:val="lv-LV"/>
              </w:rPr>
              <w:t xml:space="preserve"> </w:t>
            </w:r>
            <w:r w:rsidR="00F162CA" w:rsidRPr="001319E5">
              <w:rPr>
                <w:sz w:val="24"/>
                <w:szCs w:val="24"/>
                <w:lang w:val="lv-LV"/>
              </w:rPr>
              <w:t>punkt</w:t>
            </w:r>
            <w:r w:rsidR="00841374">
              <w:rPr>
                <w:sz w:val="24"/>
                <w:szCs w:val="24"/>
                <w:lang w:val="lv-LV"/>
              </w:rPr>
              <w:t>u</w:t>
            </w:r>
            <w:r w:rsidR="00773178">
              <w:rPr>
                <w:sz w:val="24"/>
                <w:szCs w:val="24"/>
                <w:lang w:val="lv-LV"/>
              </w:rPr>
              <w:t>.</w:t>
            </w:r>
          </w:p>
        </w:tc>
      </w:tr>
      <w:tr w:rsidR="00844176" w:rsidRPr="007D0BD7" w14:paraId="62EDED08" w14:textId="77777777" w:rsidTr="004A6A58">
        <w:trPr>
          <w:trHeight w:val="465"/>
        </w:trPr>
        <w:tc>
          <w:tcPr>
            <w:tcW w:w="417"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40AD4671" w14:textId="71679EB9" w:rsidR="00A76035" w:rsidRPr="00A76035" w:rsidRDefault="00844176" w:rsidP="00DA0EDC">
            <w:pPr>
              <w:contextualSpacing/>
              <w:rPr>
                <w:rFonts w:eastAsia="Times New Roman"/>
                <w:sz w:val="24"/>
                <w:szCs w:val="24"/>
                <w:lang w:val="lv-LV" w:eastAsia="lv-LV"/>
              </w:rPr>
            </w:pPr>
            <w:r w:rsidRPr="001319E5">
              <w:rPr>
                <w:rFonts w:eastAsia="Times New Roman"/>
                <w:color w:val="000000"/>
                <w:sz w:val="24"/>
                <w:szCs w:val="24"/>
                <w:lang w:val="lv-LV" w:eastAsia="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6A5342E8" w14:textId="5BB958B2" w:rsidR="00CC2804" w:rsidRPr="007D0BD7" w:rsidRDefault="00246849" w:rsidP="00A87D1C">
            <w:pPr>
              <w:contextualSpacing/>
              <w:jc w:val="both"/>
              <w:rPr>
                <w:sz w:val="24"/>
                <w:szCs w:val="24"/>
                <w:lang w:val="lv-LV"/>
              </w:rPr>
            </w:pPr>
            <w:r w:rsidRPr="007D0BD7">
              <w:rPr>
                <w:sz w:val="24"/>
                <w:szCs w:val="24"/>
                <w:lang w:val="lv-LV"/>
              </w:rPr>
              <w:t xml:space="preserve">Ar šo </w:t>
            </w:r>
            <w:r w:rsidR="00B7135A" w:rsidRPr="007D0BD7">
              <w:rPr>
                <w:sz w:val="24"/>
                <w:szCs w:val="24"/>
                <w:lang w:val="lv-LV"/>
              </w:rPr>
              <w:t xml:space="preserve">Ministru kabineta (turpmāk – </w:t>
            </w:r>
            <w:r w:rsidRPr="007D0BD7">
              <w:rPr>
                <w:sz w:val="24"/>
                <w:szCs w:val="24"/>
                <w:lang w:val="lv-LV"/>
              </w:rPr>
              <w:t>MK</w:t>
            </w:r>
            <w:r w:rsidR="00B7135A" w:rsidRPr="007D0BD7">
              <w:rPr>
                <w:sz w:val="24"/>
                <w:szCs w:val="24"/>
                <w:lang w:val="lv-LV"/>
              </w:rPr>
              <w:t>)</w:t>
            </w:r>
            <w:r w:rsidRPr="007D0BD7">
              <w:rPr>
                <w:sz w:val="24"/>
                <w:szCs w:val="24"/>
                <w:lang w:val="lv-LV"/>
              </w:rPr>
              <w:t xml:space="preserve"> noteikumu projektu tiek veikt</w:t>
            </w:r>
            <w:r w:rsidR="00CC2804" w:rsidRPr="007D0BD7">
              <w:rPr>
                <w:sz w:val="24"/>
                <w:szCs w:val="24"/>
                <w:lang w:val="lv-LV"/>
              </w:rPr>
              <w:t>i</w:t>
            </w:r>
            <w:r w:rsidRPr="007D0BD7">
              <w:rPr>
                <w:sz w:val="24"/>
                <w:szCs w:val="24"/>
                <w:lang w:val="lv-LV"/>
              </w:rPr>
              <w:t xml:space="preserve"> grozījum</w:t>
            </w:r>
            <w:r w:rsidR="00CC2804" w:rsidRPr="007D0BD7">
              <w:rPr>
                <w:sz w:val="24"/>
                <w:szCs w:val="24"/>
                <w:lang w:val="lv-LV"/>
              </w:rPr>
              <w:t>i</w:t>
            </w:r>
            <w:r w:rsidRPr="007D0BD7">
              <w:rPr>
                <w:sz w:val="24"/>
                <w:szCs w:val="24"/>
                <w:lang w:val="lv-LV"/>
              </w:rPr>
              <w:t xml:space="preserve"> </w:t>
            </w:r>
            <w:r w:rsidR="00FE76B5" w:rsidRPr="007D0BD7">
              <w:rPr>
                <w:sz w:val="24"/>
                <w:szCs w:val="24"/>
                <w:lang w:val="lv-LV"/>
              </w:rPr>
              <w:t>2016.</w:t>
            </w:r>
            <w:r w:rsidR="00DC1354" w:rsidRPr="007D0BD7">
              <w:rPr>
                <w:sz w:val="24"/>
                <w:szCs w:val="24"/>
                <w:lang w:val="lv-LV"/>
              </w:rPr>
              <w:t> </w:t>
            </w:r>
            <w:r w:rsidR="00FE76B5" w:rsidRPr="007D0BD7">
              <w:rPr>
                <w:sz w:val="24"/>
                <w:szCs w:val="24"/>
                <w:lang w:val="lv-LV"/>
              </w:rPr>
              <w:t xml:space="preserve">gada </w:t>
            </w:r>
            <w:r w:rsidR="00123887" w:rsidRPr="007D0BD7">
              <w:rPr>
                <w:sz w:val="24"/>
                <w:szCs w:val="24"/>
                <w:lang w:val="lv-LV"/>
              </w:rPr>
              <w:t>1</w:t>
            </w:r>
            <w:r w:rsidR="00E15DBA" w:rsidRPr="007D0BD7">
              <w:rPr>
                <w:sz w:val="24"/>
                <w:szCs w:val="24"/>
                <w:lang w:val="lv-LV"/>
              </w:rPr>
              <w:t>2</w:t>
            </w:r>
            <w:r w:rsidR="00123887" w:rsidRPr="007D0BD7">
              <w:rPr>
                <w:sz w:val="24"/>
                <w:szCs w:val="24"/>
                <w:lang w:val="lv-LV"/>
              </w:rPr>
              <w:t>.</w:t>
            </w:r>
            <w:r w:rsidR="00DC1354" w:rsidRPr="007D0BD7">
              <w:rPr>
                <w:sz w:val="24"/>
                <w:szCs w:val="24"/>
                <w:lang w:val="lv-LV"/>
              </w:rPr>
              <w:t> </w:t>
            </w:r>
            <w:r w:rsidR="000B3A3F" w:rsidRPr="007D0BD7">
              <w:rPr>
                <w:sz w:val="24"/>
                <w:szCs w:val="24"/>
                <w:lang w:val="lv-LV"/>
              </w:rPr>
              <w:t>aprīļa</w:t>
            </w:r>
            <w:r w:rsidR="00FE76B5" w:rsidRPr="007D0BD7">
              <w:rPr>
                <w:sz w:val="24"/>
                <w:szCs w:val="24"/>
                <w:lang w:val="lv-LV"/>
              </w:rPr>
              <w:t xml:space="preserve"> noteikum</w:t>
            </w:r>
            <w:r w:rsidRPr="007D0BD7">
              <w:rPr>
                <w:sz w:val="24"/>
                <w:szCs w:val="24"/>
                <w:lang w:val="lv-LV"/>
              </w:rPr>
              <w:t>os</w:t>
            </w:r>
            <w:r w:rsidR="00FE76B5" w:rsidRPr="007D0BD7">
              <w:rPr>
                <w:sz w:val="24"/>
                <w:szCs w:val="24"/>
                <w:lang w:val="lv-LV"/>
              </w:rPr>
              <w:t xml:space="preserve"> Nr.</w:t>
            </w:r>
            <w:r w:rsidR="00DC1354" w:rsidRPr="007D0BD7">
              <w:rPr>
                <w:sz w:val="24"/>
                <w:szCs w:val="24"/>
                <w:lang w:val="lv-LV"/>
              </w:rPr>
              <w:t> </w:t>
            </w:r>
            <w:r w:rsidR="000B3A3F" w:rsidRPr="007D0BD7">
              <w:rPr>
                <w:sz w:val="24"/>
                <w:szCs w:val="24"/>
                <w:lang w:val="lv-LV"/>
              </w:rPr>
              <w:t>226</w:t>
            </w:r>
            <w:r w:rsidR="00FE76B5" w:rsidRPr="007D0BD7">
              <w:rPr>
                <w:sz w:val="24"/>
                <w:szCs w:val="24"/>
                <w:lang w:val="lv-LV"/>
              </w:rPr>
              <w:t xml:space="preserve"> </w:t>
            </w:r>
            <w:r w:rsidR="008E3E6E" w:rsidRPr="007D0BD7">
              <w:rPr>
                <w:sz w:val="24"/>
                <w:szCs w:val="24"/>
                <w:lang w:val="lv-LV"/>
              </w:rPr>
              <w:t>“</w:t>
            </w:r>
            <w:r w:rsidR="000B3A3F" w:rsidRPr="007D0BD7">
              <w:rPr>
                <w:sz w:val="24"/>
                <w:szCs w:val="24"/>
                <w:lang w:val="lv-LV"/>
              </w:rPr>
              <w:t>Noteikumi par akcelerācijas fondiem saimnieciskās darbības veicēju izveides, attīstības un konkurētspējas veicināšanai</w:t>
            </w:r>
            <w:r w:rsidR="00FE76B5" w:rsidRPr="007D0BD7">
              <w:rPr>
                <w:sz w:val="24"/>
                <w:szCs w:val="24"/>
                <w:lang w:val="lv-LV"/>
              </w:rPr>
              <w:t>”</w:t>
            </w:r>
            <w:r w:rsidR="007F6449" w:rsidRPr="007D0BD7">
              <w:rPr>
                <w:sz w:val="24"/>
                <w:szCs w:val="24"/>
                <w:lang w:val="lv-LV"/>
              </w:rPr>
              <w:t xml:space="preserve"> (turpmāk – MK noteikumi </w:t>
            </w:r>
            <w:r w:rsidR="00796159" w:rsidRPr="007D0BD7">
              <w:rPr>
                <w:sz w:val="24"/>
                <w:szCs w:val="24"/>
                <w:lang w:val="lv-LV"/>
              </w:rPr>
              <w:t>N</w:t>
            </w:r>
            <w:r w:rsidR="007F6449" w:rsidRPr="007D0BD7">
              <w:rPr>
                <w:sz w:val="24"/>
                <w:szCs w:val="24"/>
                <w:lang w:val="lv-LV"/>
              </w:rPr>
              <w:t>r.</w:t>
            </w:r>
            <w:r w:rsidR="000B3A3F" w:rsidRPr="007D0BD7">
              <w:rPr>
                <w:sz w:val="24"/>
                <w:szCs w:val="24"/>
                <w:lang w:val="lv-LV"/>
              </w:rPr>
              <w:t>226</w:t>
            </w:r>
            <w:r w:rsidR="007F6449" w:rsidRPr="007D0BD7">
              <w:rPr>
                <w:sz w:val="24"/>
                <w:szCs w:val="24"/>
                <w:lang w:val="lv-LV"/>
              </w:rPr>
              <w:t>)</w:t>
            </w:r>
            <w:r w:rsidR="00CC2804" w:rsidRPr="007D0BD7">
              <w:rPr>
                <w:sz w:val="24"/>
                <w:szCs w:val="24"/>
                <w:lang w:val="lv-LV"/>
              </w:rPr>
              <w:t>.</w:t>
            </w:r>
          </w:p>
          <w:p w14:paraId="79E075A5" w14:textId="17A27342" w:rsidR="00844176" w:rsidRPr="007D0BD7" w:rsidRDefault="00CC2804" w:rsidP="00A87D1C">
            <w:pPr>
              <w:contextualSpacing/>
              <w:jc w:val="both"/>
              <w:rPr>
                <w:b/>
                <w:bCs/>
                <w:sz w:val="24"/>
                <w:szCs w:val="24"/>
                <w:lang w:val="lv-LV"/>
              </w:rPr>
            </w:pPr>
            <w:r w:rsidRPr="007D0BD7">
              <w:rPr>
                <w:sz w:val="24"/>
                <w:szCs w:val="24"/>
                <w:lang w:val="lv-LV"/>
              </w:rPr>
              <w:t>1. Tiek</w:t>
            </w:r>
            <w:r w:rsidR="002E1888" w:rsidRPr="007D0BD7">
              <w:rPr>
                <w:sz w:val="24"/>
                <w:szCs w:val="24"/>
                <w:lang w:val="lv-LV"/>
              </w:rPr>
              <w:t xml:space="preserve"> </w:t>
            </w:r>
            <w:r w:rsidRPr="007D0BD7">
              <w:rPr>
                <w:sz w:val="24"/>
                <w:szCs w:val="24"/>
                <w:lang w:val="lv-LV"/>
              </w:rPr>
              <w:t xml:space="preserve">precizēts termiņš lēmumu pieņemšanai par </w:t>
            </w:r>
            <w:proofErr w:type="spellStart"/>
            <w:r w:rsidRPr="007D0BD7">
              <w:rPr>
                <w:sz w:val="24"/>
                <w:szCs w:val="24"/>
                <w:lang w:val="lv-LV"/>
              </w:rPr>
              <w:t>sēklasnaudas</w:t>
            </w:r>
            <w:proofErr w:type="spellEnd"/>
            <w:r w:rsidRPr="007D0BD7">
              <w:rPr>
                <w:sz w:val="24"/>
                <w:szCs w:val="24"/>
                <w:lang w:val="lv-LV"/>
              </w:rPr>
              <w:t xml:space="preserve"> ieguldījumu piešķiršanu un </w:t>
            </w:r>
            <w:r w:rsidR="002E1888" w:rsidRPr="00DA49E7">
              <w:rPr>
                <w:sz w:val="24"/>
                <w:szCs w:val="24"/>
                <w:lang w:val="lv-LV"/>
              </w:rPr>
              <w:t>pagarin</w:t>
            </w:r>
            <w:r w:rsidRPr="00DA49E7">
              <w:rPr>
                <w:sz w:val="24"/>
                <w:szCs w:val="24"/>
                <w:lang w:val="lv-LV"/>
              </w:rPr>
              <w:t>āts</w:t>
            </w:r>
            <w:r w:rsidR="002E1888" w:rsidRPr="00DA49E7">
              <w:rPr>
                <w:sz w:val="24"/>
                <w:szCs w:val="24"/>
                <w:lang w:val="lv-LV"/>
              </w:rPr>
              <w:t xml:space="preserve"> termiņ</w:t>
            </w:r>
            <w:r w:rsidRPr="00DA49E7">
              <w:rPr>
                <w:sz w:val="24"/>
                <w:szCs w:val="24"/>
                <w:lang w:val="lv-LV"/>
              </w:rPr>
              <w:t>š</w:t>
            </w:r>
            <w:r w:rsidR="002E1888" w:rsidRPr="00DA49E7">
              <w:rPr>
                <w:sz w:val="24"/>
                <w:szCs w:val="24"/>
                <w:lang w:val="lv-LV"/>
              </w:rPr>
              <w:t xml:space="preserve"> lēmumu pieņemšanai par </w:t>
            </w:r>
            <w:proofErr w:type="spellStart"/>
            <w:r w:rsidR="002E1888" w:rsidRPr="00DA49E7">
              <w:rPr>
                <w:sz w:val="24"/>
                <w:szCs w:val="24"/>
                <w:lang w:val="lv-LV"/>
              </w:rPr>
              <w:t>pirmssēklas</w:t>
            </w:r>
            <w:proofErr w:type="spellEnd"/>
            <w:r w:rsidR="002E1888" w:rsidRPr="00DA49E7">
              <w:rPr>
                <w:sz w:val="24"/>
                <w:szCs w:val="24"/>
                <w:lang w:val="lv-LV"/>
              </w:rPr>
              <w:t xml:space="preserve"> naudas ieguldījumu piešķiršanu fondos līdz 2022. gada 30. jūnijam.</w:t>
            </w:r>
            <w:r w:rsidR="002E1888" w:rsidRPr="007D0BD7">
              <w:rPr>
                <w:b/>
                <w:bCs/>
                <w:sz w:val="24"/>
                <w:szCs w:val="24"/>
                <w:lang w:val="lv-LV"/>
              </w:rPr>
              <w:t xml:space="preserve">  </w:t>
            </w:r>
          </w:p>
          <w:p w14:paraId="2D787CFA" w14:textId="77777777" w:rsidR="00906ABE" w:rsidRPr="007D0BD7" w:rsidRDefault="00906ABE" w:rsidP="00A87D1C">
            <w:pPr>
              <w:contextualSpacing/>
              <w:jc w:val="both"/>
              <w:rPr>
                <w:sz w:val="24"/>
                <w:szCs w:val="24"/>
                <w:lang w:val="lv-LV"/>
              </w:rPr>
            </w:pPr>
          </w:p>
          <w:p w14:paraId="36B2D7E1" w14:textId="442A6E2F" w:rsidR="00037B3D" w:rsidRPr="007D0BD7" w:rsidRDefault="00D05A6D" w:rsidP="00D05A6D">
            <w:pPr>
              <w:ind w:firstLine="231"/>
              <w:contextualSpacing/>
              <w:jc w:val="both"/>
              <w:rPr>
                <w:sz w:val="24"/>
                <w:szCs w:val="24"/>
                <w:lang w:val="lv-LV"/>
              </w:rPr>
            </w:pPr>
            <w:r w:rsidRPr="007D0BD7">
              <w:rPr>
                <w:sz w:val="24"/>
                <w:szCs w:val="24"/>
                <w:lang w:val="lv-LV"/>
              </w:rPr>
              <w:t xml:space="preserve">Šobrīd MK noteikumos Nr. 226 termiņš lēmumu pieņemšanai par </w:t>
            </w:r>
            <w:proofErr w:type="spellStart"/>
            <w:r w:rsidRPr="007D0BD7">
              <w:rPr>
                <w:sz w:val="24"/>
                <w:szCs w:val="24"/>
                <w:lang w:val="lv-LV"/>
              </w:rPr>
              <w:t>pirmssēklas</w:t>
            </w:r>
            <w:proofErr w:type="spellEnd"/>
            <w:r w:rsidRPr="007D0BD7">
              <w:rPr>
                <w:sz w:val="24"/>
                <w:szCs w:val="24"/>
                <w:lang w:val="lv-LV"/>
              </w:rPr>
              <w:t xml:space="preserve"> naudas ieguldījumu piešķiršanu ir 2021. gada 30. jūnijs. Nepieciešamība pagarināt </w:t>
            </w:r>
            <w:proofErr w:type="spellStart"/>
            <w:r w:rsidRPr="007D0BD7">
              <w:rPr>
                <w:sz w:val="24"/>
                <w:szCs w:val="24"/>
                <w:lang w:val="lv-LV"/>
              </w:rPr>
              <w:t>pirmssēklas</w:t>
            </w:r>
            <w:proofErr w:type="spellEnd"/>
            <w:r w:rsidRPr="007D0BD7">
              <w:rPr>
                <w:sz w:val="24"/>
                <w:szCs w:val="24"/>
                <w:lang w:val="lv-LV"/>
              </w:rPr>
              <w:t xml:space="preserve"> ieguldījumu lēmumu pieņemšanas periodu ir izveidojusies</w:t>
            </w:r>
            <w:r w:rsidR="00037B3D" w:rsidRPr="007D0BD7">
              <w:rPr>
                <w:sz w:val="24"/>
                <w:szCs w:val="24"/>
                <w:lang w:val="lv-LV"/>
              </w:rPr>
              <w:t xml:space="preserve"> vairāku iemeslu dēļ:</w:t>
            </w:r>
          </w:p>
          <w:p w14:paraId="5F23BEE4" w14:textId="149D02CD" w:rsidR="007003C6" w:rsidRPr="007D0BD7" w:rsidRDefault="00037B3D" w:rsidP="00037B3D">
            <w:pPr>
              <w:contextualSpacing/>
              <w:jc w:val="both"/>
              <w:rPr>
                <w:sz w:val="24"/>
                <w:szCs w:val="24"/>
                <w:lang w:val="lv-LV"/>
              </w:rPr>
            </w:pPr>
            <w:r w:rsidRPr="007D0BD7">
              <w:rPr>
                <w:sz w:val="24"/>
                <w:szCs w:val="24"/>
                <w:lang w:val="lv-LV"/>
              </w:rPr>
              <w:t xml:space="preserve">1) </w:t>
            </w:r>
            <w:r w:rsidR="00D05A6D" w:rsidRPr="007D0BD7">
              <w:rPr>
                <w:sz w:val="24"/>
                <w:szCs w:val="24"/>
                <w:lang w:val="lv-LV"/>
              </w:rPr>
              <w:t>Covid-19 ceļošanas ierobežojumu dēļ</w:t>
            </w:r>
            <w:r w:rsidRPr="007D0BD7">
              <w:rPr>
                <w:sz w:val="24"/>
                <w:szCs w:val="24"/>
                <w:lang w:val="lv-LV"/>
              </w:rPr>
              <w:t xml:space="preserve"> (</w:t>
            </w:r>
            <w:r w:rsidR="0037225E" w:rsidRPr="007D0BD7">
              <w:rPr>
                <w:sz w:val="24"/>
                <w:szCs w:val="24"/>
                <w:lang w:val="lv-LV"/>
              </w:rPr>
              <w:t>vismaz</w:t>
            </w:r>
            <w:r w:rsidRPr="007D0BD7">
              <w:rPr>
                <w:sz w:val="24"/>
                <w:szCs w:val="24"/>
                <w:lang w:val="lv-LV"/>
              </w:rPr>
              <w:t xml:space="preserve"> puse no jaunuzņēmumu dibinātājiem ir ārvalstnieki)</w:t>
            </w:r>
            <w:r w:rsidRPr="007D0BD7" w:rsidDel="00037B3D">
              <w:rPr>
                <w:sz w:val="24"/>
                <w:szCs w:val="24"/>
                <w:lang w:val="lv-LV"/>
              </w:rPr>
              <w:t xml:space="preserve"> </w:t>
            </w:r>
            <w:r w:rsidRPr="007D0BD7">
              <w:rPr>
                <w:sz w:val="24"/>
                <w:szCs w:val="24"/>
                <w:lang w:val="lv-LV"/>
              </w:rPr>
              <w:t>a</w:t>
            </w:r>
            <w:r w:rsidR="00D05A6D" w:rsidRPr="007D0BD7">
              <w:rPr>
                <w:sz w:val="24"/>
                <w:szCs w:val="24"/>
                <w:lang w:val="lv-LV"/>
              </w:rPr>
              <w:t>kcelerācijas programmu dalībniekiem</w:t>
            </w:r>
            <w:r w:rsidRPr="007D0BD7">
              <w:rPr>
                <w:sz w:val="24"/>
                <w:szCs w:val="24"/>
                <w:lang w:val="lv-LV"/>
              </w:rPr>
              <w:t xml:space="preserve"> (jaunuzņēmumu dibinātājiem)</w:t>
            </w:r>
            <w:r w:rsidR="00D05A6D" w:rsidRPr="007D0BD7">
              <w:rPr>
                <w:sz w:val="24"/>
                <w:szCs w:val="24"/>
                <w:lang w:val="lv-LV"/>
              </w:rPr>
              <w:t xml:space="preserve"> bija būtiski ierobežotas iespējas ierasties Latvijā, lai reģistrētu uzņēmumus</w:t>
            </w:r>
            <w:r w:rsidRPr="007D0BD7">
              <w:rPr>
                <w:sz w:val="24"/>
                <w:szCs w:val="24"/>
                <w:lang w:val="lv-LV"/>
              </w:rPr>
              <w:t xml:space="preserve"> (iespējams tikai fiziskā klātbūtnē)</w:t>
            </w:r>
            <w:r w:rsidR="00D05A6D" w:rsidRPr="007D0BD7">
              <w:rPr>
                <w:sz w:val="24"/>
                <w:szCs w:val="24"/>
                <w:lang w:val="lv-LV"/>
              </w:rPr>
              <w:t>, atvērtu norēķinu kontus</w:t>
            </w:r>
            <w:r w:rsidRPr="007D0BD7">
              <w:rPr>
                <w:sz w:val="24"/>
                <w:szCs w:val="24"/>
                <w:lang w:val="lv-LV"/>
              </w:rPr>
              <w:t xml:space="preserve"> (iespējams tikai fiziskā klātbūtnē)</w:t>
            </w:r>
            <w:r w:rsidR="00D05A6D" w:rsidRPr="007D0BD7">
              <w:rPr>
                <w:sz w:val="24"/>
                <w:szCs w:val="24"/>
                <w:lang w:val="lv-LV"/>
              </w:rPr>
              <w:t xml:space="preserve">, kā arī lai tiktos ar </w:t>
            </w:r>
            <w:proofErr w:type="spellStart"/>
            <w:r w:rsidR="00D05A6D" w:rsidRPr="007D0BD7">
              <w:rPr>
                <w:sz w:val="24"/>
                <w:szCs w:val="24"/>
                <w:lang w:val="lv-LV"/>
              </w:rPr>
              <w:t>pirmssēklas</w:t>
            </w:r>
            <w:proofErr w:type="spellEnd"/>
            <w:r w:rsidR="00D05A6D" w:rsidRPr="007D0BD7">
              <w:rPr>
                <w:sz w:val="24"/>
                <w:szCs w:val="24"/>
                <w:lang w:val="lv-LV"/>
              </w:rPr>
              <w:t xml:space="preserve"> fondu pārvaldnieku pārstāvjiem un piedalītos akcelerācijas programmās</w:t>
            </w:r>
            <w:r w:rsidR="007003C6" w:rsidRPr="007D0BD7">
              <w:rPr>
                <w:sz w:val="24"/>
                <w:szCs w:val="24"/>
                <w:lang w:val="lv-LV"/>
              </w:rPr>
              <w:t xml:space="preserve"> (bez komandas iepazīšanas klātienē ievērojami pieaug komandas nepilnvērtīgas novērtēšanas risks)</w:t>
            </w:r>
            <w:r w:rsidR="00D05A6D" w:rsidRPr="007D0BD7">
              <w:rPr>
                <w:sz w:val="24"/>
                <w:szCs w:val="24"/>
                <w:lang w:val="lv-LV"/>
              </w:rPr>
              <w:t>.</w:t>
            </w:r>
          </w:p>
          <w:p w14:paraId="4FE7149D" w14:textId="7C6715C2" w:rsidR="007003C6" w:rsidRPr="007D0BD7" w:rsidRDefault="007003C6" w:rsidP="00037B3D">
            <w:pPr>
              <w:contextualSpacing/>
              <w:jc w:val="both"/>
              <w:rPr>
                <w:sz w:val="24"/>
                <w:szCs w:val="24"/>
                <w:lang w:val="lv-LV"/>
              </w:rPr>
            </w:pPr>
            <w:r w:rsidRPr="007D0BD7">
              <w:rPr>
                <w:sz w:val="24"/>
                <w:szCs w:val="24"/>
                <w:lang w:val="lv-LV"/>
              </w:rPr>
              <w:t xml:space="preserve">2) </w:t>
            </w:r>
            <w:r w:rsidR="00D05A6D" w:rsidRPr="007D0BD7">
              <w:rPr>
                <w:sz w:val="24"/>
                <w:szCs w:val="24"/>
                <w:lang w:val="lv-LV"/>
              </w:rPr>
              <w:t>2020.</w:t>
            </w:r>
            <w:r w:rsidR="00DC1354" w:rsidRPr="007D0BD7">
              <w:rPr>
                <w:sz w:val="24"/>
                <w:szCs w:val="24"/>
                <w:lang w:val="lv-LV"/>
              </w:rPr>
              <w:t> </w:t>
            </w:r>
            <w:r w:rsidR="00D05A6D" w:rsidRPr="007D0BD7">
              <w:rPr>
                <w:sz w:val="24"/>
                <w:szCs w:val="24"/>
                <w:lang w:val="lv-LV"/>
              </w:rPr>
              <w:t xml:space="preserve">gadā Covid-19 negatīvi ietekmēja iespējas tikties un izvērtēt </w:t>
            </w:r>
            <w:r w:rsidRPr="007D0BD7">
              <w:rPr>
                <w:sz w:val="24"/>
                <w:szCs w:val="24"/>
                <w:lang w:val="lv-LV"/>
              </w:rPr>
              <w:t xml:space="preserve">arī </w:t>
            </w:r>
            <w:r w:rsidR="00D05A6D" w:rsidRPr="007D0BD7">
              <w:rPr>
                <w:sz w:val="24"/>
                <w:szCs w:val="24"/>
                <w:lang w:val="lv-LV"/>
              </w:rPr>
              <w:t>vietējās jaunuzņēmumu komandas.</w:t>
            </w:r>
          </w:p>
          <w:p w14:paraId="2858DCE1" w14:textId="19BABC4C" w:rsidR="00D05A6D" w:rsidRPr="007D0BD7" w:rsidRDefault="007003C6" w:rsidP="00037B3D">
            <w:pPr>
              <w:contextualSpacing/>
              <w:jc w:val="both"/>
              <w:rPr>
                <w:sz w:val="24"/>
                <w:szCs w:val="24"/>
                <w:lang w:val="lv-LV"/>
              </w:rPr>
            </w:pPr>
            <w:r w:rsidRPr="007D0BD7">
              <w:rPr>
                <w:sz w:val="24"/>
                <w:szCs w:val="24"/>
                <w:lang w:val="lv-LV"/>
              </w:rPr>
              <w:t xml:space="preserve">3) </w:t>
            </w:r>
            <w:r w:rsidR="00D05A6D" w:rsidRPr="007D0BD7">
              <w:rPr>
                <w:sz w:val="24"/>
                <w:szCs w:val="24"/>
                <w:lang w:val="lv-LV"/>
              </w:rPr>
              <w:t>Covid-19 apstākļi 2020.</w:t>
            </w:r>
            <w:r w:rsidR="00DC1354" w:rsidRPr="007D0BD7">
              <w:rPr>
                <w:sz w:val="24"/>
                <w:szCs w:val="24"/>
                <w:lang w:val="lv-LV"/>
              </w:rPr>
              <w:t> </w:t>
            </w:r>
            <w:r w:rsidR="00D05A6D" w:rsidRPr="007D0BD7">
              <w:rPr>
                <w:sz w:val="24"/>
                <w:szCs w:val="24"/>
                <w:lang w:val="lv-LV"/>
              </w:rPr>
              <w:t xml:space="preserve">gada sākumā prasīja </w:t>
            </w:r>
            <w:proofErr w:type="spellStart"/>
            <w:r w:rsidR="00D05A6D" w:rsidRPr="007D0BD7">
              <w:rPr>
                <w:sz w:val="24"/>
                <w:szCs w:val="24"/>
                <w:lang w:val="lv-LV"/>
              </w:rPr>
              <w:t>pirmssēklas</w:t>
            </w:r>
            <w:proofErr w:type="spellEnd"/>
            <w:r w:rsidR="00D05A6D" w:rsidRPr="007D0BD7">
              <w:rPr>
                <w:sz w:val="24"/>
                <w:szCs w:val="24"/>
                <w:lang w:val="lv-LV"/>
              </w:rPr>
              <w:t xml:space="preserve"> fondu pārvaldniekiem laiku akcelerācijas programmu </w:t>
            </w:r>
            <w:r w:rsidR="00D05A6D" w:rsidRPr="007D0BD7">
              <w:rPr>
                <w:sz w:val="24"/>
                <w:szCs w:val="24"/>
                <w:lang w:val="lv-LV"/>
              </w:rPr>
              <w:lastRenderedPageBreak/>
              <w:t xml:space="preserve">organizācijas maiņai, kā arī adaptēt </w:t>
            </w:r>
            <w:proofErr w:type="spellStart"/>
            <w:r w:rsidR="00D05A6D" w:rsidRPr="007D0BD7">
              <w:rPr>
                <w:sz w:val="24"/>
                <w:szCs w:val="24"/>
                <w:lang w:val="lv-LV"/>
              </w:rPr>
              <w:t>pirmssēklas</w:t>
            </w:r>
            <w:proofErr w:type="spellEnd"/>
            <w:r w:rsidR="00D05A6D" w:rsidRPr="007D0BD7">
              <w:rPr>
                <w:sz w:val="24"/>
                <w:szCs w:val="24"/>
                <w:lang w:val="lv-LV"/>
              </w:rPr>
              <w:t xml:space="preserve"> ieguldījumu lēmumu pieņemšanas procesu. </w:t>
            </w:r>
            <w:r w:rsidR="00E76E1D" w:rsidRPr="007D0BD7">
              <w:rPr>
                <w:sz w:val="24"/>
                <w:szCs w:val="24"/>
                <w:lang w:val="lv-LV"/>
              </w:rPr>
              <w:t xml:space="preserve">Tāpat 2020. gada sākumā fondu pārvaldnieki kā investori kļuva piesardzīgāki, līdz varēja novērtēt Covid-19 ietekmi uz potenciālo darījumu plūsmu. </w:t>
            </w:r>
            <w:r w:rsidR="00D05A6D" w:rsidRPr="007D0BD7">
              <w:rPr>
                <w:sz w:val="24"/>
                <w:szCs w:val="24"/>
                <w:lang w:val="lv-LV"/>
              </w:rPr>
              <w:t>Kaut arī 2020.</w:t>
            </w:r>
            <w:r w:rsidR="00DC1354" w:rsidRPr="007D0BD7">
              <w:rPr>
                <w:sz w:val="24"/>
                <w:szCs w:val="24"/>
                <w:lang w:val="lv-LV"/>
              </w:rPr>
              <w:t> </w:t>
            </w:r>
            <w:r w:rsidR="00D05A6D" w:rsidRPr="007D0BD7">
              <w:rPr>
                <w:sz w:val="24"/>
                <w:szCs w:val="24"/>
                <w:lang w:val="lv-LV"/>
              </w:rPr>
              <w:t>gadā un 2021.</w:t>
            </w:r>
            <w:r w:rsidR="00DC1354" w:rsidRPr="007D0BD7">
              <w:rPr>
                <w:sz w:val="24"/>
                <w:szCs w:val="24"/>
                <w:lang w:val="lv-LV"/>
              </w:rPr>
              <w:t> </w:t>
            </w:r>
            <w:r w:rsidR="00D05A6D" w:rsidRPr="007D0BD7">
              <w:rPr>
                <w:sz w:val="24"/>
                <w:szCs w:val="24"/>
                <w:lang w:val="lv-LV"/>
              </w:rPr>
              <w:t xml:space="preserve">gadā </w:t>
            </w:r>
            <w:proofErr w:type="spellStart"/>
            <w:r w:rsidR="00D05A6D" w:rsidRPr="007D0BD7">
              <w:rPr>
                <w:sz w:val="24"/>
                <w:szCs w:val="24"/>
                <w:lang w:val="lv-LV"/>
              </w:rPr>
              <w:t>pirmssēklas</w:t>
            </w:r>
            <w:proofErr w:type="spellEnd"/>
            <w:r w:rsidR="00D05A6D" w:rsidRPr="007D0BD7">
              <w:rPr>
                <w:sz w:val="24"/>
                <w:szCs w:val="24"/>
                <w:lang w:val="lv-LV"/>
              </w:rPr>
              <w:t xml:space="preserve"> fondu pārvaldnieki veiksmīgi realizēja akcelerācijas programmas attālinātā formātā, minēto ierobežojumu rezultātā tie ir spējuši veikt mazāku investīciju skaitu nekā to paredz fondu ieguldījumu stratēģijas. Aplēses liecina, ka vidēji katrs no trim </w:t>
            </w:r>
            <w:proofErr w:type="spellStart"/>
            <w:r w:rsidR="00D05A6D" w:rsidRPr="007D0BD7">
              <w:rPr>
                <w:sz w:val="24"/>
                <w:szCs w:val="24"/>
                <w:lang w:val="lv-LV"/>
              </w:rPr>
              <w:t>pirmssēklas</w:t>
            </w:r>
            <w:proofErr w:type="spellEnd"/>
            <w:r w:rsidR="00D05A6D" w:rsidRPr="007D0BD7">
              <w:rPr>
                <w:sz w:val="24"/>
                <w:szCs w:val="24"/>
                <w:lang w:val="lv-LV"/>
              </w:rPr>
              <w:t xml:space="preserve"> fonda pārvaldniekiem 2020.</w:t>
            </w:r>
            <w:r w:rsidR="00DC1354" w:rsidRPr="007D0BD7">
              <w:rPr>
                <w:sz w:val="24"/>
                <w:szCs w:val="24"/>
                <w:lang w:val="lv-LV"/>
              </w:rPr>
              <w:t> </w:t>
            </w:r>
            <w:r w:rsidR="00D05A6D" w:rsidRPr="007D0BD7">
              <w:rPr>
                <w:sz w:val="24"/>
                <w:szCs w:val="24"/>
                <w:lang w:val="lv-LV"/>
              </w:rPr>
              <w:t>gadā zaudēja iespējas ieguldīt vismaz 10 jaunuzņēmumos.</w:t>
            </w:r>
          </w:p>
          <w:p w14:paraId="741E5DA8" w14:textId="77777777" w:rsidR="00D05A6D" w:rsidRPr="007D0BD7" w:rsidRDefault="00D05A6D" w:rsidP="00D05A6D">
            <w:pPr>
              <w:ind w:firstLine="231"/>
              <w:contextualSpacing/>
              <w:jc w:val="both"/>
              <w:rPr>
                <w:sz w:val="24"/>
                <w:szCs w:val="24"/>
                <w:lang w:val="lv-LV"/>
              </w:rPr>
            </w:pPr>
            <w:r w:rsidRPr="007D0BD7">
              <w:rPr>
                <w:sz w:val="24"/>
                <w:szCs w:val="24"/>
                <w:lang w:val="lv-LV"/>
              </w:rPr>
              <w:t xml:space="preserve">Lai pārvaldnieki nezaudētu investīciju iespējas strauji augošos jaunuzņēmumos, kā arī spētu sasniegt pēc iespējas lielāku atbalstīto uzņēmumu skaitu, veikto investīciju apjomu un augstākas fondu </w:t>
            </w:r>
            <w:proofErr w:type="spellStart"/>
            <w:r w:rsidRPr="007D0BD7">
              <w:rPr>
                <w:sz w:val="24"/>
                <w:szCs w:val="24"/>
                <w:lang w:val="lv-LV"/>
              </w:rPr>
              <w:t>atdeves</w:t>
            </w:r>
            <w:proofErr w:type="spellEnd"/>
            <w:r w:rsidRPr="007D0BD7">
              <w:rPr>
                <w:sz w:val="24"/>
                <w:szCs w:val="24"/>
                <w:lang w:val="lv-LV"/>
              </w:rPr>
              <w:t xml:space="preserve">, ir būtiski pagarināt termiņu, kādā var pieņemt attiecīgos lēmumus. Balstoties uz līdzšinējo pieredzi par </w:t>
            </w:r>
            <w:proofErr w:type="spellStart"/>
            <w:r w:rsidRPr="007D0BD7">
              <w:rPr>
                <w:sz w:val="24"/>
                <w:szCs w:val="24"/>
                <w:lang w:val="lv-LV"/>
              </w:rPr>
              <w:t>pirmssēklas</w:t>
            </w:r>
            <w:proofErr w:type="spellEnd"/>
            <w:r w:rsidRPr="007D0BD7">
              <w:rPr>
                <w:sz w:val="24"/>
                <w:szCs w:val="24"/>
                <w:lang w:val="lv-LV"/>
              </w:rPr>
              <w:t xml:space="preserve"> fondu darbību, indikatīvi nepieciešamais lēmumu pieņemšanas termiņa pagarinājums ir viens gads. Pēc attiecīgu grozījumu veikšanas Ministru kabineta noteikumos akciju sabiedrība “Attīstības finanšu institūcija Altum” slēgs papildu vienošanās ar </w:t>
            </w:r>
            <w:proofErr w:type="spellStart"/>
            <w:r w:rsidRPr="007D0BD7">
              <w:rPr>
                <w:sz w:val="24"/>
                <w:szCs w:val="24"/>
                <w:lang w:val="lv-LV"/>
              </w:rPr>
              <w:t>pirmssēklas</w:t>
            </w:r>
            <w:proofErr w:type="spellEnd"/>
            <w:r w:rsidRPr="007D0BD7">
              <w:rPr>
                <w:sz w:val="24"/>
                <w:szCs w:val="24"/>
                <w:lang w:val="lv-LV"/>
              </w:rPr>
              <w:t xml:space="preserve"> fondu pārvaldniekiem.</w:t>
            </w:r>
          </w:p>
          <w:p w14:paraId="4BFBDF88" w14:textId="4B718919" w:rsidR="00D05A6D" w:rsidRPr="007D0BD7" w:rsidRDefault="00D05A6D" w:rsidP="00D05A6D">
            <w:pPr>
              <w:ind w:firstLine="231"/>
              <w:contextualSpacing/>
              <w:jc w:val="both"/>
              <w:rPr>
                <w:sz w:val="24"/>
                <w:szCs w:val="24"/>
                <w:lang w:val="lv-LV"/>
              </w:rPr>
            </w:pPr>
            <w:r w:rsidRPr="007D0BD7">
              <w:rPr>
                <w:sz w:val="24"/>
                <w:szCs w:val="24"/>
                <w:lang w:val="lv-LV"/>
              </w:rPr>
              <w:t>2021.</w:t>
            </w:r>
            <w:r w:rsidR="00DC1354" w:rsidRPr="007D0BD7">
              <w:rPr>
                <w:sz w:val="24"/>
                <w:szCs w:val="24"/>
                <w:lang w:val="lv-LV"/>
              </w:rPr>
              <w:t> </w:t>
            </w:r>
            <w:r w:rsidRPr="007D0BD7">
              <w:rPr>
                <w:sz w:val="24"/>
                <w:szCs w:val="24"/>
                <w:lang w:val="lv-LV"/>
              </w:rPr>
              <w:t>gada 2.</w:t>
            </w:r>
            <w:r w:rsidR="00DC1354" w:rsidRPr="007D0BD7">
              <w:rPr>
                <w:sz w:val="24"/>
                <w:szCs w:val="24"/>
                <w:lang w:val="lv-LV"/>
              </w:rPr>
              <w:t> </w:t>
            </w:r>
            <w:r w:rsidRPr="007D0BD7">
              <w:rPr>
                <w:sz w:val="24"/>
                <w:szCs w:val="24"/>
                <w:lang w:val="lv-LV"/>
              </w:rPr>
              <w:t xml:space="preserve">jūnijā investīcijām paredzētā </w:t>
            </w:r>
            <w:proofErr w:type="spellStart"/>
            <w:r w:rsidRPr="007D0BD7">
              <w:rPr>
                <w:sz w:val="24"/>
                <w:szCs w:val="24"/>
                <w:lang w:val="lv-LV"/>
              </w:rPr>
              <w:t>pirmssēklas</w:t>
            </w:r>
            <w:proofErr w:type="spellEnd"/>
            <w:r w:rsidRPr="007D0BD7">
              <w:rPr>
                <w:sz w:val="24"/>
                <w:szCs w:val="24"/>
                <w:lang w:val="lv-LV"/>
              </w:rPr>
              <w:t xml:space="preserve"> fondu kapitāla daļa ir izmantota vidēji 5</w:t>
            </w:r>
            <w:r w:rsidR="00FB798E" w:rsidRPr="007D0BD7">
              <w:rPr>
                <w:sz w:val="24"/>
                <w:szCs w:val="24"/>
                <w:lang w:val="lv-LV"/>
              </w:rPr>
              <w:t>1</w:t>
            </w:r>
            <w:r w:rsidRPr="007D0BD7">
              <w:rPr>
                <w:sz w:val="24"/>
                <w:szCs w:val="24"/>
                <w:lang w:val="lv-LV"/>
              </w:rPr>
              <w:t xml:space="preserve">% apmērā, tādējādi esošā parakstītā kapitāla ietvaros ir iespējams turpināt veikt </w:t>
            </w:r>
            <w:proofErr w:type="spellStart"/>
            <w:r w:rsidRPr="007D0BD7">
              <w:rPr>
                <w:sz w:val="24"/>
                <w:szCs w:val="24"/>
                <w:lang w:val="lv-LV"/>
              </w:rPr>
              <w:t>pirmssēklas</w:t>
            </w:r>
            <w:proofErr w:type="spellEnd"/>
            <w:r w:rsidRPr="007D0BD7">
              <w:rPr>
                <w:sz w:val="24"/>
                <w:szCs w:val="24"/>
                <w:lang w:val="lv-LV"/>
              </w:rPr>
              <w:t xml:space="preserve"> ieguldījumus tehnoloģiskajos </w:t>
            </w:r>
            <w:proofErr w:type="spellStart"/>
            <w:r w:rsidRPr="007D0BD7">
              <w:rPr>
                <w:sz w:val="24"/>
                <w:szCs w:val="24"/>
                <w:lang w:val="lv-LV"/>
              </w:rPr>
              <w:t>jaunuzņēmumos</w:t>
            </w:r>
            <w:proofErr w:type="spellEnd"/>
            <w:r w:rsidRPr="007D0BD7">
              <w:rPr>
                <w:sz w:val="24"/>
                <w:szCs w:val="24"/>
                <w:lang w:val="lv-LV"/>
              </w:rPr>
              <w:t>.</w:t>
            </w:r>
            <w:r w:rsidR="00FB798E" w:rsidRPr="007D0BD7">
              <w:rPr>
                <w:sz w:val="24"/>
                <w:szCs w:val="24"/>
                <w:lang w:val="lv-LV"/>
              </w:rPr>
              <w:t xml:space="preserve"> Ja ņem vērā fondu darījumu plūsmā (</w:t>
            </w:r>
            <w:proofErr w:type="spellStart"/>
            <w:r w:rsidR="00FB798E" w:rsidRPr="007D0BD7">
              <w:rPr>
                <w:i/>
                <w:iCs/>
                <w:sz w:val="24"/>
                <w:szCs w:val="24"/>
                <w:lang w:val="lv-LV"/>
              </w:rPr>
              <w:t>pipeline</w:t>
            </w:r>
            <w:proofErr w:type="spellEnd"/>
            <w:r w:rsidR="00FB798E" w:rsidRPr="007D0BD7">
              <w:rPr>
                <w:i/>
                <w:iCs/>
                <w:sz w:val="24"/>
                <w:szCs w:val="24"/>
                <w:lang w:val="lv-LV"/>
              </w:rPr>
              <w:t>)</w:t>
            </w:r>
            <w:r w:rsidR="00FB798E" w:rsidRPr="007D0BD7">
              <w:rPr>
                <w:sz w:val="24"/>
                <w:szCs w:val="24"/>
                <w:lang w:val="lv-LV"/>
              </w:rPr>
              <w:t xml:space="preserve"> esošos </w:t>
            </w:r>
            <w:proofErr w:type="spellStart"/>
            <w:r w:rsidR="00FB798E" w:rsidRPr="007D0BD7">
              <w:rPr>
                <w:sz w:val="24"/>
                <w:szCs w:val="24"/>
                <w:lang w:val="lv-LV"/>
              </w:rPr>
              <w:t>jaunuzņēmumus</w:t>
            </w:r>
            <w:proofErr w:type="spellEnd"/>
            <w:r w:rsidR="00FB798E" w:rsidRPr="007D0BD7">
              <w:rPr>
                <w:sz w:val="24"/>
                <w:szCs w:val="24"/>
                <w:lang w:val="lv-LV"/>
              </w:rPr>
              <w:t xml:space="preserve">, kā arī jau veiktajiem </w:t>
            </w:r>
            <w:proofErr w:type="spellStart"/>
            <w:r w:rsidR="00FB798E" w:rsidRPr="007D0BD7">
              <w:rPr>
                <w:sz w:val="24"/>
                <w:szCs w:val="24"/>
                <w:lang w:val="lv-LV"/>
              </w:rPr>
              <w:t>pirmssēklas</w:t>
            </w:r>
            <w:proofErr w:type="spellEnd"/>
            <w:r w:rsidR="00FB798E" w:rsidRPr="007D0BD7">
              <w:rPr>
                <w:sz w:val="24"/>
                <w:szCs w:val="24"/>
                <w:lang w:val="lv-LV"/>
              </w:rPr>
              <w:t xml:space="preserve"> ieguldījumiem vēl neizpildītās izmaksas (atsevišķos gadījumos ieguldījum</w:t>
            </w:r>
            <w:r w:rsidR="007F09F6" w:rsidRPr="007D0BD7">
              <w:rPr>
                <w:sz w:val="24"/>
                <w:szCs w:val="24"/>
                <w:lang w:val="lv-LV"/>
              </w:rPr>
              <w:t>a</w:t>
            </w:r>
            <w:r w:rsidR="00FB798E" w:rsidRPr="007D0BD7">
              <w:rPr>
                <w:sz w:val="24"/>
                <w:szCs w:val="24"/>
                <w:lang w:val="lv-LV"/>
              </w:rPr>
              <w:t xml:space="preserve"> izmaksa tiek veikta vairākās daļās), investīcijām paredzētā </w:t>
            </w:r>
            <w:proofErr w:type="spellStart"/>
            <w:r w:rsidR="00FB798E" w:rsidRPr="007D0BD7">
              <w:rPr>
                <w:sz w:val="24"/>
                <w:szCs w:val="24"/>
                <w:lang w:val="lv-LV"/>
              </w:rPr>
              <w:t>pirmssēklas</w:t>
            </w:r>
            <w:proofErr w:type="spellEnd"/>
            <w:r w:rsidR="00FB798E" w:rsidRPr="007D0BD7">
              <w:rPr>
                <w:sz w:val="24"/>
                <w:szCs w:val="24"/>
                <w:lang w:val="lv-LV"/>
              </w:rPr>
              <w:t xml:space="preserve"> fondu kapitāla daļa ir izmantota vidēji 63% apmērā.</w:t>
            </w:r>
            <w:r w:rsidRPr="007D0BD7">
              <w:rPr>
                <w:sz w:val="24"/>
                <w:szCs w:val="24"/>
                <w:lang w:val="lv-LV"/>
              </w:rPr>
              <w:t xml:space="preserve"> Līdzšinēji atbalstīto jaunuzņēmumu skaits ir 88 jeb </w:t>
            </w:r>
            <w:r w:rsidR="00741CC6" w:rsidRPr="007D0BD7">
              <w:rPr>
                <w:sz w:val="24"/>
                <w:szCs w:val="24"/>
                <w:lang w:val="lv-LV"/>
              </w:rPr>
              <w:t xml:space="preserve">robežās no 27 līdz 34 (vidēji 30) </w:t>
            </w:r>
            <w:proofErr w:type="spellStart"/>
            <w:r w:rsidRPr="007D0BD7">
              <w:rPr>
                <w:sz w:val="24"/>
                <w:szCs w:val="24"/>
                <w:lang w:val="lv-LV"/>
              </w:rPr>
              <w:t>pirmssēklas</w:t>
            </w:r>
            <w:proofErr w:type="spellEnd"/>
            <w:r w:rsidRPr="007D0BD7">
              <w:rPr>
                <w:sz w:val="24"/>
                <w:szCs w:val="24"/>
                <w:lang w:val="lv-LV"/>
              </w:rPr>
              <w:t xml:space="preserve"> ieguldījuma saņēmēji</w:t>
            </w:r>
            <w:r w:rsidR="00741CC6" w:rsidRPr="007D0BD7">
              <w:rPr>
                <w:sz w:val="24"/>
                <w:szCs w:val="24"/>
                <w:lang w:val="lv-LV"/>
              </w:rPr>
              <w:t>em</w:t>
            </w:r>
            <w:r w:rsidRPr="007D0BD7">
              <w:rPr>
                <w:sz w:val="24"/>
                <w:szCs w:val="24"/>
                <w:lang w:val="lv-LV"/>
              </w:rPr>
              <w:t xml:space="preserve"> katrā no fondiem. Pagarinot </w:t>
            </w:r>
            <w:proofErr w:type="spellStart"/>
            <w:r w:rsidRPr="007D0BD7">
              <w:rPr>
                <w:sz w:val="24"/>
                <w:szCs w:val="24"/>
                <w:lang w:val="lv-LV"/>
              </w:rPr>
              <w:t>pirmssēklas</w:t>
            </w:r>
            <w:proofErr w:type="spellEnd"/>
            <w:r w:rsidRPr="007D0BD7">
              <w:rPr>
                <w:sz w:val="24"/>
                <w:szCs w:val="24"/>
                <w:lang w:val="lv-LV"/>
              </w:rPr>
              <w:t xml:space="preserve"> ieguldījumu lēmumu pieņemšanas periodu par vienu gadu, fondu pārvaldnieki varētu nodrošināt investīcijām paredzētās kapitāla komponentes pilnu apguvi, kā arī sasniegt publiskajā iepirkumā un fondu investīciju stratēģijās paredzēto atbalsta saņēmēju skaitu – vidēji 50 katrā no fondiem.</w:t>
            </w:r>
          </w:p>
          <w:p w14:paraId="02C0B0FD" w14:textId="6BBD2D0D" w:rsidR="00741CC6" w:rsidRPr="007D0BD7" w:rsidRDefault="00741CC6" w:rsidP="00D05A6D">
            <w:pPr>
              <w:ind w:firstLine="231"/>
              <w:contextualSpacing/>
              <w:jc w:val="both"/>
              <w:rPr>
                <w:sz w:val="24"/>
                <w:szCs w:val="24"/>
                <w:lang w:val="lv-LV"/>
              </w:rPr>
            </w:pPr>
            <w:r w:rsidRPr="007D0BD7">
              <w:rPr>
                <w:sz w:val="24"/>
                <w:szCs w:val="24"/>
                <w:lang w:val="lv-LV"/>
              </w:rPr>
              <w:t xml:space="preserve">Šī gada akcelerācijas programmas ietvaros fondu darījumu plūsmā šobrīd atrodas vidēji 3 </w:t>
            </w:r>
            <w:r w:rsidR="00FB798E" w:rsidRPr="007D0BD7">
              <w:rPr>
                <w:sz w:val="24"/>
                <w:szCs w:val="24"/>
                <w:lang w:val="lv-LV"/>
              </w:rPr>
              <w:t xml:space="preserve">jauni </w:t>
            </w:r>
            <w:proofErr w:type="spellStart"/>
            <w:r w:rsidRPr="007D0BD7">
              <w:rPr>
                <w:sz w:val="24"/>
                <w:szCs w:val="24"/>
                <w:lang w:val="lv-LV"/>
              </w:rPr>
              <w:t>pirmssēklas</w:t>
            </w:r>
            <w:proofErr w:type="spellEnd"/>
            <w:r w:rsidRPr="007D0BD7">
              <w:rPr>
                <w:sz w:val="24"/>
                <w:szCs w:val="24"/>
                <w:lang w:val="lv-LV"/>
              </w:rPr>
              <w:t xml:space="preserve"> ieguldījuma saņēmēji. Esošā parakstītā kapitāla ietvaros, atskaitot paredzamās papildu izmaksas par pārvaldību, ir iespējams kapitalizēt vidēji </w:t>
            </w:r>
            <w:r w:rsidR="007F09F6" w:rsidRPr="007D0BD7">
              <w:rPr>
                <w:sz w:val="24"/>
                <w:szCs w:val="24"/>
                <w:lang w:val="lv-LV"/>
              </w:rPr>
              <w:t xml:space="preserve">vismaz </w:t>
            </w:r>
            <w:r w:rsidRPr="007D0BD7">
              <w:rPr>
                <w:sz w:val="24"/>
                <w:szCs w:val="24"/>
                <w:lang w:val="lv-LV"/>
              </w:rPr>
              <w:t>15 jaunuzņēmumus (ar vidēj</w:t>
            </w:r>
            <w:r w:rsidR="007F09F6" w:rsidRPr="007D0BD7">
              <w:rPr>
                <w:sz w:val="24"/>
                <w:szCs w:val="24"/>
                <w:lang w:val="lv-LV"/>
              </w:rPr>
              <w:t>o</w:t>
            </w:r>
            <w:r w:rsidRPr="007D0BD7">
              <w:rPr>
                <w:sz w:val="24"/>
                <w:szCs w:val="24"/>
                <w:lang w:val="lv-LV"/>
              </w:rPr>
              <w:t xml:space="preserve"> ieguldījumu 40 000 EUR). Ja faktiskie darījumi notiks ar vidējo ieguld</w:t>
            </w:r>
            <w:r w:rsidR="00FB798E" w:rsidRPr="007D0BD7">
              <w:rPr>
                <w:sz w:val="24"/>
                <w:szCs w:val="24"/>
                <w:lang w:val="lv-LV"/>
              </w:rPr>
              <w:t>ījumu mazāku par 40 000 EUR, potenciālo jaunuzņēmumu skaits būs lielāks par 15.</w:t>
            </w:r>
          </w:p>
          <w:p w14:paraId="4BE5D73F" w14:textId="3D90CBD0" w:rsidR="00FB798E" w:rsidRPr="007D0BD7" w:rsidRDefault="00FB798E" w:rsidP="00D05A6D">
            <w:pPr>
              <w:ind w:firstLine="231"/>
              <w:contextualSpacing/>
              <w:jc w:val="both"/>
              <w:rPr>
                <w:sz w:val="24"/>
                <w:szCs w:val="24"/>
                <w:lang w:val="lv-LV"/>
              </w:rPr>
            </w:pPr>
            <w:r w:rsidRPr="007D0BD7">
              <w:rPr>
                <w:sz w:val="24"/>
                <w:szCs w:val="24"/>
                <w:lang w:val="lv-LV"/>
              </w:rPr>
              <w:t xml:space="preserve">Būtiski ņemt vērā, ka visi akcelerācijas fondi ir </w:t>
            </w:r>
            <w:proofErr w:type="spellStart"/>
            <w:r w:rsidRPr="007D0BD7">
              <w:rPr>
                <w:sz w:val="24"/>
                <w:szCs w:val="24"/>
                <w:lang w:val="lv-LV"/>
              </w:rPr>
              <w:t>jaunizveidoti</w:t>
            </w:r>
            <w:proofErr w:type="spellEnd"/>
            <w:r w:rsidRPr="007D0BD7">
              <w:rPr>
                <w:sz w:val="24"/>
                <w:szCs w:val="24"/>
                <w:lang w:val="lv-LV"/>
              </w:rPr>
              <w:t xml:space="preserve">, </w:t>
            </w:r>
            <w:r w:rsidR="007F09F6" w:rsidRPr="007D0BD7">
              <w:rPr>
                <w:sz w:val="24"/>
                <w:szCs w:val="24"/>
                <w:lang w:val="lv-LV"/>
              </w:rPr>
              <w:t xml:space="preserve">līdz ar ko </w:t>
            </w:r>
            <w:r w:rsidRPr="007D0BD7">
              <w:rPr>
                <w:sz w:val="24"/>
                <w:szCs w:val="24"/>
                <w:lang w:val="lv-LV"/>
              </w:rPr>
              <w:t>to sākotnējā darbības posmā bija nepieciešams izveidot jaunuzņēmumu atlasei un kapitalizēšanai nepieciešam</w:t>
            </w:r>
            <w:r w:rsidR="00A73EC5" w:rsidRPr="007D0BD7">
              <w:rPr>
                <w:sz w:val="24"/>
                <w:szCs w:val="24"/>
                <w:lang w:val="lv-LV"/>
              </w:rPr>
              <w:t>o</w:t>
            </w:r>
            <w:r w:rsidRPr="007D0BD7">
              <w:rPr>
                <w:sz w:val="24"/>
                <w:szCs w:val="24"/>
                <w:lang w:val="lv-LV"/>
              </w:rPr>
              <w:t xml:space="preserve"> infrastruktūr</w:t>
            </w:r>
            <w:r w:rsidR="00A73EC5" w:rsidRPr="007D0BD7">
              <w:rPr>
                <w:sz w:val="24"/>
                <w:szCs w:val="24"/>
                <w:lang w:val="lv-LV"/>
              </w:rPr>
              <w:t>u</w:t>
            </w:r>
            <w:r w:rsidRPr="007D0BD7">
              <w:rPr>
                <w:sz w:val="24"/>
                <w:szCs w:val="24"/>
                <w:lang w:val="lv-LV"/>
              </w:rPr>
              <w:t xml:space="preserve"> (fondu atpazīstamība jaunuzņēmumu ekosistēmā Latvijā un jo īpaš</w:t>
            </w:r>
            <w:r w:rsidR="00A73EC5" w:rsidRPr="007D0BD7">
              <w:rPr>
                <w:sz w:val="24"/>
                <w:szCs w:val="24"/>
                <w:lang w:val="lv-LV"/>
              </w:rPr>
              <w:t>i</w:t>
            </w:r>
            <w:r w:rsidRPr="007D0BD7">
              <w:rPr>
                <w:sz w:val="24"/>
                <w:szCs w:val="24"/>
                <w:lang w:val="lv-LV"/>
              </w:rPr>
              <w:t xml:space="preserve"> ārpus Latvijas, </w:t>
            </w:r>
            <w:r w:rsidRPr="007D0BD7">
              <w:rPr>
                <w:sz w:val="24"/>
                <w:szCs w:val="24"/>
                <w:lang w:val="lv-LV"/>
              </w:rPr>
              <w:lastRenderedPageBreak/>
              <w:t xml:space="preserve">atlases pielāgošana praksei, </w:t>
            </w:r>
            <w:r w:rsidR="007F09F6" w:rsidRPr="007D0BD7">
              <w:rPr>
                <w:sz w:val="24"/>
                <w:szCs w:val="24"/>
                <w:lang w:val="lv-LV"/>
              </w:rPr>
              <w:t xml:space="preserve">efektīvāko atlases kanālu identificēšana, akcelerācijas </w:t>
            </w:r>
            <w:r w:rsidRPr="007D0BD7">
              <w:rPr>
                <w:sz w:val="24"/>
                <w:szCs w:val="24"/>
                <w:lang w:val="lv-LV"/>
              </w:rPr>
              <w:t>programmu pielāgošana praksei, darījumu nosacījumu adaptēšana u.c.). Tādējādi darījumu plūsma pieauga otrajā un trešajā fondu darbības gadā</w:t>
            </w:r>
            <w:r w:rsidR="00F23CD4" w:rsidRPr="007D0BD7">
              <w:rPr>
                <w:sz w:val="24"/>
                <w:szCs w:val="24"/>
                <w:lang w:val="lv-LV"/>
              </w:rPr>
              <w:t xml:space="preserve"> un minētās infrastruktūras izveide nodrošina efektīvu jaunuzņēmumu atlasi un kapitalizēšanu arī turpmāk</w:t>
            </w:r>
            <w:r w:rsidRPr="007D0BD7">
              <w:rPr>
                <w:sz w:val="24"/>
                <w:szCs w:val="24"/>
                <w:lang w:val="lv-LV"/>
              </w:rPr>
              <w:t xml:space="preserve">.  </w:t>
            </w:r>
          </w:p>
          <w:p w14:paraId="75806B34" w14:textId="5D62FDB8" w:rsidR="00FB798E" w:rsidRPr="007D0BD7" w:rsidRDefault="00FB798E" w:rsidP="00D05A6D">
            <w:pPr>
              <w:ind w:firstLine="231"/>
              <w:contextualSpacing/>
              <w:jc w:val="both"/>
              <w:rPr>
                <w:sz w:val="24"/>
                <w:szCs w:val="24"/>
                <w:lang w:val="lv-LV"/>
              </w:rPr>
            </w:pPr>
            <w:r w:rsidRPr="007D0BD7">
              <w:rPr>
                <w:sz w:val="24"/>
                <w:szCs w:val="24"/>
                <w:lang w:val="lv-LV"/>
              </w:rPr>
              <w:t>Ņemot vērā fondu darījumu plūsmā (</w:t>
            </w:r>
            <w:proofErr w:type="spellStart"/>
            <w:r w:rsidRPr="007D0BD7">
              <w:rPr>
                <w:i/>
                <w:iCs/>
                <w:sz w:val="24"/>
                <w:szCs w:val="24"/>
                <w:lang w:val="lv-LV"/>
              </w:rPr>
              <w:t>pipeline</w:t>
            </w:r>
            <w:proofErr w:type="spellEnd"/>
            <w:r w:rsidRPr="007D0BD7">
              <w:rPr>
                <w:i/>
                <w:iCs/>
                <w:sz w:val="24"/>
                <w:szCs w:val="24"/>
                <w:lang w:val="lv-LV"/>
              </w:rPr>
              <w:t>)</w:t>
            </w:r>
            <w:r w:rsidRPr="007D0BD7">
              <w:rPr>
                <w:sz w:val="24"/>
                <w:szCs w:val="24"/>
                <w:lang w:val="lv-LV"/>
              </w:rPr>
              <w:t xml:space="preserve"> esošos </w:t>
            </w:r>
            <w:proofErr w:type="spellStart"/>
            <w:r w:rsidRPr="007D0BD7">
              <w:rPr>
                <w:sz w:val="24"/>
                <w:szCs w:val="24"/>
                <w:lang w:val="lv-LV"/>
              </w:rPr>
              <w:t>jaunuzņēmumus</w:t>
            </w:r>
            <w:proofErr w:type="spellEnd"/>
            <w:r w:rsidRPr="007D0BD7">
              <w:rPr>
                <w:sz w:val="24"/>
                <w:szCs w:val="24"/>
                <w:lang w:val="lv-LV"/>
              </w:rPr>
              <w:t xml:space="preserve">, jau veiktajiem </w:t>
            </w:r>
            <w:proofErr w:type="spellStart"/>
            <w:r w:rsidRPr="007D0BD7">
              <w:rPr>
                <w:sz w:val="24"/>
                <w:szCs w:val="24"/>
                <w:lang w:val="lv-LV"/>
              </w:rPr>
              <w:t>pirmssēklas</w:t>
            </w:r>
            <w:proofErr w:type="spellEnd"/>
            <w:r w:rsidRPr="007D0BD7">
              <w:rPr>
                <w:sz w:val="24"/>
                <w:szCs w:val="24"/>
                <w:lang w:val="lv-LV"/>
              </w:rPr>
              <w:t xml:space="preserve"> ieguldījumiem vēl neizpildītās izmaksas</w:t>
            </w:r>
            <w:r w:rsidR="00F23CD4" w:rsidRPr="007D0BD7">
              <w:rPr>
                <w:sz w:val="24"/>
                <w:szCs w:val="24"/>
                <w:lang w:val="lv-LV"/>
              </w:rPr>
              <w:t xml:space="preserve">, kā arī fondu darbības laikā uzkrāto pieredzi, ir </w:t>
            </w:r>
            <w:r w:rsidR="007F09F6" w:rsidRPr="007D0BD7">
              <w:rPr>
                <w:sz w:val="24"/>
                <w:szCs w:val="24"/>
                <w:lang w:val="lv-LV"/>
              </w:rPr>
              <w:t xml:space="preserve">objektīvs </w:t>
            </w:r>
            <w:r w:rsidR="00F23CD4" w:rsidRPr="007D0BD7">
              <w:rPr>
                <w:sz w:val="24"/>
                <w:szCs w:val="24"/>
                <w:lang w:val="lv-LV"/>
              </w:rPr>
              <w:t>pamato</w:t>
            </w:r>
            <w:r w:rsidR="00A73EC5" w:rsidRPr="007D0BD7">
              <w:rPr>
                <w:sz w:val="24"/>
                <w:szCs w:val="24"/>
                <w:lang w:val="lv-LV"/>
              </w:rPr>
              <w:t>jums</w:t>
            </w:r>
            <w:r w:rsidR="00F23CD4" w:rsidRPr="007D0BD7">
              <w:rPr>
                <w:sz w:val="24"/>
                <w:szCs w:val="24"/>
                <w:lang w:val="lv-LV"/>
              </w:rPr>
              <w:t xml:space="preserve"> uzskatīt, ka turpmākā gada laik</w:t>
            </w:r>
            <w:r w:rsidR="007F09F6" w:rsidRPr="007D0BD7">
              <w:rPr>
                <w:sz w:val="24"/>
                <w:szCs w:val="24"/>
                <w:lang w:val="lv-LV"/>
              </w:rPr>
              <w:t>ā</w:t>
            </w:r>
            <w:r w:rsidR="00F23CD4" w:rsidRPr="007D0BD7">
              <w:rPr>
                <w:sz w:val="24"/>
                <w:szCs w:val="24"/>
                <w:lang w:val="lv-LV"/>
              </w:rPr>
              <w:t xml:space="preserve"> fondu pārvaldnieki sasniegs nepieciešamo atbalstāmo jaunuzņēmumu skaitu</w:t>
            </w:r>
            <w:r w:rsidR="00CE41EA" w:rsidRPr="007D0BD7">
              <w:rPr>
                <w:sz w:val="24"/>
                <w:szCs w:val="24"/>
                <w:lang w:val="lv-LV"/>
              </w:rPr>
              <w:t xml:space="preserve"> un izmantos pieejamo fondu kapitālu daļu.</w:t>
            </w:r>
          </w:p>
          <w:p w14:paraId="39AC651E" w14:textId="17FC1C68" w:rsidR="00CC2804" w:rsidRPr="007D0BD7" w:rsidRDefault="00CC2804" w:rsidP="00D05A6D">
            <w:pPr>
              <w:ind w:firstLine="231"/>
              <w:contextualSpacing/>
              <w:jc w:val="both"/>
              <w:rPr>
                <w:sz w:val="24"/>
                <w:szCs w:val="24"/>
                <w:lang w:val="lv-LV"/>
              </w:rPr>
            </w:pPr>
            <w:r w:rsidRPr="007D0BD7">
              <w:rPr>
                <w:sz w:val="24"/>
                <w:szCs w:val="24"/>
                <w:lang w:val="lv-LV"/>
              </w:rPr>
              <w:t xml:space="preserve">2. </w:t>
            </w:r>
            <w:r w:rsidR="002E5B94" w:rsidRPr="00DA49E7">
              <w:rPr>
                <w:sz w:val="24"/>
                <w:szCs w:val="24"/>
                <w:lang w:val="lv-LV"/>
              </w:rPr>
              <w:t>Tiek p</w:t>
            </w:r>
            <w:r w:rsidRPr="00DA49E7">
              <w:rPr>
                <w:sz w:val="24"/>
                <w:szCs w:val="24"/>
                <w:lang w:val="lv-LV"/>
              </w:rPr>
              <w:t>recizēts 20.</w:t>
            </w:r>
            <w:r w:rsidRPr="00DA49E7">
              <w:rPr>
                <w:sz w:val="24"/>
                <w:szCs w:val="24"/>
                <w:vertAlign w:val="superscript"/>
                <w:lang w:val="lv-LV"/>
              </w:rPr>
              <w:t>1</w:t>
            </w:r>
            <w:r w:rsidRPr="00DA49E7">
              <w:rPr>
                <w:sz w:val="24"/>
                <w:szCs w:val="24"/>
                <w:lang w:val="lv-LV"/>
              </w:rPr>
              <w:t xml:space="preserve"> punkts svītrojot nosacījumu par lēmumu pieņemšanu līdz Eiropas Komisijas 2014. gada 17. jūnija Regulas (ES) Nr. 651/2014,</w:t>
            </w:r>
            <w:r w:rsidR="002E5B94" w:rsidRPr="00DA49E7">
              <w:rPr>
                <w:sz w:val="24"/>
                <w:szCs w:val="24"/>
                <w:lang w:val="lv-LV"/>
              </w:rPr>
              <w:t xml:space="preserve"> (turpmāk – Komisijas Regula Nr. 651/2014)</w:t>
            </w:r>
            <w:r w:rsidRPr="00DA49E7">
              <w:rPr>
                <w:sz w:val="24"/>
                <w:szCs w:val="24"/>
                <w:lang w:val="lv-LV"/>
              </w:rPr>
              <w:t xml:space="preserve"> ar ko noteiktas atbalsta kategorijas atzīst par saderīgām ar iekšējo tirgu, piemērojot Līguma 107. un 108. pantu (vispārējā grupu atbrīvojuma regula) darbības beigām. Ņemot vērā, ka ar grozījumiem, lēmumu pieņemšanas termiņš</w:t>
            </w:r>
            <w:r w:rsidRPr="007D0BD7">
              <w:rPr>
                <w:sz w:val="24"/>
                <w:szCs w:val="24"/>
                <w:lang w:val="lv-LV"/>
              </w:rPr>
              <w:t xml:space="preserve"> </w:t>
            </w:r>
            <w:r w:rsidR="002E5B94" w:rsidRPr="007D0BD7">
              <w:rPr>
                <w:sz w:val="24"/>
                <w:szCs w:val="24"/>
                <w:lang w:val="lv-LV"/>
              </w:rPr>
              <w:t xml:space="preserve">ir noteikts MK noteikumu Nr.226 20. punktā, atsauce uz </w:t>
            </w:r>
            <w:r w:rsidR="00270FCE" w:rsidRPr="007D0BD7">
              <w:rPr>
                <w:sz w:val="24"/>
                <w:szCs w:val="24"/>
                <w:lang w:val="lv-LV"/>
              </w:rPr>
              <w:t>Komisijas Regulu Nr. 651/2014 zaudē aktualitāti</w:t>
            </w:r>
            <w:r w:rsidR="002E5B94" w:rsidRPr="007D0BD7">
              <w:rPr>
                <w:sz w:val="24"/>
                <w:szCs w:val="24"/>
                <w:lang w:val="lv-LV"/>
              </w:rPr>
              <w:t>.</w:t>
            </w:r>
          </w:p>
          <w:p w14:paraId="17AEEE2D" w14:textId="77777777" w:rsidR="00CE41EA" w:rsidRPr="007D0BD7" w:rsidRDefault="00CE41EA" w:rsidP="00D05A6D">
            <w:pPr>
              <w:ind w:firstLine="231"/>
              <w:contextualSpacing/>
              <w:jc w:val="both"/>
              <w:rPr>
                <w:sz w:val="24"/>
                <w:szCs w:val="24"/>
                <w:lang w:val="lv-LV"/>
              </w:rPr>
            </w:pPr>
          </w:p>
          <w:p w14:paraId="09F04E06" w14:textId="1E6806E8" w:rsidR="00F00E6D" w:rsidRPr="007D0BD7" w:rsidRDefault="00443C9D" w:rsidP="007F09F6">
            <w:pPr>
              <w:ind w:firstLine="231"/>
              <w:contextualSpacing/>
              <w:jc w:val="both"/>
              <w:rPr>
                <w:bCs/>
                <w:sz w:val="24"/>
                <w:szCs w:val="24"/>
                <w:lang w:val="lv-LV"/>
              </w:rPr>
            </w:pPr>
            <w:r w:rsidRPr="007D0BD7">
              <w:rPr>
                <w:sz w:val="24"/>
                <w:szCs w:val="24"/>
                <w:lang w:val="lv-LV"/>
              </w:rPr>
              <w:t>Pēc grozījumu spēkā stāšanās 20 darba dienu laikā par veiktajiem grozījumiem tiks iesniegta kopsavilkuma informācija Eiropas Komisijai, izmantojot SANI2 sistēmu.</w:t>
            </w:r>
          </w:p>
        </w:tc>
      </w:tr>
      <w:tr w:rsidR="00844176" w:rsidRPr="001319E5" w14:paraId="41041CF1" w14:textId="77777777" w:rsidTr="004A6A58">
        <w:trPr>
          <w:trHeight w:val="465"/>
        </w:trPr>
        <w:tc>
          <w:tcPr>
            <w:tcW w:w="417"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lastRenderedPageBreak/>
              <w:t>3.</w:t>
            </w:r>
          </w:p>
        </w:tc>
        <w:tc>
          <w:tcPr>
            <w:tcW w:w="2552" w:type="dxa"/>
            <w:tcBorders>
              <w:top w:val="outset" w:sz="6" w:space="0" w:color="414142"/>
              <w:left w:val="outset" w:sz="6" w:space="0" w:color="414142"/>
              <w:bottom w:val="outset" w:sz="6" w:space="0" w:color="414142"/>
              <w:right w:val="outset" w:sz="6" w:space="0" w:color="414142"/>
            </w:tcBorders>
            <w:hideMark/>
          </w:tcPr>
          <w:p w14:paraId="2F4C459C" w14:textId="172FDB22" w:rsidR="00844176" w:rsidRPr="001319E5" w:rsidRDefault="00D8087E" w:rsidP="00A87D1C">
            <w:pPr>
              <w:contextualSpacing/>
              <w:rPr>
                <w:rFonts w:eastAsia="Times New Roman"/>
                <w:sz w:val="24"/>
                <w:szCs w:val="24"/>
                <w:lang w:val="lv-LV" w:eastAsia="lv-LV"/>
              </w:rPr>
            </w:pPr>
            <w:r w:rsidRPr="001319E5">
              <w:rPr>
                <w:rFonts w:eastAsia="Times New Roman"/>
                <w:color w:val="000000"/>
                <w:sz w:val="24"/>
                <w:szCs w:val="24"/>
                <w:lang w:val="lv-LV" w:eastAsia="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77777777" w:rsidR="00844176" w:rsidRPr="001319E5" w:rsidRDefault="00CE0AC5" w:rsidP="006F29AD">
            <w:pPr>
              <w:contextualSpacing/>
              <w:rPr>
                <w:rFonts w:eastAsia="Times New Roman"/>
                <w:sz w:val="24"/>
                <w:szCs w:val="24"/>
                <w:lang w:val="lv-LV" w:eastAsia="lv-LV"/>
              </w:rPr>
            </w:pPr>
            <w:r w:rsidRPr="001319E5">
              <w:rPr>
                <w:sz w:val="24"/>
                <w:szCs w:val="24"/>
                <w:lang w:val="lv-LV"/>
              </w:rPr>
              <w:t>E</w:t>
            </w:r>
            <w:r w:rsidR="00547ACF" w:rsidRPr="001319E5">
              <w:rPr>
                <w:sz w:val="24"/>
                <w:szCs w:val="24"/>
                <w:lang w:val="lv-LV"/>
              </w:rPr>
              <w:t>konomikas ministrija</w:t>
            </w:r>
            <w:r w:rsidRPr="001319E5">
              <w:rPr>
                <w:sz w:val="24"/>
                <w:szCs w:val="24"/>
                <w:lang w:val="lv-LV"/>
              </w:rPr>
              <w:t xml:space="preserve">, </w:t>
            </w:r>
            <w:r w:rsidR="00547ACF" w:rsidRPr="001319E5">
              <w:rPr>
                <w:sz w:val="24"/>
                <w:szCs w:val="24"/>
                <w:lang w:val="lv-LV"/>
              </w:rPr>
              <w:t>akciju sabiedrība “Attīstības finanšu institūcija Altum”</w:t>
            </w:r>
          </w:p>
        </w:tc>
      </w:tr>
      <w:tr w:rsidR="00844176" w:rsidRPr="001319E5" w14:paraId="3C98D228" w14:textId="77777777" w:rsidTr="004A6A58">
        <w:tc>
          <w:tcPr>
            <w:tcW w:w="417"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4.</w:t>
            </w:r>
          </w:p>
        </w:tc>
        <w:tc>
          <w:tcPr>
            <w:tcW w:w="2552"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42ABA57B"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Nav</w:t>
            </w:r>
          </w:p>
        </w:tc>
      </w:tr>
    </w:tbl>
    <w:p w14:paraId="0078E3BD" w14:textId="17790966" w:rsidR="001319E5" w:rsidRDefault="001319E5" w:rsidP="00A87D1C">
      <w:pPr>
        <w:contextualSpacing/>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8"/>
        <w:gridCol w:w="2554"/>
        <w:gridCol w:w="6157"/>
      </w:tblGrid>
      <w:tr w:rsidR="00844176" w:rsidRPr="007D0BD7" w14:paraId="7175E08A" w14:textId="77777777" w:rsidTr="00E154DB">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CDF66C2" w14:textId="23A4937A"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II. Tiesību akta projekta ietekme uz sabiedrību, tautsaimniecības attīstību un administratīvo slogu</w:t>
            </w:r>
          </w:p>
        </w:tc>
      </w:tr>
      <w:tr w:rsidR="00844176" w:rsidRPr="007D0BD7" w14:paraId="3867AEAD" w14:textId="77777777" w:rsidTr="00E154DB">
        <w:trPr>
          <w:trHeight w:val="465"/>
        </w:trPr>
        <w:tc>
          <w:tcPr>
            <w:tcW w:w="418" w:type="dxa"/>
            <w:tcBorders>
              <w:top w:val="single" w:sz="4" w:space="0" w:color="auto"/>
              <w:left w:val="outset" w:sz="6" w:space="0" w:color="414142"/>
              <w:bottom w:val="outset" w:sz="6" w:space="0" w:color="414142"/>
              <w:right w:val="outset" w:sz="6" w:space="0" w:color="414142"/>
            </w:tcBorders>
            <w:hideMark/>
          </w:tcPr>
          <w:p w14:paraId="5233F396"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1.</w:t>
            </w:r>
          </w:p>
        </w:tc>
        <w:tc>
          <w:tcPr>
            <w:tcW w:w="2554" w:type="dxa"/>
            <w:tcBorders>
              <w:top w:val="single" w:sz="4" w:space="0" w:color="auto"/>
              <w:left w:val="outset" w:sz="6" w:space="0" w:color="414142"/>
              <w:bottom w:val="outset" w:sz="6" w:space="0" w:color="414142"/>
              <w:right w:val="outset" w:sz="6" w:space="0" w:color="414142"/>
            </w:tcBorders>
            <w:hideMark/>
          </w:tcPr>
          <w:p w14:paraId="2E14993C"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747612B" w14:textId="537580B1" w:rsidR="00844176" w:rsidRPr="001319E5" w:rsidRDefault="00844176" w:rsidP="001319E5">
            <w:pPr>
              <w:ind w:right="201"/>
              <w:contextualSpacing/>
              <w:jc w:val="both"/>
              <w:rPr>
                <w:sz w:val="24"/>
                <w:szCs w:val="24"/>
                <w:lang w:val="lv-LV"/>
              </w:rPr>
            </w:pPr>
            <w:r w:rsidRPr="001319E5">
              <w:rPr>
                <w:sz w:val="24"/>
                <w:szCs w:val="24"/>
                <w:lang w:val="lv-LV"/>
              </w:rPr>
              <w:t>Latvijā reģistrēti saimnieciskās darbības veicēji</w:t>
            </w:r>
          </w:p>
        </w:tc>
      </w:tr>
      <w:tr w:rsidR="00844176" w:rsidRPr="001319E5" w14:paraId="7D9FA66B" w14:textId="77777777" w:rsidTr="00E154DB">
        <w:trPr>
          <w:trHeight w:val="510"/>
        </w:trPr>
        <w:tc>
          <w:tcPr>
            <w:tcW w:w="418"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2.</w:t>
            </w:r>
          </w:p>
        </w:tc>
        <w:tc>
          <w:tcPr>
            <w:tcW w:w="255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62F21F17" w14:textId="5DD6E622" w:rsidR="00844176" w:rsidRPr="001319E5" w:rsidRDefault="00F31ECE" w:rsidP="00577628">
            <w:pPr>
              <w:pStyle w:val="BodyText"/>
              <w:ind w:right="201"/>
              <w:contextualSpacing/>
              <w:rPr>
                <w:rFonts w:eastAsia="Calibri"/>
                <w:sz w:val="24"/>
                <w:szCs w:val="24"/>
                <w:lang w:eastAsia="en-US"/>
              </w:rPr>
            </w:pPr>
            <w:r>
              <w:rPr>
                <w:rFonts w:eastAsia="Calibri"/>
                <w:sz w:val="24"/>
                <w:szCs w:val="24"/>
                <w:lang w:eastAsia="en-US"/>
              </w:rPr>
              <w:t>P</w:t>
            </w:r>
            <w:r w:rsidR="00844176" w:rsidRPr="001319E5">
              <w:rPr>
                <w:rFonts w:eastAsia="Calibri"/>
                <w:sz w:val="24"/>
                <w:szCs w:val="24"/>
                <w:lang w:eastAsia="en-US"/>
              </w:rPr>
              <w:t>rojekts neparedz ietekmi uz administratīvo slogu.</w:t>
            </w:r>
          </w:p>
        </w:tc>
      </w:tr>
      <w:tr w:rsidR="00844176" w:rsidRPr="001319E5" w14:paraId="183D00C8" w14:textId="77777777" w:rsidTr="00E154DB">
        <w:trPr>
          <w:trHeight w:val="510"/>
        </w:trPr>
        <w:tc>
          <w:tcPr>
            <w:tcW w:w="418"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3.</w:t>
            </w:r>
          </w:p>
        </w:tc>
        <w:tc>
          <w:tcPr>
            <w:tcW w:w="255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4EC93682" w14:textId="18478C68" w:rsidR="00844176" w:rsidRPr="001319E5" w:rsidRDefault="00844176" w:rsidP="00577628">
            <w:pPr>
              <w:pStyle w:val="BodyText"/>
              <w:ind w:right="201"/>
              <w:contextualSpacing/>
              <w:rPr>
                <w:rFonts w:eastAsia="Calibri"/>
                <w:sz w:val="24"/>
                <w:szCs w:val="24"/>
                <w:lang w:eastAsia="en-US"/>
              </w:rPr>
            </w:pPr>
            <w:r w:rsidRPr="001319E5">
              <w:rPr>
                <w:rFonts w:eastAsia="Calibri"/>
                <w:sz w:val="24"/>
                <w:szCs w:val="24"/>
                <w:lang w:eastAsia="en-US"/>
              </w:rPr>
              <w:t>Projekts šo jomu neskar</w:t>
            </w:r>
          </w:p>
        </w:tc>
      </w:tr>
      <w:tr w:rsidR="00D8087E" w:rsidRPr="001319E5" w14:paraId="667CF23B" w14:textId="77777777" w:rsidTr="00E154DB">
        <w:trPr>
          <w:trHeight w:val="345"/>
        </w:trPr>
        <w:tc>
          <w:tcPr>
            <w:tcW w:w="418" w:type="dxa"/>
            <w:tcBorders>
              <w:top w:val="outset" w:sz="6" w:space="0" w:color="414142"/>
              <w:left w:val="outset" w:sz="6" w:space="0" w:color="414142"/>
              <w:bottom w:val="outset" w:sz="6" w:space="0" w:color="414142"/>
              <w:right w:val="outset" w:sz="6" w:space="0" w:color="414142"/>
            </w:tcBorders>
          </w:tcPr>
          <w:p w14:paraId="06E5559E" w14:textId="7422E169" w:rsidR="00D8087E" w:rsidRPr="001319E5" w:rsidRDefault="00D8087E" w:rsidP="00A87D1C">
            <w:pPr>
              <w:contextualSpacing/>
              <w:rPr>
                <w:rFonts w:eastAsia="Times New Roman"/>
                <w:color w:val="000000"/>
                <w:sz w:val="24"/>
                <w:szCs w:val="24"/>
                <w:lang w:val="lv-LV" w:eastAsia="lv-LV"/>
              </w:rPr>
            </w:pPr>
            <w:r w:rsidRPr="001319E5">
              <w:rPr>
                <w:rFonts w:eastAsia="Times New Roman"/>
                <w:color w:val="000000"/>
                <w:sz w:val="24"/>
                <w:szCs w:val="24"/>
                <w:lang w:val="lv-LV" w:eastAsia="lv-LV"/>
              </w:rPr>
              <w:t>4.</w:t>
            </w:r>
          </w:p>
        </w:tc>
        <w:tc>
          <w:tcPr>
            <w:tcW w:w="2554" w:type="dxa"/>
            <w:tcBorders>
              <w:top w:val="outset" w:sz="6" w:space="0" w:color="414142"/>
              <w:left w:val="outset" w:sz="6" w:space="0" w:color="414142"/>
              <w:bottom w:val="outset" w:sz="6" w:space="0" w:color="414142"/>
              <w:right w:val="outset" w:sz="6" w:space="0" w:color="414142"/>
            </w:tcBorders>
          </w:tcPr>
          <w:p w14:paraId="271233F1" w14:textId="7BEA2791" w:rsidR="00D8087E" w:rsidRPr="001319E5" w:rsidRDefault="00D8087E" w:rsidP="00A87D1C">
            <w:pPr>
              <w:contextualSpacing/>
              <w:rPr>
                <w:rFonts w:eastAsia="Times New Roman"/>
                <w:color w:val="000000"/>
                <w:sz w:val="24"/>
                <w:szCs w:val="24"/>
                <w:lang w:val="lv-LV" w:eastAsia="lv-LV"/>
              </w:rPr>
            </w:pPr>
            <w:r w:rsidRPr="001319E5">
              <w:rPr>
                <w:rFonts w:eastAsia="Times New Roman"/>
                <w:color w:val="000000"/>
                <w:sz w:val="24"/>
                <w:szCs w:val="24"/>
                <w:lang w:val="lv-LV" w:eastAsia="lv-LV"/>
              </w:rPr>
              <w:t>Atbilstības izmaksu monetārs novērtējums</w:t>
            </w:r>
          </w:p>
        </w:tc>
        <w:tc>
          <w:tcPr>
            <w:tcW w:w="6157" w:type="dxa"/>
            <w:tcBorders>
              <w:top w:val="outset" w:sz="6" w:space="0" w:color="414142"/>
              <w:left w:val="outset" w:sz="6" w:space="0" w:color="414142"/>
              <w:bottom w:val="outset" w:sz="6" w:space="0" w:color="414142"/>
              <w:right w:val="outset" w:sz="6" w:space="0" w:color="414142"/>
            </w:tcBorders>
          </w:tcPr>
          <w:p w14:paraId="005F639B" w14:textId="0BE23465" w:rsidR="00D8087E" w:rsidRPr="001319E5" w:rsidRDefault="00D8087E" w:rsidP="00577628">
            <w:pPr>
              <w:ind w:right="201"/>
              <w:contextualSpacing/>
              <w:jc w:val="both"/>
              <w:rPr>
                <w:sz w:val="24"/>
                <w:szCs w:val="24"/>
                <w:lang w:val="lv-LV"/>
              </w:rPr>
            </w:pPr>
            <w:r w:rsidRPr="001319E5">
              <w:rPr>
                <w:sz w:val="24"/>
                <w:szCs w:val="24"/>
                <w:lang w:val="lv-LV"/>
              </w:rPr>
              <w:t>Projekts šo jomu neskar</w:t>
            </w:r>
          </w:p>
        </w:tc>
      </w:tr>
      <w:tr w:rsidR="00844176" w:rsidRPr="001319E5" w14:paraId="2F7C8B1B" w14:textId="77777777" w:rsidTr="00E154DB">
        <w:trPr>
          <w:trHeight w:val="345"/>
        </w:trPr>
        <w:tc>
          <w:tcPr>
            <w:tcW w:w="418" w:type="dxa"/>
            <w:tcBorders>
              <w:top w:val="outset" w:sz="6" w:space="0" w:color="414142"/>
              <w:left w:val="outset" w:sz="6" w:space="0" w:color="414142"/>
              <w:bottom w:val="outset" w:sz="6" w:space="0" w:color="414142"/>
              <w:right w:val="outset" w:sz="6" w:space="0" w:color="414142"/>
            </w:tcBorders>
            <w:hideMark/>
          </w:tcPr>
          <w:p w14:paraId="7753AD2E" w14:textId="606EAA08" w:rsidR="00844176" w:rsidRPr="001319E5" w:rsidRDefault="00D8087E" w:rsidP="00A87D1C">
            <w:pPr>
              <w:contextualSpacing/>
              <w:rPr>
                <w:rFonts w:eastAsia="Times New Roman"/>
                <w:sz w:val="24"/>
                <w:szCs w:val="24"/>
                <w:lang w:val="lv-LV" w:eastAsia="lv-LV"/>
              </w:rPr>
            </w:pPr>
            <w:r w:rsidRPr="001319E5">
              <w:rPr>
                <w:rFonts w:eastAsia="Times New Roman"/>
                <w:color w:val="000000"/>
                <w:sz w:val="24"/>
                <w:szCs w:val="24"/>
                <w:lang w:val="lv-LV" w:eastAsia="lv-LV"/>
              </w:rPr>
              <w:t>5</w:t>
            </w:r>
            <w:r w:rsidR="00844176" w:rsidRPr="001319E5">
              <w:rPr>
                <w:rFonts w:eastAsia="Times New Roman"/>
                <w:color w:val="000000"/>
                <w:sz w:val="24"/>
                <w:szCs w:val="24"/>
                <w:lang w:val="lv-LV" w:eastAsia="lv-LV"/>
              </w:rPr>
              <w:t>.</w:t>
            </w:r>
          </w:p>
        </w:tc>
        <w:tc>
          <w:tcPr>
            <w:tcW w:w="255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6BD39809" w14:textId="77777777" w:rsidR="00844176" w:rsidRPr="001319E5" w:rsidRDefault="00844176" w:rsidP="00295F9F">
            <w:pPr>
              <w:ind w:right="201"/>
              <w:contextualSpacing/>
              <w:jc w:val="both"/>
              <w:rPr>
                <w:sz w:val="24"/>
                <w:szCs w:val="24"/>
                <w:lang w:val="lv-LV"/>
              </w:rPr>
            </w:pPr>
            <w:r w:rsidRPr="001319E5">
              <w:rPr>
                <w:sz w:val="24"/>
                <w:szCs w:val="24"/>
                <w:lang w:val="lv-LV"/>
              </w:rPr>
              <w:t>Nav</w:t>
            </w:r>
          </w:p>
        </w:tc>
      </w:tr>
    </w:tbl>
    <w:p w14:paraId="57D2014F" w14:textId="77777777" w:rsidR="00E0333C" w:rsidRPr="001319E5" w:rsidRDefault="00E0333C" w:rsidP="00A87D1C">
      <w:pPr>
        <w:contextualSpacing/>
        <w:rPr>
          <w:rFonts w:eastAsia="Times New Roman"/>
          <w:sz w:val="26"/>
          <w:szCs w:val="26"/>
          <w:lang w:val="lv-LV"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0333C" w:rsidRPr="007D0BD7" w14:paraId="5C3AC8E5" w14:textId="77777777" w:rsidTr="006F29AD">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1319E5" w:rsidRDefault="00E0333C" w:rsidP="00A87D1C">
            <w:pPr>
              <w:contextualSpacing/>
              <w:jc w:val="center"/>
              <w:rPr>
                <w:rFonts w:eastAsia="Times New Roman"/>
                <w:b/>
                <w:sz w:val="24"/>
                <w:szCs w:val="24"/>
                <w:lang w:val="lv-LV" w:eastAsia="lv-LV"/>
              </w:rPr>
            </w:pPr>
            <w:r w:rsidRPr="001319E5">
              <w:rPr>
                <w:rFonts w:eastAsia="Times New Roman"/>
                <w:b/>
                <w:bCs/>
                <w:sz w:val="24"/>
                <w:szCs w:val="24"/>
                <w:lang w:val="lv-LV" w:eastAsia="lv-LV"/>
              </w:rPr>
              <w:t>III. Tiesību akta projekta ietekme uz valsts budžetu un pašvaldību budžetiem</w:t>
            </w:r>
          </w:p>
        </w:tc>
      </w:tr>
      <w:tr w:rsidR="00E0333C" w:rsidRPr="001319E5" w14:paraId="07D6D83D" w14:textId="77777777" w:rsidTr="006F29AD">
        <w:tc>
          <w:tcPr>
            <w:tcW w:w="9072" w:type="dxa"/>
            <w:tcBorders>
              <w:top w:val="single" w:sz="4" w:space="0" w:color="auto"/>
              <w:left w:val="single" w:sz="4" w:space="0" w:color="auto"/>
              <w:bottom w:val="single" w:sz="4" w:space="0" w:color="auto"/>
              <w:right w:val="single" w:sz="4" w:space="0" w:color="auto"/>
            </w:tcBorders>
            <w:shd w:val="clear" w:color="auto" w:fill="auto"/>
          </w:tcPr>
          <w:p w14:paraId="5639F0C7" w14:textId="0DA94877" w:rsidR="00E0333C" w:rsidRPr="001319E5" w:rsidRDefault="00D8087E" w:rsidP="00A87D1C">
            <w:pPr>
              <w:contextualSpacing/>
              <w:jc w:val="center"/>
              <w:rPr>
                <w:rFonts w:eastAsia="Times New Roman"/>
                <w:bCs/>
                <w:sz w:val="24"/>
                <w:szCs w:val="24"/>
                <w:lang w:val="lv-LV" w:eastAsia="lv-LV"/>
              </w:rPr>
            </w:pPr>
            <w:r w:rsidRPr="001319E5">
              <w:rPr>
                <w:rFonts w:eastAsia="Times New Roman"/>
                <w:bCs/>
                <w:sz w:val="24"/>
                <w:szCs w:val="24"/>
                <w:lang w:val="lv-LV" w:eastAsia="lv-LV"/>
              </w:rPr>
              <w:t>P</w:t>
            </w:r>
            <w:r w:rsidR="00E0333C" w:rsidRPr="001319E5">
              <w:rPr>
                <w:rFonts w:eastAsia="Times New Roman"/>
                <w:bCs/>
                <w:sz w:val="24"/>
                <w:szCs w:val="24"/>
                <w:lang w:val="lv-LV" w:eastAsia="lv-LV"/>
              </w:rPr>
              <w:t>rojekts šo jomu neskar</w:t>
            </w:r>
          </w:p>
        </w:tc>
      </w:tr>
    </w:tbl>
    <w:p w14:paraId="57F14BC5" w14:textId="512F1E09" w:rsidR="00844176" w:rsidRPr="001319E5" w:rsidRDefault="00844176" w:rsidP="00A87D1C">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44"/>
        <w:gridCol w:w="2476"/>
        <w:gridCol w:w="6285"/>
      </w:tblGrid>
      <w:tr w:rsidR="00844176" w:rsidRPr="007D0BD7" w14:paraId="6C33CD82" w14:textId="77777777" w:rsidTr="006F29AD">
        <w:trPr>
          <w:trHeight w:val="18"/>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1319E5" w:rsidRDefault="00844176" w:rsidP="00A87D1C">
            <w:pPr>
              <w:ind w:firstLine="300"/>
              <w:contextualSpacing/>
              <w:jc w:val="center"/>
              <w:rPr>
                <w:rFonts w:eastAsia="Times New Roman"/>
                <w:b/>
                <w:bCs/>
                <w:sz w:val="24"/>
                <w:szCs w:val="24"/>
                <w:lang w:val="lv-LV" w:eastAsia="lv-LV"/>
              </w:rPr>
            </w:pPr>
            <w:r w:rsidRPr="001319E5">
              <w:rPr>
                <w:rFonts w:eastAsia="Times New Roman"/>
                <w:b/>
                <w:bCs/>
                <w:sz w:val="24"/>
                <w:szCs w:val="24"/>
                <w:lang w:val="lv-LV" w:eastAsia="lv-LV"/>
              </w:rPr>
              <w:t>IV. Tiesību akta projekta ietekme uz spēkā esošo tiesību normu sistēmu</w:t>
            </w:r>
          </w:p>
        </w:tc>
      </w:tr>
      <w:tr w:rsidR="00844176" w:rsidRPr="00EA717A" w14:paraId="57818953" w14:textId="77777777" w:rsidTr="006F29AD">
        <w:tc>
          <w:tcPr>
            <w:tcW w:w="24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6B0EF5B6" w14:textId="49AF31B3" w:rsidR="00844176" w:rsidRPr="001319E5" w:rsidRDefault="00D8087E" w:rsidP="00A87D1C">
            <w:pPr>
              <w:contextualSpacing/>
              <w:rPr>
                <w:rFonts w:eastAsia="Times New Roman"/>
                <w:sz w:val="24"/>
                <w:szCs w:val="24"/>
                <w:lang w:val="lv-LV" w:eastAsia="lv-LV"/>
              </w:rPr>
            </w:pPr>
            <w:r w:rsidRPr="001319E5">
              <w:rPr>
                <w:rFonts w:eastAsia="Times New Roman"/>
                <w:sz w:val="24"/>
                <w:szCs w:val="24"/>
                <w:lang w:val="lv-LV" w:eastAsia="lv-LV"/>
              </w:rPr>
              <w:t>S</w:t>
            </w:r>
            <w:r w:rsidR="00844176" w:rsidRPr="001319E5">
              <w:rPr>
                <w:rFonts w:eastAsia="Times New Roman"/>
                <w:sz w:val="24"/>
                <w:szCs w:val="24"/>
                <w:lang w:val="lv-LV" w:eastAsia="lv-LV"/>
              </w:rPr>
              <w:t>aistītie tiesību aktu projekti</w:t>
            </w:r>
          </w:p>
        </w:tc>
        <w:tc>
          <w:tcPr>
            <w:tcW w:w="3414" w:type="pct"/>
            <w:tcBorders>
              <w:top w:val="outset" w:sz="6" w:space="0" w:color="414142"/>
              <w:left w:val="outset" w:sz="6" w:space="0" w:color="414142"/>
              <w:bottom w:val="outset" w:sz="6" w:space="0" w:color="414142"/>
              <w:right w:val="outset" w:sz="6" w:space="0" w:color="414142"/>
            </w:tcBorders>
            <w:hideMark/>
          </w:tcPr>
          <w:p w14:paraId="37F545BF" w14:textId="5417D976" w:rsidR="00343F62" w:rsidRPr="00E154DB" w:rsidRDefault="00B92A84" w:rsidP="00E154DB">
            <w:pPr>
              <w:jc w:val="both"/>
              <w:rPr>
                <w:bCs/>
                <w:iCs/>
                <w:sz w:val="24"/>
                <w:szCs w:val="24"/>
                <w:lang w:val="lv-LV"/>
              </w:rPr>
            </w:pPr>
            <w:r w:rsidRPr="001319E5">
              <w:rPr>
                <w:rFonts w:eastAsia="Times New Roman"/>
                <w:bCs/>
                <w:sz w:val="24"/>
                <w:szCs w:val="24"/>
                <w:lang w:val="lv-LV" w:eastAsia="lv-LV"/>
              </w:rPr>
              <w:t>Projekts šo jomu neskar</w:t>
            </w:r>
          </w:p>
        </w:tc>
      </w:tr>
      <w:tr w:rsidR="00844176" w:rsidRPr="001319E5" w14:paraId="3469659F" w14:textId="77777777" w:rsidTr="006F29AD">
        <w:tc>
          <w:tcPr>
            <w:tcW w:w="24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Atbildīgā institūcija</w:t>
            </w:r>
          </w:p>
        </w:tc>
        <w:tc>
          <w:tcPr>
            <w:tcW w:w="3414"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1319E5" w:rsidRDefault="007F6449" w:rsidP="00A87D1C">
            <w:pPr>
              <w:pStyle w:val="BodyText"/>
              <w:ind w:right="142"/>
              <w:contextualSpacing/>
              <w:rPr>
                <w:rFonts w:eastAsia="Calibri"/>
                <w:sz w:val="24"/>
                <w:szCs w:val="24"/>
                <w:lang w:eastAsia="en-US"/>
              </w:rPr>
            </w:pPr>
            <w:r w:rsidRPr="001319E5">
              <w:rPr>
                <w:rFonts w:eastAsia="Calibri"/>
                <w:sz w:val="24"/>
                <w:szCs w:val="24"/>
                <w:lang w:eastAsia="en-US"/>
              </w:rPr>
              <w:t>Ekonomikas ministrija</w:t>
            </w:r>
          </w:p>
        </w:tc>
      </w:tr>
      <w:tr w:rsidR="00844176" w:rsidRPr="001319E5" w14:paraId="32F2DD54" w14:textId="77777777" w:rsidTr="006F29AD">
        <w:tc>
          <w:tcPr>
            <w:tcW w:w="24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3.</w:t>
            </w:r>
          </w:p>
        </w:tc>
        <w:tc>
          <w:tcPr>
            <w:tcW w:w="1345"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Cita informācija</w:t>
            </w:r>
          </w:p>
        </w:tc>
        <w:tc>
          <w:tcPr>
            <w:tcW w:w="3414" w:type="pct"/>
            <w:tcBorders>
              <w:top w:val="outset" w:sz="6" w:space="0" w:color="414142"/>
              <w:left w:val="outset" w:sz="6" w:space="0" w:color="414142"/>
              <w:bottom w:val="outset" w:sz="6" w:space="0" w:color="414142"/>
              <w:right w:val="outset" w:sz="6" w:space="0" w:color="414142"/>
            </w:tcBorders>
            <w:hideMark/>
          </w:tcPr>
          <w:p w14:paraId="637C4F16" w14:textId="10481EDD" w:rsidR="00844176" w:rsidRPr="001319E5" w:rsidRDefault="00D97622" w:rsidP="00A87D1C">
            <w:pPr>
              <w:contextualSpacing/>
              <w:jc w:val="both"/>
              <w:rPr>
                <w:sz w:val="24"/>
                <w:szCs w:val="24"/>
                <w:lang w:val="lv-LV"/>
              </w:rPr>
            </w:pPr>
            <w:r w:rsidRPr="001319E5">
              <w:rPr>
                <w:sz w:val="24"/>
                <w:szCs w:val="24"/>
                <w:lang w:val="lv-LV"/>
              </w:rPr>
              <w:t>Nav</w:t>
            </w:r>
          </w:p>
        </w:tc>
      </w:tr>
    </w:tbl>
    <w:p w14:paraId="2A21AD4B" w14:textId="77777777" w:rsidR="00844176" w:rsidRPr="001319E5" w:rsidRDefault="00844176" w:rsidP="00A87D1C">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9205"/>
      </w:tblGrid>
      <w:tr w:rsidR="00844176" w:rsidRPr="001319E5" w14:paraId="07C3ABEE" w14:textId="77777777" w:rsidTr="007759DD">
        <w:tc>
          <w:tcPr>
            <w:tcW w:w="0" w:type="auto"/>
            <w:tcBorders>
              <w:top w:val="outset" w:sz="6" w:space="0" w:color="414142"/>
              <w:left w:val="outset" w:sz="6" w:space="0" w:color="414142"/>
              <w:bottom w:val="outset" w:sz="6" w:space="0" w:color="414142"/>
              <w:right w:val="outset" w:sz="6" w:space="0" w:color="414142"/>
            </w:tcBorders>
            <w:hideMark/>
          </w:tcPr>
          <w:p w14:paraId="6901DE8D" w14:textId="77777777"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V. Tiesību akta projekta atbilstība Latvijas Republikas starptautiskajām saistībām</w:t>
            </w:r>
          </w:p>
        </w:tc>
      </w:tr>
      <w:tr w:rsidR="00B92A84" w:rsidRPr="001319E5" w14:paraId="608C70B0" w14:textId="77777777" w:rsidTr="007759DD">
        <w:tc>
          <w:tcPr>
            <w:tcW w:w="0" w:type="auto"/>
            <w:tcBorders>
              <w:top w:val="outset" w:sz="6" w:space="0" w:color="414142"/>
              <w:left w:val="outset" w:sz="6" w:space="0" w:color="414142"/>
              <w:bottom w:val="outset" w:sz="6" w:space="0" w:color="414142"/>
              <w:right w:val="outset" w:sz="6" w:space="0" w:color="414142"/>
            </w:tcBorders>
          </w:tcPr>
          <w:p w14:paraId="069A17B7" w14:textId="06CC0C66" w:rsidR="00B92A84" w:rsidRPr="001319E5" w:rsidRDefault="00B92A84" w:rsidP="00A87D1C">
            <w:pPr>
              <w:ind w:firstLine="300"/>
              <w:contextualSpacing/>
              <w:jc w:val="center"/>
              <w:rPr>
                <w:rFonts w:eastAsia="Times New Roman"/>
                <w:b/>
                <w:bCs/>
                <w:color w:val="000000"/>
                <w:sz w:val="24"/>
                <w:szCs w:val="24"/>
                <w:lang w:val="lv-LV" w:eastAsia="lv-LV"/>
              </w:rPr>
            </w:pPr>
            <w:r w:rsidRPr="001319E5">
              <w:rPr>
                <w:rFonts w:eastAsia="Times New Roman"/>
                <w:bCs/>
                <w:sz w:val="24"/>
                <w:szCs w:val="24"/>
                <w:lang w:val="lv-LV" w:eastAsia="lv-LV"/>
              </w:rPr>
              <w:t>Projekts šo jomu neskar</w:t>
            </w:r>
          </w:p>
        </w:tc>
      </w:tr>
    </w:tbl>
    <w:p w14:paraId="7F1B3010" w14:textId="77777777" w:rsidR="007759DD" w:rsidRPr="001319E5" w:rsidRDefault="007759DD" w:rsidP="00A87D1C">
      <w:pPr>
        <w:contextualSpacing/>
        <w:rPr>
          <w:rFonts w:eastAsia="Times New Roman"/>
          <w:color w:val="000000"/>
          <w:sz w:val="26"/>
          <w:szCs w:val="26"/>
          <w:lang w:val="lv-LV" w:eastAsia="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
        <w:gridCol w:w="2741"/>
        <w:gridCol w:w="6122"/>
      </w:tblGrid>
      <w:tr w:rsidR="006F4B13" w:rsidRPr="007D0BD7" w14:paraId="7EEC0F00" w14:textId="77777777" w:rsidTr="00D049DD">
        <w:trPr>
          <w:trHeight w:val="289"/>
        </w:trPr>
        <w:tc>
          <w:tcPr>
            <w:tcW w:w="9214" w:type="dxa"/>
            <w:gridSpan w:val="3"/>
            <w:tcBorders>
              <w:top w:val="single" w:sz="2" w:space="0" w:color="auto"/>
            </w:tcBorders>
            <w:vAlign w:val="center"/>
          </w:tcPr>
          <w:p w14:paraId="7BCCE7F8" w14:textId="77777777" w:rsidR="006F4B13" w:rsidRPr="001319E5" w:rsidRDefault="006F4B13" w:rsidP="00A87D1C">
            <w:pPr>
              <w:ind w:left="57" w:right="57"/>
              <w:contextualSpacing/>
              <w:jc w:val="center"/>
              <w:rPr>
                <w:rFonts w:eastAsia="Times New Roman"/>
                <w:sz w:val="24"/>
                <w:szCs w:val="24"/>
                <w:lang w:val="lv-LV"/>
              </w:rPr>
            </w:pPr>
            <w:r w:rsidRPr="001319E5">
              <w:rPr>
                <w:rFonts w:eastAsia="Times New Roman"/>
                <w:b/>
                <w:sz w:val="24"/>
                <w:szCs w:val="24"/>
                <w:lang w:val="lv-LV"/>
              </w:rPr>
              <w:t>VI. Sabiedrības līdzdalība un komunikācijas aktivitātes</w:t>
            </w:r>
          </w:p>
        </w:tc>
      </w:tr>
      <w:tr w:rsidR="006F4B13" w:rsidRPr="007D0BD7" w14:paraId="6FEF54FD" w14:textId="77777777" w:rsidTr="00D049DD">
        <w:trPr>
          <w:trHeight w:val="553"/>
        </w:trPr>
        <w:tc>
          <w:tcPr>
            <w:tcW w:w="284" w:type="dxa"/>
          </w:tcPr>
          <w:p w14:paraId="41086138" w14:textId="77777777" w:rsidR="006F4B13" w:rsidRPr="001319E5" w:rsidRDefault="006F4B13" w:rsidP="00A87D1C">
            <w:pPr>
              <w:ind w:left="57" w:right="57"/>
              <w:contextualSpacing/>
              <w:jc w:val="both"/>
              <w:rPr>
                <w:rFonts w:eastAsia="PMingLiU"/>
                <w:bCs/>
                <w:sz w:val="24"/>
                <w:szCs w:val="24"/>
                <w:lang w:val="lv-LV" w:eastAsia="ja-JP"/>
              </w:rPr>
            </w:pPr>
            <w:r w:rsidRPr="001319E5">
              <w:rPr>
                <w:rFonts w:eastAsia="PMingLiU"/>
                <w:bCs/>
                <w:sz w:val="24"/>
                <w:szCs w:val="24"/>
                <w:lang w:val="lv-LV" w:eastAsia="ja-JP"/>
              </w:rPr>
              <w:t>1.</w:t>
            </w:r>
          </w:p>
        </w:tc>
        <w:tc>
          <w:tcPr>
            <w:tcW w:w="2766" w:type="dxa"/>
          </w:tcPr>
          <w:p w14:paraId="798682AC" w14:textId="77777777" w:rsidR="006F4B13" w:rsidRPr="001319E5" w:rsidRDefault="006F4B13" w:rsidP="00A87D1C">
            <w:pPr>
              <w:tabs>
                <w:tab w:val="left" w:pos="170"/>
              </w:tabs>
              <w:ind w:left="57" w:right="57"/>
              <w:contextualSpacing/>
              <w:rPr>
                <w:rFonts w:eastAsia="PMingLiU"/>
                <w:sz w:val="24"/>
                <w:szCs w:val="24"/>
                <w:lang w:val="lv-LV" w:eastAsia="ja-JP"/>
              </w:rPr>
            </w:pPr>
            <w:r w:rsidRPr="001319E5">
              <w:rPr>
                <w:rFonts w:eastAsia="PMingLiU"/>
                <w:sz w:val="24"/>
                <w:szCs w:val="24"/>
                <w:lang w:val="lv-LV" w:eastAsia="ja-JP"/>
              </w:rPr>
              <w:t>Plānotās sabiedrības līdzdalības un komunikācijas aktivitātes saistībā ar projektu</w:t>
            </w:r>
          </w:p>
        </w:tc>
        <w:tc>
          <w:tcPr>
            <w:tcW w:w="6164" w:type="dxa"/>
          </w:tcPr>
          <w:p w14:paraId="384FFED0" w14:textId="178AA6ED" w:rsidR="006F4B13" w:rsidRPr="001319E5" w:rsidRDefault="002E5B94" w:rsidP="00A87D1C">
            <w:pPr>
              <w:shd w:val="clear" w:color="auto" w:fill="FFFFFF"/>
              <w:ind w:left="57" w:right="113"/>
              <w:contextualSpacing/>
              <w:jc w:val="both"/>
              <w:rPr>
                <w:rFonts w:eastAsia="PMingLiU"/>
                <w:sz w:val="24"/>
                <w:szCs w:val="24"/>
                <w:lang w:val="lv-LV" w:eastAsia="ja-JP"/>
              </w:rPr>
            </w:pPr>
            <w:r w:rsidRPr="00B133A2">
              <w:rPr>
                <w:rFonts w:eastAsia="Times New Roman"/>
                <w:sz w:val="24"/>
                <w:szCs w:val="24"/>
                <w:lang w:val="lv-LV" w:eastAsia="ja-JP"/>
              </w:rPr>
              <w:t>Atbilstoši normatīvo aktu prasībām sabiedrības līdzdalība tiek nodrošināta, ievietojot noteikumu projektu Ekonomikas ministrijas tīmekļa vietnē sabiedriskajai apspriešanai.</w:t>
            </w:r>
          </w:p>
        </w:tc>
      </w:tr>
      <w:tr w:rsidR="006F4B13" w:rsidRPr="007D0BD7" w14:paraId="3F5FD1CD" w14:textId="77777777" w:rsidTr="00D049DD">
        <w:trPr>
          <w:trHeight w:val="339"/>
        </w:trPr>
        <w:tc>
          <w:tcPr>
            <w:tcW w:w="284" w:type="dxa"/>
          </w:tcPr>
          <w:p w14:paraId="4B9C6F89" w14:textId="77777777" w:rsidR="006F4B13" w:rsidRPr="001319E5" w:rsidRDefault="006F4B13" w:rsidP="00A87D1C">
            <w:pPr>
              <w:ind w:left="57" w:right="57"/>
              <w:contextualSpacing/>
              <w:jc w:val="both"/>
              <w:rPr>
                <w:rFonts w:eastAsia="PMingLiU"/>
                <w:bCs/>
                <w:sz w:val="24"/>
                <w:szCs w:val="24"/>
                <w:lang w:val="lv-LV" w:eastAsia="ja-JP"/>
              </w:rPr>
            </w:pPr>
            <w:r w:rsidRPr="001319E5">
              <w:rPr>
                <w:rFonts w:eastAsia="PMingLiU"/>
                <w:bCs/>
                <w:sz w:val="24"/>
                <w:szCs w:val="24"/>
                <w:lang w:val="lv-LV" w:eastAsia="ja-JP"/>
              </w:rPr>
              <w:t>2.</w:t>
            </w:r>
          </w:p>
        </w:tc>
        <w:tc>
          <w:tcPr>
            <w:tcW w:w="2766" w:type="dxa"/>
          </w:tcPr>
          <w:p w14:paraId="4B6FBDE6" w14:textId="77777777" w:rsidR="006F4B13" w:rsidRPr="001319E5" w:rsidRDefault="006F4B13" w:rsidP="00A87D1C">
            <w:pPr>
              <w:ind w:left="57" w:right="57"/>
              <w:contextualSpacing/>
              <w:rPr>
                <w:rFonts w:eastAsia="PMingLiU"/>
                <w:sz w:val="24"/>
                <w:szCs w:val="24"/>
                <w:lang w:val="lv-LV" w:eastAsia="ja-JP"/>
              </w:rPr>
            </w:pPr>
            <w:r w:rsidRPr="001319E5">
              <w:rPr>
                <w:rFonts w:eastAsia="PMingLiU"/>
                <w:sz w:val="24"/>
                <w:szCs w:val="24"/>
                <w:lang w:val="lv-LV" w:eastAsia="ja-JP"/>
              </w:rPr>
              <w:t>Sabiedrības līdzdalība projekta izstrādē</w:t>
            </w:r>
          </w:p>
        </w:tc>
        <w:tc>
          <w:tcPr>
            <w:tcW w:w="6164" w:type="dxa"/>
          </w:tcPr>
          <w:p w14:paraId="18D5064F" w14:textId="3D328E57" w:rsidR="006F4B13" w:rsidRPr="001319E5" w:rsidRDefault="00270FCE" w:rsidP="00A87D1C">
            <w:pPr>
              <w:shd w:val="clear" w:color="auto" w:fill="FFFFFF"/>
              <w:ind w:left="57" w:right="113"/>
              <w:contextualSpacing/>
              <w:jc w:val="both"/>
              <w:rPr>
                <w:rFonts w:eastAsia="PMingLiU"/>
                <w:sz w:val="24"/>
                <w:szCs w:val="24"/>
                <w:shd w:val="clear" w:color="auto" w:fill="FFFFFF"/>
                <w:lang w:val="lv-LV" w:eastAsia="ja-JP"/>
              </w:rPr>
            </w:pPr>
            <w:r w:rsidRPr="00B133A2">
              <w:rPr>
                <w:rFonts w:eastAsia="Times New Roman"/>
                <w:sz w:val="24"/>
                <w:szCs w:val="24"/>
                <w:lang w:val="lv-LV" w:eastAsia="ja-JP"/>
              </w:rPr>
              <w:t>202</w:t>
            </w:r>
            <w:r>
              <w:rPr>
                <w:rFonts w:eastAsia="Times New Roman"/>
                <w:sz w:val="24"/>
                <w:szCs w:val="24"/>
                <w:lang w:val="lv-LV" w:eastAsia="ja-JP"/>
              </w:rPr>
              <w:t>1</w:t>
            </w:r>
            <w:r w:rsidRPr="00B133A2">
              <w:rPr>
                <w:rFonts w:eastAsia="Times New Roman"/>
                <w:sz w:val="24"/>
                <w:szCs w:val="24"/>
                <w:lang w:val="lv-LV" w:eastAsia="ja-JP"/>
              </w:rPr>
              <w:t>.</w:t>
            </w:r>
            <w:r>
              <w:rPr>
                <w:rFonts w:eastAsia="Times New Roman"/>
                <w:sz w:val="24"/>
                <w:szCs w:val="24"/>
                <w:lang w:val="lv-LV" w:eastAsia="ja-JP"/>
              </w:rPr>
              <w:t xml:space="preserve"> </w:t>
            </w:r>
            <w:r w:rsidRPr="00B133A2">
              <w:rPr>
                <w:rFonts w:eastAsia="Times New Roman"/>
                <w:sz w:val="24"/>
                <w:szCs w:val="24"/>
                <w:lang w:val="lv-LV" w:eastAsia="ja-JP"/>
              </w:rPr>
              <w:t xml:space="preserve">gada </w:t>
            </w:r>
            <w:r>
              <w:rPr>
                <w:rFonts w:eastAsia="Times New Roman"/>
                <w:sz w:val="24"/>
                <w:szCs w:val="24"/>
                <w:lang w:val="lv-LV" w:eastAsia="ja-JP"/>
              </w:rPr>
              <w:t>7. jūnijā P</w:t>
            </w:r>
            <w:r w:rsidRPr="00B133A2">
              <w:rPr>
                <w:rFonts w:eastAsia="Times New Roman"/>
                <w:sz w:val="24"/>
                <w:szCs w:val="24"/>
                <w:lang w:val="lv-LV" w:eastAsia="ja-JP"/>
              </w:rPr>
              <w:t xml:space="preserve">rojekts un tā anotācija ievietota </w:t>
            </w:r>
            <w:r w:rsidRPr="00270FCE">
              <w:rPr>
                <w:rFonts w:eastAsia="Times New Roman"/>
                <w:sz w:val="24"/>
                <w:szCs w:val="24"/>
                <w:lang w:val="lv-LV" w:eastAsia="ja-JP"/>
              </w:rPr>
              <w:t>Ekonomikas ministrijas tīmekļa vietnē:</w:t>
            </w:r>
            <w:r w:rsidRPr="009C3576">
              <w:rPr>
                <w:rStyle w:val="Hyperlink"/>
                <w:sz w:val="24"/>
                <w:szCs w:val="24"/>
                <w:lang w:val="lv-LV"/>
              </w:rPr>
              <w:t xml:space="preserve">  </w:t>
            </w:r>
            <w:r w:rsidRPr="009C3576">
              <w:rPr>
                <w:rStyle w:val="Hyperlink"/>
                <w:rFonts w:eastAsia="Times New Roman"/>
                <w:sz w:val="24"/>
                <w:szCs w:val="24"/>
                <w:lang w:val="lv-LV" w:eastAsia="ja-JP"/>
              </w:rPr>
              <w:t>https://www.em.gov.lv/lv/diskusiju-dokumenti</w:t>
            </w:r>
            <w:r w:rsidRPr="009C3576">
              <w:rPr>
                <w:rStyle w:val="Hyperlink"/>
                <w:sz w:val="24"/>
                <w:szCs w:val="24"/>
                <w:lang w:val="lv-LV"/>
              </w:rPr>
              <w:t xml:space="preserve">  un Valsts </w:t>
            </w:r>
            <w:r w:rsidRPr="00270FCE">
              <w:rPr>
                <w:rFonts w:eastAsia="Times New Roman"/>
                <w:sz w:val="24"/>
                <w:szCs w:val="24"/>
                <w:lang w:val="lv-LV" w:eastAsia="ja-JP"/>
              </w:rPr>
              <w:t>kancelejas tīmekļa</w:t>
            </w:r>
            <w:r w:rsidRPr="00B133A2">
              <w:rPr>
                <w:rFonts w:eastAsia="Times New Roman"/>
                <w:sz w:val="24"/>
                <w:szCs w:val="24"/>
                <w:lang w:val="lv-LV" w:eastAsia="ja-JP"/>
              </w:rPr>
              <w:t xml:space="preserve"> vietnē: </w:t>
            </w:r>
            <w:hyperlink r:id="rId10" w:history="1">
              <w:r w:rsidRPr="00F34E64">
                <w:rPr>
                  <w:rStyle w:val="Hyperlink"/>
                  <w:rFonts w:eastAsia="Times New Roman"/>
                  <w:sz w:val="24"/>
                  <w:szCs w:val="24"/>
                  <w:lang w:val="lv-LV" w:eastAsia="ja-JP"/>
                </w:rPr>
                <w:t>https://www.mk.gov.lv/content/ministru-kabineta-diskusiju-dokumenti</w:t>
              </w:r>
            </w:hyperlink>
            <w:r>
              <w:rPr>
                <w:rFonts w:eastAsia="Times New Roman"/>
                <w:sz w:val="24"/>
                <w:szCs w:val="24"/>
                <w:lang w:val="lv-LV" w:eastAsia="ja-JP"/>
              </w:rPr>
              <w:t xml:space="preserve"> </w:t>
            </w:r>
            <w:r w:rsidRPr="00B133A2">
              <w:rPr>
                <w:rFonts w:eastAsia="Times New Roman"/>
                <w:sz w:val="24"/>
                <w:szCs w:val="24"/>
                <w:lang w:val="lv-LV" w:eastAsia="ja-JP"/>
              </w:rPr>
              <w:t>, aicinot sabiedrību izteikt viedokli.</w:t>
            </w:r>
          </w:p>
        </w:tc>
      </w:tr>
      <w:tr w:rsidR="006F4B13" w:rsidRPr="007D0BD7" w14:paraId="0F937EA3" w14:textId="77777777" w:rsidTr="00D049DD">
        <w:trPr>
          <w:trHeight w:val="476"/>
        </w:trPr>
        <w:tc>
          <w:tcPr>
            <w:tcW w:w="284" w:type="dxa"/>
          </w:tcPr>
          <w:p w14:paraId="5A007BCA" w14:textId="77777777" w:rsidR="006F4B13" w:rsidRPr="001319E5" w:rsidRDefault="006F4B13" w:rsidP="00A87D1C">
            <w:pPr>
              <w:ind w:left="57" w:right="57"/>
              <w:contextualSpacing/>
              <w:jc w:val="both"/>
              <w:rPr>
                <w:rFonts w:eastAsia="PMingLiU"/>
                <w:bCs/>
                <w:sz w:val="24"/>
                <w:szCs w:val="24"/>
                <w:lang w:val="lv-LV" w:eastAsia="ja-JP"/>
              </w:rPr>
            </w:pPr>
            <w:r w:rsidRPr="001319E5">
              <w:rPr>
                <w:rFonts w:eastAsia="PMingLiU"/>
                <w:bCs/>
                <w:sz w:val="24"/>
                <w:szCs w:val="24"/>
                <w:lang w:val="lv-LV" w:eastAsia="ja-JP"/>
              </w:rPr>
              <w:t>3.</w:t>
            </w:r>
          </w:p>
        </w:tc>
        <w:tc>
          <w:tcPr>
            <w:tcW w:w="2766" w:type="dxa"/>
          </w:tcPr>
          <w:p w14:paraId="5F99D7D0" w14:textId="77777777" w:rsidR="006F4B13" w:rsidRPr="001319E5" w:rsidRDefault="006F4B13" w:rsidP="00A87D1C">
            <w:pPr>
              <w:ind w:left="57" w:right="57"/>
              <w:contextualSpacing/>
              <w:rPr>
                <w:rFonts w:eastAsia="PMingLiU"/>
                <w:sz w:val="24"/>
                <w:szCs w:val="24"/>
                <w:lang w:val="lv-LV" w:eastAsia="ja-JP"/>
              </w:rPr>
            </w:pPr>
            <w:r w:rsidRPr="001319E5">
              <w:rPr>
                <w:rFonts w:eastAsia="PMingLiU"/>
                <w:sz w:val="24"/>
                <w:szCs w:val="24"/>
                <w:lang w:val="lv-LV" w:eastAsia="ja-JP"/>
              </w:rPr>
              <w:t>Sabiedrības līdzdalības rezultāti</w:t>
            </w:r>
          </w:p>
        </w:tc>
        <w:tc>
          <w:tcPr>
            <w:tcW w:w="6164" w:type="dxa"/>
          </w:tcPr>
          <w:p w14:paraId="2BF921D4" w14:textId="6F623232" w:rsidR="006F4B13" w:rsidRPr="001319E5" w:rsidRDefault="007D0BD7" w:rsidP="00A87D1C">
            <w:pPr>
              <w:shd w:val="clear" w:color="auto" w:fill="FFFFFF"/>
              <w:ind w:left="57" w:right="113"/>
              <w:contextualSpacing/>
              <w:jc w:val="both"/>
              <w:rPr>
                <w:rFonts w:eastAsia="PMingLiU"/>
                <w:sz w:val="24"/>
                <w:szCs w:val="24"/>
                <w:shd w:val="clear" w:color="auto" w:fill="FFFFFF"/>
                <w:lang w:val="lv-LV" w:eastAsia="ja-JP"/>
              </w:rPr>
            </w:pPr>
            <w:r>
              <w:rPr>
                <w:rFonts w:eastAsia="Times New Roman"/>
                <w:iCs/>
                <w:sz w:val="24"/>
                <w:szCs w:val="24"/>
                <w:lang w:val="lv-LV"/>
              </w:rPr>
              <w:t>Priekšlikumi vai iebildumi netika saņemti</w:t>
            </w:r>
          </w:p>
        </w:tc>
      </w:tr>
      <w:tr w:rsidR="006F4B13" w:rsidRPr="001319E5" w14:paraId="13638F96" w14:textId="77777777" w:rsidTr="00D049DD">
        <w:trPr>
          <w:trHeight w:val="205"/>
        </w:trPr>
        <w:tc>
          <w:tcPr>
            <w:tcW w:w="284" w:type="dxa"/>
          </w:tcPr>
          <w:p w14:paraId="286DE4AB" w14:textId="77777777" w:rsidR="006F4B13" w:rsidRPr="001319E5" w:rsidRDefault="006F4B13" w:rsidP="00A87D1C">
            <w:pPr>
              <w:ind w:left="57" w:right="57"/>
              <w:contextualSpacing/>
              <w:jc w:val="both"/>
              <w:rPr>
                <w:rFonts w:eastAsia="PMingLiU"/>
                <w:bCs/>
                <w:sz w:val="24"/>
                <w:szCs w:val="24"/>
                <w:lang w:val="lv-LV" w:eastAsia="ja-JP"/>
              </w:rPr>
            </w:pPr>
            <w:r w:rsidRPr="001319E5">
              <w:rPr>
                <w:rFonts w:eastAsia="PMingLiU"/>
                <w:bCs/>
                <w:sz w:val="24"/>
                <w:szCs w:val="24"/>
                <w:lang w:val="lv-LV" w:eastAsia="ja-JP"/>
              </w:rPr>
              <w:t>4.</w:t>
            </w:r>
          </w:p>
        </w:tc>
        <w:tc>
          <w:tcPr>
            <w:tcW w:w="2766" w:type="dxa"/>
          </w:tcPr>
          <w:p w14:paraId="1AEA4978" w14:textId="77777777" w:rsidR="006F4B13" w:rsidRPr="001319E5" w:rsidRDefault="006F4B13" w:rsidP="00A87D1C">
            <w:pPr>
              <w:ind w:left="57" w:right="57"/>
              <w:contextualSpacing/>
              <w:rPr>
                <w:rFonts w:eastAsia="PMingLiU"/>
                <w:sz w:val="24"/>
                <w:szCs w:val="24"/>
                <w:lang w:val="lv-LV" w:eastAsia="ja-JP"/>
              </w:rPr>
            </w:pPr>
            <w:r w:rsidRPr="001319E5">
              <w:rPr>
                <w:rFonts w:eastAsia="PMingLiU"/>
                <w:sz w:val="24"/>
                <w:szCs w:val="24"/>
                <w:lang w:val="lv-LV" w:eastAsia="ja-JP"/>
              </w:rPr>
              <w:t>Cita informācija</w:t>
            </w:r>
          </w:p>
        </w:tc>
        <w:tc>
          <w:tcPr>
            <w:tcW w:w="6164" w:type="dxa"/>
          </w:tcPr>
          <w:p w14:paraId="29112FCD" w14:textId="3028D2AC" w:rsidR="006F4B13" w:rsidRPr="001319E5" w:rsidRDefault="006F4B13" w:rsidP="00A87D1C">
            <w:pPr>
              <w:ind w:left="57" w:right="113"/>
              <w:contextualSpacing/>
              <w:jc w:val="both"/>
              <w:rPr>
                <w:rFonts w:eastAsia="PMingLiU"/>
                <w:sz w:val="24"/>
                <w:szCs w:val="24"/>
                <w:lang w:val="lv-LV" w:eastAsia="ja-JP"/>
              </w:rPr>
            </w:pPr>
            <w:r w:rsidRPr="00041D0F">
              <w:rPr>
                <w:rFonts w:eastAsia="PMingLiU"/>
                <w:sz w:val="24"/>
                <w:szCs w:val="24"/>
                <w:lang w:val="lv-LV" w:eastAsia="ja-JP"/>
              </w:rPr>
              <w:t>Nav</w:t>
            </w:r>
          </w:p>
        </w:tc>
      </w:tr>
    </w:tbl>
    <w:p w14:paraId="07B85D36" w14:textId="1E6EF1D8" w:rsidR="00844176" w:rsidRPr="001319E5" w:rsidRDefault="00844176" w:rsidP="00A87D1C">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350"/>
        <w:gridCol w:w="2706"/>
        <w:gridCol w:w="6150"/>
      </w:tblGrid>
      <w:tr w:rsidR="00844176" w:rsidRPr="007D0BD7" w14:paraId="72278BCA" w14:textId="77777777" w:rsidTr="00D049DD">
        <w:trPr>
          <w:trHeight w:val="238"/>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VII. Tiesību akta projekta izpildes nodrošināšana un tās ietekme uz institūcijām</w:t>
            </w:r>
          </w:p>
        </w:tc>
      </w:tr>
      <w:tr w:rsidR="00844176" w:rsidRPr="001319E5" w14:paraId="3BE578E7" w14:textId="77777777" w:rsidTr="00D049DD">
        <w:trPr>
          <w:trHeight w:val="420"/>
        </w:trPr>
        <w:tc>
          <w:tcPr>
            <w:tcW w:w="292"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1.</w:t>
            </w:r>
          </w:p>
        </w:tc>
        <w:tc>
          <w:tcPr>
            <w:tcW w:w="2715"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1319E5" w:rsidRDefault="00844176" w:rsidP="00A87D1C">
            <w:pPr>
              <w:ind w:right="112"/>
              <w:contextualSpacing/>
              <w:jc w:val="both"/>
              <w:rPr>
                <w:sz w:val="24"/>
                <w:szCs w:val="24"/>
                <w:lang w:val="lv-LV"/>
              </w:rPr>
            </w:pPr>
            <w:r w:rsidRPr="001319E5">
              <w:rPr>
                <w:sz w:val="24"/>
                <w:szCs w:val="24"/>
                <w:lang w:val="lv-LV"/>
              </w:rPr>
              <w:t>Projekta izpildē iesaistītās institūcijas</w:t>
            </w:r>
          </w:p>
        </w:tc>
        <w:tc>
          <w:tcPr>
            <w:tcW w:w="6199" w:type="dxa"/>
            <w:tcBorders>
              <w:top w:val="outset" w:sz="6" w:space="0" w:color="414142"/>
              <w:left w:val="outset" w:sz="6" w:space="0" w:color="414142"/>
              <w:bottom w:val="outset" w:sz="6" w:space="0" w:color="414142"/>
              <w:right w:val="outset" w:sz="6" w:space="0" w:color="414142"/>
            </w:tcBorders>
            <w:hideMark/>
          </w:tcPr>
          <w:p w14:paraId="4C10CF17" w14:textId="77777777" w:rsidR="00844176" w:rsidRPr="001319E5" w:rsidRDefault="00844176" w:rsidP="006F29AD">
            <w:pPr>
              <w:contextualSpacing/>
              <w:jc w:val="both"/>
              <w:rPr>
                <w:sz w:val="24"/>
                <w:szCs w:val="24"/>
                <w:lang w:val="lv-LV"/>
              </w:rPr>
            </w:pPr>
            <w:r w:rsidRPr="001319E5">
              <w:rPr>
                <w:sz w:val="24"/>
                <w:szCs w:val="24"/>
                <w:lang w:val="lv-LV"/>
              </w:rPr>
              <w:t>E</w:t>
            </w:r>
            <w:r w:rsidR="00733C32" w:rsidRPr="001319E5">
              <w:rPr>
                <w:sz w:val="24"/>
                <w:szCs w:val="24"/>
                <w:lang w:val="lv-LV"/>
              </w:rPr>
              <w:t>konomikas ministrija</w:t>
            </w:r>
            <w:r w:rsidR="0074545C" w:rsidRPr="001319E5">
              <w:rPr>
                <w:sz w:val="24"/>
                <w:szCs w:val="24"/>
                <w:lang w:val="lv-LV"/>
              </w:rPr>
              <w:t>, akciju sabiedrība</w:t>
            </w:r>
            <w:r w:rsidR="00733C32" w:rsidRPr="001319E5">
              <w:rPr>
                <w:sz w:val="24"/>
                <w:szCs w:val="24"/>
                <w:lang w:val="lv-LV"/>
              </w:rPr>
              <w:t xml:space="preserve"> “Attīstības finanšu institūcija Altum”</w:t>
            </w:r>
            <w:r w:rsidRPr="001319E5">
              <w:rPr>
                <w:sz w:val="24"/>
                <w:szCs w:val="24"/>
                <w:lang w:val="lv-LV"/>
              </w:rPr>
              <w:t>.</w:t>
            </w:r>
          </w:p>
        </w:tc>
      </w:tr>
      <w:tr w:rsidR="00844176" w:rsidRPr="007D0BD7" w14:paraId="2CF2C3EA" w14:textId="77777777" w:rsidTr="00D049DD">
        <w:trPr>
          <w:trHeight w:val="450"/>
        </w:trPr>
        <w:tc>
          <w:tcPr>
            <w:tcW w:w="292"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2.</w:t>
            </w:r>
          </w:p>
        </w:tc>
        <w:tc>
          <w:tcPr>
            <w:tcW w:w="2715"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1319E5" w:rsidRDefault="00844176" w:rsidP="00A87D1C">
            <w:pPr>
              <w:ind w:right="112"/>
              <w:contextualSpacing/>
              <w:jc w:val="both"/>
              <w:rPr>
                <w:sz w:val="24"/>
                <w:szCs w:val="24"/>
                <w:lang w:val="lv-LV"/>
              </w:rPr>
            </w:pPr>
            <w:r w:rsidRPr="001319E5">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199" w:type="dxa"/>
            <w:tcBorders>
              <w:top w:val="outset" w:sz="6" w:space="0" w:color="414142"/>
              <w:left w:val="outset" w:sz="6" w:space="0" w:color="414142"/>
              <w:bottom w:val="outset" w:sz="6" w:space="0" w:color="414142"/>
              <w:right w:val="outset" w:sz="6" w:space="0" w:color="414142"/>
            </w:tcBorders>
            <w:hideMark/>
          </w:tcPr>
          <w:p w14:paraId="5F5A7977" w14:textId="46D5FA6E" w:rsidR="00844176" w:rsidRPr="001319E5" w:rsidRDefault="00D8087E" w:rsidP="006F29AD">
            <w:pPr>
              <w:contextualSpacing/>
              <w:jc w:val="both"/>
              <w:rPr>
                <w:sz w:val="24"/>
                <w:szCs w:val="24"/>
                <w:lang w:val="lv-LV"/>
              </w:rPr>
            </w:pPr>
            <w:r w:rsidRPr="001319E5">
              <w:rPr>
                <w:sz w:val="24"/>
                <w:szCs w:val="24"/>
                <w:lang w:val="lv-LV"/>
              </w:rPr>
              <w:t>Projekta izpilde tiks nodrošināta Ekonomikas ministrijas un akciju sabiedrības “Attīstības finanšu institūcija Altum” esošo funkciju un cilvēkresursu ietvaros, kā arī nav paredzēta jaunu institūciju izveide, esošu institūciju likvidācija vai reorganizācija.</w:t>
            </w:r>
          </w:p>
        </w:tc>
      </w:tr>
      <w:tr w:rsidR="00844176" w:rsidRPr="001319E5" w14:paraId="2EBACAF6" w14:textId="77777777" w:rsidTr="00D049DD">
        <w:trPr>
          <w:trHeight w:val="232"/>
        </w:trPr>
        <w:tc>
          <w:tcPr>
            <w:tcW w:w="292"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3.</w:t>
            </w:r>
          </w:p>
        </w:tc>
        <w:tc>
          <w:tcPr>
            <w:tcW w:w="2715"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1319E5" w:rsidRDefault="00844176" w:rsidP="00A87D1C">
            <w:pPr>
              <w:contextualSpacing/>
              <w:jc w:val="both"/>
              <w:rPr>
                <w:rFonts w:eastAsia="Times New Roman"/>
                <w:sz w:val="24"/>
                <w:szCs w:val="24"/>
                <w:lang w:val="lv-LV" w:eastAsia="lv-LV"/>
              </w:rPr>
            </w:pPr>
            <w:r w:rsidRPr="001319E5">
              <w:rPr>
                <w:rFonts w:eastAsia="Times New Roman"/>
                <w:sz w:val="24"/>
                <w:szCs w:val="24"/>
                <w:lang w:val="lv-LV" w:eastAsia="lv-LV"/>
              </w:rPr>
              <w:t>Cita informācija</w:t>
            </w:r>
          </w:p>
        </w:tc>
        <w:tc>
          <w:tcPr>
            <w:tcW w:w="6199"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1319E5" w:rsidRDefault="00844176" w:rsidP="006F29AD">
            <w:pPr>
              <w:contextualSpacing/>
              <w:jc w:val="both"/>
              <w:rPr>
                <w:rFonts w:eastAsia="Times New Roman"/>
                <w:sz w:val="24"/>
                <w:szCs w:val="24"/>
                <w:lang w:val="lv-LV" w:eastAsia="lv-LV"/>
              </w:rPr>
            </w:pPr>
            <w:r w:rsidRPr="001319E5">
              <w:rPr>
                <w:rFonts w:eastAsia="Times New Roman"/>
                <w:sz w:val="24"/>
                <w:szCs w:val="24"/>
                <w:lang w:val="lv-LV" w:eastAsia="lv-LV"/>
              </w:rPr>
              <w:t>Nav</w:t>
            </w:r>
          </w:p>
        </w:tc>
      </w:tr>
    </w:tbl>
    <w:p w14:paraId="7FC0F3F0" w14:textId="1E3ACBC7" w:rsidR="000A0059" w:rsidRPr="001319E5" w:rsidRDefault="000A0059" w:rsidP="00A87D1C">
      <w:pPr>
        <w:tabs>
          <w:tab w:val="right" w:pos="9072"/>
        </w:tabs>
        <w:contextualSpacing/>
        <w:rPr>
          <w:sz w:val="26"/>
          <w:szCs w:val="26"/>
          <w:lang w:val="lv-LV"/>
        </w:rPr>
      </w:pPr>
    </w:p>
    <w:p w14:paraId="03EE94B5" w14:textId="77777777" w:rsidR="00862580" w:rsidRPr="001319E5" w:rsidRDefault="00862580" w:rsidP="00A87D1C">
      <w:pPr>
        <w:contextualSpacing/>
        <w:jc w:val="both"/>
        <w:rPr>
          <w:sz w:val="26"/>
          <w:szCs w:val="26"/>
          <w:lang w:val="lv-LV"/>
        </w:rPr>
      </w:pPr>
    </w:p>
    <w:p w14:paraId="09558E83" w14:textId="21DF0580" w:rsidR="00862580" w:rsidRPr="001319E5" w:rsidRDefault="00D8087E" w:rsidP="003F2674">
      <w:pPr>
        <w:tabs>
          <w:tab w:val="left" w:pos="7230"/>
        </w:tabs>
        <w:contextualSpacing/>
        <w:rPr>
          <w:sz w:val="24"/>
          <w:szCs w:val="24"/>
          <w:lang w:val="lv-LV"/>
        </w:rPr>
      </w:pPr>
      <w:r w:rsidRPr="001319E5">
        <w:rPr>
          <w:sz w:val="24"/>
          <w:szCs w:val="24"/>
          <w:lang w:val="lv-LV"/>
        </w:rPr>
        <w:t>E</w:t>
      </w:r>
      <w:r w:rsidR="00862580" w:rsidRPr="001319E5">
        <w:rPr>
          <w:sz w:val="24"/>
          <w:szCs w:val="24"/>
          <w:lang w:val="lv-LV"/>
        </w:rPr>
        <w:t>konomikas ministr</w:t>
      </w:r>
      <w:r w:rsidR="003F2674">
        <w:rPr>
          <w:sz w:val="24"/>
          <w:szCs w:val="24"/>
          <w:lang w:val="lv-LV"/>
        </w:rPr>
        <w:t>s</w:t>
      </w:r>
      <w:r w:rsidR="00862580" w:rsidRPr="001319E5">
        <w:rPr>
          <w:sz w:val="24"/>
          <w:szCs w:val="24"/>
          <w:lang w:val="lv-LV"/>
        </w:rPr>
        <w:tab/>
      </w:r>
      <w:r w:rsidR="003F2674">
        <w:rPr>
          <w:sz w:val="24"/>
          <w:szCs w:val="24"/>
          <w:lang w:val="lv-LV"/>
        </w:rPr>
        <w:t>J. Vitenbergs</w:t>
      </w:r>
    </w:p>
    <w:p w14:paraId="3248ED04" w14:textId="7776E005" w:rsidR="00862580" w:rsidRPr="001319E5" w:rsidRDefault="00862580" w:rsidP="006156D2">
      <w:pPr>
        <w:tabs>
          <w:tab w:val="left" w:pos="7230"/>
        </w:tabs>
        <w:contextualSpacing/>
        <w:rPr>
          <w:sz w:val="24"/>
          <w:szCs w:val="24"/>
          <w:lang w:val="lv-LV"/>
        </w:rPr>
      </w:pPr>
    </w:p>
    <w:p w14:paraId="267D11C9" w14:textId="77777777" w:rsidR="00D8087E" w:rsidRPr="001319E5" w:rsidRDefault="00D8087E" w:rsidP="006156D2">
      <w:pPr>
        <w:tabs>
          <w:tab w:val="left" w:pos="7230"/>
        </w:tabs>
        <w:contextualSpacing/>
        <w:rPr>
          <w:sz w:val="24"/>
          <w:szCs w:val="24"/>
          <w:lang w:val="lv-LV"/>
        </w:rPr>
      </w:pPr>
    </w:p>
    <w:p w14:paraId="32B9797C" w14:textId="77777777" w:rsidR="00862580" w:rsidRPr="001319E5" w:rsidRDefault="00862580" w:rsidP="006156D2">
      <w:pPr>
        <w:tabs>
          <w:tab w:val="left" w:pos="7230"/>
        </w:tabs>
        <w:contextualSpacing/>
        <w:rPr>
          <w:sz w:val="24"/>
          <w:szCs w:val="24"/>
          <w:lang w:val="lv-LV"/>
        </w:rPr>
      </w:pPr>
      <w:r w:rsidRPr="001319E5">
        <w:rPr>
          <w:sz w:val="24"/>
          <w:szCs w:val="24"/>
          <w:lang w:val="lv-LV"/>
        </w:rPr>
        <w:t>Vīza:</w:t>
      </w:r>
    </w:p>
    <w:p w14:paraId="10766B62" w14:textId="7AE1C5C5" w:rsidR="00862580" w:rsidRPr="001319E5" w:rsidRDefault="00862580" w:rsidP="006156D2">
      <w:pPr>
        <w:tabs>
          <w:tab w:val="left" w:pos="7230"/>
        </w:tabs>
        <w:contextualSpacing/>
        <w:rPr>
          <w:sz w:val="24"/>
          <w:szCs w:val="24"/>
          <w:lang w:val="lv-LV"/>
        </w:rPr>
      </w:pPr>
      <w:r w:rsidRPr="001319E5">
        <w:rPr>
          <w:sz w:val="24"/>
          <w:szCs w:val="24"/>
          <w:lang w:val="lv-LV"/>
        </w:rPr>
        <w:t xml:space="preserve">Valsts sekretārs </w:t>
      </w:r>
      <w:r w:rsidRPr="001319E5">
        <w:rPr>
          <w:sz w:val="24"/>
          <w:szCs w:val="24"/>
          <w:lang w:val="lv-LV"/>
        </w:rPr>
        <w:tab/>
      </w:r>
      <w:r w:rsidR="00471139">
        <w:rPr>
          <w:sz w:val="24"/>
          <w:szCs w:val="24"/>
          <w:lang w:val="lv-LV"/>
        </w:rPr>
        <w:t>E.</w:t>
      </w:r>
      <w:r w:rsidR="004D7625">
        <w:rPr>
          <w:sz w:val="24"/>
          <w:szCs w:val="24"/>
          <w:lang w:val="lv-LV"/>
        </w:rPr>
        <w:t> </w:t>
      </w:r>
      <w:r w:rsidR="00471139">
        <w:rPr>
          <w:sz w:val="24"/>
          <w:szCs w:val="24"/>
          <w:lang w:val="lv-LV"/>
        </w:rPr>
        <w:t>Valantis</w:t>
      </w:r>
    </w:p>
    <w:p w14:paraId="3365EE2C" w14:textId="77777777" w:rsidR="00862580" w:rsidRPr="001319E5" w:rsidRDefault="00862580" w:rsidP="003A6554">
      <w:pPr>
        <w:tabs>
          <w:tab w:val="left" w:pos="6237"/>
        </w:tabs>
        <w:contextualSpacing/>
        <w:rPr>
          <w:lang w:val="lv-LV"/>
        </w:rPr>
      </w:pPr>
    </w:p>
    <w:p w14:paraId="686EDB4F" w14:textId="4A5EF590" w:rsidR="00862580" w:rsidRDefault="00862580" w:rsidP="00A87D1C">
      <w:pPr>
        <w:tabs>
          <w:tab w:val="left" w:pos="6237"/>
        </w:tabs>
        <w:contextualSpacing/>
        <w:rPr>
          <w:lang w:val="lv-LV"/>
        </w:rPr>
      </w:pPr>
    </w:p>
    <w:p w14:paraId="37FF81A9" w14:textId="77777777" w:rsidR="0018135A" w:rsidRPr="001319E5" w:rsidRDefault="0018135A" w:rsidP="00A87D1C">
      <w:pPr>
        <w:tabs>
          <w:tab w:val="left" w:pos="6237"/>
        </w:tabs>
        <w:contextualSpacing/>
        <w:rPr>
          <w:lang w:val="lv-LV"/>
        </w:rPr>
      </w:pPr>
    </w:p>
    <w:p w14:paraId="7FE050EB" w14:textId="17AE5092" w:rsidR="00862580" w:rsidRPr="001319E5" w:rsidRDefault="004D7625" w:rsidP="00A87D1C">
      <w:pPr>
        <w:tabs>
          <w:tab w:val="left" w:pos="6840"/>
        </w:tabs>
        <w:contextualSpacing/>
        <w:jc w:val="both"/>
        <w:rPr>
          <w:lang w:val="lv-LV"/>
        </w:rPr>
      </w:pPr>
      <w:r>
        <w:rPr>
          <w:lang w:val="lv-LV"/>
        </w:rPr>
        <w:t>Lāce</w:t>
      </w:r>
      <w:r w:rsidR="00862580" w:rsidRPr="001319E5">
        <w:rPr>
          <w:lang w:val="lv-LV"/>
        </w:rPr>
        <w:t xml:space="preserve">, </w:t>
      </w:r>
      <w:r w:rsidRPr="004D7625">
        <w:rPr>
          <w:lang w:val="lv-LV"/>
        </w:rPr>
        <w:t>67013256</w:t>
      </w:r>
    </w:p>
    <w:p w14:paraId="30EAABC8" w14:textId="5BF25F72" w:rsidR="000948CC" w:rsidRPr="001319E5" w:rsidRDefault="00DA49E7" w:rsidP="00A87D1C">
      <w:pPr>
        <w:pStyle w:val="Header"/>
        <w:tabs>
          <w:tab w:val="clear" w:pos="4153"/>
          <w:tab w:val="clear" w:pos="8306"/>
        </w:tabs>
        <w:contextualSpacing/>
        <w:rPr>
          <w:lang w:val="lv-LV"/>
        </w:rPr>
      </w:pPr>
      <w:hyperlink r:id="rId11" w:history="1">
        <w:r w:rsidR="001E7F29" w:rsidRPr="00C15348">
          <w:rPr>
            <w:rStyle w:val="Hyperlink"/>
            <w:lang w:val="lv-LV"/>
          </w:rPr>
          <w:t>Sanita.Lace@em.gov.lv</w:t>
        </w:r>
      </w:hyperlink>
    </w:p>
    <w:sectPr w:rsidR="000948CC" w:rsidRPr="001319E5" w:rsidSect="001135F9">
      <w:headerReference w:type="default" r:id="rId12"/>
      <w:footerReference w:type="default" r:id="rId13"/>
      <w:footerReference w:type="first" r:id="rId14"/>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34AD9" w14:textId="77777777" w:rsidR="00C2488A" w:rsidRDefault="00C2488A" w:rsidP="006B2FEF">
      <w:r>
        <w:separator/>
      </w:r>
    </w:p>
  </w:endnote>
  <w:endnote w:type="continuationSeparator" w:id="0">
    <w:p w14:paraId="764B22B4" w14:textId="77777777" w:rsidR="00C2488A" w:rsidRDefault="00C2488A"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5D7B" w14:textId="0E808288" w:rsidR="00784B98" w:rsidRPr="00BB55EA" w:rsidRDefault="009C3576" w:rsidP="00E37F50">
    <w:pPr>
      <w:pStyle w:val="Footer"/>
      <w:jc w:val="both"/>
      <w:rPr>
        <w:lang w:val="lv-LV"/>
      </w:rPr>
    </w:pPr>
    <w:r>
      <w:rPr>
        <w:lang w:val="lv-LV"/>
      </w:rPr>
      <w:fldChar w:fldCharType="begin"/>
    </w:r>
    <w:r>
      <w:rPr>
        <w:lang w:val="lv-LV"/>
      </w:rPr>
      <w:instrText xml:space="preserve"> FILENAME \* MERGEFORMAT </w:instrText>
    </w:r>
    <w:r>
      <w:rPr>
        <w:lang w:val="lv-LV"/>
      </w:rPr>
      <w:fldChar w:fldCharType="separate"/>
    </w:r>
    <w:r>
      <w:rPr>
        <w:noProof/>
        <w:lang w:val="lv-LV"/>
      </w:rPr>
      <w:t>EMAnot_110621_MKN_226_Groz.docx</w:t>
    </w:r>
    <w:r>
      <w:rPr>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F2A6" w14:textId="22F5EF8E" w:rsidR="0007156D" w:rsidRPr="004A6A58" w:rsidRDefault="0007156D" w:rsidP="003B7B62">
    <w:pPr>
      <w:pStyle w:val="Footer"/>
      <w:jc w:val="both"/>
      <w:rPr>
        <w:noProof/>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F5A70" w14:textId="77777777" w:rsidR="00C2488A" w:rsidRDefault="00C2488A" w:rsidP="006B2FEF">
      <w:r>
        <w:separator/>
      </w:r>
    </w:p>
  </w:footnote>
  <w:footnote w:type="continuationSeparator" w:id="0">
    <w:p w14:paraId="14093054" w14:textId="77777777" w:rsidR="00C2488A" w:rsidRDefault="00C2488A" w:rsidP="006B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06079B9A" w14:textId="71A56292" w:rsidR="0007156D" w:rsidRPr="001319E5" w:rsidRDefault="0007156D">
        <w:pPr>
          <w:pStyle w:val="Header"/>
          <w:jc w:val="center"/>
          <w:rPr>
            <w:sz w:val="24"/>
            <w:szCs w:val="24"/>
          </w:rPr>
        </w:pPr>
        <w:r w:rsidRPr="001319E5">
          <w:rPr>
            <w:sz w:val="24"/>
            <w:szCs w:val="24"/>
          </w:rPr>
          <w:fldChar w:fldCharType="begin"/>
        </w:r>
        <w:r w:rsidRPr="001319E5">
          <w:rPr>
            <w:sz w:val="24"/>
            <w:szCs w:val="24"/>
          </w:rPr>
          <w:instrText xml:space="preserve"> PAGE   \* MERGEFORMAT </w:instrText>
        </w:r>
        <w:r w:rsidRPr="001319E5">
          <w:rPr>
            <w:sz w:val="24"/>
            <w:szCs w:val="24"/>
          </w:rPr>
          <w:fldChar w:fldCharType="separate"/>
        </w:r>
        <w:r w:rsidR="00C91851">
          <w:rPr>
            <w:noProof/>
            <w:sz w:val="24"/>
            <w:szCs w:val="24"/>
          </w:rPr>
          <w:t>6</w:t>
        </w:r>
        <w:r w:rsidRPr="001319E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2CFB5050"/>
    <w:multiLevelType w:val="hybridMultilevel"/>
    <w:tmpl w:val="FE1ACFF2"/>
    <w:lvl w:ilvl="0" w:tplc="E356F95C">
      <w:start w:val="1"/>
      <w:numFmt w:val="decimal"/>
      <w:lvlText w:val="%1."/>
      <w:lvlJc w:val="left"/>
      <w:pPr>
        <w:ind w:left="591" w:hanging="360"/>
      </w:pPr>
      <w:rPr>
        <w:rFonts w:hint="default"/>
      </w:rPr>
    </w:lvl>
    <w:lvl w:ilvl="1" w:tplc="04260019" w:tentative="1">
      <w:start w:val="1"/>
      <w:numFmt w:val="lowerLetter"/>
      <w:lvlText w:val="%2."/>
      <w:lvlJc w:val="left"/>
      <w:pPr>
        <w:ind w:left="1311" w:hanging="360"/>
      </w:pPr>
    </w:lvl>
    <w:lvl w:ilvl="2" w:tplc="0426001B" w:tentative="1">
      <w:start w:val="1"/>
      <w:numFmt w:val="lowerRoman"/>
      <w:lvlText w:val="%3."/>
      <w:lvlJc w:val="right"/>
      <w:pPr>
        <w:ind w:left="2031" w:hanging="180"/>
      </w:pPr>
    </w:lvl>
    <w:lvl w:ilvl="3" w:tplc="0426000F" w:tentative="1">
      <w:start w:val="1"/>
      <w:numFmt w:val="decimal"/>
      <w:lvlText w:val="%4."/>
      <w:lvlJc w:val="left"/>
      <w:pPr>
        <w:ind w:left="2751" w:hanging="360"/>
      </w:pPr>
    </w:lvl>
    <w:lvl w:ilvl="4" w:tplc="04260019" w:tentative="1">
      <w:start w:val="1"/>
      <w:numFmt w:val="lowerLetter"/>
      <w:lvlText w:val="%5."/>
      <w:lvlJc w:val="left"/>
      <w:pPr>
        <w:ind w:left="3471" w:hanging="360"/>
      </w:pPr>
    </w:lvl>
    <w:lvl w:ilvl="5" w:tplc="0426001B" w:tentative="1">
      <w:start w:val="1"/>
      <w:numFmt w:val="lowerRoman"/>
      <w:lvlText w:val="%6."/>
      <w:lvlJc w:val="right"/>
      <w:pPr>
        <w:ind w:left="4191" w:hanging="180"/>
      </w:pPr>
    </w:lvl>
    <w:lvl w:ilvl="6" w:tplc="0426000F" w:tentative="1">
      <w:start w:val="1"/>
      <w:numFmt w:val="decimal"/>
      <w:lvlText w:val="%7."/>
      <w:lvlJc w:val="left"/>
      <w:pPr>
        <w:ind w:left="4911" w:hanging="360"/>
      </w:pPr>
    </w:lvl>
    <w:lvl w:ilvl="7" w:tplc="04260019" w:tentative="1">
      <w:start w:val="1"/>
      <w:numFmt w:val="lowerLetter"/>
      <w:lvlText w:val="%8."/>
      <w:lvlJc w:val="left"/>
      <w:pPr>
        <w:ind w:left="5631" w:hanging="360"/>
      </w:pPr>
    </w:lvl>
    <w:lvl w:ilvl="8" w:tplc="0426001B" w:tentative="1">
      <w:start w:val="1"/>
      <w:numFmt w:val="lowerRoman"/>
      <w:lvlText w:val="%9."/>
      <w:lvlJc w:val="right"/>
      <w:pPr>
        <w:ind w:left="6351" w:hanging="180"/>
      </w:pPr>
    </w:lvl>
  </w:abstractNum>
  <w:abstractNum w:abstractNumId="13"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156F18"/>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0"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4"/>
  </w:num>
  <w:num w:numId="3">
    <w:abstractNumId w:val="24"/>
  </w:num>
  <w:num w:numId="4">
    <w:abstractNumId w:val="7"/>
  </w:num>
  <w:num w:numId="5">
    <w:abstractNumId w:val="11"/>
  </w:num>
  <w:num w:numId="6">
    <w:abstractNumId w:val="3"/>
  </w:num>
  <w:num w:numId="7">
    <w:abstractNumId w:val="19"/>
  </w:num>
  <w:num w:numId="8">
    <w:abstractNumId w:val="35"/>
  </w:num>
  <w:num w:numId="9">
    <w:abstractNumId w:val="25"/>
  </w:num>
  <w:num w:numId="10">
    <w:abstractNumId w:val="0"/>
  </w:num>
  <w:num w:numId="11">
    <w:abstractNumId w:val="1"/>
  </w:num>
  <w:num w:numId="12">
    <w:abstractNumId w:val="13"/>
  </w:num>
  <w:num w:numId="13">
    <w:abstractNumId w:val="28"/>
  </w:num>
  <w:num w:numId="14">
    <w:abstractNumId w:val="30"/>
  </w:num>
  <w:num w:numId="15">
    <w:abstractNumId w:val="10"/>
  </w:num>
  <w:num w:numId="16">
    <w:abstractNumId w:val="31"/>
  </w:num>
  <w:num w:numId="17">
    <w:abstractNumId w:val="26"/>
  </w:num>
  <w:num w:numId="18">
    <w:abstractNumId w:val="29"/>
  </w:num>
  <w:num w:numId="19">
    <w:abstractNumId w:val="18"/>
  </w:num>
  <w:num w:numId="20">
    <w:abstractNumId w:val="4"/>
  </w:num>
  <w:num w:numId="21">
    <w:abstractNumId w:val="6"/>
  </w:num>
  <w:num w:numId="22">
    <w:abstractNumId w:val="5"/>
  </w:num>
  <w:num w:numId="23">
    <w:abstractNumId w:val="17"/>
  </w:num>
  <w:num w:numId="24">
    <w:abstractNumId w:val="8"/>
  </w:num>
  <w:num w:numId="25">
    <w:abstractNumId w:val="14"/>
  </w:num>
  <w:num w:numId="26">
    <w:abstractNumId w:val="16"/>
  </w:num>
  <w:num w:numId="27">
    <w:abstractNumId w:val="21"/>
  </w:num>
  <w:num w:numId="28">
    <w:abstractNumId w:val="27"/>
  </w:num>
  <w:num w:numId="29">
    <w:abstractNumId w:val="9"/>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num>
  <w:num w:numId="33">
    <w:abstractNumId w:val="23"/>
  </w:num>
  <w:num w:numId="34">
    <w:abstractNumId w:val="15"/>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D52"/>
    <w:rsid w:val="000058AA"/>
    <w:rsid w:val="0001048C"/>
    <w:rsid w:val="00013B61"/>
    <w:rsid w:val="00014B9F"/>
    <w:rsid w:val="00014C4B"/>
    <w:rsid w:val="00016159"/>
    <w:rsid w:val="0002003C"/>
    <w:rsid w:val="0002596F"/>
    <w:rsid w:val="00026F18"/>
    <w:rsid w:val="000272EB"/>
    <w:rsid w:val="0003012D"/>
    <w:rsid w:val="00030B7E"/>
    <w:rsid w:val="0003245D"/>
    <w:rsid w:val="0003265E"/>
    <w:rsid w:val="00032C42"/>
    <w:rsid w:val="00033E11"/>
    <w:rsid w:val="00037B3D"/>
    <w:rsid w:val="00041D0F"/>
    <w:rsid w:val="00042885"/>
    <w:rsid w:val="000430AC"/>
    <w:rsid w:val="0004380E"/>
    <w:rsid w:val="00044503"/>
    <w:rsid w:val="00044743"/>
    <w:rsid w:val="00044EB9"/>
    <w:rsid w:val="00047095"/>
    <w:rsid w:val="000527A4"/>
    <w:rsid w:val="00060527"/>
    <w:rsid w:val="000678CD"/>
    <w:rsid w:val="00070F56"/>
    <w:rsid w:val="00071082"/>
    <w:rsid w:val="0007156D"/>
    <w:rsid w:val="00071BC9"/>
    <w:rsid w:val="00072618"/>
    <w:rsid w:val="00072B02"/>
    <w:rsid w:val="0007330D"/>
    <w:rsid w:val="00074090"/>
    <w:rsid w:val="000773A5"/>
    <w:rsid w:val="00077D13"/>
    <w:rsid w:val="0008002B"/>
    <w:rsid w:val="00080352"/>
    <w:rsid w:val="00081EC5"/>
    <w:rsid w:val="0008303C"/>
    <w:rsid w:val="0008515E"/>
    <w:rsid w:val="00085640"/>
    <w:rsid w:val="0009324B"/>
    <w:rsid w:val="000948CC"/>
    <w:rsid w:val="00094B1E"/>
    <w:rsid w:val="00095280"/>
    <w:rsid w:val="00096060"/>
    <w:rsid w:val="000964C6"/>
    <w:rsid w:val="000A0059"/>
    <w:rsid w:val="000A14E3"/>
    <w:rsid w:val="000A5031"/>
    <w:rsid w:val="000A7804"/>
    <w:rsid w:val="000B00F5"/>
    <w:rsid w:val="000B0748"/>
    <w:rsid w:val="000B1926"/>
    <w:rsid w:val="000B1B64"/>
    <w:rsid w:val="000B1FEA"/>
    <w:rsid w:val="000B2C54"/>
    <w:rsid w:val="000B3449"/>
    <w:rsid w:val="000B3A3F"/>
    <w:rsid w:val="000B3FAB"/>
    <w:rsid w:val="000B492B"/>
    <w:rsid w:val="000C33C1"/>
    <w:rsid w:val="000C4418"/>
    <w:rsid w:val="000D180D"/>
    <w:rsid w:val="000D2474"/>
    <w:rsid w:val="000D3D56"/>
    <w:rsid w:val="000D43D9"/>
    <w:rsid w:val="000D4AF0"/>
    <w:rsid w:val="000D74B9"/>
    <w:rsid w:val="000E257B"/>
    <w:rsid w:val="000E53C3"/>
    <w:rsid w:val="000E56F8"/>
    <w:rsid w:val="000E5DD2"/>
    <w:rsid w:val="000F0A62"/>
    <w:rsid w:val="000F2111"/>
    <w:rsid w:val="000F2838"/>
    <w:rsid w:val="000F4230"/>
    <w:rsid w:val="000F676D"/>
    <w:rsid w:val="00102922"/>
    <w:rsid w:val="00102B1D"/>
    <w:rsid w:val="00110128"/>
    <w:rsid w:val="001135F9"/>
    <w:rsid w:val="0011606F"/>
    <w:rsid w:val="00120189"/>
    <w:rsid w:val="00122FE6"/>
    <w:rsid w:val="00123887"/>
    <w:rsid w:val="0012624C"/>
    <w:rsid w:val="001319E5"/>
    <w:rsid w:val="00137388"/>
    <w:rsid w:val="00137F96"/>
    <w:rsid w:val="00143BB6"/>
    <w:rsid w:val="00145366"/>
    <w:rsid w:val="00146697"/>
    <w:rsid w:val="00151BBD"/>
    <w:rsid w:val="00152387"/>
    <w:rsid w:val="0015295F"/>
    <w:rsid w:val="00156C28"/>
    <w:rsid w:val="00161BA7"/>
    <w:rsid w:val="00164AAB"/>
    <w:rsid w:val="001650AC"/>
    <w:rsid w:val="001655DD"/>
    <w:rsid w:val="00165747"/>
    <w:rsid w:val="00165F5E"/>
    <w:rsid w:val="0016668A"/>
    <w:rsid w:val="00166A8B"/>
    <w:rsid w:val="0016744E"/>
    <w:rsid w:val="00172082"/>
    <w:rsid w:val="00177250"/>
    <w:rsid w:val="00177882"/>
    <w:rsid w:val="00177C69"/>
    <w:rsid w:val="00180E2B"/>
    <w:rsid w:val="0018135A"/>
    <w:rsid w:val="00183B65"/>
    <w:rsid w:val="00186A4D"/>
    <w:rsid w:val="00187140"/>
    <w:rsid w:val="00187921"/>
    <w:rsid w:val="001905EC"/>
    <w:rsid w:val="00190B3D"/>
    <w:rsid w:val="001935C8"/>
    <w:rsid w:val="001946C8"/>
    <w:rsid w:val="00195D43"/>
    <w:rsid w:val="00197380"/>
    <w:rsid w:val="001A1368"/>
    <w:rsid w:val="001A1439"/>
    <w:rsid w:val="001A38EA"/>
    <w:rsid w:val="001A3ED2"/>
    <w:rsid w:val="001A7C3A"/>
    <w:rsid w:val="001A7E1D"/>
    <w:rsid w:val="001B7454"/>
    <w:rsid w:val="001C0801"/>
    <w:rsid w:val="001C143C"/>
    <w:rsid w:val="001C1B72"/>
    <w:rsid w:val="001C2832"/>
    <w:rsid w:val="001C362D"/>
    <w:rsid w:val="001C5404"/>
    <w:rsid w:val="001C5ED6"/>
    <w:rsid w:val="001C6208"/>
    <w:rsid w:val="001C68A2"/>
    <w:rsid w:val="001D0561"/>
    <w:rsid w:val="001D0800"/>
    <w:rsid w:val="001D0E8C"/>
    <w:rsid w:val="001D3167"/>
    <w:rsid w:val="001D7397"/>
    <w:rsid w:val="001D7DC1"/>
    <w:rsid w:val="001E1B0F"/>
    <w:rsid w:val="001E3588"/>
    <w:rsid w:val="001E3D29"/>
    <w:rsid w:val="001E4C2F"/>
    <w:rsid w:val="001E5FBC"/>
    <w:rsid w:val="001E76BE"/>
    <w:rsid w:val="001E7F29"/>
    <w:rsid w:val="001F2BA2"/>
    <w:rsid w:val="001F3225"/>
    <w:rsid w:val="001F6DBE"/>
    <w:rsid w:val="001F7086"/>
    <w:rsid w:val="001F7AAD"/>
    <w:rsid w:val="00200E7D"/>
    <w:rsid w:val="0020468C"/>
    <w:rsid w:val="002107BF"/>
    <w:rsid w:val="00211315"/>
    <w:rsid w:val="00215C6A"/>
    <w:rsid w:val="002167D1"/>
    <w:rsid w:val="002177B0"/>
    <w:rsid w:val="00217F5B"/>
    <w:rsid w:val="00222120"/>
    <w:rsid w:val="00224E84"/>
    <w:rsid w:val="002251DF"/>
    <w:rsid w:val="002267E7"/>
    <w:rsid w:val="00227BB4"/>
    <w:rsid w:val="00230ADB"/>
    <w:rsid w:val="0023582E"/>
    <w:rsid w:val="00237878"/>
    <w:rsid w:val="002438ED"/>
    <w:rsid w:val="00244A9E"/>
    <w:rsid w:val="00246849"/>
    <w:rsid w:val="00250127"/>
    <w:rsid w:val="0025023B"/>
    <w:rsid w:val="00252EEF"/>
    <w:rsid w:val="00253B6C"/>
    <w:rsid w:val="00254651"/>
    <w:rsid w:val="00254901"/>
    <w:rsid w:val="00255BAC"/>
    <w:rsid w:val="002601C7"/>
    <w:rsid w:val="00261B97"/>
    <w:rsid w:val="002651EA"/>
    <w:rsid w:val="00270FCE"/>
    <w:rsid w:val="0027369F"/>
    <w:rsid w:val="00273700"/>
    <w:rsid w:val="00273B21"/>
    <w:rsid w:val="00277D9D"/>
    <w:rsid w:val="00281C0B"/>
    <w:rsid w:val="00283D87"/>
    <w:rsid w:val="00286779"/>
    <w:rsid w:val="00290EE2"/>
    <w:rsid w:val="00292062"/>
    <w:rsid w:val="002932D2"/>
    <w:rsid w:val="002957B7"/>
    <w:rsid w:val="00295F9F"/>
    <w:rsid w:val="002A0435"/>
    <w:rsid w:val="002A0BC1"/>
    <w:rsid w:val="002A166A"/>
    <w:rsid w:val="002A3EC2"/>
    <w:rsid w:val="002A6400"/>
    <w:rsid w:val="002B3EAE"/>
    <w:rsid w:val="002B4900"/>
    <w:rsid w:val="002B6364"/>
    <w:rsid w:val="002B7F82"/>
    <w:rsid w:val="002C15A0"/>
    <w:rsid w:val="002C22CF"/>
    <w:rsid w:val="002C3E23"/>
    <w:rsid w:val="002C3E51"/>
    <w:rsid w:val="002C504B"/>
    <w:rsid w:val="002C7113"/>
    <w:rsid w:val="002D6A10"/>
    <w:rsid w:val="002D6BDB"/>
    <w:rsid w:val="002D744A"/>
    <w:rsid w:val="002D7D0E"/>
    <w:rsid w:val="002E024D"/>
    <w:rsid w:val="002E1075"/>
    <w:rsid w:val="002E1888"/>
    <w:rsid w:val="002E2950"/>
    <w:rsid w:val="002E5643"/>
    <w:rsid w:val="002E5B94"/>
    <w:rsid w:val="002E678E"/>
    <w:rsid w:val="002E708A"/>
    <w:rsid w:val="002E7635"/>
    <w:rsid w:val="002F06CE"/>
    <w:rsid w:val="002F5587"/>
    <w:rsid w:val="002F741D"/>
    <w:rsid w:val="00300B84"/>
    <w:rsid w:val="00301A6D"/>
    <w:rsid w:val="0030247A"/>
    <w:rsid w:val="00303955"/>
    <w:rsid w:val="00304810"/>
    <w:rsid w:val="003061FB"/>
    <w:rsid w:val="00306270"/>
    <w:rsid w:val="0031008A"/>
    <w:rsid w:val="00310924"/>
    <w:rsid w:val="0031259B"/>
    <w:rsid w:val="00314298"/>
    <w:rsid w:val="00315152"/>
    <w:rsid w:val="003176D3"/>
    <w:rsid w:val="00320949"/>
    <w:rsid w:val="003228DE"/>
    <w:rsid w:val="00323C8A"/>
    <w:rsid w:val="00326096"/>
    <w:rsid w:val="00326CB6"/>
    <w:rsid w:val="003334FB"/>
    <w:rsid w:val="00336CF9"/>
    <w:rsid w:val="0033779C"/>
    <w:rsid w:val="00337AC6"/>
    <w:rsid w:val="00343A18"/>
    <w:rsid w:val="00343F62"/>
    <w:rsid w:val="0034476B"/>
    <w:rsid w:val="00345CE5"/>
    <w:rsid w:val="003469B5"/>
    <w:rsid w:val="00346CE0"/>
    <w:rsid w:val="00347472"/>
    <w:rsid w:val="00354A3F"/>
    <w:rsid w:val="00354ABE"/>
    <w:rsid w:val="00360657"/>
    <w:rsid w:val="00366AFE"/>
    <w:rsid w:val="00367B98"/>
    <w:rsid w:val="00371FC6"/>
    <w:rsid w:val="0037225E"/>
    <w:rsid w:val="00374F73"/>
    <w:rsid w:val="00375F30"/>
    <w:rsid w:val="00376F09"/>
    <w:rsid w:val="00380AC5"/>
    <w:rsid w:val="00381382"/>
    <w:rsid w:val="003814A5"/>
    <w:rsid w:val="00381B26"/>
    <w:rsid w:val="00382FEC"/>
    <w:rsid w:val="00385772"/>
    <w:rsid w:val="00387734"/>
    <w:rsid w:val="0039139B"/>
    <w:rsid w:val="003913FB"/>
    <w:rsid w:val="00392998"/>
    <w:rsid w:val="00394D68"/>
    <w:rsid w:val="00395460"/>
    <w:rsid w:val="00396152"/>
    <w:rsid w:val="00397D0E"/>
    <w:rsid w:val="003A1D77"/>
    <w:rsid w:val="003A24AD"/>
    <w:rsid w:val="003A40AD"/>
    <w:rsid w:val="003A6554"/>
    <w:rsid w:val="003A6A32"/>
    <w:rsid w:val="003B1693"/>
    <w:rsid w:val="003B32EC"/>
    <w:rsid w:val="003B3488"/>
    <w:rsid w:val="003B5E55"/>
    <w:rsid w:val="003B5F6A"/>
    <w:rsid w:val="003B63BE"/>
    <w:rsid w:val="003B7B62"/>
    <w:rsid w:val="003C036F"/>
    <w:rsid w:val="003C072B"/>
    <w:rsid w:val="003C3D3D"/>
    <w:rsid w:val="003C5E4F"/>
    <w:rsid w:val="003C7796"/>
    <w:rsid w:val="003D0448"/>
    <w:rsid w:val="003D1A86"/>
    <w:rsid w:val="003D3E7E"/>
    <w:rsid w:val="003D7F0B"/>
    <w:rsid w:val="003E145E"/>
    <w:rsid w:val="003E171B"/>
    <w:rsid w:val="003E4132"/>
    <w:rsid w:val="003E58C7"/>
    <w:rsid w:val="003E5A6D"/>
    <w:rsid w:val="003E5D7B"/>
    <w:rsid w:val="003E637A"/>
    <w:rsid w:val="003F0341"/>
    <w:rsid w:val="003F2674"/>
    <w:rsid w:val="003F288B"/>
    <w:rsid w:val="003F2B20"/>
    <w:rsid w:val="003F2C34"/>
    <w:rsid w:val="003F30FC"/>
    <w:rsid w:val="003F45CD"/>
    <w:rsid w:val="003F4CC7"/>
    <w:rsid w:val="003F7C94"/>
    <w:rsid w:val="00401397"/>
    <w:rsid w:val="004038BC"/>
    <w:rsid w:val="00406AE2"/>
    <w:rsid w:val="0041036A"/>
    <w:rsid w:val="0041316A"/>
    <w:rsid w:val="004158F6"/>
    <w:rsid w:val="00415A66"/>
    <w:rsid w:val="00416A31"/>
    <w:rsid w:val="00417136"/>
    <w:rsid w:val="00420760"/>
    <w:rsid w:val="004224C2"/>
    <w:rsid w:val="00423B46"/>
    <w:rsid w:val="00425AA9"/>
    <w:rsid w:val="00426250"/>
    <w:rsid w:val="00426A69"/>
    <w:rsid w:val="00426B77"/>
    <w:rsid w:val="00431019"/>
    <w:rsid w:val="00433EC2"/>
    <w:rsid w:val="004352F7"/>
    <w:rsid w:val="0043554A"/>
    <w:rsid w:val="0043619D"/>
    <w:rsid w:val="004362D3"/>
    <w:rsid w:val="00442A8B"/>
    <w:rsid w:val="00442D1E"/>
    <w:rsid w:val="00443016"/>
    <w:rsid w:val="00443C9D"/>
    <w:rsid w:val="00444344"/>
    <w:rsid w:val="00445945"/>
    <w:rsid w:val="00450691"/>
    <w:rsid w:val="00450D9C"/>
    <w:rsid w:val="00452140"/>
    <w:rsid w:val="00452927"/>
    <w:rsid w:val="00453BB3"/>
    <w:rsid w:val="00454540"/>
    <w:rsid w:val="004619FE"/>
    <w:rsid w:val="00463574"/>
    <w:rsid w:val="004666F3"/>
    <w:rsid w:val="00467343"/>
    <w:rsid w:val="0047031A"/>
    <w:rsid w:val="00471139"/>
    <w:rsid w:val="00471B88"/>
    <w:rsid w:val="004741BD"/>
    <w:rsid w:val="00480F0A"/>
    <w:rsid w:val="00481C20"/>
    <w:rsid w:val="00483B86"/>
    <w:rsid w:val="00485293"/>
    <w:rsid w:val="00485E47"/>
    <w:rsid w:val="00490499"/>
    <w:rsid w:val="00497AB8"/>
    <w:rsid w:val="004A2EE3"/>
    <w:rsid w:val="004A4356"/>
    <w:rsid w:val="004A5EEF"/>
    <w:rsid w:val="004A6A58"/>
    <w:rsid w:val="004B0B1D"/>
    <w:rsid w:val="004C0738"/>
    <w:rsid w:val="004C0FE6"/>
    <w:rsid w:val="004C1724"/>
    <w:rsid w:val="004C20F1"/>
    <w:rsid w:val="004C253C"/>
    <w:rsid w:val="004C2FC4"/>
    <w:rsid w:val="004D0B68"/>
    <w:rsid w:val="004D0F95"/>
    <w:rsid w:val="004D232B"/>
    <w:rsid w:val="004D3010"/>
    <w:rsid w:val="004D30F5"/>
    <w:rsid w:val="004D3ABB"/>
    <w:rsid w:val="004D7625"/>
    <w:rsid w:val="004E4946"/>
    <w:rsid w:val="004E5D38"/>
    <w:rsid w:val="004E603B"/>
    <w:rsid w:val="004E626B"/>
    <w:rsid w:val="004E6C7D"/>
    <w:rsid w:val="004F13BD"/>
    <w:rsid w:val="004F478F"/>
    <w:rsid w:val="004F53B0"/>
    <w:rsid w:val="0050230D"/>
    <w:rsid w:val="0050364D"/>
    <w:rsid w:val="00503D17"/>
    <w:rsid w:val="00504D6E"/>
    <w:rsid w:val="005116FB"/>
    <w:rsid w:val="00514B75"/>
    <w:rsid w:val="00515D44"/>
    <w:rsid w:val="0052402C"/>
    <w:rsid w:val="00531AFF"/>
    <w:rsid w:val="00532875"/>
    <w:rsid w:val="00534305"/>
    <w:rsid w:val="00537FF8"/>
    <w:rsid w:val="00542CD8"/>
    <w:rsid w:val="005464E6"/>
    <w:rsid w:val="00546938"/>
    <w:rsid w:val="00547ACF"/>
    <w:rsid w:val="005507CD"/>
    <w:rsid w:val="00552639"/>
    <w:rsid w:val="00555557"/>
    <w:rsid w:val="00556943"/>
    <w:rsid w:val="00557AA8"/>
    <w:rsid w:val="00564830"/>
    <w:rsid w:val="00566916"/>
    <w:rsid w:val="00566F71"/>
    <w:rsid w:val="00567FC5"/>
    <w:rsid w:val="0057023E"/>
    <w:rsid w:val="00571CCF"/>
    <w:rsid w:val="00572180"/>
    <w:rsid w:val="00572337"/>
    <w:rsid w:val="00573FFE"/>
    <w:rsid w:val="00575FC3"/>
    <w:rsid w:val="0057625C"/>
    <w:rsid w:val="00576743"/>
    <w:rsid w:val="005771D5"/>
    <w:rsid w:val="00577628"/>
    <w:rsid w:val="00581784"/>
    <w:rsid w:val="00582C4E"/>
    <w:rsid w:val="00583746"/>
    <w:rsid w:val="00584453"/>
    <w:rsid w:val="00591838"/>
    <w:rsid w:val="00592809"/>
    <w:rsid w:val="00593343"/>
    <w:rsid w:val="00594A83"/>
    <w:rsid w:val="00596275"/>
    <w:rsid w:val="00597758"/>
    <w:rsid w:val="005A0C78"/>
    <w:rsid w:val="005A2E3D"/>
    <w:rsid w:val="005A4807"/>
    <w:rsid w:val="005A54BA"/>
    <w:rsid w:val="005A5A80"/>
    <w:rsid w:val="005B0013"/>
    <w:rsid w:val="005B044E"/>
    <w:rsid w:val="005B297A"/>
    <w:rsid w:val="005B29EF"/>
    <w:rsid w:val="005B2DA5"/>
    <w:rsid w:val="005B476F"/>
    <w:rsid w:val="005B5F05"/>
    <w:rsid w:val="005B6095"/>
    <w:rsid w:val="005B65B8"/>
    <w:rsid w:val="005B6A0D"/>
    <w:rsid w:val="005B6D1C"/>
    <w:rsid w:val="005C04E5"/>
    <w:rsid w:val="005C1764"/>
    <w:rsid w:val="005C34EA"/>
    <w:rsid w:val="005C37FC"/>
    <w:rsid w:val="005C3B2C"/>
    <w:rsid w:val="005C3D03"/>
    <w:rsid w:val="005C51FA"/>
    <w:rsid w:val="005C5413"/>
    <w:rsid w:val="005C63C7"/>
    <w:rsid w:val="005C6628"/>
    <w:rsid w:val="005C6B2C"/>
    <w:rsid w:val="005C73E4"/>
    <w:rsid w:val="005C7B1F"/>
    <w:rsid w:val="005D06E8"/>
    <w:rsid w:val="005D1195"/>
    <w:rsid w:val="005D2167"/>
    <w:rsid w:val="005D3B18"/>
    <w:rsid w:val="005D688E"/>
    <w:rsid w:val="005D6B98"/>
    <w:rsid w:val="005D794E"/>
    <w:rsid w:val="005E2588"/>
    <w:rsid w:val="005E30B2"/>
    <w:rsid w:val="005E39B3"/>
    <w:rsid w:val="005E4164"/>
    <w:rsid w:val="005E5A45"/>
    <w:rsid w:val="005F3FC6"/>
    <w:rsid w:val="005F75C4"/>
    <w:rsid w:val="006002BF"/>
    <w:rsid w:val="00600301"/>
    <w:rsid w:val="006008D1"/>
    <w:rsid w:val="00601C42"/>
    <w:rsid w:val="00611ADA"/>
    <w:rsid w:val="00611E18"/>
    <w:rsid w:val="00611FC0"/>
    <w:rsid w:val="00613A4A"/>
    <w:rsid w:val="00614157"/>
    <w:rsid w:val="00614A2A"/>
    <w:rsid w:val="00614ECD"/>
    <w:rsid w:val="006156D2"/>
    <w:rsid w:val="006231D7"/>
    <w:rsid w:val="00626031"/>
    <w:rsid w:val="00630C6C"/>
    <w:rsid w:val="00630E46"/>
    <w:rsid w:val="00630ED2"/>
    <w:rsid w:val="00631935"/>
    <w:rsid w:val="00636B91"/>
    <w:rsid w:val="006373FF"/>
    <w:rsid w:val="00646A6F"/>
    <w:rsid w:val="00653397"/>
    <w:rsid w:val="006535C3"/>
    <w:rsid w:val="0065450B"/>
    <w:rsid w:val="006553CD"/>
    <w:rsid w:val="006559F5"/>
    <w:rsid w:val="0065752A"/>
    <w:rsid w:val="00661782"/>
    <w:rsid w:val="00661F97"/>
    <w:rsid w:val="00662C11"/>
    <w:rsid w:val="00672822"/>
    <w:rsid w:val="006729D2"/>
    <w:rsid w:val="00673B07"/>
    <w:rsid w:val="00673BC6"/>
    <w:rsid w:val="006775B3"/>
    <w:rsid w:val="00677F88"/>
    <w:rsid w:val="00681FC2"/>
    <w:rsid w:val="00684808"/>
    <w:rsid w:val="00690858"/>
    <w:rsid w:val="00690F72"/>
    <w:rsid w:val="006B2D92"/>
    <w:rsid w:val="006B2FEF"/>
    <w:rsid w:val="006B4B31"/>
    <w:rsid w:val="006B6581"/>
    <w:rsid w:val="006B6D6C"/>
    <w:rsid w:val="006C20C5"/>
    <w:rsid w:val="006C3335"/>
    <w:rsid w:val="006C5ECD"/>
    <w:rsid w:val="006C7FAA"/>
    <w:rsid w:val="006D1520"/>
    <w:rsid w:val="006D1B02"/>
    <w:rsid w:val="006D2482"/>
    <w:rsid w:val="006D2F0C"/>
    <w:rsid w:val="006D3604"/>
    <w:rsid w:val="006D50C7"/>
    <w:rsid w:val="006D536E"/>
    <w:rsid w:val="006D5EB4"/>
    <w:rsid w:val="006D60D7"/>
    <w:rsid w:val="006E2082"/>
    <w:rsid w:val="006E3BE5"/>
    <w:rsid w:val="006E5D5B"/>
    <w:rsid w:val="006E67BA"/>
    <w:rsid w:val="006F2362"/>
    <w:rsid w:val="006F29AD"/>
    <w:rsid w:val="006F47EB"/>
    <w:rsid w:val="006F4B13"/>
    <w:rsid w:val="006F4DE9"/>
    <w:rsid w:val="006F61B5"/>
    <w:rsid w:val="006F6BC5"/>
    <w:rsid w:val="006F71C2"/>
    <w:rsid w:val="007003C6"/>
    <w:rsid w:val="007008B0"/>
    <w:rsid w:val="00700AC3"/>
    <w:rsid w:val="00700AD6"/>
    <w:rsid w:val="00700E68"/>
    <w:rsid w:val="00701065"/>
    <w:rsid w:val="0070175E"/>
    <w:rsid w:val="00703DC5"/>
    <w:rsid w:val="007040F2"/>
    <w:rsid w:val="007049DF"/>
    <w:rsid w:val="007120EE"/>
    <w:rsid w:val="0071279F"/>
    <w:rsid w:val="007153C5"/>
    <w:rsid w:val="007161D3"/>
    <w:rsid w:val="00720C35"/>
    <w:rsid w:val="00720DD8"/>
    <w:rsid w:val="00720E7B"/>
    <w:rsid w:val="00725CD8"/>
    <w:rsid w:val="007260E9"/>
    <w:rsid w:val="007262F0"/>
    <w:rsid w:val="007314F1"/>
    <w:rsid w:val="00731BE9"/>
    <w:rsid w:val="00731E2B"/>
    <w:rsid w:val="00733C32"/>
    <w:rsid w:val="00741CC6"/>
    <w:rsid w:val="007420D7"/>
    <w:rsid w:val="0074545C"/>
    <w:rsid w:val="00751809"/>
    <w:rsid w:val="00752DBC"/>
    <w:rsid w:val="00753FF4"/>
    <w:rsid w:val="0075411D"/>
    <w:rsid w:val="00755805"/>
    <w:rsid w:val="00756F8A"/>
    <w:rsid w:val="00757367"/>
    <w:rsid w:val="00760295"/>
    <w:rsid w:val="00760B97"/>
    <w:rsid w:val="00762675"/>
    <w:rsid w:val="00762FC8"/>
    <w:rsid w:val="0076405E"/>
    <w:rsid w:val="00764EBA"/>
    <w:rsid w:val="00765825"/>
    <w:rsid w:val="007700D3"/>
    <w:rsid w:val="00770970"/>
    <w:rsid w:val="00770EA9"/>
    <w:rsid w:val="0077131C"/>
    <w:rsid w:val="0077138B"/>
    <w:rsid w:val="00773178"/>
    <w:rsid w:val="0077534E"/>
    <w:rsid w:val="007759DD"/>
    <w:rsid w:val="00775EBF"/>
    <w:rsid w:val="0078045E"/>
    <w:rsid w:val="00780B70"/>
    <w:rsid w:val="00782847"/>
    <w:rsid w:val="00783777"/>
    <w:rsid w:val="00783D20"/>
    <w:rsid w:val="00784B98"/>
    <w:rsid w:val="00785232"/>
    <w:rsid w:val="007862D0"/>
    <w:rsid w:val="0079247D"/>
    <w:rsid w:val="00794F2D"/>
    <w:rsid w:val="007954D3"/>
    <w:rsid w:val="00796159"/>
    <w:rsid w:val="007979AE"/>
    <w:rsid w:val="00797AAD"/>
    <w:rsid w:val="007A2F02"/>
    <w:rsid w:val="007A5127"/>
    <w:rsid w:val="007A5C51"/>
    <w:rsid w:val="007B023A"/>
    <w:rsid w:val="007B27D9"/>
    <w:rsid w:val="007B41D7"/>
    <w:rsid w:val="007C1A7D"/>
    <w:rsid w:val="007C4094"/>
    <w:rsid w:val="007C45C5"/>
    <w:rsid w:val="007C608D"/>
    <w:rsid w:val="007D0BD7"/>
    <w:rsid w:val="007D3170"/>
    <w:rsid w:val="007D50AE"/>
    <w:rsid w:val="007D516C"/>
    <w:rsid w:val="007D5403"/>
    <w:rsid w:val="007E074D"/>
    <w:rsid w:val="007E1EA6"/>
    <w:rsid w:val="007E2FDE"/>
    <w:rsid w:val="007E4C1F"/>
    <w:rsid w:val="007E6943"/>
    <w:rsid w:val="007E6B6E"/>
    <w:rsid w:val="007F0204"/>
    <w:rsid w:val="007F09F6"/>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597B"/>
    <w:rsid w:val="008275F3"/>
    <w:rsid w:val="00831A5D"/>
    <w:rsid w:val="00831DB4"/>
    <w:rsid w:val="008365EC"/>
    <w:rsid w:val="00837390"/>
    <w:rsid w:val="00841374"/>
    <w:rsid w:val="00844176"/>
    <w:rsid w:val="00846AF5"/>
    <w:rsid w:val="00847B4C"/>
    <w:rsid w:val="008503CA"/>
    <w:rsid w:val="0085318D"/>
    <w:rsid w:val="008565FB"/>
    <w:rsid w:val="00861B59"/>
    <w:rsid w:val="00861F0E"/>
    <w:rsid w:val="00862580"/>
    <w:rsid w:val="00862834"/>
    <w:rsid w:val="00862D9E"/>
    <w:rsid w:val="00863309"/>
    <w:rsid w:val="0086464A"/>
    <w:rsid w:val="008708E8"/>
    <w:rsid w:val="00871516"/>
    <w:rsid w:val="00871E2F"/>
    <w:rsid w:val="008764DD"/>
    <w:rsid w:val="00877499"/>
    <w:rsid w:val="008841EB"/>
    <w:rsid w:val="0088688D"/>
    <w:rsid w:val="00886CCB"/>
    <w:rsid w:val="00891622"/>
    <w:rsid w:val="00891C00"/>
    <w:rsid w:val="00895E41"/>
    <w:rsid w:val="00896B9A"/>
    <w:rsid w:val="0089734D"/>
    <w:rsid w:val="008A0A32"/>
    <w:rsid w:val="008A1056"/>
    <w:rsid w:val="008A7CC5"/>
    <w:rsid w:val="008B1CC3"/>
    <w:rsid w:val="008B206C"/>
    <w:rsid w:val="008B32B2"/>
    <w:rsid w:val="008B4335"/>
    <w:rsid w:val="008B56DF"/>
    <w:rsid w:val="008B5B2C"/>
    <w:rsid w:val="008B5EFB"/>
    <w:rsid w:val="008C0A70"/>
    <w:rsid w:val="008C4728"/>
    <w:rsid w:val="008C7959"/>
    <w:rsid w:val="008D1939"/>
    <w:rsid w:val="008D4F09"/>
    <w:rsid w:val="008D539E"/>
    <w:rsid w:val="008D65D5"/>
    <w:rsid w:val="008D6BCF"/>
    <w:rsid w:val="008D75EB"/>
    <w:rsid w:val="008D7F23"/>
    <w:rsid w:val="008E1F57"/>
    <w:rsid w:val="008E3E6E"/>
    <w:rsid w:val="008E5D85"/>
    <w:rsid w:val="008E6583"/>
    <w:rsid w:val="008E751B"/>
    <w:rsid w:val="00900C33"/>
    <w:rsid w:val="0090193D"/>
    <w:rsid w:val="009030F2"/>
    <w:rsid w:val="009034C7"/>
    <w:rsid w:val="00906ABE"/>
    <w:rsid w:val="00907DD7"/>
    <w:rsid w:val="00910BBC"/>
    <w:rsid w:val="009165D6"/>
    <w:rsid w:val="00917D6F"/>
    <w:rsid w:val="00921504"/>
    <w:rsid w:val="00922352"/>
    <w:rsid w:val="00923112"/>
    <w:rsid w:val="0092710C"/>
    <w:rsid w:val="009273CE"/>
    <w:rsid w:val="0093112B"/>
    <w:rsid w:val="0093298F"/>
    <w:rsid w:val="00935BF4"/>
    <w:rsid w:val="009373C1"/>
    <w:rsid w:val="00937BB0"/>
    <w:rsid w:val="0094022B"/>
    <w:rsid w:val="00942D63"/>
    <w:rsid w:val="0094437B"/>
    <w:rsid w:val="009455DB"/>
    <w:rsid w:val="00951ED7"/>
    <w:rsid w:val="00954428"/>
    <w:rsid w:val="00954541"/>
    <w:rsid w:val="00954C0F"/>
    <w:rsid w:val="00956218"/>
    <w:rsid w:val="00956C4B"/>
    <w:rsid w:val="00957E64"/>
    <w:rsid w:val="00961605"/>
    <w:rsid w:val="00963925"/>
    <w:rsid w:val="00963C88"/>
    <w:rsid w:val="00965995"/>
    <w:rsid w:val="00966814"/>
    <w:rsid w:val="00970D58"/>
    <w:rsid w:val="009713A6"/>
    <w:rsid w:val="00973167"/>
    <w:rsid w:val="0097475D"/>
    <w:rsid w:val="00993596"/>
    <w:rsid w:val="009A3CB1"/>
    <w:rsid w:val="009A5428"/>
    <w:rsid w:val="009A6766"/>
    <w:rsid w:val="009A692C"/>
    <w:rsid w:val="009A750B"/>
    <w:rsid w:val="009A7E10"/>
    <w:rsid w:val="009B1CEB"/>
    <w:rsid w:val="009B2576"/>
    <w:rsid w:val="009B3508"/>
    <w:rsid w:val="009B3AE3"/>
    <w:rsid w:val="009B43EB"/>
    <w:rsid w:val="009B584C"/>
    <w:rsid w:val="009B6613"/>
    <w:rsid w:val="009B7000"/>
    <w:rsid w:val="009B75D4"/>
    <w:rsid w:val="009C061A"/>
    <w:rsid w:val="009C108E"/>
    <w:rsid w:val="009C1ABB"/>
    <w:rsid w:val="009C1FE8"/>
    <w:rsid w:val="009C228A"/>
    <w:rsid w:val="009C282F"/>
    <w:rsid w:val="009C2E2D"/>
    <w:rsid w:val="009C3257"/>
    <w:rsid w:val="009C3576"/>
    <w:rsid w:val="009C7F6E"/>
    <w:rsid w:val="009D0A96"/>
    <w:rsid w:val="009D1051"/>
    <w:rsid w:val="009D43B2"/>
    <w:rsid w:val="009E22F8"/>
    <w:rsid w:val="009E5C84"/>
    <w:rsid w:val="009F0FC9"/>
    <w:rsid w:val="009F1A7E"/>
    <w:rsid w:val="00A03E32"/>
    <w:rsid w:val="00A13FC8"/>
    <w:rsid w:val="00A14369"/>
    <w:rsid w:val="00A154D5"/>
    <w:rsid w:val="00A2067E"/>
    <w:rsid w:val="00A21F19"/>
    <w:rsid w:val="00A229AC"/>
    <w:rsid w:val="00A22F91"/>
    <w:rsid w:val="00A23E8B"/>
    <w:rsid w:val="00A25225"/>
    <w:rsid w:val="00A26676"/>
    <w:rsid w:val="00A267B2"/>
    <w:rsid w:val="00A269E2"/>
    <w:rsid w:val="00A27A02"/>
    <w:rsid w:val="00A30DAB"/>
    <w:rsid w:val="00A32A3F"/>
    <w:rsid w:val="00A337C5"/>
    <w:rsid w:val="00A33B10"/>
    <w:rsid w:val="00A34EAB"/>
    <w:rsid w:val="00A37CD5"/>
    <w:rsid w:val="00A41FB2"/>
    <w:rsid w:val="00A468F1"/>
    <w:rsid w:val="00A541ED"/>
    <w:rsid w:val="00A562DC"/>
    <w:rsid w:val="00A56E9B"/>
    <w:rsid w:val="00A66F1F"/>
    <w:rsid w:val="00A73448"/>
    <w:rsid w:val="00A73EC5"/>
    <w:rsid w:val="00A76035"/>
    <w:rsid w:val="00A86F1C"/>
    <w:rsid w:val="00A87D1C"/>
    <w:rsid w:val="00A87FC2"/>
    <w:rsid w:val="00A9174A"/>
    <w:rsid w:val="00A92A07"/>
    <w:rsid w:val="00A93054"/>
    <w:rsid w:val="00A94B68"/>
    <w:rsid w:val="00A969CC"/>
    <w:rsid w:val="00A96C8D"/>
    <w:rsid w:val="00A9708B"/>
    <w:rsid w:val="00AA3A72"/>
    <w:rsid w:val="00AB13CC"/>
    <w:rsid w:val="00AB3EB4"/>
    <w:rsid w:val="00AB6AE8"/>
    <w:rsid w:val="00AB7C88"/>
    <w:rsid w:val="00AC19E0"/>
    <w:rsid w:val="00AC216B"/>
    <w:rsid w:val="00AC24BD"/>
    <w:rsid w:val="00AD3D79"/>
    <w:rsid w:val="00AD5B91"/>
    <w:rsid w:val="00AD5C75"/>
    <w:rsid w:val="00AD62B9"/>
    <w:rsid w:val="00AD6AEF"/>
    <w:rsid w:val="00AD6DD9"/>
    <w:rsid w:val="00AE0055"/>
    <w:rsid w:val="00AE091D"/>
    <w:rsid w:val="00AE44E6"/>
    <w:rsid w:val="00AE5675"/>
    <w:rsid w:val="00AE57EC"/>
    <w:rsid w:val="00AE64F9"/>
    <w:rsid w:val="00AF1C04"/>
    <w:rsid w:val="00AF254A"/>
    <w:rsid w:val="00AF36C9"/>
    <w:rsid w:val="00AF5DF5"/>
    <w:rsid w:val="00AF6FA8"/>
    <w:rsid w:val="00AF755E"/>
    <w:rsid w:val="00B02EDD"/>
    <w:rsid w:val="00B03741"/>
    <w:rsid w:val="00B0569D"/>
    <w:rsid w:val="00B06ECB"/>
    <w:rsid w:val="00B10B94"/>
    <w:rsid w:val="00B111A5"/>
    <w:rsid w:val="00B117F2"/>
    <w:rsid w:val="00B13379"/>
    <w:rsid w:val="00B13C6F"/>
    <w:rsid w:val="00B14D75"/>
    <w:rsid w:val="00B15DBA"/>
    <w:rsid w:val="00B2297A"/>
    <w:rsid w:val="00B230F6"/>
    <w:rsid w:val="00B2368F"/>
    <w:rsid w:val="00B26202"/>
    <w:rsid w:val="00B300C7"/>
    <w:rsid w:val="00B32793"/>
    <w:rsid w:val="00B35CD4"/>
    <w:rsid w:val="00B37BB7"/>
    <w:rsid w:val="00B404B6"/>
    <w:rsid w:val="00B414CA"/>
    <w:rsid w:val="00B414FF"/>
    <w:rsid w:val="00B4164D"/>
    <w:rsid w:val="00B44C59"/>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135A"/>
    <w:rsid w:val="00B74B38"/>
    <w:rsid w:val="00B7600C"/>
    <w:rsid w:val="00B762A0"/>
    <w:rsid w:val="00B77E56"/>
    <w:rsid w:val="00B80371"/>
    <w:rsid w:val="00B8269F"/>
    <w:rsid w:val="00B837AE"/>
    <w:rsid w:val="00B83EED"/>
    <w:rsid w:val="00B85A89"/>
    <w:rsid w:val="00B868AD"/>
    <w:rsid w:val="00B87944"/>
    <w:rsid w:val="00B92A84"/>
    <w:rsid w:val="00B9742D"/>
    <w:rsid w:val="00BA2274"/>
    <w:rsid w:val="00BA542C"/>
    <w:rsid w:val="00BA7A7F"/>
    <w:rsid w:val="00BB0BAA"/>
    <w:rsid w:val="00BB1EA2"/>
    <w:rsid w:val="00BB480B"/>
    <w:rsid w:val="00BB4E62"/>
    <w:rsid w:val="00BB55EA"/>
    <w:rsid w:val="00BC2C4C"/>
    <w:rsid w:val="00BC608E"/>
    <w:rsid w:val="00BC69DC"/>
    <w:rsid w:val="00BC7045"/>
    <w:rsid w:val="00BD20AE"/>
    <w:rsid w:val="00BD7AE1"/>
    <w:rsid w:val="00BE15E4"/>
    <w:rsid w:val="00BE6127"/>
    <w:rsid w:val="00BF1258"/>
    <w:rsid w:val="00BF13E6"/>
    <w:rsid w:val="00BF15B9"/>
    <w:rsid w:val="00BF7BD9"/>
    <w:rsid w:val="00BF7D60"/>
    <w:rsid w:val="00C017FE"/>
    <w:rsid w:val="00C034A5"/>
    <w:rsid w:val="00C0447C"/>
    <w:rsid w:val="00C04CAF"/>
    <w:rsid w:val="00C050AF"/>
    <w:rsid w:val="00C05861"/>
    <w:rsid w:val="00C05EF2"/>
    <w:rsid w:val="00C12263"/>
    <w:rsid w:val="00C12CF8"/>
    <w:rsid w:val="00C136CD"/>
    <w:rsid w:val="00C15EB7"/>
    <w:rsid w:val="00C212B4"/>
    <w:rsid w:val="00C21746"/>
    <w:rsid w:val="00C220E6"/>
    <w:rsid w:val="00C23427"/>
    <w:rsid w:val="00C23F73"/>
    <w:rsid w:val="00C2488A"/>
    <w:rsid w:val="00C25016"/>
    <w:rsid w:val="00C2517F"/>
    <w:rsid w:val="00C26333"/>
    <w:rsid w:val="00C264E6"/>
    <w:rsid w:val="00C26E37"/>
    <w:rsid w:val="00C271E6"/>
    <w:rsid w:val="00C32C97"/>
    <w:rsid w:val="00C353F8"/>
    <w:rsid w:val="00C35A54"/>
    <w:rsid w:val="00C416DB"/>
    <w:rsid w:val="00C41911"/>
    <w:rsid w:val="00C423B7"/>
    <w:rsid w:val="00C42887"/>
    <w:rsid w:val="00C42ACD"/>
    <w:rsid w:val="00C446A5"/>
    <w:rsid w:val="00C4480A"/>
    <w:rsid w:val="00C45150"/>
    <w:rsid w:val="00C46737"/>
    <w:rsid w:val="00C52004"/>
    <w:rsid w:val="00C6333E"/>
    <w:rsid w:val="00C633A8"/>
    <w:rsid w:val="00C64DE5"/>
    <w:rsid w:val="00C65AAE"/>
    <w:rsid w:val="00C66A4D"/>
    <w:rsid w:val="00C7141D"/>
    <w:rsid w:val="00C72945"/>
    <w:rsid w:val="00C73387"/>
    <w:rsid w:val="00C74085"/>
    <w:rsid w:val="00C760BC"/>
    <w:rsid w:val="00C77C68"/>
    <w:rsid w:val="00C85115"/>
    <w:rsid w:val="00C86896"/>
    <w:rsid w:val="00C86AE5"/>
    <w:rsid w:val="00C91851"/>
    <w:rsid w:val="00C933DE"/>
    <w:rsid w:val="00C93D98"/>
    <w:rsid w:val="00CA082C"/>
    <w:rsid w:val="00CA0BCB"/>
    <w:rsid w:val="00CA373F"/>
    <w:rsid w:val="00CA5BD2"/>
    <w:rsid w:val="00CB2A80"/>
    <w:rsid w:val="00CB5A26"/>
    <w:rsid w:val="00CB6AC4"/>
    <w:rsid w:val="00CC2804"/>
    <w:rsid w:val="00CC4425"/>
    <w:rsid w:val="00CC7148"/>
    <w:rsid w:val="00CC759A"/>
    <w:rsid w:val="00CD1C12"/>
    <w:rsid w:val="00CD1F7F"/>
    <w:rsid w:val="00CD2012"/>
    <w:rsid w:val="00CE0AC5"/>
    <w:rsid w:val="00CE1DD6"/>
    <w:rsid w:val="00CE35E1"/>
    <w:rsid w:val="00CE41EA"/>
    <w:rsid w:val="00CE5541"/>
    <w:rsid w:val="00CF4607"/>
    <w:rsid w:val="00CF6767"/>
    <w:rsid w:val="00CF747C"/>
    <w:rsid w:val="00D00576"/>
    <w:rsid w:val="00D0207F"/>
    <w:rsid w:val="00D04299"/>
    <w:rsid w:val="00D049DD"/>
    <w:rsid w:val="00D0506F"/>
    <w:rsid w:val="00D05A6D"/>
    <w:rsid w:val="00D05A7A"/>
    <w:rsid w:val="00D07B78"/>
    <w:rsid w:val="00D12B80"/>
    <w:rsid w:val="00D13BD0"/>
    <w:rsid w:val="00D13D6F"/>
    <w:rsid w:val="00D165F4"/>
    <w:rsid w:val="00D16C33"/>
    <w:rsid w:val="00D20CC5"/>
    <w:rsid w:val="00D217AC"/>
    <w:rsid w:val="00D2755B"/>
    <w:rsid w:val="00D31BE1"/>
    <w:rsid w:val="00D37973"/>
    <w:rsid w:val="00D41F46"/>
    <w:rsid w:val="00D42754"/>
    <w:rsid w:val="00D455A4"/>
    <w:rsid w:val="00D5265D"/>
    <w:rsid w:val="00D615A0"/>
    <w:rsid w:val="00D62E09"/>
    <w:rsid w:val="00D64101"/>
    <w:rsid w:val="00D64FFD"/>
    <w:rsid w:val="00D67CE9"/>
    <w:rsid w:val="00D70AAA"/>
    <w:rsid w:val="00D71684"/>
    <w:rsid w:val="00D740DC"/>
    <w:rsid w:val="00D75C37"/>
    <w:rsid w:val="00D767E6"/>
    <w:rsid w:val="00D76D7C"/>
    <w:rsid w:val="00D77A0C"/>
    <w:rsid w:val="00D8087E"/>
    <w:rsid w:val="00D8131B"/>
    <w:rsid w:val="00D81D94"/>
    <w:rsid w:val="00D8420C"/>
    <w:rsid w:val="00D84A3C"/>
    <w:rsid w:val="00D84DE0"/>
    <w:rsid w:val="00D93334"/>
    <w:rsid w:val="00D93DEA"/>
    <w:rsid w:val="00D96FBA"/>
    <w:rsid w:val="00D97622"/>
    <w:rsid w:val="00DA0EDC"/>
    <w:rsid w:val="00DA1FCE"/>
    <w:rsid w:val="00DA239C"/>
    <w:rsid w:val="00DA49E7"/>
    <w:rsid w:val="00DB3228"/>
    <w:rsid w:val="00DB3721"/>
    <w:rsid w:val="00DB3D04"/>
    <w:rsid w:val="00DB60A0"/>
    <w:rsid w:val="00DC1354"/>
    <w:rsid w:val="00DC59A4"/>
    <w:rsid w:val="00DC64F8"/>
    <w:rsid w:val="00DC72F1"/>
    <w:rsid w:val="00DD00BE"/>
    <w:rsid w:val="00DD02D4"/>
    <w:rsid w:val="00DD031B"/>
    <w:rsid w:val="00DD0953"/>
    <w:rsid w:val="00DD1CB9"/>
    <w:rsid w:val="00DD1F77"/>
    <w:rsid w:val="00DD2637"/>
    <w:rsid w:val="00DD2F35"/>
    <w:rsid w:val="00DD5FA1"/>
    <w:rsid w:val="00DD696D"/>
    <w:rsid w:val="00DF3993"/>
    <w:rsid w:val="00DF5B47"/>
    <w:rsid w:val="00DF6E16"/>
    <w:rsid w:val="00E00218"/>
    <w:rsid w:val="00E018E1"/>
    <w:rsid w:val="00E0333C"/>
    <w:rsid w:val="00E0484E"/>
    <w:rsid w:val="00E07AC4"/>
    <w:rsid w:val="00E07BB1"/>
    <w:rsid w:val="00E10305"/>
    <w:rsid w:val="00E1062C"/>
    <w:rsid w:val="00E1136D"/>
    <w:rsid w:val="00E116BA"/>
    <w:rsid w:val="00E11D29"/>
    <w:rsid w:val="00E140A6"/>
    <w:rsid w:val="00E14FDB"/>
    <w:rsid w:val="00E15447"/>
    <w:rsid w:val="00E154DB"/>
    <w:rsid w:val="00E15B7B"/>
    <w:rsid w:val="00E15DBA"/>
    <w:rsid w:val="00E20773"/>
    <w:rsid w:val="00E2107F"/>
    <w:rsid w:val="00E23059"/>
    <w:rsid w:val="00E231E0"/>
    <w:rsid w:val="00E27A5B"/>
    <w:rsid w:val="00E30352"/>
    <w:rsid w:val="00E328AA"/>
    <w:rsid w:val="00E33146"/>
    <w:rsid w:val="00E34786"/>
    <w:rsid w:val="00E37F50"/>
    <w:rsid w:val="00E40942"/>
    <w:rsid w:val="00E44F5B"/>
    <w:rsid w:val="00E50E6F"/>
    <w:rsid w:val="00E539B3"/>
    <w:rsid w:val="00E55EC8"/>
    <w:rsid w:val="00E56469"/>
    <w:rsid w:val="00E56D02"/>
    <w:rsid w:val="00E56F54"/>
    <w:rsid w:val="00E57209"/>
    <w:rsid w:val="00E5727D"/>
    <w:rsid w:val="00E57FAB"/>
    <w:rsid w:val="00E66147"/>
    <w:rsid w:val="00E70847"/>
    <w:rsid w:val="00E713A7"/>
    <w:rsid w:val="00E72404"/>
    <w:rsid w:val="00E72F3D"/>
    <w:rsid w:val="00E74A15"/>
    <w:rsid w:val="00E7567F"/>
    <w:rsid w:val="00E76E1D"/>
    <w:rsid w:val="00E81F3E"/>
    <w:rsid w:val="00E83EE7"/>
    <w:rsid w:val="00E85807"/>
    <w:rsid w:val="00E85B04"/>
    <w:rsid w:val="00E86211"/>
    <w:rsid w:val="00E86ACB"/>
    <w:rsid w:val="00E900E0"/>
    <w:rsid w:val="00E9122B"/>
    <w:rsid w:val="00E920A6"/>
    <w:rsid w:val="00E92E8E"/>
    <w:rsid w:val="00E93CFE"/>
    <w:rsid w:val="00E953B9"/>
    <w:rsid w:val="00EA0EBB"/>
    <w:rsid w:val="00EA1619"/>
    <w:rsid w:val="00EA49CE"/>
    <w:rsid w:val="00EA4CBA"/>
    <w:rsid w:val="00EA6CD3"/>
    <w:rsid w:val="00EA717A"/>
    <w:rsid w:val="00EA7EDF"/>
    <w:rsid w:val="00EB184B"/>
    <w:rsid w:val="00EC03E6"/>
    <w:rsid w:val="00EC218F"/>
    <w:rsid w:val="00ED053C"/>
    <w:rsid w:val="00ED0911"/>
    <w:rsid w:val="00ED0A46"/>
    <w:rsid w:val="00ED18C9"/>
    <w:rsid w:val="00ED2979"/>
    <w:rsid w:val="00ED377A"/>
    <w:rsid w:val="00ED4255"/>
    <w:rsid w:val="00ED55C0"/>
    <w:rsid w:val="00ED5BF7"/>
    <w:rsid w:val="00ED5CF7"/>
    <w:rsid w:val="00ED603E"/>
    <w:rsid w:val="00EE126A"/>
    <w:rsid w:val="00EE44FE"/>
    <w:rsid w:val="00EE4A54"/>
    <w:rsid w:val="00EE4C51"/>
    <w:rsid w:val="00EE61BD"/>
    <w:rsid w:val="00EE7BA0"/>
    <w:rsid w:val="00EF156A"/>
    <w:rsid w:val="00EF2696"/>
    <w:rsid w:val="00EF55B6"/>
    <w:rsid w:val="00F00E6D"/>
    <w:rsid w:val="00F00E88"/>
    <w:rsid w:val="00F019FA"/>
    <w:rsid w:val="00F02EB7"/>
    <w:rsid w:val="00F03DB4"/>
    <w:rsid w:val="00F0662E"/>
    <w:rsid w:val="00F066C5"/>
    <w:rsid w:val="00F06F21"/>
    <w:rsid w:val="00F1076C"/>
    <w:rsid w:val="00F12130"/>
    <w:rsid w:val="00F15773"/>
    <w:rsid w:val="00F162CA"/>
    <w:rsid w:val="00F21EBE"/>
    <w:rsid w:val="00F23CD4"/>
    <w:rsid w:val="00F30608"/>
    <w:rsid w:val="00F30A0A"/>
    <w:rsid w:val="00F31ECE"/>
    <w:rsid w:val="00F32822"/>
    <w:rsid w:val="00F338A1"/>
    <w:rsid w:val="00F352DD"/>
    <w:rsid w:val="00F40762"/>
    <w:rsid w:val="00F40F20"/>
    <w:rsid w:val="00F418C2"/>
    <w:rsid w:val="00F42208"/>
    <w:rsid w:val="00F449A8"/>
    <w:rsid w:val="00F44B3E"/>
    <w:rsid w:val="00F51164"/>
    <w:rsid w:val="00F53217"/>
    <w:rsid w:val="00F542FA"/>
    <w:rsid w:val="00F5752E"/>
    <w:rsid w:val="00F64D33"/>
    <w:rsid w:val="00F652EB"/>
    <w:rsid w:val="00F70443"/>
    <w:rsid w:val="00F7097D"/>
    <w:rsid w:val="00F716EF"/>
    <w:rsid w:val="00F74834"/>
    <w:rsid w:val="00F76B13"/>
    <w:rsid w:val="00F77D50"/>
    <w:rsid w:val="00F81A0A"/>
    <w:rsid w:val="00F838F0"/>
    <w:rsid w:val="00F84060"/>
    <w:rsid w:val="00F858D1"/>
    <w:rsid w:val="00F85A24"/>
    <w:rsid w:val="00F9016C"/>
    <w:rsid w:val="00F913D9"/>
    <w:rsid w:val="00F929ED"/>
    <w:rsid w:val="00F9305D"/>
    <w:rsid w:val="00F94D89"/>
    <w:rsid w:val="00F9522F"/>
    <w:rsid w:val="00FA2346"/>
    <w:rsid w:val="00FA3AB1"/>
    <w:rsid w:val="00FA4EC5"/>
    <w:rsid w:val="00FA5EE1"/>
    <w:rsid w:val="00FA6AA7"/>
    <w:rsid w:val="00FB1472"/>
    <w:rsid w:val="00FB6500"/>
    <w:rsid w:val="00FB798E"/>
    <w:rsid w:val="00FC3C7A"/>
    <w:rsid w:val="00FC6839"/>
    <w:rsid w:val="00FD01FC"/>
    <w:rsid w:val="00FD061B"/>
    <w:rsid w:val="00FD5F34"/>
    <w:rsid w:val="00FD5FEF"/>
    <w:rsid w:val="00FE2D33"/>
    <w:rsid w:val="00FE2D3C"/>
    <w:rsid w:val="00FE6FC3"/>
    <w:rsid w:val="00FE76B5"/>
    <w:rsid w:val="00FE76D2"/>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styleId="UnresolvedMention">
    <w:name w:val="Unresolved Mention"/>
    <w:basedOn w:val="DefaultParagraphFont"/>
    <w:uiPriority w:val="99"/>
    <w:semiHidden/>
    <w:unhideWhenUsed/>
    <w:rsid w:val="001E7F29"/>
    <w:rPr>
      <w:color w:val="605E5C"/>
      <w:shd w:val="clear" w:color="auto" w:fill="E1DFDD"/>
    </w:rPr>
  </w:style>
  <w:style w:type="character" w:customStyle="1" w:styleId="st1">
    <w:name w:val="st1"/>
    <w:uiPriority w:val="99"/>
    <w:rsid w:val="00D84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99738">
      <w:bodyDiv w:val="1"/>
      <w:marLeft w:val="0"/>
      <w:marRight w:val="0"/>
      <w:marTop w:val="0"/>
      <w:marBottom w:val="0"/>
      <w:divBdr>
        <w:top w:val="none" w:sz="0" w:space="0" w:color="auto"/>
        <w:left w:val="none" w:sz="0" w:space="0" w:color="auto"/>
        <w:bottom w:val="none" w:sz="0" w:space="0" w:color="auto"/>
        <w:right w:val="none" w:sz="0" w:space="0" w:color="auto"/>
      </w:divBdr>
    </w:div>
    <w:div w:id="132992465">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65514736">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102467511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Lac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F60C-986A-4A31-9309-C30DD2EA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6361</Words>
  <Characters>3627</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2016.gada 12.aprīļa noteikumos Nr.226 “Noteikumi par akcelerācijas fondiem saimnieciskās darbības veicēju izveides, attīstības un konkurētspējas veicināšanai”” sākotnējās ietekmes novērtēju</vt:lpstr>
      <vt:lpstr>Ministru kabineta noteikumu projekta „Grozījumi Ministru kabineta 2016.gada 12.aprīļa noteikumos Nr.226 “Noteikumi par akcelerācijas fondiem saimnieciskās darbības veicēju izveides, attīstības un konkurētspējas veicināšanai”” sākotnējās ietekmes novērtēju</vt:lpstr>
    </vt:vector>
  </TitlesOfParts>
  <Company>Altum</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12.aprīļa noteikumos Nr.226 “Noteikumi par akcelerācijas fondiem saimnieciskās darbības veicēju izveides, attīstības un konkurētspējas veicināšanai”” sākotnējās ietekmes novērtējuma ziņojums (anotācija)</dc:title>
  <dc:subject>Anotācija</dc:subject>
  <dc:creator>Liene.Bergholde@em.gov.lv</dc:creator>
  <cp:keywords>Anotācija</cp:keywords>
  <dc:description>67013203, Liene.Bergholde@em.gov.lv</dc:description>
  <cp:lastModifiedBy>Ilze Lore</cp:lastModifiedBy>
  <cp:revision>8</cp:revision>
  <cp:lastPrinted>2017-07-21T07:32:00Z</cp:lastPrinted>
  <dcterms:created xsi:type="dcterms:W3CDTF">2021-06-10T14:21:00Z</dcterms:created>
  <dcterms:modified xsi:type="dcterms:W3CDTF">2021-06-17T04:40:00Z</dcterms:modified>
</cp:coreProperties>
</file>