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8A311" w14:textId="77777777" w:rsidR="005A1C31" w:rsidRPr="006F277D" w:rsidRDefault="005A1C31" w:rsidP="005A1C31">
      <w:pPr>
        <w:pStyle w:val="naisnod"/>
        <w:spacing w:before="0" w:after="0"/>
        <w:ind w:firstLine="720"/>
        <w:rPr>
          <w:szCs w:val="28"/>
        </w:rPr>
      </w:pPr>
      <w:bookmarkStart w:id="0" w:name="OLE_LINK1"/>
      <w:bookmarkStart w:id="1" w:name="OLE_LINK2"/>
      <w:r w:rsidRPr="006F277D">
        <w:rPr>
          <w:szCs w:val="28"/>
        </w:rPr>
        <w:t>Izziņa par atzinumos sniegtajiem iebildumiem</w:t>
      </w:r>
      <w:bookmarkEnd w:id="0"/>
      <w:bookmarkEnd w:id="1"/>
      <w:r w:rsidRPr="006F277D">
        <w:rPr>
          <w:szCs w:val="28"/>
        </w:rPr>
        <w:t xml:space="preserve"> un priekšlikumiem</w:t>
      </w:r>
    </w:p>
    <w:p w14:paraId="6BF489AE" w14:textId="77777777" w:rsidR="005A1C31" w:rsidRPr="006F277D" w:rsidRDefault="005A1C31" w:rsidP="005A1C31">
      <w:pPr>
        <w:pStyle w:val="naisnod"/>
        <w:spacing w:before="0" w:after="0"/>
        <w:ind w:firstLine="720"/>
        <w:rPr>
          <w:szCs w:val="28"/>
        </w:rPr>
      </w:pPr>
    </w:p>
    <w:p w14:paraId="1F52D57E" w14:textId="77777777" w:rsidR="005A1C31" w:rsidRPr="006F277D" w:rsidRDefault="005A1C31" w:rsidP="005A1C31">
      <w:pPr>
        <w:pStyle w:val="naisnod"/>
        <w:spacing w:before="0" w:after="0"/>
        <w:ind w:firstLine="720"/>
        <w:rPr>
          <w:sz w:val="28"/>
          <w:szCs w:val="28"/>
        </w:rPr>
      </w:pPr>
      <w:bookmarkStart w:id="2" w:name="OLE_LINK3"/>
      <w:bookmarkStart w:id="3" w:name="OLE_LINK4"/>
      <w:r w:rsidRPr="006F277D">
        <w:rPr>
          <w:szCs w:val="28"/>
        </w:rPr>
        <w:t xml:space="preserve">Ministru kabineta noteikumu projektam </w:t>
      </w:r>
      <w:bookmarkEnd w:id="2"/>
      <w:bookmarkEnd w:id="3"/>
      <w:r w:rsidRPr="006F277D">
        <w:t>“Grozījumi Ministru kabineta 2016. gada 14. jūnija noteikumos Nr. 365 “Darbības programmas “Izaugsme un nodarbinātība” 1.2.2. specifiskā atbalsta mērķa “Veicināt inovāciju ieviešanu komersantos” 1.2.2.3. pasākuma „Atbalsts IKT un netehnoloģiskām apmācībām, kā arī apmācībām, lai sekmētu investoru piesaisti” īstenošanas noteikumi””</w:t>
      </w:r>
    </w:p>
    <w:p w14:paraId="47D51139" w14:textId="77777777" w:rsidR="005A1C31" w:rsidRPr="006F277D" w:rsidRDefault="005A1C31" w:rsidP="005A1C31">
      <w:pPr>
        <w:pStyle w:val="naisf"/>
        <w:spacing w:before="0" w:after="0"/>
        <w:ind w:firstLine="720"/>
        <w:rPr>
          <w:sz w:val="28"/>
          <w:szCs w:val="28"/>
        </w:rPr>
      </w:pPr>
    </w:p>
    <w:p w14:paraId="5402985D" w14:textId="77777777" w:rsidR="005A1C31" w:rsidRPr="006F277D" w:rsidRDefault="005A1C31" w:rsidP="005A1C31">
      <w:pPr>
        <w:pStyle w:val="naisf"/>
        <w:spacing w:before="0" w:after="0"/>
        <w:ind w:firstLine="720"/>
        <w:rPr>
          <w:sz w:val="26"/>
          <w:szCs w:val="26"/>
        </w:rPr>
      </w:pPr>
    </w:p>
    <w:p w14:paraId="029C0DC4" w14:textId="77777777" w:rsidR="005A1C31" w:rsidRPr="006F277D" w:rsidRDefault="005A1C31" w:rsidP="005A1C31">
      <w:pPr>
        <w:pStyle w:val="naisf"/>
        <w:spacing w:before="0" w:after="0"/>
        <w:ind w:left="1440" w:firstLine="0"/>
        <w:jc w:val="center"/>
        <w:rPr>
          <w:b/>
          <w:sz w:val="26"/>
          <w:szCs w:val="26"/>
        </w:rPr>
      </w:pPr>
      <w:r w:rsidRPr="006F277D">
        <w:rPr>
          <w:b/>
          <w:sz w:val="26"/>
          <w:szCs w:val="26"/>
        </w:rPr>
        <w:t>I. Jautājumi, par kuriem saskaņošanā vienošanās nav panākta</w:t>
      </w:r>
    </w:p>
    <w:p w14:paraId="37C8D3D9" w14:textId="77777777" w:rsidR="005A1C31" w:rsidRPr="006F277D" w:rsidRDefault="005A1C31" w:rsidP="005A1C31">
      <w:pPr>
        <w:pStyle w:val="naisf"/>
        <w:spacing w:before="0" w:after="0"/>
        <w:ind w:firstLine="720"/>
        <w:jc w:val="center"/>
        <w:rPr>
          <w:sz w:val="26"/>
          <w:szCs w:val="26"/>
        </w:rPr>
      </w:pPr>
    </w:p>
    <w:tbl>
      <w:tblPr>
        <w:tblW w:w="144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3119"/>
        <w:gridCol w:w="4110"/>
        <w:gridCol w:w="2977"/>
        <w:gridCol w:w="3402"/>
      </w:tblGrid>
      <w:tr w:rsidR="005A1C31" w:rsidRPr="006F277D" w14:paraId="180A635C" w14:textId="77777777" w:rsidTr="005A1C31">
        <w:tc>
          <w:tcPr>
            <w:tcW w:w="817" w:type="dxa"/>
            <w:tcBorders>
              <w:top w:val="single" w:sz="6" w:space="0" w:color="000000"/>
              <w:left w:val="single" w:sz="6" w:space="0" w:color="000000"/>
              <w:bottom w:val="single" w:sz="6" w:space="0" w:color="000000"/>
              <w:right w:val="single" w:sz="6" w:space="0" w:color="000000"/>
            </w:tcBorders>
            <w:vAlign w:val="center"/>
            <w:hideMark/>
          </w:tcPr>
          <w:p w14:paraId="2E73F5CA" w14:textId="77777777" w:rsidR="005A1C31" w:rsidRPr="006F277D" w:rsidRDefault="005A1C31" w:rsidP="005A1C31">
            <w:pPr>
              <w:pStyle w:val="naisc"/>
              <w:spacing w:before="0" w:after="0"/>
              <w:ind w:left="-57" w:right="-57"/>
              <w:rPr>
                <w:b/>
                <w:bCs/>
                <w:szCs w:val="26"/>
                <w:lang w:eastAsia="en-US"/>
              </w:rPr>
            </w:pPr>
            <w:r w:rsidRPr="006F277D">
              <w:rPr>
                <w:bCs/>
                <w:szCs w:val="26"/>
              </w:rPr>
              <w:t>N</w:t>
            </w:r>
            <w:r w:rsidRPr="006F277D">
              <w:rPr>
                <w:b/>
                <w:bCs/>
                <w:szCs w:val="26"/>
              </w:rPr>
              <w:t>r. p.k.</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31A91B94" w14:textId="77777777" w:rsidR="005A1C31" w:rsidRPr="006F277D" w:rsidRDefault="005A1C31" w:rsidP="005A1C31">
            <w:pPr>
              <w:pStyle w:val="naisc"/>
              <w:spacing w:before="0" w:after="0"/>
              <w:ind w:left="-57" w:right="-57"/>
              <w:rPr>
                <w:b/>
                <w:bCs/>
                <w:szCs w:val="26"/>
                <w:lang w:eastAsia="en-US"/>
              </w:rPr>
            </w:pPr>
            <w:r w:rsidRPr="006F277D">
              <w:rPr>
                <w:b/>
                <w:bCs/>
                <w:szCs w:val="26"/>
              </w:rPr>
              <w:t>Saskaņošanai nosūtītā projekta redakcija (konkrēta punkta (panta) redakcija)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3F93C466" w14:textId="77777777" w:rsidR="005A1C31" w:rsidRPr="006F277D" w:rsidRDefault="005A1C31" w:rsidP="005A1C31">
            <w:pPr>
              <w:pStyle w:val="naisc"/>
              <w:spacing w:before="0" w:after="0"/>
              <w:ind w:left="-57" w:right="-57"/>
              <w:rPr>
                <w:b/>
                <w:bCs/>
                <w:szCs w:val="26"/>
                <w:lang w:eastAsia="en-US"/>
              </w:rPr>
            </w:pPr>
            <w:r w:rsidRPr="006F277D">
              <w:rPr>
                <w:b/>
                <w:bCs/>
                <w:szCs w:val="26"/>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22E24969" w14:textId="77777777" w:rsidR="005A1C31" w:rsidRPr="006F277D" w:rsidRDefault="005A1C31" w:rsidP="005A1C31">
            <w:pPr>
              <w:pStyle w:val="naisc"/>
              <w:spacing w:before="0" w:after="0"/>
              <w:ind w:left="-57" w:right="-57"/>
              <w:rPr>
                <w:b/>
                <w:bCs/>
                <w:szCs w:val="26"/>
                <w:lang w:eastAsia="en-US"/>
              </w:rPr>
            </w:pPr>
            <w:r w:rsidRPr="006F277D">
              <w:rPr>
                <w:b/>
                <w:bCs/>
                <w:szCs w:val="26"/>
              </w:rPr>
              <w:t xml:space="preserve"> Atbildīgās ministrijas norāde par to, ka iebildums ir ņemts vērā, vai informācija par saskaņošanā panākto alternatīvo risinājumu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E26F824" w14:textId="77777777" w:rsidR="005A1C31" w:rsidRPr="006F277D" w:rsidRDefault="005A1C31" w:rsidP="005A1C31">
            <w:pPr>
              <w:pStyle w:val="naisc"/>
              <w:spacing w:before="0" w:after="0"/>
              <w:ind w:left="-57" w:right="-57"/>
              <w:rPr>
                <w:b/>
                <w:bCs/>
                <w:szCs w:val="26"/>
                <w:lang w:eastAsia="en-US"/>
              </w:rPr>
            </w:pPr>
            <w:r w:rsidRPr="006F277D">
              <w:rPr>
                <w:b/>
                <w:bCs/>
                <w:szCs w:val="26"/>
              </w:rPr>
              <w:t xml:space="preserve"> Projekta attiecīgā punkta (panta) galīgā redakcija </w:t>
            </w:r>
          </w:p>
        </w:tc>
      </w:tr>
      <w:tr w:rsidR="005A1C31" w:rsidRPr="006F277D" w14:paraId="27000ED6" w14:textId="77777777" w:rsidTr="005A1C31">
        <w:trPr>
          <w:trHeight w:val="371"/>
        </w:trPr>
        <w:tc>
          <w:tcPr>
            <w:tcW w:w="817" w:type="dxa"/>
            <w:tcBorders>
              <w:top w:val="single" w:sz="6" w:space="0" w:color="000000"/>
              <w:left w:val="single" w:sz="6" w:space="0" w:color="000000"/>
              <w:bottom w:val="single" w:sz="6" w:space="0" w:color="000000"/>
              <w:right w:val="single" w:sz="6" w:space="0" w:color="000000"/>
            </w:tcBorders>
            <w:hideMark/>
          </w:tcPr>
          <w:p w14:paraId="61927193" w14:textId="77777777" w:rsidR="005A1C31" w:rsidRPr="006F277D" w:rsidRDefault="005A1C31" w:rsidP="005A1C31">
            <w:pPr>
              <w:pStyle w:val="EE-paragr"/>
              <w:numPr>
                <w:ilvl w:val="0"/>
                <w:numId w:val="0"/>
              </w:numPr>
              <w:tabs>
                <w:tab w:val="left" w:pos="720"/>
              </w:tabs>
              <w:jc w:val="center"/>
              <w:rPr>
                <w:szCs w:val="26"/>
              </w:rPr>
            </w:pPr>
            <w:r w:rsidRPr="006F277D">
              <w:rPr>
                <w:szCs w:val="26"/>
              </w:rPr>
              <w:t>1</w:t>
            </w:r>
          </w:p>
        </w:tc>
        <w:tc>
          <w:tcPr>
            <w:tcW w:w="3119" w:type="dxa"/>
            <w:tcBorders>
              <w:top w:val="single" w:sz="6" w:space="0" w:color="000000"/>
              <w:left w:val="single" w:sz="6" w:space="0" w:color="000000"/>
              <w:bottom w:val="single" w:sz="6" w:space="0" w:color="000000"/>
              <w:right w:val="single" w:sz="6" w:space="0" w:color="000000"/>
            </w:tcBorders>
            <w:hideMark/>
          </w:tcPr>
          <w:p w14:paraId="4A1BF43C" w14:textId="77777777" w:rsidR="005A1C31" w:rsidRPr="006F277D" w:rsidRDefault="005A1C31" w:rsidP="005A1C31">
            <w:pPr>
              <w:tabs>
                <w:tab w:val="left" w:pos="1200"/>
              </w:tabs>
              <w:jc w:val="center"/>
              <w:rPr>
                <w:szCs w:val="26"/>
                <w:lang w:eastAsia="en-US"/>
              </w:rPr>
            </w:pPr>
            <w:r w:rsidRPr="006F277D">
              <w:rPr>
                <w:szCs w:val="26"/>
              </w:rPr>
              <w:t>2</w:t>
            </w:r>
          </w:p>
        </w:tc>
        <w:tc>
          <w:tcPr>
            <w:tcW w:w="4110" w:type="dxa"/>
            <w:tcBorders>
              <w:top w:val="single" w:sz="6" w:space="0" w:color="000000"/>
              <w:left w:val="single" w:sz="6" w:space="0" w:color="000000"/>
              <w:bottom w:val="single" w:sz="6" w:space="0" w:color="000000"/>
              <w:right w:val="single" w:sz="6" w:space="0" w:color="000000"/>
            </w:tcBorders>
            <w:hideMark/>
          </w:tcPr>
          <w:p w14:paraId="2D7587DA" w14:textId="77777777" w:rsidR="005A1C31" w:rsidRPr="006F277D" w:rsidRDefault="005A1C31" w:rsidP="005A1C31">
            <w:pPr>
              <w:pStyle w:val="BlockText"/>
              <w:spacing w:after="0"/>
              <w:ind w:left="0" w:right="0"/>
              <w:jc w:val="center"/>
              <w:rPr>
                <w:szCs w:val="26"/>
              </w:rPr>
            </w:pPr>
            <w:r w:rsidRPr="006F277D">
              <w:rPr>
                <w:szCs w:val="26"/>
              </w:rPr>
              <w:t>3</w:t>
            </w:r>
          </w:p>
        </w:tc>
        <w:tc>
          <w:tcPr>
            <w:tcW w:w="2977" w:type="dxa"/>
            <w:tcBorders>
              <w:top w:val="single" w:sz="6" w:space="0" w:color="000000"/>
              <w:left w:val="single" w:sz="6" w:space="0" w:color="000000"/>
              <w:bottom w:val="single" w:sz="6" w:space="0" w:color="000000"/>
              <w:right w:val="single" w:sz="6" w:space="0" w:color="000000"/>
            </w:tcBorders>
            <w:hideMark/>
          </w:tcPr>
          <w:p w14:paraId="10E978CF" w14:textId="77777777" w:rsidR="005A1C31" w:rsidRPr="006F277D" w:rsidRDefault="005A1C31" w:rsidP="005A1C31">
            <w:pPr>
              <w:pStyle w:val="naisc"/>
              <w:spacing w:before="0" w:after="0"/>
              <w:rPr>
                <w:szCs w:val="26"/>
                <w:lang w:eastAsia="en-US"/>
              </w:rPr>
            </w:pPr>
            <w:r w:rsidRPr="006F277D">
              <w:rPr>
                <w:szCs w:val="26"/>
              </w:rPr>
              <w:t>4</w:t>
            </w:r>
          </w:p>
        </w:tc>
        <w:tc>
          <w:tcPr>
            <w:tcW w:w="3402" w:type="dxa"/>
            <w:tcBorders>
              <w:top w:val="single" w:sz="6" w:space="0" w:color="000000"/>
              <w:left w:val="single" w:sz="6" w:space="0" w:color="000000"/>
              <w:bottom w:val="single" w:sz="6" w:space="0" w:color="000000"/>
              <w:right w:val="single" w:sz="6" w:space="0" w:color="000000"/>
            </w:tcBorders>
            <w:hideMark/>
          </w:tcPr>
          <w:p w14:paraId="67CC6308" w14:textId="77777777" w:rsidR="005A1C31" w:rsidRPr="006F277D" w:rsidRDefault="005A1C31" w:rsidP="005A1C31">
            <w:pPr>
              <w:tabs>
                <w:tab w:val="left" w:pos="1200"/>
              </w:tabs>
              <w:jc w:val="center"/>
              <w:rPr>
                <w:szCs w:val="26"/>
                <w:lang w:eastAsia="en-US"/>
              </w:rPr>
            </w:pPr>
            <w:r w:rsidRPr="006F277D">
              <w:rPr>
                <w:szCs w:val="26"/>
              </w:rPr>
              <w:t>5</w:t>
            </w:r>
          </w:p>
        </w:tc>
      </w:tr>
    </w:tbl>
    <w:p w14:paraId="4845F4EB" w14:textId="77777777" w:rsidR="005A1C31" w:rsidRPr="006F277D" w:rsidRDefault="005A1C31" w:rsidP="005A1C31">
      <w:pPr>
        <w:pStyle w:val="naisf"/>
        <w:spacing w:before="0" w:after="0"/>
        <w:ind w:firstLine="0"/>
        <w:rPr>
          <w:b/>
          <w:sz w:val="26"/>
          <w:szCs w:val="26"/>
        </w:rPr>
      </w:pPr>
    </w:p>
    <w:p w14:paraId="3ED1B8A8" w14:textId="77777777" w:rsidR="005A1C31" w:rsidRPr="006F277D" w:rsidRDefault="005A1C31" w:rsidP="005A1C31">
      <w:pPr>
        <w:pStyle w:val="naisf"/>
        <w:spacing w:before="0" w:after="0"/>
        <w:ind w:firstLine="0"/>
        <w:rPr>
          <w:b/>
          <w:szCs w:val="26"/>
        </w:rPr>
      </w:pPr>
      <w:r w:rsidRPr="006F277D">
        <w:rPr>
          <w:b/>
          <w:szCs w:val="26"/>
        </w:rPr>
        <w:t xml:space="preserve">Informācija par </w:t>
      </w:r>
      <w:proofErr w:type="spellStart"/>
      <w:r w:rsidRPr="006F277D">
        <w:rPr>
          <w:b/>
          <w:szCs w:val="26"/>
        </w:rPr>
        <w:t>starpministriju</w:t>
      </w:r>
      <w:proofErr w:type="spellEnd"/>
      <w:r w:rsidRPr="006F277D">
        <w:rPr>
          <w:b/>
          <w:szCs w:val="26"/>
        </w:rPr>
        <w:t xml:space="preserve"> (starpinstitūciju) sanāksmi vai elektronisko saskaņošanu</w:t>
      </w:r>
    </w:p>
    <w:p w14:paraId="0EA5E458" w14:textId="77777777" w:rsidR="005A1C31" w:rsidRPr="006F277D" w:rsidRDefault="005A1C31" w:rsidP="005A1C31">
      <w:pPr>
        <w:pStyle w:val="naisf"/>
        <w:spacing w:before="0" w:after="0"/>
        <w:ind w:firstLine="0"/>
        <w:rPr>
          <w:b/>
          <w:sz w:val="26"/>
          <w:szCs w:val="26"/>
        </w:rPr>
      </w:pPr>
    </w:p>
    <w:tbl>
      <w:tblPr>
        <w:tblW w:w="14000" w:type="dxa"/>
        <w:tblLook w:val="00A0" w:firstRow="1" w:lastRow="0" w:firstColumn="1" w:lastColumn="0" w:noHBand="0" w:noVBand="0"/>
      </w:tblPr>
      <w:tblGrid>
        <w:gridCol w:w="6345"/>
        <w:gridCol w:w="7655"/>
      </w:tblGrid>
      <w:tr w:rsidR="005A1C31" w:rsidRPr="006F277D" w14:paraId="69A865B1" w14:textId="77777777" w:rsidTr="005A1C31">
        <w:tc>
          <w:tcPr>
            <w:tcW w:w="6345" w:type="dxa"/>
          </w:tcPr>
          <w:p w14:paraId="0D35B93F" w14:textId="77777777" w:rsidR="005A1C31" w:rsidRPr="006F277D" w:rsidRDefault="005A1C31" w:rsidP="005A1C31">
            <w:pPr>
              <w:pStyle w:val="naisf"/>
              <w:spacing w:before="0" w:after="0"/>
              <w:ind w:firstLine="0"/>
              <w:rPr>
                <w:szCs w:val="26"/>
              </w:rPr>
            </w:pPr>
            <w:r w:rsidRPr="006F277D">
              <w:rPr>
                <w:szCs w:val="26"/>
              </w:rPr>
              <w:t>Datums</w:t>
            </w:r>
          </w:p>
        </w:tc>
        <w:tc>
          <w:tcPr>
            <w:tcW w:w="7655" w:type="dxa"/>
            <w:tcBorders>
              <w:bottom w:val="single" w:sz="4" w:space="0" w:color="auto"/>
            </w:tcBorders>
          </w:tcPr>
          <w:p w14:paraId="4E0DEB74" w14:textId="77777777" w:rsidR="005A1C31" w:rsidRDefault="00413661" w:rsidP="00D25DDF">
            <w:pPr>
              <w:pStyle w:val="NormalWeb"/>
              <w:spacing w:before="0" w:beforeAutospacing="0" w:after="0" w:afterAutospacing="0"/>
              <w:rPr>
                <w:szCs w:val="26"/>
              </w:rPr>
            </w:pPr>
            <w:r>
              <w:rPr>
                <w:szCs w:val="26"/>
              </w:rPr>
              <w:t>09</w:t>
            </w:r>
            <w:r w:rsidR="00D25DDF" w:rsidRPr="006F277D">
              <w:rPr>
                <w:szCs w:val="26"/>
              </w:rPr>
              <w:t>.</w:t>
            </w:r>
            <w:r w:rsidR="004A5A5E">
              <w:rPr>
                <w:szCs w:val="26"/>
              </w:rPr>
              <w:t>0</w:t>
            </w:r>
            <w:r>
              <w:rPr>
                <w:szCs w:val="26"/>
              </w:rPr>
              <w:t>6</w:t>
            </w:r>
            <w:r w:rsidR="00D25DDF" w:rsidRPr="006F277D">
              <w:rPr>
                <w:szCs w:val="26"/>
              </w:rPr>
              <w:t>.202</w:t>
            </w:r>
            <w:r w:rsidR="004A5A5E">
              <w:rPr>
                <w:szCs w:val="26"/>
              </w:rPr>
              <w:t>1</w:t>
            </w:r>
            <w:r w:rsidR="00D25DDF" w:rsidRPr="006F277D">
              <w:rPr>
                <w:szCs w:val="26"/>
              </w:rPr>
              <w:t>. – elektroniskā saskaņošana</w:t>
            </w:r>
          </w:p>
          <w:p w14:paraId="4C18ACC2" w14:textId="40011D43" w:rsidR="00BE5B05" w:rsidRPr="006F277D" w:rsidRDefault="000F6378" w:rsidP="00D25DDF">
            <w:pPr>
              <w:pStyle w:val="NormalWeb"/>
              <w:spacing w:before="0" w:beforeAutospacing="0" w:after="0" w:afterAutospacing="0"/>
              <w:rPr>
                <w:szCs w:val="26"/>
              </w:rPr>
            </w:pPr>
            <w:r>
              <w:rPr>
                <w:szCs w:val="26"/>
              </w:rPr>
              <w:t>30</w:t>
            </w:r>
            <w:r w:rsidR="00BE5B05">
              <w:rPr>
                <w:szCs w:val="26"/>
              </w:rPr>
              <w:t>.06.2021. – elektroniskā saskaņošana</w:t>
            </w:r>
          </w:p>
        </w:tc>
      </w:tr>
      <w:tr w:rsidR="005A1C31" w:rsidRPr="006F277D" w14:paraId="4B4A963C" w14:textId="77777777" w:rsidTr="005A1C31">
        <w:tc>
          <w:tcPr>
            <w:tcW w:w="6345" w:type="dxa"/>
          </w:tcPr>
          <w:p w14:paraId="7C52219F" w14:textId="77777777" w:rsidR="005A1C31" w:rsidRPr="006F277D" w:rsidRDefault="005A1C31" w:rsidP="005A1C31">
            <w:pPr>
              <w:pStyle w:val="naisf"/>
              <w:spacing w:before="0" w:after="0"/>
              <w:ind w:firstLine="0"/>
              <w:rPr>
                <w:szCs w:val="26"/>
              </w:rPr>
            </w:pPr>
          </w:p>
        </w:tc>
        <w:tc>
          <w:tcPr>
            <w:tcW w:w="7655" w:type="dxa"/>
            <w:tcBorders>
              <w:top w:val="single" w:sz="4" w:space="0" w:color="auto"/>
            </w:tcBorders>
          </w:tcPr>
          <w:p w14:paraId="75E0C74C" w14:textId="77777777" w:rsidR="005A1C31" w:rsidRPr="006F277D" w:rsidRDefault="005A1C31" w:rsidP="005A1C31">
            <w:pPr>
              <w:pStyle w:val="NormalWeb"/>
              <w:spacing w:before="0" w:beforeAutospacing="0" w:after="0" w:afterAutospacing="0"/>
              <w:rPr>
                <w:szCs w:val="26"/>
              </w:rPr>
            </w:pPr>
          </w:p>
        </w:tc>
      </w:tr>
      <w:tr w:rsidR="005A1C31" w:rsidRPr="006F277D" w14:paraId="3124CD0C" w14:textId="77777777" w:rsidTr="005A1C31">
        <w:tc>
          <w:tcPr>
            <w:tcW w:w="6345" w:type="dxa"/>
          </w:tcPr>
          <w:p w14:paraId="07725DBB" w14:textId="77777777" w:rsidR="005A1C31" w:rsidRPr="006F277D" w:rsidRDefault="005A1C31" w:rsidP="005A1C31">
            <w:pPr>
              <w:pStyle w:val="naiskr"/>
              <w:spacing w:before="0" w:after="0"/>
              <w:rPr>
                <w:szCs w:val="26"/>
              </w:rPr>
            </w:pPr>
            <w:r w:rsidRPr="006F277D">
              <w:rPr>
                <w:szCs w:val="26"/>
              </w:rPr>
              <w:t>Saskaņošanas dalībnieki</w:t>
            </w:r>
          </w:p>
        </w:tc>
        <w:tc>
          <w:tcPr>
            <w:tcW w:w="7655" w:type="dxa"/>
          </w:tcPr>
          <w:p w14:paraId="498291EB" w14:textId="77777777" w:rsidR="005A1C31" w:rsidRPr="006F277D" w:rsidRDefault="005A1C31" w:rsidP="005A1C31">
            <w:pPr>
              <w:pStyle w:val="NormalWeb"/>
              <w:spacing w:before="0" w:beforeAutospacing="0" w:after="0" w:afterAutospacing="0"/>
              <w:jc w:val="both"/>
              <w:rPr>
                <w:szCs w:val="26"/>
              </w:rPr>
            </w:pPr>
            <w:r w:rsidRPr="006F277D">
              <w:rPr>
                <w:szCs w:val="26"/>
              </w:rPr>
              <w:t>Tieslietu ministrija, Finanšu ministrija</w:t>
            </w:r>
          </w:p>
        </w:tc>
      </w:tr>
    </w:tbl>
    <w:p w14:paraId="6BDB15AE" w14:textId="77777777" w:rsidR="005A1C31" w:rsidRPr="006F277D" w:rsidRDefault="005A1C31" w:rsidP="005A1C31">
      <w:pPr>
        <w:rPr>
          <w:szCs w:val="26"/>
        </w:rPr>
      </w:pPr>
    </w:p>
    <w:tbl>
      <w:tblPr>
        <w:tblW w:w="13354" w:type="dxa"/>
        <w:tblLook w:val="00A0" w:firstRow="1" w:lastRow="0" w:firstColumn="1" w:lastColumn="0" w:noHBand="0" w:noVBand="0"/>
      </w:tblPr>
      <w:tblGrid>
        <w:gridCol w:w="6204"/>
        <w:gridCol w:w="236"/>
        <w:gridCol w:w="6804"/>
        <w:gridCol w:w="110"/>
      </w:tblGrid>
      <w:tr w:rsidR="005A1C31" w:rsidRPr="006F277D" w14:paraId="4421DE5D" w14:textId="77777777" w:rsidTr="005A1C31">
        <w:trPr>
          <w:gridAfter w:val="1"/>
          <w:wAfter w:w="110" w:type="dxa"/>
          <w:trHeight w:val="501"/>
        </w:trPr>
        <w:tc>
          <w:tcPr>
            <w:tcW w:w="6204" w:type="dxa"/>
          </w:tcPr>
          <w:p w14:paraId="4EDBA99F" w14:textId="77777777" w:rsidR="005A1C31" w:rsidRPr="006F277D" w:rsidRDefault="005A1C31" w:rsidP="005A1C31">
            <w:pPr>
              <w:pStyle w:val="naiskr"/>
              <w:spacing w:before="0" w:after="0"/>
              <w:rPr>
                <w:szCs w:val="26"/>
              </w:rPr>
            </w:pPr>
            <w:r w:rsidRPr="006F277D">
              <w:rPr>
                <w:szCs w:val="26"/>
              </w:rPr>
              <w:t>Saskaņošanas dalībnieki izskatīja šādu ministriju (citu institūciju) iebildumus</w:t>
            </w:r>
          </w:p>
        </w:tc>
        <w:tc>
          <w:tcPr>
            <w:tcW w:w="236" w:type="dxa"/>
          </w:tcPr>
          <w:p w14:paraId="5C072AE0" w14:textId="77777777" w:rsidR="005A1C31" w:rsidRPr="006F277D" w:rsidRDefault="005A1C31" w:rsidP="005A1C31">
            <w:pPr>
              <w:pStyle w:val="naiskr"/>
              <w:spacing w:before="0" w:after="0"/>
              <w:ind w:firstLine="720"/>
              <w:rPr>
                <w:szCs w:val="26"/>
              </w:rPr>
            </w:pPr>
          </w:p>
        </w:tc>
        <w:tc>
          <w:tcPr>
            <w:tcW w:w="6804" w:type="dxa"/>
          </w:tcPr>
          <w:p w14:paraId="1A04C5B8" w14:textId="0BCF04DB" w:rsidR="005A1C31" w:rsidRPr="006F277D" w:rsidRDefault="005A1C31" w:rsidP="005A1C31">
            <w:pPr>
              <w:pStyle w:val="naiskr"/>
              <w:spacing w:before="0" w:after="0"/>
              <w:ind w:left="-61"/>
              <w:jc w:val="both"/>
              <w:rPr>
                <w:szCs w:val="26"/>
              </w:rPr>
            </w:pPr>
            <w:r w:rsidRPr="006F277D">
              <w:rPr>
                <w:szCs w:val="26"/>
              </w:rPr>
              <w:t>Finanšu ministrija</w:t>
            </w:r>
          </w:p>
        </w:tc>
      </w:tr>
      <w:tr w:rsidR="005A1C31" w:rsidRPr="006F277D" w14:paraId="21A9F344" w14:textId="77777777" w:rsidTr="005A1C31">
        <w:tc>
          <w:tcPr>
            <w:tcW w:w="6204" w:type="dxa"/>
          </w:tcPr>
          <w:p w14:paraId="625C6A4D" w14:textId="77777777" w:rsidR="005A1C31" w:rsidRPr="006F277D" w:rsidRDefault="005A1C31" w:rsidP="005A1C31">
            <w:pPr>
              <w:pStyle w:val="naiskr"/>
              <w:spacing w:before="0" w:after="0"/>
              <w:rPr>
                <w:szCs w:val="26"/>
              </w:rPr>
            </w:pPr>
            <w:r w:rsidRPr="006F277D">
              <w:rPr>
                <w:szCs w:val="26"/>
              </w:rPr>
              <w:t>Ministrijas (citas institūcijas), kuras nav ieradušās uz sanāksmi vai kuras nav atbildējušas uz uzaicinājumu piedalīties elektroniskajā saskaņošanā</w:t>
            </w:r>
          </w:p>
        </w:tc>
        <w:tc>
          <w:tcPr>
            <w:tcW w:w="7150" w:type="dxa"/>
            <w:gridSpan w:val="3"/>
          </w:tcPr>
          <w:p w14:paraId="0E6707FB" w14:textId="77777777" w:rsidR="005A1C31" w:rsidRPr="006F277D" w:rsidRDefault="005A1C31" w:rsidP="005A1C31">
            <w:pPr>
              <w:pStyle w:val="naiskr"/>
              <w:spacing w:before="0" w:after="0"/>
              <w:ind w:left="175"/>
              <w:rPr>
                <w:szCs w:val="26"/>
              </w:rPr>
            </w:pPr>
          </w:p>
        </w:tc>
      </w:tr>
    </w:tbl>
    <w:p w14:paraId="0FE62B55" w14:textId="77777777" w:rsidR="005A1C31" w:rsidRPr="006F277D" w:rsidRDefault="005A1C31" w:rsidP="005A1C31">
      <w:pPr>
        <w:pStyle w:val="naisf"/>
        <w:spacing w:before="0" w:after="0"/>
        <w:ind w:firstLine="0"/>
        <w:jc w:val="center"/>
        <w:rPr>
          <w:b/>
        </w:rPr>
      </w:pPr>
    </w:p>
    <w:p w14:paraId="0C191521" w14:textId="77777777" w:rsidR="005A1C31" w:rsidRPr="006F277D" w:rsidRDefault="005A1C31" w:rsidP="005A1C31">
      <w:pPr>
        <w:pStyle w:val="naisf"/>
        <w:spacing w:before="0" w:after="0"/>
        <w:ind w:firstLine="0"/>
        <w:jc w:val="center"/>
        <w:rPr>
          <w:b/>
        </w:rPr>
      </w:pPr>
    </w:p>
    <w:p w14:paraId="394C3DC6" w14:textId="77777777" w:rsidR="005A1C31" w:rsidRPr="006F277D" w:rsidRDefault="005A1C31" w:rsidP="005A1C31">
      <w:pPr>
        <w:pStyle w:val="naisf"/>
        <w:spacing w:before="0" w:after="0"/>
        <w:ind w:firstLine="0"/>
        <w:jc w:val="center"/>
        <w:rPr>
          <w:b/>
        </w:rPr>
      </w:pPr>
    </w:p>
    <w:p w14:paraId="3CEAA3E8" w14:textId="77777777" w:rsidR="005A1C31" w:rsidRPr="006F277D" w:rsidRDefault="005A1C31" w:rsidP="005A1C31">
      <w:pPr>
        <w:pStyle w:val="naisf"/>
        <w:tabs>
          <w:tab w:val="left" w:pos="1020"/>
        </w:tabs>
        <w:spacing w:before="0" w:after="0"/>
        <w:ind w:firstLine="0"/>
        <w:jc w:val="left"/>
        <w:rPr>
          <w:b/>
        </w:rPr>
      </w:pPr>
      <w:r w:rsidRPr="006F277D">
        <w:rPr>
          <w:b/>
        </w:rPr>
        <w:lastRenderedPageBreak/>
        <w:tab/>
      </w:r>
    </w:p>
    <w:p w14:paraId="109EBFFE" w14:textId="77777777" w:rsidR="005A1C31" w:rsidRPr="006F277D" w:rsidRDefault="005A1C31" w:rsidP="005A1C31">
      <w:pPr>
        <w:pStyle w:val="naisf"/>
        <w:spacing w:before="0" w:after="0"/>
        <w:ind w:firstLine="0"/>
        <w:jc w:val="center"/>
        <w:rPr>
          <w:b/>
        </w:rPr>
      </w:pPr>
      <w:r w:rsidRPr="006F277D">
        <w:rPr>
          <w:b/>
        </w:rPr>
        <w:t>II. Jautājumi, par kuriem saskaņošanā vienošanās ir panākta</w:t>
      </w:r>
    </w:p>
    <w:p w14:paraId="35383C68" w14:textId="77777777" w:rsidR="005A1C31" w:rsidRPr="006F277D" w:rsidRDefault="005A1C31" w:rsidP="005A1C31">
      <w:pPr>
        <w:pStyle w:val="naisf"/>
        <w:spacing w:before="0" w:after="0"/>
        <w:ind w:firstLine="720"/>
      </w:pPr>
    </w:p>
    <w:tbl>
      <w:tblPr>
        <w:tblW w:w="15309" w:type="dxa"/>
        <w:tblInd w:w="-5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4290"/>
        <w:gridCol w:w="4125"/>
        <w:gridCol w:w="1657"/>
        <w:gridCol w:w="4536"/>
      </w:tblGrid>
      <w:tr w:rsidR="005A1C31" w:rsidRPr="002373E2" w14:paraId="11F7BDA3"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72200C" w14:textId="77777777" w:rsidR="005A1C31" w:rsidRPr="002373E2" w:rsidRDefault="005A1C31" w:rsidP="005A1C31">
            <w:pPr>
              <w:pStyle w:val="naisc"/>
              <w:spacing w:before="0" w:after="0"/>
              <w:rPr>
                <w:sz w:val="22"/>
                <w:szCs w:val="22"/>
              </w:rPr>
            </w:pPr>
            <w:r w:rsidRPr="002373E2">
              <w:rPr>
                <w:sz w:val="22"/>
                <w:szCs w:val="22"/>
              </w:rPr>
              <w:t>Nr. p.k.</w:t>
            </w: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444407" w14:textId="77777777" w:rsidR="005A1C31" w:rsidRPr="002373E2" w:rsidRDefault="005A1C31" w:rsidP="005A1C31">
            <w:pPr>
              <w:pStyle w:val="naisc"/>
              <w:spacing w:before="0" w:after="0"/>
              <w:ind w:firstLine="12"/>
              <w:rPr>
                <w:sz w:val="22"/>
                <w:szCs w:val="22"/>
              </w:rPr>
            </w:pPr>
            <w:r w:rsidRPr="002373E2">
              <w:rPr>
                <w:sz w:val="22"/>
                <w:szCs w:val="22"/>
              </w:rPr>
              <w:t>Saskaņošanai nosūtītā projekta redakcija (konkrēta punkta (panta) redakcija)</w:t>
            </w: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F287F3" w14:textId="77777777" w:rsidR="005A1C31" w:rsidRPr="002373E2" w:rsidRDefault="005A1C31" w:rsidP="005A1C31">
            <w:pPr>
              <w:pStyle w:val="naisc"/>
              <w:spacing w:before="0" w:after="120"/>
              <w:ind w:right="3"/>
              <w:rPr>
                <w:sz w:val="22"/>
                <w:szCs w:val="22"/>
              </w:rPr>
            </w:pPr>
            <w:r w:rsidRPr="002373E2">
              <w:rPr>
                <w:sz w:val="22"/>
                <w:szCs w:val="22"/>
              </w:rPr>
              <w:t>Atzinumā norādītais ministrijas (citas institūcijas) iebildums, kā arī saskaņošanā papildus izteiktais iebildums par projekta konkrēto punktu (pantu)</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565316" w14:textId="77777777" w:rsidR="005A1C31" w:rsidRPr="002373E2" w:rsidRDefault="005A1C31" w:rsidP="005A1C31">
            <w:pPr>
              <w:pStyle w:val="naisc"/>
              <w:spacing w:before="0" w:after="0"/>
              <w:ind w:firstLine="21"/>
              <w:rPr>
                <w:sz w:val="22"/>
                <w:szCs w:val="22"/>
              </w:rPr>
            </w:pPr>
            <w:r w:rsidRPr="002373E2">
              <w:rPr>
                <w:sz w:val="22"/>
                <w:szCs w:val="22"/>
              </w:rPr>
              <w:t>Atbildīgās ministrijas norāde par to, ka iebildums ir ņemts vērā, vai informācija par saskaņošanā panākto alternatīvo risinājumu</w:t>
            </w:r>
          </w:p>
        </w:tc>
        <w:tc>
          <w:tcPr>
            <w:tcW w:w="4536" w:type="dxa"/>
            <w:tcBorders>
              <w:top w:val="single" w:sz="4" w:space="0" w:color="auto"/>
              <w:left w:val="single" w:sz="4" w:space="0" w:color="auto"/>
              <w:bottom w:val="single" w:sz="4" w:space="0" w:color="auto"/>
            </w:tcBorders>
            <w:vAlign w:val="center"/>
          </w:tcPr>
          <w:p w14:paraId="30BE5CB8" w14:textId="77777777" w:rsidR="005A1C31" w:rsidRPr="002373E2" w:rsidRDefault="005A1C31" w:rsidP="005A1C31">
            <w:pPr>
              <w:jc w:val="center"/>
              <w:rPr>
                <w:sz w:val="22"/>
                <w:szCs w:val="22"/>
              </w:rPr>
            </w:pPr>
            <w:r w:rsidRPr="002373E2">
              <w:rPr>
                <w:sz w:val="22"/>
                <w:szCs w:val="22"/>
              </w:rPr>
              <w:t>Projekta attiecīgā punkta (panta) galīgā redakcija</w:t>
            </w:r>
          </w:p>
        </w:tc>
      </w:tr>
      <w:tr w:rsidR="005A1C31" w:rsidRPr="002373E2" w14:paraId="457815A9"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32D1EE" w14:textId="77777777" w:rsidR="005A1C31" w:rsidRPr="002373E2" w:rsidRDefault="005A1C31" w:rsidP="005A1C31">
            <w:pPr>
              <w:pStyle w:val="naisc"/>
              <w:spacing w:before="0" w:after="0"/>
              <w:rPr>
                <w:sz w:val="22"/>
                <w:szCs w:val="22"/>
              </w:rPr>
            </w:pPr>
            <w:r w:rsidRPr="002373E2">
              <w:rPr>
                <w:sz w:val="22"/>
                <w:szCs w:val="22"/>
              </w:rPr>
              <w:t>1</w:t>
            </w: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AC8EC0" w14:textId="77777777" w:rsidR="005A1C31" w:rsidRPr="002373E2" w:rsidRDefault="005A1C31" w:rsidP="005A1C31">
            <w:pPr>
              <w:pStyle w:val="naisc"/>
              <w:spacing w:before="0" w:after="0"/>
              <w:rPr>
                <w:sz w:val="22"/>
                <w:szCs w:val="22"/>
              </w:rPr>
            </w:pPr>
            <w:r w:rsidRPr="002373E2">
              <w:rPr>
                <w:sz w:val="22"/>
                <w:szCs w:val="22"/>
              </w:rPr>
              <w:t>2</w:t>
            </w: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ED15D1" w14:textId="77777777" w:rsidR="005A1C31" w:rsidRPr="002373E2" w:rsidRDefault="005A1C31" w:rsidP="005A1C31">
            <w:pPr>
              <w:pStyle w:val="naisc"/>
              <w:spacing w:before="0" w:after="120"/>
              <w:ind w:firstLine="178"/>
              <w:rPr>
                <w:sz w:val="22"/>
                <w:szCs w:val="22"/>
              </w:rPr>
            </w:pPr>
            <w:r w:rsidRPr="002373E2">
              <w:rPr>
                <w:sz w:val="22"/>
                <w:szCs w:val="22"/>
              </w:rPr>
              <w:t>3</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6AEA5E" w14:textId="77777777" w:rsidR="005A1C31" w:rsidRPr="002373E2" w:rsidRDefault="005A1C31" w:rsidP="005A1C31">
            <w:pPr>
              <w:pStyle w:val="naisc"/>
              <w:spacing w:before="0" w:after="0"/>
              <w:ind w:firstLine="34"/>
              <w:rPr>
                <w:sz w:val="22"/>
                <w:szCs w:val="22"/>
              </w:rPr>
            </w:pPr>
            <w:r w:rsidRPr="002373E2">
              <w:rPr>
                <w:sz w:val="22"/>
                <w:szCs w:val="22"/>
              </w:rPr>
              <w:t>4</w:t>
            </w:r>
          </w:p>
        </w:tc>
        <w:tc>
          <w:tcPr>
            <w:tcW w:w="4536" w:type="dxa"/>
            <w:tcBorders>
              <w:top w:val="single" w:sz="4" w:space="0" w:color="auto"/>
              <w:left w:val="single" w:sz="4" w:space="0" w:color="auto"/>
              <w:bottom w:val="single" w:sz="4" w:space="0" w:color="auto"/>
            </w:tcBorders>
          </w:tcPr>
          <w:p w14:paraId="20ADC555" w14:textId="77777777" w:rsidR="005A1C31" w:rsidRPr="002373E2" w:rsidRDefault="005A1C31" w:rsidP="005A1C31">
            <w:pPr>
              <w:jc w:val="center"/>
              <w:rPr>
                <w:sz w:val="22"/>
                <w:szCs w:val="22"/>
              </w:rPr>
            </w:pPr>
            <w:r w:rsidRPr="002373E2">
              <w:rPr>
                <w:sz w:val="22"/>
                <w:szCs w:val="22"/>
              </w:rPr>
              <w:t>5</w:t>
            </w:r>
          </w:p>
        </w:tc>
      </w:tr>
      <w:tr w:rsidR="005A1C31" w:rsidRPr="002373E2" w14:paraId="023620E2" w14:textId="77777777" w:rsidTr="3628E25F">
        <w:tc>
          <w:tcPr>
            <w:tcW w:w="15309" w:type="dxa"/>
            <w:gridSpan w:val="5"/>
            <w:tcBorders>
              <w:top w:val="single" w:sz="6" w:space="0" w:color="000000" w:themeColor="text1"/>
              <w:left w:val="single" w:sz="6" w:space="0" w:color="000000" w:themeColor="text1"/>
              <w:bottom w:val="single" w:sz="6" w:space="0" w:color="000000" w:themeColor="text1"/>
            </w:tcBorders>
          </w:tcPr>
          <w:p w14:paraId="2AE3DA30" w14:textId="77777777" w:rsidR="005A1C31" w:rsidRPr="002373E2" w:rsidRDefault="005A1C31" w:rsidP="005A1C31">
            <w:pPr>
              <w:spacing w:after="120"/>
              <w:jc w:val="center"/>
              <w:rPr>
                <w:b/>
                <w:bCs/>
                <w:sz w:val="22"/>
                <w:szCs w:val="22"/>
              </w:rPr>
            </w:pPr>
            <w:r w:rsidRPr="002373E2">
              <w:rPr>
                <w:b/>
                <w:bCs/>
                <w:sz w:val="22"/>
                <w:szCs w:val="22"/>
              </w:rPr>
              <w:t>Iebildumi</w:t>
            </w:r>
          </w:p>
        </w:tc>
      </w:tr>
      <w:tr w:rsidR="005A1C31" w:rsidRPr="002373E2" w14:paraId="51C0622B" w14:textId="77777777" w:rsidTr="3628E25F">
        <w:trPr>
          <w:trHeight w:val="49"/>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982F7A" w14:textId="77777777" w:rsidR="005A1C31" w:rsidRPr="002373E2" w:rsidRDefault="005A1C31" w:rsidP="00AB23C9">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53B565" w14:textId="4A60C53F" w:rsidR="004E13DD" w:rsidRDefault="004E13DD" w:rsidP="004E13DD">
            <w:pPr>
              <w:jc w:val="both"/>
              <w:rPr>
                <w:sz w:val="22"/>
                <w:szCs w:val="22"/>
              </w:rPr>
            </w:pPr>
            <w:r>
              <w:rPr>
                <w:sz w:val="22"/>
                <w:szCs w:val="22"/>
              </w:rPr>
              <w:t>Noteikumu projekta 1. punkts:</w:t>
            </w:r>
          </w:p>
          <w:p w14:paraId="7D7BEB62" w14:textId="77777777" w:rsidR="004E13DD" w:rsidRDefault="004E13DD" w:rsidP="004E13DD">
            <w:pPr>
              <w:jc w:val="both"/>
              <w:rPr>
                <w:sz w:val="22"/>
                <w:szCs w:val="22"/>
              </w:rPr>
            </w:pPr>
          </w:p>
          <w:p w14:paraId="0BE73C68" w14:textId="63BF03EC" w:rsidR="004E13DD" w:rsidRPr="004E13DD" w:rsidRDefault="004E13DD" w:rsidP="004E13DD">
            <w:pPr>
              <w:jc w:val="both"/>
              <w:rPr>
                <w:sz w:val="22"/>
                <w:szCs w:val="22"/>
              </w:rPr>
            </w:pPr>
            <w:r w:rsidRPr="004E13DD">
              <w:rPr>
                <w:sz w:val="22"/>
                <w:szCs w:val="22"/>
              </w:rPr>
              <w:t>"33.1.1.2.8. automatizācijas un robotizācijas risinājumu sagatavošanas un ieviešanas izmaksas;</w:t>
            </w:r>
          </w:p>
          <w:p w14:paraId="7662500F" w14:textId="41050D3D" w:rsidR="005A1C31" w:rsidRPr="002373E2" w:rsidRDefault="004E13DD" w:rsidP="004E13DD">
            <w:pPr>
              <w:jc w:val="both"/>
              <w:rPr>
                <w:sz w:val="22"/>
                <w:szCs w:val="22"/>
              </w:rPr>
            </w:pPr>
            <w:r w:rsidRPr="004E13DD">
              <w:rPr>
                <w:sz w:val="22"/>
                <w:szCs w:val="22"/>
              </w:rPr>
              <w:t>33.1.1.2.9. infrastruktūras izmaksas - iekārtu noma, datorprogrammas, licences un to amortizācijas izmaksas - ciktāl tās izmanto projektam."</w:t>
            </w: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CBEFC" w14:textId="694618DA" w:rsidR="00AE6D8A" w:rsidRPr="00AE6D8A" w:rsidRDefault="00AE6D8A" w:rsidP="00AE6D8A">
            <w:pPr>
              <w:jc w:val="both"/>
              <w:rPr>
                <w:b/>
                <w:sz w:val="22"/>
                <w:szCs w:val="22"/>
              </w:rPr>
            </w:pPr>
            <w:r w:rsidRPr="00AE6D8A">
              <w:rPr>
                <w:b/>
                <w:sz w:val="22"/>
                <w:szCs w:val="22"/>
              </w:rPr>
              <w:t xml:space="preserve">Finanšu ministrijas 28.04.2021. </w:t>
            </w:r>
            <w:r w:rsidR="008A5A98">
              <w:rPr>
                <w:b/>
                <w:sz w:val="22"/>
                <w:szCs w:val="22"/>
              </w:rPr>
              <w:t>1.</w:t>
            </w:r>
            <w:r w:rsidRPr="00AE6D8A">
              <w:rPr>
                <w:b/>
                <w:sz w:val="22"/>
                <w:szCs w:val="22"/>
              </w:rPr>
              <w:t>iebildums</w:t>
            </w:r>
          </w:p>
          <w:p w14:paraId="184005B1" w14:textId="4D21C23C" w:rsidR="005A1C31" w:rsidRDefault="008A5A98" w:rsidP="005A1C31">
            <w:pPr>
              <w:jc w:val="both"/>
              <w:rPr>
                <w:bCs/>
                <w:sz w:val="22"/>
                <w:szCs w:val="22"/>
              </w:rPr>
            </w:pPr>
            <w:r>
              <w:rPr>
                <w:bCs/>
                <w:sz w:val="22"/>
                <w:szCs w:val="22"/>
              </w:rPr>
              <w:t>“1.</w:t>
            </w:r>
            <w:r w:rsidR="00AE6D8A" w:rsidRPr="00AE6D8A">
              <w:rPr>
                <w:bCs/>
                <w:sz w:val="22"/>
                <w:szCs w:val="22"/>
              </w:rPr>
              <w:t>Lai no MK noteikumu projekta būtu nepārprotami skaidrs, ka izmaksas ir attiecināmas tikai uz mācību projektu, lūdzam precizēt MK noteikumu projekta 1.punktā izteikto Ministru kabineta 2016. gada 14. jūnija noteikumos Nr. 365 "Darbības programmas "Izaugsme un nodarbinātība" 1.2.2. specifiskā atbalsta mērķa "Veicināt inovāciju ieviešanu komersantos" 1.2.2.3. pasākuma "Atbalsts IKT un netehnoloģiskām apmācībām, kā arī apmācībām, lai sekmētu investoru piesaisti" īstenošanas noteikumi" (turpmāk – MK noteikumi Nr. 365) 33.1.1.2.9.apakšpunktu, skaidri norādot, ka tajā minētās infrastruktūras izmantošanas izmaksas ir attiecināmas uz mācību projektu.</w:t>
            </w:r>
            <w:r>
              <w:rPr>
                <w:bCs/>
                <w:sz w:val="22"/>
                <w:szCs w:val="22"/>
              </w:rPr>
              <w:t>”</w:t>
            </w:r>
          </w:p>
          <w:p w14:paraId="243F22A5" w14:textId="4F7A0C8B" w:rsidR="00204183" w:rsidRPr="002373E2" w:rsidRDefault="00204183" w:rsidP="77BBD5D8">
            <w:pPr>
              <w:jc w:val="both"/>
              <w:rPr>
                <w:sz w:val="22"/>
                <w:szCs w:val="22"/>
              </w:rPr>
            </w:pP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E64C5" w14:textId="09BA3403" w:rsidR="005A1C31" w:rsidRPr="00C844A3" w:rsidRDefault="00C844A3" w:rsidP="000522CD">
            <w:pPr>
              <w:spacing w:after="120"/>
              <w:jc w:val="center"/>
              <w:rPr>
                <w:b/>
                <w:bCs/>
                <w:sz w:val="22"/>
                <w:szCs w:val="22"/>
              </w:rPr>
            </w:pPr>
            <w:r w:rsidRPr="00C844A3">
              <w:rPr>
                <w:b/>
                <w:bCs/>
                <w:sz w:val="22"/>
                <w:szCs w:val="22"/>
              </w:rPr>
              <w:t>Ņemts vērā</w:t>
            </w:r>
          </w:p>
          <w:p w14:paraId="0B2C834E" w14:textId="2F830CCE" w:rsidR="005A1C31" w:rsidRPr="002373E2" w:rsidRDefault="004171F1" w:rsidP="006C0674">
            <w:pPr>
              <w:spacing w:after="120"/>
              <w:jc w:val="both"/>
              <w:rPr>
                <w:sz w:val="22"/>
                <w:szCs w:val="22"/>
              </w:rPr>
            </w:pPr>
            <w:r>
              <w:rPr>
                <w:sz w:val="22"/>
                <w:szCs w:val="22"/>
              </w:rPr>
              <w:t>Lūdz</w:t>
            </w:r>
            <w:r w:rsidR="006C0674">
              <w:rPr>
                <w:sz w:val="22"/>
                <w:szCs w:val="22"/>
              </w:rPr>
              <w:t>am</w:t>
            </w:r>
            <w:r>
              <w:rPr>
                <w:sz w:val="22"/>
                <w:szCs w:val="22"/>
              </w:rPr>
              <w:t xml:space="preserve"> skatīt precizēto noteikumu projektu un anotācijas </w:t>
            </w:r>
            <w:r w:rsidR="006C0674">
              <w:rPr>
                <w:sz w:val="22"/>
                <w:szCs w:val="22"/>
              </w:rPr>
              <w:t>I sadaļas 2. punktu.</w:t>
            </w:r>
          </w:p>
          <w:p w14:paraId="45B6017B" w14:textId="77777777" w:rsidR="005A1C31" w:rsidRPr="002373E2" w:rsidRDefault="005A1C31" w:rsidP="000522CD">
            <w:pPr>
              <w:spacing w:after="120"/>
              <w:jc w:val="center"/>
              <w:rPr>
                <w:sz w:val="22"/>
                <w:szCs w:val="22"/>
              </w:rPr>
            </w:pPr>
          </w:p>
          <w:p w14:paraId="738CDA74" w14:textId="2A0435BC" w:rsidR="005A1C31" w:rsidRPr="002373E2" w:rsidRDefault="005A1C31" w:rsidP="000522CD">
            <w:pPr>
              <w:spacing w:after="120"/>
              <w:jc w:val="center"/>
              <w:rPr>
                <w:b/>
                <w:bCs/>
                <w:sz w:val="22"/>
                <w:szCs w:val="22"/>
              </w:rPr>
            </w:pPr>
          </w:p>
        </w:tc>
        <w:tc>
          <w:tcPr>
            <w:tcW w:w="4536" w:type="dxa"/>
            <w:tcBorders>
              <w:top w:val="single" w:sz="4" w:space="0" w:color="auto"/>
              <w:left w:val="single" w:sz="4" w:space="0" w:color="auto"/>
              <w:bottom w:val="single" w:sz="4" w:space="0" w:color="auto"/>
            </w:tcBorders>
          </w:tcPr>
          <w:p w14:paraId="149871F2" w14:textId="32B9C13E" w:rsidR="005A1C31" w:rsidRDefault="00CD2844" w:rsidP="005A1C31">
            <w:pPr>
              <w:spacing w:after="120"/>
              <w:jc w:val="both"/>
              <w:rPr>
                <w:sz w:val="22"/>
                <w:szCs w:val="22"/>
              </w:rPr>
            </w:pPr>
            <w:r w:rsidRPr="00CD2844">
              <w:rPr>
                <w:sz w:val="22"/>
                <w:szCs w:val="22"/>
              </w:rPr>
              <w:t>Noteikumu projekta</w:t>
            </w:r>
            <w:r w:rsidR="00D166ED">
              <w:rPr>
                <w:sz w:val="22"/>
                <w:szCs w:val="22"/>
              </w:rPr>
              <w:t xml:space="preserve"> </w:t>
            </w:r>
            <w:r w:rsidR="006B2CB4">
              <w:rPr>
                <w:sz w:val="22"/>
                <w:szCs w:val="22"/>
              </w:rPr>
              <w:t xml:space="preserve">2. </w:t>
            </w:r>
            <w:r w:rsidRPr="00CD2844">
              <w:rPr>
                <w:sz w:val="22"/>
                <w:szCs w:val="22"/>
              </w:rPr>
              <w:t xml:space="preserve"> punkts:</w:t>
            </w:r>
          </w:p>
          <w:p w14:paraId="78DBA63C" w14:textId="1BED7612" w:rsidR="006B2CB4" w:rsidRPr="006B2CB4" w:rsidRDefault="006B2CB4" w:rsidP="006B2CB4">
            <w:pPr>
              <w:spacing w:after="120"/>
              <w:jc w:val="both"/>
              <w:rPr>
                <w:sz w:val="22"/>
                <w:szCs w:val="22"/>
              </w:rPr>
            </w:pPr>
            <w:r w:rsidRPr="006B2CB4">
              <w:rPr>
                <w:sz w:val="22"/>
                <w:szCs w:val="22"/>
              </w:rPr>
              <w:t>"33.1.1.2.8. konsultāciju izmaksas vidējiem komersantiem automatizācijas un robotizācijas risinājumu attīstībai</w:t>
            </w:r>
            <w:r w:rsidR="000F6378">
              <w:rPr>
                <w:sz w:val="22"/>
                <w:szCs w:val="22"/>
              </w:rPr>
              <w:t>,</w:t>
            </w:r>
            <w:r w:rsidR="00207A9B">
              <w:rPr>
                <w:sz w:val="22"/>
                <w:szCs w:val="22"/>
              </w:rPr>
              <w:t xml:space="preserve"> </w:t>
            </w:r>
            <w:r w:rsidR="001032BB" w:rsidRPr="000F6378">
              <w:rPr>
                <w:sz w:val="22"/>
                <w:szCs w:val="22"/>
              </w:rPr>
              <w:t xml:space="preserve">kopā nepārsniedzot 25 000 </w:t>
            </w:r>
            <w:proofErr w:type="spellStart"/>
            <w:r w:rsidR="001032BB" w:rsidRPr="000F6378">
              <w:rPr>
                <w:i/>
                <w:iCs/>
                <w:sz w:val="22"/>
                <w:szCs w:val="22"/>
              </w:rPr>
              <w:t>euro</w:t>
            </w:r>
            <w:proofErr w:type="spellEnd"/>
            <w:r w:rsidR="001032BB" w:rsidRPr="000F6378">
              <w:rPr>
                <w:sz w:val="22"/>
                <w:szCs w:val="22"/>
              </w:rPr>
              <w:t>,</w:t>
            </w:r>
            <w:r w:rsidR="001032BB" w:rsidRPr="000F6378">
              <w:rPr>
                <w:i/>
                <w:iCs/>
                <w:sz w:val="22"/>
                <w:szCs w:val="22"/>
              </w:rPr>
              <w:t xml:space="preserve"> </w:t>
            </w:r>
            <w:r w:rsidR="001032BB" w:rsidRPr="000F6378">
              <w:rPr>
                <w:sz w:val="22"/>
                <w:szCs w:val="22"/>
              </w:rPr>
              <w:t xml:space="preserve">un tās ir īstenojamas tikai kopā ar apmācībām mācību projekta ietvaros. Minētais attiecināms gadījumos, ja izmaksas atbilst Komisijas regulas Nr. 651/2014 2. panta 94. punktā noteiktajai inovāciju konsultāciju pakalpojumu definīcijai. Saņemot </w:t>
            </w:r>
            <w:proofErr w:type="spellStart"/>
            <w:r w:rsidR="001032BB" w:rsidRPr="000F6378">
              <w:rPr>
                <w:i/>
                <w:iCs/>
                <w:sz w:val="22"/>
                <w:szCs w:val="22"/>
              </w:rPr>
              <w:t>de</w:t>
            </w:r>
            <w:proofErr w:type="spellEnd"/>
            <w:r w:rsidR="001032BB" w:rsidRPr="000F6378">
              <w:rPr>
                <w:i/>
                <w:iCs/>
                <w:sz w:val="22"/>
                <w:szCs w:val="22"/>
              </w:rPr>
              <w:t xml:space="preserve"> </w:t>
            </w:r>
            <w:proofErr w:type="spellStart"/>
            <w:r w:rsidR="001032BB" w:rsidRPr="000F6378">
              <w:rPr>
                <w:i/>
                <w:iCs/>
                <w:sz w:val="22"/>
                <w:szCs w:val="22"/>
              </w:rPr>
              <w:t>minimis</w:t>
            </w:r>
            <w:proofErr w:type="spellEnd"/>
            <w:r w:rsidR="001032BB" w:rsidRPr="000F6378">
              <w:rPr>
                <w:sz w:val="22"/>
                <w:szCs w:val="22"/>
              </w:rPr>
              <w:t xml:space="preserve"> atbalstu atbilstoši Komisijas regulai Nr. 1407/2013, ievērojami Komisijas regulas Nr. 651/2014 2. panta 94. punktā minētās definīcijas nosacījumi</w:t>
            </w:r>
            <w:r w:rsidRPr="000F6378">
              <w:rPr>
                <w:sz w:val="22"/>
                <w:szCs w:val="22"/>
              </w:rPr>
              <w:t>;</w:t>
            </w:r>
            <w:r w:rsidRPr="006B2CB4">
              <w:rPr>
                <w:sz w:val="22"/>
                <w:szCs w:val="22"/>
              </w:rPr>
              <w:t xml:space="preserve">  </w:t>
            </w:r>
          </w:p>
          <w:p w14:paraId="1D85488E" w14:textId="77777777" w:rsidR="006B2CB4" w:rsidRPr="006B2CB4" w:rsidRDefault="006B2CB4" w:rsidP="006B2CB4">
            <w:pPr>
              <w:spacing w:after="120"/>
              <w:jc w:val="both"/>
              <w:rPr>
                <w:sz w:val="22"/>
                <w:szCs w:val="22"/>
              </w:rPr>
            </w:pPr>
            <w:r w:rsidRPr="006B2CB4">
              <w:rPr>
                <w:sz w:val="22"/>
                <w:szCs w:val="22"/>
              </w:rPr>
              <w:t>33.1.1.2.9. iekārtu nomas, datorprogrammu, licenču amortizācijas izmaksas vidējiem un lieliem komersantiem mācību projekta ietvaros."</w:t>
            </w:r>
          </w:p>
          <w:p w14:paraId="7DA583DB" w14:textId="7E68C69D" w:rsidR="00E86E58" w:rsidRPr="002373E2" w:rsidRDefault="00E86E58" w:rsidP="005A1C31">
            <w:pPr>
              <w:spacing w:after="120"/>
              <w:jc w:val="both"/>
              <w:rPr>
                <w:sz w:val="22"/>
                <w:szCs w:val="22"/>
              </w:rPr>
            </w:pPr>
          </w:p>
        </w:tc>
      </w:tr>
      <w:tr w:rsidR="005A1C31" w:rsidRPr="002373E2" w14:paraId="169851B4"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82DDF7" w14:textId="77777777" w:rsidR="005A1C31" w:rsidRPr="002373E2" w:rsidRDefault="005A1C31" w:rsidP="00AB23C9">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51A7DE" w14:textId="657F7F0E" w:rsidR="005F2E99" w:rsidRDefault="005F2E99" w:rsidP="005F2E99">
            <w:pPr>
              <w:jc w:val="both"/>
              <w:rPr>
                <w:sz w:val="22"/>
                <w:szCs w:val="22"/>
              </w:rPr>
            </w:pPr>
            <w:r>
              <w:rPr>
                <w:sz w:val="22"/>
                <w:szCs w:val="22"/>
              </w:rPr>
              <w:t>Noteikumu projekta 5. punkts:</w:t>
            </w:r>
          </w:p>
          <w:p w14:paraId="673A2C67" w14:textId="77777777" w:rsidR="005F2E99" w:rsidRDefault="005F2E99" w:rsidP="005F2E99">
            <w:pPr>
              <w:jc w:val="both"/>
              <w:rPr>
                <w:sz w:val="22"/>
                <w:szCs w:val="22"/>
              </w:rPr>
            </w:pPr>
          </w:p>
          <w:p w14:paraId="6D8654AE" w14:textId="74D12287" w:rsidR="005F2E99" w:rsidRPr="005F2E99" w:rsidRDefault="005F2E99" w:rsidP="005F2E99">
            <w:pPr>
              <w:jc w:val="both"/>
              <w:rPr>
                <w:sz w:val="22"/>
                <w:szCs w:val="22"/>
              </w:rPr>
            </w:pPr>
            <w:r w:rsidRPr="005F2E99">
              <w:rPr>
                <w:sz w:val="22"/>
                <w:szCs w:val="22"/>
              </w:rPr>
              <w:t xml:space="preserve">"33.1.1.5.8. automatizācijas un robotizācijas risinājumu sagatavošanas un ieviešanas izmaksas; </w:t>
            </w:r>
          </w:p>
          <w:p w14:paraId="1AE77754" w14:textId="1277B0DD" w:rsidR="005F2E99" w:rsidRPr="005F2E99" w:rsidRDefault="005F2E99" w:rsidP="005F2E99">
            <w:pPr>
              <w:jc w:val="both"/>
              <w:rPr>
                <w:sz w:val="22"/>
                <w:szCs w:val="22"/>
              </w:rPr>
            </w:pPr>
            <w:r w:rsidRPr="005F2E99">
              <w:rPr>
                <w:sz w:val="22"/>
                <w:szCs w:val="22"/>
              </w:rPr>
              <w:t xml:space="preserve">33.1.1.5.9. infrastruktūras izmaksas - iekārtu noma, datorprogrammas, licences un to amortizācijas izmaksas - ciktāl tās izmanto projektam; </w:t>
            </w:r>
          </w:p>
          <w:p w14:paraId="042843E6" w14:textId="459A363C" w:rsidR="005F2E99" w:rsidRPr="005F2E99" w:rsidRDefault="005F2E99" w:rsidP="005F2E99">
            <w:pPr>
              <w:jc w:val="both"/>
              <w:rPr>
                <w:sz w:val="22"/>
                <w:szCs w:val="22"/>
              </w:rPr>
            </w:pPr>
            <w:r w:rsidRPr="005F2E99">
              <w:rPr>
                <w:sz w:val="22"/>
                <w:szCs w:val="22"/>
              </w:rPr>
              <w:t>33.1.1.5.10. nodarbināto dienas nauda, ja apmācības norisinās ārvalstīs ilgāk par vienu dienu;</w:t>
            </w:r>
          </w:p>
          <w:p w14:paraId="098B7776" w14:textId="17C191FE" w:rsidR="005A1C31" w:rsidRPr="002373E2" w:rsidRDefault="005F2E99" w:rsidP="005F2E99">
            <w:pPr>
              <w:jc w:val="both"/>
              <w:rPr>
                <w:sz w:val="22"/>
                <w:szCs w:val="22"/>
              </w:rPr>
            </w:pPr>
            <w:r w:rsidRPr="005F2E99">
              <w:rPr>
                <w:sz w:val="22"/>
                <w:szCs w:val="22"/>
              </w:rPr>
              <w:t>33.1.1.5.11. pasniedzēju ceļa (transporta) izmaksas par starpvalstu un starppilsētu ekonomiskās klases sabiedriskā transporta izmantošanu un izmitināšanas izmaksas, ja apmācības norisinās Latvijā."</w:t>
            </w: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FC0BC4" w14:textId="688619B9" w:rsidR="00204183" w:rsidRPr="00AE6D8A" w:rsidRDefault="00204183" w:rsidP="00204183">
            <w:pPr>
              <w:jc w:val="both"/>
              <w:rPr>
                <w:b/>
                <w:sz w:val="22"/>
                <w:szCs w:val="22"/>
              </w:rPr>
            </w:pPr>
            <w:r w:rsidRPr="00AE6D8A">
              <w:rPr>
                <w:b/>
                <w:sz w:val="22"/>
                <w:szCs w:val="22"/>
              </w:rPr>
              <w:t xml:space="preserve">Finanšu ministrijas 28.04.2021. </w:t>
            </w:r>
            <w:r w:rsidR="008A5A98">
              <w:rPr>
                <w:b/>
                <w:sz w:val="22"/>
                <w:szCs w:val="22"/>
              </w:rPr>
              <w:t>2.</w:t>
            </w:r>
            <w:r w:rsidRPr="00AE6D8A">
              <w:rPr>
                <w:b/>
                <w:sz w:val="22"/>
                <w:szCs w:val="22"/>
              </w:rPr>
              <w:t>iebildums</w:t>
            </w:r>
          </w:p>
          <w:p w14:paraId="5623A59F" w14:textId="40E74F38" w:rsidR="005A1C31" w:rsidRPr="002373E2" w:rsidRDefault="00FC48ED" w:rsidP="005A1C31">
            <w:pPr>
              <w:jc w:val="both"/>
              <w:rPr>
                <w:bCs/>
                <w:sz w:val="22"/>
                <w:szCs w:val="22"/>
              </w:rPr>
            </w:pPr>
            <w:r>
              <w:rPr>
                <w:bCs/>
                <w:sz w:val="22"/>
                <w:szCs w:val="22"/>
              </w:rPr>
              <w:t>“2.</w:t>
            </w:r>
            <w:r w:rsidR="00204183" w:rsidRPr="00204183">
              <w:rPr>
                <w:bCs/>
                <w:sz w:val="22"/>
                <w:szCs w:val="22"/>
              </w:rPr>
              <w:t>Lai no MK noteikumu projekta būtu nepārprotami skaidrs, ka izmaksas ir attiecināmas tikai uz mācību projektu, lūdzam precizēt MK noteikumu projekta 5.punktā izteikto MK noteikumu Nr. 365 33.1.1.5.9.apakšpunktu, skaidri norādot, ka tajā minētās infrastruktūras izmantošanas izmaksas ir attiecināmas uz mācību projektu.</w:t>
            </w:r>
            <w:r>
              <w:rPr>
                <w:bCs/>
                <w:sz w:val="22"/>
                <w:szCs w:val="22"/>
              </w:rPr>
              <w:t>”</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FCAF4" w14:textId="77777777" w:rsidR="00C844A3" w:rsidRPr="00C844A3" w:rsidRDefault="00C844A3" w:rsidP="000522CD">
            <w:pPr>
              <w:spacing w:after="120"/>
              <w:jc w:val="center"/>
              <w:rPr>
                <w:b/>
                <w:bCs/>
                <w:sz w:val="22"/>
                <w:szCs w:val="22"/>
              </w:rPr>
            </w:pPr>
            <w:r w:rsidRPr="00C844A3">
              <w:rPr>
                <w:b/>
                <w:bCs/>
                <w:sz w:val="22"/>
                <w:szCs w:val="22"/>
              </w:rPr>
              <w:t>Ņemts vērā</w:t>
            </w:r>
          </w:p>
          <w:p w14:paraId="24E541F0" w14:textId="43CE91AC" w:rsidR="005A1C31" w:rsidRPr="002373E2" w:rsidRDefault="00853AEC" w:rsidP="00853AEC">
            <w:pPr>
              <w:spacing w:after="120"/>
              <w:jc w:val="both"/>
              <w:rPr>
                <w:sz w:val="22"/>
                <w:szCs w:val="22"/>
              </w:rPr>
            </w:pPr>
            <w:r w:rsidRPr="00853AEC">
              <w:rPr>
                <w:sz w:val="22"/>
                <w:szCs w:val="22"/>
              </w:rPr>
              <w:t>Lūdzam skatīt precizēto noteikumu projektu un anotācijas I sadaļas 2. punktu.</w:t>
            </w:r>
          </w:p>
        </w:tc>
        <w:tc>
          <w:tcPr>
            <w:tcW w:w="4536" w:type="dxa"/>
            <w:tcBorders>
              <w:top w:val="single" w:sz="4" w:space="0" w:color="auto"/>
              <w:left w:val="single" w:sz="4" w:space="0" w:color="auto"/>
              <w:bottom w:val="single" w:sz="4" w:space="0" w:color="auto"/>
            </w:tcBorders>
          </w:tcPr>
          <w:p w14:paraId="7BF6D427" w14:textId="7670D906" w:rsidR="005A1C31" w:rsidRDefault="00CD2844" w:rsidP="005A1C31">
            <w:pPr>
              <w:spacing w:after="120"/>
              <w:jc w:val="both"/>
              <w:rPr>
                <w:sz w:val="22"/>
                <w:szCs w:val="22"/>
              </w:rPr>
            </w:pPr>
            <w:r w:rsidRPr="00CD2844">
              <w:rPr>
                <w:sz w:val="22"/>
                <w:szCs w:val="22"/>
              </w:rPr>
              <w:t xml:space="preserve">Noteikumu projekta </w:t>
            </w:r>
            <w:r w:rsidR="00DB7AE9">
              <w:rPr>
                <w:sz w:val="22"/>
                <w:szCs w:val="22"/>
              </w:rPr>
              <w:t xml:space="preserve">9. </w:t>
            </w:r>
            <w:r w:rsidRPr="00CD2844">
              <w:rPr>
                <w:sz w:val="22"/>
                <w:szCs w:val="22"/>
              </w:rPr>
              <w:t>punkts:</w:t>
            </w:r>
          </w:p>
          <w:p w14:paraId="2387CA48" w14:textId="711FC495" w:rsidR="00DB7AE9" w:rsidRPr="00DB7AE9" w:rsidRDefault="00DB7AE9" w:rsidP="00DB7AE9">
            <w:pPr>
              <w:spacing w:after="120"/>
              <w:jc w:val="both"/>
              <w:rPr>
                <w:sz w:val="22"/>
                <w:szCs w:val="22"/>
              </w:rPr>
            </w:pPr>
            <w:bookmarkStart w:id="4" w:name="_Hlk66803051"/>
            <w:r w:rsidRPr="00DB7AE9">
              <w:rPr>
                <w:sz w:val="22"/>
                <w:szCs w:val="22"/>
              </w:rPr>
              <w:t>"</w:t>
            </w:r>
            <w:bookmarkEnd w:id="4"/>
            <w:r w:rsidRPr="00DB7AE9">
              <w:rPr>
                <w:sz w:val="22"/>
                <w:szCs w:val="22"/>
              </w:rPr>
              <w:t>33.1.1.5.8. konsultāciju izmaksas sīkiem (mikro) maziem, vidējiem komersantiem automatizācijas un robotizācijas risinājumu attīstībai</w:t>
            </w:r>
            <w:r w:rsidR="008B7B3F" w:rsidRPr="000F6378">
              <w:rPr>
                <w:sz w:val="22"/>
                <w:szCs w:val="22"/>
              </w:rPr>
              <w:t xml:space="preserve">, kopā nepārsniedzot 25 000 </w:t>
            </w:r>
            <w:proofErr w:type="spellStart"/>
            <w:r w:rsidR="008B7B3F" w:rsidRPr="000F6378">
              <w:rPr>
                <w:i/>
                <w:iCs/>
                <w:sz w:val="22"/>
                <w:szCs w:val="22"/>
              </w:rPr>
              <w:t>euro</w:t>
            </w:r>
            <w:proofErr w:type="spellEnd"/>
            <w:r w:rsidR="008B7B3F" w:rsidRPr="000F6378">
              <w:rPr>
                <w:sz w:val="22"/>
                <w:szCs w:val="22"/>
              </w:rPr>
              <w:t>,</w:t>
            </w:r>
            <w:r w:rsidR="008B7B3F" w:rsidRPr="000F6378">
              <w:rPr>
                <w:i/>
                <w:iCs/>
                <w:sz w:val="22"/>
                <w:szCs w:val="22"/>
              </w:rPr>
              <w:t xml:space="preserve"> </w:t>
            </w:r>
            <w:r w:rsidR="008B7B3F" w:rsidRPr="000F6378">
              <w:rPr>
                <w:sz w:val="22"/>
                <w:szCs w:val="22"/>
              </w:rPr>
              <w:t xml:space="preserve">un tās ir īstenojamas tikai kopā ar apmācībām mācību projekta ietvaros. Minētais attiecināms gadījumos, ja izmaksas atbilst Komisijas regulas Nr. 651/2014 2. panta 94. punktā noteiktajai inovāciju konsultāciju pakalpojumu definīcijai. Saņemot </w:t>
            </w:r>
            <w:proofErr w:type="spellStart"/>
            <w:r w:rsidR="008B7B3F" w:rsidRPr="000F6378">
              <w:rPr>
                <w:i/>
                <w:iCs/>
                <w:sz w:val="22"/>
                <w:szCs w:val="22"/>
              </w:rPr>
              <w:t>de</w:t>
            </w:r>
            <w:proofErr w:type="spellEnd"/>
            <w:r w:rsidR="008B7B3F" w:rsidRPr="000F6378">
              <w:rPr>
                <w:i/>
                <w:iCs/>
                <w:sz w:val="22"/>
                <w:szCs w:val="22"/>
              </w:rPr>
              <w:t xml:space="preserve"> </w:t>
            </w:r>
            <w:proofErr w:type="spellStart"/>
            <w:r w:rsidR="008B7B3F" w:rsidRPr="000F6378">
              <w:rPr>
                <w:i/>
                <w:iCs/>
                <w:sz w:val="22"/>
                <w:szCs w:val="22"/>
              </w:rPr>
              <w:t>minimis</w:t>
            </w:r>
            <w:proofErr w:type="spellEnd"/>
            <w:r w:rsidR="008B7B3F" w:rsidRPr="000F6378">
              <w:rPr>
                <w:sz w:val="22"/>
                <w:szCs w:val="22"/>
              </w:rPr>
              <w:t xml:space="preserve"> atbalstu atbilstoši Komisijas regulai Nr. 1407/2013, ievērojami Komisijas regulas Nr. 651/2014 2. panta 94. punktā minētās definīcijas nosacījumi</w:t>
            </w:r>
            <w:r w:rsidRPr="000F6378">
              <w:rPr>
                <w:sz w:val="22"/>
                <w:szCs w:val="22"/>
              </w:rPr>
              <w:t>;</w:t>
            </w:r>
            <w:r w:rsidRPr="00DB7AE9">
              <w:rPr>
                <w:sz w:val="22"/>
                <w:szCs w:val="22"/>
              </w:rPr>
              <w:t xml:space="preserve">  </w:t>
            </w:r>
          </w:p>
          <w:p w14:paraId="4EE08EA6" w14:textId="77777777" w:rsidR="00DB7AE9" w:rsidRPr="00DB7AE9" w:rsidRDefault="00DB7AE9" w:rsidP="00DB7AE9">
            <w:pPr>
              <w:spacing w:after="120"/>
              <w:jc w:val="both"/>
              <w:rPr>
                <w:sz w:val="22"/>
                <w:szCs w:val="22"/>
              </w:rPr>
            </w:pPr>
            <w:r w:rsidRPr="00DB7AE9">
              <w:rPr>
                <w:sz w:val="22"/>
                <w:szCs w:val="22"/>
              </w:rPr>
              <w:t xml:space="preserve">33.1.1.5.9. iekārtu nomas, datorprogrammu, licenču amortizācijas izmaksas sīkiem (mikro) maziem, vidējiem, lieliem komersantiem mācību projekta ietvaros; </w:t>
            </w:r>
          </w:p>
          <w:p w14:paraId="38E1E020" w14:textId="77777777" w:rsidR="00DB7AE9" w:rsidRPr="00DB7AE9" w:rsidRDefault="00DB7AE9" w:rsidP="00DB7AE9">
            <w:pPr>
              <w:spacing w:after="120"/>
              <w:jc w:val="both"/>
              <w:rPr>
                <w:sz w:val="22"/>
                <w:szCs w:val="22"/>
              </w:rPr>
            </w:pPr>
            <w:r w:rsidRPr="00DB7AE9">
              <w:rPr>
                <w:sz w:val="22"/>
                <w:szCs w:val="22"/>
              </w:rPr>
              <w:t>33.1.1.5.10. nodarbināto dienas nauda, ja apmācības norisinās ārvalstīs ilgāk par vienu dienu;</w:t>
            </w:r>
          </w:p>
          <w:p w14:paraId="7BF58FBD" w14:textId="2B0E7C99" w:rsidR="005F2E99" w:rsidRPr="002373E2" w:rsidRDefault="00DB7AE9" w:rsidP="005A1C31">
            <w:pPr>
              <w:spacing w:after="120"/>
              <w:jc w:val="both"/>
              <w:rPr>
                <w:sz w:val="22"/>
                <w:szCs w:val="22"/>
              </w:rPr>
            </w:pPr>
            <w:r w:rsidRPr="00DB7AE9">
              <w:rPr>
                <w:sz w:val="22"/>
                <w:szCs w:val="22"/>
              </w:rPr>
              <w:t>33.1.1.5.11. pasniedzēju ceļa (transporta) izmaksas par starpvalstu un starppilsētu ekonomiskās klases sabiedriskā transporta izmantošanu, tai skaitā kopējās lietošanas transportlīdzekli kā taksometrs vai auto noma, un izmitināšanas izmaksas, ja apmācības norisinās Latvijā</w:t>
            </w:r>
            <w:r w:rsidRPr="000F6378">
              <w:rPr>
                <w:sz w:val="22"/>
                <w:szCs w:val="22"/>
              </w:rPr>
              <w:t>.</w:t>
            </w:r>
            <w:r w:rsidR="00630EBE" w:rsidRPr="000F6378">
              <w:rPr>
                <w:rFonts w:eastAsiaTheme="minorEastAsia" w:cstheme="minorBidi"/>
                <w:sz w:val="26"/>
                <w:szCs w:val="26"/>
                <w:lang w:eastAsia="en-US"/>
              </w:rPr>
              <w:t xml:space="preserve"> </w:t>
            </w:r>
            <w:r w:rsidR="00630EBE" w:rsidRPr="000F6378">
              <w:rPr>
                <w:sz w:val="22"/>
                <w:szCs w:val="22"/>
              </w:rPr>
              <w:t>Taksometra vai auto noma izmantojama tikai gadījumā, kad to izmanto ne mazāk kā trīs personas vienlaicīgi.</w:t>
            </w:r>
            <w:r w:rsidRPr="000F6378">
              <w:rPr>
                <w:sz w:val="22"/>
                <w:szCs w:val="22"/>
              </w:rPr>
              <w:t>"</w:t>
            </w:r>
          </w:p>
        </w:tc>
      </w:tr>
      <w:tr w:rsidR="005A1C31" w:rsidRPr="002373E2" w14:paraId="0F19778F"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832C99" w14:textId="77777777" w:rsidR="005A1C31" w:rsidRPr="002373E2" w:rsidRDefault="005A1C31" w:rsidP="00AB23C9">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422AD9" w14:textId="7A9D5C41" w:rsidR="005A1C31" w:rsidRPr="002373E2" w:rsidRDefault="005A1C31" w:rsidP="005A1C31">
            <w:pPr>
              <w:jc w:val="both"/>
              <w:rPr>
                <w:sz w:val="22"/>
                <w:szCs w:val="22"/>
              </w:rPr>
            </w:pP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9365F4" w14:textId="46371B01" w:rsidR="00204183" w:rsidRPr="006737F2" w:rsidRDefault="00204183" w:rsidP="00C53030">
            <w:pPr>
              <w:jc w:val="both"/>
              <w:rPr>
                <w:b/>
                <w:sz w:val="22"/>
                <w:szCs w:val="22"/>
              </w:rPr>
            </w:pPr>
            <w:r w:rsidRPr="006737F2">
              <w:rPr>
                <w:b/>
                <w:sz w:val="22"/>
                <w:szCs w:val="22"/>
              </w:rPr>
              <w:t xml:space="preserve">Finanšu ministrijas 28.04.2021. </w:t>
            </w:r>
            <w:r w:rsidR="00FC48ED" w:rsidRPr="006737F2">
              <w:rPr>
                <w:b/>
                <w:sz w:val="22"/>
                <w:szCs w:val="22"/>
              </w:rPr>
              <w:t>3.</w:t>
            </w:r>
            <w:r w:rsidRPr="006737F2">
              <w:rPr>
                <w:b/>
                <w:sz w:val="22"/>
                <w:szCs w:val="22"/>
              </w:rPr>
              <w:t>iebildums</w:t>
            </w:r>
          </w:p>
          <w:p w14:paraId="2FD3DEDC" w14:textId="067C0512" w:rsidR="00204183" w:rsidRPr="006737F2" w:rsidRDefault="00FC48ED" w:rsidP="00C53030">
            <w:pPr>
              <w:contextualSpacing/>
              <w:jc w:val="both"/>
              <w:rPr>
                <w:sz w:val="22"/>
                <w:szCs w:val="22"/>
              </w:rPr>
            </w:pPr>
            <w:r w:rsidRPr="006737F2">
              <w:rPr>
                <w:sz w:val="22"/>
                <w:szCs w:val="22"/>
              </w:rPr>
              <w:t>“3.</w:t>
            </w:r>
            <w:r w:rsidR="00204183" w:rsidRPr="006737F2">
              <w:rPr>
                <w:sz w:val="22"/>
                <w:szCs w:val="22"/>
              </w:rPr>
              <w:t xml:space="preserve">Ievērojot to, ka ar MK noteikumu projektu tiek ieviesta jauna izmaksu </w:t>
            </w:r>
            <w:r w:rsidR="00204183" w:rsidRPr="006737F2">
              <w:rPr>
                <w:sz w:val="22"/>
                <w:szCs w:val="22"/>
              </w:rPr>
              <w:lastRenderedPageBreak/>
              <w:t>kategorija - automatizācijas un robotizācijas risinājumu sagatavošanas un ieviešanas izmaksas (MK noteikumu projekta 1. un 5.punkts), lūdzam precizēt MK noteikumu projektu tādā veidā, lai tiktu nodrošināts, ka arī MK noteikumi Nr.365 13.1. un 13.2.punktos minēto projekta iesniedzēju īstenotajos projektos tiek nodrošināts tas, ka atbalsts saskaņā ar Komisijas 2014. gada 17. jūnija Regulas (ES) Nr. 651/2014, ar ko noteiktas atbalsta kategorijas atzīst par saderīgām ar iekšējo tirgu, piemērojot Līguma 107. un 108. pantu (turpmāk – Komisijas regula Nr. 651/2014) 31.pantu šādām izmaksu kategorijām sniegts netiek. Vēršam uzmanību, ka Komisijas regulas Nr. 651/2014 31.pants neparedz atbalsta sniegšanu automatizācijas un robotizācijas risinājumu sagatavošanai un ieviešanai, bet gan atbalstam mācību projektiem</w:t>
            </w:r>
            <w:r w:rsidRPr="006737F2">
              <w:rPr>
                <w:sz w:val="22"/>
                <w:szCs w:val="22"/>
              </w:rPr>
              <w:t>.”</w:t>
            </w:r>
          </w:p>
          <w:p w14:paraId="5EDB24CE" w14:textId="5A4C4D68" w:rsidR="00B52DBA" w:rsidRPr="006737F2" w:rsidRDefault="00B52DBA" w:rsidP="00C53030">
            <w:pPr>
              <w:contextualSpacing/>
              <w:jc w:val="both"/>
              <w:rPr>
                <w:sz w:val="22"/>
                <w:szCs w:val="22"/>
              </w:rPr>
            </w:pPr>
          </w:p>
          <w:p w14:paraId="3C42664C" w14:textId="5A5B5171" w:rsidR="00B52DBA" w:rsidRPr="006737F2" w:rsidRDefault="00B52DBA" w:rsidP="00C53030">
            <w:pPr>
              <w:contextualSpacing/>
              <w:jc w:val="both"/>
              <w:rPr>
                <w:sz w:val="22"/>
                <w:szCs w:val="22"/>
              </w:rPr>
            </w:pPr>
          </w:p>
          <w:p w14:paraId="7C50421A" w14:textId="2E04C86C" w:rsidR="00B52DBA" w:rsidRPr="006737F2" w:rsidRDefault="00B52DBA" w:rsidP="00C53030">
            <w:pPr>
              <w:contextualSpacing/>
              <w:jc w:val="both"/>
              <w:rPr>
                <w:sz w:val="22"/>
                <w:szCs w:val="22"/>
              </w:rPr>
            </w:pPr>
          </w:p>
          <w:p w14:paraId="08899D25" w14:textId="225E59FA" w:rsidR="00B52DBA" w:rsidRPr="006737F2" w:rsidRDefault="00B52DBA" w:rsidP="00C53030">
            <w:pPr>
              <w:contextualSpacing/>
              <w:jc w:val="both"/>
              <w:rPr>
                <w:sz w:val="22"/>
                <w:szCs w:val="22"/>
              </w:rPr>
            </w:pPr>
          </w:p>
          <w:p w14:paraId="18AE94E1" w14:textId="7C923308" w:rsidR="00B52DBA" w:rsidRPr="006737F2" w:rsidRDefault="00B52DBA" w:rsidP="00C53030">
            <w:pPr>
              <w:contextualSpacing/>
              <w:jc w:val="both"/>
              <w:rPr>
                <w:sz w:val="22"/>
                <w:szCs w:val="22"/>
              </w:rPr>
            </w:pPr>
          </w:p>
          <w:p w14:paraId="0FBCBC0F" w14:textId="5687528E" w:rsidR="00B52DBA" w:rsidRPr="006737F2" w:rsidRDefault="00B52DBA" w:rsidP="00C53030">
            <w:pPr>
              <w:contextualSpacing/>
              <w:jc w:val="both"/>
              <w:rPr>
                <w:sz w:val="22"/>
                <w:szCs w:val="22"/>
              </w:rPr>
            </w:pPr>
          </w:p>
          <w:p w14:paraId="2076F9E3" w14:textId="0F5D4D50" w:rsidR="00B52DBA" w:rsidRPr="006737F2" w:rsidRDefault="00B52DBA" w:rsidP="00C53030">
            <w:pPr>
              <w:contextualSpacing/>
              <w:jc w:val="both"/>
              <w:rPr>
                <w:sz w:val="22"/>
                <w:szCs w:val="22"/>
              </w:rPr>
            </w:pPr>
          </w:p>
          <w:p w14:paraId="096BB35C" w14:textId="03CC73DE" w:rsidR="00B52DBA" w:rsidRPr="006737F2" w:rsidRDefault="00B52DBA" w:rsidP="00C53030">
            <w:pPr>
              <w:contextualSpacing/>
              <w:jc w:val="both"/>
              <w:rPr>
                <w:sz w:val="22"/>
                <w:szCs w:val="22"/>
              </w:rPr>
            </w:pPr>
          </w:p>
          <w:p w14:paraId="5585BBE7" w14:textId="068665DD" w:rsidR="00B52DBA" w:rsidRPr="006737F2" w:rsidRDefault="00B52DBA" w:rsidP="00C53030">
            <w:pPr>
              <w:contextualSpacing/>
              <w:jc w:val="both"/>
              <w:rPr>
                <w:sz w:val="22"/>
                <w:szCs w:val="22"/>
              </w:rPr>
            </w:pPr>
          </w:p>
          <w:p w14:paraId="6CFE73B3" w14:textId="78A97E81" w:rsidR="00B52DBA" w:rsidRPr="006737F2" w:rsidRDefault="00B52DBA" w:rsidP="00C53030">
            <w:pPr>
              <w:contextualSpacing/>
              <w:jc w:val="both"/>
              <w:rPr>
                <w:sz w:val="22"/>
                <w:szCs w:val="22"/>
              </w:rPr>
            </w:pPr>
          </w:p>
          <w:p w14:paraId="19670B09" w14:textId="211F089A" w:rsidR="00B52DBA" w:rsidRPr="006737F2" w:rsidRDefault="00B52DBA" w:rsidP="00C53030">
            <w:pPr>
              <w:contextualSpacing/>
              <w:jc w:val="both"/>
              <w:rPr>
                <w:sz w:val="22"/>
                <w:szCs w:val="22"/>
              </w:rPr>
            </w:pPr>
          </w:p>
          <w:p w14:paraId="3E99B57E" w14:textId="29D4696F" w:rsidR="00B52DBA" w:rsidRPr="006737F2" w:rsidRDefault="00B52DBA" w:rsidP="00C53030">
            <w:pPr>
              <w:contextualSpacing/>
              <w:jc w:val="both"/>
              <w:rPr>
                <w:sz w:val="22"/>
                <w:szCs w:val="22"/>
              </w:rPr>
            </w:pPr>
          </w:p>
          <w:p w14:paraId="54DD85D0" w14:textId="51636922" w:rsidR="00B52DBA" w:rsidRPr="006737F2" w:rsidRDefault="00B52DBA" w:rsidP="00C53030">
            <w:pPr>
              <w:contextualSpacing/>
              <w:jc w:val="both"/>
              <w:rPr>
                <w:sz w:val="22"/>
                <w:szCs w:val="22"/>
              </w:rPr>
            </w:pPr>
          </w:p>
          <w:p w14:paraId="6DC51EC2" w14:textId="3E39D769" w:rsidR="00B52DBA" w:rsidRPr="006737F2" w:rsidRDefault="00B52DBA" w:rsidP="00C53030">
            <w:pPr>
              <w:contextualSpacing/>
              <w:jc w:val="both"/>
              <w:rPr>
                <w:sz w:val="22"/>
                <w:szCs w:val="22"/>
              </w:rPr>
            </w:pPr>
          </w:p>
          <w:p w14:paraId="4C09B661" w14:textId="77777777" w:rsidR="00B52DBA" w:rsidRPr="006737F2" w:rsidRDefault="00B52DBA" w:rsidP="00C53030">
            <w:pPr>
              <w:contextualSpacing/>
              <w:jc w:val="both"/>
              <w:rPr>
                <w:sz w:val="22"/>
                <w:szCs w:val="22"/>
              </w:rPr>
            </w:pPr>
          </w:p>
          <w:p w14:paraId="5EF24998" w14:textId="77777777" w:rsidR="008B50A0" w:rsidRPr="006737F2" w:rsidRDefault="008B50A0" w:rsidP="00C53030">
            <w:pPr>
              <w:contextualSpacing/>
              <w:jc w:val="both"/>
              <w:rPr>
                <w:sz w:val="22"/>
                <w:szCs w:val="22"/>
              </w:rPr>
            </w:pPr>
          </w:p>
          <w:p w14:paraId="637124A3" w14:textId="77777777" w:rsidR="008B50A0" w:rsidRPr="006737F2" w:rsidRDefault="008B50A0" w:rsidP="00C53030">
            <w:pPr>
              <w:contextualSpacing/>
              <w:jc w:val="both"/>
              <w:rPr>
                <w:b/>
                <w:bCs/>
                <w:sz w:val="22"/>
                <w:szCs w:val="22"/>
              </w:rPr>
            </w:pPr>
            <w:r w:rsidRPr="006737F2">
              <w:rPr>
                <w:b/>
                <w:bCs/>
                <w:sz w:val="22"/>
                <w:szCs w:val="22"/>
              </w:rPr>
              <w:lastRenderedPageBreak/>
              <w:t xml:space="preserve">Finanšu ministrijas </w:t>
            </w:r>
            <w:r w:rsidR="0063762B" w:rsidRPr="006737F2">
              <w:rPr>
                <w:b/>
                <w:bCs/>
                <w:sz w:val="22"/>
                <w:szCs w:val="22"/>
              </w:rPr>
              <w:t xml:space="preserve">19.06.2021. </w:t>
            </w:r>
            <w:r w:rsidRPr="006737F2">
              <w:rPr>
                <w:b/>
                <w:bCs/>
                <w:sz w:val="22"/>
                <w:szCs w:val="22"/>
              </w:rPr>
              <w:t>2. iebildums elektroniskajā saskaņošanā</w:t>
            </w:r>
          </w:p>
          <w:p w14:paraId="5901F088" w14:textId="3F5CF223" w:rsidR="00EA487E" w:rsidRPr="006737F2" w:rsidRDefault="00EA487E" w:rsidP="00C53030">
            <w:pPr>
              <w:jc w:val="both"/>
              <w:rPr>
                <w:i/>
                <w:iCs/>
                <w:sz w:val="22"/>
                <w:szCs w:val="22"/>
              </w:rPr>
            </w:pPr>
            <w:r w:rsidRPr="006737F2">
              <w:rPr>
                <w:sz w:val="22"/>
                <w:szCs w:val="22"/>
              </w:rPr>
              <w:t xml:space="preserve">“2. </w:t>
            </w:r>
            <w:r w:rsidR="00C53030" w:rsidRPr="006737F2">
              <w:rPr>
                <w:sz w:val="22"/>
                <w:szCs w:val="22"/>
              </w:rPr>
              <w:t xml:space="preserve">Lūdzam pārskatīt un precizēt MK noteikumu projekta 19.punktā izteikto MK noteikumu Nr. 365 51.2. apakšpunkta redakciju, veidojot atsevišķu punktu/apakšpunktu, kas noteiktu, kurām izmaksām tiek piešķirts </w:t>
            </w:r>
            <w:proofErr w:type="spellStart"/>
            <w:r w:rsidR="00C53030" w:rsidRPr="006737F2">
              <w:rPr>
                <w:i/>
                <w:iCs/>
                <w:sz w:val="22"/>
                <w:szCs w:val="22"/>
              </w:rPr>
              <w:t>de</w:t>
            </w:r>
            <w:proofErr w:type="spellEnd"/>
            <w:r w:rsidR="00C53030" w:rsidRPr="006737F2">
              <w:rPr>
                <w:i/>
                <w:iCs/>
                <w:sz w:val="22"/>
                <w:szCs w:val="22"/>
              </w:rPr>
              <w:t xml:space="preserve"> </w:t>
            </w:r>
            <w:proofErr w:type="spellStart"/>
            <w:r w:rsidR="00C53030" w:rsidRPr="006737F2">
              <w:rPr>
                <w:i/>
                <w:iCs/>
                <w:sz w:val="22"/>
                <w:szCs w:val="22"/>
              </w:rPr>
              <w:t>minimis</w:t>
            </w:r>
            <w:proofErr w:type="spellEnd"/>
            <w:r w:rsidR="00C53030" w:rsidRPr="006737F2">
              <w:rPr>
                <w:sz w:val="22"/>
                <w:szCs w:val="22"/>
              </w:rPr>
              <w:t xml:space="preserve"> atbalsts un atsevišķu punktu/apakšpunktu, kurā tiktu norādīts, kurām izmaksām atbalsts tiks piešķirts saskaņā ar Komisijas 2014. gada 17. jūnija Regulas (ES) Nr. 651/2014, ar ko noteiktas atbalsta kategorijas atzīst par saderīgām ar iekšējo tirgu, piemērojot Līguma 107. un 108. pantu (turpmāk – Komisijas regula Nr. 651/2014) 28.pantu un kurām ar 31.pantu, tādējādi nodrošinot šī punkta pārskatāmību un skaidru tā piemērošanu. Atbilstošu skaidrojumu lūdzam ietvert arī anotācijas I.</w:t>
            </w:r>
            <w:r w:rsidR="00B52DBA" w:rsidRPr="006737F2">
              <w:rPr>
                <w:sz w:val="22"/>
                <w:szCs w:val="22"/>
              </w:rPr>
              <w:t xml:space="preserve"> </w:t>
            </w:r>
            <w:r w:rsidR="00C53030" w:rsidRPr="006737F2">
              <w:rPr>
                <w:sz w:val="22"/>
                <w:szCs w:val="22"/>
              </w:rPr>
              <w:t>sadaļas 2.punktā.</w:t>
            </w:r>
            <w:r w:rsidR="00C53030" w:rsidRPr="006737F2">
              <w:rPr>
                <w:i/>
                <w:iCs/>
                <w:sz w:val="22"/>
                <w:szCs w:val="22"/>
              </w:rPr>
              <w:t>”</w:t>
            </w:r>
          </w:p>
          <w:p w14:paraId="461E9BDE" w14:textId="77777777" w:rsidR="00B52DBA" w:rsidRPr="006737F2" w:rsidRDefault="00B52DBA" w:rsidP="00C53030">
            <w:pPr>
              <w:jc w:val="both"/>
              <w:rPr>
                <w:i/>
                <w:iCs/>
                <w:sz w:val="22"/>
                <w:szCs w:val="22"/>
              </w:rPr>
            </w:pPr>
          </w:p>
          <w:p w14:paraId="0D560E59" w14:textId="77777777" w:rsidR="00B52DBA" w:rsidRPr="006737F2" w:rsidRDefault="00B52DBA" w:rsidP="00C53030">
            <w:pPr>
              <w:jc w:val="both"/>
              <w:rPr>
                <w:b/>
                <w:bCs/>
                <w:sz w:val="22"/>
                <w:szCs w:val="22"/>
              </w:rPr>
            </w:pPr>
            <w:r w:rsidRPr="006737F2">
              <w:rPr>
                <w:b/>
                <w:bCs/>
                <w:sz w:val="22"/>
                <w:szCs w:val="22"/>
              </w:rPr>
              <w:t>Finanšu ministrijas 19.06.2021. 3. iebildums elektroniskajā saskaņošanā</w:t>
            </w:r>
          </w:p>
          <w:p w14:paraId="06F8C8E2" w14:textId="7E6C2014" w:rsidR="00D4110B" w:rsidRDefault="00B52DBA" w:rsidP="00C53030">
            <w:pPr>
              <w:jc w:val="both"/>
              <w:rPr>
                <w:sz w:val="22"/>
                <w:szCs w:val="22"/>
              </w:rPr>
            </w:pPr>
            <w:r w:rsidRPr="006737F2">
              <w:rPr>
                <w:sz w:val="22"/>
                <w:szCs w:val="22"/>
              </w:rPr>
              <w:t>“3.</w:t>
            </w:r>
            <w:r w:rsidR="00E03F7B" w:rsidRPr="006737F2">
              <w:rPr>
                <w:sz w:val="22"/>
                <w:szCs w:val="22"/>
              </w:rPr>
              <w:t xml:space="preserve">Ņemot vērā, ka MK noteikumu projekta 19.punktā izteiktajā MK noteikumu Nr. 365 51.2. apakšpunktā tiek paredzēta iespēja komercdarbības atbalstu saņemt saskaņā ar Komisijas regulas Nr. 651/2014 28. panta 2. punkta c) apakšpunktu, un ņemot vērā, ka atbilstošas izmaksas ir noteiktas Noteikumu projekta 2.punktā un 9.punktā, lūdzam MK noteikumu projektā definēt inovāciju konsultāciju pakalpojumus, sniedzot atsauci uz Komisijas regulas Nr. 651/2014 2.panta 94. punktu, un inovāciju atbalsta pakalpojumus, sniedzot atsauci uz Komisijas </w:t>
            </w:r>
            <w:r w:rsidR="00E03F7B" w:rsidRPr="006737F2">
              <w:rPr>
                <w:sz w:val="22"/>
                <w:szCs w:val="22"/>
              </w:rPr>
              <w:lastRenderedPageBreak/>
              <w:t>regulas Nr. 651/2014 2.panta 95.punktu, kā arī nodrošinot konkrēto izmaksu atbilstību ietvertajam definējumam. Vienlaikus lūdzam pārliecināties, vai  MK noteikumu projekta 2.punktā un 9.punktā minētās konsultāciju izmaksas automatizācijas un robotizācijas risinājumu attīstībai atbilst  Komisijas regulas Nr. 651/2014 iepriekš minēto punktu definīcijām, lai atbalstu varētu sniegt, piemērojot Komisijas regulas Nr. 651/2014 28.pantu.  Ar atbilstošu skaidrojumu, kā konsultāciju izmaksas automatizācijas un robotizācijas risinājumu attīstībai, atbilst Komisijas regulas Nr. 651/2014 2.panta 94. un 95.punktam, lūdzam papildināt anotāciju. Gadījumā, ja izmaksu atbilstību Komisijas regulas Nr. 651/2014 2.panta 94. un 95.punkta definīcijām nav iespējams nodrošināt, lūdzam precizēt MK noteikumu projektu, šādu izmaksu kategoriju neparedzot ar Komisijas regulas Nr. 651/2014 28.pantu.”</w:t>
            </w:r>
          </w:p>
          <w:p w14:paraId="409F3F4D" w14:textId="77777777" w:rsidR="00D4110B" w:rsidRPr="006737F2" w:rsidRDefault="00D4110B" w:rsidP="00C53030">
            <w:pPr>
              <w:jc w:val="both"/>
              <w:rPr>
                <w:sz w:val="22"/>
                <w:szCs w:val="22"/>
              </w:rPr>
            </w:pPr>
          </w:p>
          <w:p w14:paraId="6D63D19A" w14:textId="77777777" w:rsidR="00E03F7B" w:rsidRPr="006737F2" w:rsidRDefault="00E03F7B" w:rsidP="00C53030">
            <w:pPr>
              <w:jc w:val="both"/>
              <w:rPr>
                <w:sz w:val="22"/>
                <w:szCs w:val="22"/>
              </w:rPr>
            </w:pPr>
          </w:p>
          <w:p w14:paraId="52E69E4B" w14:textId="52064C43" w:rsidR="00E03F7B" w:rsidRPr="006737F2" w:rsidRDefault="00E03F7B" w:rsidP="00E03F7B">
            <w:pPr>
              <w:jc w:val="both"/>
              <w:rPr>
                <w:b/>
                <w:bCs/>
                <w:sz w:val="22"/>
                <w:szCs w:val="22"/>
              </w:rPr>
            </w:pPr>
            <w:r w:rsidRPr="006737F2">
              <w:rPr>
                <w:b/>
                <w:bCs/>
                <w:sz w:val="22"/>
                <w:szCs w:val="22"/>
              </w:rPr>
              <w:t>Finanšu ministrijas 19.06.2021. 4. iebildums elektroniskajā saskaņošanā</w:t>
            </w:r>
          </w:p>
          <w:p w14:paraId="6A99F10F" w14:textId="553B1FB3" w:rsidR="00E03F7B" w:rsidRPr="006737F2" w:rsidRDefault="00E03F7B" w:rsidP="00C53030">
            <w:pPr>
              <w:jc w:val="both"/>
              <w:rPr>
                <w:sz w:val="22"/>
                <w:szCs w:val="22"/>
              </w:rPr>
            </w:pPr>
            <w:r w:rsidRPr="006737F2">
              <w:rPr>
                <w:sz w:val="22"/>
                <w:szCs w:val="22"/>
              </w:rPr>
              <w:t>“4.</w:t>
            </w:r>
            <w:r w:rsidR="000E71A9" w:rsidRPr="006737F2">
              <w:rPr>
                <w:sz w:val="22"/>
                <w:szCs w:val="22"/>
              </w:rPr>
              <w:t xml:space="preserve">Ievērojot to, ka MK noteikumu projekta 19.punktā izteiktajā MK noteikumu Nr. 365 51.2. apakšpunktā ir paredzēta iespēja komercdarbības atbalstu saņemt saskaņā ar Komisijas regulas Nr. 651/2014 28. panta 2. punkta c) apakšpunktu, piemērojot Komisijas regulas Nr. 651/2014 28. panta 4. punktā noteikto atbalsta apjomu, lūdzam nosacījumu, kas izriet no Komisijas regulas Nr. 651/2014 28. panta 4. punkta izteikt kā atsevišķu MK noteikumu projekta punktu, </w:t>
            </w:r>
            <w:r w:rsidR="000E71A9" w:rsidRPr="006737F2">
              <w:rPr>
                <w:sz w:val="22"/>
                <w:szCs w:val="22"/>
              </w:rPr>
              <w:lastRenderedPageBreak/>
              <w:t xml:space="preserve">skaidri nosakot  piešķiramā atbalsta apjomu un piemērojamo intensitāti (t.sk. paredzot, vai atbalsta intensitāti konkrētai izdevumu kategorijai projektā ir iespējams palielināt). Ar atbilstošu skaidrojumu lūdzam papildināt arī anotācijas </w:t>
            </w:r>
            <w:proofErr w:type="spellStart"/>
            <w:r w:rsidR="000E71A9" w:rsidRPr="006737F2">
              <w:rPr>
                <w:sz w:val="22"/>
                <w:szCs w:val="22"/>
              </w:rPr>
              <w:t>I.sadaļas</w:t>
            </w:r>
            <w:proofErr w:type="spellEnd"/>
            <w:r w:rsidR="000E71A9" w:rsidRPr="006737F2">
              <w:rPr>
                <w:sz w:val="22"/>
                <w:szCs w:val="22"/>
              </w:rPr>
              <w:t xml:space="preserve"> 2.punktu. Papildus lūdzam anotācijā norādīt, ka kopējā atbalsta summa inovāciju atbalsta pakalpojumam un inovāciju konsultāciju pakalpojumiem 200 000 </w:t>
            </w:r>
            <w:proofErr w:type="spellStart"/>
            <w:r w:rsidR="000E71A9" w:rsidRPr="006737F2">
              <w:rPr>
                <w:i/>
                <w:iCs/>
                <w:sz w:val="22"/>
                <w:szCs w:val="22"/>
              </w:rPr>
              <w:t>euro</w:t>
            </w:r>
            <w:proofErr w:type="spellEnd"/>
            <w:r w:rsidR="000E71A9" w:rsidRPr="006737F2">
              <w:rPr>
                <w:sz w:val="22"/>
                <w:szCs w:val="22"/>
              </w:rPr>
              <w:t xml:space="preserve"> apmērā jebkurā triju gadu periodā, ir vērtējama vienam uzņēmumam. Vairāk par to, kā Komisijas regula Nr. 651/2014 definē uzņēmumu, lūdzam skatīt Komisijas regula Nr. 651/2014 I pielikumu, jo īpaši tā 3. un 6.pantu.”</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3333E6" w14:textId="77777777" w:rsidR="00C844A3" w:rsidRPr="006737F2" w:rsidRDefault="00C844A3" w:rsidP="000522CD">
            <w:pPr>
              <w:spacing w:after="120"/>
              <w:jc w:val="center"/>
              <w:rPr>
                <w:b/>
                <w:bCs/>
                <w:sz w:val="22"/>
                <w:szCs w:val="22"/>
              </w:rPr>
            </w:pPr>
            <w:r w:rsidRPr="006737F2">
              <w:rPr>
                <w:b/>
                <w:bCs/>
                <w:sz w:val="22"/>
                <w:szCs w:val="22"/>
              </w:rPr>
              <w:lastRenderedPageBreak/>
              <w:t>Ņemts vērā</w:t>
            </w:r>
          </w:p>
          <w:p w14:paraId="7972B9B7" w14:textId="7A5EC98B" w:rsidR="005A1C31" w:rsidRPr="006737F2" w:rsidRDefault="009F74C3" w:rsidP="009F74C3">
            <w:pPr>
              <w:spacing w:after="120"/>
              <w:jc w:val="both"/>
              <w:rPr>
                <w:sz w:val="22"/>
                <w:szCs w:val="22"/>
              </w:rPr>
            </w:pPr>
            <w:r w:rsidRPr="006737F2">
              <w:rPr>
                <w:sz w:val="22"/>
                <w:szCs w:val="22"/>
              </w:rPr>
              <w:t>Skaidrojam, ka</w:t>
            </w:r>
            <w:r w:rsidR="00AB7FF2" w:rsidRPr="006737F2">
              <w:t xml:space="preserve"> </w:t>
            </w:r>
            <w:r w:rsidR="00AB7FF2" w:rsidRPr="006737F2">
              <w:rPr>
                <w:sz w:val="22"/>
                <w:szCs w:val="22"/>
              </w:rPr>
              <w:t xml:space="preserve">konsultāciju izmaksas </w:t>
            </w:r>
            <w:r w:rsidR="00AB7FF2" w:rsidRPr="006737F2">
              <w:rPr>
                <w:sz w:val="22"/>
                <w:szCs w:val="22"/>
              </w:rPr>
              <w:lastRenderedPageBreak/>
              <w:t>automatizācijas un robotizācijas risinājumu attīstībai</w:t>
            </w:r>
            <w:r w:rsidRPr="006737F2">
              <w:rPr>
                <w:sz w:val="22"/>
                <w:szCs w:val="22"/>
              </w:rPr>
              <w:t xml:space="preserve">  </w:t>
            </w:r>
            <w:r w:rsidR="00AB7FF2" w:rsidRPr="006737F2">
              <w:rPr>
                <w:sz w:val="22"/>
                <w:szCs w:val="22"/>
              </w:rPr>
              <w:t>ir paredzētas komersantiem tikai LIAA projekta ietvaros</w:t>
            </w:r>
            <w:r w:rsidR="004F5805" w:rsidRPr="006737F2">
              <w:rPr>
                <w:sz w:val="22"/>
                <w:szCs w:val="22"/>
              </w:rPr>
              <w:t xml:space="preserve"> un tiek segtas saskaņā ar Komisijas regulu Nr. 1407/2013 vai Komisijas regulas Nr. 651/2014 28. panta 2. punkta c) apakšpunktu un </w:t>
            </w:r>
            <w:r w:rsidR="000F6378">
              <w:rPr>
                <w:sz w:val="22"/>
                <w:szCs w:val="22"/>
              </w:rPr>
              <w:t>3</w:t>
            </w:r>
            <w:r w:rsidR="004F5805" w:rsidRPr="006737F2">
              <w:rPr>
                <w:sz w:val="22"/>
                <w:szCs w:val="22"/>
              </w:rPr>
              <w:t>. punktu</w:t>
            </w:r>
            <w:r w:rsidR="00AB7FF2" w:rsidRPr="006737F2">
              <w:rPr>
                <w:sz w:val="22"/>
                <w:szCs w:val="22"/>
              </w:rPr>
              <w:t>.</w:t>
            </w:r>
            <w:r w:rsidR="00C31009" w:rsidRPr="006737F2">
              <w:rPr>
                <w:sz w:val="22"/>
                <w:szCs w:val="22"/>
              </w:rPr>
              <w:t xml:space="preserve"> Šādu k</w:t>
            </w:r>
            <w:r w:rsidR="00CD28A7" w:rsidRPr="006737F2">
              <w:rPr>
                <w:sz w:val="22"/>
                <w:szCs w:val="22"/>
              </w:rPr>
              <w:t>onsultāciju</w:t>
            </w:r>
            <w:r w:rsidR="002E117E" w:rsidRPr="006737F2">
              <w:rPr>
                <w:sz w:val="22"/>
                <w:szCs w:val="22"/>
              </w:rPr>
              <w:t xml:space="preserve"> atbalsts </w:t>
            </w:r>
            <w:r w:rsidR="00CD28A7" w:rsidRPr="006737F2">
              <w:rPr>
                <w:sz w:val="22"/>
                <w:szCs w:val="22"/>
              </w:rPr>
              <w:t>ir īstenojams tikai kopā ar apmācībām mācību projekta ietvaros</w:t>
            </w:r>
            <w:r w:rsidR="002E117E" w:rsidRPr="006737F2">
              <w:rPr>
                <w:sz w:val="22"/>
                <w:szCs w:val="22"/>
              </w:rPr>
              <w:t>.</w:t>
            </w:r>
          </w:p>
          <w:p w14:paraId="01CD1F20" w14:textId="77777777" w:rsidR="00D84DA6" w:rsidRPr="006737F2" w:rsidRDefault="00D84DA6" w:rsidP="009F74C3">
            <w:pPr>
              <w:spacing w:after="120"/>
              <w:jc w:val="both"/>
              <w:rPr>
                <w:sz w:val="22"/>
                <w:szCs w:val="22"/>
              </w:rPr>
            </w:pPr>
            <w:r w:rsidRPr="006737F2">
              <w:rPr>
                <w:sz w:val="22"/>
                <w:szCs w:val="22"/>
              </w:rPr>
              <w:t>Lūdzam skatīt precizēto noteikumu projektu un anotācijas I sadaļas 2. punktu.</w:t>
            </w:r>
          </w:p>
          <w:p w14:paraId="0458AF92" w14:textId="77777777" w:rsidR="00B52DBA" w:rsidRPr="006737F2" w:rsidRDefault="00B52DBA" w:rsidP="009F74C3">
            <w:pPr>
              <w:spacing w:after="120"/>
              <w:jc w:val="both"/>
              <w:rPr>
                <w:sz w:val="22"/>
                <w:szCs w:val="22"/>
              </w:rPr>
            </w:pPr>
          </w:p>
          <w:p w14:paraId="04FCCD69" w14:textId="77777777" w:rsidR="00B52DBA" w:rsidRPr="006737F2" w:rsidRDefault="00B52DBA" w:rsidP="009F74C3">
            <w:pPr>
              <w:spacing w:after="120"/>
              <w:jc w:val="both"/>
              <w:rPr>
                <w:b/>
                <w:bCs/>
                <w:sz w:val="22"/>
                <w:szCs w:val="22"/>
              </w:rPr>
            </w:pPr>
            <w:r w:rsidRPr="006737F2">
              <w:rPr>
                <w:b/>
                <w:bCs/>
                <w:sz w:val="22"/>
                <w:szCs w:val="22"/>
              </w:rPr>
              <w:lastRenderedPageBreak/>
              <w:t>Ņemts vērā</w:t>
            </w:r>
          </w:p>
          <w:p w14:paraId="7160DA02" w14:textId="77777777" w:rsidR="007103A4" w:rsidRPr="006737F2" w:rsidRDefault="007103A4" w:rsidP="007103A4">
            <w:pPr>
              <w:spacing w:after="120"/>
              <w:jc w:val="both"/>
              <w:rPr>
                <w:sz w:val="22"/>
                <w:szCs w:val="22"/>
              </w:rPr>
            </w:pPr>
            <w:r w:rsidRPr="006737F2">
              <w:rPr>
                <w:sz w:val="22"/>
                <w:szCs w:val="22"/>
              </w:rPr>
              <w:t>Lūdzam skatīt precizēto noteikumu projektu un anotācijas I sadaļas 2. punktu.</w:t>
            </w:r>
          </w:p>
          <w:p w14:paraId="176152F2" w14:textId="77777777" w:rsidR="007103A4" w:rsidRPr="006737F2" w:rsidRDefault="007103A4" w:rsidP="009F74C3">
            <w:pPr>
              <w:spacing w:after="120"/>
              <w:jc w:val="both"/>
              <w:rPr>
                <w:b/>
                <w:bCs/>
                <w:sz w:val="22"/>
                <w:szCs w:val="22"/>
              </w:rPr>
            </w:pPr>
          </w:p>
          <w:p w14:paraId="27B8DA81" w14:textId="77777777" w:rsidR="00AA3C5E" w:rsidRPr="006737F2" w:rsidRDefault="00AA3C5E" w:rsidP="009F74C3">
            <w:pPr>
              <w:spacing w:after="120"/>
              <w:jc w:val="both"/>
              <w:rPr>
                <w:b/>
                <w:bCs/>
                <w:sz w:val="22"/>
                <w:szCs w:val="22"/>
              </w:rPr>
            </w:pPr>
          </w:p>
          <w:p w14:paraId="0A0F9E98" w14:textId="77777777" w:rsidR="00AA3C5E" w:rsidRPr="006737F2" w:rsidRDefault="00AA3C5E" w:rsidP="009F74C3">
            <w:pPr>
              <w:spacing w:after="120"/>
              <w:jc w:val="both"/>
              <w:rPr>
                <w:b/>
                <w:bCs/>
                <w:sz w:val="22"/>
                <w:szCs w:val="22"/>
              </w:rPr>
            </w:pPr>
          </w:p>
          <w:p w14:paraId="0C46505F" w14:textId="77777777" w:rsidR="00AA3C5E" w:rsidRPr="006737F2" w:rsidRDefault="00AA3C5E" w:rsidP="009F74C3">
            <w:pPr>
              <w:spacing w:after="120"/>
              <w:jc w:val="both"/>
              <w:rPr>
                <w:b/>
                <w:bCs/>
                <w:sz w:val="22"/>
                <w:szCs w:val="22"/>
              </w:rPr>
            </w:pPr>
          </w:p>
          <w:p w14:paraId="31F384FA" w14:textId="77777777" w:rsidR="00AA3C5E" w:rsidRPr="006737F2" w:rsidRDefault="00AA3C5E" w:rsidP="009F74C3">
            <w:pPr>
              <w:spacing w:after="120"/>
              <w:jc w:val="both"/>
              <w:rPr>
                <w:b/>
                <w:bCs/>
                <w:sz w:val="22"/>
                <w:szCs w:val="22"/>
              </w:rPr>
            </w:pPr>
          </w:p>
          <w:p w14:paraId="6F55F730" w14:textId="77777777" w:rsidR="00AA3C5E" w:rsidRPr="006737F2" w:rsidRDefault="00AA3C5E" w:rsidP="009F74C3">
            <w:pPr>
              <w:spacing w:after="120"/>
              <w:jc w:val="both"/>
              <w:rPr>
                <w:b/>
                <w:bCs/>
                <w:sz w:val="22"/>
                <w:szCs w:val="22"/>
              </w:rPr>
            </w:pPr>
          </w:p>
          <w:p w14:paraId="1AAC8BFD" w14:textId="77777777" w:rsidR="00AA3C5E" w:rsidRPr="006737F2" w:rsidRDefault="00AA3C5E" w:rsidP="009F74C3">
            <w:pPr>
              <w:spacing w:after="120"/>
              <w:jc w:val="both"/>
              <w:rPr>
                <w:b/>
                <w:bCs/>
                <w:sz w:val="22"/>
                <w:szCs w:val="22"/>
              </w:rPr>
            </w:pPr>
          </w:p>
          <w:p w14:paraId="0857F9FA" w14:textId="77777777" w:rsidR="00AA3C5E" w:rsidRPr="006737F2" w:rsidRDefault="00AA3C5E" w:rsidP="009F74C3">
            <w:pPr>
              <w:spacing w:after="120"/>
              <w:jc w:val="both"/>
              <w:rPr>
                <w:b/>
                <w:bCs/>
                <w:sz w:val="22"/>
                <w:szCs w:val="22"/>
              </w:rPr>
            </w:pPr>
          </w:p>
          <w:p w14:paraId="36E7C799" w14:textId="77777777" w:rsidR="00AA3C5E" w:rsidRPr="006737F2" w:rsidRDefault="00AA3C5E" w:rsidP="009F74C3">
            <w:pPr>
              <w:spacing w:after="120"/>
              <w:jc w:val="both"/>
              <w:rPr>
                <w:b/>
                <w:bCs/>
                <w:sz w:val="22"/>
                <w:szCs w:val="22"/>
              </w:rPr>
            </w:pPr>
          </w:p>
          <w:p w14:paraId="20A143FA" w14:textId="66838F11" w:rsidR="00334078" w:rsidRPr="006737F2" w:rsidRDefault="00334078" w:rsidP="009F74C3">
            <w:pPr>
              <w:spacing w:after="120"/>
              <w:jc w:val="both"/>
              <w:rPr>
                <w:b/>
                <w:bCs/>
                <w:sz w:val="22"/>
                <w:szCs w:val="22"/>
              </w:rPr>
            </w:pPr>
            <w:r w:rsidRPr="006737F2">
              <w:rPr>
                <w:b/>
                <w:bCs/>
                <w:sz w:val="22"/>
                <w:szCs w:val="22"/>
              </w:rPr>
              <w:t>Ņemts vērā</w:t>
            </w:r>
          </w:p>
          <w:p w14:paraId="2D098AE2" w14:textId="77777777" w:rsidR="00AA3C5E" w:rsidRPr="006737F2" w:rsidRDefault="00AA3C5E" w:rsidP="009F74C3">
            <w:pPr>
              <w:spacing w:after="120"/>
              <w:jc w:val="both"/>
              <w:rPr>
                <w:sz w:val="22"/>
                <w:szCs w:val="22"/>
              </w:rPr>
            </w:pPr>
            <w:r w:rsidRPr="006737F2">
              <w:rPr>
                <w:sz w:val="22"/>
                <w:szCs w:val="22"/>
              </w:rPr>
              <w:t>Lūdzam skatīt precizēto noteikumu projektu un anotācijas I sadaļas</w:t>
            </w:r>
            <w:r w:rsidR="00334078" w:rsidRPr="006737F2">
              <w:rPr>
                <w:sz w:val="22"/>
                <w:szCs w:val="22"/>
              </w:rPr>
              <w:t xml:space="preserve"> 2. punktu.</w:t>
            </w:r>
          </w:p>
          <w:p w14:paraId="45909CCB" w14:textId="77777777" w:rsidR="006A68D7" w:rsidRPr="006737F2" w:rsidRDefault="006A68D7" w:rsidP="009F74C3">
            <w:pPr>
              <w:spacing w:after="120"/>
              <w:jc w:val="both"/>
              <w:rPr>
                <w:sz w:val="22"/>
                <w:szCs w:val="22"/>
              </w:rPr>
            </w:pPr>
          </w:p>
          <w:p w14:paraId="2E1A3EC8" w14:textId="77777777" w:rsidR="006A68D7" w:rsidRPr="006737F2" w:rsidRDefault="006A68D7" w:rsidP="009F74C3">
            <w:pPr>
              <w:spacing w:after="120"/>
              <w:jc w:val="both"/>
              <w:rPr>
                <w:sz w:val="22"/>
                <w:szCs w:val="22"/>
              </w:rPr>
            </w:pPr>
          </w:p>
          <w:p w14:paraId="29A80CE5" w14:textId="77777777" w:rsidR="006A68D7" w:rsidRPr="006737F2" w:rsidRDefault="006A68D7" w:rsidP="009F74C3">
            <w:pPr>
              <w:spacing w:after="120"/>
              <w:jc w:val="both"/>
              <w:rPr>
                <w:sz w:val="22"/>
                <w:szCs w:val="22"/>
              </w:rPr>
            </w:pPr>
          </w:p>
          <w:p w14:paraId="34D615C9" w14:textId="77777777" w:rsidR="006A68D7" w:rsidRPr="006737F2" w:rsidRDefault="006A68D7" w:rsidP="009F74C3">
            <w:pPr>
              <w:spacing w:after="120"/>
              <w:jc w:val="both"/>
              <w:rPr>
                <w:sz w:val="22"/>
                <w:szCs w:val="22"/>
              </w:rPr>
            </w:pPr>
          </w:p>
          <w:p w14:paraId="10061507" w14:textId="77777777" w:rsidR="006A68D7" w:rsidRPr="006737F2" w:rsidRDefault="006A68D7" w:rsidP="009F74C3">
            <w:pPr>
              <w:spacing w:after="120"/>
              <w:jc w:val="both"/>
              <w:rPr>
                <w:sz w:val="22"/>
                <w:szCs w:val="22"/>
              </w:rPr>
            </w:pPr>
          </w:p>
          <w:p w14:paraId="370D4BE7" w14:textId="77777777" w:rsidR="006A68D7" w:rsidRPr="006737F2" w:rsidRDefault="006A68D7" w:rsidP="009F74C3">
            <w:pPr>
              <w:spacing w:after="120"/>
              <w:jc w:val="both"/>
              <w:rPr>
                <w:sz w:val="22"/>
                <w:szCs w:val="22"/>
              </w:rPr>
            </w:pPr>
          </w:p>
          <w:p w14:paraId="04F54CC2" w14:textId="77777777" w:rsidR="006A68D7" w:rsidRPr="006737F2" w:rsidRDefault="006A68D7" w:rsidP="009F74C3">
            <w:pPr>
              <w:spacing w:after="120"/>
              <w:jc w:val="both"/>
              <w:rPr>
                <w:sz w:val="22"/>
                <w:szCs w:val="22"/>
              </w:rPr>
            </w:pPr>
          </w:p>
          <w:p w14:paraId="5D25ACC3" w14:textId="77777777" w:rsidR="006A68D7" w:rsidRPr="006737F2" w:rsidRDefault="006A68D7" w:rsidP="009F74C3">
            <w:pPr>
              <w:spacing w:after="120"/>
              <w:jc w:val="both"/>
              <w:rPr>
                <w:sz w:val="22"/>
                <w:szCs w:val="22"/>
              </w:rPr>
            </w:pPr>
          </w:p>
          <w:p w14:paraId="7F973046" w14:textId="77777777" w:rsidR="006A68D7" w:rsidRPr="006737F2" w:rsidRDefault="006A68D7" w:rsidP="009F74C3">
            <w:pPr>
              <w:spacing w:after="120"/>
              <w:jc w:val="both"/>
              <w:rPr>
                <w:sz w:val="22"/>
                <w:szCs w:val="22"/>
              </w:rPr>
            </w:pPr>
          </w:p>
          <w:p w14:paraId="0C68A5B4" w14:textId="77777777" w:rsidR="006A68D7" w:rsidRPr="006737F2" w:rsidRDefault="006A68D7" w:rsidP="009F74C3">
            <w:pPr>
              <w:spacing w:after="120"/>
              <w:jc w:val="both"/>
              <w:rPr>
                <w:sz w:val="22"/>
                <w:szCs w:val="22"/>
              </w:rPr>
            </w:pPr>
          </w:p>
          <w:p w14:paraId="78C0AC4E" w14:textId="77777777" w:rsidR="006A68D7" w:rsidRPr="006737F2" w:rsidRDefault="006A68D7" w:rsidP="009F74C3">
            <w:pPr>
              <w:spacing w:after="120"/>
              <w:jc w:val="both"/>
              <w:rPr>
                <w:sz w:val="22"/>
                <w:szCs w:val="22"/>
              </w:rPr>
            </w:pPr>
          </w:p>
          <w:p w14:paraId="009ECEBF" w14:textId="77777777" w:rsidR="006A68D7" w:rsidRPr="006737F2" w:rsidRDefault="006A68D7" w:rsidP="009F74C3">
            <w:pPr>
              <w:spacing w:after="120"/>
              <w:jc w:val="both"/>
              <w:rPr>
                <w:sz w:val="22"/>
                <w:szCs w:val="22"/>
              </w:rPr>
            </w:pPr>
          </w:p>
          <w:p w14:paraId="08EE8EC8" w14:textId="77777777" w:rsidR="006A68D7" w:rsidRPr="006737F2" w:rsidRDefault="006A68D7" w:rsidP="009F74C3">
            <w:pPr>
              <w:spacing w:after="120"/>
              <w:jc w:val="both"/>
              <w:rPr>
                <w:sz w:val="22"/>
                <w:szCs w:val="22"/>
              </w:rPr>
            </w:pPr>
          </w:p>
          <w:p w14:paraId="6149BA86" w14:textId="77777777" w:rsidR="006A68D7" w:rsidRPr="006737F2" w:rsidRDefault="006A68D7" w:rsidP="009F74C3">
            <w:pPr>
              <w:spacing w:after="120"/>
              <w:jc w:val="both"/>
              <w:rPr>
                <w:sz w:val="22"/>
                <w:szCs w:val="22"/>
              </w:rPr>
            </w:pPr>
          </w:p>
          <w:p w14:paraId="748892FB" w14:textId="77777777" w:rsidR="006A68D7" w:rsidRPr="006737F2" w:rsidRDefault="006A68D7" w:rsidP="009F74C3">
            <w:pPr>
              <w:spacing w:after="120"/>
              <w:jc w:val="both"/>
              <w:rPr>
                <w:sz w:val="22"/>
                <w:szCs w:val="22"/>
              </w:rPr>
            </w:pPr>
          </w:p>
          <w:p w14:paraId="3E8CACD6" w14:textId="77777777" w:rsidR="006A68D7" w:rsidRPr="006737F2" w:rsidRDefault="006A68D7" w:rsidP="009F74C3">
            <w:pPr>
              <w:spacing w:after="120"/>
              <w:jc w:val="both"/>
              <w:rPr>
                <w:sz w:val="22"/>
                <w:szCs w:val="22"/>
              </w:rPr>
            </w:pPr>
          </w:p>
          <w:p w14:paraId="7004F977" w14:textId="77777777" w:rsidR="006A68D7" w:rsidRPr="006737F2" w:rsidRDefault="006A68D7" w:rsidP="009F74C3">
            <w:pPr>
              <w:spacing w:after="120"/>
              <w:jc w:val="both"/>
              <w:rPr>
                <w:sz w:val="22"/>
                <w:szCs w:val="22"/>
              </w:rPr>
            </w:pPr>
          </w:p>
          <w:p w14:paraId="6AFCAC13" w14:textId="77777777" w:rsidR="006A68D7" w:rsidRDefault="006A68D7" w:rsidP="009F74C3">
            <w:pPr>
              <w:spacing w:after="120"/>
              <w:jc w:val="both"/>
              <w:rPr>
                <w:sz w:val="22"/>
                <w:szCs w:val="22"/>
              </w:rPr>
            </w:pPr>
          </w:p>
          <w:p w14:paraId="6156AA75" w14:textId="77777777" w:rsidR="00D4110B" w:rsidRDefault="00D4110B" w:rsidP="009F74C3">
            <w:pPr>
              <w:spacing w:after="120"/>
              <w:jc w:val="both"/>
              <w:rPr>
                <w:sz w:val="22"/>
                <w:szCs w:val="22"/>
              </w:rPr>
            </w:pPr>
          </w:p>
          <w:p w14:paraId="247F9726" w14:textId="77777777" w:rsidR="006A68D7" w:rsidRPr="006737F2" w:rsidRDefault="006A68D7" w:rsidP="009F74C3">
            <w:pPr>
              <w:spacing w:after="120"/>
              <w:jc w:val="both"/>
              <w:rPr>
                <w:sz w:val="22"/>
                <w:szCs w:val="22"/>
              </w:rPr>
            </w:pPr>
          </w:p>
          <w:p w14:paraId="3C9BA191" w14:textId="77777777" w:rsidR="006A68D7" w:rsidRPr="006A68D7" w:rsidRDefault="006A68D7" w:rsidP="006A68D7">
            <w:pPr>
              <w:spacing w:after="120"/>
              <w:jc w:val="both"/>
              <w:rPr>
                <w:b/>
                <w:bCs/>
                <w:sz w:val="22"/>
                <w:szCs w:val="22"/>
              </w:rPr>
            </w:pPr>
            <w:r w:rsidRPr="006A68D7">
              <w:rPr>
                <w:b/>
                <w:bCs/>
                <w:sz w:val="22"/>
                <w:szCs w:val="22"/>
              </w:rPr>
              <w:t>Ņemts vērā</w:t>
            </w:r>
          </w:p>
          <w:p w14:paraId="069C84C4" w14:textId="39921171" w:rsidR="006A68D7" w:rsidRPr="006737F2" w:rsidRDefault="006A68D7" w:rsidP="006A68D7">
            <w:pPr>
              <w:spacing w:after="120"/>
              <w:jc w:val="both"/>
              <w:rPr>
                <w:sz w:val="22"/>
                <w:szCs w:val="22"/>
              </w:rPr>
            </w:pPr>
            <w:r w:rsidRPr="006737F2">
              <w:rPr>
                <w:sz w:val="22"/>
                <w:szCs w:val="22"/>
              </w:rPr>
              <w:t>Lūdzam skatīt precizēto noteikumu projektu un anotācijas I sadaļas 2. punktu.</w:t>
            </w:r>
          </w:p>
        </w:tc>
        <w:tc>
          <w:tcPr>
            <w:tcW w:w="4536" w:type="dxa"/>
            <w:tcBorders>
              <w:top w:val="single" w:sz="4" w:space="0" w:color="auto"/>
              <w:left w:val="single" w:sz="4" w:space="0" w:color="auto"/>
              <w:bottom w:val="single" w:sz="4" w:space="0" w:color="auto"/>
            </w:tcBorders>
          </w:tcPr>
          <w:p w14:paraId="4ECD1229" w14:textId="2F57D0BE" w:rsidR="005A1C31" w:rsidRDefault="00CD2844" w:rsidP="005A1C31">
            <w:pPr>
              <w:spacing w:after="120"/>
              <w:jc w:val="both"/>
              <w:rPr>
                <w:sz w:val="22"/>
                <w:szCs w:val="22"/>
              </w:rPr>
            </w:pPr>
            <w:r w:rsidRPr="00CD2844">
              <w:rPr>
                <w:sz w:val="22"/>
                <w:szCs w:val="22"/>
              </w:rPr>
              <w:lastRenderedPageBreak/>
              <w:t xml:space="preserve">Noteikumu projekta </w:t>
            </w:r>
            <w:r w:rsidR="00A9326C">
              <w:rPr>
                <w:sz w:val="22"/>
                <w:szCs w:val="22"/>
              </w:rPr>
              <w:t xml:space="preserve">19. </w:t>
            </w:r>
            <w:r w:rsidRPr="00CD2844">
              <w:rPr>
                <w:sz w:val="22"/>
                <w:szCs w:val="22"/>
              </w:rPr>
              <w:t>punkts:</w:t>
            </w:r>
          </w:p>
          <w:p w14:paraId="2DF2021D" w14:textId="73C2B316" w:rsidR="009E2348" w:rsidRPr="009E2348" w:rsidRDefault="00A9326C" w:rsidP="009E2348">
            <w:pPr>
              <w:spacing w:after="120"/>
              <w:jc w:val="both"/>
              <w:rPr>
                <w:sz w:val="22"/>
                <w:szCs w:val="22"/>
              </w:rPr>
            </w:pPr>
            <w:r w:rsidRPr="00A9326C">
              <w:rPr>
                <w:sz w:val="22"/>
                <w:szCs w:val="22"/>
              </w:rPr>
              <w:t xml:space="preserve"> </w:t>
            </w:r>
            <w:r w:rsidR="009E2348" w:rsidRPr="009E2348">
              <w:rPr>
                <w:sz w:val="22"/>
                <w:szCs w:val="22"/>
              </w:rPr>
              <w:t>"51.2. šo noteikumu 13.3. apakšpunktā minētā finansējuma saņēmēja projektā:</w:t>
            </w:r>
          </w:p>
          <w:p w14:paraId="3847E615" w14:textId="77777777" w:rsidR="009E2348" w:rsidRPr="009E2348" w:rsidRDefault="009E2348" w:rsidP="009E2348">
            <w:pPr>
              <w:spacing w:after="120"/>
              <w:jc w:val="both"/>
              <w:rPr>
                <w:sz w:val="22"/>
                <w:szCs w:val="22"/>
              </w:rPr>
            </w:pPr>
          </w:p>
          <w:p w14:paraId="39527B69" w14:textId="77777777" w:rsidR="009E2348" w:rsidRPr="009E2348" w:rsidRDefault="009E2348" w:rsidP="009E2348">
            <w:pPr>
              <w:spacing w:after="120"/>
              <w:jc w:val="both"/>
              <w:rPr>
                <w:sz w:val="22"/>
                <w:szCs w:val="22"/>
              </w:rPr>
            </w:pPr>
            <w:r w:rsidRPr="009E2348">
              <w:rPr>
                <w:sz w:val="22"/>
                <w:szCs w:val="22"/>
              </w:rPr>
              <w:t xml:space="preserve">51.2.1. šo noteikumu 33.1.1.2., 33.1.1.3., 33.1.1.4., 33.1.1.5., 33.2.1. un 33.3. apakšpunktā minēto izmaksu segšanai saskaņā ar Komisijas regulu Nr. 1407/2013 un normatīvajiem aktiem par </w:t>
            </w:r>
            <w:proofErr w:type="spellStart"/>
            <w:r w:rsidRPr="009E2348">
              <w:rPr>
                <w:i/>
                <w:iCs/>
                <w:sz w:val="22"/>
                <w:szCs w:val="22"/>
              </w:rPr>
              <w:t>de</w:t>
            </w:r>
            <w:proofErr w:type="spellEnd"/>
            <w:r w:rsidRPr="009E2348">
              <w:rPr>
                <w:i/>
                <w:iCs/>
                <w:sz w:val="22"/>
                <w:szCs w:val="22"/>
              </w:rPr>
              <w:t xml:space="preserve"> </w:t>
            </w:r>
            <w:proofErr w:type="spellStart"/>
            <w:r w:rsidRPr="009E2348">
              <w:rPr>
                <w:i/>
                <w:iCs/>
                <w:sz w:val="22"/>
                <w:szCs w:val="22"/>
              </w:rPr>
              <w:t>minimis</w:t>
            </w:r>
            <w:proofErr w:type="spellEnd"/>
            <w:r w:rsidRPr="009E2348">
              <w:rPr>
                <w:sz w:val="22"/>
                <w:szCs w:val="22"/>
              </w:rPr>
              <w:t xml:space="preserve"> atbalsta uzskaites un piešķiršanas kārtību un </w:t>
            </w:r>
            <w:proofErr w:type="spellStart"/>
            <w:r w:rsidRPr="009E2348">
              <w:rPr>
                <w:i/>
                <w:iCs/>
                <w:sz w:val="22"/>
                <w:szCs w:val="22"/>
              </w:rPr>
              <w:t>de</w:t>
            </w:r>
            <w:proofErr w:type="spellEnd"/>
            <w:r w:rsidRPr="009E2348">
              <w:rPr>
                <w:i/>
                <w:iCs/>
                <w:sz w:val="22"/>
                <w:szCs w:val="22"/>
              </w:rPr>
              <w:t xml:space="preserve"> </w:t>
            </w:r>
            <w:proofErr w:type="spellStart"/>
            <w:r w:rsidRPr="009E2348">
              <w:rPr>
                <w:i/>
                <w:iCs/>
                <w:sz w:val="22"/>
                <w:szCs w:val="22"/>
              </w:rPr>
              <w:t>minimis</w:t>
            </w:r>
            <w:proofErr w:type="spellEnd"/>
            <w:r w:rsidRPr="009E2348">
              <w:rPr>
                <w:sz w:val="22"/>
                <w:szCs w:val="22"/>
              </w:rPr>
              <w:t xml:space="preserve"> atbalsta uzskaites veidlapu paraugiem; </w:t>
            </w:r>
          </w:p>
          <w:p w14:paraId="2C55456F" w14:textId="77777777" w:rsidR="009E2348" w:rsidRPr="009E2348" w:rsidRDefault="009E2348" w:rsidP="009E2348">
            <w:pPr>
              <w:spacing w:after="120"/>
              <w:jc w:val="both"/>
              <w:rPr>
                <w:sz w:val="22"/>
                <w:szCs w:val="22"/>
              </w:rPr>
            </w:pPr>
            <w:r w:rsidRPr="009E2348">
              <w:rPr>
                <w:sz w:val="22"/>
                <w:szCs w:val="22"/>
              </w:rPr>
              <w:t xml:space="preserve">51.2.2. </w:t>
            </w:r>
            <w:bookmarkStart w:id="5" w:name="_Hlk75010204"/>
            <w:r w:rsidRPr="009E2348">
              <w:rPr>
                <w:sz w:val="22"/>
                <w:szCs w:val="22"/>
              </w:rPr>
              <w:t>šo noteikumu 33.1.1.2., 33.1.1.3., 33.1.1.4., 33.1.1.5., 33.2.1. un 33.3. apakšpunktā minēto izmaksu segšanai saskaņā ar Komisijas regulas Nr. 651/2014 31. pantu, ja izpildās šo noteikumu 69. punktā minētais;</w:t>
            </w:r>
          </w:p>
          <w:p w14:paraId="5E558871" w14:textId="77777777" w:rsidR="009E2348" w:rsidRPr="009E2348" w:rsidRDefault="009E2348" w:rsidP="009E2348">
            <w:pPr>
              <w:spacing w:after="120"/>
              <w:jc w:val="both"/>
              <w:rPr>
                <w:sz w:val="22"/>
                <w:szCs w:val="22"/>
              </w:rPr>
            </w:pPr>
            <w:r w:rsidRPr="009E2348">
              <w:rPr>
                <w:sz w:val="22"/>
                <w:szCs w:val="22"/>
              </w:rPr>
              <w:t xml:space="preserve">51.2.3. šo noteikumu 33.1.1.2.8. un 33.1.1.5.8. apakšpunktā minēto izmaksu segšanai </w:t>
            </w:r>
            <w:bookmarkEnd w:id="5"/>
            <w:r w:rsidRPr="009E2348">
              <w:rPr>
                <w:sz w:val="22"/>
                <w:szCs w:val="22"/>
              </w:rPr>
              <w:t xml:space="preserve">saskaņā ar Komisijas regulu Nr. 1407/2013 un normatīvajiem aktiem par </w:t>
            </w:r>
            <w:proofErr w:type="spellStart"/>
            <w:r w:rsidRPr="009E2348">
              <w:rPr>
                <w:i/>
                <w:iCs/>
                <w:sz w:val="22"/>
                <w:szCs w:val="22"/>
              </w:rPr>
              <w:t>de</w:t>
            </w:r>
            <w:proofErr w:type="spellEnd"/>
            <w:r w:rsidRPr="009E2348">
              <w:rPr>
                <w:i/>
                <w:iCs/>
                <w:sz w:val="22"/>
                <w:szCs w:val="22"/>
              </w:rPr>
              <w:t xml:space="preserve"> </w:t>
            </w:r>
            <w:proofErr w:type="spellStart"/>
            <w:r w:rsidRPr="009E2348">
              <w:rPr>
                <w:i/>
                <w:iCs/>
                <w:sz w:val="22"/>
                <w:szCs w:val="22"/>
              </w:rPr>
              <w:t>minimis</w:t>
            </w:r>
            <w:proofErr w:type="spellEnd"/>
            <w:r w:rsidRPr="009E2348">
              <w:rPr>
                <w:sz w:val="22"/>
                <w:szCs w:val="22"/>
              </w:rPr>
              <w:t xml:space="preserve"> atbalsta uzskaites un piešķiršanas kārtību un </w:t>
            </w:r>
            <w:proofErr w:type="spellStart"/>
            <w:r w:rsidRPr="009E2348">
              <w:rPr>
                <w:i/>
                <w:iCs/>
                <w:sz w:val="22"/>
                <w:szCs w:val="22"/>
              </w:rPr>
              <w:t>de</w:t>
            </w:r>
            <w:proofErr w:type="spellEnd"/>
            <w:r w:rsidRPr="009E2348">
              <w:rPr>
                <w:i/>
                <w:iCs/>
                <w:sz w:val="22"/>
                <w:szCs w:val="22"/>
              </w:rPr>
              <w:t xml:space="preserve"> </w:t>
            </w:r>
            <w:proofErr w:type="spellStart"/>
            <w:r w:rsidRPr="009E2348">
              <w:rPr>
                <w:i/>
                <w:iCs/>
                <w:sz w:val="22"/>
                <w:szCs w:val="22"/>
              </w:rPr>
              <w:t>minimis</w:t>
            </w:r>
            <w:proofErr w:type="spellEnd"/>
            <w:r w:rsidRPr="009E2348">
              <w:rPr>
                <w:sz w:val="22"/>
                <w:szCs w:val="22"/>
              </w:rPr>
              <w:t xml:space="preserve"> atbalsta uzskaites veidlapu paraugiem; </w:t>
            </w:r>
          </w:p>
          <w:p w14:paraId="12603E15" w14:textId="0B201413" w:rsidR="009E2348" w:rsidRPr="009E2348" w:rsidRDefault="009E2348" w:rsidP="009E2348">
            <w:pPr>
              <w:spacing w:after="120"/>
              <w:jc w:val="both"/>
              <w:rPr>
                <w:sz w:val="22"/>
                <w:szCs w:val="22"/>
              </w:rPr>
            </w:pPr>
            <w:r w:rsidRPr="009E2348">
              <w:rPr>
                <w:sz w:val="22"/>
                <w:szCs w:val="22"/>
              </w:rPr>
              <w:t xml:space="preserve">51.2.4. šo noteikumu 33.1.1.2.8. un 33.1.1.5.8. apakšpunktā minēto izmaksu segšanai saskaņā ar Komisijas regulas Nr. 651/2014 28. panta 2. punkta c) apakšpunktu un </w:t>
            </w:r>
            <w:r w:rsidR="00716C5D" w:rsidRPr="000F6378">
              <w:rPr>
                <w:sz w:val="22"/>
                <w:szCs w:val="22"/>
              </w:rPr>
              <w:t>3</w:t>
            </w:r>
            <w:r w:rsidRPr="000F6378">
              <w:rPr>
                <w:sz w:val="22"/>
                <w:szCs w:val="22"/>
              </w:rPr>
              <w:t>.</w:t>
            </w:r>
            <w:r w:rsidRPr="009E2348">
              <w:rPr>
                <w:sz w:val="22"/>
                <w:szCs w:val="22"/>
              </w:rPr>
              <w:t xml:space="preserve"> punktu, ja izpildās šo noteikumu 69. punktā minētais. </w:t>
            </w:r>
          </w:p>
          <w:p w14:paraId="113A55BE" w14:textId="77777777" w:rsidR="009E2348" w:rsidRDefault="009E2348" w:rsidP="009E2348">
            <w:pPr>
              <w:spacing w:after="120"/>
              <w:jc w:val="both"/>
              <w:rPr>
                <w:sz w:val="22"/>
                <w:szCs w:val="22"/>
              </w:rPr>
            </w:pPr>
            <w:r w:rsidRPr="009E2348">
              <w:rPr>
                <w:sz w:val="22"/>
                <w:szCs w:val="22"/>
              </w:rPr>
              <w:t>Sniegtais atbalsts ir uzskatāms par komercdarbības atbalstu gala labuma guvējam."</w:t>
            </w:r>
          </w:p>
          <w:p w14:paraId="7A75DF52" w14:textId="77777777" w:rsidR="00D4110B" w:rsidRDefault="00D4110B" w:rsidP="009E2348">
            <w:pPr>
              <w:spacing w:after="120"/>
              <w:jc w:val="both"/>
              <w:rPr>
                <w:sz w:val="22"/>
                <w:szCs w:val="22"/>
              </w:rPr>
            </w:pPr>
          </w:p>
          <w:p w14:paraId="412B20D0" w14:textId="77777777" w:rsidR="00D4110B" w:rsidRDefault="00D4110B" w:rsidP="009E2348">
            <w:pPr>
              <w:spacing w:after="120"/>
              <w:jc w:val="both"/>
              <w:rPr>
                <w:sz w:val="22"/>
                <w:szCs w:val="22"/>
              </w:rPr>
            </w:pPr>
          </w:p>
          <w:p w14:paraId="62126C15" w14:textId="77777777" w:rsidR="00D4110B" w:rsidRDefault="00D4110B" w:rsidP="009E2348">
            <w:pPr>
              <w:spacing w:after="120"/>
              <w:jc w:val="both"/>
              <w:rPr>
                <w:sz w:val="22"/>
                <w:szCs w:val="22"/>
              </w:rPr>
            </w:pPr>
          </w:p>
          <w:p w14:paraId="0150F5DC" w14:textId="77777777" w:rsidR="00D4110B" w:rsidRDefault="00D4110B" w:rsidP="009E2348">
            <w:pPr>
              <w:spacing w:after="120"/>
              <w:jc w:val="both"/>
              <w:rPr>
                <w:sz w:val="22"/>
                <w:szCs w:val="22"/>
              </w:rPr>
            </w:pPr>
          </w:p>
          <w:p w14:paraId="5B051109" w14:textId="77777777" w:rsidR="00D4110B" w:rsidRDefault="00D4110B" w:rsidP="009E2348">
            <w:pPr>
              <w:spacing w:after="120"/>
              <w:jc w:val="both"/>
              <w:rPr>
                <w:sz w:val="22"/>
                <w:szCs w:val="22"/>
              </w:rPr>
            </w:pPr>
          </w:p>
          <w:p w14:paraId="0BAF39CA" w14:textId="62D00843" w:rsidR="00D4110B" w:rsidRDefault="00D4110B" w:rsidP="00D4110B">
            <w:pPr>
              <w:spacing w:after="120"/>
              <w:jc w:val="both"/>
              <w:rPr>
                <w:sz w:val="22"/>
                <w:szCs w:val="22"/>
              </w:rPr>
            </w:pPr>
            <w:r>
              <w:rPr>
                <w:sz w:val="22"/>
                <w:szCs w:val="22"/>
              </w:rPr>
              <w:lastRenderedPageBreak/>
              <w:t>Noteikumu projekta 2. punkts:</w:t>
            </w:r>
          </w:p>
          <w:p w14:paraId="5E6C3814" w14:textId="542DDED2" w:rsidR="00D4110B" w:rsidRPr="00D4110B" w:rsidRDefault="00D4110B" w:rsidP="00D4110B">
            <w:pPr>
              <w:spacing w:after="120"/>
              <w:jc w:val="both"/>
              <w:rPr>
                <w:sz w:val="22"/>
                <w:szCs w:val="22"/>
              </w:rPr>
            </w:pPr>
            <w:r w:rsidRPr="00D4110B">
              <w:rPr>
                <w:sz w:val="22"/>
                <w:szCs w:val="22"/>
              </w:rPr>
              <w:t>"33.1.1.2.8. konsultāciju izmaksas vidējiem komersantiem automatizācijas un robotizācijas risinājumu attīstībai</w:t>
            </w:r>
            <w:r w:rsidR="00002597" w:rsidRPr="000F6378">
              <w:rPr>
                <w:sz w:val="22"/>
                <w:szCs w:val="22"/>
              </w:rPr>
              <w:t xml:space="preserve">, kopā nepārsniedzot 25 000 </w:t>
            </w:r>
            <w:proofErr w:type="spellStart"/>
            <w:r w:rsidR="00002597" w:rsidRPr="000F6378">
              <w:rPr>
                <w:i/>
                <w:iCs/>
                <w:sz w:val="22"/>
                <w:szCs w:val="22"/>
              </w:rPr>
              <w:t>euro</w:t>
            </w:r>
            <w:proofErr w:type="spellEnd"/>
            <w:r w:rsidR="00002597" w:rsidRPr="000F6378">
              <w:rPr>
                <w:sz w:val="22"/>
                <w:szCs w:val="22"/>
              </w:rPr>
              <w:t>,</w:t>
            </w:r>
            <w:r w:rsidR="00002597" w:rsidRPr="000F6378">
              <w:rPr>
                <w:i/>
                <w:iCs/>
                <w:sz w:val="22"/>
                <w:szCs w:val="22"/>
              </w:rPr>
              <w:t xml:space="preserve"> </w:t>
            </w:r>
            <w:r w:rsidR="00002597" w:rsidRPr="000F6378">
              <w:rPr>
                <w:sz w:val="22"/>
                <w:szCs w:val="22"/>
              </w:rPr>
              <w:t xml:space="preserve">un tās ir īstenojamas tikai kopā ar apmācībām mācību projekta ietvaros. Minētais attiecināms gadījumos, ja izmaksas atbilst Komisijas regulas Nr. 651/2014 2. panta 94. punktā noteiktajai inovāciju konsultāciju pakalpojumu definīcijai. Saņemot </w:t>
            </w:r>
            <w:proofErr w:type="spellStart"/>
            <w:r w:rsidR="00002597" w:rsidRPr="000F6378">
              <w:rPr>
                <w:i/>
                <w:iCs/>
                <w:sz w:val="22"/>
                <w:szCs w:val="22"/>
              </w:rPr>
              <w:t>de</w:t>
            </w:r>
            <w:proofErr w:type="spellEnd"/>
            <w:r w:rsidR="00002597" w:rsidRPr="000F6378">
              <w:rPr>
                <w:i/>
                <w:iCs/>
                <w:sz w:val="22"/>
                <w:szCs w:val="22"/>
              </w:rPr>
              <w:t xml:space="preserve"> </w:t>
            </w:r>
            <w:proofErr w:type="spellStart"/>
            <w:r w:rsidR="00002597" w:rsidRPr="000F6378">
              <w:rPr>
                <w:i/>
                <w:iCs/>
                <w:sz w:val="22"/>
                <w:szCs w:val="22"/>
              </w:rPr>
              <w:t>minimis</w:t>
            </w:r>
            <w:proofErr w:type="spellEnd"/>
            <w:r w:rsidR="00002597" w:rsidRPr="000F6378">
              <w:rPr>
                <w:sz w:val="22"/>
                <w:szCs w:val="22"/>
              </w:rPr>
              <w:t xml:space="preserve"> atbalstu atbilstoši Komisijas regulai Nr. 1407/2013, ievērojami Komisijas regulas Nr. 651/2014 2. panta 94. punktā minētās definīcijas nosacījumi</w:t>
            </w:r>
            <w:r w:rsidRPr="000F6378">
              <w:rPr>
                <w:sz w:val="22"/>
                <w:szCs w:val="22"/>
              </w:rPr>
              <w:t>;</w:t>
            </w:r>
            <w:r w:rsidRPr="00D4110B">
              <w:rPr>
                <w:sz w:val="22"/>
                <w:szCs w:val="22"/>
              </w:rPr>
              <w:t xml:space="preserve">  </w:t>
            </w:r>
          </w:p>
          <w:p w14:paraId="78B052BF" w14:textId="77777777" w:rsidR="00D4110B" w:rsidRDefault="00D4110B" w:rsidP="00D4110B">
            <w:pPr>
              <w:spacing w:after="120"/>
              <w:jc w:val="both"/>
              <w:rPr>
                <w:sz w:val="22"/>
                <w:szCs w:val="22"/>
              </w:rPr>
            </w:pPr>
            <w:r w:rsidRPr="00D4110B">
              <w:rPr>
                <w:sz w:val="22"/>
                <w:szCs w:val="22"/>
              </w:rPr>
              <w:t>33.1.1.2.9. iekārtu nomas, datorprogrammu, licenču amortizācijas izmaksas vidējiem un lieliem komersantiem mācību projekta ietvaros."</w:t>
            </w:r>
          </w:p>
          <w:p w14:paraId="00DA43DE" w14:textId="77777777" w:rsidR="000F6378" w:rsidRDefault="000F6378" w:rsidP="00D4110B">
            <w:pPr>
              <w:spacing w:after="120"/>
              <w:jc w:val="both"/>
              <w:rPr>
                <w:sz w:val="22"/>
                <w:szCs w:val="22"/>
              </w:rPr>
            </w:pPr>
          </w:p>
          <w:p w14:paraId="4C97FD40" w14:textId="5FD13C37" w:rsidR="00D4110B" w:rsidRPr="00D4110B" w:rsidRDefault="00D4110B" w:rsidP="00D4110B">
            <w:pPr>
              <w:spacing w:after="120"/>
              <w:jc w:val="both"/>
              <w:rPr>
                <w:sz w:val="22"/>
                <w:szCs w:val="22"/>
              </w:rPr>
            </w:pPr>
            <w:r w:rsidRPr="00D4110B">
              <w:rPr>
                <w:sz w:val="22"/>
                <w:szCs w:val="22"/>
              </w:rPr>
              <w:t>Noteikumu projekta 9. punkts:</w:t>
            </w:r>
          </w:p>
          <w:p w14:paraId="7DDB5FA1" w14:textId="0351D148" w:rsidR="00D4110B" w:rsidRPr="00D4110B" w:rsidRDefault="00D4110B" w:rsidP="00D4110B">
            <w:pPr>
              <w:spacing w:after="120"/>
              <w:jc w:val="both"/>
              <w:rPr>
                <w:sz w:val="22"/>
                <w:szCs w:val="22"/>
              </w:rPr>
            </w:pPr>
            <w:r w:rsidRPr="00D4110B">
              <w:rPr>
                <w:sz w:val="22"/>
                <w:szCs w:val="22"/>
              </w:rPr>
              <w:t xml:space="preserve">"33.1.1.5.8. konsultāciju izmaksas sīkiem (mikro) maziem, vidējiem komersantiem automatizācijas un robotizācijas risinājumu </w:t>
            </w:r>
            <w:r w:rsidRPr="000F6378">
              <w:rPr>
                <w:sz w:val="22"/>
                <w:szCs w:val="22"/>
              </w:rPr>
              <w:t>attīstībai</w:t>
            </w:r>
            <w:r w:rsidR="00002597" w:rsidRPr="000F6378">
              <w:rPr>
                <w:sz w:val="22"/>
                <w:szCs w:val="22"/>
              </w:rPr>
              <w:t>,</w:t>
            </w:r>
            <w:r w:rsidRPr="000F6378">
              <w:rPr>
                <w:sz w:val="22"/>
                <w:szCs w:val="22"/>
              </w:rPr>
              <w:t xml:space="preserve"> </w:t>
            </w:r>
            <w:r w:rsidR="00002597" w:rsidRPr="000F6378">
              <w:rPr>
                <w:sz w:val="22"/>
                <w:szCs w:val="22"/>
              </w:rPr>
              <w:t xml:space="preserve">kopā nepārsniedzot 25 000 </w:t>
            </w:r>
            <w:proofErr w:type="spellStart"/>
            <w:r w:rsidR="00002597" w:rsidRPr="000F6378">
              <w:rPr>
                <w:i/>
                <w:iCs/>
                <w:sz w:val="22"/>
                <w:szCs w:val="22"/>
              </w:rPr>
              <w:t>euro</w:t>
            </w:r>
            <w:proofErr w:type="spellEnd"/>
            <w:r w:rsidR="00002597" w:rsidRPr="000F6378">
              <w:rPr>
                <w:sz w:val="22"/>
                <w:szCs w:val="22"/>
              </w:rPr>
              <w:t>,</w:t>
            </w:r>
            <w:r w:rsidR="00002597" w:rsidRPr="000F6378">
              <w:rPr>
                <w:i/>
                <w:iCs/>
                <w:sz w:val="22"/>
                <w:szCs w:val="22"/>
              </w:rPr>
              <w:t xml:space="preserve"> </w:t>
            </w:r>
            <w:r w:rsidR="00002597" w:rsidRPr="000F6378">
              <w:rPr>
                <w:sz w:val="22"/>
                <w:szCs w:val="22"/>
              </w:rPr>
              <w:t xml:space="preserve">un tās ir īstenojamas tikai kopā ar apmācībām mācību projekta ietvaros. Minētais attiecināms gadījumos, ja izmaksas atbilst Komisijas regulas Nr. 651/2014 2. panta 94. punktā noteiktajai inovāciju konsultāciju pakalpojumu definīcijai. Saņemot </w:t>
            </w:r>
            <w:proofErr w:type="spellStart"/>
            <w:r w:rsidR="00002597" w:rsidRPr="000F6378">
              <w:rPr>
                <w:i/>
                <w:iCs/>
                <w:sz w:val="22"/>
                <w:szCs w:val="22"/>
              </w:rPr>
              <w:t>de</w:t>
            </w:r>
            <w:proofErr w:type="spellEnd"/>
            <w:r w:rsidR="00002597" w:rsidRPr="000F6378">
              <w:rPr>
                <w:i/>
                <w:iCs/>
                <w:sz w:val="22"/>
                <w:szCs w:val="22"/>
              </w:rPr>
              <w:t xml:space="preserve"> </w:t>
            </w:r>
            <w:proofErr w:type="spellStart"/>
            <w:r w:rsidR="00002597" w:rsidRPr="000F6378">
              <w:rPr>
                <w:i/>
                <w:iCs/>
                <w:sz w:val="22"/>
                <w:szCs w:val="22"/>
              </w:rPr>
              <w:t>minimis</w:t>
            </w:r>
            <w:proofErr w:type="spellEnd"/>
            <w:r w:rsidR="00002597" w:rsidRPr="000F6378">
              <w:rPr>
                <w:sz w:val="22"/>
                <w:szCs w:val="22"/>
              </w:rPr>
              <w:t xml:space="preserve"> atbalstu atbilstoši Komisijas regulai Nr. 1407/2013, ievērojami Komisijas regulas Nr. 651/2014 2. panta 94. punktā minētās definīcijas nosacījumi</w:t>
            </w:r>
            <w:r w:rsidRPr="000F6378">
              <w:rPr>
                <w:sz w:val="22"/>
                <w:szCs w:val="22"/>
              </w:rPr>
              <w:t>;</w:t>
            </w:r>
            <w:r w:rsidRPr="00D4110B">
              <w:rPr>
                <w:sz w:val="22"/>
                <w:szCs w:val="22"/>
              </w:rPr>
              <w:t xml:space="preserve">  </w:t>
            </w:r>
          </w:p>
          <w:p w14:paraId="63F0AC75" w14:textId="77777777" w:rsidR="00D4110B" w:rsidRPr="00D4110B" w:rsidRDefault="00D4110B" w:rsidP="00D4110B">
            <w:pPr>
              <w:spacing w:after="120"/>
              <w:jc w:val="both"/>
              <w:rPr>
                <w:sz w:val="22"/>
                <w:szCs w:val="22"/>
              </w:rPr>
            </w:pPr>
            <w:r w:rsidRPr="00D4110B">
              <w:rPr>
                <w:sz w:val="22"/>
                <w:szCs w:val="22"/>
              </w:rPr>
              <w:t xml:space="preserve">33.1.1.5.9. iekārtu nomas, datorprogrammu, licenču amortizācijas izmaksas sīkiem (mikro) </w:t>
            </w:r>
            <w:r w:rsidRPr="00D4110B">
              <w:rPr>
                <w:sz w:val="22"/>
                <w:szCs w:val="22"/>
              </w:rPr>
              <w:lastRenderedPageBreak/>
              <w:t xml:space="preserve">maziem, vidējiem, lieliem komersantiem mācību projekta ietvaros; </w:t>
            </w:r>
          </w:p>
          <w:p w14:paraId="2314DFD8" w14:textId="77777777" w:rsidR="00D4110B" w:rsidRPr="00D4110B" w:rsidRDefault="00D4110B" w:rsidP="00D4110B">
            <w:pPr>
              <w:spacing w:after="120"/>
              <w:jc w:val="both"/>
              <w:rPr>
                <w:sz w:val="22"/>
                <w:szCs w:val="22"/>
              </w:rPr>
            </w:pPr>
            <w:r w:rsidRPr="00D4110B">
              <w:rPr>
                <w:sz w:val="22"/>
                <w:szCs w:val="22"/>
              </w:rPr>
              <w:t>33.1.1.5.10. nodarbināto dienas nauda, ja apmācības norisinās ārvalstīs ilgāk par vienu dienu;</w:t>
            </w:r>
          </w:p>
          <w:p w14:paraId="05C36611" w14:textId="506A3DD1" w:rsidR="00E032B0" w:rsidRDefault="00D4110B" w:rsidP="0000268D">
            <w:pPr>
              <w:spacing w:after="120"/>
              <w:jc w:val="both"/>
              <w:rPr>
                <w:sz w:val="22"/>
                <w:szCs w:val="22"/>
              </w:rPr>
            </w:pPr>
            <w:r w:rsidRPr="00D4110B">
              <w:rPr>
                <w:sz w:val="22"/>
                <w:szCs w:val="22"/>
              </w:rPr>
              <w:t>33.1.1.5.11. pasniedzēju ceļa (transporta) izmaksas par starpvalstu un starppilsētu ekonomiskās klases sabiedriskā transporta izmantošanu, tai skaitā kopējās lietošanas transportlīdzekli kā taksometrs vai auto noma, un izmitināšanas izmaksas, ja apmācības norisinās Latvijā.</w:t>
            </w:r>
            <w:r w:rsidR="006726DA">
              <w:t xml:space="preserve"> </w:t>
            </w:r>
            <w:r w:rsidR="006726DA" w:rsidRPr="000F6378">
              <w:rPr>
                <w:sz w:val="22"/>
                <w:szCs w:val="22"/>
              </w:rPr>
              <w:t>Taksometra vai auto noma izmantojama tikai gadījumā, kad to izmanto ne mazāk kā trīs personas vienlaicīgi.</w:t>
            </w:r>
            <w:r w:rsidRPr="000F6378">
              <w:rPr>
                <w:sz w:val="22"/>
                <w:szCs w:val="22"/>
              </w:rPr>
              <w:t>"</w:t>
            </w:r>
          </w:p>
          <w:p w14:paraId="5A580741" w14:textId="77777777" w:rsidR="00E032B0" w:rsidRDefault="00E032B0" w:rsidP="0000268D">
            <w:pPr>
              <w:spacing w:after="120"/>
              <w:jc w:val="both"/>
              <w:rPr>
                <w:sz w:val="22"/>
                <w:szCs w:val="22"/>
              </w:rPr>
            </w:pPr>
          </w:p>
          <w:p w14:paraId="0D6CBA1E" w14:textId="4B9E4248" w:rsidR="0000268D" w:rsidRDefault="0000268D" w:rsidP="0000268D">
            <w:pPr>
              <w:spacing w:after="120"/>
              <w:jc w:val="both"/>
              <w:rPr>
                <w:sz w:val="22"/>
                <w:szCs w:val="22"/>
              </w:rPr>
            </w:pPr>
            <w:r>
              <w:rPr>
                <w:sz w:val="22"/>
                <w:szCs w:val="22"/>
              </w:rPr>
              <w:t>Noteikumu projekta 19. punkts:</w:t>
            </w:r>
          </w:p>
          <w:p w14:paraId="4B190072" w14:textId="207D993F" w:rsidR="0000268D" w:rsidRPr="0000268D" w:rsidRDefault="0000268D" w:rsidP="0000268D">
            <w:pPr>
              <w:spacing w:after="120"/>
              <w:jc w:val="both"/>
              <w:rPr>
                <w:sz w:val="22"/>
                <w:szCs w:val="22"/>
              </w:rPr>
            </w:pPr>
            <w:r w:rsidRPr="0000268D">
              <w:rPr>
                <w:sz w:val="22"/>
                <w:szCs w:val="22"/>
              </w:rPr>
              <w:t>"51.2. šo noteikumu 13.3. apakšpunktā minētā finansējuma saņēmēja projektā:</w:t>
            </w:r>
          </w:p>
          <w:p w14:paraId="50B2B210" w14:textId="77777777" w:rsidR="0000268D" w:rsidRPr="0000268D" w:rsidRDefault="0000268D" w:rsidP="0000268D">
            <w:pPr>
              <w:spacing w:after="120"/>
              <w:jc w:val="both"/>
              <w:rPr>
                <w:sz w:val="22"/>
                <w:szCs w:val="22"/>
              </w:rPr>
            </w:pPr>
            <w:r w:rsidRPr="0000268D">
              <w:rPr>
                <w:sz w:val="22"/>
                <w:szCs w:val="22"/>
              </w:rPr>
              <w:t xml:space="preserve">51.2.1. šo noteikumu 33.1.1.2., 33.1.1.3., 33.1.1.4., 33.1.1.5., 33.2.1. un 33.3. apakšpunktā minēto izmaksu segšanai saskaņā ar Komisijas regulu Nr. 1407/2013 un normatīvajiem aktiem par </w:t>
            </w:r>
            <w:proofErr w:type="spellStart"/>
            <w:r w:rsidRPr="0000268D">
              <w:rPr>
                <w:i/>
                <w:iCs/>
                <w:sz w:val="22"/>
                <w:szCs w:val="22"/>
              </w:rPr>
              <w:t>de</w:t>
            </w:r>
            <w:proofErr w:type="spellEnd"/>
            <w:r w:rsidRPr="0000268D">
              <w:rPr>
                <w:i/>
                <w:iCs/>
                <w:sz w:val="22"/>
                <w:szCs w:val="22"/>
              </w:rPr>
              <w:t xml:space="preserve"> </w:t>
            </w:r>
            <w:proofErr w:type="spellStart"/>
            <w:r w:rsidRPr="0000268D">
              <w:rPr>
                <w:i/>
                <w:iCs/>
                <w:sz w:val="22"/>
                <w:szCs w:val="22"/>
              </w:rPr>
              <w:t>minimis</w:t>
            </w:r>
            <w:proofErr w:type="spellEnd"/>
            <w:r w:rsidRPr="0000268D">
              <w:rPr>
                <w:sz w:val="22"/>
                <w:szCs w:val="22"/>
              </w:rPr>
              <w:t xml:space="preserve"> atbalsta uzskaites un piešķiršanas kārtību un </w:t>
            </w:r>
            <w:proofErr w:type="spellStart"/>
            <w:r w:rsidRPr="0000268D">
              <w:rPr>
                <w:i/>
                <w:iCs/>
                <w:sz w:val="22"/>
                <w:szCs w:val="22"/>
              </w:rPr>
              <w:t>de</w:t>
            </w:r>
            <w:proofErr w:type="spellEnd"/>
            <w:r w:rsidRPr="0000268D">
              <w:rPr>
                <w:i/>
                <w:iCs/>
                <w:sz w:val="22"/>
                <w:szCs w:val="22"/>
              </w:rPr>
              <w:t xml:space="preserve"> </w:t>
            </w:r>
            <w:proofErr w:type="spellStart"/>
            <w:r w:rsidRPr="0000268D">
              <w:rPr>
                <w:i/>
                <w:iCs/>
                <w:sz w:val="22"/>
                <w:szCs w:val="22"/>
              </w:rPr>
              <w:t>minimis</w:t>
            </w:r>
            <w:proofErr w:type="spellEnd"/>
            <w:r w:rsidRPr="0000268D">
              <w:rPr>
                <w:sz w:val="22"/>
                <w:szCs w:val="22"/>
              </w:rPr>
              <w:t xml:space="preserve"> atbalsta uzskaites veidlapu paraugiem; </w:t>
            </w:r>
          </w:p>
          <w:p w14:paraId="7265ED3F" w14:textId="77777777" w:rsidR="0000268D" w:rsidRPr="0000268D" w:rsidRDefault="0000268D" w:rsidP="0000268D">
            <w:pPr>
              <w:spacing w:after="120"/>
              <w:jc w:val="both"/>
              <w:rPr>
                <w:sz w:val="22"/>
                <w:szCs w:val="22"/>
              </w:rPr>
            </w:pPr>
            <w:r w:rsidRPr="0000268D">
              <w:rPr>
                <w:sz w:val="22"/>
                <w:szCs w:val="22"/>
              </w:rPr>
              <w:t>51.2.2. šo noteikumu 33.1.1.2., 33.1.1.3., 33.1.1.4., 33.1.1.5., 33.2.1. un 33.3. apakšpunktā minēto izmaksu segšanai saskaņā ar Komisijas regulas Nr. 651/2014 31. pantu, ja izpildās šo noteikumu 69. punktā minētais;</w:t>
            </w:r>
          </w:p>
          <w:p w14:paraId="4B4B7722" w14:textId="77777777" w:rsidR="0000268D" w:rsidRPr="0000268D" w:rsidRDefault="0000268D" w:rsidP="0000268D">
            <w:pPr>
              <w:spacing w:after="120"/>
              <w:jc w:val="both"/>
              <w:rPr>
                <w:sz w:val="22"/>
                <w:szCs w:val="22"/>
              </w:rPr>
            </w:pPr>
            <w:r w:rsidRPr="0000268D">
              <w:rPr>
                <w:sz w:val="22"/>
                <w:szCs w:val="22"/>
              </w:rPr>
              <w:t xml:space="preserve">51.2.3. šo noteikumu 33.1.1.2.8. un 33.1.1.5.8. apakšpunktā minēto izmaksu segšanai saskaņā ar Komisijas regulu Nr. 1407/2013 un </w:t>
            </w:r>
            <w:r w:rsidRPr="0000268D">
              <w:rPr>
                <w:sz w:val="22"/>
                <w:szCs w:val="22"/>
              </w:rPr>
              <w:lastRenderedPageBreak/>
              <w:t xml:space="preserve">normatīvajiem aktiem par </w:t>
            </w:r>
            <w:proofErr w:type="spellStart"/>
            <w:r w:rsidRPr="0000268D">
              <w:rPr>
                <w:i/>
                <w:iCs/>
                <w:sz w:val="22"/>
                <w:szCs w:val="22"/>
              </w:rPr>
              <w:t>de</w:t>
            </w:r>
            <w:proofErr w:type="spellEnd"/>
            <w:r w:rsidRPr="0000268D">
              <w:rPr>
                <w:i/>
                <w:iCs/>
                <w:sz w:val="22"/>
                <w:szCs w:val="22"/>
              </w:rPr>
              <w:t xml:space="preserve"> </w:t>
            </w:r>
            <w:proofErr w:type="spellStart"/>
            <w:r w:rsidRPr="0000268D">
              <w:rPr>
                <w:i/>
                <w:iCs/>
                <w:sz w:val="22"/>
                <w:szCs w:val="22"/>
              </w:rPr>
              <w:t>minimis</w:t>
            </w:r>
            <w:proofErr w:type="spellEnd"/>
            <w:r w:rsidRPr="0000268D">
              <w:rPr>
                <w:sz w:val="22"/>
                <w:szCs w:val="22"/>
              </w:rPr>
              <w:t xml:space="preserve"> atbalsta uzskaites un piešķiršanas kārtību un </w:t>
            </w:r>
            <w:proofErr w:type="spellStart"/>
            <w:r w:rsidRPr="0000268D">
              <w:rPr>
                <w:i/>
                <w:iCs/>
                <w:sz w:val="22"/>
                <w:szCs w:val="22"/>
              </w:rPr>
              <w:t>de</w:t>
            </w:r>
            <w:proofErr w:type="spellEnd"/>
            <w:r w:rsidRPr="0000268D">
              <w:rPr>
                <w:i/>
                <w:iCs/>
                <w:sz w:val="22"/>
                <w:szCs w:val="22"/>
              </w:rPr>
              <w:t xml:space="preserve"> </w:t>
            </w:r>
            <w:proofErr w:type="spellStart"/>
            <w:r w:rsidRPr="0000268D">
              <w:rPr>
                <w:i/>
                <w:iCs/>
                <w:sz w:val="22"/>
                <w:szCs w:val="22"/>
              </w:rPr>
              <w:t>minimis</w:t>
            </w:r>
            <w:proofErr w:type="spellEnd"/>
            <w:r w:rsidRPr="0000268D">
              <w:rPr>
                <w:sz w:val="22"/>
                <w:szCs w:val="22"/>
              </w:rPr>
              <w:t xml:space="preserve"> atbalsta uzskaites veidlapu paraugiem; </w:t>
            </w:r>
          </w:p>
          <w:p w14:paraId="292626E6" w14:textId="1D0DCBB9" w:rsidR="0000268D" w:rsidRPr="0000268D" w:rsidRDefault="0000268D" w:rsidP="0000268D">
            <w:pPr>
              <w:spacing w:after="120"/>
              <w:jc w:val="both"/>
              <w:rPr>
                <w:sz w:val="22"/>
                <w:szCs w:val="22"/>
              </w:rPr>
            </w:pPr>
            <w:r w:rsidRPr="0000268D">
              <w:rPr>
                <w:sz w:val="22"/>
                <w:szCs w:val="22"/>
              </w:rPr>
              <w:t xml:space="preserve">51.2.4. šo noteikumu 33.1.1.2.8. un 33.1.1.5.8. apakšpunktā minēto izmaksu segšanai saskaņā ar Komisijas regulas Nr. </w:t>
            </w:r>
            <w:r w:rsidRPr="000F6378">
              <w:rPr>
                <w:sz w:val="22"/>
                <w:szCs w:val="22"/>
              </w:rPr>
              <w:t xml:space="preserve">651/2014 28. panta 2. punkta c) apakšpunktu un </w:t>
            </w:r>
            <w:r w:rsidR="00F27E85" w:rsidRPr="000F6378">
              <w:rPr>
                <w:sz w:val="22"/>
                <w:szCs w:val="22"/>
              </w:rPr>
              <w:t>3</w:t>
            </w:r>
            <w:r w:rsidRPr="000F6378">
              <w:rPr>
                <w:sz w:val="22"/>
                <w:szCs w:val="22"/>
              </w:rPr>
              <w:t>.</w:t>
            </w:r>
            <w:r w:rsidRPr="0000268D">
              <w:rPr>
                <w:sz w:val="22"/>
                <w:szCs w:val="22"/>
              </w:rPr>
              <w:t xml:space="preserve"> punktu, ja izpildās šo noteikumu 69. punktā minētais. </w:t>
            </w:r>
          </w:p>
          <w:p w14:paraId="37AF0D56" w14:textId="77777777" w:rsidR="0000268D" w:rsidRPr="0000268D" w:rsidRDefault="0000268D" w:rsidP="0000268D">
            <w:pPr>
              <w:spacing w:after="120"/>
              <w:jc w:val="both"/>
              <w:rPr>
                <w:sz w:val="22"/>
                <w:szCs w:val="22"/>
              </w:rPr>
            </w:pPr>
            <w:r w:rsidRPr="0000268D">
              <w:rPr>
                <w:sz w:val="22"/>
                <w:szCs w:val="22"/>
              </w:rPr>
              <w:t>Sniegtais atbalsts ir uzskatāms par komercdarbības atbalstu gala labuma guvējam."</w:t>
            </w:r>
          </w:p>
          <w:p w14:paraId="46CF781A" w14:textId="77777777" w:rsidR="00D4110B" w:rsidRDefault="00D4110B" w:rsidP="009E2348">
            <w:pPr>
              <w:spacing w:after="120"/>
              <w:jc w:val="both"/>
              <w:rPr>
                <w:sz w:val="22"/>
                <w:szCs w:val="22"/>
              </w:rPr>
            </w:pPr>
          </w:p>
          <w:p w14:paraId="29B6D96A" w14:textId="1E3B1025" w:rsidR="00CE4D8F" w:rsidRPr="00CE4D8F" w:rsidRDefault="00CE4D8F" w:rsidP="00CE4D8F">
            <w:pPr>
              <w:spacing w:after="120"/>
              <w:jc w:val="both"/>
              <w:rPr>
                <w:sz w:val="22"/>
                <w:szCs w:val="22"/>
              </w:rPr>
            </w:pPr>
            <w:r>
              <w:rPr>
                <w:sz w:val="22"/>
                <w:szCs w:val="22"/>
              </w:rPr>
              <w:t>Noteikumu projekta 24. punkts:</w:t>
            </w:r>
          </w:p>
          <w:p w14:paraId="66BF8B6D" w14:textId="77777777" w:rsidR="00CE4D8F" w:rsidRPr="00CE4D8F" w:rsidRDefault="00CE4D8F" w:rsidP="00CE4D8F">
            <w:pPr>
              <w:spacing w:after="120"/>
              <w:jc w:val="both"/>
              <w:rPr>
                <w:sz w:val="22"/>
                <w:szCs w:val="22"/>
              </w:rPr>
            </w:pPr>
            <w:r w:rsidRPr="00CE4D8F">
              <w:rPr>
                <w:sz w:val="22"/>
                <w:szCs w:val="22"/>
              </w:rPr>
              <w:t>"</w:t>
            </w:r>
            <w:bookmarkStart w:id="6" w:name="_Hlk75183964"/>
            <w:r w:rsidRPr="00CE4D8F">
              <w:rPr>
                <w:sz w:val="22"/>
                <w:szCs w:val="22"/>
              </w:rPr>
              <w:t>58.3.1.</w:t>
            </w:r>
            <w:r w:rsidRPr="00CE4D8F">
              <w:rPr>
                <w:sz w:val="22"/>
                <w:szCs w:val="22"/>
                <w:vertAlign w:val="superscript"/>
              </w:rPr>
              <w:t>1</w:t>
            </w:r>
            <w:r w:rsidRPr="00CE4D8F">
              <w:rPr>
                <w:sz w:val="22"/>
                <w:szCs w:val="22"/>
              </w:rPr>
              <w:t xml:space="preserve"> </w:t>
            </w:r>
            <w:bookmarkEnd w:id="6"/>
            <w:r w:rsidRPr="00CE4D8F">
              <w:rPr>
                <w:sz w:val="22"/>
                <w:szCs w:val="22"/>
              </w:rPr>
              <w:t>sīkajiem (mikro) un mazajiem komersantiem – 50 % saskaņā ar Komisijas regulas Nr. 651/2014 28. panta 2. punkta c) apakšpunktu;</w:t>
            </w:r>
          </w:p>
          <w:p w14:paraId="1738B365" w14:textId="77777777" w:rsidR="00CE4D8F" w:rsidRPr="00CE4D8F" w:rsidRDefault="00CE4D8F" w:rsidP="00CE4D8F">
            <w:pPr>
              <w:spacing w:after="120"/>
              <w:jc w:val="both"/>
              <w:rPr>
                <w:sz w:val="22"/>
                <w:szCs w:val="22"/>
              </w:rPr>
            </w:pPr>
            <w:r w:rsidRPr="00CE4D8F">
              <w:rPr>
                <w:sz w:val="22"/>
                <w:szCs w:val="22"/>
              </w:rPr>
              <w:t>58.3.2.</w:t>
            </w:r>
            <w:r w:rsidRPr="00CE4D8F">
              <w:rPr>
                <w:sz w:val="22"/>
                <w:szCs w:val="22"/>
                <w:vertAlign w:val="superscript"/>
              </w:rPr>
              <w:t>1</w:t>
            </w:r>
            <w:r w:rsidRPr="00CE4D8F">
              <w:rPr>
                <w:sz w:val="22"/>
                <w:szCs w:val="22"/>
              </w:rPr>
              <w:t xml:space="preserve"> vidējiem komersantiem – 50% saskaņā ar Komisijas regulas Nr. 651/2014 28. panta 2. punkta c) apakšpunktu."</w:t>
            </w:r>
          </w:p>
          <w:p w14:paraId="16B9337D" w14:textId="77777777" w:rsidR="00D56AC9" w:rsidRDefault="00D56AC9" w:rsidP="009E2348">
            <w:pPr>
              <w:spacing w:after="120"/>
              <w:jc w:val="both"/>
              <w:rPr>
                <w:sz w:val="22"/>
                <w:szCs w:val="22"/>
              </w:rPr>
            </w:pPr>
          </w:p>
          <w:p w14:paraId="3B18E25C" w14:textId="75AA0431" w:rsidR="00CE4D8F" w:rsidRDefault="00CE4D8F" w:rsidP="009E2348">
            <w:pPr>
              <w:spacing w:after="120"/>
              <w:jc w:val="both"/>
              <w:rPr>
                <w:sz w:val="22"/>
                <w:szCs w:val="22"/>
              </w:rPr>
            </w:pPr>
            <w:r>
              <w:rPr>
                <w:sz w:val="22"/>
                <w:szCs w:val="22"/>
              </w:rPr>
              <w:t>Noteikumu projekta</w:t>
            </w:r>
            <w:r w:rsidR="00B73165">
              <w:rPr>
                <w:sz w:val="22"/>
                <w:szCs w:val="22"/>
              </w:rPr>
              <w:t xml:space="preserve"> </w:t>
            </w:r>
            <w:r w:rsidR="002E656F">
              <w:rPr>
                <w:sz w:val="22"/>
                <w:szCs w:val="22"/>
              </w:rPr>
              <w:t xml:space="preserve">26. </w:t>
            </w:r>
            <w:r>
              <w:rPr>
                <w:sz w:val="22"/>
                <w:szCs w:val="22"/>
              </w:rPr>
              <w:t xml:space="preserve"> punkts:</w:t>
            </w:r>
          </w:p>
          <w:p w14:paraId="4FDB358E" w14:textId="77777777" w:rsidR="00A24611" w:rsidRDefault="002E656F" w:rsidP="005A1C31">
            <w:pPr>
              <w:spacing w:after="120"/>
              <w:jc w:val="both"/>
              <w:rPr>
                <w:sz w:val="22"/>
                <w:szCs w:val="22"/>
              </w:rPr>
            </w:pPr>
            <w:r w:rsidRPr="002E656F">
              <w:rPr>
                <w:sz w:val="22"/>
                <w:szCs w:val="22"/>
              </w:rPr>
              <w:t>"59.</w:t>
            </w:r>
            <w:r w:rsidRPr="002E656F">
              <w:rPr>
                <w:sz w:val="22"/>
                <w:szCs w:val="22"/>
                <w:vertAlign w:val="superscript"/>
              </w:rPr>
              <w:t>1</w:t>
            </w:r>
            <w:r w:rsidRPr="002E656F">
              <w:rPr>
                <w:sz w:val="22"/>
                <w:szCs w:val="22"/>
              </w:rPr>
              <w:t xml:space="preserve"> Finansējuma intensitāti, kas minēta šo noteikumu 58.3.1.</w:t>
            </w:r>
            <w:r w:rsidRPr="002E656F">
              <w:rPr>
                <w:sz w:val="22"/>
                <w:szCs w:val="22"/>
                <w:vertAlign w:val="superscript"/>
              </w:rPr>
              <w:t>1</w:t>
            </w:r>
            <w:r w:rsidRPr="002E656F">
              <w:rPr>
                <w:sz w:val="22"/>
                <w:szCs w:val="22"/>
              </w:rPr>
              <w:t xml:space="preserve"> un 58.3.2.</w:t>
            </w:r>
            <w:r w:rsidRPr="002E656F">
              <w:rPr>
                <w:sz w:val="22"/>
                <w:szCs w:val="22"/>
                <w:vertAlign w:val="superscript"/>
              </w:rPr>
              <w:t>1</w:t>
            </w:r>
            <w:r w:rsidRPr="002E656F">
              <w:rPr>
                <w:sz w:val="22"/>
                <w:szCs w:val="22"/>
              </w:rPr>
              <w:t xml:space="preserve"> apakšpunktā, var palielināt par 50%, ja kopējā atbalsta summa inovācijas konsultāciju un atbalsta pakalpojumiem vienam uzņēmumam jebkurā triju gadu periodā nepārsniedz 200 000 </w:t>
            </w:r>
            <w:proofErr w:type="spellStart"/>
            <w:r w:rsidRPr="002E656F">
              <w:rPr>
                <w:i/>
                <w:iCs/>
                <w:sz w:val="22"/>
                <w:szCs w:val="22"/>
              </w:rPr>
              <w:t>euro</w:t>
            </w:r>
            <w:proofErr w:type="spellEnd"/>
            <w:r w:rsidRPr="002E656F">
              <w:rPr>
                <w:sz w:val="22"/>
                <w:szCs w:val="22"/>
              </w:rPr>
              <w:t>."</w:t>
            </w:r>
          </w:p>
          <w:p w14:paraId="1BAC8103" w14:textId="7F4D7C49" w:rsidR="000F6378" w:rsidRDefault="000F6378" w:rsidP="005A1C31">
            <w:pPr>
              <w:spacing w:after="120"/>
              <w:jc w:val="both"/>
              <w:rPr>
                <w:sz w:val="22"/>
                <w:szCs w:val="22"/>
              </w:rPr>
            </w:pPr>
          </w:p>
          <w:p w14:paraId="5AA5EAE3" w14:textId="67900D51" w:rsidR="000F6378" w:rsidRDefault="000F6378" w:rsidP="005A1C31">
            <w:pPr>
              <w:spacing w:after="120"/>
              <w:jc w:val="both"/>
              <w:rPr>
                <w:sz w:val="22"/>
                <w:szCs w:val="22"/>
              </w:rPr>
            </w:pPr>
            <w:r>
              <w:rPr>
                <w:sz w:val="22"/>
                <w:szCs w:val="22"/>
              </w:rPr>
              <w:t>Noteikumu projekta 30. punkts:</w:t>
            </w:r>
          </w:p>
          <w:p w14:paraId="70D3F98D" w14:textId="1C5BD18B" w:rsidR="000F6378" w:rsidRPr="002373E2" w:rsidRDefault="000F6378" w:rsidP="005A1C31">
            <w:pPr>
              <w:spacing w:after="120"/>
              <w:jc w:val="both"/>
              <w:rPr>
                <w:sz w:val="22"/>
                <w:szCs w:val="22"/>
              </w:rPr>
            </w:pPr>
            <w:r w:rsidRPr="000F6378">
              <w:rPr>
                <w:sz w:val="22"/>
                <w:szCs w:val="22"/>
              </w:rPr>
              <w:lastRenderedPageBreak/>
              <w:t>"73.1.</w:t>
            </w:r>
            <w:r w:rsidRPr="000F6378">
              <w:rPr>
                <w:sz w:val="22"/>
                <w:szCs w:val="22"/>
                <w:vertAlign w:val="superscript"/>
              </w:rPr>
              <w:t>1</w:t>
            </w:r>
            <w:r w:rsidRPr="000F6378">
              <w:rPr>
                <w:sz w:val="22"/>
                <w:szCs w:val="22"/>
              </w:rPr>
              <w:t xml:space="preserve"> sīkajam (mikro), mazajam un vidējam komersantam ir 100% šo noteikumu 51.2.3. apakšpunktā minētajām izmaksām."</w:t>
            </w:r>
          </w:p>
        </w:tc>
      </w:tr>
      <w:tr w:rsidR="005A1C31" w:rsidRPr="002373E2" w14:paraId="3FCB0777"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0C5AA0" w14:textId="77777777" w:rsidR="005A1C31" w:rsidRPr="002373E2" w:rsidRDefault="005A1C31" w:rsidP="00AB23C9">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A8007D" w14:textId="25A2E743" w:rsidR="005A1C31" w:rsidRPr="002373E2" w:rsidRDefault="005A1C31" w:rsidP="00BD2AC7">
            <w:pPr>
              <w:jc w:val="both"/>
              <w:rPr>
                <w:sz w:val="22"/>
                <w:szCs w:val="22"/>
              </w:rPr>
            </w:pP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B7BB6B" w14:textId="6D01288F" w:rsidR="00204183" w:rsidRPr="00204183" w:rsidRDefault="00204183" w:rsidP="00204183">
            <w:pPr>
              <w:jc w:val="both"/>
              <w:rPr>
                <w:b/>
                <w:sz w:val="22"/>
                <w:szCs w:val="22"/>
              </w:rPr>
            </w:pPr>
            <w:r w:rsidRPr="00204183">
              <w:rPr>
                <w:b/>
                <w:sz w:val="22"/>
                <w:szCs w:val="22"/>
              </w:rPr>
              <w:t xml:space="preserve">Finanšu ministrijas 28.04.2021. </w:t>
            </w:r>
            <w:r w:rsidR="00FC48ED">
              <w:rPr>
                <w:b/>
                <w:sz w:val="22"/>
                <w:szCs w:val="22"/>
              </w:rPr>
              <w:t>4.</w:t>
            </w:r>
            <w:r w:rsidRPr="00204183">
              <w:rPr>
                <w:b/>
                <w:sz w:val="22"/>
                <w:szCs w:val="22"/>
              </w:rPr>
              <w:t>iebildums</w:t>
            </w:r>
          </w:p>
          <w:p w14:paraId="5F886C69" w14:textId="2A2CF74F" w:rsidR="00204183" w:rsidRPr="00204183" w:rsidRDefault="00FC48ED" w:rsidP="00D240D5">
            <w:pPr>
              <w:jc w:val="both"/>
              <w:rPr>
                <w:sz w:val="22"/>
                <w:szCs w:val="22"/>
              </w:rPr>
            </w:pPr>
            <w:r>
              <w:rPr>
                <w:sz w:val="22"/>
                <w:szCs w:val="22"/>
              </w:rPr>
              <w:t>“4.</w:t>
            </w:r>
            <w:r w:rsidR="00204183" w:rsidRPr="77BBD5D8">
              <w:rPr>
                <w:sz w:val="22"/>
                <w:szCs w:val="22"/>
              </w:rPr>
              <w:t xml:space="preserve">Vēršam uzmanību, ka no MK noteikumu projekta ir secināms, ka tā 7.punktā ietvertais MK noteikumu Nr. 365 33.1.4.apakšpunkts, kas paredz jaunu izmaksu kategoriju, ir attiecināms uz MK noteikumu Nr.365  22. punktā noteiktajām darbībām un 13.3.punktā definēto projekta iesniedzēju. Attiecīgi aicinām pārskatīt un precizēt MK noteikumu projekta 13.punktā izteikto MK noteikumu Nr. 365 53. punktu tā, lai no tā redakcijas būtu nepārprotami nolasāms, ka MK noteikumu Nr. 365 33.1.4. apakšpunktā minētās izmaksas ir attiecināmas tikai uz MK noteikumu Nr. 365 13.3. apakšpunktā minēto tiešās valsts pārvaldes iestādi, kas projektu īsteno savas funkcijas ietvaros. Ja MK noteikumu Nr. 365 33.1.4. apakšpunktā minētās izmaksas ir plānots attiecināt uz MK noteikumu Nr.365 13.1. un 13.2. apakšpunktā minētajiem finansējuma saņēmējiem, tad tas ir uzskatāms par </w:t>
            </w:r>
            <w:proofErr w:type="spellStart"/>
            <w:r w:rsidR="00204183" w:rsidRPr="77BBD5D8">
              <w:rPr>
                <w:i/>
                <w:iCs/>
                <w:sz w:val="22"/>
                <w:szCs w:val="22"/>
              </w:rPr>
              <w:t>de</w:t>
            </w:r>
            <w:proofErr w:type="spellEnd"/>
            <w:r w:rsidR="00204183" w:rsidRPr="77BBD5D8">
              <w:rPr>
                <w:i/>
                <w:iCs/>
                <w:sz w:val="22"/>
                <w:szCs w:val="22"/>
              </w:rPr>
              <w:t xml:space="preserve"> </w:t>
            </w:r>
            <w:proofErr w:type="spellStart"/>
            <w:r w:rsidR="00204183" w:rsidRPr="77BBD5D8">
              <w:rPr>
                <w:i/>
                <w:iCs/>
                <w:sz w:val="22"/>
                <w:szCs w:val="22"/>
              </w:rPr>
              <w:t>minimis</w:t>
            </w:r>
            <w:proofErr w:type="spellEnd"/>
            <w:r w:rsidR="00204183" w:rsidRPr="77BBD5D8">
              <w:rPr>
                <w:sz w:val="22"/>
                <w:szCs w:val="22"/>
              </w:rPr>
              <w:t xml:space="preserve"> atbalstu šiem subjektiem un attiecīgi atspoguļojams MK noteikumu projektā. Atbilstoši lūdzam precizēt arī anotācijas I. sadaļas “Tiesību akta projekta izstrādes nepieciešamība” 2. punktā “Pašreizējā situācija un problēmas, kuru risināšanai tiesību akta projekts izstrādāts, tiesiskā regulējuma mērķis un būtība” (turpmāk – I. sadaļas 2. punkts) sniegto skaidrojumu.</w:t>
            </w:r>
            <w:r>
              <w:rPr>
                <w:sz w:val="22"/>
                <w:szCs w:val="22"/>
              </w:rPr>
              <w:t>”</w:t>
            </w:r>
            <w:r w:rsidR="00204183" w:rsidRPr="77BBD5D8">
              <w:rPr>
                <w:sz w:val="22"/>
                <w:szCs w:val="22"/>
              </w:rPr>
              <w:t xml:space="preserve"> </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2F77BE" w14:textId="77777777" w:rsidR="00C844A3" w:rsidRPr="00C844A3" w:rsidRDefault="00C844A3" w:rsidP="000522CD">
            <w:pPr>
              <w:spacing w:after="120"/>
              <w:jc w:val="center"/>
              <w:rPr>
                <w:b/>
                <w:bCs/>
                <w:sz w:val="22"/>
                <w:szCs w:val="22"/>
              </w:rPr>
            </w:pPr>
            <w:r w:rsidRPr="00C844A3">
              <w:rPr>
                <w:b/>
                <w:bCs/>
                <w:sz w:val="22"/>
                <w:szCs w:val="22"/>
              </w:rPr>
              <w:t>Ņemts vērā</w:t>
            </w:r>
          </w:p>
          <w:p w14:paraId="3D2284D5" w14:textId="7935E52D" w:rsidR="005A1C31" w:rsidRPr="002373E2" w:rsidRDefault="00776DBE" w:rsidP="00776DBE">
            <w:pPr>
              <w:spacing w:after="120"/>
              <w:jc w:val="both"/>
              <w:rPr>
                <w:sz w:val="22"/>
                <w:szCs w:val="22"/>
              </w:rPr>
            </w:pPr>
            <w:r w:rsidRPr="00776DBE">
              <w:rPr>
                <w:sz w:val="22"/>
                <w:szCs w:val="22"/>
              </w:rPr>
              <w:t>Lūdzam skatīt precizēto noteikumu projektu un anotācijas I sadaļas 2. punktu.</w:t>
            </w:r>
          </w:p>
        </w:tc>
        <w:tc>
          <w:tcPr>
            <w:tcW w:w="4536" w:type="dxa"/>
            <w:tcBorders>
              <w:top w:val="single" w:sz="4" w:space="0" w:color="auto"/>
              <w:left w:val="single" w:sz="4" w:space="0" w:color="auto"/>
              <w:bottom w:val="single" w:sz="4" w:space="0" w:color="auto"/>
            </w:tcBorders>
          </w:tcPr>
          <w:p w14:paraId="15F5F2E5" w14:textId="24EAF4BD" w:rsidR="005A1C31" w:rsidRDefault="00CD2844" w:rsidP="005A1C31">
            <w:pPr>
              <w:spacing w:after="120"/>
              <w:jc w:val="both"/>
              <w:rPr>
                <w:sz w:val="22"/>
                <w:szCs w:val="22"/>
              </w:rPr>
            </w:pPr>
            <w:r w:rsidRPr="00CD2844">
              <w:rPr>
                <w:sz w:val="22"/>
                <w:szCs w:val="22"/>
              </w:rPr>
              <w:t xml:space="preserve">Noteikumu projekta </w:t>
            </w:r>
            <w:r w:rsidR="007669F7">
              <w:rPr>
                <w:sz w:val="22"/>
                <w:szCs w:val="22"/>
              </w:rPr>
              <w:t>2</w:t>
            </w:r>
            <w:r w:rsidR="000F6378">
              <w:rPr>
                <w:sz w:val="22"/>
                <w:szCs w:val="22"/>
              </w:rPr>
              <w:t>0</w:t>
            </w:r>
            <w:r w:rsidR="00C26849">
              <w:rPr>
                <w:sz w:val="22"/>
                <w:szCs w:val="22"/>
              </w:rPr>
              <w:t xml:space="preserve">. </w:t>
            </w:r>
            <w:r w:rsidRPr="00CD2844">
              <w:rPr>
                <w:sz w:val="22"/>
                <w:szCs w:val="22"/>
              </w:rPr>
              <w:t>punkts:</w:t>
            </w:r>
          </w:p>
          <w:p w14:paraId="683010A2" w14:textId="77777777" w:rsidR="007669F7" w:rsidRPr="007669F7" w:rsidRDefault="007669F7" w:rsidP="007669F7">
            <w:pPr>
              <w:spacing w:after="120"/>
              <w:jc w:val="both"/>
              <w:rPr>
                <w:sz w:val="22"/>
                <w:szCs w:val="22"/>
              </w:rPr>
            </w:pPr>
            <w:r w:rsidRPr="007669F7">
              <w:rPr>
                <w:sz w:val="22"/>
                <w:szCs w:val="22"/>
              </w:rPr>
              <w:t>"53.</w:t>
            </w:r>
            <w:r w:rsidRPr="007669F7">
              <w:rPr>
                <w:sz w:val="22"/>
                <w:szCs w:val="22"/>
                <w:vertAlign w:val="superscript"/>
              </w:rPr>
              <w:t>1</w:t>
            </w:r>
            <w:r w:rsidRPr="007669F7">
              <w:rPr>
                <w:sz w:val="22"/>
                <w:szCs w:val="22"/>
              </w:rPr>
              <w:t xml:space="preserve"> Atbalsts šo noteikumu 33.1.4. apakšpunktā minēto izmaksu segšanai nav uzskatāms par komercdarbības atbalstu, ja finansējuma saņēmējs ir šo noteikumu 13.3. apakšpunktā minētā tiešās valsts pārvaldes iestāde, kas projektu īsteno savas funkcijas ietvaros."</w:t>
            </w:r>
          </w:p>
          <w:p w14:paraId="1773ECA6" w14:textId="77777777" w:rsidR="005A1C31" w:rsidRPr="002373E2" w:rsidRDefault="005A1C31" w:rsidP="005A1C31">
            <w:pPr>
              <w:spacing w:after="120"/>
              <w:jc w:val="both"/>
              <w:rPr>
                <w:sz w:val="22"/>
                <w:szCs w:val="22"/>
              </w:rPr>
            </w:pPr>
          </w:p>
          <w:p w14:paraId="554A4B49" w14:textId="77777777" w:rsidR="005A1C31" w:rsidRPr="002373E2" w:rsidRDefault="005A1C31" w:rsidP="005A1C31">
            <w:pPr>
              <w:spacing w:after="120"/>
              <w:jc w:val="both"/>
              <w:rPr>
                <w:sz w:val="22"/>
                <w:szCs w:val="22"/>
              </w:rPr>
            </w:pPr>
          </w:p>
          <w:p w14:paraId="1E370517" w14:textId="77777777" w:rsidR="005A1C31" w:rsidRPr="002373E2" w:rsidRDefault="005A1C31" w:rsidP="005A1C31">
            <w:pPr>
              <w:spacing w:after="120"/>
              <w:jc w:val="both"/>
              <w:rPr>
                <w:sz w:val="22"/>
                <w:szCs w:val="22"/>
              </w:rPr>
            </w:pPr>
          </w:p>
        </w:tc>
      </w:tr>
      <w:tr w:rsidR="00204183" w:rsidRPr="002373E2" w14:paraId="27F192E4" w14:textId="77777777" w:rsidTr="3628E25F">
        <w:trPr>
          <w:trHeight w:val="836"/>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AA6B73" w14:textId="77777777" w:rsidR="00204183" w:rsidRPr="002373E2" w:rsidRDefault="00204183" w:rsidP="00AB23C9">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9EE425" w14:textId="618F336B" w:rsidR="00CE4791" w:rsidRDefault="00CE4791" w:rsidP="00CE4791">
            <w:pPr>
              <w:spacing w:after="200"/>
              <w:jc w:val="both"/>
              <w:rPr>
                <w:color w:val="000000" w:themeColor="text1"/>
                <w:sz w:val="22"/>
                <w:szCs w:val="22"/>
              </w:rPr>
            </w:pPr>
            <w:r>
              <w:rPr>
                <w:color w:val="000000" w:themeColor="text1"/>
                <w:sz w:val="22"/>
                <w:szCs w:val="22"/>
              </w:rPr>
              <w:t>Noteikumu projekta 7. punkts:</w:t>
            </w:r>
          </w:p>
          <w:p w14:paraId="670F64F0" w14:textId="21748F01" w:rsidR="00CE4791" w:rsidRPr="00CE4791" w:rsidRDefault="00CE4791" w:rsidP="00CE4791">
            <w:pPr>
              <w:spacing w:after="200"/>
              <w:jc w:val="both"/>
              <w:rPr>
                <w:color w:val="000000" w:themeColor="text1"/>
                <w:sz w:val="22"/>
                <w:szCs w:val="22"/>
              </w:rPr>
            </w:pPr>
            <w:r w:rsidRPr="00CE4791">
              <w:rPr>
                <w:color w:val="000000" w:themeColor="text1"/>
                <w:sz w:val="22"/>
                <w:szCs w:val="22"/>
              </w:rPr>
              <w:t>"33.1.4. Projekta īstenošanas izmaksas šo noteikumu 22. punktā noteikto darbību īstenošanai:</w:t>
            </w:r>
          </w:p>
          <w:p w14:paraId="22D55FE2" w14:textId="3007F9FC" w:rsidR="00CE4791" w:rsidRPr="00CE4791" w:rsidRDefault="00CE4791" w:rsidP="00CE4791">
            <w:pPr>
              <w:spacing w:after="200"/>
              <w:jc w:val="both"/>
              <w:rPr>
                <w:color w:val="000000" w:themeColor="text1"/>
                <w:sz w:val="22"/>
                <w:szCs w:val="22"/>
              </w:rPr>
            </w:pPr>
            <w:r w:rsidRPr="00CE4791">
              <w:rPr>
                <w:color w:val="000000" w:themeColor="text1"/>
                <w:sz w:val="22"/>
                <w:szCs w:val="22"/>
              </w:rPr>
              <w:t>33.1.4.1. tiešās attiecināmās izmaksas -  personāla atlīdzības izmaksas, tai skaitā darba samaksa, valsts sociālās apdrošināšanas obligātās iemaksas, pabalsti un kompensā</w:t>
            </w:r>
            <w:r>
              <w:rPr>
                <w:color w:val="000000" w:themeColor="text1"/>
                <w:sz w:val="22"/>
                <w:szCs w:val="22"/>
              </w:rPr>
              <w:t>c</w:t>
            </w:r>
            <w:r w:rsidRPr="00CE4791">
              <w:rPr>
                <w:color w:val="000000" w:themeColor="text1"/>
                <w:sz w:val="22"/>
                <w:szCs w:val="22"/>
              </w:rPr>
              <w:t xml:space="preserve">ijas. </w:t>
            </w:r>
          </w:p>
          <w:p w14:paraId="6CE9082C" w14:textId="2A1B16F3" w:rsidR="00204183" w:rsidRPr="001254E8" w:rsidRDefault="00CE4791" w:rsidP="00CE4791">
            <w:pPr>
              <w:spacing w:after="200"/>
              <w:jc w:val="both"/>
              <w:rPr>
                <w:color w:val="000000" w:themeColor="text1"/>
                <w:sz w:val="22"/>
                <w:szCs w:val="22"/>
              </w:rPr>
            </w:pPr>
            <w:r w:rsidRPr="00CE4791">
              <w:rPr>
                <w:color w:val="000000" w:themeColor="text1"/>
                <w:sz w:val="22"/>
                <w:szCs w:val="22"/>
              </w:rPr>
              <w:t>33.1.4.2. netiešās attiecināmās izmaksas - izmaksas saskaņā ar vienoto izmaksu likmi 15 % apmērā no šo noteikumu 33.1.4.1. apakšpunktā minētajām tiešajām attiecināmajām izmaksām."</w:t>
            </w: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014D96" w14:textId="58BE9217" w:rsidR="00204183" w:rsidRPr="001254E8" w:rsidRDefault="00204183" w:rsidP="00204183">
            <w:pPr>
              <w:jc w:val="both"/>
              <w:rPr>
                <w:b/>
                <w:sz w:val="22"/>
                <w:szCs w:val="22"/>
              </w:rPr>
            </w:pPr>
            <w:r w:rsidRPr="001254E8">
              <w:rPr>
                <w:b/>
                <w:sz w:val="22"/>
                <w:szCs w:val="22"/>
              </w:rPr>
              <w:t xml:space="preserve">Finanšu ministrijas 28.04.2021. </w:t>
            </w:r>
            <w:r w:rsidR="00406B04">
              <w:rPr>
                <w:b/>
                <w:sz w:val="22"/>
                <w:szCs w:val="22"/>
              </w:rPr>
              <w:t>5.</w:t>
            </w:r>
            <w:r w:rsidRPr="001254E8">
              <w:rPr>
                <w:b/>
                <w:sz w:val="22"/>
                <w:szCs w:val="22"/>
              </w:rPr>
              <w:t>iebildums</w:t>
            </w:r>
          </w:p>
          <w:p w14:paraId="398B282C" w14:textId="619133E6" w:rsidR="00204183" w:rsidRPr="001254E8" w:rsidRDefault="00406B04" w:rsidP="00D240D5">
            <w:pPr>
              <w:jc w:val="both"/>
              <w:rPr>
                <w:sz w:val="22"/>
                <w:szCs w:val="22"/>
              </w:rPr>
            </w:pPr>
            <w:r>
              <w:rPr>
                <w:sz w:val="22"/>
                <w:szCs w:val="22"/>
              </w:rPr>
              <w:t>“5.</w:t>
            </w:r>
            <w:r w:rsidR="00204183" w:rsidRPr="001254E8">
              <w:rPr>
                <w:sz w:val="22"/>
                <w:szCs w:val="22"/>
              </w:rPr>
              <w:t>Lūdzam redakcionāli precizēt MK noteikumu projekta 7. punktu. Minētajā punktā norādītās “</w:t>
            </w:r>
            <w:r w:rsidR="00204183" w:rsidRPr="001254E8">
              <w:rPr>
                <w:i/>
                <w:iCs/>
                <w:sz w:val="22"/>
                <w:szCs w:val="22"/>
              </w:rPr>
              <w:t>tiešās attiecināmās izmaksas</w:t>
            </w:r>
            <w:r w:rsidR="00204183" w:rsidRPr="001254E8">
              <w:rPr>
                <w:sz w:val="22"/>
                <w:szCs w:val="22"/>
              </w:rPr>
              <w:t xml:space="preserve">” jāizsaka kā  “Tiešās attiecināmās </w:t>
            </w:r>
            <w:r w:rsidR="00204183" w:rsidRPr="001254E8">
              <w:rPr>
                <w:i/>
                <w:iCs/>
                <w:sz w:val="22"/>
                <w:szCs w:val="22"/>
                <w:u w:val="single"/>
              </w:rPr>
              <w:t>personāla</w:t>
            </w:r>
            <w:r w:rsidR="00204183" w:rsidRPr="001254E8">
              <w:rPr>
                <w:sz w:val="22"/>
                <w:szCs w:val="22"/>
              </w:rPr>
              <w:t xml:space="preserve"> izmaksas”</w:t>
            </w:r>
            <w:r>
              <w:rPr>
                <w:sz w:val="22"/>
                <w:szCs w:val="22"/>
              </w:rPr>
              <w:t>”</w:t>
            </w:r>
            <w:r w:rsidR="00204183" w:rsidRPr="001254E8">
              <w:rPr>
                <w:sz w:val="22"/>
                <w:szCs w:val="22"/>
              </w:rPr>
              <w:t>.</w:t>
            </w:r>
          </w:p>
          <w:p w14:paraId="42EB6151" w14:textId="0F3684A3" w:rsidR="00204183" w:rsidRPr="001254E8" w:rsidRDefault="00204183" w:rsidP="00D240D5">
            <w:pPr>
              <w:jc w:val="both"/>
              <w:rPr>
                <w:sz w:val="22"/>
                <w:szCs w:val="22"/>
              </w:rPr>
            </w:pP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2C21A4" w14:textId="77777777" w:rsidR="00204183" w:rsidRDefault="0430CAE2" w:rsidP="000522CD">
            <w:pPr>
              <w:spacing w:after="120"/>
              <w:jc w:val="center"/>
              <w:rPr>
                <w:b/>
                <w:bCs/>
                <w:sz w:val="22"/>
                <w:szCs w:val="22"/>
              </w:rPr>
            </w:pPr>
            <w:r w:rsidRPr="001254E8">
              <w:rPr>
                <w:b/>
                <w:bCs/>
                <w:sz w:val="22"/>
                <w:szCs w:val="22"/>
              </w:rPr>
              <w:t>Ņemts vērā</w:t>
            </w:r>
          </w:p>
          <w:p w14:paraId="5B013877" w14:textId="0BCC6025" w:rsidR="00431E03" w:rsidRPr="00431E03" w:rsidRDefault="00431E03" w:rsidP="00431E03">
            <w:pPr>
              <w:spacing w:after="120"/>
              <w:jc w:val="both"/>
              <w:rPr>
                <w:sz w:val="22"/>
                <w:szCs w:val="22"/>
              </w:rPr>
            </w:pPr>
            <w:r w:rsidRPr="00431E03">
              <w:rPr>
                <w:sz w:val="22"/>
                <w:szCs w:val="22"/>
              </w:rPr>
              <w:t>Lūdzam skatīt precizēto noteikumu projektu.</w:t>
            </w:r>
          </w:p>
        </w:tc>
        <w:tc>
          <w:tcPr>
            <w:tcW w:w="4536" w:type="dxa"/>
            <w:tcBorders>
              <w:top w:val="single" w:sz="4" w:space="0" w:color="auto"/>
              <w:left w:val="single" w:sz="4" w:space="0" w:color="auto"/>
              <w:bottom w:val="single" w:sz="4" w:space="0" w:color="auto"/>
            </w:tcBorders>
          </w:tcPr>
          <w:p w14:paraId="216A0D33" w14:textId="35A7B131" w:rsidR="00204183" w:rsidRDefault="00CD2844" w:rsidP="77BBD5D8">
            <w:pPr>
              <w:spacing w:after="120"/>
              <w:jc w:val="both"/>
              <w:rPr>
                <w:sz w:val="22"/>
                <w:szCs w:val="22"/>
              </w:rPr>
            </w:pPr>
            <w:r w:rsidRPr="00CD2844">
              <w:rPr>
                <w:sz w:val="22"/>
                <w:szCs w:val="22"/>
              </w:rPr>
              <w:t xml:space="preserve">Noteikumu projekta </w:t>
            </w:r>
            <w:r w:rsidR="00845873">
              <w:rPr>
                <w:sz w:val="22"/>
                <w:szCs w:val="22"/>
              </w:rPr>
              <w:t xml:space="preserve">11. </w:t>
            </w:r>
            <w:r w:rsidRPr="00CD2844">
              <w:rPr>
                <w:sz w:val="22"/>
                <w:szCs w:val="22"/>
              </w:rPr>
              <w:t>punkts:</w:t>
            </w:r>
          </w:p>
          <w:p w14:paraId="55802F75" w14:textId="77777777" w:rsidR="00845873" w:rsidRPr="00845873" w:rsidRDefault="00845873" w:rsidP="00845873">
            <w:pPr>
              <w:spacing w:after="120"/>
              <w:jc w:val="both"/>
              <w:rPr>
                <w:sz w:val="22"/>
                <w:szCs w:val="22"/>
              </w:rPr>
            </w:pPr>
            <w:r w:rsidRPr="00845873">
              <w:rPr>
                <w:sz w:val="22"/>
                <w:szCs w:val="22"/>
              </w:rPr>
              <w:t>"33.1.4. Projekta īstenošanas izmaksas šo noteikumu 22. punktā noteikto atbalstāmo aktivitāšu īstenošanai:</w:t>
            </w:r>
          </w:p>
          <w:p w14:paraId="39C1360E" w14:textId="3B6525AA" w:rsidR="00845873" w:rsidRPr="00845873" w:rsidRDefault="00845873" w:rsidP="00845873">
            <w:pPr>
              <w:spacing w:after="120"/>
              <w:jc w:val="both"/>
              <w:rPr>
                <w:sz w:val="22"/>
                <w:szCs w:val="22"/>
              </w:rPr>
            </w:pPr>
            <w:r w:rsidRPr="00845873">
              <w:rPr>
                <w:sz w:val="22"/>
                <w:szCs w:val="22"/>
              </w:rPr>
              <w:t xml:space="preserve">33.1.4.1. tiešās attiecināmās personāla izmaksas -  personāla atlīdzības izmaksas, tai skaitā darba samaksa, valsts sociālās apdrošināšanas obligātās iemaksas, pabalsti un kompensācijas. </w:t>
            </w:r>
          </w:p>
          <w:p w14:paraId="58E0177A" w14:textId="44437966" w:rsidR="00CE4791" w:rsidRPr="001254E8" w:rsidRDefault="00845873" w:rsidP="00845873">
            <w:pPr>
              <w:spacing w:after="120"/>
              <w:jc w:val="both"/>
              <w:rPr>
                <w:sz w:val="22"/>
                <w:szCs w:val="22"/>
              </w:rPr>
            </w:pPr>
            <w:r w:rsidRPr="00845873">
              <w:rPr>
                <w:sz w:val="22"/>
                <w:szCs w:val="22"/>
              </w:rPr>
              <w:t>33.1.4.2. netiešās attiecināmās izmaksas - izmaksas saskaņā ar vienoto izmaksu likmi 15 % apmērā no šo noteikumu 33.1.4.1. apakšpunktā minētajām tiešajām attiecināmajām personāla izmaksām."</w:t>
            </w:r>
          </w:p>
        </w:tc>
      </w:tr>
      <w:tr w:rsidR="00204183" w:rsidRPr="002373E2" w14:paraId="0A1D2BFE"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48E51" w14:textId="77777777" w:rsidR="00204183" w:rsidRPr="002373E2" w:rsidRDefault="00204183" w:rsidP="00AB23C9">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C1DAF6" w14:textId="59763E98" w:rsidR="00823C2A" w:rsidRDefault="00823C2A" w:rsidP="77BBD5D8">
            <w:pPr>
              <w:spacing w:after="200"/>
              <w:jc w:val="both"/>
              <w:rPr>
                <w:color w:val="000000" w:themeColor="text1"/>
                <w:sz w:val="22"/>
                <w:szCs w:val="22"/>
              </w:rPr>
            </w:pPr>
            <w:r>
              <w:rPr>
                <w:color w:val="000000" w:themeColor="text1"/>
                <w:sz w:val="22"/>
                <w:szCs w:val="22"/>
              </w:rPr>
              <w:t>Noteikumu projekta 9. punkts:</w:t>
            </w:r>
          </w:p>
          <w:p w14:paraId="5A44B3B5" w14:textId="3A9F8BC5" w:rsidR="00204183" w:rsidRPr="002373E2" w:rsidRDefault="00823C2A" w:rsidP="77BBD5D8">
            <w:pPr>
              <w:spacing w:after="200"/>
              <w:jc w:val="both"/>
              <w:rPr>
                <w:color w:val="000000" w:themeColor="text1"/>
                <w:sz w:val="22"/>
                <w:szCs w:val="22"/>
              </w:rPr>
            </w:pPr>
            <w:r w:rsidRPr="00823C2A">
              <w:rPr>
                <w:color w:val="000000" w:themeColor="text1"/>
                <w:sz w:val="22"/>
                <w:szCs w:val="22"/>
              </w:rPr>
              <w:t>"36.</w:t>
            </w:r>
            <w:r w:rsidRPr="00823C2A">
              <w:rPr>
                <w:color w:val="000000" w:themeColor="text1"/>
                <w:sz w:val="22"/>
                <w:szCs w:val="22"/>
                <w:vertAlign w:val="superscript"/>
              </w:rPr>
              <w:t>1</w:t>
            </w:r>
            <w:r w:rsidRPr="00823C2A">
              <w:rPr>
                <w:color w:val="000000" w:themeColor="text1"/>
                <w:sz w:val="22"/>
                <w:szCs w:val="22"/>
              </w:rPr>
              <w:t xml:space="preserve"> Šo noteikumu 33.1.4. apakšpunktā minēto projekta īstenošanas darbību var veikt finansējuma saņēmēja darbinieki."</w:t>
            </w: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0A5473" w14:textId="5FBA812B" w:rsidR="00204183" w:rsidRPr="00204183" w:rsidRDefault="00204183" w:rsidP="00204183">
            <w:pPr>
              <w:jc w:val="both"/>
              <w:rPr>
                <w:b/>
                <w:sz w:val="22"/>
                <w:szCs w:val="22"/>
              </w:rPr>
            </w:pPr>
            <w:r w:rsidRPr="00204183">
              <w:rPr>
                <w:b/>
                <w:sz w:val="22"/>
                <w:szCs w:val="22"/>
              </w:rPr>
              <w:t xml:space="preserve">Finanšu ministrijas 28.04.2021. </w:t>
            </w:r>
            <w:r w:rsidR="00406B04">
              <w:rPr>
                <w:b/>
                <w:sz w:val="22"/>
                <w:szCs w:val="22"/>
              </w:rPr>
              <w:t>6.</w:t>
            </w:r>
            <w:r w:rsidRPr="00204183">
              <w:rPr>
                <w:b/>
                <w:sz w:val="22"/>
                <w:szCs w:val="22"/>
              </w:rPr>
              <w:t>iebildums</w:t>
            </w:r>
          </w:p>
          <w:p w14:paraId="18AF1161" w14:textId="037C22B0" w:rsidR="00204183" w:rsidRPr="00204183" w:rsidRDefault="00406B04" w:rsidP="00D240D5">
            <w:pPr>
              <w:jc w:val="both"/>
              <w:rPr>
                <w:sz w:val="22"/>
                <w:szCs w:val="22"/>
              </w:rPr>
            </w:pPr>
            <w:r>
              <w:rPr>
                <w:sz w:val="22"/>
                <w:szCs w:val="22"/>
              </w:rPr>
              <w:t>“6.</w:t>
            </w:r>
            <w:r w:rsidR="00204183" w:rsidRPr="00204183">
              <w:rPr>
                <w:sz w:val="22"/>
                <w:szCs w:val="22"/>
              </w:rPr>
              <w:t>MK noteikumu projekta 9.punkts paredz papildināt MK noteikumus Nr. 365 ar 36.1 punktu, paredzot iespēju, ka finansējuma saņēmēja darbinieki varētu veikt MK noteikumu Nr. 365  33.1.4. apakšpunktā minēto projekta īstenošanas darbību. Vēršam uzmanību, ka MK noteikumu Nr. 365 33.1.4. apakšpunkts paredz attiecināmās izmaksas, nevis darbības, attiecīgi atsauce nav uzskatāma par korektu un lūdzam atbilstoši precizēt.</w:t>
            </w:r>
            <w:r>
              <w:rPr>
                <w:sz w:val="22"/>
                <w:szCs w:val="22"/>
              </w:rPr>
              <w:t>”</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7C00FF" w14:textId="56C8BDCE" w:rsidR="00204183" w:rsidRDefault="296FE2C3" w:rsidP="000522CD">
            <w:pPr>
              <w:spacing w:after="120"/>
              <w:jc w:val="center"/>
              <w:rPr>
                <w:b/>
                <w:bCs/>
                <w:sz w:val="22"/>
                <w:szCs w:val="22"/>
              </w:rPr>
            </w:pPr>
            <w:r w:rsidRPr="77BBD5D8">
              <w:rPr>
                <w:b/>
                <w:bCs/>
                <w:sz w:val="22"/>
                <w:szCs w:val="22"/>
              </w:rPr>
              <w:t>Ņemts vērā</w:t>
            </w:r>
          </w:p>
          <w:p w14:paraId="6E265E87" w14:textId="46409C39" w:rsidR="00A303AE" w:rsidRPr="002373E2" w:rsidRDefault="00A303AE" w:rsidP="00A303AE">
            <w:pPr>
              <w:spacing w:after="120"/>
              <w:jc w:val="both"/>
              <w:rPr>
                <w:sz w:val="22"/>
                <w:szCs w:val="22"/>
              </w:rPr>
            </w:pPr>
            <w:r w:rsidRPr="00A303AE">
              <w:rPr>
                <w:sz w:val="22"/>
                <w:szCs w:val="22"/>
              </w:rPr>
              <w:t>Lūdzam skatīt precizēto noteikumu projektu</w:t>
            </w:r>
            <w:r>
              <w:rPr>
                <w:sz w:val="22"/>
                <w:szCs w:val="22"/>
              </w:rPr>
              <w:t>.</w:t>
            </w:r>
          </w:p>
          <w:p w14:paraId="0F3A7BED" w14:textId="63236238" w:rsidR="00204183" w:rsidRPr="002373E2" w:rsidRDefault="00204183" w:rsidP="000522CD">
            <w:pPr>
              <w:spacing w:after="120"/>
              <w:jc w:val="center"/>
              <w:rPr>
                <w:sz w:val="22"/>
                <w:szCs w:val="22"/>
              </w:rPr>
            </w:pPr>
          </w:p>
        </w:tc>
        <w:tc>
          <w:tcPr>
            <w:tcW w:w="4536" w:type="dxa"/>
            <w:tcBorders>
              <w:top w:val="single" w:sz="4" w:space="0" w:color="auto"/>
              <w:left w:val="single" w:sz="4" w:space="0" w:color="auto"/>
              <w:bottom w:val="single" w:sz="4" w:space="0" w:color="auto"/>
            </w:tcBorders>
          </w:tcPr>
          <w:p w14:paraId="180061E4" w14:textId="74D86696" w:rsidR="00204183" w:rsidRDefault="00FF0A39" w:rsidP="77BBD5D8">
            <w:pPr>
              <w:spacing w:after="200"/>
              <w:jc w:val="both"/>
              <w:rPr>
                <w:color w:val="000000" w:themeColor="text1"/>
                <w:sz w:val="22"/>
                <w:szCs w:val="22"/>
              </w:rPr>
            </w:pPr>
            <w:r>
              <w:rPr>
                <w:color w:val="000000" w:themeColor="text1"/>
                <w:sz w:val="22"/>
                <w:szCs w:val="22"/>
              </w:rPr>
              <w:t xml:space="preserve">Noteikumu projekta </w:t>
            </w:r>
            <w:r w:rsidR="0032388E">
              <w:rPr>
                <w:color w:val="000000" w:themeColor="text1"/>
                <w:sz w:val="22"/>
                <w:szCs w:val="22"/>
              </w:rPr>
              <w:t xml:space="preserve">16. </w:t>
            </w:r>
            <w:r>
              <w:rPr>
                <w:color w:val="000000" w:themeColor="text1"/>
                <w:sz w:val="22"/>
                <w:szCs w:val="22"/>
              </w:rPr>
              <w:t>punkts:</w:t>
            </w:r>
          </w:p>
          <w:p w14:paraId="50C48F76" w14:textId="77777777" w:rsidR="0032388E" w:rsidRPr="0032388E" w:rsidRDefault="0032388E" w:rsidP="0032388E">
            <w:pPr>
              <w:spacing w:after="200"/>
              <w:jc w:val="both"/>
              <w:rPr>
                <w:color w:val="000000" w:themeColor="text1"/>
                <w:sz w:val="22"/>
                <w:szCs w:val="22"/>
              </w:rPr>
            </w:pPr>
            <w:r w:rsidRPr="0032388E">
              <w:rPr>
                <w:color w:val="000000" w:themeColor="text1"/>
                <w:sz w:val="22"/>
                <w:szCs w:val="22"/>
              </w:rPr>
              <w:t>"36.</w:t>
            </w:r>
            <w:r w:rsidRPr="0032388E">
              <w:rPr>
                <w:color w:val="000000" w:themeColor="text1"/>
                <w:sz w:val="22"/>
                <w:szCs w:val="22"/>
                <w:vertAlign w:val="superscript"/>
              </w:rPr>
              <w:t>1</w:t>
            </w:r>
            <w:r w:rsidRPr="0032388E">
              <w:rPr>
                <w:color w:val="000000" w:themeColor="text1"/>
                <w:sz w:val="22"/>
                <w:szCs w:val="22"/>
              </w:rPr>
              <w:t xml:space="preserve"> Šo noteikumu 33.1.4. apakšpunktā minētās izmaksas var attiecināt uz šo noteikumu 13.3. apakšpunktā minētā finansējuma saņēmēja darbiniekiem."</w:t>
            </w:r>
          </w:p>
          <w:p w14:paraId="51B0E3BA" w14:textId="0CD9BBA5" w:rsidR="00823C2A" w:rsidRPr="002373E2" w:rsidRDefault="00823C2A" w:rsidP="77BBD5D8">
            <w:pPr>
              <w:spacing w:after="200"/>
              <w:jc w:val="both"/>
              <w:rPr>
                <w:color w:val="000000" w:themeColor="text1"/>
                <w:sz w:val="22"/>
                <w:szCs w:val="22"/>
              </w:rPr>
            </w:pPr>
          </w:p>
        </w:tc>
      </w:tr>
      <w:tr w:rsidR="00204183" w:rsidRPr="002373E2" w14:paraId="65358FF5"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C6C963" w14:textId="77777777" w:rsidR="00204183" w:rsidRPr="002373E2" w:rsidRDefault="00204183" w:rsidP="00AB23C9">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82B53C" w14:textId="33EBD088" w:rsidR="00950C30" w:rsidRDefault="00950C30" w:rsidP="000A32EB">
            <w:pPr>
              <w:jc w:val="both"/>
              <w:rPr>
                <w:sz w:val="22"/>
                <w:szCs w:val="22"/>
              </w:rPr>
            </w:pPr>
            <w:r>
              <w:rPr>
                <w:sz w:val="22"/>
                <w:szCs w:val="22"/>
              </w:rPr>
              <w:t>Noteikumu projekta 11. punkts:</w:t>
            </w:r>
          </w:p>
          <w:p w14:paraId="78ABBAD5" w14:textId="77777777" w:rsidR="00950C30" w:rsidRDefault="00950C30" w:rsidP="000A32EB">
            <w:pPr>
              <w:jc w:val="both"/>
              <w:rPr>
                <w:sz w:val="22"/>
                <w:szCs w:val="22"/>
              </w:rPr>
            </w:pPr>
          </w:p>
          <w:p w14:paraId="6928B28E" w14:textId="7C655534" w:rsidR="00204183" w:rsidRPr="002373E2" w:rsidRDefault="00950C30" w:rsidP="000A32EB">
            <w:pPr>
              <w:jc w:val="both"/>
              <w:rPr>
                <w:sz w:val="22"/>
                <w:szCs w:val="22"/>
              </w:rPr>
            </w:pPr>
            <w:r w:rsidRPr="00950C30">
              <w:rPr>
                <w:sz w:val="22"/>
                <w:szCs w:val="22"/>
              </w:rPr>
              <w:t xml:space="preserve">"51.2. šo noteikumu 13.3. apakšpunktā minētā finansējuma saņēmēja projektā šo noteikumu 33.1.1.2., 33.1.1.3., 33.1.1.4., 33.1.1.5., 33.2.1. un 33.3. apakšpunktā minēto izmaksu segšanai </w:t>
            </w:r>
            <w:r w:rsidRPr="00950C30">
              <w:rPr>
                <w:sz w:val="22"/>
                <w:szCs w:val="22"/>
              </w:rPr>
              <w:lastRenderedPageBreak/>
              <w:t xml:space="preserve">saskaņā ar Komisijas regulu Nr. 1407/2013 un normatīvajiem aktiem par </w:t>
            </w:r>
            <w:proofErr w:type="spellStart"/>
            <w:r w:rsidRPr="00EA3740">
              <w:rPr>
                <w:i/>
                <w:iCs/>
                <w:sz w:val="22"/>
                <w:szCs w:val="22"/>
              </w:rPr>
              <w:t>de</w:t>
            </w:r>
            <w:proofErr w:type="spellEnd"/>
            <w:r w:rsidRPr="00EA3740">
              <w:rPr>
                <w:i/>
                <w:iCs/>
                <w:sz w:val="22"/>
                <w:szCs w:val="22"/>
              </w:rPr>
              <w:t xml:space="preserve"> </w:t>
            </w:r>
            <w:proofErr w:type="spellStart"/>
            <w:r w:rsidRPr="00EA3740">
              <w:rPr>
                <w:i/>
                <w:iCs/>
                <w:sz w:val="22"/>
                <w:szCs w:val="22"/>
              </w:rPr>
              <w:t>minimis</w:t>
            </w:r>
            <w:proofErr w:type="spellEnd"/>
            <w:r w:rsidRPr="00950C30">
              <w:rPr>
                <w:sz w:val="22"/>
                <w:szCs w:val="22"/>
              </w:rPr>
              <w:t xml:space="preserve"> atbalsta uzskaites un piešķiršanas kārtību un </w:t>
            </w:r>
            <w:proofErr w:type="spellStart"/>
            <w:r w:rsidRPr="00EA3740">
              <w:rPr>
                <w:i/>
                <w:iCs/>
                <w:sz w:val="22"/>
                <w:szCs w:val="22"/>
              </w:rPr>
              <w:t>de</w:t>
            </w:r>
            <w:proofErr w:type="spellEnd"/>
            <w:r w:rsidRPr="00EA3740">
              <w:rPr>
                <w:i/>
                <w:iCs/>
                <w:sz w:val="22"/>
                <w:szCs w:val="22"/>
              </w:rPr>
              <w:t xml:space="preserve"> </w:t>
            </w:r>
            <w:proofErr w:type="spellStart"/>
            <w:r w:rsidRPr="00EA3740">
              <w:rPr>
                <w:i/>
                <w:iCs/>
                <w:sz w:val="22"/>
                <w:szCs w:val="22"/>
              </w:rPr>
              <w:t>minimis</w:t>
            </w:r>
            <w:proofErr w:type="spellEnd"/>
            <w:r w:rsidRPr="00950C30">
              <w:rPr>
                <w:sz w:val="22"/>
                <w:szCs w:val="22"/>
              </w:rPr>
              <w:t xml:space="preserve"> atbalsta uzskaites veidlapu paraugiem vai Komisijas regulas Nr. 651/2014 31. pantu, izņemot šo noteikumu 33.1.1.2.8. un 33.1.1.5.8. apakšpunktā minēto izmaksu segšanai saskaņā ar Komisijas regulas Nr. 651/2014 28. pantu. Sniegtais atbalsts ir uzskatāms par komercdarbības atbalstu gala labuma guvējam."</w:t>
            </w: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569B43" w14:textId="0688B7F9" w:rsidR="00204183" w:rsidRPr="00204183" w:rsidRDefault="00204183" w:rsidP="00204183">
            <w:pPr>
              <w:jc w:val="both"/>
              <w:rPr>
                <w:b/>
                <w:sz w:val="22"/>
                <w:szCs w:val="22"/>
              </w:rPr>
            </w:pPr>
            <w:r w:rsidRPr="00204183">
              <w:rPr>
                <w:b/>
                <w:sz w:val="22"/>
                <w:szCs w:val="22"/>
              </w:rPr>
              <w:lastRenderedPageBreak/>
              <w:t xml:space="preserve">Finanšu ministrijas 28.04.2021. </w:t>
            </w:r>
            <w:r w:rsidR="00406B04">
              <w:rPr>
                <w:b/>
                <w:sz w:val="22"/>
                <w:szCs w:val="22"/>
              </w:rPr>
              <w:t>7.</w:t>
            </w:r>
            <w:r w:rsidRPr="00204183">
              <w:rPr>
                <w:b/>
                <w:sz w:val="22"/>
                <w:szCs w:val="22"/>
              </w:rPr>
              <w:t>iebildums</w:t>
            </w:r>
          </w:p>
          <w:p w14:paraId="5956D863" w14:textId="62F9708B" w:rsidR="00204183" w:rsidRPr="00204183" w:rsidRDefault="00406B04" w:rsidP="00D240D5">
            <w:pPr>
              <w:jc w:val="both"/>
              <w:rPr>
                <w:sz w:val="22"/>
                <w:szCs w:val="22"/>
              </w:rPr>
            </w:pPr>
            <w:r>
              <w:rPr>
                <w:sz w:val="22"/>
                <w:szCs w:val="22"/>
              </w:rPr>
              <w:t>“7.</w:t>
            </w:r>
            <w:r w:rsidR="00204183" w:rsidRPr="77BBD5D8">
              <w:rPr>
                <w:sz w:val="22"/>
                <w:szCs w:val="22"/>
              </w:rPr>
              <w:t xml:space="preserve">MK noteikumu projekta 11.punktā ietvertais MK noteikumu Nr. 365 51.2.apakšpunkts paredz  MK noteikumu Nr. 365 33.1.1.2.8. un 33.1.1.5.8. </w:t>
            </w:r>
            <w:r w:rsidR="00204183" w:rsidRPr="77BBD5D8">
              <w:rPr>
                <w:sz w:val="22"/>
                <w:szCs w:val="22"/>
              </w:rPr>
              <w:lastRenderedPageBreak/>
              <w:t xml:space="preserve">apakšpunktā minēto izmaksu segšanu saskaņā ar Komisijas regulas Nr. 651/2014 28. pantu. Vēršam uzmanību, ka Komisijas regulas Nr. 651/2014 28. pants paredz inovāciju atbalstu maziem un vidējiem uzņēmumiem, kā attiecināmas nosakot izmaksas par patentiem un citu nemateriālo aktīvu iegūšanu, izmaksas par augsti kvalificētu personālu, izmaksas par inovācijas konsultāciju un atbalsta pakalpojumiem. Ievērojot minēto, vēršam uzmanību, ka MK noteikumu projektā paredzētās automatizācijas un robotizācijas risinājumu sagatavošanas un ieviešanas izmaksas neizpilda Komisijas regulas Nr. 651/2014 28. pantā noteiktos izmaksu </w:t>
            </w:r>
            <w:proofErr w:type="spellStart"/>
            <w:r w:rsidR="00204183" w:rsidRPr="77BBD5D8">
              <w:rPr>
                <w:sz w:val="22"/>
                <w:szCs w:val="22"/>
              </w:rPr>
              <w:t>attiecināmības</w:t>
            </w:r>
            <w:proofErr w:type="spellEnd"/>
            <w:r w:rsidR="00204183" w:rsidRPr="77BBD5D8">
              <w:rPr>
                <w:sz w:val="22"/>
                <w:szCs w:val="22"/>
              </w:rPr>
              <w:t xml:space="preserve"> nosacījumus, attiecīgi lūdzam MK noteikumu projektā neparedzēt to attiecināšanu saskaņā ar Komisijas regulas Nr. 651/2014 28. pantu. Atbilstoši lūdzam precizēt arī anotācijas I. sadaļas 2.punktā sniegto skaidrojumu.</w:t>
            </w:r>
            <w:r>
              <w:rPr>
                <w:sz w:val="22"/>
                <w:szCs w:val="22"/>
              </w:rPr>
              <w:t>”</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05CBCE" w14:textId="5232C3A3" w:rsidR="00C844A3" w:rsidRDefault="00C844A3" w:rsidP="000522CD">
            <w:pPr>
              <w:spacing w:after="120"/>
              <w:jc w:val="center"/>
              <w:rPr>
                <w:b/>
                <w:bCs/>
                <w:sz w:val="22"/>
                <w:szCs w:val="22"/>
              </w:rPr>
            </w:pPr>
            <w:r w:rsidRPr="00C844A3">
              <w:rPr>
                <w:b/>
                <w:bCs/>
                <w:sz w:val="22"/>
                <w:szCs w:val="22"/>
              </w:rPr>
              <w:lastRenderedPageBreak/>
              <w:t>Ņemts vērā</w:t>
            </w:r>
          </w:p>
          <w:p w14:paraId="3D8F062F" w14:textId="4F35756B" w:rsidR="009658D3" w:rsidRDefault="009658D3" w:rsidP="009658D3">
            <w:pPr>
              <w:spacing w:after="120"/>
              <w:jc w:val="both"/>
              <w:rPr>
                <w:sz w:val="22"/>
                <w:szCs w:val="22"/>
              </w:rPr>
            </w:pPr>
            <w:r>
              <w:rPr>
                <w:sz w:val="22"/>
                <w:szCs w:val="22"/>
              </w:rPr>
              <w:t>Skaidrojam, ka</w:t>
            </w:r>
            <w:r w:rsidR="00D10E68">
              <w:rPr>
                <w:sz w:val="22"/>
                <w:szCs w:val="22"/>
              </w:rPr>
              <w:t xml:space="preserve"> </w:t>
            </w:r>
            <w:r w:rsidR="00C83926" w:rsidRPr="00C83926">
              <w:rPr>
                <w:sz w:val="22"/>
                <w:szCs w:val="22"/>
              </w:rPr>
              <w:t xml:space="preserve">LIAA projekta ietvaros tiek paredzētas tikai konsultācijas </w:t>
            </w:r>
            <w:r w:rsidR="00C83926" w:rsidRPr="00C83926">
              <w:rPr>
                <w:sz w:val="22"/>
                <w:szCs w:val="22"/>
              </w:rPr>
              <w:lastRenderedPageBreak/>
              <w:t xml:space="preserve">automatizācijas un robotizācijas risinājumu (turpmāk - ARR) attīstībai, ietverot ARR ieviešanas stratēģijas, plānu izstrādi ražošanas un pakalpojumu sniegšanas procesā, CBA </w:t>
            </w:r>
            <w:r w:rsidR="00C83926" w:rsidRPr="000E6369">
              <w:rPr>
                <w:i/>
                <w:iCs/>
                <w:sz w:val="22"/>
                <w:szCs w:val="22"/>
              </w:rPr>
              <w:t>(</w:t>
            </w:r>
            <w:proofErr w:type="spellStart"/>
            <w:r w:rsidR="00C83926" w:rsidRPr="000E6369">
              <w:rPr>
                <w:i/>
                <w:iCs/>
                <w:sz w:val="22"/>
                <w:szCs w:val="22"/>
              </w:rPr>
              <w:t>cost</w:t>
            </w:r>
            <w:proofErr w:type="spellEnd"/>
            <w:r w:rsidR="00C83926" w:rsidRPr="000E6369">
              <w:rPr>
                <w:i/>
                <w:iCs/>
                <w:sz w:val="22"/>
                <w:szCs w:val="22"/>
              </w:rPr>
              <w:t xml:space="preserve"> </w:t>
            </w:r>
            <w:proofErr w:type="spellStart"/>
            <w:r w:rsidR="00C83926" w:rsidRPr="000E6369">
              <w:rPr>
                <w:i/>
                <w:iCs/>
                <w:sz w:val="22"/>
                <w:szCs w:val="22"/>
              </w:rPr>
              <w:t>benefit</w:t>
            </w:r>
            <w:proofErr w:type="spellEnd"/>
            <w:r w:rsidR="00C83926" w:rsidRPr="000E6369">
              <w:rPr>
                <w:i/>
                <w:iCs/>
                <w:sz w:val="22"/>
                <w:szCs w:val="22"/>
              </w:rPr>
              <w:t xml:space="preserve"> </w:t>
            </w:r>
            <w:proofErr w:type="spellStart"/>
            <w:r w:rsidR="00C83926" w:rsidRPr="000E6369">
              <w:rPr>
                <w:i/>
                <w:iCs/>
                <w:sz w:val="22"/>
                <w:szCs w:val="22"/>
              </w:rPr>
              <w:t>analysis</w:t>
            </w:r>
            <w:proofErr w:type="spellEnd"/>
            <w:r w:rsidR="00C83926" w:rsidRPr="000E6369">
              <w:rPr>
                <w:i/>
                <w:iCs/>
                <w:sz w:val="22"/>
                <w:szCs w:val="22"/>
              </w:rPr>
              <w:t>)</w:t>
            </w:r>
            <w:r w:rsidR="00C83926" w:rsidRPr="00C83926">
              <w:rPr>
                <w:sz w:val="22"/>
                <w:szCs w:val="22"/>
              </w:rPr>
              <w:t xml:space="preserve"> sagatavošanu, darba ražīguma mērījumu veikšanu un ARR ieviešanas plānu, tai skaitā apmācību plānu sagatavošanu u.c. Atbalsts ARR attīstībai ir pieejams</w:t>
            </w:r>
            <w:r w:rsidR="000E6369">
              <w:rPr>
                <w:sz w:val="22"/>
                <w:szCs w:val="22"/>
              </w:rPr>
              <w:t xml:space="preserve"> komersanta</w:t>
            </w:r>
            <w:r w:rsidR="00C83926" w:rsidRPr="00C83926">
              <w:rPr>
                <w:sz w:val="22"/>
                <w:szCs w:val="22"/>
              </w:rPr>
              <w:t xml:space="preserve"> apmācību projekta ietvaros tikai kopā ar apmācībām</w:t>
            </w:r>
            <w:r w:rsidR="00C83926">
              <w:rPr>
                <w:sz w:val="22"/>
                <w:szCs w:val="22"/>
              </w:rPr>
              <w:t>.</w:t>
            </w:r>
            <w:r>
              <w:rPr>
                <w:sz w:val="22"/>
                <w:szCs w:val="22"/>
              </w:rPr>
              <w:t xml:space="preserve"> </w:t>
            </w:r>
          </w:p>
          <w:p w14:paraId="00883702" w14:textId="6B191D89" w:rsidR="009658D3" w:rsidRPr="00C844A3" w:rsidRDefault="009658D3" w:rsidP="009658D3">
            <w:pPr>
              <w:spacing w:after="120"/>
              <w:jc w:val="both"/>
              <w:rPr>
                <w:sz w:val="22"/>
                <w:szCs w:val="22"/>
              </w:rPr>
            </w:pPr>
            <w:r w:rsidRPr="009658D3">
              <w:rPr>
                <w:sz w:val="22"/>
                <w:szCs w:val="22"/>
              </w:rPr>
              <w:t xml:space="preserve">Lūdzam skatīt precizēto noteikumu projektu un </w:t>
            </w:r>
            <w:r w:rsidRPr="009658D3">
              <w:rPr>
                <w:sz w:val="22"/>
                <w:szCs w:val="22"/>
              </w:rPr>
              <w:lastRenderedPageBreak/>
              <w:t>anotācijas I sadaļas 2. punktu.</w:t>
            </w:r>
          </w:p>
          <w:p w14:paraId="73B82FE5" w14:textId="77777777" w:rsidR="00204183" w:rsidRPr="002373E2" w:rsidRDefault="00204183" w:rsidP="000522CD">
            <w:pPr>
              <w:spacing w:after="120"/>
              <w:jc w:val="center"/>
              <w:rPr>
                <w:sz w:val="22"/>
                <w:szCs w:val="22"/>
              </w:rPr>
            </w:pPr>
          </w:p>
        </w:tc>
        <w:tc>
          <w:tcPr>
            <w:tcW w:w="4536" w:type="dxa"/>
            <w:tcBorders>
              <w:top w:val="single" w:sz="4" w:space="0" w:color="auto"/>
              <w:left w:val="single" w:sz="4" w:space="0" w:color="auto"/>
              <w:bottom w:val="single" w:sz="4" w:space="0" w:color="auto"/>
            </w:tcBorders>
          </w:tcPr>
          <w:p w14:paraId="42B820A5" w14:textId="77777777" w:rsidR="00BE1B14" w:rsidRPr="00BE1B14" w:rsidRDefault="00BE1B14" w:rsidP="00BE1B14">
            <w:pPr>
              <w:spacing w:after="120"/>
              <w:jc w:val="both"/>
              <w:rPr>
                <w:sz w:val="22"/>
                <w:szCs w:val="22"/>
              </w:rPr>
            </w:pPr>
            <w:r w:rsidRPr="00BE1B14">
              <w:rPr>
                <w:sz w:val="22"/>
                <w:szCs w:val="22"/>
              </w:rPr>
              <w:lastRenderedPageBreak/>
              <w:t>Noteikumu projekta 2.  punkts:</w:t>
            </w:r>
          </w:p>
          <w:p w14:paraId="2CC942B1" w14:textId="117A35B3" w:rsidR="00BE1B14" w:rsidRPr="00BE1B14" w:rsidRDefault="00BE1B14" w:rsidP="00BE1B14">
            <w:pPr>
              <w:spacing w:after="120"/>
              <w:jc w:val="both"/>
              <w:rPr>
                <w:sz w:val="22"/>
                <w:szCs w:val="22"/>
              </w:rPr>
            </w:pPr>
            <w:r w:rsidRPr="00BE1B14">
              <w:rPr>
                <w:sz w:val="22"/>
                <w:szCs w:val="22"/>
              </w:rPr>
              <w:t>"33.1.1.2.8. konsultāciju izmaksas vidējiem komersantiem automatizācijas un robotizācijas risinājumu attīstībai</w:t>
            </w:r>
            <w:r w:rsidR="00733B58">
              <w:rPr>
                <w:sz w:val="22"/>
                <w:szCs w:val="22"/>
              </w:rPr>
              <w:t>,</w:t>
            </w:r>
            <w:r w:rsidR="006C78AC">
              <w:rPr>
                <w:sz w:val="22"/>
                <w:szCs w:val="22"/>
              </w:rPr>
              <w:t xml:space="preserve"> </w:t>
            </w:r>
            <w:r w:rsidR="00733B58" w:rsidRPr="000F6378">
              <w:rPr>
                <w:sz w:val="22"/>
                <w:szCs w:val="22"/>
              </w:rPr>
              <w:t xml:space="preserve">kopā nepārsniedzot 25 000 </w:t>
            </w:r>
            <w:proofErr w:type="spellStart"/>
            <w:r w:rsidR="00733B58" w:rsidRPr="000F6378">
              <w:rPr>
                <w:i/>
                <w:iCs/>
                <w:sz w:val="22"/>
                <w:szCs w:val="22"/>
              </w:rPr>
              <w:t>euro</w:t>
            </w:r>
            <w:proofErr w:type="spellEnd"/>
            <w:r w:rsidR="00733B58" w:rsidRPr="000F6378">
              <w:rPr>
                <w:sz w:val="22"/>
                <w:szCs w:val="22"/>
              </w:rPr>
              <w:t>,</w:t>
            </w:r>
            <w:r w:rsidR="00733B58" w:rsidRPr="000F6378">
              <w:rPr>
                <w:i/>
                <w:iCs/>
                <w:sz w:val="22"/>
                <w:szCs w:val="22"/>
              </w:rPr>
              <w:t xml:space="preserve"> </w:t>
            </w:r>
            <w:r w:rsidR="00733B58" w:rsidRPr="000F6378">
              <w:rPr>
                <w:sz w:val="22"/>
                <w:szCs w:val="22"/>
              </w:rPr>
              <w:t xml:space="preserve">un tās ir īstenojamas tikai kopā ar apmācībām mācību projekta ietvaros. Minētais </w:t>
            </w:r>
            <w:r w:rsidR="00733B58" w:rsidRPr="000F6378">
              <w:rPr>
                <w:sz w:val="22"/>
                <w:szCs w:val="22"/>
              </w:rPr>
              <w:lastRenderedPageBreak/>
              <w:t xml:space="preserve">attiecināms gadījumos, ja izmaksas atbilst Komisijas regulas Nr. 651/2014 2. panta 94. punktā noteiktajai inovāciju konsultāciju pakalpojumu definīcijai. Saņemot </w:t>
            </w:r>
            <w:proofErr w:type="spellStart"/>
            <w:r w:rsidR="00733B58" w:rsidRPr="000F6378">
              <w:rPr>
                <w:i/>
                <w:iCs/>
                <w:sz w:val="22"/>
                <w:szCs w:val="22"/>
              </w:rPr>
              <w:t>de</w:t>
            </w:r>
            <w:proofErr w:type="spellEnd"/>
            <w:r w:rsidR="00733B58" w:rsidRPr="000F6378">
              <w:rPr>
                <w:i/>
                <w:iCs/>
                <w:sz w:val="22"/>
                <w:szCs w:val="22"/>
              </w:rPr>
              <w:t xml:space="preserve"> </w:t>
            </w:r>
            <w:proofErr w:type="spellStart"/>
            <w:r w:rsidR="00733B58" w:rsidRPr="000F6378">
              <w:rPr>
                <w:i/>
                <w:iCs/>
                <w:sz w:val="22"/>
                <w:szCs w:val="22"/>
              </w:rPr>
              <w:t>minimis</w:t>
            </w:r>
            <w:proofErr w:type="spellEnd"/>
            <w:r w:rsidR="00733B58" w:rsidRPr="000F6378">
              <w:rPr>
                <w:sz w:val="22"/>
                <w:szCs w:val="22"/>
              </w:rPr>
              <w:t xml:space="preserve"> atbalstu atbilstoši Komisijas regulai Nr. 1407/2013, ievērojami Komisijas regulas Nr. 651/2014 2. panta 94. punktā minētās definīcijas nosacījumi</w:t>
            </w:r>
            <w:r w:rsidRPr="000F6378">
              <w:rPr>
                <w:sz w:val="22"/>
                <w:szCs w:val="22"/>
              </w:rPr>
              <w:t>;</w:t>
            </w:r>
            <w:r w:rsidRPr="00BE1B14">
              <w:rPr>
                <w:sz w:val="22"/>
                <w:szCs w:val="22"/>
              </w:rPr>
              <w:t xml:space="preserve">  </w:t>
            </w:r>
          </w:p>
          <w:p w14:paraId="60ADF429" w14:textId="6D243927" w:rsidR="00BE1B14" w:rsidRDefault="00BE1B14" w:rsidP="00BE1B14">
            <w:pPr>
              <w:spacing w:after="120"/>
              <w:jc w:val="both"/>
              <w:rPr>
                <w:sz w:val="22"/>
                <w:szCs w:val="22"/>
              </w:rPr>
            </w:pPr>
            <w:r w:rsidRPr="00BE1B14">
              <w:rPr>
                <w:sz w:val="22"/>
                <w:szCs w:val="22"/>
              </w:rPr>
              <w:t>33.1.1.2.9. iekārtu nomas, datorprogrammu, licenču amortizācijas izmaksas vidējiem un lieliem komersantiem mācību projekta ietvaros."</w:t>
            </w:r>
          </w:p>
          <w:p w14:paraId="21B181FC" w14:textId="77777777" w:rsidR="001945E0" w:rsidRDefault="001945E0" w:rsidP="00BE1B14">
            <w:pPr>
              <w:spacing w:after="120"/>
              <w:jc w:val="both"/>
              <w:rPr>
                <w:sz w:val="22"/>
                <w:szCs w:val="22"/>
              </w:rPr>
            </w:pPr>
          </w:p>
          <w:p w14:paraId="3BD06E8C" w14:textId="77777777" w:rsidR="001945E0" w:rsidRPr="001945E0" w:rsidRDefault="001945E0" w:rsidP="001945E0">
            <w:pPr>
              <w:spacing w:after="120"/>
              <w:jc w:val="both"/>
              <w:rPr>
                <w:sz w:val="22"/>
                <w:szCs w:val="22"/>
              </w:rPr>
            </w:pPr>
            <w:r w:rsidRPr="001945E0">
              <w:rPr>
                <w:sz w:val="22"/>
                <w:szCs w:val="22"/>
              </w:rPr>
              <w:t>Noteikumu projekta 9. punkts:</w:t>
            </w:r>
          </w:p>
          <w:p w14:paraId="462DB81E" w14:textId="01E90B0C" w:rsidR="001945E0" w:rsidRPr="001945E0" w:rsidRDefault="001945E0" w:rsidP="001945E0">
            <w:pPr>
              <w:spacing w:after="120"/>
              <w:jc w:val="both"/>
              <w:rPr>
                <w:sz w:val="22"/>
                <w:szCs w:val="22"/>
              </w:rPr>
            </w:pPr>
            <w:r w:rsidRPr="001945E0">
              <w:rPr>
                <w:sz w:val="22"/>
                <w:szCs w:val="22"/>
              </w:rPr>
              <w:t>"33.1.1.5.8. konsultāciju izmaksas sīkiem (mikro) maziem, vidējiem komersantiem automatizācijas un robotizācijas risinājumu attīstībai</w:t>
            </w:r>
            <w:r w:rsidR="00733B58" w:rsidRPr="000F6378">
              <w:rPr>
                <w:sz w:val="22"/>
                <w:szCs w:val="22"/>
              </w:rPr>
              <w:t>,</w:t>
            </w:r>
            <w:r w:rsidR="00A703DC" w:rsidRPr="000F6378">
              <w:t xml:space="preserve"> </w:t>
            </w:r>
            <w:r w:rsidR="00733B58" w:rsidRPr="000F6378">
              <w:rPr>
                <w:sz w:val="22"/>
                <w:szCs w:val="22"/>
              </w:rPr>
              <w:t xml:space="preserve">kopā nepārsniedzot 25 000 </w:t>
            </w:r>
            <w:proofErr w:type="spellStart"/>
            <w:r w:rsidR="00733B58" w:rsidRPr="000F6378">
              <w:rPr>
                <w:i/>
                <w:iCs/>
                <w:sz w:val="22"/>
                <w:szCs w:val="22"/>
              </w:rPr>
              <w:t>euro</w:t>
            </w:r>
            <w:proofErr w:type="spellEnd"/>
            <w:r w:rsidR="00733B58" w:rsidRPr="000F6378">
              <w:rPr>
                <w:sz w:val="22"/>
                <w:szCs w:val="22"/>
              </w:rPr>
              <w:t>,</w:t>
            </w:r>
            <w:r w:rsidR="00733B58" w:rsidRPr="000F6378">
              <w:rPr>
                <w:i/>
                <w:iCs/>
                <w:sz w:val="22"/>
                <w:szCs w:val="22"/>
              </w:rPr>
              <w:t xml:space="preserve"> </w:t>
            </w:r>
            <w:r w:rsidR="00733B58" w:rsidRPr="000F6378">
              <w:rPr>
                <w:sz w:val="22"/>
                <w:szCs w:val="22"/>
              </w:rPr>
              <w:t xml:space="preserve">un tās ir īstenojamas tikai kopā ar apmācībām mācību projekta ietvaros. Minētais attiecināms gadījumos, ja izmaksas atbilst Komisijas regulas Nr. 651/2014 2. panta 94. punktā noteiktajai inovāciju konsultāciju pakalpojumu definīcijai. Saņemot </w:t>
            </w:r>
            <w:proofErr w:type="spellStart"/>
            <w:r w:rsidR="00733B58" w:rsidRPr="000F6378">
              <w:rPr>
                <w:i/>
                <w:iCs/>
                <w:sz w:val="22"/>
                <w:szCs w:val="22"/>
              </w:rPr>
              <w:t>de</w:t>
            </w:r>
            <w:proofErr w:type="spellEnd"/>
            <w:r w:rsidR="00733B58" w:rsidRPr="000F6378">
              <w:rPr>
                <w:i/>
                <w:iCs/>
                <w:sz w:val="22"/>
                <w:szCs w:val="22"/>
              </w:rPr>
              <w:t xml:space="preserve"> </w:t>
            </w:r>
            <w:proofErr w:type="spellStart"/>
            <w:r w:rsidR="00733B58" w:rsidRPr="000F6378">
              <w:rPr>
                <w:i/>
                <w:iCs/>
                <w:sz w:val="22"/>
                <w:szCs w:val="22"/>
              </w:rPr>
              <w:t>minimis</w:t>
            </w:r>
            <w:proofErr w:type="spellEnd"/>
            <w:r w:rsidR="00733B58" w:rsidRPr="000F6378">
              <w:rPr>
                <w:sz w:val="22"/>
                <w:szCs w:val="22"/>
              </w:rPr>
              <w:t xml:space="preserve"> atbalstu atbilstoši Komisijas regulai Nr. 1407/2013, ievērojami Komisijas regulas Nr. 651/2014 2. panta 94. punktā minētās definīcijas nosacījumi</w:t>
            </w:r>
            <w:r w:rsidRPr="000F6378">
              <w:rPr>
                <w:sz w:val="22"/>
                <w:szCs w:val="22"/>
              </w:rPr>
              <w:t>;</w:t>
            </w:r>
            <w:r w:rsidRPr="001945E0">
              <w:rPr>
                <w:sz w:val="22"/>
                <w:szCs w:val="22"/>
              </w:rPr>
              <w:t xml:space="preserve">  </w:t>
            </w:r>
          </w:p>
          <w:p w14:paraId="62FD26C5" w14:textId="77777777" w:rsidR="001945E0" w:rsidRPr="001945E0" w:rsidRDefault="001945E0" w:rsidP="001945E0">
            <w:pPr>
              <w:spacing w:after="120"/>
              <w:jc w:val="both"/>
              <w:rPr>
                <w:sz w:val="22"/>
                <w:szCs w:val="22"/>
              </w:rPr>
            </w:pPr>
            <w:r w:rsidRPr="001945E0">
              <w:rPr>
                <w:sz w:val="22"/>
                <w:szCs w:val="22"/>
              </w:rPr>
              <w:t xml:space="preserve">33.1.1.5.9. iekārtu nomas, datorprogrammu, licenču amortizācijas izmaksas sīkiem (mikro) maziem, vidējiem, lieliem komersantiem mācību projekta ietvaros; </w:t>
            </w:r>
          </w:p>
          <w:p w14:paraId="24C54589" w14:textId="77777777" w:rsidR="001945E0" w:rsidRPr="001945E0" w:rsidRDefault="001945E0" w:rsidP="001945E0">
            <w:pPr>
              <w:spacing w:after="120"/>
              <w:jc w:val="both"/>
              <w:rPr>
                <w:sz w:val="22"/>
                <w:szCs w:val="22"/>
              </w:rPr>
            </w:pPr>
            <w:r w:rsidRPr="001945E0">
              <w:rPr>
                <w:sz w:val="22"/>
                <w:szCs w:val="22"/>
              </w:rPr>
              <w:t>33.1.1.5.10. nodarbināto dienas nauda, ja apmācības norisinās ārvalstīs ilgāk par vienu dienu;</w:t>
            </w:r>
          </w:p>
          <w:p w14:paraId="5715C78B" w14:textId="26FD70C6" w:rsidR="00BE1B14" w:rsidRDefault="001945E0" w:rsidP="00BE1B14">
            <w:pPr>
              <w:spacing w:after="120"/>
              <w:jc w:val="both"/>
              <w:rPr>
                <w:sz w:val="22"/>
                <w:szCs w:val="22"/>
              </w:rPr>
            </w:pPr>
            <w:r w:rsidRPr="001945E0">
              <w:rPr>
                <w:sz w:val="22"/>
                <w:szCs w:val="22"/>
              </w:rPr>
              <w:lastRenderedPageBreak/>
              <w:t>33.1.1.5.11. pasniedzēju ceļa (transporta) izmaksas par starpvalstu un starppilsētu ekonomiskās klases sabiedriskā transporta izmantošanu, tai skaitā kopējās lietošanas transportlīdzekli kā taksometrs vai auto noma, un izmitināšanas izmaksas, ja apmācības norisinās Latvijā.</w:t>
            </w:r>
            <w:r w:rsidR="004143A4">
              <w:rPr>
                <w:sz w:val="22"/>
                <w:szCs w:val="22"/>
              </w:rPr>
              <w:t xml:space="preserve"> </w:t>
            </w:r>
            <w:r w:rsidR="00C775CD" w:rsidRPr="000F6378">
              <w:rPr>
                <w:sz w:val="22"/>
                <w:szCs w:val="22"/>
              </w:rPr>
              <w:t xml:space="preserve">Taksometra vai auto noma izmantojama tikai gadījumā, kad to izmanto ne mazāk kā trīs personas vienlaicīgi. </w:t>
            </w:r>
            <w:r w:rsidRPr="000F6378">
              <w:rPr>
                <w:sz w:val="22"/>
                <w:szCs w:val="22"/>
              </w:rPr>
              <w:t>"</w:t>
            </w:r>
          </w:p>
          <w:p w14:paraId="5ECCAD61" w14:textId="77777777" w:rsidR="001945E0" w:rsidRDefault="001945E0" w:rsidP="00BE1B14">
            <w:pPr>
              <w:spacing w:after="120"/>
              <w:jc w:val="both"/>
              <w:rPr>
                <w:sz w:val="22"/>
                <w:szCs w:val="22"/>
              </w:rPr>
            </w:pPr>
          </w:p>
          <w:p w14:paraId="72890E5B" w14:textId="1081DAA7" w:rsidR="00204183" w:rsidRDefault="001B6395" w:rsidP="005A1C31">
            <w:pPr>
              <w:spacing w:after="120"/>
              <w:jc w:val="both"/>
              <w:rPr>
                <w:sz w:val="22"/>
                <w:szCs w:val="22"/>
              </w:rPr>
            </w:pPr>
            <w:r w:rsidRPr="001B6395">
              <w:rPr>
                <w:sz w:val="22"/>
                <w:szCs w:val="22"/>
              </w:rPr>
              <w:t xml:space="preserve">Noteikumu projekta </w:t>
            </w:r>
            <w:r w:rsidR="00672460" w:rsidRPr="00B01CDB">
              <w:rPr>
                <w:sz w:val="22"/>
                <w:szCs w:val="22"/>
              </w:rPr>
              <w:t>19</w:t>
            </w:r>
            <w:r w:rsidR="00672460">
              <w:rPr>
                <w:sz w:val="22"/>
                <w:szCs w:val="22"/>
              </w:rPr>
              <w:t xml:space="preserve">. </w:t>
            </w:r>
            <w:r w:rsidRPr="001B6395">
              <w:rPr>
                <w:sz w:val="22"/>
                <w:szCs w:val="22"/>
              </w:rPr>
              <w:t>punkts:</w:t>
            </w:r>
          </w:p>
          <w:p w14:paraId="686DF4F6" w14:textId="251697DC" w:rsidR="00950C30" w:rsidRDefault="00950C30" w:rsidP="005A1C31">
            <w:pPr>
              <w:spacing w:after="120"/>
              <w:jc w:val="both"/>
              <w:rPr>
                <w:sz w:val="22"/>
                <w:szCs w:val="22"/>
              </w:rPr>
            </w:pPr>
          </w:p>
          <w:p w14:paraId="292F384E" w14:textId="77777777" w:rsidR="00D63BC5" w:rsidRPr="00D63BC5" w:rsidRDefault="00D63BC5" w:rsidP="00D63BC5">
            <w:pPr>
              <w:spacing w:after="120"/>
              <w:jc w:val="both"/>
              <w:rPr>
                <w:sz w:val="22"/>
                <w:szCs w:val="22"/>
              </w:rPr>
            </w:pPr>
            <w:r w:rsidRPr="00D63BC5">
              <w:rPr>
                <w:sz w:val="22"/>
                <w:szCs w:val="22"/>
              </w:rPr>
              <w:t>"51.2. šo noteikumu 13.3. apakšpunktā minētā finansējuma saņēmēja projektā:</w:t>
            </w:r>
          </w:p>
          <w:p w14:paraId="138FD810" w14:textId="77777777" w:rsidR="00D63BC5" w:rsidRPr="00D63BC5" w:rsidRDefault="00D63BC5" w:rsidP="00D63BC5">
            <w:pPr>
              <w:spacing w:after="120"/>
              <w:jc w:val="both"/>
              <w:rPr>
                <w:sz w:val="22"/>
                <w:szCs w:val="22"/>
              </w:rPr>
            </w:pPr>
            <w:r w:rsidRPr="00D63BC5">
              <w:rPr>
                <w:sz w:val="22"/>
                <w:szCs w:val="22"/>
              </w:rPr>
              <w:t xml:space="preserve">51.2.1. šo noteikumu 33.1.1.2., 33.1.1.3., 33.1.1.4., 33.1.1.5., 33.2.1. un 33.3. apakšpunktā minēto izmaksu segšanai saskaņā ar Komisijas regulu Nr. 1407/2013 un normatīvajiem aktiem par </w:t>
            </w:r>
            <w:proofErr w:type="spellStart"/>
            <w:r w:rsidRPr="00D63BC5">
              <w:rPr>
                <w:i/>
                <w:iCs/>
                <w:sz w:val="22"/>
                <w:szCs w:val="22"/>
              </w:rPr>
              <w:t>de</w:t>
            </w:r>
            <w:proofErr w:type="spellEnd"/>
            <w:r w:rsidRPr="00D63BC5">
              <w:rPr>
                <w:i/>
                <w:iCs/>
                <w:sz w:val="22"/>
                <w:szCs w:val="22"/>
              </w:rPr>
              <w:t xml:space="preserve"> </w:t>
            </w:r>
            <w:proofErr w:type="spellStart"/>
            <w:r w:rsidRPr="00D63BC5">
              <w:rPr>
                <w:i/>
                <w:iCs/>
                <w:sz w:val="22"/>
                <w:szCs w:val="22"/>
              </w:rPr>
              <w:t>minimis</w:t>
            </w:r>
            <w:proofErr w:type="spellEnd"/>
            <w:r w:rsidRPr="00D63BC5">
              <w:rPr>
                <w:sz w:val="22"/>
                <w:szCs w:val="22"/>
              </w:rPr>
              <w:t xml:space="preserve"> atbalsta uzskaites un piešķiršanas kārtību un </w:t>
            </w:r>
            <w:proofErr w:type="spellStart"/>
            <w:r w:rsidRPr="00D63BC5">
              <w:rPr>
                <w:i/>
                <w:iCs/>
                <w:sz w:val="22"/>
                <w:szCs w:val="22"/>
              </w:rPr>
              <w:t>de</w:t>
            </w:r>
            <w:proofErr w:type="spellEnd"/>
            <w:r w:rsidRPr="00D63BC5">
              <w:rPr>
                <w:i/>
                <w:iCs/>
                <w:sz w:val="22"/>
                <w:szCs w:val="22"/>
              </w:rPr>
              <w:t xml:space="preserve"> </w:t>
            </w:r>
            <w:proofErr w:type="spellStart"/>
            <w:r w:rsidRPr="00D63BC5">
              <w:rPr>
                <w:i/>
                <w:iCs/>
                <w:sz w:val="22"/>
                <w:szCs w:val="22"/>
              </w:rPr>
              <w:t>minimis</w:t>
            </w:r>
            <w:proofErr w:type="spellEnd"/>
            <w:r w:rsidRPr="00D63BC5">
              <w:rPr>
                <w:sz w:val="22"/>
                <w:szCs w:val="22"/>
              </w:rPr>
              <w:t xml:space="preserve"> atbalsta uzskaites veidlapu paraugiem; </w:t>
            </w:r>
          </w:p>
          <w:p w14:paraId="6C2DED8E" w14:textId="77777777" w:rsidR="00EA3168" w:rsidRPr="00EA3168" w:rsidRDefault="00D63BC5" w:rsidP="00EA3168">
            <w:pPr>
              <w:spacing w:after="120"/>
              <w:jc w:val="both"/>
              <w:rPr>
                <w:sz w:val="22"/>
                <w:szCs w:val="22"/>
              </w:rPr>
            </w:pPr>
            <w:r w:rsidRPr="0000268D">
              <w:rPr>
                <w:sz w:val="22"/>
                <w:szCs w:val="22"/>
              </w:rPr>
              <w:t>51.2.2. šo noteikumu 33.1.1.2., 33.1.1.3., 33.1.1.4., 33.1.1.5., 33.2.1. un 33.3. apakšpunktā minēto izmaksu segšanai saskaņā ar Komisijas</w:t>
            </w:r>
            <w:r>
              <w:rPr>
                <w:sz w:val="22"/>
                <w:szCs w:val="22"/>
              </w:rPr>
              <w:t xml:space="preserve"> </w:t>
            </w:r>
            <w:r w:rsidR="00EA3168" w:rsidRPr="00EA3168">
              <w:rPr>
                <w:sz w:val="22"/>
                <w:szCs w:val="22"/>
              </w:rPr>
              <w:t>regulas Nr. 651/2014 31. pantu, ja izpildās šo noteikumu 69. punktā minētais;</w:t>
            </w:r>
          </w:p>
          <w:p w14:paraId="38FF59BF" w14:textId="77777777" w:rsidR="00EA3168" w:rsidRPr="00EA3168" w:rsidRDefault="00EA3168" w:rsidP="00EA3168">
            <w:pPr>
              <w:spacing w:after="120"/>
              <w:jc w:val="both"/>
              <w:rPr>
                <w:sz w:val="22"/>
                <w:szCs w:val="22"/>
              </w:rPr>
            </w:pPr>
            <w:r w:rsidRPr="00EA3168">
              <w:rPr>
                <w:sz w:val="22"/>
                <w:szCs w:val="22"/>
              </w:rPr>
              <w:t xml:space="preserve">51.2.3. šo noteikumu 33.1.1.2.8. un 33.1.1.5.8. apakšpunktā minēto izmaksu segšanai saskaņā ar Komisijas regulu Nr. 1407/2013 un normatīvajiem aktiem par </w:t>
            </w:r>
            <w:proofErr w:type="spellStart"/>
            <w:r w:rsidRPr="00711FFC">
              <w:rPr>
                <w:i/>
                <w:iCs/>
                <w:sz w:val="22"/>
                <w:szCs w:val="22"/>
              </w:rPr>
              <w:t>de</w:t>
            </w:r>
            <w:proofErr w:type="spellEnd"/>
            <w:r w:rsidRPr="00711FFC">
              <w:rPr>
                <w:i/>
                <w:iCs/>
                <w:sz w:val="22"/>
                <w:szCs w:val="22"/>
              </w:rPr>
              <w:t xml:space="preserve"> </w:t>
            </w:r>
            <w:proofErr w:type="spellStart"/>
            <w:r w:rsidRPr="00711FFC">
              <w:rPr>
                <w:i/>
                <w:iCs/>
                <w:sz w:val="22"/>
                <w:szCs w:val="22"/>
              </w:rPr>
              <w:t>minimis</w:t>
            </w:r>
            <w:proofErr w:type="spellEnd"/>
            <w:r w:rsidRPr="00EA3168">
              <w:rPr>
                <w:sz w:val="22"/>
                <w:szCs w:val="22"/>
              </w:rPr>
              <w:t xml:space="preserve"> atbalsta uzskaites un piešķiršanas kārtību un </w:t>
            </w:r>
            <w:proofErr w:type="spellStart"/>
            <w:r w:rsidRPr="00711FFC">
              <w:rPr>
                <w:i/>
                <w:iCs/>
                <w:sz w:val="22"/>
                <w:szCs w:val="22"/>
              </w:rPr>
              <w:t>de</w:t>
            </w:r>
            <w:proofErr w:type="spellEnd"/>
            <w:r w:rsidRPr="00711FFC">
              <w:rPr>
                <w:i/>
                <w:iCs/>
                <w:sz w:val="22"/>
                <w:szCs w:val="22"/>
              </w:rPr>
              <w:t xml:space="preserve"> </w:t>
            </w:r>
            <w:proofErr w:type="spellStart"/>
            <w:r w:rsidRPr="00711FFC">
              <w:rPr>
                <w:i/>
                <w:iCs/>
                <w:sz w:val="22"/>
                <w:szCs w:val="22"/>
              </w:rPr>
              <w:t>minimis</w:t>
            </w:r>
            <w:proofErr w:type="spellEnd"/>
            <w:r w:rsidRPr="00EA3168">
              <w:rPr>
                <w:sz w:val="22"/>
                <w:szCs w:val="22"/>
              </w:rPr>
              <w:t xml:space="preserve"> atbalsta uzskaites veidlapu paraugiem; </w:t>
            </w:r>
          </w:p>
          <w:p w14:paraId="3722C349" w14:textId="0FBCC3E8" w:rsidR="00EA3168" w:rsidRPr="00EA3168" w:rsidRDefault="00EA3168" w:rsidP="00EA3168">
            <w:pPr>
              <w:spacing w:after="120"/>
              <w:jc w:val="both"/>
              <w:rPr>
                <w:sz w:val="22"/>
                <w:szCs w:val="22"/>
              </w:rPr>
            </w:pPr>
            <w:r w:rsidRPr="00EA3168">
              <w:rPr>
                <w:sz w:val="22"/>
                <w:szCs w:val="22"/>
              </w:rPr>
              <w:lastRenderedPageBreak/>
              <w:t xml:space="preserve">51.2.4. šo noteikumu 33.1.1.2.8. un 33.1.1.5.8. apakšpunktā minēto izmaksu segšanai saskaņā ar Komisijas regulas Nr. 651/2014 28. panta 2. punkta c) apakšpunktu </w:t>
            </w:r>
            <w:r w:rsidRPr="000F6378">
              <w:rPr>
                <w:sz w:val="22"/>
                <w:szCs w:val="22"/>
              </w:rPr>
              <w:t xml:space="preserve">un </w:t>
            </w:r>
            <w:r w:rsidR="00C775CD" w:rsidRPr="000F6378">
              <w:rPr>
                <w:sz w:val="22"/>
                <w:szCs w:val="22"/>
              </w:rPr>
              <w:t>3</w:t>
            </w:r>
            <w:r w:rsidRPr="000F6378">
              <w:rPr>
                <w:sz w:val="22"/>
                <w:szCs w:val="22"/>
              </w:rPr>
              <w:t>.</w:t>
            </w:r>
            <w:r w:rsidRPr="00EA3168">
              <w:rPr>
                <w:sz w:val="22"/>
                <w:szCs w:val="22"/>
              </w:rPr>
              <w:t xml:space="preserve"> punktu, ja izpildās šo noteikumu 69. punktā minētais. </w:t>
            </w:r>
          </w:p>
          <w:p w14:paraId="7C124D8A" w14:textId="4BAAABA0" w:rsidR="00B01CDB" w:rsidRPr="002373E2" w:rsidRDefault="00EA3168" w:rsidP="00EA3168">
            <w:pPr>
              <w:spacing w:after="120"/>
              <w:jc w:val="both"/>
              <w:rPr>
                <w:sz w:val="22"/>
                <w:szCs w:val="22"/>
              </w:rPr>
            </w:pPr>
            <w:r w:rsidRPr="00EA3168">
              <w:rPr>
                <w:sz w:val="22"/>
                <w:szCs w:val="22"/>
              </w:rPr>
              <w:t>Sniegtais atbalsts ir uzskatāms par komercdarbības atbalstu gala labuma guvējam."</w:t>
            </w:r>
          </w:p>
        </w:tc>
      </w:tr>
      <w:tr w:rsidR="00204183" w:rsidRPr="002373E2" w14:paraId="208E85B5"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D0526F" w14:textId="77777777" w:rsidR="00204183" w:rsidRPr="002373E2" w:rsidRDefault="00204183" w:rsidP="00AB23C9">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CD3174" w14:textId="4C0853AE" w:rsidR="0018571E" w:rsidRDefault="0018571E" w:rsidP="77BBD5D8">
            <w:pPr>
              <w:spacing w:after="200"/>
              <w:jc w:val="both"/>
              <w:rPr>
                <w:color w:val="000000" w:themeColor="text1"/>
                <w:sz w:val="22"/>
                <w:szCs w:val="22"/>
              </w:rPr>
            </w:pPr>
            <w:r>
              <w:rPr>
                <w:color w:val="000000" w:themeColor="text1"/>
                <w:sz w:val="22"/>
                <w:szCs w:val="22"/>
              </w:rPr>
              <w:t>Noteikumu projekt 14. punkts:</w:t>
            </w:r>
          </w:p>
          <w:p w14:paraId="26F7517B" w14:textId="3C3664FE" w:rsidR="00204183" w:rsidRPr="002373E2" w:rsidRDefault="0018571E" w:rsidP="77BBD5D8">
            <w:pPr>
              <w:spacing w:after="200"/>
              <w:jc w:val="both"/>
              <w:rPr>
                <w:color w:val="000000" w:themeColor="text1"/>
                <w:sz w:val="22"/>
                <w:szCs w:val="22"/>
              </w:rPr>
            </w:pPr>
            <w:r w:rsidRPr="0018571E">
              <w:rPr>
                <w:color w:val="000000" w:themeColor="text1"/>
                <w:sz w:val="22"/>
                <w:szCs w:val="22"/>
              </w:rPr>
              <w:t>"57.3. šo noteikumu 13.3. apakšpunktā minētā finansējuma saņēmēja projektā finansējuma saņēmējs izvērtē gala labuma guvēja atbilstību Komisijas regulai Nr. 1407/2013 vai Komisijas regulai Nr. 651/2014. Lēmums par komercdarbības atbalsta piešķiršanu saskaņā ar Komisijas regulu Nr. 1407/2013 vai Komisijas regulu Nr. 651/2014 ir finansējuma saņēmēja lēmums par gala labuma guvēja atbilstību komercdarbības atbalsta normām. Diena, kad pieņemts lēmums par atbalsta piešķiršanu, ir uzskatāma par komercdarbības atbalsta piešķiršanas dienu."</w:t>
            </w: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8F513A" w14:textId="67E30AAC" w:rsidR="00204183" w:rsidRPr="00204183" w:rsidRDefault="00204183" w:rsidP="00204183">
            <w:pPr>
              <w:jc w:val="both"/>
              <w:rPr>
                <w:b/>
                <w:sz w:val="22"/>
                <w:szCs w:val="22"/>
              </w:rPr>
            </w:pPr>
            <w:r w:rsidRPr="00204183">
              <w:rPr>
                <w:b/>
                <w:sz w:val="22"/>
                <w:szCs w:val="22"/>
              </w:rPr>
              <w:t xml:space="preserve">Finanšu ministrijas 28.04.2021. </w:t>
            </w:r>
            <w:r w:rsidR="00406B04">
              <w:rPr>
                <w:b/>
                <w:sz w:val="22"/>
                <w:szCs w:val="22"/>
              </w:rPr>
              <w:t>8.</w:t>
            </w:r>
            <w:r w:rsidRPr="00204183">
              <w:rPr>
                <w:b/>
                <w:sz w:val="22"/>
                <w:szCs w:val="22"/>
              </w:rPr>
              <w:t>iebildums</w:t>
            </w:r>
          </w:p>
          <w:p w14:paraId="78FD9766" w14:textId="6B0AF779" w:rsidR="00204183" w:rsidRPr="00204183" w:rsidRDefault="00406B04" w:rsidP="77BBD5D8">
            <w:pPr>
              <w:jc w:val="both"/>
              <w:rPr>
                <w:sz w:val="22"/>
                <w:szCs w:val="22"/>
              </w:rPr>
            </w:pPr>
            <w:r>
              <w:rPr>
                <w:sz w:val="22"/>
                <w:szCs w:val="22"/>
              </w:rPr>
              <w:t>“8.</w:t>
            </w:r>
            <w:r w:rsidR="00204183" w:rsidRPr="00204183">
              <w:rPr>
                <w:sz w:val="22"/>
                <w:szCs w:val="22"/>
              </w:rPr>
              <w:t>Lūdzam pārskatīt MK noteikumu projekta 14.punktā izteiktā MK noteikumu Nr. 365 57.3. apakšpunkta pēdējā teikuma redakciju. Lai novērstu nepamatotas interpretācijas riskus par komercdarbības atbalsta piešķiršanas lēmumu un brīdi, lūdzam šajā MK noteikumu projekta punktā lietot vienotu terminoloģiju par komercdarbības atbalsta piešķiršanas lēmumu, norādot, ka diena, kad pieņemts lēmums par komercdarbības atbalsta piešķiršanu, ir uzskatāma par komercdarbības atbalsta piešķiršanas dienu.</w:t>
            </w:r>
            <w:r>
              <w:rPr>
                <w:sz w:val="22"/>
                <w:szCs w:val="22"/>
              </w:rPr>
              <w:t>”</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22B11" w14:textId="77777777" w:rsidR="00204183" w:rsidRDefault="28D05221" w:rsidP="000522CD">
            <w:pPr>
              <w:spacing w:after="120"/>
              <w:jc w:val="center"/>
              <w:rPr>
                <w:b/>
                <w:bCs/>
                <w:sz w:val="22"/>
                <w:szCs w:val="22"/>
              </w:rPr>
            </w:pPr>
            <w:r w:rsidRPr="77BBD5D8">
              <w:rPr>
                <w:b/>
                <w:bCs/>
                <w:sz w:val="22"/>
                <w:szCs w:val="22"/>
              </w:rPr>
              <w:t>Ņemts vērā</w:t>
            </w:r>
          </w:p>
          <w:p w14:paraId="33A61B57" w14:textId="32E8E44C" w:rsidR="00C96C17" w:rsidRPr="002373E2" w:rsidRDefault="00C96C17" w:rsidP="00C96C17">
            <w:pPr>
              <w:spacing w:after="120"/>
              <w:jc w:val="both"/>
              <w:rPr>
                <w:sz w:val="22"/>
                <w:szCs w:val="22"/>
              </w:rPr>
            </w:pPr>
            <w:r w:rsidRPr="00C96C17">
              <w:rPr>
                <w:sz w:val="22"/>
                <w:szCs w:val="22"/>
              </w:rPr>
              <w:t>Lūdzam skatīt precizēto noteikumu projektu</w:t>
            </w:r>
            <w:r>
              <w:rPr>
                <w:sz w:val="22"/>
                <w:szCs w:val="22"/>
              </w:rPr>
              <w:t>.</w:t>
            </w:r>
          </w:p>
        </w:tc>
        <w:tc>
          <w:tcPr>
            <w:tcW w:w="4536" w:type="dxa"/>
            <w:tcBorders>
              <w:top w:val="single" w:sz="4" w:space="0" w:color="auto"/>
              <w:left w:val="single" w:sz="4" w:space="0" w:color="auto"/>
              <w:bottom w:val="single" w:sz="4" w:space="0" w:color="auto"/>
            </w:tcBorders>
          </w:tcPr>
          <w:p w14:paraId="26DC6175" w14:textId="633C8399" w:rsidR="00204183" w:rsidRDefault="00FF0A39" w:rsidP="001254E8">
            <w:pPr>
              <w:jc w:val="both"/>
              <w:rPr>
                <w:color w:val="000000" w:themeColor="text1"/>
                <w:sz w:val="22"/>
                <w:szCs w:val="22"/>
              </w:rPr>
            </w:pPr>
            <w:r>
              <w:rPr>
                <w:color w:val="000000" w:themeColor="text1"/>
                <w:sz w:val="22"/>
                <w:szCs w:val="22"/>
              </w:rPr>
              <w:t xml:space="preserve">Noteikumu projekta </w:t>
            </w:r>
            <w:r w:rsidR="00706768">
              <w:rPr>
                <w:color w:val="000000" w:themeColor="text1"/>
                <w:sz w:val="22"/>
                <w:szCs w:val="22"/>
              </w:rPr>
              <w:t>2</w:t>
            </w:r>
            <w:r w:rsidR="000F6378">
              <w:rPr>
                <w:color w:val="000000" w:themeColor="text1"/>
                <w:sz w:val="22"/>
                <w:szCs w:val="22"/>
              </w:rPr>
              <w:t>1</w:t>
            </w:r>
            <w:r w:rsidR="00706768">
              <w:rPr>
                <w:color w:val="000000" w:themeColor="text1"/>
                <w:sz w:val="22"/>
                <w:szCs w:val="22"/>
              </w:rPr>
              <w:t xml:space="preserve">. </w:t>
            </w:r>
            <w:r w:rsidR="28D05221" w:rsidRPr="001254E8">
              <w:rPr>
                <w:color w:val="000000" w:themeColor="text1"/>
                <w:sz w:val="22"/>
                <w:szCs w:val="22"/>
              </w:rPr>
              <w:t>punkt</w:t>
            </w:r>
            <w:r>
              <w:rPr>
                <w:color w:val="000000" w:themeColor="text1"/>
                <w:sz w:val="22"/>
                <w:szCs w:val="22"/>
              </w:rPr>
              <w:t>s</w:t>
            </w:r>
            <w:r w:rsidR="28D05221" w:rsidRPr="001254E8">
              <w:rPr>
                <w:color w:val="000000" w:themeColor="text1"/>
                <w:sz w:val="22"/>
                <w:szCs w:val="22"/>
              </w:rPr>
              <w:t>:</w:t>
            </w:r>
          </w:p>
          <w:p w14:paraId="44E022CC" w14:textId="77777777" w:rsidR="00FF0A39" w:rsidRPr="001254E8" w:rsidRDefault="00FF0A39" w:rsidP="001254E8">
            <w:pPr>
              <w:jc w:val="both"/>
              <w:rPr>
                <w:rFonts w:asciiTheme="minorHAnsi" w:eastAsiaTheme="minorEastAsia" w:hAnsiTheme="minorHAnsi" w:cstheme="minorBidi"/>
                <w:color w:val="000000" w:themeColor="text1"/>
                <w:sz w:val="22"/>
                <w:szCs w:val="22"/>
              </w:rPr>
            </w:pPr>
          </w:p>
          <w:p w14:paraId="0673B90B" w14:textId="4051669C" w:rsidR="00204183" w:rsidRPr="00FF0A39" w:rsidRDefault="00706768" w:rsidP="00FF0A39">
            <w:pPr>
              <w:spacing w:after="200"/>
              <w:jc w:val="both"/>
              <w:rPr>
                <w:color w:val="000000" w:themeColor="text1"/>
                <w:sz w:val="22"/>
                <w:szCs w:val="22"/>
              </w:rPr>
            </w:pPr>
            <w:r w:rsidRPr="00706768">
              <w:rPr>
                <w:color w:val="000000" w:themeColor="text1"/>
                <w:sz w:val="22"/>
                <w:szCs w:val="22"/>
              </w:rPr>
              <w:t>"57.3. šo noteikumu 13.3. apakšpunktā minētā finansējuma saņēmēja projektā finansējuma saņēmējs izvērtē gala labuma guvēja atbilstību Komisijas regulai Nr. </w:t>
            </w:r>
            <w:hyperlink r:id="rId8">
              <w:r w:rsidRPr="00706768">
                <w:rPr>
                  <w:rStyle w:val="Hyperlink"/>
                  <w:sz w:val="22"/>
                  <w:szCs w:val="22"/>
                </w:rPr>
                <w:t>1407/2013</w:t>
              </w:r>
            </w:hyperlink>
            <w:r w:rsidRPr="00706768">
              <w:rPr>
                <w:color w:val="000000" w:themeColor="text1"/>
                <w:sz w:val="22"/>
                <w:szCs w:val="22"/>
              </w:rPr>
              <w:t> vai Komisijas regulai Nr. </w:t>
            </w:r>
            <w:hyperlink r:id="rId9">
              <w:r w:rsidRPr="00706768">
                <w:rPr>
                  <w:rStyle w:val="Hyperlink"/>
                  <w:sz w:val="22"/>
                  <w:szCs w:val="22"/>
                </w:rPr>
                <w:t>651/2014</w:t>
              </w:r>
            </w:hyperlink>
            <w:r w:rsidRPr="00706768">
              <w:rPr>
                <w:color w:val="000000" w:themeColor="text1"/>
                <w:sz w:val="22"/>
                <w:szCs w:val="22"/>
              </w:rPr>
              <w:t>. Lēmums par komercdarbības atbalsta piešķiršanu saskaņā ar Komisijas regulu Nr. </w:t>
            </w:r>
            <w:hyperlink r:id="rId10">
              <w:r w:rsidRPr="00706768">
                <w:rPr>
                  <w:rStyle w:val="Hyperlink"/>
                  <w:sz w:val="22"/>
                  <w:szCs w:val="22"/>
                </w:rPr>
                <w:t>1407/2013</w:t>
              </w:r>
            </w:hyperlink>
            <w:r w:rsidRPr="00706768">
              <w:rPr>
                <w:color w:val="000000" w:themeColor="text1"/>
                <w:sz w:val="22"/>
                <w:szCs w:val="22"/>
              </w:rPr>
              <w:t> vai Komisijas regulu Nr. </w:t>
            </w:r>
            <w:hyperlink r:id="rId11">
              <w:r w:rsidRPr="00706768">
                <w:rPr>
                  <w:rStyle w:val="Hyperlink"/>
                  <w:sz w:val="22"/>
                  <w:szCs w:val="22"/>
                </w:rPr>
                <w:t>651/2014</w:t>
              </w:r>
            </w:hyperlink>
            <w:r w:rsidRPr="00706768">
              <w:rPr>
                <w:color w:val="000000" w:themeColor="text1"/>
                <w:sz w:val="22"/>
                <w:szCs w:val="22"/>
              </w:rPr>
              <w:t> ir finansējuma saņēmēja lēmums par gala labuma guvēja atbilstību komercdarbības atbalsta normām. Diena, kad pieņemts lēmums par  komercdarbības atbalsta piešķiršanu, ir uzskatāma par komercdarbības atbalsta piešķiršanas dienu."</w:t>
            </w:r>
          </w:p>
        </w:tc>
      </w:tr>
      <w:tr w:rsidR="00204183" w:rsidRPr="002373E2" w14:paraId="732F2EEE"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E82FCE" w14:textId="77777777" w:rsidR="00204183" w:rsidRPr="002373E2" w:rsidRDefault="00204183" w:rsidP="00AB23C9">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8AE0F0" w14:textId="69F9C448" w:rsidR="00E16CAC" w:rsidRDefault="00E16CAC" w:rsidP="77BBD5D8">
            <w:pPr>
              <w:spacing w:after="200"/>
              <w:jc w:val="both"/>
              <w:rPr>
                <w:color w:val="000000" w:themeColor="text1"/>
                <w:sz w:val="22"/>
                <w:szCs w:val="22"/>
              </w:rPr>
            </w:pPr>
            <w:r>
              <w:rPr>
                <w:color w:val="000000" w:themeColor="text1"/>
                <w:sz w:val="22"/>
                <w:szCs w:val="22"/>
              </w:rPr>
              <w:t>Noteikumu projekta 17. punkts:</w:t>
            </w:r>
          </w:p>
          <w:p w14:paraId="2F7EDFFB" w14:textId="56C62531" w:rsidR="00204183" w:rsidRPr="002373E2" w:rsidRDefault="00E16CAC" w:rsidP="77BBD5D8">
            <w:pPr>
              <w:spacing w:after="200"/>
              <w:jc w:val="both"/>
              <w:rPr>
                <w:color w:val="000000" w:themeColor="text1"/>
                <w:sz w:val="22"/>
                <w:szCs w:val="22"/>
              </w:rPr>
            </w:pPr>
            <w:r w:rsidRPr="00E16CAC">
              <w:rPr>
                <w:color w:val="000000" w:themeColor="text1"/>
                <w:sz w:val="22"/>
                <w:szCs w:val="22"/>
              </w:rPr>
              <w:t>"62.3. Komisijas regulas Nr. 651/2014 1. panta 4. punkta "c" apakšpunktā minētajiem uzņēmumiem, ja tie atbilst Komisijas regulas Nr. 651/2014 2. panta 18. punktā noteiktajai definīcijai, izņemot gala labuma guvējus, kuri 2019. gada 31. decembrī nebija nonākuši grūtībās, taču kļuva par grūtībās nonākušiem uzņēmumiem laikposmā no 2020. gada 1. janvāra līdz 2021. gada 30. jūnijam."</w:t>
            </w: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2BE986" w14:textId="36FB61E7" w:rsidR="00204183" w:rsidRPr="00204183" w:rsidRDefault="00204183" w:rsidP="00204183">
            <w:pPr>
              <w:jc w:val="both"/>
              <w:rPr>
                <w:b/>
                <w:sz w:val="22"/>
                <w:szCs w:val="22"/>
              </w:rPr>
            </w:pPr>
            <w:r w:rsidRPr="00204183">
              <w:rPr>
                <w:b/>
                <w:sz w:val="22"/>
                <w:szCs w:val="22"/>
              </w:rPr>
              <w:t>Finanšu ministrijas 28.04.2021.</w:t>
            </w:r>
            <w:r w:rsidR="00350A23">
              <w:rPr>
                <w:b/>
                <w:sz w:val="22"/>
                <w:szCs w:val="22"/>
              </w:rPr>
              <w:t xml:space="preserve"> 9.</w:t>
            </w:r>
            <w:r w:rsidRPr="00204183">
              <w:rPr>
                <w:b/>
                <w:sz w:val="22"/>
                <w:szCs w:val="22"/>
              </w:rPr>
              <w:t xml:space="preserve"> iebildums</w:t>
            </w:r>
          </w:p>
          <w:p w14:paraId="31637A79" w14:textId="0B1B3304" w:rsidR="00204183" w:rsidRPr="00204183" w:rsidRDefault="00350A23" w:rsidP="00D240D5">
            <w:pPr>
              <w:jc w:val="both"/>
              <w:rPr>
                <w:sz w:val="22"/>
                <w:szCs w:val="22"/>
              </w:rPr>
            </w:pPr>
            <w:r>
              <w:rPr>
                <w:sz w:val="22"/>
                <w:szCs w:val="22"/>
              </w:rPr>
              <w:t>“9.</w:t>
            </w:r>
            <w:r w:rsidR="00204183" w:rsidRPr="00204183">
              <w:rPr>
                <w:sz w:val="22"/>
                <w:szCs w:val="22"/>
              </w:rPr>
              <w:t>Lūdzam MK noteikumu projekta 17.punktā izteiktajā MK noteikumu Nr. 365 62.3. apakšpunktā dzēst tekstu: “</w:t>
            </w:r>
            <w:r w:rsidR="00204183" w:rsidRPr="00204183">
              <w:rPr>
                <w:i/>
                <w:iCs/>
                <w:sz w:val="22"/>
                <w:szCs w:val="22"/>
              </w:rPr>
              <w:t xml:space="preserve">izņemot gala labuma guvējus, kuri 2019. gada 31. decembrī nebija nonākuši grūtībās, taču kļuva par grūtībās nonākušiem uzņēmumiem laikposmā no 2020. gada 1. janvāra līdz 2021. gada 30. jūnijam." </w:t>
            </w:r>
            <w:r w:rsidR="00204183" w:rsidRPr="00204183">
              <w:rPr>
                <w:sz w:val="22"/>
                <w:szCs w:val="22"/>
              </w:rPr>
              <w:t>Skaidrojam, ka</w:t>
            </w:r>
            <w:r w:rsidR="00204183" w:rsidRPr="00204183">
              <w:rPr>
                <w:i/>
                <w:iCs/>
                <w:sz w:val="22"/>
                <w:szCs w:val="22"/>
              </w:rPr>
              <w:t xml:space="preserve"> </w:t>
            </w:r>
            <w:r w:rsidR="00204183" w:rsidRPr="00204183">
              <w:rPr>
                <w:sz w:val="22"/>
                <w:szCs w:val="22"/>
              </w:rPr>
              <w:t xml:space="preserve">62.3.apakšpunktā, sniedzot atsauci uz Komisijas regulas Nr. 651/2014 1. panta 4. </w:t>
            </w:r>
            <w:r w:rsidR="00204183" w:rsidRPr="00204183">
              <w:rPr>
                <w:sz w:val="22"/>
                <w:szCs w:val="22"/>
              </w:rPr>
              <w:lastRenderedPageBreak/>
              <w:t>punkta "c" apakšpunktu šis nosacījums jau ir ietverts. Vienlaikus vēršam uzmanību, ka Komisijas regulas Nr. 651/2014 1. panta 4. punkta "c" apakšpunktā paredzētā atkāpe (</w:t>
            </w:r>
            <w:r w:rsidR="00204183" w:rsidRPr="00204183">
              <w:rPr>
                <w:i/>
                <w:iCs/>
                <w:sz w:val="22"/>
                <w:szCs w:val="22"/>
              </w:rPr>
              <w:t>uzņēmumiem, kuri 2019. gada 31. decembrī nebija nonākuši grūtībās, taču kļuva par grūtībās nonākušiem uzņēmumiem laikposmā no 2020. gada 1. janvāra līdz 2021. gada 30. jūnijam</w:t>
            </w:r>
            <w:r w:rsidR="00204183" w:rsidRPr="00204183">
              <w:rPr>
                <w:sz w:val="22"/>
                <w:szCs w:val="22"/>
              </w:rPr>
              <w:t>) ir piemērojama atbalsta piešķiršanai t.i. lēmumu par komercdarbības atbalsta piešķiršanu šādiem grūtībās nonākušiem komersantiem var pieņemt līdz   2021. gada 30. jūnijam. Ar atbilstošu skaidrojumu, par terminētu atbalsta sniegšanu grūtībās nonākušiem komersantiem, lūdzam papildināt anotāciju.</w:t>
            </w:r>
            <w:r>
              <w:rPr>
                <w:sz w:val="22"/>
                <w:szCs w:val="22"/>
              </w:rPr>
              <w:t>”</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89AE0E" w14:textId="498846E6" w:rsidR="00204183" w:rsidRPr="002373E2" w:rsidRDefault="6FA1B5C4" w:rsidP="000522CD">
            <w:pPr>
              <w:spacing w:after="120"/>
              <w:jc w:val="center"/>
              <w:rPr>
                <w:sz w:val="22"/>
                <w:szCs w:val="22"/>
              </w:rPr>
            </w:pPr>
            <w:r w:rsidRPr="77BBD5D8">
              <w:rPr>
                <w:b/>
                <w:bCs/>
                <w:sz w:val="22"/>
                <w:szCs w:val="22"/>
              </w:rPr>
              <w:lastRenderedPageBreak/>
              <w:t>Ņemts vērā</w:t>
            </w:r>
          </w:p>
          <w:p w14:paraId="505E4913" w14:textId="7935FCF3" w:rsidR="00204183" w:rsidRPr="002373E2" w:rsidRDefault="00DC0920" w:rsidP="007E6A48">
            <w:pPr>
              <w:spacing w:after="120"/>
              <w:jc w:val="both"/>
              <w:rPr>
                <w:b/>
                <w:bCs/>
              </w:rPr>
            </w:pPr>
            <w:r>
              <w:rPr>
                <w:sz w:val="22"/>
                <w:szCs w:val="22"/>
              </w:rPr>
              <w:t>Noteikumu</w:t>
            </w:r>
            <w:r w:rsidR="00091310">
              <w:rPr>
                <w:sz w:val="22"/>
                <w:szCs w:val="22"/>
              </w:rPr>
              <w:t xml:space="preserve"> 62.3. apakšpunkts </w:t>
            </w:r>
            <w:r w:rsidR="00E56489">
              <w:rPr>
                <w:sz w:val="22"/>
                <w:szCs w:val="22"/>
              </w:rPr>
              <w:t>netiek</w:t>
            </w:r>
            <w:r w:rsidR="0089619F">
              <w:rPr>
                <w:sz w:val="22"/>
                <w:szCs w:val="22"/>
              </w:rPr>
              <w:t xml:space="preserve"> </w:t>
            </w:r>
            <w:r w:rsidR="00E56489">
              <w:rPr>
                <w:sz w:val="22"/>
                <w:szCs w:val="22"/>
              </w:rPr>
              <w:t>grozīts</w:t>
            </w:r>
            <w:r w:rsidR="00691028">
              <w:rPr>
                <w:sz w:val="22"/>
                <w:szCs w:val="22"/>
              </w:rPr>
              <w:t xml:space="preserve">, attiecīgi </w:t>
            </w:r>
            <w:r w:rsidR="00380BCC">
              <w:rPr>
                <w:sz w:val="22"/>
                <w:szCs w:val="22"/>
              </w:rPr>
              <w:t xml:space="preserve">spēkā ir </w:t>
            </w:r>
            <w:r w:rsidR="00691028">
              <w:rPr>
                <w:sz w:val="22"/>
                <w:szCs w:val="22"/>
              </w:rPr>
              <w:t xml:space="preserve"> </w:t>
            </w:r>
            <w:r w:rsidR="001A02B8">
              <w:rPr>
                <w:sz w:val="22"/>
                <w:szCs w:val="22"/>
              </w:rPr>
              <w:t xml:space="preserve">2016. gada 14. jūnijā </w:t>
            </w:r>
            <w:r w:rsidR="00691028">
              <w:rPr>
                <w:sz w:val="22"/>
                <w:szCs w:val="22"/>
              </w:rPr>
              <w:t>apstiprinātā redak</w:t>
            </w:r>
            <w:r w:rsidR="00380BCC">
              <w:rPr>
                <w:sz w:val="22"/>
                <w:szCs w:val="22"/>
              </w:rPr>
              <w:t>cija.</w:t>
            </w:r>
          </w:p>
        </w:tc>
        <w:tc>
          <w:tcPr>
            <w:tcW w:w="4536" w:type="dxa"/>
            <w:tcBorders>
              <w:top w:val="single" w:sz="4" w:space="0" w:color="auto"/>
              <w:left w:val="single" w:sz="4" w:space="0" w:color="auto"/>
              <w:bottom w:val="single" w:sz="4" w:space="0" w:color="auto"/>
            </w:tcBorders>
          </w:tcPr>
          <w:p w14:paraId="4C2644EE" w14:textId="2D1516F4" w:rsidR="00204183" w:rsidRPr="002373E2" w:rsidRDefault="00204183" w:rsidP="00C90500">
            <w:pPr>
              <w:jc w:val="both"/>
              <w:rPr>
                <w:color w:val="000000" w:themeColor="text1"/>
                <w:sz w:val="22"/>
                <w:szCs w:val="22"/>
              </w:rPr>
            </w:pPr>
          </w:p>
        </w:tc>
      </w:tr>
      <w:tr w:rsidR="00204183" w:rsidRPr="002373E2" w14:paraId="6DFC1364"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FA6C07" w14:textId="638DCCAD" w:rsidR="00204183" w:rsidRPr="002373E2" w:rsidRDefault="00204183" w:rsidP="0039682E">
            <w:pPr>
              <w:pStyle w:val="naisc"/>
              <w:numPr>
                <w:ilvl w:val="0"/>
                <w:numId w:val="3"/>
              </w:numPr>
              <w:autoSpaceDE w:val="0"/>
              <w:autoSpaceDN w:val="0"/>
              <w:adjustRightInd w:val="0"/>
              <w:spacing w:before="0" w:after="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0F399D" w14:textId="452F73FF" w:rsidR="00204183" w:rsidRPr="002373E2" w:rsidRDefault="00204183" w:rsidP="000A32EB">
            <w:pPr>
              <w:jc w:val="both"/>
              <w:rPr>
                <w:sz w:val="22"/>
                <w:szCs w:val="22"/>
              </w:rPr>
            </w:pP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AA9025" w14:textId="209ADBFD" w:rsidR="00204183" w:rsidRPr="00204183" w:rsidRDefault="00204183" w:rsidP="00204183">
            <w:pPr>
              <w:jc w:val="both"/>
              <w:rPr>
                <w:b/>
                <w:sz w:val="22"/>
                <w:szCs w:val="22"/>
              </w:rPr>
            </w:pPr>
            <w:r w:rsidRPr="00204183">
              <w:rPr>
                <w:b/>
                <w:sz w:val="22"/>
                <w:szCs w:val="22"/>
              </w:rPr>
              <w:t xml:space="preserve">Finanšu ministrijas 28.04.2021. </w:t>
            </w:r>
            <w:r w:rsidR="00350A23">
              <w:rPr>
                <w:b/>
                <w:sz w:val="22"/>
                <w:szCs w:val="22"/>
              </w:rPr>
              <w:t>10.</w:t>
            </w:r>
            <w:r w:rsidRPr="00204183">
              <w:rPr>
                <w:b/>
                <w:sz w:val="22"/>
                <w:szCs w:val="22"/>
              </w:rPr>
              <w:t>iebildums</w:t>
            </w:r>
          </w:p>
          <w:p w14:paraId="62FCB0D9" w14:textId="77777777" w:rsidR="00204183" w:rsidRDefault="00350A23" w:rsidP="00D240D5">
            <w:pPr>
              <w:jc w:val="both"/>
              <w:rPr>
                <w:sz w:val="22"/>
                <w:szCs w:val="22"/>
              </w:rPr>
            </w:pPr>
            <w:r>
              <w:rPr>
                <w:sz w:val="22"/>
                <w:szCs w:val="22"/>
              </w:rPr>
              <w:t>“10.</w:t>
            </w:r>
            <w:r w:rsidR="00204183" w:rsidRPr="00204183">
              <w:rPr>
                <w:sz w:val="22"/>
                <w:szCs w:val="22"/>
              </w:rPr>
              <w:t xml:space="preserve">Ņemot vērā, ka ekonomiskās priekšrocības piešķiršanu preču piegādātāju un pakalpojumu sniedzēju līmenī ir iespējams izslēgt vien tad, ja tiek organizēta konkurenci nodrošinoša, pārredzama, nediskriminējoša un beznosacījumu konkursa procedūra, kas atbilst publiskā iepirkuma principiem (skat. Eiropas Komisijas Paziņojuma par Līguma par Eiropas Savienības darbību 107.panta 1.punktā minēto valsts atbalsta jēdzienu ((2016/C 262/01) 89.-96.punkts), lūdzam papildināt MK noteikumu projektu, paredzot tajā grozījumu veikšanu MK noteikumu Nr.365  43.punktā, norādot, ka iepirkums tiks veikts, ievērojot publiskā iepirkuma tiesisko regulējumu un nodrošinot pārredzamu, nediskriminējošu, </w:t>
            </w:r>
            <w:r w:rsidR="00204183" w:rsidRPr="00204183">
              <w:rPr>
                <w:sz w:val="22"/>
                <w:szCs w:val="22"/>
              </w:rPr>
              <w:lastRenderedPageBreak/>
              <w:t>beznosacījumu un konkurenci nodrošinošu procedūru.</w:t>
            </w:r>
            <w:r>
              <w:rPr>
                <w:sz w:val="22"/>
                <w:szCs w:val="22"/>
              </w:rPr>
              <w:t>”</w:t>
            </w:r>
          </w:p>
          <w:p w14:paraId="4D36AACB" w14:textId="77777777" w:rsidR="00A17241" w:rsidRDefault="00A17241" w:rsidP="00D240D5">
            <w:pPr>
              <w:jc w:val="both"/>
              <w:rPr>
                <w:sz w:val="22"/>
                <w:szCs w:val="22"/>
              </w:rPr>
            </w:pPr>
          </w:p>
          <w:p w14:paraId="79FF8F19" w14:textId="77777777" w:rsidR="00A17241" w:rsidRDefault="00A56470" w:rsidP="00D240D5">
            <w:pPr>
              <w:jc w:val="both"/>
              <w:rPr>
                <w:b/>
                <w:bCs/>
                <w:sz w:val="22"/>
                <w:szCs w:val="22"/>
              </w:rPr>
            </w:pPr>
            <w:r w:rsidRPr="00A56470">
              <w:rPr>
                <w:b/>
                <w:bCs/>
                <w:sz w:val="22"/>
                <w:szCs w:val="22"/>
              </w:rPr>
              <w:t xml:space="preserve">Finanšu ministrijas 19.06.2021. </w:t>
            </w:r>
            <w:r w:rsidR="0017226D">
              <w:rPr>
                <w:b/>
                <w:bCs/>
                <w:sz w:val="22"/>
                <w:szCs w:val="22"/>
              </w:rPr>
              <w:t xml:space="preserve">1. </w:t>
            </w:r>
            <w:r w:rsidRPr="00A56470">
              <w:rPr>
                <w:b/>
                <w:bCs/>
                <w:sz w:val="22"/>
                <w:szCs w:val="22"/>
              </w:rPr>
              <w:t>iebildums elektroniskajā saskaņošanā</w:t>
            </w:r>
          </w:p>
          <w:p w14:paraId="11E9BCAA" w14:textId="011D4B69" w:rsidR="00082C9E" w:rsidRPr="00082C9E" w:rsidRDefault="0017226D" w:rsidP="00082C9E">
            <w:pPr>
              <w:jc w:val="both"/>
              <w:rPr>
                <w:sz w:val="22"/>
                <w:szCs w:val="22"/>
              </w:rPr>
            </w:pPr>
            <w:r w:rsidRPr="0017226D">
              <w:rPr>
                <w:sz w:val="22"/>
                <w:szCs w:val="22"/>
              </w:rPr>
              <w:t>“1.</w:t>
            </w:r>
            <w:r w:rsidR="00082C9E" w:rsidRPr="00082C9E">
              <w:rPr>
                <w:sz w:val="22"/>
                <w:szCs w:val="22"/>
              </w:rPr>
              <w:t xml:space="preserve">MK noteikumu projekta 17.punkts ir papildināts ar šādu tekstu: “iepirkums tiks veikts, ievērojot publiskā iepirkuma tiesisko regulējumu un nodrošinot pārredzamu, nediskriminējošu, beznosacījumu un konkurenci nodrošinošu procedūru”. Aģentūras ieskatā minētais papildinājums var būt mulsinošs, jo publiskais iepirkums faktiski ir plašāks jēdziens un Ministru kabineta 2017.gada 28.februāra noteikumu Nr.104 “Noteikumi par iepirkuma procedūru un tās piemērošanas kārtību pasūtītāja finansētiem projektiem” (turpmāk – MK noteikumi Nr.104) iepirkumi, jo īpaši tirgus izpētes, šajā jēdzienā varētu arī neietilpt. </w:t>
            </w:r>
          </w:p>
          <w:p w14:paraId="7A21F32E" w14:textId="7DA3298A" w:rsidR="0017226D" w:rsidRPr="0017226D" w:rsidRDefault="00082C9E" w:rsidP="00082C9E">
            <w:pPr>
              <w:jc w:val="both"/>
              <w:rPr>
                <w:sz w:val="22"/>
                <w:szCs w:val="22"/>
              </w:rPr>
            </w:pPr>
            <w:r w:rsidRPr="00082C9E">
              <w:rPr>
                <w:sz w:val="22"/>
                <w:szCs w:val="22"/>
              </w:rPr>
              <w:t xml:space="preserve">Lai aģentūrai un finansējuma saņēmējiem būtu skaidra rīcība, lūdzu aprakstīt anotācijā, kādā veidā finansējuma saņēmējs, veicot tirgus izpētes atbilstoši MK noteikumiem Nr.104, varēs izpildīt prasību, ka ir nodrošināta pārredzama, nediskriminējoša, beznosacījumu un konkurenci nodrošinoša procedūra. Papildus lūdzam norādīt anotācijā, ka šī jaunā pieeja ir piemērojama no MK noteikumu projekta spēkā stāšanās brīža. Papildus minētajam lūdzam atrunāt MK noteikumu projektā, ka gadījumā, ja noteikumu 13.1. un 13.2. apakšpunktā minētais finansējuma saņēmējs  nespēj nodrošināt pārredzamu, nediskriminējošu, beznosacījumu un konkurenci nodrošinošu procedūru, tad atbalsts projekta vadības </w:t>
            </w:r>
            <w:r w:rsidRPr="00082C9E">
              <w:rPr>
                <w:sz w:val="22"/>
                <w:szCs w:val="22"/>
              </w:rPr>
              <w:lastRenderedPageBreak/>
              <w:t xml:space="preserve">segšanai ir kvalificējams kā </w:t>
            </w:r>
            <w:proofErr w:type="spellStart"/>
            <w:r w:rsidRPr="00397A55">
              <w:rPr>
                <w:i/>
                <w:iCs/>
                <w:sz w:val="22"/>
                <w:szCs w:val="22"/>
              </w:rPr>
              <w:t>de</w:t>
            </w:r>
            <w:proofErr w:type="spellEnd"/>
            <w:r w:rsidRPr="00397A55">
              <w:rPr>
                <w:i/>
                <w:iCs/>
                <w:sz w:val="22"/>
                <w:szCs w:val="22"/>
              </w:rPr>
              <w:t xml:space="preserve"> </w:t>
            </w:r>
            <w:proofErr w:type="spellStart"/>
            <w:r w:rsidRPr="00397A55">
              <w:rPr>
                <w:i/>
                <w:iCs/>
                <w:sz w:val="22"/>
                <w:szCs w:val="22"/>
              </w:rPr>
              <w:t>minimis</w:t>
            </w:r>
            <w:proofErr w:type="spellEnd"/>
            <w:r w:rsidRPr="00082C9E">
              <w:rPr>
                <w:sz w:val="22"/>
                <w:szCs w:val="22"/>
              </w:rPr>
              <w:t xml:space="preserve"> atbalsts finansējuma saņēmējam.</w:t>
            </w:r>
            <w:r>
              <w:rPr>
                <w:sz w:val="22"/>
                <w:szCs w:val="22"/>
              </w:rPr>
              <w:t>”</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D79DD9" w14:textId="2C9EC953" w:rsidR="00204183" w:rsidRPr="000F6378" w:rsidRDefault="4348378E" w:rsidP="003365BA">
            <w:pPr>
              <w:spacing w:after="120"/>
              <w:jc w:val="both"/>
              <w:rPr>
                <w:b/>
                <w:bCs/>
                <w:sz w:val="22"/>
                <w:szCs w:val="22"/>
              </w:rPr>
            </w:pPr>
            <w:r w:rsidRPr="000F6378">
              <w:rPr>
                <w:b/>
                <w:bCs/>
                <w:sz w:val="22"/>
                <w:szCs w:val="22"/>
              </w:rPr>
              <w:lastRenderedPageBreak/>
              <w:t>Ņemts vērā</w:t>
            </w:r>
          </w:p>
          <w:p w14:paraId="629E4C4B" w14:textId="7D4D474B" w:rsidR="00440359" w:rsidRPr="000F6378" w:rsidRDefault="00440359" w:rsidP="003365BA">
            <w:pPr>
              <w:spacing w:after="120"/>
              <w:jc w:val="both"/>
              <w:rPr>
                <w:sz w:val="22"/>
                <w:szCs w:val="22"/>
              </w:rPr>
            </w:pPr>
            <w:r w:rsidRPr="000F6378">
              <w:rPr>
                <w:sz w:val="22"/>
                <w:szCs w:val="22"/>
              </w:rPr>
              <w:t>Lūdzam skatīt precizēto noteikumu projektu un anotācijas I sadaļas 2. punktu.</w:t>
            </w:r>
          </w:p>
          <w:p w14:paraId="7D161A41" w14:textId="77777777" w:rsidR="00204183" w:rsidRPr="000F6378" w:rsidRDefault="00204183" w:rsidP="003365BA">
            <w:pPr>
              <w:spacing w:after="120"/>
              <w:jc w:val="both"/>
              <w:rPr>
                <w:sz w:val="22"/>
                <w:szCs w:val="22"/>
              </w:rPr>
            </w:pPr>
          </w:p>
          <w:p w14:paraId="3ECFE4D8" w14:textId="77777777" w:rsidR="00533816" w:rsidRPr="000F6378" w:rsidRDefault="00533816" w:rsidP="003365BA">
            <w:pPr>
              <w:spacing w:after="120"/>
              <w:jc w:val="both"/>
              <w:rPr>
                <w:sz w:val="22"/>
                <w:szCs w:val="22"/>
              </w:rPr>
            </w:pPr>
          </w:p>
          <w:p w14:paraId="19BD205D" w14:textId="77777777" w:rsidR="00533816" w:rsidRPr="000F6378" w:rsidRDefault="00533816" w:rsidP="003365BA">
            <w:pPr>
              <w:spacing w:after="120"/>
              <w:jc w:val="both"/>
              <w:rPr>
                <w:sz w:val="22"/>
                <w:szCs w:val="22"/>
              </w:rPr>
            </w:pPr>
          </w:p>
          <w:p w14:paraId="21DCE76E" w14:textId="77777777" w:rsidR="00533816" w:rsidRPr="000F6378" w:rsidRDefault="00533816" w:rsidP="003365BA">
            <w:pPr>
              <w:spacing w:after="120"/>
              <w:jc w:val="both"/>
              <w:rPr>
                <w:sz w:val="22"/>
                <w:szCs w:val="22"/>
              </w:rPr>
            </w:pPr>
          </w:p>
          <w:p w14:paraId="5434783D" w14:textId="77777777" w:rsidR="00533816" w:rsidRPr="000F6378" w:rsidRDefault="00533816" w:rsidP="003365BA">
            <w:pPr>
              <w:spacing w:after="120"/>
              <w:jc w:val="both"/>
              <w:rPr>
                <w:sz w:val="22"/>
                <w:szCs w:val="22"/>
              </w:rPr>
            </w:pPr>
          </w:p>
          <w:p w14:paraId="1B8A8181" w14:textId="77777777" w:rsidR="00533816" w:rsidRPr="000F6378" w:rsidRDefault="00533816" w:rsidP="003365BA">
            <w:pPr>
              <w:spacing w:after="120"/>
              <w:jc w:val="both"/>
              <w:rPr>
                <w:sz w:val="22"/>
                <w:szCs w:val="22"/>
              </w:rPr>
            </w:pPr>
          </w:p>
          <w:p w14:paraId="5A97E1DB" w14:textId="77777777" w:rsidR="00533816" w:rsidRPr="000F6378" w:rsidRDefault="00533816" w:rsidP="003365BA">
            <w:pPr>
              <w:spacing w:after="120"/>
              <w:jc w:val="both"/>
              <w:rPr>
                <w:sz w:val="22"/>
                <w:szCs w:val="22"/>
              </w:rPr>
            </w:pPr>
          </w:p>
          <w:p w14:paraId="67C770CE" w14:textId="77777777" w:rsidR="00533816" w:rsidRPr="000F6378" w:rsidRDefault="00533816" w:rsidP="003365BA">
            <w:pPr>
              <w:spacing w:after="120"/>
              <w:jc w:val="both"/>
              <w:rPr>
                <w:sz w:val="22"/>
                <w:szCs w:val="22"/>
              </w:rPr>
            </w:pPr>
          </w:p>
          <w:p w14:paraId="43A1E3DC" w14:textId="1BFCEDF5" w:rsidR="00533816" w:rsidRPr="000F6378" w:rsidRDefault="00533816" w:rsidP="003365BA">
            <w:pPr>
              <w:spacing w:after="120"/>
              <w:jc w:val="both"/>
              <w:rPr>
                <w:sz w:val="22"/>
                <w:szCs w:val="22"/>
              </w:rPr>
            </w:pPr>
          </w:p>
          <w:p w14:paraId="24B7D5D4" w14:textId="1AA65B97" w:rsidR="00533816" w:rsidRPr="000F6378" w:rsidRDefault="00533816" w:rsidP="003365BA">
            <w:pPr>
              <w:spacing w:after="120"/>
              <w:jc w:val="both"/>
              <w:rPr>
                <w:b/>
                <w:bCs/>
                <w:sz w:val="22"/>
                <w:szCs w:val="22"/>
              </w:rPr>
            </w:pPr>
            <w:r w:rsidRPr="000F6378">
              <w:rPr>
                <w:b/>
                <w:bCs/>
                <w:sz w:val="22"/>
                <w:szCs w:val="22"/>
              </w:rPr>
              <w:t>Daļēji ņemts vērā</w:t>
            </w:r>
          </w:p>
          <w:p w14:paraId="4EC2F446" w14:textId="3125682D" w:rsidR="006371DA" w:rsidRPr="000F6378" w:rsidRDefault="006371DA" w:rsidP="003365BA">
            <w:pPr>
              <w:spacing w:after="120"/>
              <w:jc w:val="both"/>
              <w:rPr>
                <w:sz w:val="22"/>
                <w:szCs w:val="22"/>
              </w:rPr>
            </w:pPr>
            <w:r w:rsidRPr="000F6378">
              <w:rPr>
                <w:sz w:val="22"/>
                <w:szCs w:val="22"/>
              </w:rPr>
              <w:t xml:space="preserve">Skaidrojam, ka prasības </w:t>
            </w:r>
            <w:r w:rsidR="17049914" w:rsidRPr="000F6378">
              <w:rPr>
                <w:sz w:val="22"/>
                <w:szCs w:val="22"/>
              </w:rPr>
              <w:t>preču un pakalpojumu iegādi veikt saskaņā ar normatīvajiem aktiem publisko iepirkumu jomā, īstenojot atklātu,</w:t>
            </w:r>
            <w:r w:rsidRPr="000F6378">
              <w:rPr>
                <w:sz w:val="22"/>
                <w:szCs w:val="22"/>
              </w:rPr>
              <w:t xml:space="preserve"> pārredzamu, </w:t>
            </w:r>
            <w:r w:rsidR="17049914" w:rsidRPr="000F6378">
              <w:rPr>
                <w:sz w:val="22"/>
                <w:szCs w:val="22"/>
              </w:rPr>
              <w:t>nediskriminējošu,</w:t>
            </w:r>
            <w:r w:rsidR="007501E8" w:rsidRPr="000F6378">
              <w:rPr>
                <w:sz w:val="22"/>
                <w:szCs w:val="22"/>
              </w:rPr>
              <w:t xml:space="preserve"> </w:t>
            </w:r>
            <w:r w:rsidRPr="000F6378">
              <w:rPr>
                <w:sz w:val="22"/>
                <w:szCs w:val="22"/>
              </w:rPr>
              <w:t xml:space="preserve">konkurenci </w:t>
            </w:r>
            <w:r w:rsidR="17049914" w:rsidRPr="000F6378">
              <w:rPr>
                <w:sz w:val="22"/>
                <w:szCs w:val="22"/>
              </w:rPr>
              <w:t>n</w:t>
            </w:r>
            <w:r w:rsidR="5B9A4343" w:rsidRPr="000F6378">
              <w:rPr>
                <w:sz w:val="22"/>
                <w:szCs w:val="22"/>
              </w:rPr>
              <w:t>eierobežojošu</w:t>
            </w:r>
            <w:r w:rsidRPr="000F6378">
              <w:rPr>
                <w:sz w:val="22"/>
                <w:szCs w:val="22"/>
              </w:rPr>
              <w:t xml:space="preserve"> procedūru tiek attiecinātas uz visiem iepirkumiem neatkarīgi no iepirkuma paredzamās līgumcenas (t.sk. </w:t>
            </w:r>
            <w:proofErr w:type="spellStart"/>
            <w:r w:rsidRPr="000F6378">
              <w:rPr>
                <w:sz w:val="22"/>
                <w:szCs w:val="22"/>
              </w:rPr>
              <w:t>zemsliekšņa</w:t>
            </w:r>
            <w:proofErr w:type="spellEnd"/>
            <w:r w:rsidRPr="000F6378">
              <w:rPr>
                <w:sz w:val="22"/>
                <w:szCs w:val="22"/>
              </w:rPr>
              <w:t xml:space="preserve"> iepirkumu procedūras). </w:t>
            </w:r>
            <w:r w:rsidR="44FDCAFB" w:rsidRPr="000F6378">
              <w:rPr>
                <w:sz w:val="22"/>
                <w:szCs w:val="22"/>
              </w:rPr>
              <w:t xml:space="preserve">Tas nozīmē, ka, īstenojot projektu, finansējuma saņēmējs </w:t>
            </w:r>
            <w:r w:rsidR="44FDCAFB" w:rsidRPr="000F6378">
              <w:rPr>
                <w:sz w:val="22"/>
                <w:szCs w:val="22"/>
              </w:rPr>
              <w:lastRenderedPageBreak/>
              <w:t xml:space="preserve">darbības īstenošanai un izmaksu pamatošanai neatkarīgi no iepirkuma summas var izvēlēties tikai tādu iepirkuma procedūru, t.sk. veikt tirgus izpēti, kas īstenota ievērojot šo MK noteikumu </w:t>
            </w:r>
            <w:r w:rsidR="000F6378" w:rsidRPr="000F6378">
              <w:rPr>
                <w:sz w:val="22"/>
                <w:szCs w:val="22"/>
              </w:rPr>
              <w:t xml:space="preserve">Nr. 365 </w:t>
            </w:r>
            <w:r w:rsidR="44FDCAFB" w:rsidRPr="000F6378">
              <w:rPr>
                <w:sz w:val="22"/>
                <w:szCs w:val="22"/>
              </w:rPr>
              <w:t>43.</w:t>
            </w:r>
            <w:r w:rsidR="000F6378" w:rsidRPr="000F6378">
              <w:rPr>
                <w:sz w:val="22"/>
                <w:szCs w:val="22"/>
              </w:rPr>
              <w:t xml:space="preserve"> </w:t>
            </w:r>
            <w:r w:rsidR="44FDCAFB" w:rsidRPr="000F6378">
              <w:rPr>
                <w:sz w:val="22"/>
                <w:szCs w:val="22"/>
              </w:rPr>
              <w:t>pantā ietvertās normas, lai nodrošinātu, ka preču piegādātāju līmenī netiek sniegts komercdarbības atbalsts.</w:t>
            </w:r>
            <w:r w:rsidRPr="000F6378">
              <w:rPr>
                <w:sz w:val="22"/>
                <w:szCs w:val="22"/>
              </w:rPr>
              <w:t xml:space="preserve"> Finansējuma saņēmējs, balstoties uz normatīvajiem aktiem iepirkumu jomā, nodrošina pārredzamu un paredzamajai līgumcenai atbilstošu iepirkumu </w:t>
            </w:r>
            <w:r w:rsidRPr="000F6378">
              <w:rPr>
                <w:sz w:val="22"/>
                <w:szCs w:val="22"/>
              </w:rPr>
              <w:lastRenderedPageBreak/>
              <w:t xml:space="preserve">procedūru, lai nodrošinātu līdzekļu efektīvu izmantošanu, iegādājoties preces un pakalpojumus par līgumcenu, kas atbilsts esošajai tirgus vērtībai. Finansējuma saņēmējs nodrošina, ka visiem pretendentiem tiek sniegta vienāda informācija par iepirkuma procesu, priekšmetu un līguma slēgšanas kārtību. </w:t>
            </w:r>
          </w:p>
          <w:p w14:paraId="466B6A80" w14:textId="77777777" w:rsidR="009128EB" w:rsidRPr="000F6378" w:rsidRDefault="006371DA" w:rsidP="003365BA">
            <w:pPr>
              <w:spacing w:after="120"/>
              <w:jc w:val="both"/>
              <w:rPr>
                <w:sz w:val="22"/>
                <w:szCs w:val="22"/>
              </w:rPr>
            </w:pPr>
            <w:r w:rsidRPr="000F6378">
              <w:rPr>
                <w:sz w:val="22"/>
                <w:szCs w:val="22"/>
              </w:rPr>
              <w:t xml:space="preserve">Finansējuma saņēmējs iepirkuma prasības veido tā, lai tās nodrošinātu konkurenci un neradītu priekšrocības vai noraidīšanas </w:t>
            </w:r>
            <w:r w:rsidRPr="000F6378">
              <w:rPr>
                <w:sz w:val="22"/>
                <w:szCs w:val="22"/>
              </w:rPr>
              <w:lastRenderedPageBreak/>
              <w:t>iemeslu kādam konkrētam komersantam, tādejādi nodrošinot nediskriminējošu procedūru un vienlīdzīgu attieksmi</w:t>
            </w:r>
            <w:r w:rsidR="00023A81" w:rsidRPr="000F6378">
              <w:rPr>
                <w:sz w:val="22"/>
                <w:szCs w:val="22"/>
              </w:rPr>
              <w:t xml:space="preserve"> </w:t>
            </w:r>
            <w:r w:rsidR="009128EB" w:rsidRPr="000F6378">
              <w:rPr>
                <w:sz w:val="22"/>
                <w:szCs w:val="22"/>
              </w:rPr>
              <w:t>pret visiem pretendentiem. Iepirkuma priekšmeta prasībām ir jābūt skaidri definētām, objektīvām un samērīgām ar iepirkuma priekšmetu. Specifiskas prasības iepirkuma priekšmetā finansējuma saņēmējs drīkst norādīt tikai normatīvajos aktos paredzētos gadījumos, ja tās ir objektīvi nepieciešamas un finanšu saņēmējs spēj tās pamatot.</w:t>
            </w:r>
          </w:p>
          <w:p w14:paraId="21E17EE1" w14:textId="77777777" w:rsidR="009128EB" w:rsidRPr="000F6378" w:rsidRDefault="009128EB" w:rsidP="003365BA">
            <w:pPr>
              <w:spacing w:after="120"/>
              <w:jc w:val="both"/>
              <w:rPr>
                <w:sz w:val="22"/>
                <w:szCs w:val="22"/>
              </w:rPr>
            </w:pPr>
            <w:r w:rsidRPr="000F6378">
              <w:rPr>
                <w:sz w:val="22"/>
                <w:szCs w:val="22"/>
              </w:rPr>
              <w:lastRenderedPageBreak/>
              <w:t xml:space="preserve">Ja tiek organizēta </w:t>
            </w:r>
            <w:proofErr w:type="spellStart"/>
            <w:r w:rsidRPr="000F6378">
              <w:rPr>
                <w:sz w:val="22"/>
                <w:szCs w:val="22"/>
              </w:rPr>
              <w:t>zemsliekšņa</w:t>
            </w:r>
            <w:proofErr w:type="spellEnd"/>
            <w:r w:rsidRPr="000F6378">
              <w:rPr>
                <w:sz w:val="22"/>
                <w:szCs w:val="22"/>
              </w:rPr>
              <w:t xml:space="preserve"> iepirkuma procedūra, finansējuma saņēmējs aptaujā vismaz trīs piegādātājus par iepirkuma priekšmetu un iespējamām izmaksām, nosakot kritērijus tādā veidā, lai būtu iespējams nodrošināt konkurenci starp potenciālajiem piegādātājiem, tādejādi ievērojot šo noteikumu 43. punktā minētos nosacījumus. </w:t>
            </w:r>
          </w:p>
          <w:p w14:paraId="52A7AE30" w14:textId="03A4C09A" w:rsidR="7C7D7760" w:rsidRPr="000F6378" w:rsidRDefault="009128EB" w:rsidP="003365BA">
            <w:pPr>
              <w:spacing w:after="120"/>
              <w:jc w:val="both"/>
              <w:rPr>
                <w:sz w:val="22"/>
                <w:szCs w:val="22"/>
              </w:rPr>
            </w:pPr>
            <w:r w:rsidRPr="000F6378">
              <w:rPr>
                <w:sz w:val="22"/>
                <w:szCs w:val="22"/>
              </w:rPr>
              <w:t>Šo noteikumu 43. punktā minētās prasības ir piemērojamas no noteikumu projekta spēkā stāšanās brīža</w:t>
            </w:r>
            <w:r w:rsidR="000B00D7" w:rsidRPr="000F6378">
              <w:rPr>
                <w:sz w:val="22"/>
                <w:szCs w:val="22"/>
              </w:rPr>
              <w:t xml:space="preserve"> un redakcionāli </w:t>
            </w:r>
            <w:r w:rsidR="000B00D7" w:rsidRPr="000F6378">
              <w:rPr>
                <w:sz w:val="22"/>
                <w:szCs w:val="22"/>
              </w:rPr>
              <w:lastRenderedPageBreak/>
              <w:t xml:space="preserve">precizējumi noteikumu projektā nav nepieciešami, jo augstāk minētās prasības attiecas uz visiem finansējuma saņēmēja iepirkumiem (t.sk. </w:t>
            </w:r>
            <w:proofErr w:type="spellStart"/>
            <w:r w:rsidR="000B00D7" w:rsidRPr="000F6378">
              <w:rPr>
                <w:sz w:val="22"/>
                <w:szCs w:val="22"/>
              </w:rPr>
              <w:t>zemsliekšņa</w:t>
            </w:r>
            <w:proofErr w:type="spellEnd"/>
            <w:r w:rsidR="000B00D7" w:rsidRPr="000F6378">
              <w:rPr>
                <w:sz w:val="22"/>
                <w:szCs w:val="22"/>
              </w:rPr>
              <w:t xml:space="preserve"> iepirkumu procedūras).  </w:t>
            </w:r>
          </w:p>
          <w:p w14:paraId="037B1FEE" w14:textId="66871875" w:rsidR="00533816" w:rsidRPr="000F6378" w:rsidRDefault="008716EA" w:rsidP="003365BA">
            <w:pPr>
              <w:spacing w:after="120"/>
              <w:jc w:val="both"/>
              <w:rPr>
                <w:sz w:val="22"/>
                <w:szCs w:val="22"/>
              </w:rPr>
            </w:pPr>
            <w:r w:rsidRPr="000F6378">
              <w:rPr>
                <w:sz w:val="22"/>
                <w:szCs w:val="22"/>
              </w:rPr>
              <w:t>Lūdzam skatīt precizēt</w:t>
            </w:r>
            <w:r w:rsidR="004316D9" w:rsidRPr="000F6378">
              <w:rPr>
                <w:sz w:val="22"/>
                <w:szCs w:val="22"/>
              </w:rPr>
              <w:t xml:space="preserve">ās </w:t>
            </w:r>
            <w:r w:rsidRPr="000F6378">
              <w:rPr>
                <w:sz w:val="22"/>
                <w:szCs w:val="22"/>
              </w:rPr>
              <w:t>anotācijas I sadaļas 2. punktu.</w:t>
            </w:r>
          </w:p>
        </w:tc>
        <w:tc>
          <w:tcPr>
            <w:tcW w:w="4536" w:type="dxa"/>
            <w:tcBorders>
              <w:top w:val="single" w:sz="4" w:space="0" w:color="auto"/>
              <w:left w:val="single" w:sz="4" w:space="0" w:color="auto"/>
              <w:bottom w:val="single" w:sz="4" w:space="0" w:color="auto"/>
            </w:tcBorders>
          </w:tcPr>
          <w:p w14:paraId="6BEF7B26" w14:textId="4B9B2C0D" w:rsidR="00204183" w:rsidRDefault="00276B1E" w:rsidP="77BBD5D8">
            <w:pPr>
              <w:spacing w:after="120" w:line="257" w:lineRule="auto"/>
              <w:jc w:val="both"/>
              <w:rPr>
                <w:sz w:val="22"/>
                <w:szCs w:val="22"/>
              </w:rPr>
            </w:pPr>
            <w:r>
              <w:rPr>
                <w:sz w:val="22"/>
                <w:szCs w:val="22"/>
              </w:rPr>
              <w:lastRenderedPageBreak/>
              <w:t xml:space="preserve">Noteikumu projekta </w:t>
            </w:r>
            <w:r w:rsidR="00363351">
              <w:rPr>
                <w:sz w:val="22"/>
                <w:szCs w:val="22"/>
              </w:rPr>
              <w:t xml:space="preserve">17. </w:t>
            </w:r>
            <w:r w:rsidR="1841EC66" w:rsidRPr="77BBD5D8">
              <w:rPr>
                <w:sz w:val="22"/>
                <w:szCs w:val="22"/>
              </w:rPr>
              <w:t>punkt</w:t>
            </w:r>
            <w:r>
              <w:rPr>
                <w:sz w:val="22"/>
                <w:szCs w:val="22"/>
              </w:rPr>
              <w:t>s</w:t>
            </w:r>
            <w:r w:rsidR="1841EC66" w:rsidRPr="77BBD5D8">
              <w:rPr>
                <w:sz w:val="22"/>
                <w:szCs w:val="22"/>
              </w:rPr>
              <w:t>:</w:t>
            </w:r>
          </w:p>
          <w:p w14:paraId="061A2B68" w14:textId="18243C35" w:rsidR="007E0537" w:rsidRDefault="00363351" w:rsidP="3628E25F">
            <w:pPr>
              <w:spacing w:after="120" w:line="257" w:lineRule="auto"/>
              <w:jc w:val="both"/>
              <w:rPr>
                <w:sz w:val="22"/>
                <w:szCs w:val="22"/>
              </w:rPr>
            </w:pPr>
            <w:r w:rsidRPr="00363351">
              <w:rPr>
                <w:sz w:val="22"/>
                <w:szCs w:val="22"/>
              </w:rPr>
              <w:t xml:space="preserve">"43. </w:t>
            </w:r>
            <w:r w:rsidR="00140359" w:rsidRPr="00140359">
              <w:rPr>
                <w:sz w:val="22"/>
                <w:szCs w:val="22"/>
              </w:rPr>
              <w:t xml:space="preserve">Finansējuma saņēmējs projekta īstenošanai nepieciešamo preču un pakalpojumu iegādi veic saskaņā ar normatīvajiem aktiem </w:t>
            </w:r>
            <w:r w:rsidR="00140359">
              <w:rPr>
                <w:sz w:val="22"/>
                <w:szCs w:val="22"/>
              </w:rPr>
              <w:t xml:space="preserve">publisko </w:t>
            </w:r>
            <w:r w:rsidR="00140359" w:rsidRPr="00140359">
              <w:rPr>
                <w:sz w:val="22"/>
                <w:szCs w:val="22"/>
              </w:rPr>
              <w:t>iepirkum</w:t>
            </w:r>
            <w:r w:rsidR="000F6378">
              <w:rPr>
                <w:sz w:val="22"/>
                <w:szCs w:val="22"/>
              </w:rPr>
              <w:t>u</w:t>
            </w:r>
            <w:r w:rsidR="00140359" w:rsidRPr="00140359">
              <w:rPr>
                <w:sz w:val="22"/>
                <w:szCs w:val="22"/>
              </w:rPr>
              <w:t xml:space="preserve"> jomā</w:t>
            </w:r>
            <w:r w:rsidR="00140359">
              <w:rPr>
                <w:sz w:val="22"/>
                <w:szCs w:val="22"/>
              </w:rPr>
              <w:t>,</w:t>
            </w:r>
            <w:r w:rsidR="000F6378">
              <w:rPr>
                <w:sz w:val="22"/>
                <w:szCs w:val="22"/>
              </w:rPr>
              <w:t xml:space="preserve"> </w:t>
            </w:r>
            <w:r w:rsidR="00140359">
              <w:rPr>
                <w:sz w:val="22"/>
                <w:szCs w:val="22"/>
              </w:rPr>
              <w:t xml:space="preserve">īstenojot atklātu, </w:t>
            </w:r>
            <w:r w:rsidR="00140359" w:rsidRPr="00140359">
              <w:rPr>
                <w:sz w:val="22"/>
                <w:szCs w:val="22"/>
              </w:rPr>
              <w:t>pārredzamu, nediskriminējošu</w:t>
            </w:r>
            <w:r w:rsidR="000F6378">
              <w:rPr>
                <w:sz w:val="22"/>
                <w:szCs w:val="22"/>
              </w:rPr>
              <w:t xml:space="preserve"> </w:t>
            </w:r>
            <w:r w:rsidR="00140359" w:rsidRPr="00140359">
              <w:rPr>
                <w:sz w:val="22"/>
                <w:szCs w:val="22"/>
              </w:rPr>
              <w:t>un konkurenci n</w:t>
            </w:r>
            <w:r w:rsidR="000F6378">
              <w:rPr>
                <w:sz w:val="22"/>
                <w:szCs w:val="22"/>
              </w:rPr>
              <w:t>eierobežojošu</w:t>
            </w:r>
            <w:r w:rsidR="00140359" w:rsidRPr="00140359">
              <w:rPr>
                <w:sz w:val="22"/>
                <w:szCs w:val="22"/>
              </w:rPr>
              <w:t xml:space="preserve"> procedūru</w:t>
            </w:r>
            <w:r w:rsidR="00744920">
              <w:rPr>
                <w:sz w:val="22"/>
                <w:szCs w:val="22"/>
              </w:rPr>
              <w:t>.</w:t>
            </w:r>
            <w:r w:rsidR="00744920" w:rsidRPr="00744920">
              <w:rPr>
                <w:sz w:val="22"/>
                <w:szCs w:val="22"/>
              </w:rPr>
              <w:t>"</w:t>
            </w:r>
          </w:p>
          <w:p w14:paraId="11DCCB5A" w14:textId="77777777" w:rsidR="005369FD" w:rsidRPr="002373E2" w:rsidRDefault="005369FD" w:rsidP="77BBD5D8">
            <w:pPr>
              <w:spacing w:after="120" w:line="257" w:lineRule="auto"/>
              <w:jc w:val="both"/>
              <w:rPr>
                <w:sz w:val="22"/>
                <w:szCs w:val="22"/>
              </w:rPr>
            </w:pPr>
          </w:p>
          <w:p w14:paraId="2584AD60" w14:textId="3AD4F959" w:rsidR="00204183" w:rsidRPr="002373E2" w:rsidRDefault="00204183" w:rsidP="001B6395">
            <w:pPr>
              <w:spacing w:after="120" w:line="257" w:lineRule="auto"/>
              <w:jc w:val="both"/>
            </w:pPr>
          </w:p>
        </w:tc>
      </w:tr>
      <w:tr w:rsidR="00204183" w:rsidRPr="002373E2" w14:paraId="466C47EA"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92C566" w14:textId="77777777" w:rsidR="00204183" w:rsidRPr="002373E2" w:rsidRDefault="00204183" w:rsidP="0039682E">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ABD431" w14:textId="77777777" w:rsidR="00204183" w:rsidRPr="002373E2" w:rsidRDefault="00204183" w:rsidP="000A32EB">
            <w:pPr>
              <w:jc w:val="both"/>
              <w:rPr>
                <w:sz w:val="22"/>
                <w:szCs w:val="22"/>
              </w:rPr>
            </w:pP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68CCD0" w14:textId="70F9B6A5" w:rsidR="00204183" w:rsidRPr="00204183" w:rsidRDefault="00204183" w:rsidP="00204183">
            <w:pPr>
              <w:jc w:val="both"/>
              <w:rPr>
                <w:b/>
                <w:sz w:val="22"/>
                <w:szCs w:val="22"/>
              </w:rPr>
            </w:pPr>
            <w:r w:rsidRPr="00204183">
              <w:rPr>
                <w:b/>
                <w:sz w:val="22"/>
                <w:szCs w:val="22"/>
              </w:rPr>
              <w:t xml:space="preserve">Finanšu ministrijas 28.04.2021. </w:t>
            </w:r>
            <w:r w:rsidR="00350A23">
              <w:rPr>
                <w:b/>
                <w:sz w:val="22"/>
                <w:szCs w:val="22"/>
              </w:rPr>
              <w:t xml:space="preserve">11. </w:t>
            </w:r>
            <w:r w:rsidRPr="00204183">
              <w:rPr>
                <w:b/>
                <w:sz w:val="22"/>
                <w:szCs w:val="22"/>
              </w:rPr>
              <w:t>iebildums</w:t>
            </w:r>
          </w:p>
          <w:p w14:paraId="70F81245" w14:textId="013C0CAB" w:rsidR="00204183" w:rsidRPr="00363351" w:rsidRDefault="00860871" w:rsidP="00D240D5">
            <w:pPr>
              <w:jc w:val="both"/>
              <w:rPr>
                <w:sz w:val="22"/>
                <w:szCs w:val="22"/>
              </w:rPr>
            </w:pPr>
            <w:r>
              <w:rPr>
                <w:sz w:val="22"/>
                <w:szCs w:val="22"/>
              </w:rPr>
              <w:t xml:space="preserve">“11. </w:t>
            </w:r>
            <w:r w:rsidR="00204183" w:rsidRPr="00204183">
              <w:rPr>
                <w:sz w:val="22"/>
                <w:szCs w:val="22"/>
              </w:rPr>
              <w:t>Ņemot vērā, ka atbalsta kumulācija ir paredzēta arī MK noteikumu Nr.365  65.</w:t>
            </w:r>
            <w:r w:rsidR="00204183" w:rsidRPr="00204183">
              <w:rPr>
                <w:sz w:val="22"/>
                <w:szCs w:val="22"/>
                <w:vertAlign w:val="superscript"/>
              </w:rPr>
              <w:t>1</w:t>
            </w:r>
            <w:r w:rsidR="00204183" w:rsidRPr="00204183">
              <w:rPr>
                <w:sz w:val="22"/>
                <w:szCs w:val="22"/>
              </w:rPr>
              <w:t xml:space="preserve"> punktā, lūdzam papildināt MK noteikumu projektu, paredzot tajā grozījumu veikšanu MK noteikumu Nr.365  65.</w:t>
            </w:r>
            <w:r w:rsidR="00204183" w:rsidRPr="00204183">
              <w:rPr>
                <w:sz w:val="22"/>
                <w:szCs w:val="22"/>
                <w:vertAlign w:val="superscript"/>
              </w:rPr>
              <w:t>2 </w:t>
            </w:r>
            <w:r w:rsidR="00204183" w:rsidRPr="00204183">
              <w:rPr>
                <w:sz w:val="22"/>
                <w:szCs w:val="22"/>
              </w:rPr>
              <w:t>punktā, to papildinot ar atsauci uz  MK noteikumu Nr.365 65.</w:t>
            </w:r>
            <w:r w:rsidR="00204183" w:rsidRPr="00204183">
              <w:rPr>
                <w:sz w:val="22"/>
                <w:szCs w:val="22"/>
                <w:vertAlign w:val="superscript"/>
              </w:rPr>
              <w:t>1</w:t>
            </w:r>
            <w:r w:rsidR="00204183" w:rsidRPr="00204183">
              <w:rPr>
                <w:sz w:val="22"/>
                <w:szCs w:val="22"/>
              </w:rPr>
              <w:t xml:space="preserve"> punktu.</w:t>
            </w:r>
            <w:r>
              <w:rPr>
                <w:sz w:val="22"/>
                <w:szCs w:val="22"/>
              </w:rPr>
              <w:t>”</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AF12FC" w14:textId="662D9EC9" w:rsidR="00204183" w:rsidRDefault="0C2EE2AC" w:rsidP="000522CD">
            <w:pPr>
              <w:spacing w:after="120"/>
              <w:jc w:val="center"/>
              <w:rPr>
                <w:b/>
                <w:bCs/>
                <w:sz w:val="22"/>
                <w:szCs w:val="22"/>
              </w:rPr>
            </w:pPr>
            <w:r w:rsidRPr="77BBD5D8">
              <w:rPr>
                <w:b/>
                <w:bCs/>
                <w:sz w:val="22"/>
                <w:szCs w:val="22"/>
              </w:rPr>
              <w:t>Ņemts vērā</w:t>
            </w:r>
          </w:p>
          <w:p w14:paraId="7F316932" w14:textId="54B0ECE2" w:rsidR="00540C6C" w:rsidRPr="002373E2" w:rsidRDefault="00540C6C" w:rsidP="00540C6C">
            <w:pPr>
              <w:spacing w:after="120"/>
              <w:jc w:val="both"/>
              <w:rPr>
                <w:sz w:val="22"/>
                <w:szCs w:val="22"/>
              </w:rPr>
            </w:pPr>
            <w:r w:rsidRPr="00540C6C">
              <w:rPr>
                <w:sz w:val="22"/>
                <w:szCs w:val="22"/>
              </w:rPr>
              <w:t>Lūdzam skatīt precizēto noteikumu projektu un anotācijas I sadaļas 2. punktu.</w:t>
            </w:r>
          </w:p>
          <w:p w14:paraId="77E1E34A" w14:textId="0B5D1B93" w:rsidR="00204183" w:rsidRPr="002373E2" w:rsidRDefault="00204183" w:rsidP="000522CD">
            <w:pPr>
              <w:spacing w:after="120"/>
              <w:jc w:val="center"/>
              <w:rPr>
                <w:sz w:val="22"/>
                <w:szCs w:val="22"/>
              </w:rPr>
            </w:pPr>
          </w:p>
        </w:tc>
        <w:tc>
          <w:tcPr>
            <w:tcW w:w="4536" w:type="dxa"/>
            <w:tcBorders>
              <w:top w:val="single" w:sz="4" w:space="0" w:color="auto"/>
              <w:left w:val="single" w:sz="4" w:space="0" w:color="auto"/>
              <w:bottom w:val="single" w:sz="4" w:space="0" w:color="auto"/>
            </w:tcBorders>
          </w:tcPr>
          <w:p w14:paraId="4CD07F51" w14:textId="6A752D49" w:rsidR="00204183" w:rsidRDefault="00276B1E" w:rsidP="77BBD5D8">
            <w:pPr>
              <w:spacing w:after="120"/>
              <w:jc w:val="both"/>
              <w:rPr>
                <w:sz w:val="22"/>
                <w:szCs w:val="22"/>
              </w:rPr>
            </w:pPr>
            <w:r>
              <w:rPr>
                <w:sz w:val="22"/>
                <w:szCs w:val="22"/>
              </w:rPr>
              <w:t>Noteikumu projekta</w:t>
            </w:r>
            <w:r w:rsidR="001A3718">
              <w:rPr>
                <w:sz w:val="22"/>
                <w:szCs w:val="22"/>
              </w:rPr>
              <w:t xml:space="preserve"> 2</w:t>
            </w:r>
            <w:r w:rsidR="000F6378">
              <w:rPr>
                <w:sz w:val="22"/>
                <w:szCs w:val="22"/>
              </w:rPr>
              <w:t>7</w:t>
            </w:r>
            <w:r w:rsidR="001A3718">
              <w:rPr>
                <w:sz w:val="22"/>
                <w:szCs w:val="22"/>
              </w:rPr>
              <w:t>.</w:t>
            </w:r>
            <w:r>
              <w:rPr>
                <w:sz w:val="22"/>
                <w:szCs w:val="22"/>
              </w:rPr>
              <w:t xml:space="preserve"> punkts:</w:t>
            </w:r>
            <w:r w:rsidR="7AB5378F" w:rsidRPr="77BBD5D8">
              <w:rPr>
                <w:sz w:val="22"/>
                <w:szCs w:val="22"/>
              </w:rPr>
              <w:t xml:space="preserve"> </w:t>
            </w:r>
          </w:p>
          <w:p w14:paraId="2FD98266" w14:textId="399463E5" w:rsidR="00204183" w:rsidRPr="001075FD" w:rsidRDefault="001A3718" w:rsidP="77BBD5D8">
            <w:pPr>
              <w:spacing w:after="120"/>
              <w:jc w:val="both"/>
              <w:rPr>
                <w:sz w:val="22"/>
                <w:szCs w:val="22"/>
              </w:rPr>
            </w:pPr>
            <w:r w:rsidRPr="001A3718">
              <w:rPr>
                <w:sz w:val="22"/>
                <w:szCs w:val="22"/>
              </w:rPr>
              <w:t>"65.</w:t>
            </w:r>
            <w:r w:rsidRPr="001A3718">
              <w:rPr>
                <w:sz w:val="22"/>
                <w:szCs w:val="22"/>
                <w:vertAlign w:val="superscript"/>
              </w:rPr>
              <w:t>2</w:t>
            </w:r>
            <w:r w:rsidRPr="001A3718">
              <w:rPr>
                <w:sz w:val="22"/>
                <w:szCs w:val="22"/>
              </w:rPr>
              <w:t xml:space="preserve"> Ja potenciālais gala labuma guvējs plāno komercdarbības atbalsta kumulāciju atbilstoši šo noteikumu 65., 65.</w:t>
            </w:r>
            <w:r w:rsidRPr="001A3718">
              <w:rPr>
                <w:sz w:val="22"/>
                <w:szCs w:val="22"/>
                <w:vertAlign w:val="superscript"/>
              </w:rPr>
              <w:t>1</w:t>
            </w:r>
            <w:r w:rsidRPr="001A3718">
              <w:rPr>
                <w:sz w:val="22"/>
                <w:szCs w:val="22"/>
              </w:rPr>
              <w:t xml:space="preserve"> vai 70. punktam, potenciālais gala labuma guvējs finansējuma saņēmējam iesniedz visu informāciju par plānoto un piešķirto atbalstu par tām pašām attiecināmajām izmaksām, norādot atbalsta piešķiršanas datumu, atbalsta sniedzēju, atbalsta pasākumu, piemēroto intensitāti un plānoto vai piešķirto atbalsta summu. Finansējuma saņēmējs pirms lēmuma pieņemšanas par atbalsta piešķiršanu izskata minētos dokumentus un pārliecinās par kumulācijas normu korektu izpildi."</w:t>
            </w:r>
          </w:p>
        </w:tc>
      </w:tr>
      <w:tr w:rsidR="00204183" w:rsidRPr="002373E2" w14:paraId="45EA846D"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28FF83" w14:textId="77777777" w:rsidR="00204183" w:rsidRPr="002373E2" w:rsidRDefault="00204183" w:rsidP="0039682E">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DF1477" w14:textId="77777777" w:rsidR="00204183" w:rsidRPr="002373E2" w:rsidRDefault="00204183" w:rsidP="000A32EB">
            <w:pPr>
              <w:jc w:val="both"/>
              <w:rPr>
                <w:sz w:val="22"/>
                <w:szCs w:val="22"/>
              </w:rPr>
            </w:pP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85F44C" w14:textId="5C236BF8" w:rsidR="00204183" w:rsidRPr="00204183" w:rsidRDefault="00204183" w:rsidP="00204183">
            <w:pPr>
              <w:jc w:val="both"/>
              <w:rPr>
                <w:b/>
                <w:sz w:val="22"/>
                <w:szCs w:val="22"/>
              </w:rPr>
            </w:pPr>
            <w:r w:rsidRPr="00204183">
              <w:rPr>
                <w:b/>
                <w:sz w:val="22"/>
                <w:szCs w:val="22"/>
              </w:rPr>
              <w:t>Finanšu ministrijas 28.04.2021.</w:t>
            </w:r>
            <w:r w:rsidR="00860871">
              <w:rPr>
                <w:b/>
                <w:sz w:val="22"/>
                <w:szCs w:val="22"/>
              </w:rPr>
              <w:t xml:space="preserve"> 12. </w:t>
            </w:r>
            <w:r w:rsidRPr="00204183">
              <w:rPr>
                <w:b/>
                <w:sz w:val="22"/>
                <w:szCs w:val="22"/>
              </w:rPr>
              <w:t xml:space="preserve"> iebildums</w:t>
            </w:r>
          </w:p>
          <w:p w14:paraId="6420E4D5" w14:textId="39311A08" w:rsidR="00204183" w:rsidRPr="00860871" w:rsidRDefault="00860871" w:rsidP="00D240D5">
            <w:pPr>
              <w:jc w:val="both"/>
              <w:rPr>
                <w:sz w:val="22"/>
                <w:szCs w:val="22"/>
              </w:rPr>
            </w:pPr>
            <w:r>
              <w:rPr>
                <w:sz w:val="22"/>
                <w:szCs w:val="22"/>
              </w:rPr>
              <w:lastRenderedPageBreak/>
              <w:t xml:space="preserve">“12. </w:t>
            </w:r>
            <w:r w:rsidR="00204183" w:rsidRPr="00204183">
              <w:rPr>
                <w:sz w:val="22"/>
                <w:szCs w:val="22"/>
              </w:rPr>
              <w:t>Ievērojot to, ka Komisijas regulas Nr. 651/2014 12. panta 1. punkts un Komisijas regulas Nr. 1407/2013 6. panta 4. punkts nosaka pienākumu dalībvalstij glabāt informāciju desmit gadus sākot no dienas, kad ir piešķirts pēdējais atbalsts saskaņā ar shēmu, lūdzam precizēt MK noteikumu projektu, paredzot tajā grozījumu veikšanu MK noteikumu Nr.365  66. punktā. Aicinām atsevišķi ietvert prasību par dokumentu glabāšanu, kas ievērojama sadarbības iestādei un finansējuma saņēmējam (informāciju glabā desmit gadus sākot no dienas, kad ir piešķirts pēdējais atbalsts saskaņā ar atbalsta shēmu) un atsevišķi prasības par dokumentu glabāšanu gala labuma guvējam (desmit gadus no atbalsta piešķiršanas brīža)</w:t>
            </w:r>
            <w:r>
              <w:rPr>
                <w:sz w:val="22"/>
                <w:szCs w:val="22"/>
              </w:rPr>
              <w:t>.”</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AB6349" w14:textId="56BF844D" w:rsidR="00204183" w:rsidRDefault="49E0CD11" w:rsidP="000522CD">
            <w:pPr>
              <w:spacing w:after="120"/>
              <w:jc w:val="center"/>
              <w:rPr>
                <w:b/>
                <w:bCs/>
                <w:sz w:val="22"/>
                <w:szCs w:val="22"/>
              </w:rPr>
            </w:pPr>
            <w:r w:rsidRPr="77BBD5D8">
              <w:rPr>
                <w:b/>
                <w:bCs/>
                <w:sz w:val="22"/>
                <w:szCs w:val="22"/>
              </w:rPr>
              <w:lastRenderedPageBreak/>
              <w:t>Ņemts vērā</w:t>
            </w:r>
          </w:p>
          <w:p w14:paraId="0C435D5C" w14:textId="769CD06A" w:rsidR="004615D6" w:rsidRPr="002373E2" w:rsidRDefault="004615D6" w:rsidP="004615D6">
            <w:pPr>
              <w:spacing w:after="120"/>
              <w:jc w:val="both"/>
              <w:rPr>
                <w:sz w:val="22"/>
                <w:szCs w:val="22"/>
              </w:rPr>
            </w:pPr>
            <w:r w:rsidRPr="004615D6">
              <w:rPr>
                <w:sz w:val="22"/>
                <w:szCs w:val="22"/>
              </w:rPr>
              <w:lastRenderedPageBreak/>
              <w:t>Lūdzam skatīt precizēto noteikumu projektu un anotācijas I sadaļas 2. punktu.</w:t>
            </w:r>
          </w:p>
          <w:p w14:paraId="5CF7A3C8" w14:textId="6DF002DA" w:rsidR="00204183" w:rsidRPr="002373E2" w:rsidRDefault="00204183" w:rsidP="000522CD">
            <w:pPr>
              <w:spacing w:after="120"/>
              <w:jc w:val="center"/>
              <w:rPr>
                <w:sz w:val="22"/>
                <w:szCs w:val="22"/>
              </w:rPr>
            </w:pPr>
          </w:p>
        </w:tc>
        <w:tc>
          <w:tcPr>
            <w:tcW w:w="4536" w:type="dxa"/>
            <w:tcBorders>
              <w:top w:val="single" w:sz="4" w:space="0" w:color="auto"/>
              <w:left w:val="single" w:sz="4" w:space="0" w:color="auto"/>
              <w:bottom w:val="single" w:sz="4" w:space="0" w:color="auto"/>
            </w:tcBorders>
          </w:tcPr>
          <w:p w14:paraId="3ADD0C80" w14:textId="5DFAE2D7" w:rsidR="00204183" w:rsidRDefault="001B6395" w:rsidP="00091417">
            <w:pPr>
              <w:spacing w:after="120" w:line="257" w:lineRule="auto"/>
              <w:jc w:val="both"/>
              <w:rPr>
                <w:sz w:val="22"/>
                <w:szCs w:val="22"/>
              </w:rPr>
            </w:pPr>
            <w:r w:rsidRPr="001B6395">
              <w:rPr>
                <w:sz w:val="22"/>
                <w:szCs w:val="22"/>
              </w:rPr>
              <w:lastRenderedPageBreak/>
              <w:t>Noteikumu projekta</w:t>
            </w:r>
            <w:r w:rsidR="003E27AD">
              <w:rPr>
                <w:sz w:val="22"/>
                <w:szCs w:val="22"/>
              </w:rPr>
              <w:t xml:space="preserve"> 2</w:t>
            </w:r>
            <w:r w:rsidR="000F6378">
              <w:rPr>
                <w:sz w:val="22"/>
                <w:szCs w:val="22"/>
              </w:rPr>
              <w:t>8</w:t>
            </w:r>
            <w:r w:rsidR="003E27AD">
              <w:rPr>
                <w:sz w:val="22"/>
                <w:szCs w:val="22"/>
              </w:rPr>
              <w:t xml:space="preserve">. </w:t>
            </w:r>
            <w:r w:rsidRPr="001B6395">
              <w:rPr>
                <w:sz w:val="22"/>
                <w:szCs w:val="22"/>
              </w:rPr>
              <w:t xml:space="preserve"> punkts:</w:t>
            </w:r>
          </w:p>
          <w:p w14:paraId="37224528" w14:textId="731B3522" w:rsidR="003E27AD" w:rsidRPr="003E27AD" w:rsidRDefault="003E27AD" w:rsidP="003E27AD">
            <w:pPr>
              <w:spacing w:after="120" w:line="257" w:lineRule="auto"/>
              <w:jc w:val="both"/>
              <w:rPr>
                <w:sz w:val="22"/>
                <w:szCs w:val="22"/>
              </w:rPr>
            </w:pPr>
            <w:r w:rsidRPr="003E27AD">
              <w:rPr>
                <w:sz w:val="22"/>
                <w:szCs w:val="22"/>
              </w:rPr>
              <w:lastRenderedPageBreak/>
              <w:t>"66. Atbilstoši Komisijas regulas Nr. 651/2014 12. panta 1. punktam un Komisijas regulas Nr. 1407/2013 6. panta 4. punktam informācijas pieejamība tiek nodrošināta šādā veidā:</w:t>
            </w:r>
          </w:p>
          <w:p w14:paraId="4E1EFBB8" w14:textId="630B364C" w:rsidR="003E27AD" w:rsidRPr="003E27AD" w:rsidRDefault="003E27AD" w:rsidP="003E27AD">
            <w:pPr>
              <w:spacing w:after="120" w:line="257" w:lineRule="auto"/>
              <w:jc w:val="both"/>
              <w:rPr>
                <w:sz w:val="22"/>
                <w:szCs w:val="22"/>
              </w:rPr>
            </w:pPr>
            <w:r w:rsidRPr="003E27AD">
              <w:rPr>
                <w:sz w:val="22"/>
                <w:szCs w:val="22"/>
              </w:rPr>
              <w:t>66.1. sadarbības iestāde un finansējuma saņēmējs nodrošina informācijas pieejamību 10 gadus, sākot no dienas, kad ir piešķirts pēdējais atbalsts saskaņā ar atbalsta shēmu;</w:t>
            </w:r>
          </w:p>
          <w:p w14:paraId="15AB9EAF" w14:textId="77777777" w:rsidR="003E27AD" w:rsidRPr="003E27AD" w:rsidRDefault="003E27AD" w:rsidP="003E27AD">
            <w:pPr>
              <w:spacing w:after="120" w:line="257" w:lineRule="auto"/>
              <w:jc w:val="both"/>
              <w:rPr>
                <w:sz w:val="22"/>
                <w:szCs w:val="22"/>
              </w:rPr>
            </w:pPr>
            <w:r w:rsidRPr="003E27AD">
              <w:rPr>
                <w:sz w:val="22"/>
                <w:szCs w:val="22"/>
              </w:rPr>
              <w:t>66.2. gala labuma guvējs nodrošina informācijas pieejamību 10 gadus, skaitot no atbalsta piešķiršanas brīža."</w:t>
            </w:r>
          </w:p>
          <w:p w14:paraId="235318C8" w14:textId="4F6D9AEB" w:rsidR="00E65706" w:rsidRPr="00091417" w:rsidRDefault="00E65706" w:rsidP="00091417">
            <w:pPr>
              <w:spacing w:after="120" w:line="257" w:lineRule="auto"/>
              <w:jc w:val="both"/>
              <w:rPr>
                <w:sz w:val="22"/>
                <w:szCs w:val="22"/>
              </w:rPr>
            </w:pPr>
          </w:p>
        </w:tc>
      </w:tr>
      <w:tr w:rsidR="00204183" w:rsidRPr="002373E2" w14:paraId="667398F3"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E81228" w14:textId="77777777" w:rsidR="00204183" w:rsidRPr="002373E2" w:rsidRDefault="00204183" w:rsidP="0039682E">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0D4886" w14:textId="7A0A0D78" w:rsidR="00204183" w:rsidRPr="002373E2" w:rsidRDefault="007C5916" w:rsidP="000A32EB">
            <w:pPr>
              <w:jc w:val="both"/>
              <w:rPr>
                <w:sz w:val="22"/>
                <w:szCs w:val="22"/>
              </w:rPr>
            </w:pPr>
            <w:r>
              <w:rPr>
                <w:sz w:val="22"/>
                <w:szCs w:val="22"/>
              </w:rPr>
              <w:t>Anotācija</w:t>
            </w: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E408D" w14:textId="1B516D43" w:rsidR="00204183" w:rsidRPr="00204183" w:rsidRDefault="00204183" w:rsidP="00204183">
            <w:pPr>
              <w:contextualSpacing/>
              <w:jc w:val="both"/>
              <w:rPr>
                <w:b/>
                <w:bCs/>
                <w:sz w:val="22"/>
                <w:szCs w:val="22"/>
                <w:lang w:eastAsia="en-US"/>
              </w:rPr>
            </w:pPr>
            <w:r w:rsidRPr="00204183">
              <w:rPr>
                <w:b/>
                <w:bCs/>
                <w:sz w:val="22"/>
                <w:szCs w:val="22"/>
                <w:lang w:eastAsia="en-US"/>
              </w:rPr>
              <w:t xml:space="preserve">Finanšu ministrijas </w:t>
            </w:r>
            <w:r w:rsidRPr="00204183">
              <w:rPr>
                <w:b/>
                <w:sz w:val="22"/>
                <w:szCs w:val="22"/>
              </w:rPr>
              <w:t xml:space="preserve">28.04.2021. </w:t>
            </w:r>
            <w:r w:rsidR="0039682E">
              <w:rPr>
                <w:b/>
                <w:sz w:val="22"/>
                <w:szCs w:val="22"/>
              </w:rPr>
              <w:t xml:space="preserve">13. </w:t>
            </w:r>
            <w:r w:rsidRPr="00204183">
              <w:rPr>
                <w:b/>
                <w:sz w:val="22"/>
                <w:szCs w:val="22"/>
              </w:rPr>
              <w:t>iebildums</w:t>
            </w:r>
          </w:p>
          <w:p w14:paraId="2CA3F4CD" w14:textId="7EF0B5BE" w:rsidR="00204183" w:rsidRPr="0039682E" w:rsidRDefault="0039682E" w:rsidP="00204183">
            <w:pPr>
              <w:jc w:val="both"/>
              <w:rPr>
                <w:sz w:val="22"/>
                <w:szCs w:val="22"/>
              </w:rPr>
            </w:pPr>
            <w:r>
              <w:rPr>
                <w:sz w:val="22"/>
                <w:szCs w:val="22"/>
              </w:rPr>
              <w:t>“13.</w:t>
            </w:r>
            <w:r w:rsidR="00204183" w:rsidRPr="00204183">
              <w:rPr>
                <w:sz w:val="22"/>
                <w:szCs w:val="22"/>
              </w:rPr>
              <w:t>Lūdzam papildināt anotācijas I. sadaļas 2. punktu ar pamatojumu attiecībā uz MK noteikumu Nr. 365 62.3. apakšpunktā minētā laikposma sākumu, kas ir 2020. gada 1. janvāris. Vēršam uzmanību, ka valdības lēmums attiecībā uz ārkārtas stāvokļa ieviešanu tika pieņemts tikai 2020. gada martā.</w:t>
            </w:r>
            <w:r>
              <w:rPr>
                <w:sz w:val="22"/>
                <w:szCs w:val="22"/>
              </w:rPr>
              <w:t>”</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25E0A2" w14:textId="0C442A91" w:rsidR="00C844A3" w:rsidRDefault="00C844A3" w:rsidP="000522CD">
            <w:pPr>
              <w:spacing w:after="120"/>
              <w:jc w:val="center"/>
              <w:rPr>
                <w:b/>
                <w:bCs/>
                <w:sz w:val="22"/>
                <w:szCs w:val="22"/>
              </w:rPr>
            </w:pPr>
            <w:r w:rsidRPr="00C844A3">
              <w:rPr>
                <w:b/>
                <w:bCs/>
                <w:sz w:val="22"/>
                <w:szCs w:val="22"/>
              </w:rPr>
              <w:t>Ņemts vērā</w:t>
            </w:r>
          </w:p>
          <w:p w14:paraId="2E21C4E8" w14:textId="7E30C885" w:rsidR="00D30D76" w:rsidRPr="00C844A3" w:rsidRDefault="00D30D76" w:rsidP="00E66949">
            <w:pPr>
              <w:spacing w:after="120"/>
              <w:jc w:val="both"/>
              <w:rPr>
                <w:sz w:val="22"/>
                <w:szCs w:val="22"/>
              </w:rPr>
            </w:pPr>
            <w:r>
              <w:rPr>
                <w:sz w:val="22"/>
                <w:szCs w:val="22"/>
              </w:rPr>
              <w:t>Lūdzam s</w:t>
            </w:r>
            <w:r w:rsidRPr="00D30D76">
              <w:rPr>
                <w:sz w:val="22"/>
                <w:szCs w:val="22"/>
              </w:rPr>
              <w:t>kat</w:t>
            </w:r>
            <w:r>
              <w:rPr>
                <w:sz w:val="22"/>
                <w:szCs w:val="22"/>
              </w:rPr>
              <w:t>īt</w:t>
            </w:r>
            <w:r w:rsidRPr="00D30D76">
              <w:rPr>
                <w:sz w:val="22"/>
                <w:szCs w:val="22"/>
              </w:rPr>
              <w:t xml:space="preserve"> izziņas </w:t>
            </w:r>
            <w:r w:rsidR="00EF45C5">
              <w:rPr>
                <w:sz w:val="22"/>
                <w:szCs w:val="22"/>
              </w:rPr>
              <w:t>9</w:t>
            </w:r>
            <w:r>
              <w:rPr>
                <w:sz w:val="22"/>
                <w:szCs w:val="22"/>
              </w:rPr>
              <w:t>.</w:t>
            </w:r>
            <w:r w:rsidR="00EF45C5">
              <w:rPr>
                <w:sz w:val="22"/>
                <w:szCs w:val="22"/>
              </w:rPr>
              <w:t xml:space="preserve"> </w:t>
            </w:r>
            <w:r w:rsidRPr="00D30D76">
              <w:rPr>
                <w:sz w:val="22"/>
                <w:szCs w:val="22"/>
              </w:rPr>
              <w:t>punktu.</w:t>
            </w:r>
          </w:p>
          <w:p w14:paraId="28F33830" w14:textId="77777777" w:rsidR="00204183" w:rsidRPr="002373E2" w:rsidRDefault="00204183" w:rsidP="000522CD">
            <w:pPr>
              <w:spacing w:after="120"/>
              <w:jc w:val="center"/>
              <w:rPr>
                <w:sz w:val="22"/>
                <w:szCs w:val="22"/>
              </w:rPr>
            </w:pPr>
          </w:p>
        </w:tc>
        <w:tc>
          <w:tcPr>
            <w:tcW w:w="4536" w:type="dxa"/>
            <w:tcBorders>
              <w:top w:val="single" w:sz="4" w:space="0" w:color="auto"/>
              <w:left w:val="single" w:sz="4" w:space="0" w:color="auto"/>
              <w:bottom w:val="single" w:sz="4" w:space="0" w:color="auto"/>
            </w:tcBorders>
          </w:tcPr>
          <w:p w14:paraId="15BF4981" w14:textId="77777777" w:rsidR="00204183" w:rsidRPr="002373E2" w:rsidRDefault="00204183" w:rsidP="005A1C31">
            <w:pPr>
              <w:spacing w:after="120"/>
              <w:jc w:val="both"/>
              <w:rPr>
                <w:sz w:val="22"/>
                <w:szCs w:val="22"/>
              </w:rPr>
            </w:pPr>
          </w:p>
        </w:tc>
      </w:tr>
      <w:tr w:rsidR="00204183" w:rsidRPr="002373E2" w14:paraId="1542EF1C"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411A17" w14:textId="77777777" w:rsidR="00204183" w:rsidRPr="002373E2" w:rsidRDefault="00204183" w:rsidP="0039682E">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92A420" w14:textId="5F85E225" w:rsidR="00204183" w:rsidRPr="002373E2" w:rsidRDefault="00204183" w:rsidP="77BBD5D8">
            <w:pPr>
              <w:jc w:val="both"/>
              <w:rPr>
                <w:sz w:val="22"/>
                <w:szCs w:val="22"/>
              </w:rPr>
            </w:pP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BADAA1" w14:textId="081D1A48" w:rsidR="00204183" w:rsidRPr="00204183" w:rsidRDefault="00204183" w:rsidP="00204183">
            <w:pPr>
              <w:contextualSpacing/>
              <w:jc w:val="both"/>
              <w:rPr>
                <w:b/>
                <w:bCs/>
                <w:sz w:val="22"/>
                <w:szCs w:val="22"/>
                <w:lang w:eastAsia="en-US"/>
              </w:rPr>
            </w:pPr>
            <w:r w:rsidRPr="00204183">
              <w:rPr>
                <w:b/>
                <w:bCs/>
                <w:sz w:val="22"/>
                <w:szCs w:val="22"/>
                <w:lang w:eastAsia="en-US"/>
              </w:rPr>
              <w:t xml:space="preserve">Finanšu ministrijas </w:t>
            </w:r>
            <w:r w:rsidRPr="00204183">
              <w:rPr>
                <w:b/>
                <w:sz w:val="22"/>
                <w:szCs w:val="22"/>
              </w:rPr>
              <w:t xml:space="preserve">28.04.2021. </w:t>
            </w:r>
            <w:r w:rsidR="006C4B01">
              <w:rPr>
                <w:b/>
                <w:sz w:val="22"/>
                <w:szCs w:val="22"/>
              </w:rPr>
              <w:t>14.</w:t>
            </w:r>
            <w:r w:rsidRPr="00204183">
              <w:rPr>
                <w:b/>
                <w:sz w:val="22"/>
                <w:szCs w:val="22"/>
              </w:rPr>
              <w:t>iebildums</w:t>
            </w:r>
          </w:p>
          <w:p w14:paraId="42AF02D7" w14:textId="2167914F" w:rsidR="00204183" w:rsidRPr="006C4B01" w:rsidRDefault="006C4B01" w:rsidP="00204183">
            <w:pPr>
              <w:jc w:val="both"/>
              <w:rPr>
                <w:sz w:val="22"/>
                <w:szCs w:val="22"/>
              </w:rPr>
            </w:pPr>
            <w:r>
              <w:rPr>
                <w:sz w:val="22"/>
                <w:szCs w:val="22"/>
              </w:rPr>
              <w:t>“14.</w:t>
            </w:r>
            <w:r w:rsidR="00204183" w:rsidRPr="77BBD5D8">
              <w:rPr>
                <w:sz w:val="22"/>
                <w:szCs w:val="22"/>
              </w:rPr>
              <w:t xml:space="preserve">Ņemot vērā anotācijas I. sadaļas 2. punktā minēto informāciju attiecībā uz taksometra un nomas auto izmantošanu, lūdzam papildināt anotāciju ar informāciju, ka minētie transportēšanas veidi tiks </w:t>
            </w:r>
            <w:r w:rsidR="00204183" w:rsidRPr="77BBD5D8">
              <w:rPr>
                <w:sz w:val="22"/>
                <w:szCs w:val="22"/>
              </w:rPr>
              <w:lastRenderedPageBreak/>
              <w:t>izmantoti tikai, ja tos vienlaicīgi izmanto vairākas personas.</w:t>
            </w:r>
            <w:r>
              <w:rPr>
                <w:sz w:val="22"/>
                <w:szCs w:val="22"/>
              </w:rPr>
              <w:t>”</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4CEC95" w14:textId="2EE12FFB" w:rsidR="00204183" w:rsidRPr="002373E2" w:rsidRDefault="4B602876" w:rsidP="000522CD">
            <w:pPr>
              <w:spacing w:after="120"/>
              <w:jc w:val="center"/>
              <w:rPr>
                <w:sz w:val="22"/>
                <w:szCs w:val="22"/>
              </w:rPr>
            </w:pPr>
            <w:r w:rsidRPr="77BBD5D8">
              <w:rPr>
                <w:b/>
                <w:bCs/>
                <w:sz w:val="22"/>
                <w:szCs w:val="22"/>
              </w:rPr>
              <w:lastRenderedPageBreak/>
              <w:t>Ņemts vērā</w:t>
            </w:r>
          </w:p>
          <w:p w14:paraId="4F0CDA2E" w14:textId="422FB054" w:rsidR="00204183" w:rsidRPr="002373E2" w:rsidRDefault="00EF45C5" w:rsidP="00E66949">
            <w:pPr>
              <w:spacing w:after="120"/>
              <w:jc w:val="both"/>
              <w:rPr>
                <w:sz w:val="22"/>
                <w:szCs w:val="22"/>
              </w:rPr>
            </w:pPr>
            <w:r>
              <w:rPr>
                <w:sz w:val="22"/>
                <w:szCs w:val="22"/>
              </w:rPr>
              <w:t xml:space="preserve">Lūdzam skatīt </w:t>
            </w:r>
            <w:r w:rsidR="00E66949">
              <w:rPr>
                <w:sz w:val="22"/>
                <w:szCs w:val="22"/>
              </w:rPr>
              <w:t>p</w:t>
            </w:r>
            <w:r w:rsidR="5D3E2647" w:rsidRPr="77BBD5D8">
              <w:rPr>
                <w:sz w:val="22"/>
                <w:szCs w:val="22"/>
              </w:rPr>
              <w:t>recizēt</w:t>
            </w:r>
            <w:r w:rsidR="00E66949">
              <w:rPr>
                <w:sz w:val="22"/>
                <w:szCs w:val="22"/>
              </w:rPr>
              <w:t xml:space="preserve">o noteikumu projektu un </w:t>
            </w:r>
            <w:r w:rsidR="5D3E2647" w:rsidRPr="77BBD5D8">
              <w:rPr>
                <w:sz w:val="22"/>
                <w:szCs w:val="22"/>
              </w:rPr>
              <w:t xml:space="preserve"> anotācijas I </w:t>
            </w:r>
            <w:r w:rsidR="5D3E2647" w:rsidRPr="77BBD5D8">
              <w:rPr>
                <w:sz w:val="22"/>
                <w:szCs w:val="22"/>
              </w:rPr>
              <w:lastRenderedPageBreak/>
              <w:t>sadaļas 2. punkt</w:t>
            </w:r>
            <w:r w:rsidR="00E66949">
              <w:rPr>
                <w:sz w:val="22"/>
                <w:szCs w:val="22"/>
              </w:rPr>
              <w:t>u</w:t>
            </w:r>
            <w:r w:rsidR="5D3E2647" w:rsidRPr="77BBD5D8">
              <w:rPr>
                <w:sz w:val="22"/>
                <w:szCs w:val="22"/>
              </w:rPr>
              <w:t>.</w:t>
            </w:r>
          </w:p>
        </w:tc>
        <w:tc>
          <w:tcPr>
            <w:tcW w:w="4536" w:type="dxa"/>
            <w:tcBorders>
              <w:top w:val="single" w:sz="4" w:space="0" w:color="auto"/>
              <w:left w:val="single" w:sz="4" w:space="0" w:color="auto"/>
              <w:bottom w:val="single" w:sz="4" w:space="0" w:color="auto"/>
            </w:tcBorders>
          </w:tcPr>
          <w:p w14:paraId="3B1AFC04" w14:textId="7939EC0A" w:rsidR="00204183" w:rsidRPr="002373E2" w:rsidRDefault="00204183" w:rsidP="77BBD5D8">
            <w:pPr>
              <w:spacing w:after="120"/>
              <w:jc w:val="both"/>
              <w:rPr>
                <w:sz w:val="22"/>
                <w:szCs w:val="22"/>
              </w:rPr>
            </w:pPr>
          </w:p>
        </w:tc>
      </w:tr>
      <w:tr w:rsidR="00204183" w:rsidRPr="002373E2" w14:paraId="75278378"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3FC55C" w14:textId="77777777" w:rsidR="00204183" w:rsidRPr="002373E2" w:rsidRDefault="00204183" w:rsidP="0039682E">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831BE9" w14:textId="77777777" w:rsidR="00204183" w:rsidRPr="002373E2" w:rsidRDefault="00204183" w:rsidP="000A32EB">
            <w:pPr>
              <w:jc w:val="both"/>
              <w:rPr>
                <w:sz w:val="22"/>
                <w:szCs w:val="22"/>
              </w:rPr>
            </w:pP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13E007" w14:textId="538872B9" w:rsidR="00204183" w:rsidRPr="00204183" w:rsidRDefault="00204183" w:rsidP="00204183">
            <w:pPr>
              <w:contextualSpacing/>
              <w:jc w:val="both"/>
              <w:rPr>
                <w:b/>
                <w:bCs/>
                <w:sz w:val="22"/>
                <w:szCs w:val="22"/>
                <w:lang w:eastAsia="en-US"/>
              </w:rPr>
            </w:pPr>
            <w:r w:rsidRPr="00204183">
              <w:rPr>
                <w:b/>
                <w:bCs/>
                <w:sz w:val="22"/>
                <w:szCs w:val="22"/>
                <w:lang w:eastAsia="en-US"/>
              </w:rPr>
              <w:t xml:space="preserve">Finanšu ministrijas </w:t>
            </w:r>
            <w:r w:rsidRPr="00204183">
              <w:rPr>
                <w:b/>
                <w:sz w:val="22"/>
                <w:szCs w:val="22"/>
              </w:rPr>
              <w:t xml:space="preserve">28.04.2021. </w:t>
            </w:r>
            <w:r w:rsidR="006C4B01">
              <w:rPr>
                <w:b/>
                <w:sz w:val="22"/>
                <w:szCs w:val="22"/>
              </w:rPr>
              <w:t xml:space="preserve">15. </w:t>
            </w:r>
            <w:r w:rsidRPr="00204183">
              <w:rPr>
                <w:b/>
                <w:sz w:val="22"/>
                <w:szCs w:val="22"/>
              </w:rPr>
              <w:t>iebildums</w:t>
            </w:r>
          </w:p>
          <w:p w14:paraId="78D28A0A" w14:textId="0F95BC52" w:rsidR="00204183" w:rsidRPr="006C4B01" w:rsidRDefault="006C4B01" w:rsidP="00204183">
            <w:pPr>
              <w:jc w:val="both"/>
              <w:rPr>
                <w:sz w:val="22"/>
                <w:szCs w:val="22"/>
              </w:rPr>
            </w:pPr>
            <w:r>
              <w:rPr>
                <w:sz w:val="22"/>
                <w:szCs w:val="22"/>
              </w:rPr>
              <w:t xml:space="preserve">“15. </w:t>
            </w:r>
            <w:r w:rsidR="00204183" w:rsidRPr="00204183">
              <w:rPr>
                <w:sz w:val="22"/>
                <w:szCs w:val="22"/>
              </w:rPr>
              <w:t>Lūdzam anotācijā skaidrot, kā praksē ir iespējama anotācijas I. sadaļas 2.punktā aprakstītā situācija: “</w:t>
            </w:r>
            <w:r w:rsidR="00204183" w:rsidRPr="00204183">
              <w:rPr>
                <w:i/>
                <w:iCs/>
                <w:sz w:val="22"/>
                <w:szCs w:val="22"/>
              </w:rPr>
              <w:t>Izmaksas ir attiecināmas, ja ikmēneša nomas maksājuma summa ir vienāda vai nepārsniedz pamatlīdzekļa vai nemateriālo ieguldījumu iegādes vērtību un amortizējamie aktīvi nav iegādāti, izmantojot publisko finansējumu.</w:t>
            </w:r>
            <w:r w:rsidR="00204183" w:rsidRPr="00204183">
              <w:rPr>
                <w:sz w:val="22"/>
                <w:szCs w:val="22"/>
              </w:rPr>
              <w:t>” Skaidrojumā lūdzam norādīt, vai tiešām šādas situācijas ir praksē atļautas, kad finansējuma saņēmēji apmācību projektā var attiecināt uz mācību projektu visu pamatlīdzekļa vērtību.</w:t>
            </w:r>
            <w:r>
              <w:rPr>
                <w:sz w:val="22"/>
                <w:szCs w:val="22"/>
              </w:rPr>
              <w:t>”</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E87ED4" w14:textId="3A8C6E4B" w:rsidR="00C844A3" w:rsidRDefault="00C844A3" w:rsidP="00D0347A">
            <w:pPr>
              <w:spacing w:after="120"/>
              <w:jc w:val="center"/>
              <w:rPr>
                <w:b/>
                <w:bCs/>
                <w:sz w:val="22"/>
                <w:szCs w:val="22"/>
              </w:rPr>
            </w:pPr>
            <w:r w:rsidRPr="00C844A3">
              <w:rPr>
                <w:b/>
                <w:bCs/>
                <w:sz w:val="22"/>
                <w:szCs w:val="22"/>
              </w:rPr>
              <w:t>Ņemts vērā</w:t>
            </w:r>
          </w:p>
          <w:p w14:paraId="21C7D467" w14:textId="7C8D7771" w:rsidR="000C5F0C" w:rsidRDefault="000C5F0C" w:rsidP="000C5F0C">
            <w:pPr>
              <w:spacing w:after="120"/>
              <w:jc w:val="both"/>
              <w:rPr>
                <w:sz w:val="22"/>
                <w:szCs w:val="22"/>
              </w:rPr>
            </w:pPr>
            <w:r w:rsidRPr="000C5F0C">
              <w:rPr>
                <w:sz w:val="22"/>
                <w:szCs w:val="22"/>
              </w:rPr>
              <w:t>Skaidrojam, ka</w:t>
            </w:r>
            <w:r w:rsidR="00955C2A">
              <w:t xml:space="preserve"> </w:t>
            </w:r>
            <w:r w:rsidR="00955C2A" w:rsidRPr="00955C2A">
              <w:rPr>
                <w:sz w:val="22"/>
                <w:szCs w:val="22"/>
              </w:rPr>
              <w:t xml:space="preserve">LIAA projekta ietvaros </w:t>
            </w:r>
            <w:r w:rsidR="00E00C62">
              <w:rPr>
                <w:sz w:val="22"/>
                <w:szCs w:val="22"/>
              </w:rPr>
              <w:t>komersantam</w:t>
            </w:r>
            <w:r w:rsidR="00955C2A" w:rsidRPr="00955C2A">
              <w:rPr>
                <w:sz w:val="22"/>
                <w:szCs w:val="22"/>
              </w:rPr>
              <w:t xml:space="preserve"> netiek paredzēts izveidot jaunas darba vietas un iegādāties iekārtas. </w:t>
            </w:r>
            <w:r w:rsidR="00E00C62">
              <w:rPr>
                <w:sz w:val="22"/>
                <w:szCs w:val="22"/>
              </w:rPr>
              <w:t>Apm</w:t>
            </w:r>
            <w:r w:rsidR="00955C2A" w:rsidRPr="00955C2A">
              <w:rPr>
                <w:sz w:val="22"/>
                <w:szCs w:val="22"/>
              </w:rPr>
              <w:t xml:space="preserve">ācības notiek gan dažas dienas, gan ilgāk, atkarībā no komersanta vajadzībām un apmācību kursu specifikas. Šādas izmaksas tieši attiecas uz apmācību projekta saturu un izpildījumu. Iekārtu nomas, datorprogrammu un licenču amortizācijas izmaksas paredzēts </w:t>
            </w:r>
            <w:r w:rsidR="00B6066F">
              <w:rPr>
                <w:sz w:val="22"/>
                <w:szCs w:val="22"/>
              </w:rPr>
              <w:t xml:space="preserve">attiecināt </w:t>
            </w:r>
            <w:r w:rsidR="00BB7109">
              <w:rPr>
                <w:sz w:val="22"/>
                <w:szCs w:val="22"/>
              </w:rPr>
              <w:t xml:space="preserve">uz apmācību kursa laiku un </w:t>
            </w:r>
            <w:r w:rsidR="00955C2A" w:rsidRPr="00955C2A">
              <w:rPr>
                <w:sz w:val="22"/>
                <w:szCs w:val="22"/>
              </w:rPr>
              <w:t xml:space="preserve">sniegt atbilstoši Komisijas </w:t>
            </w:r>
            <w:r w:rsidR="00955C2A" w:rsidRPr="00955C2A">
              <w:rPr>
                <w:sz w:val="22"/>
                <w:szCs w:val="22"/>
              </w:rPr>
              <w:lastRenderedPageBreak/>
              <w:t xml:space="preserve">regulai Nr. 1407/2013 vai Komisijas regulas Nr. 651/2014 31. panta 3. punkta b) apakšpunktam un atbilstoši Finanšu ministrijas 2020. gada 17. janvāra vadlīniju Nr. 2.1. “Vadlīnijas attiecināmo un neattiecināmo izmaksu noteikšanai 2014.-2020. gada plānošanas periodā” 14. punktā noteiktajam. </w:t>
            </w:r>
            <w:r>
              <w:rPr>
                <w:sz w:val="22"/>
                <w:szCs w:val="22"/>
              </w:rPr>
              <w:t xml:space="preserve"> </w:t>
            </w:r>
          </w:p>
          <w:p w14:paraId="40069E04" w14:textId="7031DA47" w:rsidR="00204183" w:rsidRPr="002373E2" w:rsidRDefault="000C5F0C" w:rsidP="008736F1">
            <w:pPr>
              <w:spacing w:after="120"/>
              <w:jc w:val="both"/>
              <w:rPr>
                <w:sz w:val="22"/>
                <w:szCs w:val="22"/>
              </w:rPr>
            </w:pPr>
            <w:r w:rsidRPr="000C5F0C">
              <w:rPr>
                <w:sz w:val="22"/>
                <w:szCs w:val="22"/>
              </w:rPr>
              <w:t>Lūdzam skatīt precizēto noteikumu projektu un  anotācijas I sadaļas 2. punktu.</w:t>
            </w:r>
          </w:p>
        </w:tc>
        <w:tc>
          <w:tcPr>
            <w:tcW w:w="4536" w:type="dxa"/>
            <w:tcBorders>
              <w:top w:val="single" w:sz="4" w:space="0" w:color="auto"/>
              <w:left w:val="single" w:sz="4" w:space="0" w:color="auto"/>
              <w:bottom w:val="single" w:sz="4" w:space="0" w:color="auto"/>
            </w:tcBorders>
          </w:tcPr>
          <w:p w14:paraId="58E8C702" w14:textId="77777777" w:rsidR="00204183" w:rsidRPr="002373E2" w:rsidRDefault="00204183" w:rsidP="005A1C31">
            <w:pPr>
              <w:spacing w:after="120"/>
              <w:jc w:val="both"/>
              <w:rPr>
                <w:sz w:val="22"/>
                <w:szCs w:val="22"/>
              </w:rPr>
            </w:pPr>
          </w:p>
        </w:tc>
      </w:tr>
      <w:tr w:rsidR="00204183" w:rsidRPr="002373E2" w14:paraId="732027E9"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4B0B90" w14:textId="77777777" w:rsidR="00204183" w:rsidRPr="002373E2" w:rsidRDefault="00204183" w:rsidP="0039682E">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075AB7" w14:textId="77777777" w:rsidR="00204183" w:rsidRPr="002373E2" w:rsidRDefault="00204183" w:rsidP="000A32EB">
            <w:pPr>
              <w:jc w:val="both"/>
              <w:rPr>
                <w:sz w:val="22"/>
                <w:szCs w:val="22"/>
              </w:rPr>
            </w:pP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862D0E" w14:textId="269B57EE" w:rsidR="00204183" w:rsidRPr="00204183" w:rsidRDefault="00204183" w:rsidP="00204183">
            <w:pPr>
              <w:contextualSpacing/>
              <w:jc w:val="both"/>
              <w:rPr>
                <w:b/>
                <w:bCs/>
                <w:sz w:val="22"/>
                <w:szCs w:val="22"/>
                <w:lang w:eastAsia="en-US"/>
              </w:rPr>
            </w:pPr>
            <w:r w:rsidRPr="00204183">
              <w:rPr>
                <w:b/>
                <w:bCs/>
                <w:sz w:val="22"/>
                <w:szCs w:val="22"/>
                <w:lang w:eastAsia="en-US"/>
              </w:rPr>
              <w:t xml:space="preserve">Finanšu ministrijas </w:t>
            </w:r>
            <w:r w:rsidRPr="00204183">
              <w:rPr>
                <w:b/>
                <w:sz w:val="22"/>
                <w:szCs w:val="22"/>
              </w:rPr>
              <w:t xml:space="preserve">28.04.2021. </w:t>
            </w:r>
            <w:r w:rsidR="006C4B01">
              <w:rPr>
                <w:b/>
                <w:sz w:val="22"/>
                <w:szCs w:val="22"/>
              </w:rPr>
              <w:t xml:space="preserve">16. </w:t>
            </w:r>
            <w:r w:rsidRPr="00204183">
              <w:rPr>
                <w:b/>
                <w:sz w:val="22"/>
                <w:szCs w:val="22"/>
              </w:rPr>
              <w:t>iebildums</w:t>
            </w:r>
          </w:p>
          <w:p w14:paraId="2B3022A8" w14:textId="5B80B99B" w:rsidR="00204183" w:rsidRPr="006C4B01" w:rsidRDefault="006C4B01" w:rsidP="00204183">
            <w:pPr>
              <w:jc w:val="both"/>
              <w:rPr>
                <w:sz w:val="22"/>
                <w:szCs w:val="22"/>
              </w:rPr>
            </w:pPr>
            <w:r>
              <w:rPr>
                <w:sz w:val="22"/>
                <w:szCs w:val="22"/>
              </w:rPr>
              <w:t xml:space="preserve">“16. </w:t>
            </w:r>
            <w:r w:rsidR="00204183" w:rsidRPr="77BBD5D8">
              <w:rPr>
                <w:sz w:val="22"/>
                <w:szCs w:val="22"/>
              </w:rPr>
              <w:t xml:space="preserve">Ievērojot anotācijā sniegto skaidrojumu par nepieciešamību Latvijas Tirdzniecības un rūpniecības kameras (turpmāk – LTRK) </w:t>
            </w:r>
            <w:r w:rsidR="00204183" w:rsidRPr="77BBD5D8">
              <w:rPr>
                <w:sz w:val="22"/>
                <w:szCs w:val="22"/>
              </w:rPr>
              <w:lastRenderedPageBreak/>
              <w:t xml:space="preserve">projektā paaugstināt finansējuma intensitātes plašākai </w:t>
            </w:r>
            <w:proofErr w:type="spellStart"/>
            <w:r w:rsidR="00204183" w:rsidRPr="77BBD5D8">
              <w:rPr>
                <w:sz w:val="22"/>
                <w:szCs w:val="22"/>
              </w:rPr>
              <w:t>mērķgrupas</w:t>
            </w:r>
            <w:proofErr w:type="spellEnd"/>
            <w:r w:rsidR="00204183" w:rsidRPr="77BBD5D8">
              <w:rPr>
                <w:sz w:val="22"/>
                <w:szCs w:val="22"/>
              </w:rPr>
              <w:t xml:space="preserve"> iesaistes motivēšanai un MK noteikumu projekta 16.punktā ietvertajā MK noteikumu Nr. 365 58.2.apakšpunktā paredzētās intensitāšu izmaiņas, ievērojot Komisijas regulas Nr. 651/2014 31.pantā</w:t>
            </w:r>
            <w:r w:rsidR="00AE1BC4">
              <w:rPr>
                <w:sz w:val="22"/>
                <w:szCs w:val="22"/>
              </w:rPr>
              <w:t xml:space="preserve"> </w:t>
            </w:r>
            <w:r w:rsidR="00204183" w:rsidRPr="77BBD5D8">
              <w:rPr>
                <w:sz w:val="22"/>
                <w:szCs w:val="22"/>
              </w:rPr>
              <w:t>noteiktos maksimālos atbalsta intensitāšu sliekšņus, lūdzam skaidrot anotācijā, kā plānotās izmaiņas ietekmēs jau īstenošanā esošos projektus, kur LTRK sniedz komercdarbības atbalstu. Skaidrojam, ka esošajiem apstiprinātajiem projektiem, kas īstenoti ar Komisijas regulu Nr. 651/2014 nedrīkst palielināt intensitāti, jo tādējādi tiktu pārkāpts stimulējošās ietekmes nosacījums.</w:t>
            </w:r>
            <w:r>
              <w:rPr>
                <w:sz w:val="22"/>
                <w:szCs w:val="22"/>
              </w:rPr>
              <w:t>”</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936C4F" w14:textId="73F7589C" w:rsidR="00C844A3" w:rsidRDefault="00C844A3" w:rsidP="00D0347A">
            <w:pPr>
              <w:spacing w:after="120"/>
              <w:jc w:val="center"/>
              <w:rPr>
                <w:b/>
                <w:bCs/>
                <w:sz w:val="22"/>
                <w:szCs w:val="22"/>
              </w:rPr>
            </w:pPr>
            <w:r w:rsidRPr="00C844A3">
              <w:rPr>
                <w:b/>
                <w:bCs/>
                <w:sz w:val="22"/>
                <w:szCs w:val="22"/>
              </w:rPr>
              <w:lastRenderedPageBreak/>
              <w:t>Ņemts vērā</w:t>
            </w:r>
          </w:p>
          <w:p w14:paraId="730F581F" w14:textId="4531CBB7" w:rsidR="003A3ED9" w:rsidRPr="00C844A3" w:rsidRDefault="003A3ED9" w:rsidP="003A3ED9">
            <w:pPr>
              <w:spacing w:after="120"/>
              <w:jc w:val="both"/>
              <w:rPr>
                <w:sz w:val="22"/>
                <w:szCs w:val="22"/>
              </w:rPr>
            </w:pPr>
            <w:r w:rsidRPr="003A3ED9">
              <w:rPr>
                <w:sz w:val="22"/>
                <w:szCs w:val="22"/>
              </w:rPr>
              <w:t xml:space="preserve">Lūdzam skatīt precizēto anotācijas I </w:t>
            </w:r>
            <w:r w:rsidRPr="003A3ED9">
              <w:rPr>
                <w:sz w:val="22"/>
                <w:szCs w:val="22"/>
              </w:rPr>
              <w:lastRenderedPageBreak/>
              <w:t>sadaļas 2. punktu.</w:t>
            </w:r>
          </w:p>
          <w:p w14:paraId="70AE4A64" w14:textId="77777777" w:rsidR="00204183" w:rsidRPr="002373E2" w:rsidRDefault="00204183" w:rsidP="00D0347A">
            <w:pPr>
              <w:spacing w:after="120"/>
              <w:jc w:val="center"/>
              <w:rPr>
                <w:sz w:val="22"/>
                <w:szCs w:val="22"/>
              </w:rPr>
            </w:pPr>
          </w:p>
        </w:tc>
        <w:tc>
          <w:tcPr>
            <w:tcW w:w="4536" w:type="dxa"/>
            <w:tcBorders>
              <w:top w:val="single" w:sz="4" w:space="0" w:color="auto"/>
              <w:left w:val="single" w:sz="4" w:space="0" w:color="auto"/>
              <w:bottom w:val="single" w:sz="4" w:space="0" w:color="auto"/>
            </w:tcBorders>
          </w:tcPr>
          <w:p w14:paraId="6968C37B" w14:textId="77777777" w:rsidR="00204183" w:rsidRPr="002373E2" w:rsidRDefault="00204183" w:rsidP="005A1C31">
            <w:pPr>
              <w:spacing w:after="120"/>
              <w:jc w:val="both"/>
              <w:rPr>
                <w:sz w:val="22"/>
                <w:szCs w:val="22"/>
              </w:rPr>
            </w:pPr>
          </w:p>
        </w:tc>
      </w:tr>
      <w:tr w:rsidR="00204183" w:rsidRPr="002373E2" w14:paraId="3B512034"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86BC5F" w14:textId="77777777" w:rsidR="00204183" w:rsidRPr="002373E2" w:rsidRDefault="00204183" w:rsidP="0039682E">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F54A99" w14:textId="77777777" w:rsidR="00204183" w:rsidRPr="002373E2" w:rsidRDefault="00204183" w:rsidP="000A32EB">
            <w:pPr>
              <w:jc w:val="both"/>
              <w:rPr>
                <w:sz w:val="22"/>
                <w:szCs w:val="22"/>
              </w:rPr>
            </w:pP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7B5AFC" w14:textId="3396E35E" w:rsidR="00204183" w:rsidRPr="00204183" w:rsidRDefault="00204183" w:rsidP="00204183">
            <w:pPr>
              <w:contextualSpacing/>
              <w:jc w:val="both"/>
              <w:rPr>
                <w:b/>
                <w:bCs/>
                <w:sz w:val="22"/>
                <w:szCs w:val="22"/>
                <w:lang w:eastAsia="en-US"/>
              </w:rPr>
            </w:pPr>
            <w:r w:rsidRPr="00204183">
              <w:rPr>
                <w:b/>
                <w:bCs/>
                <w:sz w:val="22"/>
                <w:szCs w:val="22"/>
                <w:lang w:eastAsia="en-US"/>
              </w:rPr>
              <w:t xml:space="preserve">Finanšu ministrijas </w:t>
            </w:r>
            <w:r w:rsidRPr="00204183">
              <w:rPr>
                <w:b/>
                <w:sz w:val="22"/>
                <w:szCs w:val="22"/>
              </w:rPr>
              <w:t xml:space="preserve">28.04.2021. </w:t>
            </w:r>
            <w:r w:rsidR="006C4B01">
              <w:rPr>
                <w:b/>
                <w:sz w:val="22"/>
                <w:szCs w:val="22"/>
              </w:rPr>
              <w:t xml:space="preserve">17. </w:t>
            </w:r>
            <w:r w:rsidRPr="00204183">
              <w:rPr>
                <w:b/>
                <w:sz w:val="22"/>
                <w:szCs w:val="22"/>
              </w:rPr>
              <w:t>iebildums</w:t>
            </w:r>
          </w:p>
          <w:p w14:paraId="3E3BB15D" w14:textId="7710BCE3" w:rsidR="00204183" w:rsidRPr="00107B9A" w:rsidRDefault="006C4B01" w:rsidP="00204183">
            <w:pPr>
              <w:jc w:val="both"/>
              <w:rPr>
                <w:sz w:val="22"/>
                <w:szCs w:val="22"/>
              </w:rPr>
            </w:pPr>
            <w:r>
              <w:rPr>
                <w:sz w:val="22"/>
                <w:szCs w:val="22"/>
              </w:rPr>
              <w:t>“</w:t>
            </w:r>
            <w:r w:rsidR="00107B9A">
              <w:rPr>
                <w:sz w:val="22"/>
                <w:szCs w:val="22"/>
              </w:rPr>
              <w:t xml:space="preserve">17. </w:t>
            </w:r>
            <w:r w:rsidR="00204183" w:rsidRPr="77BBD5D8">
              <w:rPr>
                <w:sz w:val="22"/>
                <w:szCs w:val="22"/>
              </w:rPr>
              <w:t xml:space="preserve">Ņemot vērā Vadošās iestādes vadlīnijās Nr.2.1. “Vadlīnijas attiecināmo un neattiecināmo izmaksu noteikšanai 2014.-2020.gada plānošanas periodā” 17.punktā noteikto tādas izmaksas kā “iekārtu noma, datorprogrammas, licences un to amortizācijas izmaksas” var tikt atspoguļotas pie tiešajām attiecināmajām izmaksām gadījumos, ja tās ir kā darba vietas aprīkojuma iegādes vai nomas izmaksas jaunradīto darba vietu aprīkošanai vai gadījumos, ja esošo darba vietu aprīkojums ir nolietojies un tiek norakstīts. Taču pārējos gadījumos šīs izmaksas ir kā netiešās attiecināmās izmaksas saskaņā ar iepriekš minēto vadlīniju III sadaļu. Līdz ar to lūdzam anotācijas I. sadaļas 2. punktu papildināt ar pamatojumu, ņemot vērā iepriekš minēto un vadlīnijās noteikto. </w:t>
            </w:r>
            <w:r w:rsidR="00204183" w:rsidRPr="77BBD5D8">
              <w:rPr>
                <w:sz w:val="22"/>
                <w:szCs w:val="22"/>
              </w:rPr>
              <w:lastRenderedPageBreak/>
              <w:t xml:space="preserve">Vienlaikus, ja šīs izmaksas ir kā darba vietas aprīkojums, MK noteikumu projekta vajadzētu paredzēt, ka tās ir attiecināmas ne vairāk kā 3000 </w:t>
            </w:r>
            <w:proofErr w:type="spellStart"/>
            <w:r w:rsidR="00204183" w:rsidRPr="77BBD5D8">
              <w:rPr>
                <w:i/>
                <w:iCs/>
                <w:sz w:val="22"/>
                <w:szCs w:val="22"/>
              </w:rPr>
              <w:t>euro</w:t>
            </w:r>
            <w:proofErr w:type="spellEnd"/>
            <w:r w:rsidR="00204183" w:rsidRPr="77BBD5D8">
              <w:rPr>
                <w:sz w:val="22"/>
                <w:szCs w:val="22"/>
              </w:rPr>
              <w:t xml:space="preserve"> vienai darba vietai visa projekta īstenošanas laikā.</w:t>
            </w:r>
            <w:r w:rsidR="00107B9A">
              <w:rPr>
                <w:sz w:val="22"/>
                <w:szCs w:val="22"/>
              </w:rPr>
              <w:t>”</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923AD3" w14:textId="11C9FB51" w:rsidR="00C844A3" w:rsidRDefault="00C844A3" w:rsidP="00D0347A">
            <w:pPr>
              <w:spacing w:after="120"/>
              <w:jc w:val="center"/>
              <w:rPr>
                <w:b/>
                <w:bCs/>
                <w:sz w:val="22"/>
                <w:szCs w:val="22"/>
              </w:rPr>
            </w:pPr>
            <w:r w:rsidRPr="00C844A3">
              <w:rPr>
                <w:b/>
                <w:bCs/>
                <w:sz w:val="22"/>
                <w:szCs w:val="22"/>
              </w:rPr>
              <w:lastRenderedPageBreak/>
              <w:t>Ņemts vērā</w:t>
            </w:r>
          </w:p>
          <w:p w14:paraId="0CBAFB57" w14:textId="4516E6E2" w:rsidR="004D2A01" w:rsidRPr="00C844A3" w:rsidRDefault="004D2A01" w:rsidP="004D2A01">
            <w:pPr>
              <w:spacing w:after="120"/>
              <w:jc w:val="both"/>
              <w:rPr>
                <w:sz w:val="22"/>
                <w:szCs w:val="22"/>
              </w:rPr>
            </w:pPr>
            <w:r w:rsidRPr="004D2A01">
              <w:rPr>
                <w:sz w:val="22"/>
                <w:szCs w:val="22"/>
              </w:rPr>
              <w:t xml:space="preserve">Lūdzam skatīt izziņas </w:t>
            </w:r>
            <w:r>
              <w:rPr>
                <w:sz w:val="22"/>
                <w:szCs w:val="22"/>
              </w:rPr>
              <w:t xml:space="preserve">15. </w:t>
            </w:r>
            <w:r w:rsidRPr="004D2A01">
              <w:rPr>
                <w:sz w:val="22"/>
                <w:szCs w:val="22"/>
              </w:rPr>
              <w:t>punktu.</w:t>
            </w:r>
          </w:p>
          <w:p w14:paraId="13101833" w14:textId="77777777" w:rsidR="00204183" w:rsidRPr="002373E2" w:rsidRDefault="00204183" w:rsidP="00D0347A">
            <w:pPr>
              <w:spacing w:after="120"/>
              <w:jc w:val="center"/>
              <w:rPr>
                <w:sz w:val="22"/>
                <w:szCs w:val="22"/>
              </w:rPr>
            </w:pPr>
          </w:p>
        </w:tc>
        <w:tc>
          <w:tcPr>
            <w:tcW w:w="4536" w:type="dxa"/>
            <w:tcBorders>
              <w:top w:val="single" w:sz="4" w:space="0" w:color="auto"/>
              <w:left w:val="single" w:sz="4" w:space="0" w:color="auto"/>
              <w:bottom w:val="single" w:sz="4" w:space="0" w:color="auto"/>
            </w:tcBorders>
          </w:tcPr>
          <w:p w14:paraId="6B7D2714" w14:textId="77777777" w:rsidR="00204183" w:rsidRPr="002373E2" w:rsidRDefault="00204183" w:rsidP="005A1C31">
            <w:pPr>
              <w:spacing w:after="120"/>
              <w:jc w:val="both"/>
              <w:rPr>
                <w:sz w:val="22"/>
                <w:szCs w:val="22"/>
              </w:rPr>
            </w:pPr>
          </w:p>
        </w:tc>
      </w:tr>
      <w:tr w:rsidR="00204183" w:rsidRPr="002373E2" w14:paraId="0DCD78DB"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9AB8CE" w14:textId="77777777" w:rsidR="00204183" w:rsidRPr="002373E2" w:rsidRDefault="00204183" w:rsidP="0039682E">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B0934D" w14:textId="3866A098" w:rsidR="00204183" w:rsidRPr="002373E2" w:rsidRDefault="00204183" w:rsidP="000A32EB">
            <w:pPr>
              <w:jc w:val="both"/>
              <w:rPr>
                <w:sz w:val="22"/>
                <w:szCs w:val="22"/>
              </w:rPr>
            </w:pP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8994B6" w14:textId="229EB1E9" w:rsidR="00204183" w:rsidRPr="00204183" w:rsidRDefault="00204183" w:rsidP="00204183">
            <w:pPr>
              <w:contextualSpacing/>
              <w:jc w:val="both"/>
              <w:rPr>
                <w:b/>
                <w:bCs/>
                <w:sz w:val="22"/>
                <w:szCs w:val="22"/>
                <w:lang w:eastAsia="en-US"/>
              </w:rPr>
            </w:pPr>
            <w:r w:rsidRPr="00204183">
              <w:rPr>
                <w:b/>
                <w:bCs/>
                <w:sz w:val="22"/>
                <w:szCs w:val="22"/>
                <w:lang w:eastAsia="en-US"/>
              </w:rPr>
              <w:t xml:space="preserve">Finanšu ministrijas </w:t>
            </w:r>
            <w:r w:rsidRPr="00204183">
              <w:rPr>
                <w:b/>
                <w:sz w:val="22"/>
                <w:szCs w:val="22"/>
              </w:rPr>
              <w:t xml:space="preserve">28.04.2021. </w:t>
            </w:r>
            <w:r w:rsidR="00107B9A">
              <w:rPr>
                <w:b/>
                <w:sz w:val="22"/>
                <w:szCs w:val="22"/>
              </w:rPr>
              <w:t xml:space="preserve">18. </w:t>
            </w:r>
            <w:r w:rsidRPr="00204183">
              <w:rPr>
                <w:b/>
                <w:sz w:val="22"/>
                <w:szCs w:val="22"/>
              </w:rPr>
              <w:t>iebildums</w:t>
            </w:r>
          </w:p>
          <w:p w14:paraId="03AD0574" w14:textId="77777777" w:rsidR="00204183" w:rsidRDefault="00107B9A" w:rsidP="00204183">
            <w:pPr>
              <w:jc w:val="both"/>
              <w:rPr>
                <w:sz w:val="22"/>
                <w:szCs w:val="22"/>
              </w:rPr>
            </w:pPr>
            <w:r>
              <w:rPr>
                <w:sz w:val="22"/>
                <w:szCs w:val="22"/>
              </w:rPr>
              <w:t xml:space="preserve">“18. </w:t>
            </w:r>
            <w:r w:rsidR="00204183" w:rsidRPr="77BBD5D8">
              <w:rPr>
                <w:sz w:val="22"/>
                <w:szCs w:val="22"/>
              </w:rPr>
              <w:t xml:space="preserve">Atbilstoši MK noteikumu projektā veiktajām izmaiņām lūdzam pārskatīt un precizēt anotācijas V. sadaļas “Tiesību akta projekta atbilstība Latvijas Republikas starptautiskajām saistībām” 1.tabulā veikto atbilstības </w:t>
            </w:r>
            <w:proofErr w:type="spellStart"/>
            <w:r w:rsidR="00204183" w:rsidRPr="77BBD5D8">
              <w:rPr>
                <w:sz w:val="22"/>
                <w:szCs w:val="22"/>
              </w:rPr>
              <w:t>izvērtējumu</w:t>
            </w:r>
            <w:proofErr w:type="spellEnd"/>
            <w:r w:rsidR="00204183" w:rsidRPr="77BBD5D8">
              <w:rPr>
                <w:sz w:val="22"/>
                <w:szCs w:val="22"/>
              </w:rPr>
              <w:t>, norādot konkrēti saskaņā ar kādu regulas pantu un punktu ir veikts konkrētais papildinājums MK noteikumu projektā.</w:t>
            </w:r>
            <w:r>
              <w:rPr>
                <w:sz w:val="22"/>
                <w:szCs w:val="22"/>
              </w:rPr>
              <w:t>”</w:t>
            </w:r>
          </w:p>
          <w:p w14:paraId="44DA02AB" w14:textId="77777777" w:rsidR="007F19BB" w:rsidRDefault="007F19BB" w:rsidP="00204183">
            <w:pPr>
              <w:jc w:val="both"/>
              <w:rPr>
                <w:sz w:val="22"/>
                <w:szCs w:val="22"/>
              </w:rPr>
            </w:pPr>
          </w:p>
          <w:p w14:paraId="15C294D2" w14:textId="7526E861" w:rsidR="007F19BB" w:rsidRPr="007F19BB" w:rsidRDefault="007F19BB" w:rsidP="00204183">
            <w:pPr>
              <w:jc w:val="both"/>
              <w:rPr>
                <w:b/>
                <w:bCs/>
                <w:sz w:val="22"/>
                <w:szCs w:val="22"/>
              </w:rPr>
            </w:pPr>
            <w:r w:rsidRPr="007F19BB">
              <w:rPr>
                <w:b/>
                <w:bCs/>
                <w:sz w:val="22"/>
                <w:szCs w:val="22"/>
              </w:rPr>
              <w:t xml:space="preserve">Finanšu ministrijas </w:t>
            </w:r>
            <w:r w:rsidR="00861DBE">
              <w:rPr>
                <w:b/>
                <w:bCs/>
                <w:sz w:val="22"/>
                <w:szCs w:val="22"/>
              </w:rPr>
              <w:t xml:space="preserve">19.06.2021. </w:t>
            </w:r>
            <w:r>
              <w:rPr>
                <w:b/>
                <w:bCs/>
                <w:sz w:val="22"/>
                <w:szCs w:val="22"/>
              </w:rPr>
              <w:t xml:space="preserve">5. </w:t>
            </w:r>
            <w:r w:rsidRPr="007F19BB">
              <w:rPr>
                <w:b/>
                <w:bCs/>
                <w:sz w:val="22"/>
                <w:szCs w:val="22"/>
              </w:rPr>
              <w:t>iebildums elektroniskajā saskaņošanā</w:t>
            </w:r>
          </w:p>
          <w:p w14:paraId="6C0FA9FE" w14:textId="547CEE13" w:rsidR="007F19BB" w:rsidRPr="00F17441" w:rsidRDefault="007F19BB" w:rsidP="00F17441">
            <w:pPr>
              <w:jc w:val="both"/>
              <w:rPr>
                <w:sz w:val="22"/>
                <w:szCs w:val="22"/>
              </w:rPr>
            </w:pPr>
            <w:r w:rsidRPr="00F17441">
              <w:rPr>
                <w:sz w:val="22"/>
                <w:szCs w:val="22"/>
              </w:rPr>
              <w:t>“</w:t>
            </w:r>
            <w:r w:rsidR="00861DBE">
              <w:rPr>
                <w:sz w:val="22"/>
                <w:szCs w:val="22"/>
              </w:rPr>
              <w:t>5.</w:t>
            </w:r>
            <w:r w:rsidR="00F17441" w:rsidRPr="00F17441">
              <w:rPr>
                <w:sz w:val="22"/>
                <w:szCs w:val="22"/>
              </w:rPr>
              <w:t xml:space="preserve">Ievērojot MK noteikumu projektā veiktās izmaiņas, aicinām precizēt anotācijas V. sadaļas 1.tabulu. Vienlaikus aicinām pārskatīt jau veikto </w:t>
            </w:r>
            <w:proofErr w:type="spellStart"/>
            <w:r w:rsidR="00F17441" w:rsidRPr="00F17441">
              <w:rPr>
                <w:sz w:val="22"/>
                <w:szCs w:val="22"/>
              </w:rPr>
              <w:t>izvērtējumu</w:t>
            </w:r>
            <w:proofErr w:type="spellEnd"/>
            <w:r w:rsidR="00F17441" w:rsidRPr="00F17441">
              <w:rPr>
                <w:sz w:val="22"/>
                <w:szCs w:val="22"/>
              </w:rPr>
              <w:t xml:space="preserve">, piem., šobrīd norādīts, ka MK noteikumu projekta 29.punkts nodrošina atbilstību visai Eiropas Komisijas 2013. gada 18. decembra Regulai (ES) Nr. 1407/2013 par Līguma par Eiropas Savienības darbību 107. un 108. panta piemērošanu </w:t>
            </w:r>
            <w:proofErr w:type="spellStart"/>
            <w:r w:rsidR="00F17441" w:rsidRPr="00F17441">
              <w:rPr>
                <w:i/>
                <w:iCs/>
                <w:sz w:val="22"/>
                <w:szCs w:val="22"/>
              </w:rPr>
              <w:t>de</w:t>
            </w:r>
            <w:proofErr w:type="spellEnd"/>
            <w:r w:rsidR="00F17441" w:rsidRPr="00F17441">
              <w:rPr>
                <w:i/>
                <w:iCs/>
                <w:sz w:val="22"/>
                <w:szCs w:val="22"/>
              </w:rPr>
              <w:t xml:space="preserve"> </w:t>
            </w:r>
            <w:proofErr w:type="spellStart"/>
            <w:r w:rsidR="00F17441" w:rsidRPr="00F17441">
              <w:rPr>
                <w:i/>
                <w:iCs/>
                <w:sz w:val="22"/>
                <w:szCs w:val="22"/>
              </w:rPr>
              <w:t>minimis</w:t>
            </w:r>
            <w:proofErr w:type="spellEnd"/>
            <w:r w:rsidR="00F17441" w:rsidRPr="00F17441">
              <w:rPr>
                <w:sz w:val="22"/>
                <w:szCs w:val="22"/>
              </w:rPr>
              <w:t xml:space="preserve"> atbalstam.”</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EF9B97" w14:textId="10251655" w:rsidR="007D6A74" w:rsidRDefault="007D6A74" w:rsidP="00D0347A">
            <w:pPr>
              <w:spacing w:after="120"/>
              <w:jc w:val="center"/>
              <w:rPr>
                <w:b/>
                <w:bCs/>
                <w:sz w:val="22"/>
                <w:szCs w:val="22"/>
              </w:rPr>
            </w:pPr>
            <w:r w:rsidRPr="007D6A74">
              <w:rPr>
                <w:b/>
                <w:bCs/>
                <w:sz w:val="22"/>
                <w:szCs w:val="22"/>
              </w:rPr>
              <w:t>Ņemts vērā</w:t>
            </w:r>
          </w:p>
          <w:p w14:paraId="79D663A4" w14:textId="6E079B25" w:rsidR="000F01B4" w:rsidRPr="007D6A74" w:rsidRDefault="000F01B4" w:rsidP="000F01B4">
            <w:pPr>
              <w:spacing w:after="120"/>
              <w:jc w:val="both"/>
              <w:rPr>
                <w:sz w:val="22"/>
                <w:szCs w:val="22"/>
              </w:rPr>
            </w:pPr>
            <w:r w:rsidRPr="000F01B4">
              <w:rPr>
                <w:sz w:val="22"/>
                <w:szCs w:val="22"/>
              </w:rPr>
              <w:t>Lūdzam skatīt precizētās anotācijas V sadaļas 1. tabulu.</w:t>
            </w:r>
          </w:p>
          <w:p w14:paraId="29B1D162" w14:textId="77777777" w:rsidR="00204183" w:rsidRDefault="00204183" w:rsidP="00D0347A">
            <w:pPr>
              <w:spacing w:after="120"/>
              <w:jc w:val="center"/>
              <w:rPr>
                <w:sz w:val="22"/>
                <w:szCs w:val="22"/>
              </w:rPr>
            </w:pPr>
          </w:p>
          <w:p w14:paraId="78009C8A" w14:textId="77777777" w:rsidR="00F17441" w:rsidRDefault="00F17441" w:rsidP="00D0347A">
            <w:pPr>
              <w:spacing w:after="120"/>
              <w:jc w:val="center"/>
              <w:rPr>
                <w:sz w:val="22"/>
                <w:szCs w:val="22"/>
              </w:rPr>
            </w:pPr>
          </w:p>
          <w:p w14:paraId="60496502" w14:textId="7CDD329C" w:rsidR="00F17441" w:rsidRDefault="00F17441" w:rsidP="000F6378">
            <w:pPr>
              <w:spacing w:after="120"/>
              <w:rPr>
                <w:sz w:val="22"/>
                <w:szCs w:val="22"/>
              </w:rPr>
            </w:pPr>
          </w:p>
          <w:p w14:paraId="4CEB8913" w14:textId="77777777" w:rsidR="000F6378" w:rsidRDefault="000F6378" w:rsidP="000F6378">
            <w:pPr>
              <w:spacing w:after="120"/>
              <w:rPr>
                <w:sz w:val="22"/>
                <w:szCs w:val="22"/>
              </w:rPr>
            </w:pPr>
          </w:p>
          <w:p w14:paraId="31873572" w14:textId="77777777" w:rsidR="00F17441" w:rsidRPr="0008536F" w:rsidRDefault="00F17441" w:rsidP="00F17441">
            <w:pPr>
              <w:spacing w:after="120"/>
              <w:jc w:val="center"/>
              <w:rPr>
                <w:b/>
                <w:bCs/>
                <w:sz w:val="22"/>
                <w:szCs w:val="22"/>
              </w:rPr>
            </w:pPr>
            <w:r w:rsidRPr="0008536F">
              <w:rPr>
                <w:b/>
                <w:bCs/>
                <w:sz w:val="22"/>
                <w:szCs w:val="22"/>
              </w:rPr>
              <w:t>Ņemts vērā</w:t>
            </w:r>
          </w:p>
          <w:p w14:paraId="2B1A143C" w14:textId="77777777" w:rsidR="00F17441" w:rsidRPr="00F17441" w:rsidRDefault="00F17441" w:rsidP="00CC1EC4">
            <w:pPr>
              <w:spacing w:after="120"/>
              <w:jc w:val="both"/>
              <w:rPr>
                <w:sz w:val="22"/>
                <w:szCs w:val="22"/>
              </w:rPr>
            </w:pPr>
            <w:r w:rsidRPr="0008536F">
              <w:rPr>
                <w:sz w:val="22"/>
                <w:szCs w:val="22"/>
              </w:rPr>
              <w:t>Lūdzam skatīt precizētās anotācijas V sadaļas 1. tabulu.</w:t>
            </w:r>
          </w:p>
          <w:p w14:paraId="2FF957E1" w14:textId="4A8240DC" w:rsidR="00F17441" w:rsidRPr="002373E2" w:rsidRDefault="00F17441" w:rsidP="00D0347A">
            <w:pPr>
              <w:spacing w:after="120"/>
              <w:jc w:val="center"/>
              <w:rPr>
                <w:sz w:val="22"/>
                <w:szCs w:val="22"/>
              </w:rPr>
            </w:pPr>
          </w:p>
        </w:tc>
        <w:tc>
          <w:tcPr>
            <w:tcW w:w="4536" w:type="dxa"/>
            <w:tcBorders>
              <w:top w:val="single" w:sz="4" w:space="0" w:color="auto"/>
              <w:left w:val="single" w:sz="4" w:space="0" w:color="auto"/>
              <w:bottom w:val="single" w:sz="4" w:space="0" w:color="auto"/>
            </w:tcBorders>
          </w:tcPr>
          <w:p w14:paraId="0BAD2E14" w14:textId="77777777" w:rsidR="00204183" w:rsidRPr="002373E2" w:rsidRDefault="00204183" w:rsidP="005A1C31">
            <w:pPr>
              <w:spacing w:after="120"/>
              <w:jc w:val="both"/>
              <w:rPr>
                <w:sz w:val="22"/>
                <w:szCs w:val="22"/>
              </w:rPr>
            </w:pPr>
          </w:p>
        </w:tc>
      </w:tr>
      <w:tr w:rsidR="00204183" w:rsidRPr="002373E2" w14:paraId="6C963C06"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200403" w14:textId="77777777" w:rsidR="00204183" w:rsidRPr="002373E2" w:rsidRDefault="00204183" w:rsidP="0039682E">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46A176" w14:textId="77777777" w:rsidR="00204183" w:rsidRPr="002373E2" w:rsidRDefault="00204183" w:rsidP="000A32EB">
            <w:pPr>
              <w:jc w:val="both"/>
              <w:rPr>
                <w:sz w:val="22"/>
                <w:szCs w:val="22"/>
              </w:rPr>
            </w:pP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1ADE8F" w14:textId="1CE57DFB" w:rsidR="00204183" w:rsidRPr="00204183" w:rsidRDefault="00204183" w:rsidP="00204183">
            <w:pPr>
              <w:contextualSpacing/>
              <w:jc w:val="both"/>
              <w:rPr>
                <w:b/>
                <w:sz w:val="22"/>
                <w:szCs w:val="22"/>
              </w:rPr>
            </w:pPr>
            <w:r w:rsidRPr="00204183">
              <w:rPr>
                <w:b/>
                <w:bCs/>
                <w:sz w:val="22"/>
                <w:szCs w:val="22"/>
                <w:lang w:eastAsia="en-US"/>
              </w:rPr>
              <w:t xml:space="preserve">Finanšu ministrijas </w:t>
            </w:r>
            <w:r w:rsidRPr="00204183">
              <w:rPr>
                <w:b/>
                <w:sz w:val="22"/>
                <w:szCs w:val="22"/>
              </w:rPr>
              <w:t xml:space="preserve">28.04.2021. </w:t>
            </w:r>
            <w:r w:rsidR="00107B9A">
              <w:rPr>
                <w:b/>
                <w:sz w:val="22"/>
                <w:szCs w:val="22"/>
              </w:rPr>
              <w:t xml:space="preserve">19. </w:t>
            </w:r>
            <w:r w:rsidRPr="00204183">
              <w:rPr>
                <w:b/>
                <w:sz w:val="22"/>
                <w:szCs w:val="22"/>
              </w:rPr>
              <w:t>iebildums</w:t>
            </w:r>
          </w:p>
          <w:p w14:paraId="4EACF273" w14:textId="7BD6CC92" w:rsidR="00204183" w:rsidRPr="00107B9A" w:rsidRDefault="00107B9A" w:rsidP="00204183">
            <w:pPr>
              <w:jc w:val="both"/>
              <w:rPr>
                <w:sz w:val="22"/>
                <w:szCs w:val="22"/>
              </w:rPr>
            </w:pPr>
            <w:r>
              <w:rPr>
                <w:sz w:val="22"/>
                <w:szCs w:val="22"/>
              </w:rPr>
              <w:t xml:space="preserve">“19. </w:t>
            </w:r>
            <w:r w:rsidR="00204183" w:rsidRPr="00204183">
              <w:rPr>
                <w:sz w:val="22"/>
                <w:szCs w:val="22"/>
              </w:rPr>
              <w:t xml:space="preserve">Anotācijas VII. sadaļas 2.punktā ir norādīts, ka tiek plānota jaunas struktūrvienības izveide un cilvēkresursu palielināšana LIAA. Ņemot vērā, ka anotācijas III sadaļa nav aizpildīta, kas </w:t>
            </w:r>
            <w:r w:rsidR="00204183" w:rsidRPr="00204183">
              <w:rPr>
                <w:sz w:val="22"/>
                <w:szCs w:val="22"/>
              </w:rPr>
              <w:lastRenderedPageBreak/>
              <w:t>nozīmē, ka projektam nav ietekmes uz budžetu, nav saprotams kāds ir finansēšanas avots jaunas struktūrvienības izveidei un cilvēkresursu palielināšanai. Lūdzam papildināt anotāciju ar skaidrojošo informāciju, aizpildot III sadaļu.</w:t>
            </w:r>
            <w:r>
              <w:rPr>
                <w:sz w:val="22"/>
                <w:szCs w:val="22"/>
              </w:rPr>
              <w:t>”</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DABF01" w14:textId="77777777" w:rsidR="00204183" w:rsidRDefault="00531B96" w:rsidP="00D0347A">
            <w:pPr>
              <w:spacing w:after="120"/>
              <w:jc w:val="center"/>
              <w:rPr>
                <w:b/>
                <w:bCs/>
                <w:sz w:val="22"/>
                <w:szCs w:val="22"/>
              </w:rPr>
            </w:pPr>
            <w:r w:rsidRPr="00531B96">
              <w:rPr>
                <w:b/>
                <w:bCs/>
                <w:sz w:val="22"/>
                <w:szCs w:val="22"/>
              </w:rPr>
              <w:lastRenderedPageBreak/>
              <w:t>Ņemts vērā</w:t>
            </w:r>
          </w:p>
          <w:p w14:paraId="5BDE03A9" w14:textId="165B68F1" w:rsidR="001D31E4" w:rsidRPr="001D31E4" w:rsidRDefault="001D31E4" w:rsidP="001D31E4">
            <w:pPr>
              <w:spacing w:after="120"/>
              <w:jc w:val="both"/>
              <w:rPr>
                <w:sz w:val="22"/>
                <w:szCs w:val="22"/>
              </w:rPr>
            </w:pPr>
            <w:r w:rsidRPr="001D31E4">
              <w:rPr>
                <w:sz w:val="22"/>
                <w:szCs w:val="22"/>
              </w:rPr>
              <w:t xml:space="preserve">Lūdzam skatīt precizētās anotācijas </w:t>
            </w:r>
            <w:r w:rsidR="009C4DDD">
              <w:rPr>
                <w:sz w:val="22"/>
                <w:szCs w:val="22"/>
              </w:rPr>
              <w:t>I</w:t>
            </w:r>
            <w:r>
              <w:rPr>
                <w:sz w:val="22"/>
                <w:szCs w:val="22"/>
              </w:rPr>
              <w:t>II</w:t>
            </w:r>
            <w:r w:rsidRPr="001D31E4">
              <w:rPr>
                <w:sz w:val="22"/>
                <w:szCs w:val="22"/>
              </w:rPr>
              <w:t xml:space="preserve"> sadaļ</w:t>
            </w:r>
            <w:r w:rsidR="009C4DDD">
              <w:rPr>
                <w:sz w:val="22"/>
                <w:szCs w:val="22"/>
              </w:rPr>
              <w:t>u.</w:t>
            </w:r>
          </w:p>
        </w:tc>
        <w:tc>
          <w:tcPr>
            <w:tcW w:w="4536" w:type="dxa"/>
            <w:tcBorders>
              <w:top w:val="single" w:sz="4" w:space="0" w:color="auto"/>
              <w:left w:val="single" w:sz="4" w:space="0" w:color="auto"/>
              <w:bottom w:val="single" w:sz="4" w:space="0" w:color="auto"/>
            </w:tcBorders>
          </w:tcPr>
          <w:p w14:paraId="6F3F5B16" w14:textId="77777777" w:rsidR="00204183" w:rsidRPr="002373E2" w:rsidRDefault="00204183" w:rsidP="005A1C31">
            <w:pPr>
              <w:spacing w:after="120"/>
              <w:jc w:val="both"/>
              <w:rPr>
                <w:sz w:val="22"/>
                <w:szCs w:val="22"/>
              </w:rPr>
            </w:pPr>
          </w:p>
        </w:tc>
      </w:tr>
      <w:tr w:rsidR="005A1C31" w:rsidRPr="002373E2" w14:paraId="2AA9513F" w14:textId="77777777" w:rsidTr="3628E25F">
        <w:tc>
          <w:tcPr>
            <w:tcW w:w="15309" w:type="dxa"/>
            <w:gridSpan w:val="5"/>
            <w:tcBorders>
              <w:top w:val="single" w:sz="6" w:space="0" w:color="000000" w:themeColor="text1"/>
              <w:left w:val="single" w:sz="6" w:space="0" w:color="000000" w:themeColor="text1"/>
              <w:bottom w:val="single" w:sz="6" w:space="0" w:color="000000" w:themeColor="text1"/>
            </w:tcBorders>
          </w:tcPr>
          <w:p w14:paraId="4D3CA596" w14:textId="77777777" w:rsidR="005A1C31" w:rsidRPr="002373E2" w:rsidRDefault="005A1C31" w:rsidP="005A1C31">
            <w:pPr>
              <w:jc w:val="center"/>
              <w:rPr>
                <w:b/>
                <w:bCs/>
                <w:sz w:val="22"/>
                <w:szCs w:val="22"/>
              </w:rPr>
            </w:pPr>
            <w:r w:rsidRPr="0007115C">
              <w:rPr>
                <w:b/>
                <w:bCs/>
                <w:sz w:val="22"/>
                <w:szCs w:val="22"/>
              </w:rPr>
              <w:t>Priekšlikumi</w:t>
            </w:r>
          </w:p>
        </w:tc>
      </w:tr>
      <w:tr w:rsidR="005A1C31" w:rsidRPr="002373E2" w14:paraId="1B2576AC"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26F70C" w14:textId="77777777" w:rsidR="005A1C31" w:rsidRPr="002373E2" w:rsidRDefault="005A1C31" w:rsidP="0039682E">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E068EA" w14:textId="77777777" w:rsidR="005A1C31" w:rsidRPr="002373E2" w:rsidRDefault="005A1C31" w:rsidP="005A1C31">
            <w:pPr>
              <w:jc w:val="both"/>
              <w:rPr>
                <w:sz w:val="22"/>
                <w:szCs w:val="22"/>
              </w:rPr>
            </w:pP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25C5E2" w14:textId="337C810A" w:rsidR="005A1C31" w:rsidRPr="00DA7D8C" w:rsidRDefault="005A1C31" w:rsidP="005A1C31">
            <w:pPr>
              <w:jc w:val="both"/>
              <w:rPr>
                <w:b/>
                <w:sz w:val="22"/>
                <w:szCs w:val="22"/>
              </w:rPr>
            </w:pPr>
            <w:r w:rsidRPr="00DA7D8C">
              <w:rPr>
                <w:b/>
                <w:sz w:val="22"/>
                <w:szCs w:val="22"/>
              </w:rPr>
              <w:t xml:space="preserve">Finanšu ministrijas </w:t>
            </w:r>
            <w:r w:rsidR="00DA7D8C" w:rsidRPr="00DA7D8C">
              <w:rPr>
                <w:b/>
                <w:sz w:val="22"/>
                <w:szCs w:val="22"/>
              </w:rPr>
              <w:t xml:space="preserve">28.04.2021. </w:t>
            </w:r>
            <w:r w:rsidR="00214F37">
              <w:rPr>
                <w:b/>
                <w:sz w:val="22"/>
                <w:szCs w:val="22"/>
              </w:rPr>
              <w:t xml:space="preserve">1. </w:t>
            </w:r>
            <w:r w:rsidRPr="00DA7D8C">
              <w:rPr>
                <w:b/>
                <w:sz w:val="22"/>
                <w:szCs w:val="22"/>
              </w:rPr>
              <w:t>priekšlikums</w:t>
            </w:r>
          </w:p>
          <w:p w14:paraId="4D251FA8" w14:textId="2AE445E2" w:rsidR="005A1C31" w:rsidRPr="002373E2" w:rsidRDefault="00214F37" w:rsidP="77BBD5D8">
            <w:pPr>
              <w:jc w:val="both"/>
              <w:rPr>
                <w:sz w:val="22"/>
                <w:szCs w:val="22"/>
              </w:rPr>
            </w:pPr>
            <w:r>
              <w:rPr>
                <w:sz w:val="22"/>
                <w:szCs w:val="22"/>
              </w:rPr>
              <w:t xml:space="preserve">“1. </w:t>
            </w:r>
            <w:r w:rsidR="00DA7D8C" w:rsidRPr="00DA7D8C">
              <w:rPr>
                <w:sz w:val="22"/>
                <w:szCs w:val="22"/>
              </w:rPr>
              <w:t>Lūdzam visus izmaksu ierobežojumus iekļaut MK noteikumos Nr. 365, lai noteikumu lietotājam būtu skaidri visi nosacījumi, tādēļ aicinām anotācijas teikumu “</w:t>
            </w:r>
            <w:r w:rsidR="00DA7D8C" w:rsidRPr="00DA7D8C">
              <w:rPr>
                <w:i/>
                <w:iCs/>
                <w:sz w:val="22"/>
                <w:szCs w:val="22"/>
              </w:rPr>
              <w:t>Izmaksas ir attiecināmas, ja ikmēneša nomas maksājuma summa ir vienāda vai nepārsniedz pamatlīdzekļa vai nemateriālo ieguldījumu iegādes vērtību un amortizējamie aktīvi nav iegādāti, izmantojot publisko finansējumu</w:t>
            </w:r>
            <w:r w:rsidR="00DA7D8C" w:rsidRPr="00DA7D8C">
              <w:rPr>
                <w:sz w:val="22"/>
                <w:szCs w:val="22"/>
              </w:rPr>
              <w:t>” un “</w:t>
            </w:r>
            <w:r w:rsidR="00DA7D8C" w:rsidRPr="00DA7D8C">
              <w:rPr>
                <w:i/>
                <w:iCs/>
                <w:sz w:val="22"/>
                <w:szCs w:val="22"/>
              </w:rPr>
              <w:t>maksimālais izmaksu slieksnis vienam komersantam 40 000 EUR</w:t>
            </w:r>
            <w:r w:rsidR="00DA7D8C" w:rsidRPr="00DA7D8C">
              <w:rPr>
                <w:sz w:val="22"/>
                <w:szCs w:val="22"/>
              </w:rPr>
              <w:t>” pārcelt uz MK noteikumiem Nr.365.</w:t>
            </w:r>
            <w:r>
              <w:rPr>
                <w:sz w:val="22"/>
                <w:szCs w:val="22"/>
              </w:rPr>
              <w:t>”</w:t>
            </w:r>
            <w:r w:rsidR="00DA7D8C" w:rsidRPr="00DA7D8C">
              <w:rPr>
                <w:sz w:val="22"/>
                <w:szCs w:val="22"/>
              </w:rPr>
              <w:t xml:space="preserve"> </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CC301D" w14:textId="086EF91E" w:rsidR="00531B96" w:rsidRDefault="00531B96" w:rsidP="00D0347A">
            <w:pPr>
              <w:spacing w:after="120"/>
              <w:jc w:val="center"/>
              <w:rPr>
                <w:b/>
                <w:bCs/>
                <w:sz w:val="22"/>
                <w:szCs w:val="22"/>
              </w:rPr>
            </w:pPr>
            <w:r w:rsidRPr="00531B96">
              <w:rPr>
                <w:b/>
                <w:bCs/>
                <w:sz w:val="22"/>
                <w:szCs w:val="22"/>
              </w:rPr>
              <w:t>Ņemts vērā</w:t>
            </w:r>
          </w:p>
          <w:p w14:paraId="2457A98D" w14:textId="249E889E" w:rsidR="00840709" w:rsidRPr="00531B96" w:rsidRDefault="00840709" w:rsidP="00840709">
            <w:pPr>
              <w:spacing w:after="120"/>
              <w:jc w:val="both"/>
              <w:rPr>
                <w:sz w:val="22"/>
                <w:szCs w:val="22"/>
              </w:rPr>
            </w:pPr>
            <w:r w:rsidRPr="00840709">
              <w:rPr>
                <w:sz w:val="22"/>
                <w:szCs w:val="22"/>
              </w:rPr>
              <w:t>Lūdzam skatīt precizēto noteikumu projektu un  anotācijas I sadaļas 2. punktu.</w:t>
            </w:r>
          </w:p>
          <w:p w14:paraId="4A465095" w14:textId="77777777" w:rsidR="005A1C31" w:rsidRPr="002373E2" w:rsidRDefault="005A1C31" w:rsidP="00D0347A">
            <w:pPr>
              <w:spacing w:after="120"/>
              <w:jc w:val="center"/>
              <w:rPr>
                <w:b/>
                <w:bCs/>
                <w:sz w:val="22"/>
                <w:szCs w:val="22"/>
              </w:rPr>
            </w:pPr>
          </w:p>
        </w:tc>
        <w:tc>
          <w:tcPr>
            <w:tcW w:w="4536" w:type="dxa"/>
            <w:tcBorders>
              <w:top w:val="single" w:sz="4" w:space="0" w:color="auto"/>
              <w:left w:val="single" w:sz="4" w:space="0" w:color="auto"/>
              <w:bottom w:val="single" w:sz="4" w:space="0" w:color="auto"/>
            </w:tcBorders>
          </w:tcPr>
          <w:p w14:paraId="068E4624" w14:textId="77777777" w:rsidR="005A1C31" w:rsidRPr="002373E2" w:rsidRDefault="005A1C31" w:rsidP="005A1C31">
            <w:pPr>
              <w:spacing w:after="120"/>
              <w:jc w:val="both"/>
              <w:rPr>
                <w:sz w:val="22"/>
                <w:szCs w:val="22"/>
              </w:rPr>
            </w:pPr>
          </w:p>
        </w:tc>
      </w:tr>
      <w:tr w:rsidR="00DA7D8C" w:rsidRPr="002373E2" w14:paraId="71DDE68D"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2035FC" w14:textId="77777777" w:rsidR="00DA7D8C" w:rsidRPr="002373E2" w:rsidRDefault="00DA7D8C" w:rsidP="0039682E">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DC2B07" w14:textId="4A29399B" w:rsidR="00DC538F" w:rsidRDefault="00DC538F" w:rsidP="005A1C31">
            <w:pPr>
              <w:jc w:val="both"/>
              <w:rPr>
                <w:sz w:val="22"/>
                <w:szCs w:val="22"/>
              </w:rPr>
            </w:pPr>
            <w:r>
              <w:rPr>
                <w:sz w:val="22"/>
                <w:szCs w:val="22"/>
              </w:rPr>
              <w:t>Noteikumu projekta 8. punkts:</w:t>
            </w:r>
          </w:p>
          <w:p w14:paraId="2A93DF1A" w14:textId="77777777" w:rsidR="00DC538F" w:rsidRDefault="00DC538F" w:rsidP="005A1C31">
            <w:pPr>
              <w:jc w:val="both"/>
              <w:rPr>
                <w:sz w:val="22"/>
                <w:szCs w:val="22"/>
              </w:rPr>
            </w:pPr>
          </w:p>
          <w:p w14:paraId="2AC3E3A2" w14:textId="47EC6B46" w:rsidR="00DA7D8C" w:rsidRPr="002373E2" w:rsidRDefault="00DC538F" w:rsidP="005A1C31">
            <w:pPr>
              <w:jc w:val="both"/>
              <w:rPr>
                <w:sz w:val="22"/>
                <w:szCs w:val="22"/>
              </w:rPr>
            </w:pPr>
            <w:r w:rsidRPr="00DC538F">
              <w:rPr>
                <w:sz w:val="22"/>
                <w:szCs w:val="22"/>
              </w:rPr>
              <w:t>"33.2.1.2. apmācībām nepieciešamās infrastruktūras izmaksas, tai skaitā tehnisko risinājumu, apmācību izveides un tiešsaistes platformu abonementu maksa, kas nodrošina attālinātas apmācības iespējas komersantu nodarbinātajiem, telpu un iekārtu noma un citas izmaksas apmācību laikā, izņemot šo noteikumu 22.1. un 22.2. apakšpunktā minētās atbalstāmās darbības, kur iekārtu noma un citas izmaksas ietvertas tiešajās attiecināmajās izmaksās."</w:t>
            </w: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F10C98" w14:textId="1D5120EE" w:rsidR="00DA7D8C" w:rsidRPr="00DA7D8C" w:rsidRDefault="00DA7D8C" w:rsidP="00DA7D8C">
            <w:pPr>
              <w:jc w:val="both"/>
              <w:rPr>
                <w:b/>
                <w:sz w:val="22"/>
                <w:szCs w:val="22"/>
              </w:rPr>
            </w:pPr>
            <w:r w:rsidRPr="00DA7D8C">
              <w:rPr>
                <w:b/>
                <w:sz w:val="22"/>
                <w:szCs w:val="22"/>
              </w:rPr>
              <w:t xml:space="preserve">Finanšu ministrijas 28.04.2021. </w:t>
            </w:r>
            <w:r w:rsidR="00214F37">
              <w:rPr>
                <w:b/>
                <w:sz w:val="22"/>
                <w:szCs w:val="22"/>
              </w:rPr>
              <w:t xml:space="preserve">2. </w:t>
            </w:r>
            <w:r w:rsidRPr="00DA7D8C">
              <w:rPr>
                <w:b/>
                <w:sz w:val="22"/>
                <w:szCs w:val="22"/>
              </w:rPr>
              <w:t>priekšlikums</w:t>
            </w:r>
          </w:p>
          <w:p w14:paraId="380084A9" w14:textId="04AA4ED4" w:rsidR="00DA7D8C" w:rsidRPr="00214F37" w:rsidRDefault="00214F37" w:rsidP="77BBD5D8">
            <w:pPr>
              <w:jc w:val="both"/>
              <w:rPr>
                <w:sz w:val="22"/>
                <w:szCs w:val="22"/>
              </w:rPr>
            </w:pPr>
            <w:r>
              <w:rPr>
                <w:sz w:val="22"/>
                <w:szCs w:val="22"/>
              </w:rPr>
              <w:t xml:space="preserve">“2. </w:t>
            </w:r>
            <w:r w:rsidR="00DA7D8C" w:rsidRPr="00DA7D8C">
              <w:rPr>
                <w:sz w:val="22"/>
                <w:szCs w:val="22"/>
              </w:rPr>
              <w:t xml:space="preserve">Lūdzam pārskatīt MK noteikumu Nr.365 33.2.1.2.apakšpunktu “apmācībām nepieciešamās infrastruktūras izmaksas, tai skaitā tehnisko risinājumu, apmācību izveides un tiešsaistes platformu abonementu maksa, kas nodrošina attālinātas apmācības iespējas komersantu nodarbinātajiem, telpu un iekārtu noma un citas izmaksas apmācību laikā, izņemot šo noteikumu 22.1. un 22.2. apakšpunktā minētās atbalstāmās darbības, kur iekārtu noma un citas izmaksas ietvertas tiešajās </w:t>
            </w:r>
            <w:r w:rsidR="00DA7D8C" w:rsidRPr="00DA7D8C">
              <w:rPr>
                <w:sz w:val="22"/>
                <w:szCs w:val="22"/>
              </w:rPr>
              <w:lastRenderedPageBreak/>
              <w:t xml:space="preserve">attiecināmajās izmaksās", ņemot vērā, ka MK noteikumi Nr.365 tiek papildināti ar </w:t>
            </w:r>
            <w:bookmarkStart w:id="7" w:name="_Hlk69900466"/>
            <w:r w:rsidR="00DA7D8C" w:rsidRPr="00DA7D8C">
              <w:rPr>
                <w:sz w:val="22"/>
                <w:szCs w:val="22"/>
              </w:rPr>
              <w:t xml:space="preserve">33.1.1.5.9.apakšpunktu “ infrastruktūras izmaksas - iekārtu noma, datorprogrammas, licences un to amortizācijas izmaksas - ciktāl tās izmanto projektam”, </w:t>
            </w:r>
            <w:bookmarkEnd w:id="7"/>
            <w:r w:rsidR="00DA7D8C" w:rsidRPr="00DA7D8C">
              <w:rPr>
                <w:sz w:val="22"/>
                <w:szCs w:val="22"/>
              </w:rPr>
              <w:t>kas savukārt  ir zem apakšpunkta 33.1.1.5.punkta “ šo noteikumu 13.3. apakšpunktā minētajam finansējuma saņēmējam šo noteikumu 22.3. apakšpunktā minētās atbalstāmās darbības ietvaros”. Tāpat anotācijā I. sadaļas 2. punktā (4. lpp.) norādīts “MK noteikumu Nr. 365 22.1. un 22.3. apakšpunktā minētajam gala labuma guvējam tiešajās attiecināmajās izmaksās ir nepieciešams ietvert infrastruktūras izmaksas (iekārtu noma, datorprogrammas, licences un to amortizācijas izmaksas)”. Papildus vēršam uzmanību, ka MK noteikumu Nr. 365 22.1. apakšpunktā minētajam gala labuma guvējam nav noteikts, ka (iekārtu noma, datorprogrammas, licences un to amortizācijas izmaksas) ir tiešās attiecināmās izmaksas, ja apmācības notiek ārvalstīs un tās komersantam sniedz ar komersantu saistīts uzņēmums vai partneruzņēmums, kas ir pretrunā ar MK noteikumu Nr.365 33.2.1.2 punktā minēto informāciju.</w:t>
            </w:r>
            <w:r>
              <w:rPr>
                <w:sz w:val="22"/>
                <w:szCs w:val="22"/>
              </w:rPr>
              <w:t>”</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C2B5E0" w14:textId="3A37ED9D" w:rsidR="00531B96" w:rsidRDefault="00531B96" w:rsidP="00D0347A">
            <w:pPr>
              <w:spacing w:after="120"/>
              <w:jc w:val="center"/>
              <w:rPr>
                <w:b/>
                <w:bCs/>
                <w:sz w:val="22"/>
                <w:szCs w:val="22"/>
              </w:rPr>
            </w:pPr>
            <w:r w:rsidRPr="00531B96">
              <w:rPr>
                <w:b/>
                <w:bCs/>
                <w:sz w:val="22"/>
                <w:szCs w:val="22"/>
              </w:rPr>
              <w:lastRenderedPageBreak/>
              <w:t>Ņemts vērā</w:t>
            </w:r>
          </w:p>
          <w:p w14:paraId="0EA37289" w14:textId="3D0251FC" w:rsidR="00821A1F" w:rsidRPr="00531B96" w:rsidRDefault="00821A1F" w:rsidP="00821A1F">
            <w:pPr>
              <w:spacing w:after="120"/>
              <w:jc w:val="both"/>
              <w:rPr>
                <w:sz w:val="22"/>
                <w:szCs w:val="22"/>
              </w:rPr>
            </w:pPr>
            <w:r w:rsidRPr="00821A1F">
              <w:rPr>
                <w:sz w:val="22"/>
                <w:szCs w:val="22"/>
              </w:rPr>
              <w:t>Lūdzam skatīt precizēto noteikumu projektu un  anotācijas I sadaļas 2. punktu.</w:t>
            </w:r>
          </w:p>
          <w:p w14:paraId="06EE13D3" w14:textId="77777777" w:rsidR="00DA7D8C" w:rsidRPr="002373E2" w:rsidRDefault="00DA7D8C" w:rsidP="00D0347A">
            <w:pPr>
              <w:spacing w:after="120"/>
              <w:jc w:val="center"/>
              <w:rPr>
                <w:b/>
                <w:bCs/>
                <w:sz w:val="22"/>
                <w:szCs w:val="22"/>
              </w:rPr>
            </w:pPr>
          </w:p>
        </w:tc>
        <w:tc>
          <w:tcPr>
            <w:tcW w:w="4536" w:type="dxa"/>
            <w:tcBorders>
              <w:top w:val="single" w:sz="4" w:space="0" w:color="auto"/>
              <w:left w:val="single" w:sz="4" w:space="0" w:color="auto"/>
              <w:bottom w:val="single" w:sz="4" w:space="0" w:color="auto"/>
            </w:tcBorders>
          </w:tcPr>
          <w:p w14:paraId="6E193294" w14:textId="4A9A3629" w:rsidR="00C73499" w:rsidRDefault="00C73499" w:rsidP="005A1C31">
            <w:pPr>
              <w:spacing w:after="120"/>
              <w:jc w:val="both"/>
              <w:rPr>
                <w:sz w:val="22"/>
                <w:szCs w:val="22"/>
              </w:rPr>
            </w:pPr>
            <w:r>
              <w:rPr>
                <w:sz w:val="22"/>
                <w:szCs w:val="22"/>
              </w:rPr>
              <w:t xml:space="preserve">Noteikumu projekta </w:t>
            </w:r>
            <w:r w:rsidR="00674DA3">
              <w:rPr>
                <w:sz w:val="22"/>
                <w:szCs w:val="22"/>
              </w:rPr>
              <w:t xml:space="preserve">12. </w:t>
            </w:r>
            <w:r>
              <w:rPr>
                <w:sz w:val="22"/>
                <w:szCs w:val="22"/>
              </w:rPr>
              <w:t>punkts:</w:t>
            </w:r>
          </w:p>
          <w:p w14:paraId="0B780774" w14:textId="77777777" w:rsidR="00C73499" w:rsidRDefault="00C73499" w:rsidP="005A1C31">
            <w:pPr>
              <w:spacing w:after="120"/>
              <w:jc w:val="both"/>
              <w:rPr>
                <w:sz w:val="22"/>
                <w:szCs w:val="22"/>
              </w:rPr>
            </w:pPr>
          </w:p>
          <w:p w14:paraId="767B439D" w14:textId="51D83294" w:rsidR="00DA7D8C" w:rsidRPr="002373E2" w:rsidRDefault="00C73499" w:rsidP="005A1C31">
            <w:pPr>
              <w:spacing w:after="120"/>
              <w:jc w:val="both"/>
              <w:rPr>
                <w:sz w:val="22"/>
                <w:szCs w:val="22"/>
              </w:rPr>
            </w:pPr>
            <w:r w:rsidRPr="00C73499">
              <w:rPr>
                <w:sz w:val="22"/>
                <w:szCs w:val="22"/>
              </w:rPr>
              <w:t xml:space="preserve">"33.2.1.2. apmācībām nepieciešamās infrastruktūras izmaksas, tai skaitā tehnisko risinājumu, apmācību izveides un tiešsaistes platformu abonementu maksa, kas nodrošina attālinātas apmācības iespējas komersantu nodarbinātajiem, telpu un iekārtu noma un citas izmaksas apmācību laikā, izņemot šo noteikumu 22.1. apakšpunktā minētās atbalstāmās aktivitātes, kad apmācības notiek Latvijā, un 22.3. apakšpunktā minētās atbalstāmās aktivitātes, kur iekārtu noma un datorprogrammu, </w:t>
            </w:r>
            <w:r w:rsidRPr="00C73499">
              <w:rPr>
                <w:sz w:val="22"/>
                <w:szCs w:val="22"/>
              </w:rPr>
              <w:lastRenderedPageBreak/>
              <w:t>licenču amortizācijas izmaksas ietvertas tiešajās attiecināmajās izmaksās."</w:t>
            </w:r>
          </w:p>
        </w:tc>
      </w:tr>
      <w:tr w:rsidR="00DA7D8C" w:rsidRPr="002373E2" w14:paraId="18E529E0"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2CFA88" w14:textId="77777777" w:rsidR="00DA7D8C" w:rsidRPr="002373E2" w:rsidRDefault="00DA7D8C" w:rsidP="0039682E">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93F917" w14:textId="77777777" w:rsidR="00DA7D8C" w:rsidRPr="002373E2" w:rsidRDefault="00DA7D8C" w:rsidP="005A1C31">
            <w:pPr>
              <w:jc w:val="both"/>
              <w:rPr>
                <w:sz w:val="22"/>
                <w:szCs w:val="22"/>
              </w:rPr>
            </w:pP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7D120A" w14:textId="7278E25C" w:rsidR="00DA7D8C" w:rsidRPr="00DA7D8C" w:rsidRDefault="00DA7D8C" w:rsidP="00DA7D8C">
            <w:pPr>
              <w:jc w:val="both"/>
              <w:rPr>
                <w:b/>
                <w:sz w:val="22"/>
                <w:szCs w:val="22"/>
              </w:rPr>
            </w:pPr>
            <w:r w:rsidRPr="00DA7D8C">
              <w:rPr>
                <w:b/>
                <w:sz w:val="22"/>
                <w:szCs w:val="22"/>
              </w:rPr>
              <w:t xml:space="preserve">Finanšu ministrijas 28.04.2021. </w:t>
            </w:r>
            <w:r w:rsidR="00214F37">
              <w:rPr>
                <w:b/>
                <w:sz w:val="22"/>
                <w:szCs w:val="22"/>
              </w:rPr>
              <w:t xml:space="preserve">3. </w:t>
            </w:r>
            <w:r w:rsidRPr="00DA7D8C">
              <w:rPr>
                <w:b/>
                <w:sz w:val="22"/>
                <w:szCs w:val="22"/>
              </w:rPr>
              <w:t>priekšlikums</w:t>
            </w:r>
          </w:p>
          <w:p w14:paraId="05C7BE5A" w14:textId="0E6487A1" w:rsidR="00DA7D8C" w:rsidRPr="00214F37" w:rsidRDefault="00214F37" w:rsidP="77BBD5D8">
            <w:pPr>
              <w:jc w:val="both"/>
              <w:rPr>
                <w:sz w:val="22"/>
                <w:szCs w:val="22"/>
              </w:rPr>
            </w:pPr>
            <w:r>
              <w:rPr>
                <w:sz w:val="22"/>
                <w:szCs w:val="22"/>
              </w:rPr>
              <w:t xml:space="preserve">“3. </w:t>
            </w:r>
            <w:r w:rsidR="00DA7D8C" w:rsidRPr="77BBD5D8">
              <w:rPr>
                <w:sz w:val="22"/>
                <w:szCs w:val="22"/>
              </w:rPr>
              <w:t>Lūdzam izvērtēt nepieciešamību precizēt MK noteikumu Nr.365 34.4.punktu, ja turpmāk valsts atbalstu gala labuma guvējam piešķirs tikai Latvijas Investīciju un attīstības aģentūra</w:t>
            </w:r>
            <w:r>
              <w:rPr>
                <w:sz w:val="22"/>
                <w:szCs w:val="22"/>
              </w:rPr>
              <w:t>.”</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C0026E" w14:textId="4FEBB109" w:rsidR="00531B96" w:rsidRDefault="00531B96" w:rsidP="00D0347A">
            <w:pPr>
              <w:spacing w:after="120"/>
              <w:jc w:val="center"/>
              <w:rPr>
                <w:b/>
                <w:bCs/>
                <w:sz w:val="22"/>
                <w:szCs w:val="22"/>
              </w:rPr>
            </w:pPr>
            <w:r w:rsidRPr="00531B96">
              <w:rPr>
                <w:b/>
                <w:bCs/>
                <w:sz w:val="22"/>
                <w:szCs w:val="22"/>
              </w:rPr>
              <w:t>Ņemts vērā</w:t>
            </w:r>
          </w:p>
          <w:p w14:paraId="5ADE31C0" w14:textId="637D5FBA" w:rsidR="00DA7D8C" w:rsidRPr="009412BD" w:rsidRDefault="00842400" w:rsidP="009412BD">
            <w:pPr>
              <w:spacing w:after="120"/>
              <w:jc w:val="both"/>
              <w:rPr>
                <w:sz w:val="22"/>
                <w:szCs w:val="22"/>
              </w:rPr>
            </w:pPr>
            <w:r>
              <w:rPr>
                <w:sz w:val="22"/>
                <w:szCs w:val="22"/>
              </w:rPr>
              <w:t>Noteikumu 34.4. apakšpunkts tiek dzēsts.</w:t>
            </w:r>
            <w:r w:rsidR="009412BD">
              <w:rPr>
                <w:sz w:val="22"/>
                <w:szCs w:val="22"/>
              </w:rPr>
              <w:t xml:space="preserve"> </w:t>
            </w:r>
            <w:r w:rsidR="00DA199E">
              <w:rPr>
                <w:sz w:val="22"/>
                <w:szCs w:val="22"/>
              </w:rPr>
              <w:t xml:space="preserve">Lūdzam skatīt precizēto </w:t>
            </w:r>
            <w:r w:rsidR="00DA199E">
              <w:rPr>
                <w:sz w:val="22"/>
                <w:szCs w:val="22"/>
              </w:rPr>
              <w:lastRenderedPageBreak/>
              <w:t>n</w:t>
            </w:r>
            <w:r w:rsidR="00627A7B" w:rsidRPr="00627A7B">
              <w:rPr>
                <w:sz w:val="22"/>
                <w:szCs w:val="22"/>
              </w:rPr>
              <w:t xml:space="preserve">oteikumu </w:t>
            </w:r>
            <w:r w:rsidR="00DA199E">
              <w:rPr>
                <w:sz w:val="22"/>
                <w:szCs w:val="22"/>
              </w:rPr>
              <w:t>projektu.</w:t>
            </w:r>
          </w:p>
        </w:tc>
        <w:tc>
          <w:tcPr>
            <w:tcW w:w="4536" w:type="dxa"/>
            <w:tcBorders>
              <w:top w:val="single" w:sz="4" w:space="0" w:color="auto"/>
              <w:left w:val="single" w:sz="4" w:space="0" w:color="auto"/>
              <w:bottom w:val="single" w:sz="4" w:space="0" w:color="auto"/>
            </w:tcBorders>
          </w:tcPr>
          <w:p w14:paraId="0C8BF30D" w14:textId="77E4F72F" w:rsidR="00842400" w:rsidRDefault="00842400" w:rsidP="00842400">
            <w:pPr>
              <w:spacing w:after="120"/>
              <w:jc w:val="both"/>
              <w:rPr>
                <w:sz w:val="22"/>
                <w:szCs w:val="22"/>
              </w:rPr>
            </w:pPr>
            <w:r>
              <w:rPr>
                <w:sz w:val="22"/>
                <w:szCs w:val="22"/>
              </w:rPr>
              <w:lastRenderedPageBreak/>
              <w:t>Noteikumu projekta 14. punkts:</w:t>
            </w:r>
          </w:p>
          <w:p w14:paraId="14E8E605" w14:textId="50A6EFF2" w:rsidR="00842400" w:rsidRPr="00842400" w:rsidRDefault="00842400" w:rsidP="00842400">
            <w:pPr>
              <w:spacing w:after="120"/>
              <w:jc w:val="both"/>
              <w:rPr>
                <w:sz w:val="22"/>
                <w:szCs w:val="22"/>
              </w:rPr>
            </w:pPr>
            <w:r w:rsidRPr="00842400">
              <w:rPr>
                <w:sz w:val="22"/>
                <w:szCs w:val="22"/>
              </w:rPr>
              <w:t>"34.3. šo noteikumu 13.1., 13.2. un 13.3. apakšpunktā minēto finansējuma saņēmēju īstenoto projektu gala labuma guvējiem – no dienas, kad pieņemts finansējuma saņēmēja lēmums par atbilstību komercdarbības atbalsta normām."</w:t>
            </w:r>
          </w:p>
          <w:p w14:paraId="19276F4A" w14:textId="77777777" w:rsidR="00DA7D8C" w:rsidRPr="002373E2" w:rsidRDefault="00DA7D8C" w:rsidP="005A1C31">
            <w:pPr>
              <w:spacing w:after="120"/>
              <w:jc w:val="both"/>
              <w:rPr>
                <w:sz w:val="22"/>
                <w:szCs w:val="22"/>
              </w:rPr>
            </w:pPr>
          </w:p>
        </w:tc>
      </w:tr>
      <w:tr w:rsidR="00DA7D8C" w:rsidRPr="002373E2" w14:paraId="2D01B4D9"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68BFD8" w14:textId="77777777" w:rsidR="00DA7D8C" w:rsidRPr="002373E2" w:rsidRDefault="00DA7D8C" w:rsidP="0039682E">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947BC3" w14:textId="77777777" w:rsidR="00DA7D8C" w:rsidRPr="002373E2" w:rsidRDefault="00DA7D8C" w:rsidP="005A1C31">
            <w:pPr>
              <w:jc w:val="both"/>
              <w:rPr>
                <w:sz w:val="22"/>
                <w:szCs w:val="22"/>
              </w:rPr>
            </w:pP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29D5FD" w14:textId="6CCDC246" w:rsidR="00DA7D8C" w:rsidRPr="00DA7D8C" w:rsidRDefault="00DA7D8C" w:rsidP="00DA7D8C">
            <w:pPr>
              <w:jc w:val="both"/>
              <w:rPr>
                <w:b/>
                <w:sz w:val="22"/>
                <w:szCs w:val="22"/>
              </w:rPr>
            </w:pPr>
            <w:r w:rsidRPr="00DA7D8C">
              <w:rPr>
                <w:b/>
                <w:sz w:val="22"/>
                <w:szCs w:val="22"/>
              </w:rPr>
              <w:t xml:space="preserve">Finanšu ministrijas 28.04.2021. </w:t>
            </w:r>
            <w:r w:rsidR="00214F37">
              <w:rPr>
                <w:b/>
                <w:sz w:val="22"/>
                <w:szCs w:val="22"/>
              </w:rPr>
              <w:t xml:space="preserve">4. </w:t>
            </w:r>
            <w:r w:rsidRPr="00DA7D8C">
              <w:rPr>
                <w:b/>
                <w:sz w:val="22"/>
                <w:szCs w:val="22"/>
              </w:rPr>
              <w:t>priekšlikums</w:t>
            </w:r>
          </w:p>
          <w:p w14:paraId="195CCDD2" w14:textId="0A9BB326" w:rsidR="00DA7D8C" w:rsidRPr="00214F37" w:rsidRDefault="00214F37" w:rsidP="77BBD5D8">
            <w:pPr>
              <w:jc w:val="both"/>
              <w:rPr>
                <w:sz w:val="22"/>
                <w:szCs w:val="22"/>
              </w:rPr>
            </w:pPr>
            <w:r>
              <w:rPr>
                <w:sz w:val="22"/>
                <w:szCs w:val="22"/>
              </w:rPr>
              <w:t xml:space="preserve">“4. </w:t>
            </w:r>
            <w:r w:rsidR="00DA7D8C" w:rsidRPr="77BBD5D8">
              <w:rPr>
                <w:sz w:val="22"/>
                <w:szCs w:val="22"/>
              </w:rPr>
              <w:t>Lūdzam skaidrot, vai MK noteikumu Nr.365 33.1.1.2.9. apakšpunktā nor</w:t>
            </w:r>
            <w:r w:rsidR="004E639E">
              <w:rPr>
                <w:sz w:val="22"/>
                <w:szCs w:val="22"/>
              </w:rPr>
              <w:t>ā</w:t>
            </w:r>
            <w:r w:rsidR="00DA7D8C" w:rsidRPr="77BBD5D8">
              <w:rPr>
                <w:sz w:val="22"/>
                <w:szCs w:val="22"/>
              </w:rPr>
              <w:t>dītās datorprogrammas un licences izmaksas ir ieplānotas pilnā apmērā, vai tikai tā amortizācija uz apmācību kursa laiku. Atbilstoši lūdzam precizēt attiecīgā punkta redakciju vai arī skaidrot samērīgumu starp datorprogrammas/licences iegādi un apmācību periodu, kas varētu ilgt dažas dienas.</w:t>
            </w:r>
            <w:r>
              <w:rPr>
                <w:sz w:val="22"/>
                <w:szCs w:val="22"/>
              </w:rPr>
              <w:t>”</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1E36AC" w14:textId="30B1F8FC" w:rsidR="00531B96" w:rsidRDefault="00531B96" w:rsidP="00D0347A">
            <w:pPr>
              <w:spacing w:after="120"/>
              <w:jc w:val="center"/>
              <w:rPr>
                <w:b/>
                <w:bCs/>
                <w:sz w:val="22"/>
                <w:szCs w:val="22"/>
              </w:rPr>
            </w:pPr>
            <w:r w:rsidRPr="00531B96">
              <w:rPr>
                <w:b/>
                <w:bCs/>
                <w:sz w:val="22"/>
                <w:szCs w:val="22"/>
              </w:rPr>
              <w:t>Ņemts vērā</w:t>
            </w:r>
          </w:p>
          <w:p w14:paraId="36A9AE6B" w14:textId="086733F0" w:rsidR="00016FDB" w:rsidRPr="00016FDB" w:rsidRDefault="00016FDB" w:rsidP="00016FDB">
            <w:pPr>
              <w:spacing w:after="120"/>
              <w:jc w:val="both"/>
              <w:rPr>
                <w:sz w:val="22"/>
                <w:szCs w:val="22"/>
              </w:rPr>
            </w:pPr>
            <w:r w:rsidRPr="00016FDB">
              <w:rPr>
                <w:sz w:val="22"/>
                <w:szCs w:val="22"/>
              </w:rPr>
              <w:t>Lūdzam skatīt izziņas 15. punktu.</w:t>
            </w:r>
          </w:p>
          <w:p w14:paraId="1520B517" w14:textId="77777777" w:rsidR="009412BD" w:rsidRPr="00531B96" w:rsidRDefault="009412BD" w:rsidP="00D0347A">
            <w:pPr>
              <w:spacing w:after="120"/>
              <w:jc w:val="center"/>
              <w:rPr>
                <w:b/>
                <w:bCs/>
                <w:sz w:val="22"/>
                <w:szCs w:val="22"/>
              </w:rPr>
            </w:pPr>
          </w:p>
          <w:p w14:paraId="1850ACEF" w14:textId="77777777" w:rsidR="00DA7D8C" w:rsidRPr="002373E2" w:rsidRDefault="00DA7D8C" w:rsidP="00D0347A">
            <w:pPr>
              <w:spacing w:after="120"/>
              <w:jc w:val="center"/>
              <w:rPr>
                <w:b/>
                <w:bCs/>
                <w:sz w:val="22"/>
                <w:szCs w:val="22"/>
              </w:rPr>
            </w:pPr>
          </w:p>
        </w:tc>
        <w:tc>
          <w:tcPr>
            <w:tcW w:w="4536" w:type="dxa"/>
            <w:tcBorders>
              <w:top w:val="single" w:sz="4" w:space="0" w:color="auto"/>
              <w:left w:val="single" w:sz="4" w:space="0" w:color="auto"/>
              <w:bottom w:val="single" w:sz="4" w:space="0" w:color="auto"/>
            </w:tcBorders>
          </w:tcPr>
          <w:p w14:paraId="6A0716C7" w14:textId="77777777" w:rsidR="00DA7D8C" w:rsidRPr="002373E2" w:rsidRDefault="00DA7D8C" w:rsidP="005A1C31">
            <w:pPr>
              <w:spacing w:after="120"/>
              <w:jc w:val="both"/>
              <w:rPr>
                <w:sz w:val="22"/>
                <w:szCs w:val="22"/>
              </w:rPr>
            </w:pPr>
          </w:p>
        </w:tc>
      </w:tr>
      <w:tr w:rsidR="00DA7D8C" w:rsidRPr="002373E2" w14:paraId="19ABD06B" w14:textId="77777777" w:rsidTr="3628E25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799BA8" w14:textId="77777777" w:rsidR="00DA7D8C" w:rsidRPr="002373E2" w:rsidRDefault="00DA7D8C" w:rsidP="0039682E">
            <w:pPr>
              <w:pStyle w:val="naisc"/>
              <w:numPr>
                <w:ilvl w:val="0"/>
                <w:numId w:val="3"/>
              </w:numPr>
              <w:autoSpaceDE w:val="0"/>
              <w:autoSpaceDN w:val="0"/>
              <w:adjustRightInd w:val="0"/>
              <w:spacing w:before="0" w:after="0"/>
              <w:ind w:left="0" w:firstLine="0"/>
              <w:jc w:val="both"/>
              <w:rPr>
                <w:sz w:val="22"/>
                <w:szCs w:val="22"/>
              </w:rPr>
            </w:pPr>
          </w:p>
        </w:tc>
        <w:tc>
          <w:tcPr>
            <w:tcW w:w="4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553832" w14:textId="77777777" w:rsidR="00DA7D8C" w:rsidRPr="002373E2" w:rsidRDefault="00DA7D8C" w:rsidP="005A1C31">
            <w:pPr>
              <w:jc w:val="both"/>
              <w:rPr>
                <w:sz w:val="22"/>
                <w:szCs w:val="22"/>
              </w:rPr>
            </w:pPr>
          </w:p>
        </w:tc>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0301E8" w14:textId="778A102E" w:rsidR="00DA7D8C" w:rsidRPr="00DA7D8C" w:rsidRDefault="00DA7D8C" w:rsidP="00DA7D8C">
            <w:pPr>
              <w:jc w:val="both"/>
              <w:rPr>
                <w:b/>
                <w:sz w:val="22"/>
                <w:szCs w:val="22"/>
              </w:rPr>
            </w:pPr>
            <w:r w:rsidRPr="00DA7D8C">
              <w:rPr>
                <w:b/>
                <w:sz w:val="22"/>
                <w:szCs w:val="22"/>
              </w:rPr>
              <w:t xml:space="preserve">Finanšu ministrijas 28.04.2021. </w:t>
            </w:r>
            <w:r w:rsidR="00214F37">
              <w:rPr>
                <w:b/>
                <w:sz w:val="22"/>
                <w:szCs w:val="22"/>
              </w:rPr>
              <w:t xml:space="preserve">5. </w:t>
            </w:r>
            <w:r w:rsidRPr="00DA7D8C">
              <w:rPr>
                <w:b/>
                <w:sz w:val="22"/>
                <w:szCs w:val="22"/>
              </w:rPr>
              <w:t>priekšlikums</w:t>
            </w:r>
          </w:p>
          <w:p w14:paraId="0359D0E7" w14:textId="091A54B1" w:rsidR="00DA7D8C" w:rsidRPr="00214F37" w:rsidRDefault="00214F37" w:rsidP="77BBD5D8">
            <w:pPr>
              <w:jc w:val="both"/>
              <w:rPr>
                <w:sz w:val="22"/>
                <w:szCs w:val="22"/>
              </w:rPr>
            </w:pPr>
            <w:r>
              <w:rPr>
                <w:sz w:val="22"/>
                <w:szCs w:val="22"/>
              </w:rPr>
              <w:t xml:space="preserve">“5. </w:t>
            </w:r>
            <w:r w:rsidR="00DA7D8C" w:rsidRPr="00DA7D8C">
              <w:rPr>
                <w:sz w:val="22"/>
                <w:szCs w:val="22"/>
              </w:rPr>
              <w:t>Lūdzam skaidrot MK noteikumu Nr.365 33.1.1.3.7.punktu – attiecināmās izmaksās paredzēta dienas nauda, ja apmācības norisinās ilgāk par vienu dienu. Vai dienas nauda būs attiecināma arī gadījumos, kad apmācības notiek trīs dienas, bet, piemēram, tikai divas stundas katru dienu.</w:t>
            </w:r>
            <w:r>
              <w:rPr>
                <w:sz w:val="22"/>
                <w:szCs w:val="22"/>
              </w:rPr>
              <w:t>”</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BA4AD6" w14:textId="77777777" w:rsidR="005B4593" w:rsidRPr="000F6378" w:rsidRDefault="005B4593" w:rsidP="00D0347A">
            <w:pPr>
              <w:spacing w:after="120"/>
              <w:jc w:val="center"/>
              <w:rPr>
                <w:b/>
                <w:bCs/>
                <w:sz w:val="22"/>
                <w:szCs w:val="22"/>
              </w:rPr>
            </w:pPr>
            <w:r w:rsidRPr="000F6378">
              <w:rPr>
                <w:b/>
                <w:bCs/>
                <w:sz w:val="22"/>
                <w:szCs w:val="22"/>
              </w:rPr>
              <w:t>Ņemts vērā</w:t>
            </w:r>
          </w:p>
          <w:p w14:paraId="27AFCF6A" w14:textId="5C8B8432" w:rsidR="00DA7D8C" w:rsidRPr="000F6378" w:rsidRDefault="006C7AEA" w:rsidP="006C7AEA">
            <w:pPr>
              <w:spacing w:after="120"/>
              <w:jc w:val="both"/>
              <w:rPr>
                <w:sz w:val="22"/>
                <w:szCs w:val="22"/>
              </w:rPr>
            </w:pPr>
            <w:r w:rsidRPr="000F6378">
              <w:rPr>
                <w:sz w:val="22"/>
                <w:szCs w:val="22"/>
              </w:rPr>
              <w:t xml:space="preserve">Skaidrojam, ka </w:t>
            </w:r>
            <w:r w:rsidR="00FE14CF" w:rsidRPr="000F6378">
              <w:rPr>
                <w:sz w:val="22"/>
                <w:szCs w:val="22"/>
              </w:rPr>
              <w:t>i</w:t>
            </w:r>
            <w:r w:rsidR="002E6530" w:rsidRPr="000F6378">
              <w:rPr>
                <w:sz w:val="22"/>
                <w:szCs w:val="22"/>
              </w:rPr>
              <w:t xml:space="preserve">zmaksas ir attiecināmas par </w:t>
            </w:r>
            <w:r w:rsidR="00FE520E" w:rsidRPr="000F6378">
              <w:rPr>
                <w:sz w:val="22"/>
                <w:szCs w:val="22"/>
              </w:rPr>
              <w:t xml:space="preserve">investora nodarbināto </w:t>
            </w:r>
            <w:r w:rsidR="002E6530" w:rsidRPr="000F6378">
              <w:rPr>
                <w:sz w:val="22"/>
                <w:szCs w:val="22"/>
              </w:rPr>
              <w:t xml:space="preserve">apmācībām ārvalstīs, kas notiek ilgāk par vienu dienu. Apmācību ilgums ir atkarīgs no </w:t>
            </w:r>
            <w:r w:rsidR="008C2461" w:rsidRPr="000F6378">
              <w:rPr>
                <w:sz w:val="22"/>
                <w:szCs w:val="22"/>
              </w:rPr>
              <w:t>investora</w:t>
            </w:r>
            <w:r w:rsidR="002E6530" w:rsidRPr="000F6378">
              <w:rPr>
                <w:sz w:val="22"/>
                <w:szCs w:val="22"/>
              </w:rPr>
              <w:t xml:space="preserve"> vajadzībām un apmācību kursu specifikas, attiecīgi ar apmācībām ārvalstīs saistītie </w:t>
            </w:r>
            <w:r w:rsidR="002E6530" w:rsidRPr="000F6378">
              <w:rPr>
                <w:sz w:val="22"/>
                <w:szCs w:val="22"/>
              </w:rPr>
              <w:lastRenderedPageBreak/>
              <w:t xml:space="preserve">izdevumi. </w:t>
            </w:r>
            <w:r w:rsidR="00040541" w:rsidRPr="000F6378">
              <w:rPr>
                <w:sz w:val="22"/>
                <w:szCs w:val="22"/>
              </w:rPr>
              <w:t>Komisijas regula Nr. 1407/2013 vai Komisijas regulas Nr. 651/2014 31. panta 3. punkta b) apakšpunkt</w:t>
            </w:r>
            <w:r w:rsidR="00E92FEA" w:rsidRPr="000F6378">
              <w:rPr>
                <w:sz w:val="22"/>
                <w:szCs w:val="22"/>
              </w:rPr>
              <w:t>s ne</w:t>
            </w:r>
            <w:r w:rsidR="00D921DD" w:rsidRPr="000F6378">
              <w:rPr>
                <w:sz w:val="22"/>
                <w:szCs w:val="22"/>
              </w:rPr>
              <w:t xml:space="preserve">nosaka </w:t>
            </w:r>
            <w:r w:rsidR="00B61D6E" w:rsidRPr="000F6378">
              <w:rPr>
                <w:sz w:val="22"/>
                <w:szCs w:val="22"/>
              </w:rPr>
              <w:t xml:space="preserve">stundu </w:t>
            </w:r>
            <w:r w:rsidR="00D921DD" w:rsidRPr="000F6378">
              <w:rPr>
                <w:sz w:val="22"/>
                <w:szCs w:val="22"/>
              </w:rPr>
              <w:t>ierobežojumus</w:t>
            </w:r>
            <w:r w:rsidR="00704FA4" w:rsidRPr="000F6378">
              <w:rPr>
                <w:sz w:val="22"/>
                <w:szCs w:val="22"/>
              </w:rPr>
              <w:t xml:space="preserve"> </w:t>
            </w:r>
            <w:r w:rsidR="00D921DD" w:rsidRPr="000F6378">
              <w:rPr>
                <w:sz w:val="22"/>
                <w:szCs w:val="22"/>
              </w:rPr>
              <w:t>šādām izmaksām</w:t>
            </w:r>
            <w:r w:rsidR="00040541" w:rsidRPr="000F6378">
              <w:rPr>
                <w:sz w:val="22"/>
                <w:szCs w:val="22"/>
              </w:rPr>
              <w:t xml:space="preserve">.  </w:t>
            </w:r>
            <w:r w:rsidRPr="000F6378">
              <w:rPr>
                <w:sz w:val="22"/>
                <w:szCs w:val="22"/>
              </w:rPr>
              <w:t xml:space="preserve"> </w:t>
            </w:r>
          </w:p>
        </w:tc>
        <w:tc>
          <w:tcPr>
            <w:tcW w:w="4536" w:type="dxa"/>
            <w:tcBorders>
              <w:top w:val="single" w:sz="4" w:space="0" w:color="auto"/>
              <w:left w:val="single" w:sz="4" w:space="0" w:color="auto"/>
              <w:bottom w:val="single" w:sz="4" w:space="0" w:color="auto"/>
            </w:tcBorders>
          </w:tcPr>
          <w:p w14:paraId="1EB4D067" w14:textId="77777777" w:rsidR="00DA7D8C" w:rsidRPr="002373E2" w:rsidRDefault="00DA7D8C" w:rsidP="005A1C31">
            <w:pPr>
              <w:spacing w:after="120"/>
              <w:jc w:val="both"/>
              <w:rPr>
                <w:sz w:val="22"/>
                <w:szCs w:val="22"/>
              </w:rPr>
            </w:pPr>
          </w:p>
        </w:tc>
      </w:tr>
    </w:tbl>
    <w:p w14:paraId="724CF157" w14:textId="77777777" w:rsidR="00315563" w:rsidRPr="006F277D" w:rsidRDefault="00315563" w:rsidP="005A1C31">
      <w:pPr>
        <w:pStyle w:val="naisf"/>
        <w:spacing w:before="0" w:after="0"/>
        <w:ind w:firstLine="0"/>
        <w:rPr>
          <w:sz w:val="20"/>
          <w:szCs w:val="22"/>
        </w:rPr>
      </w:pPr>
    </w:p>
    <w:p w14:paraId="1C26B878" w14:textId="7DD53F66" w:rsidR="005A1C31" w:rsidRDefault="005A1C31" w:rsidP="005A1C31">
      <w:pPr>
        <w:pStyle w:val="naisf"/>
        <w:spacing w:before="0" w:after="0"/>
        <w:ind w:firstLine="0"/>
        <w:rPr>
          <w:sz w:val="22"/>
          <w:szCs w:val="22"/>
        </w:rPr>
      </w:pPr>
      <w:r w:rsidRPr="006F277D">
        <w:rPr>
          <w:sz w:val="22"/>
          <w:szCs w:val="22"/>
        </w:rPr>
        <w:t>Piezīme. * Dokumenta rekvizītu „paraksts” neaizpilda, ja elektroniskais dokuments ir sagatavots atbilstoši normatīvajiem aktiem par elektronisko dokumentu noformēšanu.</w:t>
      </w:r>
    </w:p>
    <w:p w14:paraId="78EE1B78" w14:textId="77777777" w:rsidR="0083307D" w:rsidRDefault="0083307D" w:rsidP="005A1C31">
      <w:pPr>
        <w:pStyle w:val="naisf"/>
        <w:spacing w:before="0" w:after="0"/>
        <w:ind w:firstLine="0"/>
        <w:rPr>
          <w:sz w:val="22"/>
          <w:szCs w:val="22"/>
        </w:rPr>
      </w:pPr>
    </w:p>
    <w:p w14:paraId="344C421F" w14:textId="77777777" w:rsidR="009D0DA9" w:rsidRPr="006F277D" w:rsidRDefault="009D0DA9" w:rsidP="005A1C31">
      <w:pPr>
        <w:pStyle w:val="naisf"/>
        <w:spacing w:before="0" w:after="0"/>
        <w:ind w:firstLine="0"/>
        <w:rPr>
          <w:sz w:val="22"/>
          <w:szCs w:val="22"/>
        </w:rPr>
      </w:pPr>
    </w:p>
    <w:p w14:paraId="6240D765" w14:textId="57DF7C42" w:rsidR="009D0DA9" w:rsidRPr="0083307D" w:rsidRDefault="009D0DA9" w:rsidP="009D0DA9">
      <w:pPr>
        <w:pStyle w:val="NormalLatvian"/>
        <w:rPr>
          <w:sz w:val="24"/>
        </w:rPr>
      </w:pPr>
      <w:r w:rsidRPr="0083307D">
        <w:rPr>
          <w:sz w:val="24"/>
        </w:rPr>
        <w:t xml:space="preserve"> Una Rogule- Lazdiņa</w:t>
      </w:r>
    </w:p>
    <w:tbl>
      <w:tblPr>
        <w:tblpPr w:leftFromText="180" w:rightFromText="180" w:vertAnchor="text" w:horzAnchor="margin" w:tblpY="170"/>
        <w:tblW w:w="0" w:type="auto"/>
        <w:tblLook w:val="00A0" w:firstRow="1" w:lastRow="0" w:firstColumn="1" w:lastColumn="0" w:noHBand="0" w:noVBand="0"/>
      </w:tblPr>
      <w:tblGrid>
        <w:gridCol w:w="8268"/>
      </w:tblGrid>
      <w:tr w:rsidR="009D0DA9" w:rsidRPr="0083307D" w14:paraId="086E8D0C" w14:textId="77777777" w:rsidTr="009D0DA9">
        <w:tc>
          <w:tcPr>
            <w:tcW w:w="8268" w:type="dxa"/>
            <w:tcBorders>
              <w:top w:val="single" w:sz="4" w:space="0" w:color="000000"/>
              <w:left w:val="nil"/>
              <w:bottom w:val="nil"/>
              <w:right w:val="nil"/>
            </w:tcBorders>
            <w:hideMark/>
          </w:tcPr>
          <w:p w14:paraId="6C941821" w14:textId="77777777" w:rsidR="009D0DA9" w:rsidRPr="0083307D" w:rsidRDefault="009D0DA9" w:rsidP="009D0DA9">
            <w:pPr>
              <w:pStyle w:val="NormalLatvian"/>
              <w:rPr>
                <w:sz w:val="24"/>
              </w:rPr>
            </w:pPr>
            <w:r w:rsidRPr="0083307D">
              <w:rPr>
                <w:sz w:val="24"/>
              </w:rPr>
              <w:t>(par projektu atbildīgās amatpersonas vārds un uzvārds)</w:t>
            </w:r>
          </w:p>
        </w:tc>
      </w:tr>
      <w:tr w:rsidR="009D0DA9" w:rsidRPr="0083307D" w14:paraId="06F432A0" w14:textId="77777777" w:rsidTr="009D0DA9">
        <w:trPr>
          <w:trHeight w:val="475"/>
        </w:trPr>
        <w:tc>
          <w:tcPr>
            <w:tcW w:w="8268" w:type="dxa"/>
            <w:tcBorders>
              <w:top w:val="nil"/>
              <w:left w:val="nil"/>
              <w:bottom w:val="single" w:sz="4" w:space="0" w:color="000000"/>
              <w:right w:val="nil"/>
            </w:tcBorders>
            <w:vAlign w:val="bottom"/>
            <w:hideMark/>
          </w:tcPr>
          <w:p w14:paraId="1425BDEF" w14:textId="77777777" w:rsidR="009D0DA9" w:rsidRPr="0083307D" w:rsidRDefault="009D0DA9" w:rsidP="009D0DA9">
            <w:pPr>
              <w:pStyle w:val="NormalLatvian"/>
              <w:rPr>
                <w:sz w:val="24"/>
              </w:rPr>
            </w:pPr>
            <w:r w:rsidRPr="0083307D">
              <w:rPr>
                <w:sz w:val="24"/>
              </w:rPr>
              <w:t>Nozaru politikas departamenta vecākā eksperte</w:t>
            </w:r>
          </w:p>
        </w:tc>
      </w:tr>
      <w:tr w:rsidR="009D0DA9" w:rsidRPr="0083307D" w14:paraId="73F85591" w14:textId="77777777" w:rsidTr="009D0DA9">
        <w:tc>
          <w:tcPr>
            <w:tcW w:w="8268" w:type="dxa"/>
            <w:tcBorders>
              <w:top w:val="single" w:sz="4" w:space="0" w:color="000000"/>
              <w:left w:val="nil"/>
              <w:bottom w:val="nil"/>
              <w:right w:val="nil"/>
            </w:tcBorders>
            <w:hideMark/>
          </w:tcPr>
          <w:p w14:paraId="6146CB76" w14:textId="77777777" w:rsidR="009D0DA9" w:rsidRPr="0083307D" w:rsidRDefault="009D0DA9" w:rsidP="009D0DA9">
            <w:pPr>
              <w:pStyle w:val="NormalLatvian"/>
              <w:rPr>
                <w:sz w:val="24"/>
              </w:rPr>
            </w:pPr>
            <w:r w:rsidRPr="0083307D">
              <w:rPr>
                <w:sz w:val="24"/>
              </w:rPr>
              <w:t>(amats)</w:t>
            </w:r>
          </w:p>
        </w:tc>
      </w:tr>
      <w:tr w:rsidR="009D0DA9" w:rsidRPr="0083307D" w14:paraId="6AA300D5" w14:textId="77777777" w:rsidTr="009D0DA9">
        <w:trPr>
          <w:trHeight w:val="471"/>
        </w:trPr>
        <w:tc>
          <w:tcPr>
            <w:tcW w:w="8268" w:type="dxa"/>
            <w:tcBorders>
              <w:top w:val="nil"/>
              <w:left w:val="nil"/>
              <w:bottom w:val="single" w:sz="4" w:space="0" w:color="000000"/>
              <w:right w:val="nil"/>
            </w:tcBorders>
            <w:vAlign w:val="bottom"/>
            <w:hideMark/>
          </w:tcPr>
          <w:p w14:paraId="18F78481" w14:textId="77777777" w:rsidR="009D0DA9" w:rsidRPr="0083307D" w:rsidRDefault="009D0DA9" w:rsidP="009D0DA9">
            <w:pPr>
              <w:pStyle w:val="NormalLatvian"/>
              <w:rPr>
                <w:sz w:val="24"/>
              </w:rPr>
            </w:pPr>
            <w:r w:rsidRPr="0083307D">
              <w:rPr>
                <w:sz w:val="24"/>
              </w:rPr>
              <w:t>tālr. 67013002, fakss: 67280882</w:t>
            </w:r>
          </w:p>
        </w:tc>
      </w:tr>
      <w:tr w:rsidR="009D0DA9" w:rsidRPr="0083307D" w14:paraId="3482B9A0" w14:textId="77777777" w:rsidTr="009D0DA9">
        <w:tc>
          <w:tcPr>
            <w:tcW w:w="8268" w:type="dxa"/>
            <w:tcBorders>
              <w:top w:val="single" w:sz="4" w:space="0" w:color="000000"/>
              <w:left w:val="nil"/>
              <w:bottom w:val="nil"/>
              <w:right w:val="nil"/>
            </w:tcBorders>
            <w:hideMark/>
          </w:tcPr>
          <w:p w14:paraId="0A63DF85" w14:textId="77777777" w:rsidR="009D0DA9" w:rsidRPr="0083307D" w:rsidRDefault="009D0DA9" w:rsidP="009D0DA9">
            <w:pPr>
              <w:pStyle w:val="NormalLatvian"/>
              <w:rPr>
                <w:sz w:val="24"/>
              </w:rPr>
            </w:pPr>
            <w:r w:rsidRPr="0083307D">
              <w:rPr>
                <w:sz w:val="24"/>
              </w:rPr>
              <w:t>(tālruņa un faksa numurs)</w:t>
            </w:r>
          </w:p>
        </w:tc>
      </w:tr>
      <w:tr w:rsidR="009D0DA9" w:rsidRPr="0083307D" w14:paraId="2EFDCCDE" w14:textId="77777777" w:rsidTr="009D0DA9">
        <w:trPr>
          <w:trHeight w:val="365"/>
        </w:trPr>
        <w:tc>
          <w:tcPr>
            <w:tcW w:w="8268" w:type="dxa"/>
            <w:tcBorders>
              <w:top w:val="nil"/>
              <w:left w:val="nil"/>
              <w:bottom w:val="single" w:sz="4" w:space="0" w:color="000000"/>
              <w:right w:val="nil"/>
            </w:tcBorders>
            <w:vAlign w:val="bottom"/>
            <w:hideMark/>
          </w:tcPr>
          <w:p w14:paraId="1617ED78" w14:textId="77777777" w:rsidR="009D0DA9" w:rsidRPr="0083307D" w:rsidRDefault="001E2570" w:rsidP="009D0DA9">
            <w:pPr>
              <w:pStyle w:val="NormalLatvian"/>
              <w:rPr>
                <w:sz w:val="24"/>
              </w:rPr>
            </w:pPr>
            <w:hyperlink r:id="rId12" w:history="1">
              <w:r w:rsidR="009D0DA9" w:rsidRPr="0083307D">
                <w:rPr>
                  <w:rStyle w:val="Hyperlink"/>
                  <w:sz w:val="24"/>
                </w:rPr>
                <w:t>Una.Rogule-Lazdina@em.gov.lv</w:t>
              </w:r>
            </w:hyperlink>
            <w:r w:rsidR="009D0DA9" w:rsidRPr="0083307D">
              <w:rPr>
                <w:sz w:val="24"/>
              </w:rPr>
              <w:t xml:space="preserve"> </w:t>
            </w:r>
          </w:p>
        </w:tc>
      </w:tr>
      <w:tr w:rsidR="009D0DA9" w:rsidRPr="0083307D" w14:paraId="48D46602" w14:textId="77777777" w:rsidTr="009D0DA9">
        <w:tc>
          <w:tcPr>
            <w:tcW w:w="8268" w:type="dxa"/>
            <w:tcBorders>
              <w:top w:val="single" w:sz="4" w:space="0" w:color="000000"/>
              <w:left w:val="nil"/>
              <w:bottom w:val="nil"/>
              <w:right w:val="nil"/>
            </w:tcBorders>
            <w:hideMark/>
          </w:tcPr>
          <w:p w14:paraId="59A923EF" w14:textId="77777777" w:rsidR="009D0DA9" w:rsidRPr="0083307D" w:rsidRDefault="009D0DA9" w:rsidP="009D0DA9">
            <w:pPr>
              <w:pStyle w:val="NormalLatvian"/>
              <w:rPr>
                <w:sz w:val="24"/>
              </w:rPr>
            </w:pPr>
            <w:r w:rsidRPr="0083307D">
              <w:rPr>
                <w:sz w:val="24"/>
              </w:rPr>
              <w:t>(e-pasta adrese)</w:t>
            </w:r>
          </w:p>
        </w:tc>
      </w:tr>
    </w:tbl>
    <w:p w14:paraId="175A40EE" w14:textId="77777777" w:rsidR="009D0DA9" w:rsidRPr="00704FA4" w:rsidRDefault="009D0DA9" w:rsidP="009D0DA9">
      <w:pPr>
        <w:pStyle w:val="NormalLatvian"/>
        <w:rPr>
          <w:sz w:val="22"/>
          <w:szCs w:val="22"/>
        </w:rPr>
      </w:pPr>
    </w:p>
    <w:p w14:paraId="7C79BB01" w14:textId="77777777" w:rsidR="009D0DA9" w:rsidRPr="00704FA4" w:rsidRDefault="009D0DA9" w:rsidP="009D0DA9">
      <w:pPr>
        <w:pStyle w:val="NormalLatvian"/>
        <w:rPr>
          <w:sz w:val="22"/>
          <w:szCs w:val="22"/>
        </w:rPr>
      </w:pPr>
    </w:p>
    <w:p w14:paraId="65081FAE" w14:textId="77777777" w:rsidR="009D0DA9" w:rsidRPr="00704FA4" w:rsidRDefault="009D0DA9" w:rsidP="009D0DA9">
      <w:pPr>
        <w:pStyle w:val="NormalLatvian"/>
        <w:rPr>
          <w:sz w:val="22"/>
          <w:szCs w:val="22"/>
        </w:rPr>
      </w:pPr>
    </w:p>
    <w:p w14:paraId="03B43C0B" w14:textId="77777777" w:rsidR="009D0DA9" w:rsidRPr="00704FA4" w:rsidRDefault="009D0DA9" w:rsidP="009D0DA9">
      <w:pPr>
        <w:pStyle w:val="NormalLatvian"/>
        <w:rPr>
          <w:sz w:val="22"/>
          <w:szCs w:val="22"/>
        </w:rPr>
      </w:pPr>
    </w:p>
    <w:p w14:paraId="34701FB4" w14:textId="77777777" w:rsidR="009D0DA9" w:rsidRPr="00704FA4" w:rsidRDefault="009D0DA9" w:rsidP="009D0DA9">
      <w:pPr>
        <w:pStyle w:val="NormalLatvian"/>
        <w:rPr>
          <w:sz w:val="22"/>
          <w:szCs w:val="22"/>
        </w:rPr>
      </w:pPr>
    </w:p>
    <w:p w14:paraId="4C7D0E96" w14:textId="77777777" w:rsidR="009D0DA9" w:rsidRPr="009D0DA9" w:rsidRDefault="009D0DA9" w:rsidP="009D0DA9">
      <w:pPr>
        <w:pStyle w:val="NormalLatvian"/>
        <w:rPr>
          <w:sz w:val="24"/>
        </w:rPr>
      </w:pPr>
    </w:p>
    <w:p w14:paraId="74A5744B" w14:textId="77777777" w:rsidR="009D0DA9" w:rsidRPr="009D0DA9" w:rsidRDefault="009D0DA9" w:rsidP="009D0DA9">
      <w:pPr>
        <w:pStyle w:val="NormalLatvian"/>
        <w:rPr>
          <w:sz w:val="24"/>
        </w:rPr>
      </w:pPr>
    </w:p>
    <w:p w14:paraId="0A6B5F5B" w14:textId="77777777" w:rsidR="009D0DA9" w:rsidRPr="009D0DA9" w:rsidRDefault="009D0DA9" w:rsidP="009D0DA9">
      <w:pPr>
        <w:pStyle w:val="NormalLatvian"/>
        <w:rPr>
          <w:sz w:val="18"/>
          <w:szCs w:val="18"/>
        </w:rPr>
      </w:pPr>
    </w:p>
    <w:p w14:paraId="5435CE25" w14:textId="77777777" w:rsidR="009D0DA9" w:rsidRPr="009D0DA9" w:rsidRDefault="009D0DA9" w:rsidP="009D0DA9">
      <w:pPr>
        <w:pStyle w:val="NormalLatvian"/>
        <w:rPr>
          <w:sz w:val="18"/>
          <w:szCs w:val="18"/>
        </w:rPr>
      </w:pPr>
    </w:p>
    <w:p w14:paraId="2F32421A" w14:textId="77777777" w:rsidR="009D0DA9" w:rsidRPr="009D0DA9" w:rsidRDefault="009D0DA9" w:rsidP="009D0DA9">
      <w:pPr>
        <w:pStyle w:val="NormalLatvian"/>
        <w:rPr>
          <w:sz w:val="18"/>
          <w:szCs w:val="18"/>
        </w:rPr>
      </w:pPr>
      <w:r w:rsidRPr="009D0DA9">
        <w:rPr>
          <w:sz w:val="18"/>
          <w:szCs w:val="18"/>
        </w:rPr>
        <w:tab/>
      </w:r>
    </w:p>
    <w:p w14:paraId="147FA438" w14:textId="77777777" w:rsidR="005A1C31" w:rsidRPr="006F277D" w:rsidRDefault="005A1C31" w:rsidP="005A1C31">
      <w:pPr>
        <w:pStyle w:val="NormalLatvian"/>
        <w:spacing w:after="0"/>
        <w:rPr>
          <w:sz w:val="18"/>
          <w:szCs w:val="18"/>
        </w:rPr>
      </w:pPr>
    </w:p>
    <w:p w14:paraId="7FCBBCE6" w14:textId="77777777" w:rsidR="005A1C31" w:rsidRPr="006F277D" w:rsidRDefault="005A1C31" w:rsidP="005A1C31">
      <w:pPr>
        <w:pStyle w:val="NormalLatvian"/>
        <w:spacing w:after="0"/>
        <w:rPr>
          <w:sz w:val="20"/>
          <w:szCs w:val="20"/>
        </w:rPr>
      </w:pPr>
    </w:p>
    <w:sectPr w:rsidR="005A1C31" w:rsidRPr="006F277D" w:rsidSect="005A1C31">
      <w:headerReference w:type="even" r:id="rId13"/>
      <w:headerReference w:type="default" r:id="rId14"/>
      <w:footerReference w:type="default" r:id="rId15"/>
      <w:footerReference w:type="first" r:id="rId16"/>
      <w:pgSz w:w="16838" w:h="11906" w:orient="landscape" w:code="9"/>
      <w:pgMar w:top="1560"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ED680" w14:textId="77777777" w:rsidR="006977CF" w:rsidRDefault="006977CF" w:rsidP="005A1C31">
      <w:r>
        <w:separator/>
      </w:r>
    </w:p>
  </w:endnote>
  <w:endnote w:type="continuationSeparator" w:id="0">
    <w:p w14:paraId="0D775C6C" w14:textId="77777777" w:rsidR="006977CF" w:rsidRDefault="006977CF" w:rsidP="005A1C31">
      <w:r>
        <w:continuationSeparator/>
      </w:r>
    </w:p>
  </w:endnote>
  <w:endnote w:type="continuationNotice" w:id="1">
    <w:p w14:paraId="132EB54B" w14:textId="77777777" w:rsidR="006977CF" w:rsidRDefault="00697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522DA" w14:textId="6EC0B2EA" w:rsidR="00477E73" w:rsidRPr="006D1446" w:rsidRDefault="00477E73" w:rsidP="005A1C31">
    <w:pPr>
      <w:pStyle w:val="Footer"/>
      <w:jc w:val="both"/>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EMIzz_</w:t>
    </w:r>
    <w:r w:rsidR="000F6378">
      <w:rPr>
        <w:noProof/>
        <w:sz w:val="20"/>
        <w:szCs w:val="20"/>
      </w:rPr>
      <w:t>0</w:t>
    </w:r>
    <w:r w:rsidR="001E2570">
      <w:rPr>
        <w:noProof/>
        <w:sz w:val="20"/>
        <w:szCs w:val="20"/>
      </w:rPr>
      <w:t>2</w:t>
    </w:r>
    <w:r>
      <w:rPr>
        <w:noProof/>
        <w:sz w:val="20"/>
        <w:szCs w:val="20"/>
      </w:rPr>
      <w:t>0</w:t>
    </w:r>
    <w:r w:rsidR="001E2570">
      <w:rPr>
        <w:noProof/>
        <w:sz w:val="20"/>
        <w:szCs w:val="20"/>
      </w:rPr>
      <w:t>7</w:t>
    </w:r>
    <w:r>
      <w:rPr>
        <w:noProof/>
        <w:sz w:val="20"/>
        <w:szCs w:val="20"/>
      </w:rPr>
      <w:t>2021_groz365</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EEFC2" w14:textId="3470CD81" w:rsidR="00477E73" w:rsidRPr="00953CDB" w:rsidRDefault="00477E73" w:rsidP="005A1C31">
    <w:pPr>
      <w:pStyle w:val="Footer"/>
      <w:jc w:val="both"/>
      <w:rPr>
        <w:noProof/>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EMIzz_</w:t>
    </w:r>
    <w:r w:rsidR="001E2570">
      <w:rPr>
        <w:noProof/>
        <w:sz w:val="20"/>
        <w:szCs w:val="20"/>
      </w:rPr>
      <w:t>02</w:t>
    </w:r>
    <w:r>
      <w:rPr>
        <w:noProof/>
        <w:sz w:val="20"/>
        <w:szCs w:val="20"/>
      </w:rPr>
      <w:t>0</w:t>
    </w:r>
    <w:r w:rsidR="001E2570">
      <w:rPr>
        <w:noProof/>
        <w:sz w:val="20"/>
        <w:szCs w:val="20"/>
      </w:rPr>
      <w:t>7</w:t>
    </w:r>
    <w:r>
      <w:rPr>
        <w:noProof/>
        <w:sz w:val="20"/>
        <w:szCs w:val="20"/>
      </w:rPr>
      <w:t>2021_groz365</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3DA69" w14:textId="77777777" w:rsidR="006977CF" w:rsidRDefault="006977CF" w:rsidP="005A1C31">
      <w:r>
        <w:separator/>
      </w:r>
    </w:p>
  </w:footnote>
  <w:footnote w:type="continuationSeparator" w:id="0">
    <w:p w14:paraId="1FB5989B" w14:textId="77777777" w:rsidR="006977CF" w:rsidRDefault="006977CF" w:rsidP="005A1C31">
      <w:r>
        <w:continuationSeparator/>
      </w:r>
    </w:p>
  </w:footnote>
  <w:footnote w:type="continuationNotice" w:id="1">
    <w:p w14:paraId="2FF52ADC" w14:textId="77777777" w:rsidR="006977CF" w:rsidRDefault="00697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A2AF7" w14:textId="77777777" w:rsidR="00477E73" w:rsidRDefault="00477E73" w:rsidP="005A1C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FF23FD" w14:textId="77777777" w:rsidR="00477E73" w:rsidRDefault="00477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373797"/>
      <w:docPartObj>
        <w:docPartGallery w:val="Page Numbers (Top of Page)"/>
        <w:docPartUnique/>
      </w:docPartObj>
    </w:sdtPr>
    <w:sdtEndPr>
      <w:rPr>
        <w:noProof/>
      </w:rPr>
    </w:sdtEndPr>
    <w:sdtContent>
      <w:p w14:paraId="5D9B8821" w14:textId="77777777" w:rsidR="00477E73" w:rsidRDefault="00477E7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2C24549" w14:textId="77777777" w:rsidR="00477E73" w:rsidRDefault="00477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2B0C"/>
    <w:multiLevelType w:val="hybridMultilevel"/>
    <w:tmpl w:val="5D70F258"/>
    <w:lvl w:ilvl="0" w:tplc="993ADB02">
      <w:start w:val="1"/>
      <w:numFmt w:val="decimal"/>
      <w:pStyle w:val="EE-paragr"/>
      <w:lvlText w:val="%1."/>
      <w:lvlJc w:val="left"/>
      <w:pPr>
        <w:tabs>
          <w:tab w:val="num" w:pos="142"/>
        </w:tabs>
        <w:ind w:left="709" w:hanging="567"/>
      </w:pPr>
      <w:rPr>
        <w:rFonts w:cs="Times New Roman"/>
      </w:rPr>
    </w:lvl>
    <w:lvl w:ilvl="1" w:tplc="04260019">
      <w:start w:val="1"/>
      <w:numFmt w:val="lowerLetter"/>
      <w:lvlText w:val="%2."/>
      <w:lvlJc w:val="left"/>
      <w:pPr>
        <w:tabs>
          <w:tab w:val="num" w:pos="1014"/>
        </w:tabs>
        <w:ind w:left="1014" w:hanging="360"/>
      </w:pPr>
      <w:rPr>
        <w:rFonts w:cs="Times New Roman"/>
      </w:rPr>
    </w:lvl>
    <w:lvl w:ilvl="2" w:tplc="0426001B">
      <w:start w:val="1"/>
      <w:numFmt w:val="decimal"/>
      <w:lvlText w:val="%3."/>
      <w:lvlJc w:val="left"/>
      <w:pPr>
        <w:tabs>
          <w:tab w:val="num" w:pos="1734"/>
        </w:tabs>
        <w:ind w:left="1734" w:hanging="360"/>
      </w:pPr>
      <w:rPr>
        <w:rFonts w:cs="Times New Roman"/>
      </w:rPr>
    </w:lvl>
    <w:lvl w:ilvl="3" w:tplc="0426000F">
      <w:start w:val="1"/>
      <w:numFmt w:val="decimal"/>
      <w:lvlText w:val="%4."/>
      <w:lvlJc w:val="left"/>
      <w:pPr>
        <w:tabs>
          <w:tab w:val="num" w:pos="2454"/>
        </w:tabs>
        <w:ind w:left="2454" w:hanging="360"/>
      </w:pPr>
      <w:rPr>
        <w:rFonts w:cs="Times New Roman"/>
      </w:rPr>
    </w:lvl>
    <w:lvl w:ilvl="4" w:tplc="04260019">
      <w:start w:val="1"/>
      <w:numFmt w:val="decimal"/>
      <w:lvlText w:val="%5."/>
      <w:lvlJc w:val="left"/>
      <w:pPr>
        <w:tabs>
          <w:tab w:val="num" w:pos="3174"/>
        </w:tabs>
        <w:ind w:left="3174" w:hanging="360"/>
      </w:pPr>
      <w:rPr>
        <w:rFonts w:cs="Times New Roman"/>
      </w:rPr>
    </w:lvl>
    <w:lvl w:ilvl="5" w:tplc="0426001B">
      <w:start w:val="1"/>
      <w:numFmt w:val="decimal"/>
      <w:lvlText w:val="%6."/>
      <w:lvlJc w:val="left"/>
      <w:pPr>
        <w:tabs>
          <w:tab w:val="num" w:pos="3894"/>
        </w:tabs>
        <w:ind w:left="3894" w:hanging="360"/>
      </w:pPr>
      <w:rPr>
        <w:rFonts w:cs="Times New Roman"/>
      </w:rPr>
    </w:lvl>
    <w:lvl w:ilvl="6" w:tplc="0426000F">
      <w:start w:val="1"/>
      <w:numFmt w:val="decimal"/>
      <w:lvlText w:val="%7."/>
      <w:lvlJc w:val="left"/>
      <w:pPr>
        <w:tabs>
          <w:tab w:val="num" w:pos="4614"/>
        </w:tabs>
        <w:ind w:left="4614" w:hanging="360"/>
      </w:pPr>
      <w:rPr>
        <w:rFonts w:cs="Times New Roman"/>
      </w:rPr>
    </w:lvl>
    <w:lvl w:ilvl="7" w:tplc="04260019">
      <w:start w:val="1"/>
      <w:numFmt w:val="decimal"/>
      <w:lvlText w:val="%8."/>
      <w:lvlJc w:val="left"/>
      <w:pPr>
        <w:tabs>
          <w:tab w:val="num" w:pos="5334"/>
        </w:tabs>
        <w:ind w:left="5334" w:hanging="360"/>
      </w:pPr>
      <w:rPr>
        <w:rFonts w:cs="Times New Roman"/>
      </w:rPr>
    </w:lvl>
    <w:lvl w:ilvl="8" w:tplc="0426001B">
      <w:start w:val="1"/>
      <w:numFmt w:val="decimal"/>
      <w:lvlText w:val="%9."/>
      <w:lvlJc w:val="left"/>
      <w:pPr>
        <w:tabs>
          <w:tab w:val="num" w:pos="6054"/>
        </w:tabs>
        <w:ind w:left="6054" w:hanging="360"/>
      </w:pPr>
      <w:rPr>
        <w:rFonts w:cs="Times New Roman"/>
      </w:rPr>
    </w:lvl>
  </w:abstractNum>
  <w:abstractNum w:abstractNumId="1" w15:restartNumberingAfterBreak="0">
    <w:nsid w:val="189E1781"/>
    <w:multiLevelType w:val="hybridMultilevel"/>
    <w:tmpl w:val="86B2E42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411358"/>
    <w:multiLevelType w:val="hybridMultilevel"/>
    <w:tmpl w:val="793A46E4"/>
    <w:lvl w:ilvl="0" w:tplc="0426000F">
      <w:start w:val="1"/>
      <w:numFmt w:val="decimal"/>
      <w:lvlText w:val="%1."/>
      <w:lvlJc w:val="left"/>
      <w:pPr>
        <w:ind w:left="502" w:hanging="360"/>
      </w:p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 w15:restartNumberingAfterBreak="0">
    <w:nsid w:val="50E932BD"/>
    <w:multiLevelType w:val="hybridMultilevel"/>
    <w:tmpl w:val="1F14B68C"/>
    <w:lvl w:ilvl="0" w:tplc="0426000F">
      <w:start w:val="17"/>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313BE3"/>
    <w:multiLevelType w:val="multilevel"/>
    <w:tmpl w:val="123CD9EA"/>
    <w:styleLink w:val="Mz"/>
    <w:lvl w:ilvl="0">
      <w:start w:val="1"/>
      <w:numFmt w:val="decimal"/>
      <w:lvlText w:val="%1."/>
      <w:lvlJc w:val="left"/>
      <w:rPr>
        <w:rFonts w:ascii="Times New Roman" w:hAnsi="Times New Roman" w:cs="Times New Roman" w:hint="default"/>
        <w:sz w:val="28"/>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31"/>
    <w:rsid w:val="00002597"/>
    <w:rsid w:val="0000268D"/>
    <w:rsid w:val="00003E28"/>
    <w:rsid w:val="00016FDB"/>
    <w:rsid w:val="00023A81"/>
    <w:rsid w:val="00030F17"/>
    <w:rsid w:val="00040541"/>
    <w:rsid w:val="000522CD"/>
    <w:rsid w:val="00055510"/>
    <w:rsid w:val="00082C9E"/>
    <w:rsid w:val="00085068"/>
    <w:rsid w:val="0008536F"/>
    <w:rsid w:val="00091310"/>
    <w:rsid w:val="00091417"/>
    <w:rsid w:val="00095456"/>
    <w:rsid w:val="000A32EB"/>
    <w:rsid w:val="000B00D7"/>
    <w:rsid w:val="000B5567"/>
    <w:rsid w:val="000C5F0C"/>
    <w:rsid w:val="000C7AA1"/>
    <w:rsid w:val="000E2432"/>
    <w:rsid w:val="000E6369"/>
    <w:rsid w:val="000E71A9"/>
    <w:rsid w:val="000F01B4"/>
    <w:rsid w:val="000F6378"/>
    <w:rsid w:val="001032BB"/>
    <w:rsid w:val="001075FD"/>
    <w:rsid w:val="00107B9A"/>
    <w:rsid w:val="001254E8"/>
    <w:rsid w:val="00140359"/>
    <w:rsid w:val="001529E0"/>
    <w:rsid w:val="00153058"/>
    <w:rsid w:val="0017226D"/>
    <w:rsid w:val="0018571E"/>
    <w:rsid w:val="001929E0"/>
    <w:rsid w:val="001945E0"/>
    <w:rsid w:val="001A02B8"/>
    <w:rsid w:val="001A3718"/>
    <w:rsid w:val="001B61D9"/>
    <w:rsid w:val="001B6395"/>
    <w:rsid w:val="001D31E4"/>
    <w:rsid w:val="001E2570"/>
    <w:rsid w:val="00204183"/>
    <w:rsid w:val="00207A9B"/>
    <w:rsid w:val="00214F37"/>
    <w:rsid w:val="00221E29"/>
    <w:rsid w:val="00232141"/>
    <w:rsid w:val="00261FAC"/>
    <w:rsid w:val="00276B1E"/>
    <w:rsid w:val="002836F0"/>
    <w:rsid w:val="0029627E"/>
    <w:rsid w:val="002C5B4A"/>
    <w:rsid w:val="002C7970"/>
    <w:rsid w:val="002E117E"/>
    <w:rsid w:val="002E6530"/>
    <w:rsid w:val="002E656F"/>
    <w:rsid w:val="00315563"/>
    <w:rsid w:val="0032388E"/>
    <w:rsid w:val="00334078"/>
    <w:rsid w:val="003365BA"/>
    <w:rsid w:val="00350A23"/>
    <w:rsid w:val="003561D0"/>
    <w:rsid w:val="00363351"/>
    <w:rsid w:val="00380BCC"/>
    <w:rsid w:val="0039682E"/>
    <w:rsid w:val="00397A55"/>
    <w:rsid w:val="003A3ED9"/>
    <w:rsid w:val="003C06EB"/>
    <w:rsid w:val="003E27AD"/>
    <w:rsid w:val="00406B04"/>
    <w:rsid w:val="00413661"/>
    <w:rsid w:val="004143A4"/>
    <w:rsid w:val="004171F1"/>
    <w:rsid w:val="004316D9"/>
    <w:rsid w:val="00431E03"/>
    <w:rsid w:val="00440359"/>
    <w:rsid w:val="004615D6"/>
    <w:rsid w:val="00477E73"/>
    <w:rsid w:val="004A5A5E"/>
    <w:rsid w:val="004A73E4"/>
    <w:rsid w:val="004B4C77"/>
    <w:rsid w:val="004D06C0"/>
    <w:rsid w:val="004D2A01"/>
    <w:rsid w:val="004E13DD"/>
    <w:rsid w:val="004E639E"/>
    <w:rsid w:val="004F5805"/>
    <w:rsid w:val="00503BA3"/>
    <w:rsid w:val="00531B96"/>
    <w:rsid w:val="00532FF2"/>
    <w:rsid w:val="00533816"/>
    <w:rsid w:val="005369FD"/>
    <w:rsid w:val="00540C6C"/>
    <w:rsid w:val="00572D3C"/>
    <w:rsid w:val="005A1C31"/>
    <w:rsid w:val="005A2791"/>
    <w:rsid w:val="005B2C6E"/>
    <w:rsid w:val="005B4593"/>
    <w:rsid w:val="005C4211"/>
    <w:rsid w:val="005F2E99"/>
    <w:rsid w:val="0060365E"/>
    <w:rsid w:val="006141FD"/>
    <w:rsid w:val="00627459"/>
    <w:rsid w:val="00627A7B"/>
    <w:rsid w:val="00630EBE"/>
    <w:rsid w:val="006323EC"/>
    <w:rsid w:val="006371DA"/>
    <w:rsid w:val="0063762B"/>
    <w:rsid w:val="00655589"/>
    <w:rsid w:val="006575AA"/>
    <w:rsid w:val="00671DBC"/>
    <w:rsid w:val="00672460"/>
    <w:rsid w:val="006726DA"/>
    <w:rsid w:val="006737F2"/>
    <w:rsid w:val="00674DA3"/>
    <w:rsid w:val="00680E06"/>
    <w:rsid w:val="00687EA2"/>
    <w:rsid w:val="00691028"/>
    <w:rsid w:val="006977CF"/>
    <w:rsid w:val="006A68D7"/>
    <w:rsid w:val="006B2CB4"/>
    <w:rsid w:val="006C0674"/>
    <w:rsid w:val="006C4B01"/>
    <w:rsid w:val="006C78AC"/>
    <w:rsid w:val="006C7AEA"/>
    <w:rsid w:val="006E3A6F"/>
    <w:rsid w:val="006F7D4E"/>
    <w:rsid w:val="00704FA4"/>
    <w:rsid w:val="00706768"/>
    <w:rsid w:val="007103A4"/>
    <w:rsid w:val="00711FFC"/>
    <w:rsid w:val="00716C5D"/>
    <w:rsid w:val="007253ED"/>
    <w:rsid w:val="00733B58"/>
    <w:rsid w:val="00744920"/>
    <w:rsid w:val="007501E8"/>
    <w:rsid w:val="007669F7"/>
    <w:rsid w:val="00776DBE"/>
    <w:rsid w:val="007778EF"/>
    <w:rsid w:val="007B0BD4"/>
    <w:rsid w:val="007B1FAE"/>
    <w:rsid w:val="007C5916"/>
    <w:rsid w:val="007D6A74"/>
    <w:rsid w:val="007D6B32"/>
    <w:rsid w:val="007E0537"/>
    <w:rsid w:val="007E6A48"/>
    <w:rsid w:val="007F19BB"/>
    <w:rsid w:val="0080543F"/>
    <w:rsid w:val="008176C2"/>
    <w:rsid w:val="00821A1F"/>
    <w:rsid w:val="00823C2A"/>
    <w:rsid w:val="0083307D"/>
    <w:rsid w:val="00840709"/>
    <w:rsid w:val="00842400"/>
    <w:rsid w:val="00845873"/>
    <w:rsid w:val="00853AEC"/>
    <w:rsid w:val="00860871"/>
    <w:rsid w:val="00860C28"/>
    <w:rsid w:val="00861DBE"/>
    <w:rsid w:val="008716EA"/>
    <w:rsid w:val="008736F1"/>
    <w:rsid w:val="00881448"/>
    <w:rsid w:val="00884F24"/>
    <w:rsid w:val="0089619F"/>
    <w:rsid w:val="008A5A98"/>
    <w:rsid w:val="008B50A0"/>
    <w:rsid w:val="008B7B3F"/>
    <w:rsid w:val="008C2461"/>
    <w:rsid w:val="008C6C62"/>
    <w:rsid w:val="008D42C3"/>
    <w:rsid w:val="008E0557"/>
    <w:rsid w:val="008E2902"/>
    <w:rsid w:val="009128EB"/>
    <w:rsid w:val="0091403E"/>
    <w:rsid w:val="009412BD"/>
    <w:rsid w:val="00943C1B"/>
    <w:rsid w:val="00950C30"/>
    <w:rsid w:val="00952918"/>
    <w:rsid w:val="00955C2A"/>
    <w:rsid w:val="00960C8C"/>
    <w:rsid w:val="009658D3"/>
    <w:rsid w:val="009741C6"/>
    <w:rsid w:val="009A54A7"/>
    <w:rsid w:val="009B2413"/>
    <w:rsid w:val="009C4DDD"/>
    <w:rsid w:val="009D0DA9"/>
    <w:rsid w:val="009E1863"/>
    <w:rsid w:val="009E2348"/>
    <w:rsid w:val="009F74C3"/>
    <w:rsid w:val="00A0026D"/>
    <w:rsid w:val="00A01D8A"/>
    <w:rsid w:val="00A17241"/>
    <w:rsid w:val="00A24611"/>
    <w:rsid w:val="00A303AE"/>
    <w:rsid w:val="00A32691"/>
    <w:rsid w:val="00A360D0"/>
    <w:rsid w:val="00A56470"/>
    <w:rsid w:val="00A703DC"/>
    <w:rsid w:val="00A8732F"/>
    <w:rsid w:val="00A9097D"/>
    <w:rsid w:val="00A9326C"/>
    <w:rsid w:val="00AA3C5E"/>
    <w:rsid w:val="00AB23C9"/>
    <w:rsid w:val="00AB7FF2"/>
    <w:rsid w:val="00AE161B"/>
    <w:rsid w:val="00AE1BC4"/>
    <w:rsid w:val="00AE2A33"/>
    <w:rsid w:val="00AE6D8A"/>
    <w:rsid w:val="00AF07E1"/>
    <w:rsid w:val="00AF0EC0"/>
    <w:rsid w:val="00B01CDB"/>
    <w:rsid w:val="00B07D75"/>
    <w:rsid w:val="00B3380A"/>
    <w:rsid w:val="00B52DBA"/>
    <w:rsid w:val="00B6066F"/>
    <w:rsid w:val="00B61D6E"/>
    <w:rsid w:val="00B67525"/>
    <w:rsid w:val="00B73165"/>
    <w:rsid w:val="00B77C0A"/>
    <w:rsid w:val="00B8445B"/>
    <w:rsid w:val="00B85163"/>
    <w:rsid w:val="00BB7109"/>
    <w:rsid w:val="00BD2AC7"/>
    <w:rsid w:val="00BE1B14"/>
    <w:rsid w:val="00BE5B05"/>
    <w:rsid w:val="00C150AB"/>
    <w:rsid w:val="00C2604E"/>
    <w:rsid w:val="00C26849"/>
    <w:rsid w:val="00C31009"/>
    <w:rsid w:val="00C53030"/>
    <w:rsid w:val="00C73499"/>
    <w:rsid w:val="00C775CD"/>
    <w:rsid w:val="00C83926"/>
    <w:rsid w:val="00C844A3"/>
    <w:rsid w:val="00C90500"/>
    <w:rsid w:val="00C96C17"/>
    <w:rsid w:val="00CC1EC4"/>
    <w:rsid w:val="00CD2844"/>
    <w:rsid w:val="00CD28A7"/>
    <w:rsid w:val="00CD5E05"/>
    <w:rsid w:val="00CE4791"/>
    <w:rsid w:val="00CE4D8F"/>
    <w:rsid w:val="00D0347A"/>
    <w:rsid w:val="00D10E68"/>
    <w:rsid w:val="00D166ED"/>
    <w:rsid w:val="00D240D5"/>
    <w:rsid w:val="00D25DDF"/>
    <w:rsid w:val="00D30D76"/>
    <w:rsid w:val="00D4110B"/>
    <w:rsid w:val="00D56AC9"/>
    <w:rsid w:val="00D63BC5"/>
    <w:rsid w:val="00D84DA6"/>
    <w:rsid w:val="00D921DD"/>
    <w:rsid w:val="00DA199E"/>
    <w:rsid w:val="00DA7D8C"/>
    <w:rsid w:val="00DB7AE9"/>
    <w:rsid w:val="00DC0920"/>
    <w:rsid w:val="00DC17B6"/>
    <w:rsid w:val="00DC538F"/>
    <w:rsid w:val="00E00C62"/>
    <w:rsid w:val="00E032B0"/>
    <w:rsid w:val="00E03F7B"/>
    <w:rsid w:val="00E16CAC"/>
    <w:rsid w:val="00E45A79"/>
    <w:rsid w:val="00E47932"/>
    <w:rsid w:val="00E56489"/>
    <w:rsid w:val="00E65706"/>
    <w:rsid w:val="00E66949"/>
    <w:rsid w:val="00E86E58"/>
    <w:rsid w:val="00E92FEA"/>
    <w:rsid w:val="00EA3168"/>
    <w:rsid w:val="00EA3740"/>
    <w:rsid w:val="00EA487E"/>
    <w:rsid w:val="00EE3A42"/>
    <w:rsid w:val="00EF0221"/>
    <w:rsid w:val="00EF45C5"/>
    <w:rsid w:val="00F017A4"/>
    <w:rsid w:val="00F17441"/>
    <w:rsid w:val="00F27E85"/>
    <w:rsid w:val="00F60A23"/>
    <w:rsid w:val="00FA324C"/>
    <w:rsid w:val="00FC316F"/>
    <w:rsid w:val="00FC48ED"/>
    <w:rsid w:val="00FE14CF"/>
    <w:rsid w:val="00FE520E"/>
    <w:rsid w:val="00FF069A"/>
    <w:rsid w:val="00FF0A39"/>
    <w:rsid w:val="01505185"/>
    <w:rsid w:val="0329F598"/>
    <w:rsid w:val="03999B0A"/>
    <w:rsid w:val="04035D2D"/>
    <w:rsid w:val="0430CAE2"/>
    <w:rsid w:val="04461319"/>
    <w:rsid w:val="05AA1382"/>
    <w:rsid w:val="06168D7E"/>
    <w:rsid w:val="0622F797"/>
    <w:rsid w:val="063941BB"/>
    <w:rsid w:val="06781D36"/>
    <w:rsid w:val="07F2E97F"/>
    <w:rsid w:val="092CEE70"/>
    <w:rsid w:val="098F7664"/>
    <w:rsid w:val="09B0346A"/>
    <w:rsid w:val="09E4B9D0"/>
    <w:rsid w:val="0B7966F4"/>
    <w:rsid w:val="0BD361F8"/>
    <w:rsid w:val="0C2EE2AC"/>
    <w:rsid w:val="0E1AFC3B"/>
    <w:rsid w:val="0EA1B44D"/>
    <w:rsid w:val="0EC57453"/>
    <w:rsid w:val="0F0A6B42"/>
    <w:rsid w:val="101E142D"/>
    <w:rsid w:val="1148BA66"/>
    <w:rsid w:val="11563697"/>
    <w:rsid w:val="11A2B56A"/>
    <w:rsid w:val="12072DAA"/>
    <w:rsid w:val="12AAC10A"/>
    <w:rsid w:val="1327975E"/>
    <w:rsid w:val="147FC3B0"/>
    <w:rsid w:val="166E9EA9"/>
    <w:rsid w:val="17049914"/>
    <w:rsid w:val="17A1E25E"/>
    <w:rsid w:val="1841EC66"/>
    <w:rsid w:val="18454D64"/>
    <w:rsid w:val="196BE821"/>
    <w:rsid w:val="1AF13998"/>
    <w:rsid w:val="1B3A87E8"/>
    <w:rsid w:val="1CB73B9F"/>
    <w:rsid w:val="1EEADAB6"/>
    <w:rsid w:val="2067C13E"/>
    <w:rsid w:val="20786598"/>
    <w:rsid w:val="2106B331"/>
    <w:rsid w:val="22C890A8"/>
    <w:rsid w:val="235CFBC2"/>
    <w:rsid w:val="241C1E62"/>
    <w:rsid w:val="24A2678C"/>
    <w:rsid w:val="25B1BABD"/>
    <w:rsid w:val="27AC7354"/>
    <w:rsid w:val="27C41600"/>
    <w:rsid w:val="28AEF421"/>
    <w:rsid w:val="28D05221"/>
    <w:rsid w:val="2911606F"/>
    <w:rsid w:val="296FE2C3"/>
    <w:rsid w:val="299B1B7C"/>
    <w:rsid w:val="2A598EC0"/>
    <w:rsid w:val="2A92F711"/>
    <w:rsid w:val="2B465382"/>
    <w:rsid w:val="2C785C93"/>
    <w:rsid w:val="2E7DF444"/>
    <w:rsid w:val="2EBFADDA"/>
    <w:rsid w:val="2F62E70A"/>
    <w:rsid w:val="2F69C9B1"/>
    <w:rsid w:val="2FA8FF24"/>
    <w:rsid w:val="2FEB1D61"/>
    <w:rsid w:val="3010E8C5"/>
    <w:rsid w:val="306DD4DE"/>
    <w:rsid w:val="312C4C65"/>
    <w:rsid w:val="31F020C7"/>
    <w:rsid w:val="3202B916"/>
    <w:rsid w:val="32178A5A"/>
    <w:rsid w:val="34BE8E84"/>
    <w:rsid w:val="35486847"/>
    <w:rsid w:val="36052F30"/>
    <w:rsid w:val="3628E25F"/>
    <w:rsid w:val="369511E4"/>
    <w:rsid w:val="3710711B"/>
    <w:rsid w:val="380142FF"/>
    <w:rsid w:val="39BE7A42"/>
    <w:rsid w:val="3A10E2BC"/>
    <w:rsid w:val="3A75282B"/>
    <w:rsid w:val="3AB469DE"/>
    <w:rsid w:val="3AC41EE3"/>
    <w:rsid w:val="3B97636B"/>
    <w:rsid w:val="3BC75645"/>
    <w:rsid w:val="3BE9B09E"/>
    <w:rsid w:val="3C2921F8"/>
    <w:rsid w:val="3D173F4B"/>
    <w:rsid w:val="3D2FF299"/>
    <w:rsid w:val="3D6D7585"/>
    <w:rsid w:val="3E52AF4D"/>
    <w:rsid w:val="3E74A482"/>
    <w:rsid w:val="3E855EC9"/>
    <w:rsid w:val="3F7BBDEE"/>
    <w:rsid w:val="3FA4D966"/>
    <w:rsid w:val="400951A6"/>
    <w:rsid w:val="403681F9"/>
    <w:rsid w:val="40634CAA"/>
    <w:rsid w:val="40DFBE57"/>
    <w:rsid w:val="40F4F53D"/>
    <w:rsid w:val="4166B6DD"/>
    <w:rsid w:val="418B01D4"/>
    <w:rsid w:val="423DD164"/>
    <w:rsid w:val="4255A6AE"/>
    <w:rsid w:val="43289454"/>
    <w:rsid w:val="43408DC1"/>
    <w:rsid w:val="4348378E"/>
    <w:rsid w:val="4443F7F4"/>
    <w:rsid w:val="4458C938"/>
    <w:rsid w:val="44FC9610"/>
    <w:rsid w:val="44FDCAFB"/>
    <w:rsid w:val="452F35E9"/>
    <w:rsid w:val="48842CED"/>
    <w:rsid w:val="49E0CD11"/>
    <w:rsid w:val="4AB20A88"/>
    <w:rsid w:val="4AF1482E"/>
    <w:rsid w:val="4B602876"/>
    <w:rsid w:val="4CB968A1"/>
    <w:rsid w:val="4CD8603F"/>
    <w:rsid w:val="4E6D0D63"/>
    <w:rsid w:val="4FCA729A"/>
    <w:rsid w:val="5034D162"/>
    <w:rsid w:val="508CE53B"/>
    <w:rsid w:val="51472651"/>
    <w:rsid w:val="51A12155"/>
    <w:rsid w:val="521D9302"/>
    <w:rsid w:val="52778E06"/>
    <w:rsid w:val="5293697D"/>
    <w:rsid w:val="52B70430"/>
    <w:rsid w:val="550FA55D"/>
    <w:rsid w:val="55144E40"/>
    <w:rsid w:val="5569A061"/>
    <w:rsid w:val="55804A33"/>
    <w:rsid w:val="56403FE3"/>
    <w:rsid w:val="56B9BC38"/>
    <w:rsid w:val="56E97C41"/>
    <w:rsid w:val="572E7330"/>
    <w:rsid w:val="581D932F"/>
    <w:rsid w:val="59713B88"/>
    <w:rsid w:val="5A97325E"/>
    <w:rsid w:val="5B9A4343"/>
    <w:rsid w:val="5CB8CFB3"/>
    <w:rsid w:val="5D201417"/>
    <w:rsid w:val="5D3E2647"/>
    <w:rsid w:val="60B0BE9B"/>
    <w:rsid w:val="62F6EF6D"/>
    <w:rsid w:val="63AD3590"/>
    <w:rsid w:val="664D7A08"/>
    <w:rsid w:val="667AAA5B"/>
    <w:rsid w:val="669FED28"/>
    <w:rsid w:val="66E4D652"/>
    <w:rsid w:val="6787EC8D"/>
    <w:rsid w:val="6795DB2A"/>
    <w:rsid w:val="67960DFB"/>
    <w:rsid w:val="6899782E"/>
    <w:rsid w:val="691F921D"/>
    <w:rsid w:val="696CBCB6"/>
    <w:rsid w:val="69D3B130"/>
    <w:rsid w:val="6AF047CF"/>
    <w:rsid w:val="6C4F1A0C"/>
    <w:rsid w:val="6CC37A22"/>
    <w:rsid w:val="6CCBFE25"/>
    <w:rsid w:val="6DBFC560"/>
    <w:rsid w:val="6E378AE1"/>
    <w:rsid w:val="6E3C552E"/>
    <w:rsid w:val="6E6C7AD9"/>
    <w:rsid w:val="6FA1B5C4"/>
    <w:rsid w:val="702A7646"/>
    <w:rsid w:val="723117DB"/>
    <w:rsid w:val="72E8033B"/>
    <w:rsid w:val="7358D79D"/>
    <w:rsid w:val="7407F967"/>
    <w:rsid w:val="759CA68B"/>
    <w:rsid w:val="76C30E77"/>
    <w:rsid w:val="775116B2"/>
    <w:rsid w:val="775EB6D3"/>
    <w:rsid w:val="77BBD5D8"/>
    <w:rsid w:val="78D3AFD5"/>
    <w:rsid w:val="792DAAD9"/>
    <w:rsid w:val="7A04178A"/>
    <w:rsid w:val="7A50C92E"/>
    <w:rsid w:val="7AAE224F"/>
    <w:rsid w:val="7AB5378F"/>
    <w:rsid w:val="7ADA843B"/>
    <w:rsid w:val="7B6392EF"/>
    <w:rsid w:val="7B98F77F"/>
    <w:rsid w:val="7C34B23E"/>
    <w:rsid w:val="7C7D7760"/>
    <w:rsid w:val="7C846845"/>
    <w:rsid w:val="7C973906"/>
    <w:rsid w:val="7C9C61B2"/>
    <w:rsid w:val="7E1B4F59"/>
    <w:rsid w:val="7EBAFCB4"/>
    <w:rsid w:val="7EEF821A"/>
    <w:rsid w:val="7F796FF8"/>
    <w:rsid w:val="7FD36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A8156"/>
  <w15:chartTrackingRefBased/>
  <w15:docId w15:val="{7D072AD4-6872-4365-9D07-93DAB505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59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5A1C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1C31"/>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rsid w:val="005A1C31"/>
    <w:rPr>
      <w:rFonts w:cs="Times New Roman"/>
      <w:color w:val="0000FF"/>
      <w:u w:val="single"/>
    </w:rPr>
  </w:style>
  <w:style w:type="character" w:styleId="FollowedHyperlink">
    <w:name w:val="FollowedHyperlink"/>
    <w:basedOn w:val="DefaultParagraphFont"/>
    <w:uiPriority w:val="99"/>
    <w:semiHidden/>
    <w:rsid w:val="005A1C31"/>
    <w:rPr>
      <w:rFonts w:cs="Times New Roman"/>
      <w:color w:val="800080"/>
      <w:u w:val="single"/>
    </w:rPr>
  </w:style>
  <w:style w:type="paragraph" w:customStyle="1" w:styleId="h1">
    <w:name w:val="h1"/>
    <w:basedOn w:val="Normal"/>
    <w:uiPriority w:val="99"/>
    <w:rsid w:val="005A1C31"/>
    <w:pPr>
      <w:spacing w:after="150"/>
    </w:pPr>
    <w:rPr>
      <w:color w:val="306060"/>
      <w:sz w:val="31"/>
      <w:szCs w:val="31"/>
    </w:rPr>
  </w:style>
  <w:style w:type="paragraph" w:customStyle="1" w:styleId="h2">
    <w:name w:val="h2"/>
    <w:basedOn w:val="Normal"/>
    <w:uiPriority w:val="99"/>
    <w:rsid w:val="005A1C31"/>
    <w:pPr>
      <w:spacing w:before="100" w:beforeAutospacing="1" w:after="100" w:afterAutospacing="1"/>
    </w:pPr>
    <w:rPr>
      <w:color w:val="306060"/>
    </w:rPr>
  </w:style>
  <w:style w:type="paragraph" w:customStyle="1" w:styleId="a">
    <w:name w:val="a"/>
    <w:basedOn w:val="Normal"/>
    <w:uiPriority w:val="99"/>
    <w:rsid w:val="005A1C31"/>
    <w:pPr>
      <w:spacing w:before="100" w:beforeAutospacing="1" w:after="100" w:afterAutospacing="1"/>
    </w:pPr>
    <w:rPr>
      <w:color w:val="306060"/>
    </w:rPr>
  </w:style>
  <w:style w:type="paragraph" w:customStyle="1" w:styleId="b">
    <w:name w:val="b"/>
    <w:basedOn w:val="Normal"/>
    <w:uiPriority w:val="99"/>
    <w:rsid w:val="005A1C31"/>
    <w:pPr>
      <w:spacing w:before="100" w:beforeAutospacing="1" w:after="100" w:afterAutospacing="1"/>
    </w:pPr>
    <w:rPr>
      <w:color w:val="306060"/>
    </w:rPr>
  </w:style>
  <w:style w:type="paragraph" w:customStyle="1" w:styleId="body">
    <w:name w:val="body"/>
    <w:basedOn w:val="Normal"/>
    <w:uiPriority w:val="99"/>
    <w:rsid w:val="005A1C31"/>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5A1C31"/>
    <w:pPr>
      <w:spacing w:before="100" w:beforeAutospacing="1" w:after="100" w:afterAutospacing="1"/>
    </w:pPr>
    <w:rPr>
      <w:color w:val="F0F8F8"/>
    </w:rPr>
  </w:style>
  <w:style w:type="paragraph" w:customStyle="1" w:styleId="radio">
    <w:name w:val="radio"/>
    <w:basedOn w:val="Normal"/>
    <w:uiPriority w:val="99"/>
    <w:rsid w:val="005A1C31"/>
    <w:pPr>
      <w:spacing w:before="100" w:beforeAutospacing="1" w:after="100" w:afterAutospacing="1"/>
    </w:pPr>
  </w:style>
  <w:style w:type="paragraph" w:customStyle="1" w:styleId="headcol">
    <w:name w:val="headcol"/>
    <w:basedOn w:val="Normal"/>
    <w:uiPriority w:val="99"/>
    <w:rsid w:val="005A1C31"/>
    <w:pPr>
      <w:spacing w:before="100" w:beforeAutospacing="1" w:after="100" w:afterAutospacing="1"/>
    </w:pPr>
    <w:rPr>
      <w:color w:val="F0F8F8"/>
    </w:rPr>
  </w:style>
  <w:style w:type="paragraph" w:customStyle="1" w:styleId="titlecol">
    <w:name w:val="titlecol"/>
    <w:basedOn w:val="Normal"/>
    <w:uiPriority w:val="99"/>
    <w:rsid w:val="005A1C31"/>
    <w:pPr>
      <w:spacing w:before="100" w:beforeAutospacing="1" w:after="100" w:afterAutospacing="1"/>
      <w:jc w:val="right"/>
    </w:pPr>
    <w:rPr>
      <w:b/>
      <w:bCs/>
    </w:rPr>
  </w:style>
  <w:style w:type="paragraph" w:customStyle="1" w:styleId="th">
    <w:name w:val="th"/>
    <w:basedOn w:val="Normal"/>
    <w:uiPriority w:val="99"/>
    <w:rsid w:val="005A1C31"/>
    <w:pPr>
      <w:spacing w:before="100" w:beforeAutospacing="1" w:after="100" w:afterAutospacing="1"/>
    </w:pPr>
    <w:rPr>
      <w:b/>
      <w:bCs/>
      <w:color w:val="333333"/>
    </w:rPr>
  </w:style>
  <w:style w:type="paragraph" w:customStyle="1" w:styleId="thr">
    <w:name w:val="thr"/>
    <w:basedOn w:val="Normal"/>
    <w:uiPriority w:val="99"/>
    <w:rsid w:val="005A1C31"/>
    <w:pPr>
      <w:spacing w:before="100" w:beforeAutospacing="1" w:after="100" w:afterAutospacing="1"/>
      <w:jc w:val="right"/>
    </w:pPr>
  </w:style>
  <w:style w:type="paragraph" w:customStyle="1" w:styleId="bdc">
    <w:name w:val="bdc"/>
    <w:basedOn w:val="Normal"/>
    <w:uiPriority w:val="99"/>
    <w:rsid w:val="005A1C31"/>
    <w:pPr>
      <w:spacing w:before="100" w:beforeAutospacing="1" w:after="100" w:afterAutospacing="1"/>
    </w:pPr>
    <w:rPr>
      <w:b/>
      <w:bCs/>
    </w:rPr>
  </w:style>
  <w:style w:type="paragraph" w:customStyle="1" w:styleId="input">
    <w:name w:val="input"/>
    <w:basedOn w:val="Normal"/>
    <w:uiPriority w:val="99"/>
    <w:rsid w:val="005A1C31"/>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5A1C31"/>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5A1C31"/>
    <w:pPr>
      <w:shd w:val="clear" w:color="auto" w:fill="F0F8F8"/>
      <w:spacing w:before="100" w:beforeAutospacing="1" w:after="100" w:afterAutospacing="1"/>
    </w:pPr>
    <w:rPr>
      <w:color w:val="333333"/>
    </w:rPr>
  </w:style>
  <w:style w:type="paragraph" w:customStyle="1" w:styleId="top1">
    <w:name w:val="top1"/>
    <w:basedOn w:val="Normal"/>
    <w:uiPriority w:val="99"/>
    <w:rsid w:val="005A1C31"/>
    <w:pPr>
      <w:spacing w:before="100" w:beforeAutospacing="1" w:after="100" w:afterAutospacing="1"/>
    </w:pPr>
  </w:style>
  <w:style w:type="paragraph" w:customStyle="1" w:styleId="logo">
    <w:name w:val="logo"/>
    <w:basedOn w:val="Normal"/>
    <w:uiPriority w:val="99"/>
    <w:rsid w:val="005A1C31"/>
    <w:pPr>
      <w:spacing w:before="100" w:beforeAutospacing="1" w:after="100" w:afterAutospacing="1"/>
    </w:pPr>
  </w:style>
  <w:style w:type="paragraph" w:customStyle="1" w:styleId="top2">
    <w:name w:val="top2"/>
    <w:basedOn w:val="Normal"/>
    <w:uiPriority w:val="99"/>
    <w:rsid w:val="005A1C31"/>
    <w:pPr>
      <w:spacing w:before="100" w:beforeAutospacing="1" w:after="100" w:afterAutospacing="1"/>
    </w:pPr>
  </w:style>
  <w:style w:type="paragraph" w:customStyle="1" w:styleId="hline">
    <w:name w:val="hline"/>
    <w:basedOn w:val="Normal"/>
    <w:uiPriority w:val="99"/>
    <w:rsid w:val="005A1C31"/>
    <w:pPr>
      <w:spacing w:before="100" w:beforeAutospacing="1" w:after="100" w:afterAutospacing="1"/>
    </w:pPr>
  </w:style>
  <w:style w:type="paragraph" w:customStyle="1" w:styleId="vline">
    <w:name w:val="vline"/>
    <w:basedOn w:val="Normal"/>
    <w:uiPriority w:val="99"/>
    <w:rsid w:val="005A1C31"/>
    <w:pPr>
      <w:spacing w:before="100" w:beforeAutospacing="1" w:after="100" w:afterAutospacing="1"/>
    </w:pPr>
  </w:style>
  <w:style w:type="paragraph" w:customStyle="1" w:styleId="zvabri">
    <w:name w:val="zvabri"/>
    <w:basedOn w:val="Normal"/>
    <w:uiPriority w:val="99"/>
    <w:rsid w:val="005A1C31"/>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5A1C3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1C31"/>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5A1C3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A1C31"/>
    <w:rPr>
      <w:rFonts w:ascii="Arial" w:eastAsia="Times New Roman" w:hAnsi="Arial" w:cs="Arial"/>
      <w:vanish/>
      <w:sz w:val="16"/>
      <w:szCs w:val="16"/>
      <w:lang w:eastAsia="lv-LV"/>
    </w:rPr>
  </w:style>
  <w:style w:type="paragraph" w:styleId="NormalWeb">
    <w:name w:val="Normal (Web)"/>
    <w:basedOn w:val="Normal"/>
    <w:uiPriority w:val="99"/>
    <w:rsid w:val="005A1C31"/>
    <w:pPr>
      <w:spacing w:before="100" w:beforeAutospacing="1" w:after="100" w:afterAutospacing="1"/>
    </w:pPr>
  </w:style>
  <w:style w:type="paragraph" w:customStyle="1" w:styleId="naisf">
    <w:name w:val="naisf"/>
    <w:basedOn w:val="Normal"/>
    <w:rsid w:val="005A1C31"/>
    <w:pPr>
      <w:spacing w:before="75" w:after="75"/>
      <w:ind w:firstLine="375"/>
      <w:jc w:val="both"/>
    </w:pPr>
  </w:style>
  <w:style w:type="paragraph" w:customStyle="1" w:styleId="nais1">
    <w:name w:val="nais1"/>
    <w:basedOn w:val="Normal"/>
    <w:uiPriority w:val="99"/>
    <w:rsid w:val="005A1C31"/>
    <w:pPr>
      <w:spacing w:before="75" w:after="75"/>
      <w:ind w:left="450" w:firstLine="375"/>
      <w:jc w:val="both"/>
    </w:pPr>
  </w:style>
  <w:style w:type="paragraph" w:customStyle="1" w:styleId="nais2">
    <w:name w:val="nais2"/>
    <w:basedOn w:val="Normal"/>
    <w:uiPriority w:val="99"/>
    <w:rsid w:val="005A1C31"/>
    <w:pPr>
      <w:spacing w:before="75" w:after="75"/>
      <w:ind w:left="900" w:firstLine="375"/>
      <w:jc w:val="both"/>
    </w:pPr>
  </w:style>
  <w:style w:type="paragraph" w:customStyle="1" w:styleId="naispant">
    <w:name w:val="naispant"/>
    <w:basedOn w:val="Normal"/>
    <w:uiPriority w:val="99"/>
    <w:rsid w:val="005A1C31"/>
    <w:pPr>
      <w:spacing w:before="75" w:after="75"/>
      <w:ind w:left="375" w:firstLine="375"/>
      <w:jc w:val="both"/>
    </w:pPr>
    <w:rPr>
      <w:b/>
      <w:bCs/>
    </w:rPr>
  </w:style>
  <w:style w:type="paragraph" w:customStyle="1" w:styleId="naisvisr">
    <w:name w:val="naisvisr"/>
    <w:basedOn w:val="Normal"/>
    <w:uiPriority w:val="99"/>
    <w:rsid w:val="005A1C31"/>
    <w:pPr>
      <w:spacing w:before="150" w:after="150"/>
      <w:jc w:val="center"/>
    </w:pPr>
    <w:rPr>
      <w:b/>
      <w:bCs/>
      <w:sz w:val="28"/>
      <w:szCs w:val="28"/>
    </w:rPr>
  </w:style>
  <w:style w:type="paragraph" w:customStyle="1" w:styleId="naisnod">
    <w:name w:val="naisnod"/>
    <w:basedOn w:val="Normal"/>
    <w:rsid w:val="005A1C31"/>
    <w:pPr>
      <w:spacing w:before="150" w:after="150"/>
      <w:jc w:val="center"/>
    </w:pPr>
    <w:rPr>
      <w:b/>
      <w:bCs/>
    </w:rPr>
  </w:style>
  <w:style w:type="paragraph" w:customStyle="1" w:styleId="naislab">
    <w:name w:val="naislab"/>
    <w:basedOn w:val="Normal"/>
    <w:rsid w:val="005A1C31"/>
    <w:pPr>
      <w:spacing w:before="75" w:after="75"/>
      <w:jc w:val="right"/>
    </w:pPr>
  </w:style>
  <w:style w:type="paragraph" w:customStyle="1" w:styleId="naiskr">
    <w:name w:val="naiskr"/>
    <w:basedOn w:val="Normal"/>
    <w:rsid w:val="005A1C31"/>
    <w:pPr>
      <w:spacing w:before="75" w:after="75"/>
    </w:pPr>
  </w:style>
  <w:style w:type="paragraph" w:customStyle="1" w:styleId="naisc">
    <w:name w:val="naisc"/>
    <w:basedOn w:val="Normal"/>
    <w:rsid w:val="005A1C31"/>
    <w:pPr>
      <w:spacing w:before="75" w:after="75"/>
      <w:jc w:val="center"/>
    </w:pPr>
  </w:style>
  <w:style w:type="character" w:styleId="Strong">
    <w:name w:val="Strong"/>
    <w:basedOn w:val="DefaultParagraphFont"/>
    <w:uiPriority w:val="22"/>
    <w:qFormat/>
    <w:rsid w:val="005A1C31"/>
    <w:rPr>
      <w:rFonts w:cs="Times New Roman"/>
      <w:b/>
      <w:bCs/>
    </w:rPr>
  </w:style>
  <w:style w:type="character" w:customStyle="1" w:styleId="th1">
    <w:name w:val="th1"/>
    <w:basedOn w:val="DefaultParagraphFont"/>
    <w:uiPriority w:val="99"/>
    <w:rsid w:val="005A1C31"/>
    <w:rPr>
      <w:rFonts w:cs="Times New Roman"/>
      <w:b/>
      <w:bCs/>
      <w:color w:val="333333"/>
    </w:rPr>
  </w:style>
  <w:style w:type="character" w:styleId="Emphasis">
    <w:name w:val="Emphasis"/>
    <w:basedOn w:val="DefaultParagraphFont"/>
    <w:uiPriority w:val="20"/>
    <w:qFormat/>
    <w:rsid w:val="005A1C31"/>
    <w:rPr>
      <w:rFonts w:cs="Times New Roman"/>
      <w:i/>
      <w:iCs/>
    </w:rPr>
  </w:style>
  <w:style w:type="paragraph" w:styleId="BalloonText">
    <w:name w:val="Balloon Text"/>
    <w:basedOn w:val="Normal"/>
    <w:link w:val="BalloonTextChar"/>
    <w:uiPriority w:val="99"/>
    <w:semiHidden/>
    <w:rsid w:val="005A1C31"/>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imes New Roman" w:hAnsi="Tahoma" w:cs="Tahoma"/>
      <w:sz w:val="16"/>
      <w:szCs w:val="16"/>
      <w:lang w:eastAsia="lv-LV"/>
    </w:rPr>
  </w:style>
  <w:style w:type="table" w:styleId="TableGrid">
    <w:name w:val="Table Grid"/>
    <w:basedOn w:val="TableNormal"/>
    <w:uiPriority w:val="99"/>
    <w:rsid w:val="005A1C3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5A1C31"/>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5A1C31"/>
    <w:rPr>
      <w:rFonts w:ascii="Times New Roman" w:eastAsia="Times New Roman" w:hAnsi="Times New Roman" w:cs="Times New Roman"/>
      <w:sz w:val="28"/>
      <w:szCs w:val="28"/>
    </w:rPr>
  </w:style>
  <w:style w:type="paragraph" w:styleId="Header">
    <w:name w:val="header"/>
    <w:basedOn w:val="Normal"/>
    <w:link w:val="HeaderChar"/>
    <w:uiPriority w:val="99"/>
    <w:rsid w:val="005A1C31"/>
    <w:pPr>
      <w:tabs>
        <w:tab w:val="center" w:pos="4153"/>
        <w:tab w:val="right" w:pos="8306"/>
      </w:tabs>
    </w:pPr>
  </w:style>
  <w:style w:type="character" w:customStyle="1" w:styleId="HeaderChar">
    <w:name w:val="Header Char"/>
    <w:basedOn w:val="DefaultParagraphFont"/>
    <w:link w:val="Header"/>
    <w:uiPriority w:val="99"/>
    <w:rsid w:val="005A1C31"/>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5A1C31"/>
    <w:rPr>
      <w:rFonts w:cs="Times New Roman"/>
    </w:rPr>
  </w:style>
  <w:style w:type="paragraph" w:styleId="Footer">
    <w:name w:val="footer"/>
    <w:basedOn w:val="Normal"/>
    <w:link w:val="FooterChar"/>
    <w:uiPriority w:val="99"/>
    <w:rsid w:val="005A1C31"/>
    <w:pPr>
      <w:tabs>
        <w:tab w:val="center" w:pos="4153"/>
        <w:tab w:val="right" w:pos="8306"/>
      </w:tabs>
    </w:pPr>
  </w:style>
  <w:style w:type="character" w:customStyle="1" w:styleId="FooterChar">
    <w:name w:val="Footer Char"/>
    <w:basedOn w:val="DefaultParagraphFont"/>
    <w:link w:val="Footer"/>
    <w:uiPriority w:val="99"/>
    <w:rsid w:val="005A1C31"/>
    <w:rPr>
      <w:rFonts w:ascii="Times New Roman" w:eastAsia="Times New Roman" w:hAnsi="Times New Roman" w:cs="Times New Roman"/>
      <w:sz w:val="24"/>
      <w:szCs w:val="24"/>
      <w:lang w:eastAsia="lv-LV"/>
    </w:rPr>
  </w:style>
  <w:style w:type="paragraph" w:styleId="ListParagraph">
    <w:name w:val="List Paragraph"/>
    <w:aliases w:val="2,Strip"/>
    <w:basedOn w:val="Normal"/>
    <w:link w:val="ListParagraphChar"/>
    <w:uiPriority w:val="34"/>
    <w:qFormat/>
    <w:rsid w:val="005A1C31"/>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semiHidden/>
    <w:unhideWhenUsed/>
    <w:rsid w:val="005A1C31"/>
    <w:rPr>
      <w:rFonts w:cs="Times New Roman"/>
      <w:sz w:val="16"/>
      <w:szCs w:val="16"/>
    </w:rPr>
  </w:style>
  <w:style w:type="paragraph" w:styleId="CommentText">
    <w:name w:val="annotation text"/>
    <w:basedOn w:val="Normal"/>
    <w:link w:val="CommentTextChar"/>
    <w:unhideWhenUsed/>
    <w:rsid w:val="005A1C31"/>
    <w:rPr>
      <w:sz w:val="20"/>
      <w:szCs w:val="20"/>
    </w:rPr>
  </w:style>
  <w:style w:type="character" w:customStyle="1" w:styleId="CommentTextChar">
    <w:name w:val="Comment Text Char"/>
    <w:basedOn w:val="DefaultParagraphFont"/>
    <w:link w:val="CommentText"/>
    <w:rsid w:val="005A1C3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A1C31"/>
    <w:rPr>
      <w:b/>
      <w:bCs/>
    </w:rPr>
  </w:style>
  <w:style w:type="character" w:customStyle="1" w:styleId="CommentSubjectChar">
    <w:name w:val="Comment Subject Char"/>
    <w:basedOn w:val="CommentTextChar"/>
    <w:link w:val="CommentSubject"/>
    <w:uiPriority w:val="99"/>
    <w:semiHidden/>
    <w:rsid w:val="005A1C31"/>
    <w:rPr>
      <w:rFonts w:ascii="Times New Roman" w:eastAsia="Times New Roman" w:hAnsi="Times New Roman" w:cs="Times New Roman"/>
      <w:b/>
      <w:bCs/>
      <w:sz w:val="20"/>
      <w:szCs w:val="20"/>
      <w:lang w:eastAsia="lv-LV"/>
    </w:rPr>
  </w:style>
  <w:style w:type="character" w:customStyle="1" w:styleId="NoteikumutekstamRakstz">
    <w:name w:val="Noteikumu tekstam Rakstz."/>
    <w:basedOn w:val="DefaultParagraphFont"/>
    <w:link w:val="Noteikumutekstam"/>
    <w:locked/>
    <w:rsid w:val="005A1C31"/>
    <w:rPr>
      <w:rFonts w:cs="Times New Roman"/>
      <w:color w:val="000000"/>
      <w:sz w:val="24"/>
      <w:szCs w:val="24"/>
      <w:lang w:eastAsia="lv-LV"/>
    </w:rPr>
  </w:style>
  <w:style w:type="paragraph" w:customStyle="1" w:styleId="Noteikumutekstam">
    <w:name w:val="Noteikumu tekstam"/>
    <w:basedOn w:val="Normal"/>
    <w:link w:val="NoteikumutekstamRakstz"/>
    <w:autoRedefine/>
    <w:rsid w:val="005A1C31"/>
    <w:pPr>
      <w:tabs>
        <w:tab w:val="num" w:pos="567"/>
      </w:tabs>
      <w:spacing w:after="120"/>
      <w:jc w:val="both"/>
    </w:pPr>
    <w:rPr>
      <w:rFonts w:asciiTheme="minorHAnsi" w:eastAsiaTheme="minorHAnsi" w:hAnsiTheme="minorHAnsi"/>
      <w:color w:val="000000"/>
    </w:rPr>
  </w:style>
  <w:style w:type="paragraph" w:styleId="Caption">
    <w:name w:val="caption"/>
    <w:basedOn w:val="Normal"/>
    <w:next w:val="Normal"/>
    <w:uiPriority w:val="35"/>
    <w:qFormat/>
    <w:rsid w:val="005A1C31"/>
    <w:rPr>
      <w:b/>
      <w:bCs/>
      <w:sz w:val="20"/>
      <w:szCs w:val="20"/>
    </w:rPr>
  </w:style>
  <w:style w:type="paragraph" w:customStyle="1" w:styleId="Noteikumuapakpunkti">
    <w:name w:val="Noteikumu apakšpunkti"/>
    <w:basedOn w:val="Noteikumutekstam"/>
    <w:uiPriority w:val="99"/>
    <w:rsid w:val="005A1C31"/>
    <w:pPr>
      <w:tabs>
        <w:tab w:val="clear" w:pos="567"/>
        <w:tab w:val="num" w:pos="1760"/>
      </w:tabs>
      <w:ind w:left="1080"/>
    </w:pPr>
    <w:rPr>
      <w:color w:val="auto"/>
      <w:sz w:val="28"/>
      <w:szCs w:val="28"/>
    </w:rPr>
  </w:style>
  <w:style w:type="paragraph" w:customStyle="1" w:styleId="Noteikumuapakpunkti2">
    <w:name w:val="Noteikumu apakšpunkti_2"/>
    <w:basedOn w:val="Noteikumuapakpunkti"/>
    <w:uiPriority w:val="99"/>
    <w:rsid w:val="005A1C31"/>
    <w:pPr>
      <w:numPr>
        <w:ilvl w:val="2"/>
      </w:numPr>
      <w:tabs>
        <w:tab w:val="num" w:pos="1760"/>
      </w:tabs>
      <w:ind w:left="1080"/>
    </w:pPr>
  </w:style>
  <w:style w:type="paragraph" w:customStyle="1" w:styleId="Noteikumuapakpunkt3">
    <w:name w:val="Noteikumu apakšpunkt_3"/>
    <w:basedOn w:val="Noteikumuapakpunkti2"/>
    <w:uiPriority w:val="99"/>
    <w:rsid w:val="005A1C31"/>
    <w:pPr>
      <w:numPr>
        <w:ilvl w:val="3"/>
      </w:numPr>
      <w:tabs>
        <w:tab w:val="num" w:pos="1760"/>
      </w:tabs>
      <w:ind w:left="1080"/>
    </w:pPr>
  </w:style>
  <w:style w:type="paragraph" w:styleId="Revision">
    <w:name w:val="Revision"/>
    <w:hidden/>
    <w:uiPriority w:val="99"/>
    <w:semiHidden/>
    <w:rsid w:val="005A1C31"/>
    <w:pPr>
      <w:spacing w:after="0" w:line="240" w:lineRule="auto"/>
    </w:pPr>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5A1C31"/>
    <w:rPr>
      <w:rFonts w:cs="Times New Roman"/>
    </w:rPr>
  </w:style>
  <w:style w:type="paragraph" w:customStyle="1" w:styleId="Default">
    <w:name w:val="Default"/>
    <w:rsid w:val="005A1C3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lockText">
    <w:name w:val="Block Text"/>
    <w:basedOn w:val="Normal"/>
    <w:uiPriority w:val="99"/>
    <w:unhideWhenUsed/>
    <w:rsid w:val="005A1C31"/>
    <w:pPr>
      <w:spacing w:after="120"/>
      <w:ind w:left="1440" w:right="1440"/>
    </w:pPr>
    <w:rPr>
      <w:lang w:eastAsia="en-US"/>
    </w:rPr>
  </w:style>
  <w:style w:type="paragraph" w:customStyle="1" w:styleId="EE-paragr">
    <w:name w:val="EE-paragr"/>
    <w:basedOn w:val="Normal"/>
    <w:rsid w:val="005A1C31"/>
    <w:pPr>
      <w:numPr>
        <w:numId w:val="2"/>
      </w:numPr>
    </w:pPr>
    <w:rPr>
      <w:lang w:eastAsia="en-US"/>
    </w:rPr>
  </w:style>
  <w:style w:type="numbering" w:customStyle="1" w:styleId="Mz">
    <w:name w:val="Mz"/>
    <w:rsid w:val="005A1C31"/>
    <w:pPr>
      <w:numPr>
        <w:numId w:val="1"/>
      </w:numPr>
    </w:pPr>
  </w:style>
  <w:style w:type="paragraph" w:styleId="E-mailSignature">
    <w:name w:val="E-mail Signature"/>
    <w:basedOn w:val="Normal"/>
    <w:link w:val="E-mailSignatureChar"/>
    <w:uiPriority w:val="99"/>
    <w:semiHidden/>
    <w:unhideWhenUsed/>
    <w:rsid w:val="005A1C31"/>
    <w:rPr>
      <w:rFonts w:eastAsiaTheme="minorHAnsi"/>
    </w:rPr>
  </w:style>
  <w:style w:type="character" w:customStyle="1" w:styleId="E-mailSignatureChar">
    <w:name w:val="E-mail Signature Char"/>
    <w:basedOn w:val="DefaultParagraphFont"/>
    <w:link w:val="E-mailSignature"/>
    <w:uiPriority w:val="99"/>
    <w:semiHidden/>
    <w:rsid w:val="005A1C31"/>
    <w:rPr>
      <w:rFonts w:ascii="Times New Roman" w:hAnsi="Times New Roman" w:cs="Times New Roman"/>
      <w:sz w:val="24"/>
      <w:szCs w:val="24"/>
      <w:lang w:eastAsia="lv-LV"/>
    </w:rPr>
  </w:style>
  <w:style w:type="paragraph" w:styleId="BodyText2">
    <w:name w:val="Body Text 2"/>
    <w:basedOn w:val="Normal"/>
    <w:link w:val="BodyText2Char"/>
    <w:uiPriority w:val="99"/>
    <w:unhideWhenUsed/>
    <w:rsid w:val="005A1C31"/>
    <w:pPr>
      <w:spacing w:after="120" w:line="480" w:lineRule="auto"/>
    </w:pPr>
  </w:style>
  <w:style w:type="character" w:customStyle="1" w:styleId="BodyText2Char">
    <w:name w:val="Body Text 2 Char"/>
    <w:basedOn w:val="DefaultParagraphFont"/>
    <w:link w:val="BodyText2"/>
    <w:uiPriority w:val="99"/>
    <w:rsid w:val="005A1C31"/>
    <w:rPr>
      <w:rFonts w:ascii="Times New Roman" w:eastAsia="Times New Roman" w:hAnsi="Times New Roman" w:cs="Times New Roman"/>
      <w:sz w:val="24"/>
      <w:szCs w:val="24"/>
      <w:lang w:eastAsia="lv-LV"/>
    </w:rPr>
  </w:style>
  <w:style w:type="character" w:customStyle="1" w:styleId="st1">
    <w:name w:val="st1"/>
    <w:basedOn w:val="DefaultParagraphFont"/>
    <w:rsid w:val="005A1C31"/>
  </w:style>
  <w:style w:type="paragraph" w:customStyle="1" w:styleId="RakstzCharCharRakstzCharCharRakstz2">
    <w:name w:val="Rakstz. Char Char Rakstz. Char Char Rakstz.2"/>
    <w:basedOn w:val="Normal"/>
    <w:rsid w:val="005A1C31"/>
    <w:pPr>
      <w:spacing w:after="160" w:line="240" w:lineRule="exact"/>
    </w:pPr>
    <w:rPr>
      <w:rFonts w:ascii="Tahoma" w:hAnsi="Tahoma" w:cs="Tahoma"/>
      <w:sz w:val="20"/>
      <w:szCs w:val="20"/>
      <w:lang w:val="en-US" w:eastAsia="en-US"/>
    </w:rPr>
  </w:style>
  <w:style w:type="paragraph" w:customStyle="1" w:styleId="PAMATTEKSTS">
    <w:name w:val="PAMATTEKSTS"/>
    <w:basedOn w:val="Normal"/>
    <w:rsid w:val="005A1C31"/>
    <w:pPr>
      <w:overflowPunct w:val="0"/>
      <w:autoSpaceDE w:val="0"/>
      <w:autoSpaceDN w:val="0"/>
      <w:adjustRightInd w:val="0"/>
      <w:spacing w:line="360" w:lineRule="auto"/>
      <w:ind w:firstLine="284"/>
      <w:textAlignment w:val="baseline"/>
    </w:pPr>
    <w:rPr>
      <w:szCs w:val="20"/>
      <w:lang w:val="en-US" w:eastAsia="en-US"/>
    </w:rPr>
  </w:style>
  <w:style w:type="paragraph" w:styleId="Date">
    <w:name w:val="Date"/>
    <w:basedOn w:val="Normal"/>
    <w:next w:val="Normal"/>
    <w:link w:val="DateChar"/>
    <w:uiPriority w:val="99"/>
    <w:semiHidden/>
    <w:unhideWhenUsed/>
    <w:rsid w:val="005A1C31"/>
  </w:style>
  <w:style w:type="character" w:customStyle="1" w:styleId="DateChar">
    <w:name w:val="Date Char"/>
    <w:basedOn w:val="DefaultParagraphFont"/>
    <w:link w:val="Date"/>
    <w:uiPriority w:val="99"/>
    <w:semiHidden/>
    <w:rsid w:val="005A1C31"/>
    <w:rPr>
      <w:rFonts w:ascii="Times New Roman" w:eastAsia="Times New Roman" w:hAnsi="Times New Roman" w:cs="Times New Roman"/>
      <w:sz w:val="24"/>
      <w:szCs w:val="24"/>
      <w:lang w:eastAsia="lv-LV"/>
    </w:rPr>
  </w:style>
  <w:style w:type="paragraph" w:styleId="EnvelopeReturn">
    <w:name w:val="envelope return"/>
    <w:basedOn w:val="Normal"/>
    <w:uiPriority w:val="99"/>
    <w:rsid w:val="005A1C31"/>
    <w:pPr>
      <w:keepLines/>
      <w:widowControl w:val="0"/>
      <w:spacing w:before="600"/>
    </w:pPr>
    <w:rPr>
      <w:sz w:val="26"/>
      <w:szCs w:val="20"/>
      <w:lang w:val="en-AU" w:eastAsia="en-US"/>
    </w:rPr>
  </w:style>
  <w:style w:type="paragraph" w:customStyle="1" w:styleId="tv2131">
    <w:name w:val="tv2131"/>
    <w:basedOn w:val="Normal"/>
    <w:rsid w:val="005A1C31"/>
    <w:pPr>
      <w:spacing w:before="240" w:line="360" w:lineRule="auto"/>
      <w:ind w:firstLine="300"/>
      <w:jc w:val="both"/>
    </w:pPr>
    <w:rPr>
      <w:rFonts w:ascii="Verdana" w:hAnsi="Verdana"/>
      <w:sz w:val="18"/>
      <w:szCs w:val="18"/>
      <w:lang w:eastAsia="zh-TW"/>
    </w:rPr>
  </w:style>
  <w:style w:type="character" w:customStyle="1" w:styleId="ListParagraphChar">
    <w:name w:val="List Paragraph Char"/>
    <w:aliases w:val="2 Char,Strip Char"/>
    <w:link w:val="ListParagraph"/>
    <w:uiPriority w:val="34"/>
    <w:locked/>
    <w:rsid w:val="005A1C31"/>
    <w:rPr>
      <w:rFonts w:ascii="Calibri" w:eastAsia="Times New Roman" w:hAnsi="Calibri" w:cs="Times New Roman"/>
    </w:rPr>
  </w:style>
  <w:style w:type="paragraph" w:customStyle="1" w:styleId="tv2132">
    <w:name w:val="tv2132"/>
    <w:basedOn w:val="Normal"/>
    <w:rsid w:val="005A1C31"/>
    <w:pPr>
      <w:spacing w:line="360" w:lineRule="auto"/>
      <w:ind w:firstLine="300"/>
    </w:pPr>
    <w:rPr>
      <w:color w:val="414142"/>
      <w:sz w:val="20"/>
      <w:szCs w:val="20"/>
    </w:rPr>
  </w:style>
  <w:style w:type="paragraph" w:customStyle="1" w:styleId="tv213">
    <w:name w:val="tv213"/>
    <w:basedOn w:val="Normal"/>
    <w:rsid w:val="005A1C31"/>
    <w:pPr>
      <w:spacing w:before="100" w:beforeAutospacing="1" w:after="100" w:afterAutospacing="1"/>
    </w:pPr>
  </w:style>
  <w:style w:type="character" w:customStyle="1" w:styleId="apple-converted-space">
    <w:name w:val="apple-converted-space"/>
    <w:basedOn w:val="DefaultParagraphFont"/>
    <w:rsid w:val="005A1C31"/>
  </w:style>
  <w:style w:type="paragraph" w:customStyle="1" w:styleId="NormalLatvian">
    <w:name w:val="Normal – Latvian"/>
    <w:basedOn w:val="Normal"/>
    <w:rsid w:val="005A1C31"/>
    <w:pPr>
      <w:tabs>
        <w:tab w:val="left" w:pos="1829"/>
      </w:tabs>
      <w:spacing w:after="120"/>
      <w:jc w:val="both"/>
    </w:pPr>
    <w:rPr>
      <w:bCs/>
      <w:sz w:val="28"/>
      <w:lang w:eastAsia="en-US"/>
    </w:rPr>
  </w:style>
  <w:style w:type="paragraph" w:styleId="FootnoteText">
    <w:name w:val="footnote text"/>
    <w:basedOn w:val="Normal"/>
    <w:link w:val="FootnoteTextChar"/>
    <w:uiPriority w:val="99"/>
    <w:semiHidden/>
    <w:unhideWhenUsed/>
    <w:rsid w:val="005A1C31"/>
    <w:pPr>
      <w:jc w:val="both"/>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5A1C31"/>
    <w:rPr>
      <w:rFonts w:ascii="Times New Roman" w:hAnsi="Times New Roman" w:cs="Times New Roman"/>
      <w:sz w:val="20"/>
      <w:szCs w:val="20"/>
      <w:lang w:val="en-US"/>
    </w:rPr>
  </w:style>
  <w:style w:type="character" w:styleId="FootnoteReference">
    <w:name w:val="footnote reference"/>
    <w:basedOn w:val="DefaultParagraphFont"/>
    <w:semiHidden/>
    <w:unhideWhenUsed/>
    <w:rsid w:val="005A1C31"/>
    <w:rPr>
      <w:vertAlign w:val="superscript"/>
    </w:rPr>
  </w:style>
  <w:style w:type="character" w:styleId="UnresolvedMention">
    <w:name w:val="Unresolved Mention"/>
    <w:basedOn w:val="DefaultParagraphFont"/>
    <w:uiPriority w:val="99"/>
    <w:semiHidden/>
    <w:unhideWhenUsed/>
    <w:rsid w:val="005A1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8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a.Rogule-Lazdina@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B3A5-DA9F-4E2A-A12F-F6C40A7D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28</Pages>
  <Words>30401</Words>
  <Characters>17330</Characters>
  <Application>Microsoft Office Word</Application>
  <DocSecurity>0</DocSecurity>
  <Lines>144</Lines>
  <Paragraphs>95</Paragraphs>
  <ScaleCrop>false</ScaleCrop>
  <Company/>
  <LinksUpToDate>false</LinksUpToDate>
  <CharactersWithSpaces>47636</CharactersWithSpaces>
  <SharedDoc>false</SharedDoc>
  <HLinks>
    <vt:vector size="30" baseType="variant">
      <vt:variant>
        <vt:i4>1638497</vt:i4>
      </vt:variant>
      <vt:variant>
        <vt:i4>12</vt:i4>
      </vt:variant>
      <vt:variant>
        <vt:i4>0</vt:i4>
      </vt:variant>
      <vt:variant>
        <vt:i4>5</vt:i4>
      </vt:variant>
      <vt:variant>
        <vt:lpwstr>mailto:Una.Rogule-Lazdina@em.gov.lv</vt:lpwstr>
      </vt:variant>
      <vt:variant>
        <vt:lpwstr/>
      </vt:variant>
      <vt:variant>
        <vt:i4>6881343</vt:i4>
      </vt:variant>
      <vt:variant>
        <vt:i4>9</vt:i4>
      </vt:variant>
      <vt:variant>
        <vt:i4>0</vt:i4>
      </vt:variant>
      <vt:variant>
        <vt:i4>5</vt:i4>
      </vt:variant>
      <vt:variant>
        <vt:lpwstr>http://eur-lex.europa.eu/eli/reg/2014/651/oj/?locale=LV</vt:lpwstr>
      </vt:variant>
      <vt:variant>
        <vt:lpwstr/>
      </vt:variant>
      <vt:variant>
        <vt:i4>4849757</vt:i4>
      </vt:variant>
      <vt:variant>
        <vt:i4>6</vt:i4>
      </vt:variant>
      <vt:variant>
        <vt:i4>0</vt:i4>
      </vt:variant>
      <vt:variant>
        <vt:i4>5</vt:i4>
      </vt:variant>
      <vt:variant>
        <vt:lpwstr>http://eur-lex.europa.eu/eli/reg/2013/1407/oj/?locale=LV</vt:lpwstr>
      </vt:variant>
      <vt:variant>
        <vt:lpwstr/>
      </vt:variant>
      <vt:variant>
        <vt:i4>6881343</vt:i4>
      </vt:variant>
      <vt:variant>
        <vt:i4>3</vt:i4>
      </vt:variant>
      <vt:variant>
        <vt:i4>0</vt:i4>
      </vt:variant>
      <vt:variant>
        <vt:i4>5</vt:i4>
      </vt:variant>
      <vt:variant>
        <vt:lpwstr>http://eur-lex.europa.eu/eli/reg/2014/651/oj/?locale=LV</vt:lpwstr>
      </vt:variant>
      <vt:variant>
        <vt:lpwstr/>
      </vt:variant>
      <vt:variant>
        <vt:i4>4849757</vt:i4>
      </vt:variant>
      <vt:variant>
        <vt:i4>0</vt:i4>
      </vt:variant>
      <vt:variant>
        <vt:i4>0</vt:i4>
      </vt:variant>
      <vt:variant>
        <vt:i4>5</vt:i4>
      </vt:variant>
      <vt:variant>
        <vt:lpwstr>http://eur-lex.europa.eu/eli/reg/2013/1407/oj/?locale=LV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Ņesterovs</dc:creator>
  <cp:keywords/>
  <dc:description/>
  <cp:lastModifiedBy>Una Rogule-Lazdiņa</cp:lastModifiedBy>
  <cp:revision>251</cp:revision>
  <dcterms:created xsi:type="dcterms:W3CDTF">2021-05-06T06:44:00Z</dcterms:created>
  <dcterms:modified xsi:type="dcterms:W3CDTF">2021-07-01T15:24:00Z</dcterms:modified>
</cp:coreProperties>
</file>