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2C2" w:rsidRDefault="00CE02C2" w:rsidP="00855848">
      <w:pPr>
        <w:rPr>
          <w:sz w:val="28"/>
          <w:szCs w:val="28"/>
        </w:rPr>
      </w:pPr>
    </w:p>
    <w:p w:rsidR="00CE02C2" w:rsidRPr="003D5429" w:rsidRDefault="00CE02C2" w:rsidP="00CE02C2">
      <w:pPr>
        <w:jc w:val="center"/>
        <w:rPr>
          <w:sz w:val="28"/>
          <w:szCs w:val="28"/>
        </w:rPr>
      </w:pPr>
      <w:r w:rsidRPr="003D5429">
        <w:rPr>
          <w:sz w:val="28"/>
          <w:szCs w:val="28"/>
        </w:rPr>
        <w:t>Izziņa par atzinumos sniegtajiem iebildumiem par</w:t>
      </w:r>
    </w:p>
    <w:tbl>
      <w:tblPr>
        <w:tblW w:w="0" w:type="auto"/>
        <w:jc w:val="center"/>
        <w:tblLook w:val="00A0" w:firstRow="1" w:lastRow="0" w:firstColumn="1" w:lastColumn="0" w:noHBand="0" w:noVBand="0"/>
      </w:tblPr>
      <w:tblGrid>
        <w:gridCol w:w="10188"/>
      </w:tblGrid>
      <w:tr w:rsidR="00CE02C2" w:rsidRPr="003D5429" w:rsidTr="00320917">
        <w:trPr>
          <w:jc w:val="center"/>
        </w:trPr>
        <w:tc>
          <w:tcPr>
            <w:tcW w:w="10188" w:type="dxa"/>
            <w:tcBorders>
              <w:bottom w:val="single" w:sz="6" w:space="0" w:color="000000"/>
            </w:tcBorders>
          </w:tcPr>
          <w:p w:rsidR="00CE02C2" w:rsidRDefault="00CE02C2" w:rsidP="00320917">
            <w:pPr>
              <w:pStyle w:val="Body1"/>
              <w:spacing w:after="0" w:line="240" w:lineRule="auto"/>
              <w:jc w:val="center"/>
              <w:rPr>
                <w:rFonts w:ascii="Times New Roman" w:hAnsi="Times New Roman"/>
                <w:b/>
                <w:color w:val="auto"/>
                <w:sz w:val="28"/>
                <w:szCs w:val="28"/>
              </w:rPr>
            </w:pPr>
          </w:p>
          <w:p w:rsidR="00CE02C2" w:rsidRDefault="00CE02C2" w:rsidP="00320917">
            <w:pPr>
              <w:pStyle w:val="Body1"/>
              <w:spacing w:after="0" w:line="240" w:lineRule="auto"/>
              <w:jc w:val="center"/>
              <w:rPr>
                <w:rFonts w:ascii="Times New Roman" w:hAnsi="Times New Roman"/>
                <w:b/>
                <w:color w:val="auto"/>
                <w:sz w:val="28"/>
                <w:szCs w:val="28"/>
              </w:rPr>
            </w:pPr>
            <w:bookmarkStart w:id="0" w:name="_Hlk22909231"/>
            <w:r>
              <w:rPr>
                <w:rFonts w:ascii="Times New Roman" w:hAnsi="Times New Roman"/>
                <w:b/>
                <w:color w:val="auto"/>
                <w:sz w:val="28"/>
                <w:szCs w:val="28"/>
              </w:rPr>
              <w:t>Ministru kabineta noteikumu projektu</w:t>
            </w:r>
          </w:p>
          <w:bookmarkEnd w:id="0"/>
          <w:p w:rsidR="00D11A4E" w:rsidRPr="00D11A4E" w:rsidRDefault="00CE02C2" w:rsidP="00D11A4E">
            <w:pPr>
              <w:jc w:val="center"/>
              <w:rPr>
                <w:b/>
                <w:sz w:val="28"/>
                <w:szCs w:val="28"/>
              </w:rPr>
            </w:pPr>
            <w:r>
              <w:rPr>
                <w:b/>
                <w:sz w:val="28"/>
                <w:szCs w:val="28"/>
              </w:rPr>
              <w:t>“</w:t>
            </w:r>
            <w:r w:rsidR="00D11A4E" w:rsidRPr="00D11A4E">
              <w:rPr>
                <w:b/>
                <w:sz w:val="28"/>
                <w:szCs w:val="28"/>
              </w:rPr>
              <w:t>Grozījumi Ministru kabineta 2001. gada 28. augusta noteikumos</w:t>
            </w:r>
          </w:p>
          <w:p w:rsidR="00CE02C2" w:rsidRPr="002F0C6D" w:rsidRDefault="00D11A4E" w:rsidP="00D11A4E">
            <w:pPr>
              <w:jc w:val="center"/>
              <w:rPr>
                <w:b/>
                <w:bCs/>
                <w:sz w:val="28"/>
                <w:szCs w:val="28"/>
              </w:rPr>
            </w:pPr>
            <w:r w:rsidRPr="00D11A4E">
              <w:rPr>
                <w:b/>
                <w:sz w:val="28"/>
                <w:szCs w:val="28"/>
              </w:rPr>
              <w:t>Nr. 384 “Bīstamo vielu uzglabāšanas rezervuāru tehniskās uzraudzības kārtība</w:t>
            </w:r>
            <w:r w:rsidR="00CE02C2" w:rsidRPr="00D15E96">
              <w:rPr>
                <w:b/>
                <w:sz w:val="28"/>
                <w:szCs w:val="28"/>
              </w:rPr>
              <w:t>”</w:t>
            </w:r>
            <w:r w:rsidR="00CE02C2">
              <w:rPr>
                <w:b/>
                <w:sz w:val="28"/>
                <w:szCs w:val="28"/>
              </w:rPr>
              <w:t>”</w:t>
            </w:r>
          </w:p>
        </w:tc>
      </w:tr>
    </w:tbl>
    <w:p w:rsidR="00CE02C2" w:rsidRPr="00974415" w:rsidRDefault="00CE02C2" w:rsidP="00CE02C2">
      <w:pPr>
        <w:pStyle w:val="naisc"/>
        <w:spacing w:before="0" w:after="0"/>
        <w:ind w:firstLine="1080"/>
        <w:rPr>
          <w:sz w:val="28"/>
          <w:szCs w:val="28"/>
        </w:rPr>
      </w:pPr>
      <w:r w:rsidRPr="003D5429">
        <w:rPr>
          <w:sz w:val="28"/>
          <w:szCs w:val="28"/>
        </w:rPr>
        <w:t>(dokumenta veids un nosaukums)</w:t>
      </w:r>
    </w:p>
    <w:p w:rsidR="00CE02C2" w:rsidRPr="007A1F1E" w:rsidRDefault="00CE02C2" w:rsidP="00CE02C2">
      <w:pPr>
        <w:pStyle w:val="naisf"/>
        <w:spacing w:before="0" w:after="0"/>
        <w:ind w:firstLine="0"/>
        <w:rPr>
          <w:sz w:val="28"/>
          <w:szCs w:val="28"/>
        </w:rPr>
      </w:pPr>
    </w:p>
    <w:p w:rsidR="00CE02C2" w:rsidRPr="007A1F1E" w:rsidRDefault="00CE02C2" w:rsidP="00CE02C2">
      <w:pPr>
        <w:pStyle w:val="naisf"/>
        <w:numPr>
          <w:ilvl w:val="0"/>
          <w:numId w:val="1"/>
        </w:numPr>
        <w:spacing w:before="0" w:after="0"/>
        <w:rPr>
          <w:b/>
          <w:sz w:val="28"/>
          <w:szCs w:val="28"/>
        </w:rPr>
      </w:pPr>
      <w:r w:rsidRPr="007A1F1E">
        <w:rPr>
          <w:b/>
          <w:sz w:val="28"/>
          <w:szCs w:val="28"/>
        </w:rPr>
        <w:t>Jautājumi, par kuriem saskaņošanā vienošanās nav panākta</w:t>
      </w:r>
    </w:p>
    <w:tbl>
      <w:tblPr>
        <w:tblW w:w="145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59"/>
        <w:gridCol w:w="3119"/>
        <w:gridCol w:w="3685"/>
        <w:gridCol w:w="3544"/>
        <w:gridCol w:w="1843"/>
        <w:gridCol w:w="1817"/>
      </w:tblGrid>
      <w:tr w:rsidR="00CE02C2" w:rsidRPr="007A1F1E" w:rsidTr="00320917">
        <w:tc>
          <w:tcPr>
            <w:tcW w:w="559" w:type="dxa"/>
            <w:tcBorders>
              <w:top w:val="single" w:sz="6" w:space="0" w:color="000000"/>
              <w:left w:val="single" w:sz="6" w:space="0" w:color="000000"/>
              <w:bottom w:val="single" w:sz="6" w:space="0" w:color="000000"/>
              <w:right w:val="single" w:sz="6" w:space="0" w:color="000000"/>
            </w:tcBorders>
            <w:vAlign w:val="center"/>
          </w:tcPr>
          <w:p w:rsidR="00CE02C2" w:rsidRPr="00F16C44" w:rsidRDefault="00CE02C2" w:rsidP="00320917">
            <w:pPr>
              <w:pStyle w:val="naisc"/>
              <w:spacing w:before="0" w:after="0"/>
            </w:pPr>
            <w:r w:rsidRPr="00F16C44">
              <w:t>Nr. p. k.</w:t>
            </w:r>
          </w:p>
        </w:tc>
        <w:tc>
          <w:tcPr>
            <w:tcW w:w="3119" w:type="dxa"/>
            <w:tcBorders>
              <w:top w:val="single" w:sz="6" w:space="0" w:color="000000"/>
              <w:left w:val="single" w:sz="6" w:space="0" w:color="000000"/>
              <w:bottom w:val="single" w:sz="6" w:space="0" w:color="000000"/>
              <w:right w:val="single" w:sz="6" w:space="0" w:color="000000"/>
            </w:tcBorders>
            <w:vAlign w:val="center"/>
          </w:tcPr>
          <w:p w:rsidR="00CE02C2" w:rsidRDefault="00CE02C2" w:rsidP="00320917">
            <w:pPr>
              <w:pStyle w:val="naisc"/>
              <w:spacing w:before="0" w:after="0"/>
              <w:ind w:firstLine="12"/>
            </w:pPr>
            <w:r w:rsidRPr="00F16C44">
              <w:t>Saskaņošanai nosūtītā projekta redakcija (konkrēta punkta (panta) redakcija)</w:t>
            </w:r>
          </w:p>
          <w:p w:rsidR="00CE02C2" w:rsidRDefault="00CE02C2" w:rsidP="00320917">
            <w:pPr>
              <w:jc w:val="center"/>
            </w:pPr>
          </w:p>
          <w:p w:rsidR="00CE02C2" w:rsidRPr="000669FD" w:rsidRDefault="00CE02C2" w:rsidP="00320917">
            <w:pPr>
              <w:jc w:val="center"/>
            </w:pPr>
          </w:p>
        </w:tc>
        <w:tc>
          <w:tcPr>
            <w:tcW w:w="3685" w:type="dxa"/>
            <w:tcBorders>
              <w:top w:val="single" w:sz="6" w:space="0" w:color="000000"/>
              <w:left w:val="single" w:sz="6" w:space="0" w:color="000000"/>
              <w:bottom w:val="single" w:sz="6" w:space="0" w:color="000000"/>
              <w:right w:val="single" w:sz="6" w:space="0" w:color="000000"/>
            </w:tcBorders>
            <w:vAlign w:val="center"/>
          </w:tcPr>
          <w:p w:rsidR="00CE02C2" w:rsidRPr="00F16C44" w:rsidRDefault="00CE02C2" w:rsidP="00320917">
            <w:pPr>
              <w:pStyle w:val="naisc"/>
              <w:spacing w:before="0" w:after="0"/>
              <w:ind w:right="3"/>
            </w:pPr>
            <w:r w:rsidRPr="00F16C44">
              <w:t>Atzinumā norādītais ministrijas (citas institūcijas) iebildums, kā arī saskaņošanā papildus izteiktais iebildums par projekta konkrēto punktu (pantu)</w:t>
            </w:r>
          </w:p>
        </w:tc>
        <w:tc>
          <w:tcPr>
            <w:tcW w:w="3544" w:type="dxa"/>
            <w:tcBorders>
              <w:top w:val="single" w:sz="6" w:space="0" w:color="000000"/>
              <w:left w:val="single" w:sz="6" w:space="0" w:color="000000"/>
              <w:bottom w:val="single" w:sz="6" w:space="0" w:color="000000"/>
              <w:right w:val="single" w:sz="6" w:space="0" w:color="000000"/>
            </w:tcBorders>
            <w:vAlign w:val="center"/>
          </w:tcPr>
          <w:p w:rsidR="00CE02C2" w:rsidRPr="00F16C44" w:rsidRDefault="00CE02C2" w:rsidP="00320917">
            <w:pPr>
              <w:pStyle w:val="naisc"/>
              <w:spacing w:before="0" w:after="0"/>
              <w:ind w:firstLine="21"/>
            </w:pPr>
            <w:r w:rsidRPr="00F16C44">
              <w:t>Atbildīgās ministrijas pamatojums iebilduma noraidījumam</w:t>
            </w:r>
          </w:p>
        </w:tc>
        <w:tc>
          <w:tcPr>
            <w:tcW w:w="1843" w:type="dxa"/>
            <w:tcBorders>
              <w:top w:val="single" w:sz="4" w:space="0" w:color="auto"/>
              <w:left w:val="single" w:sz="4" w:space="0" w:color="auto"/>
              <w:bottom w:val="single" w:sz="4" w:space="0" w:color="auto"/>
              <w:right w:val="single" w:sz="4" w:space="0" w:color="auto"/>
            </w:tcBorders>
            <w:vAlign w:val="center"/>
          </w:tcPr>
          <w:p w:rsidR="00CE02C2" w:rsidRPr="00F16C44" w:rsidRDefault="00CE02C2" w:rsidP="00320917">
            <w:pPr>
              <w:jc w:val="center"/>
            </w:pPr>
            <w:r w:rsidRPr="00F16C44">
              <w:t>Atzinuma sniedzēja uzturētais iebildums, ja tas atšķiras no atzinumā norādītā iebilduma pamatojuma</w:t>
            </w:r>
          </w:p>
        </w:tc>
        <w:tc>
          <w:tcPr>
            <w:tcW w:w="1817" w:type="dxa"/>
            <w:tcBorders>
              <w:top w:val="single" w:sz="4" w:space="0" w:color="auto"/>
              <w:left w:val="single" w:sz="4" w:space="0" w:color="auto"/>
              <w:bottom w:val="single" w:sz="4" w:space="0" w:color="auto"/>
            </w:tcBorders>
            <w:vAlign w:val="center"/>
          </w:tcPr>
          <w:p w:rsidR="00CE02C2" w:rsidRPr="00F16C44" w:rsidRDefault="00CE02C2" w:rsidP="00320917">
            <w:pPr>
              <w:jc w:val="center"/>
            </w:pPr>
            <w:r w:rsidRPr="00F16C44">
              <w:t>Projekta attiecīgā punkta (panta) galīgā redakcija</w:t>
            </w:r>
          </w:p>
        </w:tc>
      </w:tr>
      <w:tr w:rsidR="00CE02C2" w:rsidRPr="007A1F1E" w:rsidTr="00320917">
        <w:tc>
          <w:tcPr>
            <w:tcW w:w="559" w:type="dxa"/>
            <w:tcBorders>
              <w:top w:val="single" w:sz="6" w:space="0" w:color="000000"/>
              <w:left w:val="single" w:sz="6" w:space="0" w:color="000000"/>
              <w:bottom w:val="single" w:sz="6" w:space="0" w:color="000000"/>
              <w:right w:val="single" w:sz="6" w:space="0" w:color="000000"/>
            </w:tcBorders>
          </w:tcPr>
          <w:p w:rsidR="00CE02C2" w:rsidRPr="00F16C44" w:rsidRDefault="00CE02C2" w:rsidP="00320917">
            <w:pPr>
              <w:pStyle w:val="naisc"/>
              <w:spacing w:before="0" w:after="0"/>
            </w:pPr>
            <w:r w:rsidRPr="007A1F1E">
              <w:rPr>
                <w:sz w:val="28"/>
                <w:szCs w:val="28"/>
              </w:rPr>
              <w:t>1</w:t>
            </w:r>
          </w:p>
        </w:tc>
        <w:tc>
          <w:tcPr>
            <w:tcW w:w="3119" w:type="dxa"/>
            <w:tcBorders>
              <w:top w:val="single" w:sz="6" w:space="0" w:color="000000"/>
              <w:left w:val="single" w:sz="6" w:space="0" w:color="000000"/>
              <w:bottom w:val="single" w:sz="6" w:space="0" w:color="000000"/>
              <w:right w:val="single" w:sz="6" w:space="0" w:color="000000"/>
            </w:tcBorders>
          </w:tcPr>
          <w:p w:rsidR="00CE02C2" w:rsidRPr="00F16C44" w:rsidRDefault="00CE02C2" w:rsidP="00320917">
            <w:pPr>
              <w:pStyle w:val="naisc"/>
              <w:spacing w:before="0" w:after="0"/>
              <w:ind w:firstLine="12"/>
            </w:pPr>
            <w:r w:rsidRPr="007A1F1E">
              <w:rPr>
                <w:sz w:val="28"/>
                <w:szCs w:val="28"/>
              </w:rPr>
              <w:t>2</w:t>
            </w:r>
          </w:p>
        </w:tc>
        <w:tc>
          <w:tcPr>
            <w:tcW w:w="3685" w:type="dxa"/>
            <w:tcBorders>
              <w:top w:val="single" w:sz="6" w:space="0" w:color="000000"/>
              <w:left w:val="single" w:sz="6" w:space="0" w:color="000000"/>
              <w:bottom w:val="single" w:sz="6" w:space="0" w:color="000000"/>
              <w:right w:val="single" w:sz="6" w:space="0" w:color="000000"/>
            </w:tcBorders>
          </w:tcPr>
          <w:p w:rsidR="00CE02C2" w:rsidRPr="00F16C44" w:rsidRDefault="00CE02C2" w:rsidP="00320917">
            <w:pPr>
              <w:pStyle w:val="naisc"/>
              <w:spacing w:before="0" w:after="0"/>
              <w:ind w:right="3"/>
            </w:pPr>
            <w:r w:rsidRPr="007A1F1E">
              <w:rPr>
                <w:sz w:val="28"/>
                <w:szCs w:val="28"/>
              </w:rPr>
              <w:t>3</w:t>
            </w:r>
          </w:p>
        </w:tc>
        <w:tc>
          <w:tcPr>
            <w:tcW w:w="3544" w:type="dxa"/>
            <w:tcBorders>
              <w:top w:val="single" w:sz="6" w:space="0" w:color="000000"/>
              <w:left w:val="single" w:sz="6" w:space="0" w:color="000000"/>
              <w:bottom w:val="single" w:sz="6" w:space="0" w:color="000000"/>
              <w:right w:val="single" w:sz="6" w:space="0" w:color="000000"/>
            </w:tcBorders>
          </w:tcPr>
          <w:p w:rsidR="00CE02C2" w:rsidRPr="00F16C44" w:rsidRDefault="00CE02C2" w:rsidP="00320917">
            <w:pPr>
              <w:pStyle w:val="naisc"/>
              <w:spacing w:before="0" w:after="0"/>
              <w:ind w:firstLine="21"/>
            </w:pPr>
            <w:r w:rsidRPr="007A1F1E">
              <w:rPr>
                <w:sz w:val="28"/>
                <w:szCs w:val="28"/>
              </w:rPr>
              <w:t>4</w:t>
            </w:r>
          </w:p>
        </w:tc>
        <w:tc>
          <w:tcPr>
            <w:tcW w:w="1843" w:type="dxa"/>
            <w:tcBorders>
              <w:top w:val="single" w:sz="4" w:space="0" w:color="auto"/>
              <w:left w:val="single" w:sz="4" w:space="0" w:color="auto"/>
              <w:bottom w:val="single" w:sz="4" w:space="0" w:color="auto"/>
              <w:right w:val="single" w:sz="4" w:space="0" w:color="auto"/>
            </w:tcBorders>
          </w:tcPr>
          <w:p w:rsidR="00CE02C2" w:rsidRPr="00F16C44" w:rsidRDefault="00CE02C2" w:rsidP="00320917">
            <w:pPr>
              <w:jc w:val="center"/>
            </w:pPr>
            <w:r w:rsidRPr="007A1F1E">
              <w:rPr>
                <w:sz w:val="28"/>
                <w:szCs w:val="28"/>
              </w:rPr>
              <w:t>5</w:t>
            </w:r>
          </w:p>
        </w:tc>
        <w:tc>
          <w:tcPr>
            <w:tcW w:w="1817" w:type="dxa"/>
            <w:tcBorders>
              <w:top w:val="single" w:sz="4" w:space="0" w:color="auto"/>
              <w:left w:val="single" w:sz="4" w:space="0" w:color="auto"/>
              <w:bottom w:val="single" w:sz="4" w:space="0" w:color="auto"/>
            </w:tcBorders>
          </w:tcPr>
          <w:p w:rsidR="00CE02C2" w:rsidRPr="00F16C44" w:rsidRDefault="00CE02C2" w:rsidP="00320917">
            <w:pPr>
              <w:jc w:val="center"/>
            </w:pPr>
            <w:r w:rsidRPr="007A1F1E">
              <w:rPr>
                <w:sz w:val="28"/>
                <w:szCs w:val="28"/>
              </w:rPr>
              <w:t>6</w:t>
            </w:r>
          </w:p>
        </w:tc>
      </w:tr>
      <w:tr w:rsidR="00CE02C2" w:rsidRPr="007A1F1E" w:rsidTr="00320917">
        <w:tc>
          <w:tcPr>
            <w:tcW w:w="559" w:type="dxa"/>
            <w:tcBorders>
              <w:top w:val="single" w:sz="6" w:space="0" w:color="000000"/>
              <w:left w:val="single" w:sz="6" w:space="0" w:color="000000"/>
              <w:bottom w:val="single" w:sz="6" w:space="0" w:color="000000"/>
              <w:right w:val="single" w:sz="6" w:space="0" w:color="000000"/>
            </w:tcBorders>
            <w:vAlign w:val="center"/>
          </w:tcPr>
          <w:p w:rsidR="00CE02C2" w:rsidRDefault="00CE02C2" w:rsidP="00320917">
            <w:pPr>
              <w:pStyle w:val="naisc"/>
              <w:spacing w:before="0" w:after="0"/>
              <w:jc w:val="both"/>
            </w:pPr>
          </w:p>
        </w:tc>
        <w:tc>
          <w:tcPr>
            <w:tcW w:w="3119" w:type="dxa"/>
            <w:tcBorders>
              <w:top w:val="single" w:sz="6" w:space="0" w:color="000000"/>
              <w:left w:val="single" w:sz="6" w:space="0" w:color="000000"/>
              <w:bottom w:val="single" w:sz="6" w:space="0" w:color="000000"/>
              <w:right w:val="single" w:sz="6" w:space="0" w:color="000000"/>
            </w:tcBorders>
            <w:vAlign w:val="center"/>
          </w:tcPr>
          <w:p w:rsidR="00CE02C2" w:rsidRPr="00215C2F" w:rsidRDefault="00CE02C2" w:rsidP="00320917">
            <w:pPr>
              <w:pStyle w:val="naisc"/>
              <w:spacing w:before="0" w:after="0"/>
              <w:ind w:firstLine="12"/>
              <w:jc w:val="both"/>
            </w:pPr>
          </w:p>
        </w:tc>
        <w:tc>
          <w:tcPr>
            <w:tcW w:w="3685" w:type="dxa"/>
            <w:tcBorders>
              <w:top w:val="single" w:sz="6" w:space="0" w:color="000000"/>
              <w:left w:val="single" w:sz="6" w:space="0" w:color="000000"/>
              <w:bottom w:val="single" w:sz="6" w:space="0" w:color="000000"/>
              <w:right w:val="single" w:sz="6" w:space="0" w:color="000000"/>
            </w:tcBorders>
            <w:vAlign w:val="center"/>
          </w:tcPr>
          <w:p w:rsidR="00CE02C2" w:rsidRPr="00215C2F" w:rsidRDefault="00CE02C2" w:rsidP="00320917">
            <w:pPr>
              <w:pStyle w:val="naisc"/>
              <w:spacing w:before="0" w:after="0"/>
              <w:ind w:right="3"/>
              <w:jc w:val="both"/>
            </w:pPr>
          </w:p>
        </w:tc>
        <w:tc>
          <w:tcPr>
            <w:tcW w:w="3544" w:type="dxa"/>
            <w:tcBorders>
              <w:top w:val="single" w:sz="6" w:space="0" w:color="000000"/>
              <w:left w:val="single" w:sz="6" w:space="0" w:color="000000"/>
              <w:bottom w:val="single" w:sz="6" w:space="0" w:color="000000"/>
              <w:right w:val="single" w:sz="6" w:space="0" w:color="000000"/>
            </w:tcBorders>
            <w:vAlign w:val="center"/>
          </w:tcPr>
          <w:p w:rsidR="00CE02C2" w:rsidRDefault="00CE02C2" w:rsidP="00320917">
            <w:pPr>
              <w:pStyle w:val="naisc"/>
              <w:spacing w:before="0" w:after="0"/>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CE02C2" w:rsidRPr="00F16C44" w:rsidRDefault="00CE02C2" w:rsidP="00320917">
            <w:pPr>
              <w:jc w:val="both"/>
            </w:pPr>
          </w:p>
        </w:tc>
        <w:tc>
          <w:tcPr>
            <w:tcW w:w="1817" w:type="dxa"/>
            <w:tcBorders>
              <w:top w:val="single" w:sz="4" w:space="0" w:color="auto"/>
              <w:left w:val="single" w:sz="4" w:space="0" w:color="auto"/>
              <w:bottom w:val="single" w:sz="4" w:space="0" w:color="auto"/>
            </w:tcBorders>
            <w:vAlign w:val="center"/>
          </w:tcPr>
          <w:p w:rsidR="00CE02C2" w:rsidRPr="00F16C44" w:rsidRDefault="00CE02C2" w:rsidP="00320917">
            <w:pPr>
              <w:jc w:val="both"/>
            </w:pPr>
          </w:p>
        </w:tc>
      </w:tr>
    </w:tbl>
    <w:p w:rsidR="00CE02C2" w:rsidRPr="007A1F1E" w:rsidRDefault="00CE02C2" w:rsidP="00CE02C2">
      <w:pPr>
        <w:pStyle w:val="naisf"/>
        <w:spacing w:before="0" w:after="0"/>
        <w:ind w:firstLine="0"/>
        <w:rPr>
          <w:b/>
          <w:sz w:val="28"/>
          <w:szCs w:val="28"/>
        </w:rPr>
      </w:pPr>
      <w:r w:rsidRPr="007A1F1E">
        <w:rPr>
          <w:b/>
          <w:sz w:val="28"/>
          <w:szCs w:val="28"/>
        </w:rPr>
        <w:t xml:space="preserve">Informācija par </w:t>
      </w:r>
      <w:proofErr w:type="spellStart"/>
      <w:r w:rsidRPr="007A1F1E">
        <w:rPr>
          <w:b/>
          <w:sz w:val="28"/>
          <w:szCs w:val="28"/>
        </w:rPr>
        <w:t>starpministriju</w:t>
      </w:r>
      <w:proofErr w:type="spellEnd"/>
      <w:r w:rsidRPr="007A1F1E">
        <w:rPr>
          <w:b/>
          <w:sz w:val="28"/>
          <w:szCs w:val="28"/>
        </w:rPr>
        <w:t xml:space="preserve"> (starpinstitūciju) sanāksmi vai elektronisko saskaņošanu</w:t>
      </w:r>
    </w:p>
    <w:p w:rsidR="00CE02C2" w:rsidRPr="007A1F1E" w:rsidRDefault="00CE02C2" w:rsidP="00CE02C2">
      <w:pPr>
        <w:pStyle w:val="naisf"/>
        <w:spacing w:before="0" w:after="0"/>
        <w:ind w:firstLine="0"/>
        <w:rPr>
          <w:b/>
          <w:sz w:val="28"/>
          <w:szCs w:val="28"/>
        </w:rPr>
      </w:pPr>
    </w:p>
    <w:tbl>
      <w:tblPr>
        <w:tblW w:w="4408" w:type="pct"/>
        <w:tblLook w:val="00A0" w:firstRow="1" w:lastRow="0" w:firstColumn="1" w:lastColumn="0" w:noHBand="0" w:noVBand="0"/>
      </w:tblPr>
      <w:tblGrid>
        <w:gridCol w:w="2595"/>
        <w:gridCol w:w="9750"/>
      </w:tblGrid>
      <w:tr w:rsidR="00CE02C2" w:rsidRPr="007A1F1E" w:rsidTr="00320917">
        <w:trPr>
          <w:trHeight w:val="257"/>
        </w:trPr>
        <w:tc>
          <w:tcPr>
            <w:tcW w:w="1051" w:type="pct"/>
          </w:tcPr>
          <w:p w:rsidR="00CE02C2" w:rsidRPr="00F74CDD" w:rsidRDefault="00CE02C2" w:rsidP="00320917">
            <w:pPr>
              <w:pStyle w:val="naisf"/>
              <w:spacing w:before="0" w:after="0"/>
              <w:ind w:firstLine="0"/>
            </w:pPr>
            <w:r w:rsidRPr="00F74CDD">
              <w:t>Datums</w:t>
            </w:r>
          </w:p>
        </w:tc>
        <w:tc>
          <w:tcPr>
            <w:tcW w:w="3949" w:type="pct"/>
            <w:tcBorders>
              <w:bottom w:val="single" w:sz="4" w:space="0" w:color="auto"/>
            </w:tcBorders>
          </w:tcPr>
          <w:p w:rsidR="00CE02C2" w:rsidRPr="00F74CDD" w:rsidRDefault="00F74CDD" w:rsidP="00320917">
            <w:pPr>
              <w:pStyle w:val="NormalWeb"/>
              <w:spacing w:before="0" w:beforeAutospacing="0" w:after="0" w:afterAutospacing="0"/>
              <w:jc w:val="both"/>
            </w:pPr>
            <w:r w:rsidRPr="00F74CDD">
              <w:t>24</w:t>
            </w:r>
            <w:r w:rsidR="00CE02C2" w:rsidRPr="00F74CDD">
              <w:t>.0</w:t>
            </w:r>
            <w:r w:rsidRPr="00F74CDD">
              <w:t>5</w:t>
            </w:r>
            <w:r w:rsidR="00CE02C2" w:rsidRPr="00F74CDD">
              <w:t>.2021.</w:t>
            </w:r>
          </w:p>
        </w:tc>
      </w:tr>
      <w:tr w:rsidR="00CE02C2" w:rsidRPr="007A1F1E" w:rsidTr="00320917">
        <w:trPr>
          <w:trHeight w:val="532"/>
        </w:trPr>
        <w:tc>
          <w:tcPr>
            <w:tcW w:w="1051" w:type="pct"/>
          </w:tcPr>
          <w:p w:rsidR="00CE02C2" w:rsidRPr="00F74CDD" w:rsidRDefault="00CE02C2" w:rsidP="00320917">
            <w:pPr>
              <w:pStyle w:val="naisf"/>
              <w:spacing w:before="0" w:after="0"/>
              <w:ind w:firstLine="0"/>
            </w:pPr>
          </w:p>
          <w:p w:rsidR="00CE02C2" w:rsidRPr="00F74CDD" w:rsidRDefault="00CE02C2" w:rsidP="00320917"/>
          <w:p w:rsidR="00CE02C2" w:rsidRPr="00F74CDD" w:rsidRDefault="00CE02C2" w:rsidP="00320917"/>
          <w:p w:rsidR="00CE02C2" w:rsidRPr="00F74CDD" w:rsidRDefault="00CE02C2" w:rsidP="00320917"/>
          <w:p w:rsidR="00CE02C2" w:rsidRPr="00F74CDD" w:rsidRDefault="00CE02C2" w:rsidP="00320917"/>
          <w:p w:rsidR="00CE02C2" w:rsidRPr="00F74CDD" w:rsidRDefault="00CE02C2" w:rsidP="00320917"/>
          <w:p w:rsidR="00CE02C2" w:rsidRPr="00F74CDD" w:rsidRDefault="00CE02C2" w:rsidP="00320917"/>
          <w:p w:rsidR="00CE02C2" w:rsidRPr="00F74CDD" w:rsidRDefault="00CE02C2" w:rsidP="00320917"/>
          <w:p w:rsidR="00CE02C2" w:rsidRPr="00F74CDD" w:rsidRDefault="00CE02C2" w:rsidP="00320917"/>
        </w:tc>
        <w:tc>
          <w:tcPr>
            <w:tcW w:w="3949" w:type="pct"/>
            <w:tcBorders>
              <w:top w:val="single" w:sz="4" w:space="0" w:color="auto"/>
            </w:tcBorders>
          </w:tcPr>
          <w:p w:rsidR="00CE02C2" w:rsidRPr="00F74CDD" w:rsidRDefault="00CE02C2" w:rsidP="00320917">
            <w:pPr>
              <w:pStyle w:val="NormalWeb"/>
              <w:spacing w:before="0" w:beforeAutospacing="0" w:after="0" w:afterAutospacing="0"/>
              <w:jc w:val="both"/>
            </w:pPr>
          </w:p>
          <w:p w:rsidR="00CE02C2" w:rsidRPr="00F74CDD" w:rsidRDefault="00CE02C2" w:rsidP="00320917">
            <w:pPr>
              <w:pStyle w:val="NormalWeb"/>
              <w:spacing w:before="0" w:beforeAutospacing="0" w:after="0" w:afterAutospacing="0"/>
              <w:jc w:val="both"/>
            </w:pPr>
          </w:p>
        </w:tc>
      </w:tr>
      <w:tr w:rsidR="00CE02C2" w:rsidRPr="007A1F1E" w:rsidTr="00320917">
        <w:trPr>
          <w:trHeight w:val="2133"/>
        </w:trPr>
        <w:tc>
          <w:tcPr>
            <w:tcW w:w="1051" w:type="pct"/>
          </w:tcPr>
          <w:p w:rsidR="00CE02C2" w:rsidRPr="00D1331E" w:rsidRDefault="00CE02C2" w:rsidP="00320917">
            <w:pPr>
              <w:pStyle w:val="naiskr"/>
              <w:spacing w:before="0" w:after="0"/>
              <w:jc w:val="both"/>
            </w:pPr>
            <w:r w:rsidRPr="00974415">
              <w:lastRenderedPageBreak/>
              <w:t>Saskaņošanas dalībnieki</w:t>
            </w:r>
          </w:p>
        </w:tc>
        <w:tc>
          <w:tcPr>
            <w:tcW w:w="3949" w:type="pct"/>
          </w:tcPr>
          <w:p w:rsidR="00CE02C2" w:rsidRDefault="00CE02C2" w:rsidP="00320917">
            <w:pPr>
              <w:pStyle w:val="NormalWeb"/>
              <w:tabs>
                <w:tab w:val="left" w:pos="6618"/>
              </w:tabs>
              <w:spacing w:before="0" w:beforeAutospacing="0" w:after="0" w:afterAutospacing="0"/>
              <w:jc w:val="both"/>
            </w:pPr>
            <w:r>
              <w:t>Finanšu ministrija;</w:t>
            </w:r>
          </w:p>
          <w:p w:rsidR="00D707B0" w:rsidRDefault="00D707B0" w:rsidP="00D707B0">
            <w:pPr>
              <w:pStyle w:val="NormalWeb"/>
              <w:tabs>
                <w:tab w:val="left" w:pos="6618"/>
              </w:tabs>
              <w:spacing w:before="0" w:beforeAutospacing="0" w:after="0" w:afterAutospacing="0"/>
              <w:jc w:val="both"/>
            </w:pPr>
            <w:r w:rsidRPr="00724936">
              <w:t>Tieslietu ministrija (</w:t>
            </w:r>
            <w:hyperlink r:id="rId7" w:history="1">
              <w:r w:rsidR="00724936" w:rsidRPr="00724936">
                <w:rPr>
                  <w:rStyle w:val="Hyperlink"/>
                </w:rPr>
                <w:t>Juta.Kupe@tm.gov.lv</w:t>
              </w:r>
            </w:hyperlink>
            <w:r w:rsidRPr="00724936">
              <w:t>);</w:t>
            </w:r>
          </w:p>
          <w:p w:rsidR="00D11A4E" w:rsidRDefault="00D11A4E" w:rsidP="00320917">
            <w:pPr>
              <w:pStyle w:val="NormalWeb"/>
              <w:tabs>
                <w:tab w:val="left" w:pos="6618"/>
              </w:tabs>
              <w:spacing w:before="0" w:beforeAutospacing="0" w:after="0" w:afterAutospacing="0"/>
              <w:jc w:val="both"/>
            </w:pPr>
            <w:proofErr w:type="spellStart"/>
            <w:r>
              <w:t>Iekšlietu</w:t>
            </w:r>
            <w:proofErr w:type="spellEnd"/>
            <w:r>
              <w:t xml:space="preserve"> ministrija (</w:t>
            </w:r>
            <w:hyperlink r:id="rId8" w:history="1">
              <w:r w:rsidRPr="00E068FC">
                <w:rPr>
                  <w:rStyle w:val="Hyperlink"/>
                </w:rPr>
                <w:t>maigurs.ludbarzs@iem.gov.lv</w:t>
              </w:r>
            </w:hyperlink>
            <w:r>
              <w:t>);</w:t>
            </w:r>
          </w:p>
          <w:p w:rsidR="00D11A4E" w:rsidRDefault="00D11A4E" w:rsidP="00320917">
            <w:pPr>
              <w:pStyle w:val="NormalWeb"/>
              <w:tabs>
                <w:tab w:val="left" w:pos="6618"/>
              </w:tabs>
              <w:spacing w:before="0" w:beforeAutospacing="0" w:after="0" w:afterAutospacing="0"/>
              <w:jc w:val="both"/>
            </w:pPr>
            <w:r>
              <w:t>Aizsardzības ministrija (</w:t>
            </w:r>
            <w:hyperlink r:id="rId9" w:history="1">
              <w:r w:rsidRPr="00E068FC">
                <w:rPr>
                  <w:rStyle w:val="Hyperlink"/>
                </w:rPr>
                <w:t>Gustavs.Gudzuks@mod.gov.lv</w:t>
              </w:r>
            </w:hyperlink>
            <w:r>
              <w:t>);</w:t>
            </w:r>
          </w:p>
          <w:p w:rsidR="00D11A4E" w:rsidRDefault="00D707B0" w:rsidP="00320917">
            <w:pPr>
              <w:pStyle w:val="NormalWeb"/>
              <w:tabs>
                <w:tab w:val="left" w:pos="6618"/>
              </w:tabs>
              <w:spacing w:before="0" w:beforeAutospacing="0" w:after="0" w:afterAutospacing="0"/>
              <w:jc w:val="both"/>
            </w:pPr>
            <w:r>
              <w:t>Latvijas Brīvo arodbiedrību savienība</w:t>
            </w:r>
          </w:p>
          <w:p w:rsidR="00CE02C2" w:rsidRDefault="00CE02C2" w:rsidP="00320917">
            <w:pPr>
              <w:pStyle w:val="NormalWeb"/>
              <w:tabs>
                <w:tab w:val="left" w:pos="6618"/>
              </w:tabs>
              <w:spacing w:before="0" w:beforeAutospacing="0" w:after="0" w:afterAutospacing="0"/>
              <w:jc w:val="both"/>
            </w:pPr>
            <w:r w:rsidRPr="00C402AB">
              <w:t>Latvijas Pašvaldību savienība (</w:t>
            </w:r>
            <w:hyperlink r:id="rId10" w:history="1">
              <w:r w:rsidRPr="00C402AB">
                <w:rPr>
                  <w:rStyle w:val="Hyperlink"/>
                </w:rPr>
                <w:t>Aino.Salmins@lps.lv</w:t>
              </w:r>
            </w:hyperlink>
            <w:r w:rsidRPr="00C402AB">
              <w:t>)</w:t>
            </w:r>
          </w:p>
          <w:p w:rsidR="00D707B0" w:rsidRDefault="00D707B0" w:rsidP="00320917">
            <w:pPr>
              <w:pStyle w:val="NormalWeb"/>
              <w:tabs>
                <w:tab w:val="left" w:pos="6618"/>
              </w:tabs>
              <w:spacing w:before="0" w:beforeAutospacing="0" w:after="0" w:afterAutospacing="0"/>
              <w:jc w:val="both"/>
            </w:pPr>
            <w:r>
              <w:t>Latvijas Darba devēju konfederācija</w:t>
            </w:r>
          </w:p>
          <w:p w:rsidR="00D707B0" w:rsidRDefault="00D707B0" w:rsidP="00D707B0">
            <w:pPr>
              <w:pStyle w:val="NormalWeb"/>
              <w:tabs>
                <w:tab w:val="left" w:pos="6618"/>
              </w:tabs>
              <w:spacing w:before="0" w:beforeAutospacing="0" w:after="0" w:afterAutospacing="0"/>
              <w:jc w:val="both"/>
            </w:pPr>
            <w:r>
              <w:t>Vides aizsardzības un reģionālās attīstības ministrija (</w:t>
            </w:r>
            <w:hyperlink r:id="rId11" w:history="1">
              <w:r w:rsidRPr="00E068FC">
                <w:rPr>
                  <w:rStyle w:val="Hyperlink"/>
                </w:rPr>
                <w:t>kristine.kazerovska@varam.gov.lv</w:t>
              </w:r>
            </w:hyperlink>
            <w:r>
              <w:t xml:space="preserve">, </w:t>
            </w:r>
            <w:hyperlink r:id="rId12" w:history="1">
              <w:r w:rsidRPr="00E068FC">
                <w:rPr>
                  <w:rStyle w:val="Hyperlink"/>
                </w:rPr>
                <w:t>zita.steinberga@varam.gov.lv</w:t>
              </w:r>
            </w:hyperlink>
            <w:r>
              <w:t>);</w:t>
            </w:r>
          </w:p>
          <w:p w:rsidR="00CE02C2" w:rsidRDefault="00CE02C2" w:rsidP="00320917">
            <w:pPr>
              <w:pStyle w:val="NormalWeb"/>
              <w:tabs>
                <w:tab w:val="left" w:pos="6618"/>
              </w:tabs>
              <w:spacing w:before="0" w:beforeAutospacing="0" w:after="0" w:afterAutospacing="0"/>
              <w:jc w:val="both"/>
            </w:pPr>
            <w:r w:rsidRPr="00974415">
              <w:tab/>
            </w:r>
          </w:p>
          <w:p w:rsidR="00CE02C2" w:rsidRPr="00610374" w:rsidRDefault="00CE02C2" w:rsidP="00320917"/>
          <w:p w:rsidR="00CE02C2" w:rsidRPr="00610374" w:rsidRDefault="00CE02C2" w:rsidP="00320917"/>
          <w:p w:rsidR="00CE02C2" w:rsidRPr="00610374" w:rsidRDefault="00CE02C2" w:rsidP="00320917"/>
          <w:p w:rsidR="00CE02C2" w:rsidRDefault="00CE02C2" w:rsidP="00320917"/>
          <w:p w:rsidR="00CE02C2" w:rsidRPr="00610374" w:rsidRDefault="00CE02C2" w:rsidP="00320917"/>
        </w:tc>
      </w:tr>
      <w:tr w:rsidR="00CE02C2" w:rsidRPr="007A1F1E" w:rsidTr="00320917">
        <w:trPr>
          <w:trHeight w:val="1248"/>
        </w:trPr>
        <w:tc>
          <w:tcPr>
            <w:tcW w:w="1051" w:type="pct"/>
          </w:tcPr>
          <w:p w:rsidR="00CE02C2" w:rsidRPr="00974415" w:rsidRDefault="00CE02C2" w:rsidP="00320917">
            <w:pPr>
              <w:pStyle w:val="naiskr"/>
              <w:spacing w:before="0" w:after="0"/>
              <w:jc w:val="both"/>
            </w:pPr>
            <w:r>
              <w:t>M</w:t>
            </w:r>
            <w:r w:rsidRPr="00974415">
              <w:t>inistrijas (citas institūcijas), kuras nav ieradušās uz sanāksmi vai kuras nav atbildējušas uz uzaicinājumu piedalīties elektroniskajā saskaņošanā</w:t>
            </w:r>
          </w:p>
        </w:tc>
        <w:tc>
          <w:tcPr>
            <w:tcW w:w="3949" w:type="pct"/>
            <w:tcBorders>
              <w:bottom w:val="single" w:sz="4" w:space="0" w:color="auto"/>
            </w:tcBorders>
          </w:tcPr>
          <w:p w:rsidR="00CE02C2" w:rsidRPr="00974415" w:rsidRDefault="00CE02C2" w:rsidP="00320917">
            <w:pPr>
              <w:pStyle w:val="naiskr"/>
              <w:spacing w:before="0" w:after="0"/>
              <w:jc w:val="both"/>
            </w:pPr>
          </w:p>
          <w:p w:rsidR="00CE02C2" w:rsidRPr="00974415" w:rsidRDefault="00CE02C2" w:rsidP="00320917">
            <w:pPr>
              <w:jc w:val="both"/>
            </w:pPr>
          </w:p>
          <w:p w:rsidR="00CE02C2" w:rsidRPr="00974415" w:rsidRDefault="00CE02C2" w:rsidP="00320917">
            <w:pPr>
              <w:jc w:val="both"/>
            </w:pPr>
          </w:p>
        </w:tc>
      </w:tr>
    </w:tbl>
    <w:p w:rsidR="00CE02C2" w:rsidRPr="007A1F1E" w:rsidRDefault="00CE02C2" w:rsidP="00CE02C2">
      <w:pPr>
        <w:pStyle w:val="naisf"/>
        <w:spacing w:before="0" w:after="0"/>
        <w:ind w:firstLine="0"/>
        <w:rPr>
          <w:sz w:val="28"/>
          <w:szCs w:val="28"/>
        </w:rPr>
      </w:pPr>
    </w:p>
    <w:p w:rsidR="00CE02C2" w:rsidRPr="007A1F1E" w:rsidRDefault="00CE02C2" w:rsidP="00CE02C2">
      <w:pPr>
        <w:pStyle w:val="naisf"/>
        <w:spacing w:before="0" w:after="0"/>
        <w:ind w:firstLine="0"/>
        <w:rPr>
          <w:b/>
          <w:sz w:val="28"/>
          <w:szCs w:val="28"/>
        </w:rPr>
      </w:pPr>
      <w:r w:rsidRPr="007A1F1E">
        <w:rPr>
          <w:b/>
          <w:sz w:val="28"/>
          <w:szCs w:val="28"/>
        </w:rPr>
        <w:t>II. Jautājumi, par kuriem saskaņošanā vienošanās ir panākta</w:t>
      </w:r>
    </w:p>
    <w:p w:rsidR="00CE02C2" w:rsidRPr="007A1F1E" w:rsidRDefault="00CE02C2" w:rsidP="00CE02C2">
      <w:pPr>
        <w:pStyle w:val="naisf"/>
        <w:spacing w:before="0" w:after="0"/>
        <w:ind w:firstLine="720"/>
        <w:rPr>
          <w:sz w:val="28"/>
          <w:szCs w:val="28"/>
        </w:rPr>
      </w:pP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3145"/>
        <w:gridCol w:w="4536"/>
        <w:gridCol w:w="3402"/>
        <w:gridCol w:w="2951"/>
      </w:tblGrid>
      <w:tr w:rsidR="00CE02C2" w:rsidRPr="007A1F1E" w:rsidTr="00320917">
        <w:tc>
          <w:tcPr>
            <w:tcW w:w="675" w:type="dxa"/>
            <w:tcBorders>
              <w:top w:val="single" w:sz="6" w:space="0" w:color="000000"/>
              <w:left w:val="single" w:sz="6" w:space="0" w:color="000000"/>
              <w:bottom w:val="single" w:sz="6" w:space="0" w:color="000000"/>
              <w:right w:val="single" w:sz="6" w:space="0" w:color="000000"/>
            </w:tcBorders>
            <w:vAlign w:val="center"/>
          </w:tcPr>
          <w:p w:rsidR="00CE02C2" w:rsidRPr="00F16C44" w:rsidRDefault="00CE02C2" w:rsidP="00320917">
            <w:pPr>
              <w:pStyle w:val="naisc"/>
              <w:spacing w:before="0" w:after="0"/>
            </w:pPr>
            <w:r w:rsidRPr="00F16C44">
              <w:t>Nr. p. k.</w:t>
            </w:r>
          </w:p>
        </w:tc>
        <w:tc>
          <w:tcPr>
            <w:tcW w:w="3145" w:type="dxa"/>
            <w:tcBorders>
              <w:top w:val="single" w:sz="6" w:space="0" w:color="000000"/>
              <w:left w:val="single" w:sz="6" w:space="0" w:color="000000"/>
              <w:bottom w:val="single" w:sz="6" w:space="0" w:color="000000"/>
              <w:right w:val="single" w:sz="6" w:space="0" w:color="000000"/>
            </w:tcBorders>
            <w:vAlign w:val="center"/>
          </w:tcPr>
          <w:p w:rsidR="00CE02C2" w:rsidRPr="00F16C44" w:rsidRDefault="00CE02C2" w:rsidP="00320917">
            <w:pPr>
              <w:pStyle w:val="naisc"/>
              <w:spacing w:before="0" w:after="0"/>
              <w:ind w:firstLine="12"/>
            </w:pPr>
            <w:r w:rsidRPr="00F16C44">
              <w:t>Saskaņošanai nosūtītā projekta redakcija (konkrēta punkta (panta) redakcija)</w:t>
            </w:r>
          </w:p>
        </w:tc>
        <w:tc>
          <w:tcPr>
            <w:tcW w:w="4536" w:type="dxa"/>
            <w:tcBorders>
              <w:top w:val="single" w:sz="6" w:space="0" w:color="000000"/>
              <w:left w:val="single" w:sz="6" w:space="0" w:color="000000"/>
              <w:bottom w:val="single" w:sz="6" w:space="0" w:color="000000"/>
              <w:right w:val="single" w:sz="6" w:space="0" w:color="000000"/>
            </w:tcBorders>
            <w:vAlign w:val="center"/>
          </w:tcPr>
          <w:p w:rsidR="00CE02C2" w:rsidRPr="00F16C44" w:rsidRDefault="00CE02C2" w:rsidP="00320917">
            <w:pPr>
              <w:pStyle w:val="naisc"/>
              <w:spacing w:before="0" w:after="0"/>
              <w:ind w:right="3"/>
            </w:pPr>
            <w:r w:rsidRPr="00F16C44">
              <w:t>Atzinumā norādītais ministrijas (citas institūcijas) iebildums, kā arī saskaņošanā papildus izteiktais iebildums par projekta konkrēto punktu (pantu)</w:t>
            </w:r>
          </w:p>
        </w:tc>
        <w:tc>
          <w:tcPr>
            <w:tcW w:w="3402" w:type="dxa"/>
            <w:tcBorders>
              <w:top w:val="single" w:sz="6" w:space="0" w:color="000000"/>
              <w:left w:val="single" w:sz="6" w:space="0" w:color="000000"/>
              <w:bottom w:val="single" w:sz="6" w:space="0" w:color="000000"/>
              <w:right w:val="single" w:sz="6" w:space="0" w:color="000000"/>
            </w:tcBorders>
            <w:vAlign w:val="center"/>
          </w:tcPr>
          <w:p w:rsidR="00CE02C2" w:rsidRPr="00F16C44" w:rsidRDefault="00CE02C2" w:rsidP="00320917">
            <w:pPr>
              <w:pStyle w:val="naisc"/>
              <w:spacing w:before="0" w:after="0"/>
              <w:ind w:firstLine="21"/>
            </w:pPr>
            <w:r w:rsidRPr="00F16C44">
              <w:t>Atbildīgās ministrijas norāde par to, ka iebildums ir ņemts vērā, vai informācija par saskaņošanā panākto alternatīvo risinājumu</w:t>
            </w:r>
          </w:p>
        </w:tc>
        <w:tc>
          <w:tcPr>
            <w:tcW w:w="2951" w:type="dxa"/>
            <w:tcBorders>
              <w:top w:val="single" w:sz="4" w:space="0" w:color="auto"/>
              <w:left w:val="single" w:sz="4" w:space="0" w:color="auto"/>
              <w:bottom w:val="single" w:sz="4" w:space="0" w:color="auto"/>
            </w:tcBorders>
            <w:vAlign w:val="center"/>
          </w:tcPr>
          <w:p w:rsidR="00CE02C2" w:rsidRPr="00F16C44" w:rsidRDefault="00CE02C2" w:rsidP="00320917">
            <w:pPr>
              <w:jc w:val="center"/>
              <w:rPr>
                <w:highlight w:val="yellow"/>
              </w:rPr>
            </w:pPr>
            <w:r w:rsidRPr="00F16C44">
              <w:t>Projekta attiecīgā punkta (panta) galīgā redakcija</w:t>
            </w:r>
          </w:p>
        </w:tc>
      </w:tr>
      <w:tr w:rsidR="00CE02C2" w:rsidRPr="007A1F1E" w:rsidTr="00320917">
        <w:tc>
          <w:tcPr>
            <w:tcW w:w="675" w:type="dxa"/>
            <w:tcBorders>
              <w:top w:val="single" w:sz="6" w:space="0" w:color="000000"/>
              <w:left w:val="single" w:sz="6" w:space="0" w:color="000000"/>
              <w:bottom w:val="single" w:sz="6" w:space="0" w:color="000000"/>
              <w:right w:val="single" w:sz="6" w:space="0" w:color="000000"/>
            </w:tcBorders>
            <w:vAlign w:val="center"/>
          </w:tcPr>
          <w:p w:rsidR="00CE02C2" w:rsidRPr="007A1F1E" w:rsidRDefault="00CE02C2" w:rsidP="00320917">
            <w:pPr>
              <w:pStyle w:val="naisc"/>
              <w:spacing w:before="0" w:after="0"/>
              <w:rPr>
                <w:sz w:val="28"/>
                <w:szCs w:val="28"/>
              </w:rPr>
            </w:pPr>
            <w:r w:rsidRPr="007A1F1E">
              <w:rPr>
                <w:sz w:val="28"/>
                <w:szCs w:val="28"/>
              </w:rPr>
              <w:t>1</w:t>
            </w:r>
          </w:p>
        </w:tc>
        <w:tc>
          <w:tcPr>
            <w:tcW w:w="3145" w:type="dxa"/>
            <w:tcBorders>
              <w:top w:val="single" w:sz="6" w:space="0" w:color="000000"/>
              <w:left w:val="single" w:sz="6" w:space="0" w:color="000000"/>
              <w:bottom w:val="single" w:sz="6" w:space="0" w:color="000000"/>
              <w:right w:val="single" w:sz="6" w:space="0" w:color="000000"/>
            </w:tcBorders>
            <w:vAlign w:val="center"/>
          </w:tcPr>
          <w:p w:rsidR="00CE02C2" w:rsidRPr="007A1F1E" w:rsidRDefault="00CE02C2" w:rsidP="00320917">
            <w:pPr>
              <w:pStyle w:val="naisc"/>
              <w:spacing w:before="0" w:after="0"/>
              <w:rPr>
                <w:sz w:val="28"/>
                <w:szCs w:val="28"/>
              </w:rPr>
            </w:pPr>
            <w:r w:rsidRPr="007A1F1E">
              <w:rPr>
                <w:sz w:val="28"/>
                <w:szCs w:val="28"/>
              </w:rPr>
              <w:t>2</w:t>
            </w:r>
          </w:p>
        </w:tc>
        <w:tc>
          <w:tcPr>
            <w:tcW w:w="4536" w:type="dxa"/>
            <w:tcBorders>
              <w:top w:val="single" w:sz="6" w:space="0" w:color="000000"/>
              <w:left w:val="single" w:sz="6" w:space="0" w:color="000000"/>
              <w:bottom w:val="single" w:sz="6" w:space="0" w:color="000000"/>
              <w:right w:val="single" w:sz="6" w:space="0" w:color="000000"/>
            </w:tcBorders>
            <w:vAlign w:val="center"/>
          </w:tcPr>
          <w:p w:rsidR="00CE02C2" w:rsidRPr="007A1F1E" w:rsidRDefault="00CE02C2" w:rsidP="00320917">
            <w:pPr>
              <w:pStyle w:val="naisc"/>
              <w:spacing w:before="0" w:after="0"/>
              <w:ind w:firstLine="720"/>
              <w:rPr>
                <w:sz w:val="28"/>
                <w:szCs w:val="28"/>
              </w:rPr>
            </w:pPr>
            <w:r w:rsidRPr="007A1F1E">
              <w:rPr>
                <w:sz w:val="28"/>
                <w:szCs w:val="28"/>
              </w:rPr>
              <w:t>3</w:t>
            </w:r>
          </w:p>
        </w:tc>
        <w:tc>
          <w:tcPr>
            <w:tcW w:w="3402" w:type="dxa"/>
            <w:tcBorders>
              <w:top w:val="single" w:sz="6" w:space="0" w:color="000000"/>
              <w:left w:val="single" w:sz="6" w:space="0" w:color="000000"/>
              <w:bottom w:val="single" w:sz="6" w:space="0" w:color="000000"/>
              <w:right w:val="single" w:sz="6" w:space="0" w:color="000000"/>
            </w:tcBorders>
            <w:vAlign w:val="center"/>
          </w:tcPr>
          <w:p w:rsidR="00CE02C2" w:rsidRPr="007A1F1E" w:rsidRDefault="00CE02C2" w:rsidP="00320917">
            <w:pPr>
              <w:pStyle w:val="naisc"/>
              <w:spacing w:before="0" w:after="0"/>
              <w:ind w:firstLine="720"/>
              <w:rPr>
                <w:sz w:val="28"/>
                <w:szCs w:val="28"/>
              </w:rPr>
            </w:pPr>
            <w:r w:rsidRPr="007A1F1E">
              <w:rPr>
                <w:sz w:val="28"/>
                <w:szCs w:val="28"/>
              </w:rPr>
              <w:t>4</w:t>
            </w:r>
          </w:p>
        </w:tc>
        <w:tc>
          <w:tcPr>
            <w:tcW w:w="2951" w:type="dxa"/>
            <w:tcBorders>
              <w:top w:val="single" w:sz="4" w:space="0" w:color="auto"/>
              <w:left w:val="single" w:sz="4" w:space="0" w:color="auto"/>
              <w:bottom w:val="single" w:sz="4" w:space="0" w:color="auto"/>
            </w:tcBorders>
            <w:vAlign w:val="center"/>
          </w:tcPr>
          <w:p w:rsidR="00CE02C2" w:rsidRPr="007A1F1E" w:rsidRDefault="00CE02C2" w:rsidP="00320917">
            <w:pPr>
              <w:jc w:val="center"/>
              <w:rPr>
                <w:sz w:val="28"/>
                <w:szCs w:val="28"/>
                <w:highlight w:val="yellow"/>
              </w:rPr>
            </w:pPr>
            <w:r w:rsidRPr="007A1F1E">
              <w:rPr>
                <w:sz w:val="28"/>
                <w:szCs w:val="28"/>
              </w:rPr>
              <w:t>5</w:t>
            </w:r>
          </w:p>
        </w:tc>
      </w:tr>
      <w:tr w:rsidR="00CE02C2" w:rsidRPr="007A1F1E" w:rsidTr="00320917">
        <w:tc>
          <w:tcPr>
            <w:tcW w:w="675" w:type="dxa"/>
            <w:tcBorders>
              <w:top w:val="single" w:sz="6" w:space="0" w:color="000000"/>
              <w:left w:val="single" w:sz="6" w:space="0" w:color="000000"/>
              <w:bottom w:val="single" w:sz="6" w:space="0" w:color="000000"/>
              <w:right w:val="single" w:sz="6" w:space="0" w:color="000000"/>
            </w:tcBorders>
            <w:vAlign w:val="center"/>
          </w:tcPr>
          <w:p w:rsidR="00CE02C2" w:rsidRDefault="00CE02C2" w:rsidP="00CE02C2">
            <w:pPr>
              <w:pStyle w:val="naisc"/>
              <w:numPr>
                <w:ilvl w:val="0"/>
                <w:numId w:val="2"/>
              </w:numPr>
              <w:spacing w:before="0" w:after="0"/>
              <w:ind w:left="530"/>
              <w:rPr>
                <w:sz w:val="28"/>
                <w:szCs w:val="28"/>
              </w:rPr>
            </w:pPr>
          </w:p>
        </w:tc>
        <w:tc>
          <w:tcPr>
            <w:tcW w:w="3145" w:type="dxa"/>
            <w:tcBorders>
              <w:left w:val="single" w:sz="6" w:space="0" w:color="000000"/>
              <w:bottom w:val="single" w:sz="4" w:space="0" w:color="auto"/>
              <w:right w:val="single" w:sz="6" w:space="0" w:color="000000"/>
            </w:tcBorders>
          </w:tcPr>
          <w:p w:rsidR="00CE02C2" w:rsidRPr="0074039C" w:rsidRDefault="0074039C" w:rsidP="0074039C">
            <w:pPr>
              <w:pStyle w:val="ListParagraph"/>
              <w:numPr>
                <w:ilvl w:val="0"/>
                <w:numId w:val="3"/>
              </w:numPr>
              <w:ind w:left="61" w:hanging="61"/>
              <w:jc w:val="both"/>
              <w:outlineLvl w:val="0"/>
              <w:rPr>
                <w:rFonts w:eastAsia="Arial Unicode MS"/>
              </w:rPr>
            </w:pPr>
            <w:r w:rsidRPr="0074039C">
              <w:rPr>
                <w:rFonts w:eastAsia="Arial Unicode MS"/>
              </w:rPr>
              <w:t>Svītrot 2.2. apakšpunktu</w:t>
            </w:r>
          </w:p>
        </w:tc>
        <w:tc>
          <w:tcPr>
            <w:tcW w:w="4536" w:type="dxa"/>
            <w:tcBorders>
              <w:left w:val="single" w:sz="6" w:space="0" w:color="000000"/>
              <w:bottom w:val="single" w:sz="4" w:space="0" w:color="auto"/>
              <w:right w:val="single" w:sz="6" w:space="0" w:color="000000"/>
            </w:tcBorders>
          </w:tcPr>
          <w:p w:rsidR="00CE02C2" w:rsidRDefault="009F74A4" w:rsidP="00320917">
            <w:pPr>
              <w:jc w:val="center"/>
              <w:rPr>
                <w:b/>
                <w:bCs/>
                <w:szCs w:val="28"/>
              </w:rPr>
            </w:pPr>
            <w:r>
              <w:rPr>
                <w:b/>
                <w:bCs/>
                <w:szCs w:val="28"/>
              </w:rPr>
              <w:t>VARAM</w:t>
            </w:r>
          </w:p>
          <w:p w:rsidR="00CE02C2" w:rsidRPr="00D1331E" w:rsidRDefault="00CE02C2" w:rsidP="00320917">
            <w:pPr>
              <w:jc w:val="center"/>
              <w:rPr>
                <w:b/>
                <w:bCs/>
                <w:szCs w:val="28"/>
              </w:rPr>
            </w:pPr>
          </w:p>
          <w:p w:rsidR="00CE02C2" w:rsidRPr="00EF70A1" w:rsidRDefault="00CC05CC" w:rsidP="00320917">
            <w:pPr>
              <w:jc w:val="both"/>
              <w:rPr>
                <w:szCs w:val="28"/>
                <w:highlight w:val="yellow"/>
              </w:rPr>
            </w:pPr>
            <w:r w:rsidRPr="00CC05CC">
              <w:rPr>
                <w:szCs w:val="28"/>
              </w:rPr>
              <w:lastRenderedPageBreak/>
              <w:t>1.</w:t>
            </w:r>
            <w:r w:rsidRPr="00CC05CC">
              <w:rPr>
                <w:szCs w:val="28"/>
              </w:rPr>
              <w:tab/>
              <w:t>Lūdzam skaidrot noteikumu projekta 1. punktā minētā grozījuma iemeslu, proti, kādēļ tiek dzēsts Ministru kabineta 2001. gada 28. augusta noteikumos Nr. 384 "Bīstamo vielu uzglabāšanas rezervuāru tehniskās uzraudzības kārtība" (turpmāk - MK noteikumi Nr. 384) 2.2. apakšpunkts. MK noteikumu Nr. 384 2. punktā noteiks uz ko minētie noteikumi attiecas, kā arī noteikti izņēmumi, uz kuriem noteikumi neattiecas (2.1. - 2.6. apakšpunkts). Nav skaidrs iemesls, kādēļ nepieciešama MK noteikumu Nr. 384 2.2. apakšpunkta dzēšana, attiecīgi lūdzam papildināt noteikumu projekta anotācijas I sadaļas 2. punktu, ietverot tajā pamatojumu minētā apakšpunkta dzēšanai pēc būtības.</w:t>
            </w:r>
          </w:p>
        </w:tc>
        <w:tc>
          <w:tcPr>
            <w:tcW w:w="3402" w:type="dxa"/>
            <w:tcBorders>
              <w:top w:val="single" w:sz="6" w:space="0" w:color="000000"/>
              <w:left w:val="single" w:sz="6" w:space="0" w:color="000000"/>
              <w:bottom w:val="single" w:sz="6" w:space="0" w:color="000000"/>
              <w:right w:val="single" w:sz="6" w:space="0" w:color="000000"/>
            </w:tcBorders>
          </w:tcPr>
          <w:p w:rsidR="00CE02C2" w:rsidRPr="00EF70A1" w:rsidRDefault="00CE02C2" w:rsidP="00320917">
            <w:pPr>
              <w:spacing w:after="120"/>
              <w:jc w:val="center"/>
              <w:rPr>
                <w:b/>
                <w:sz w:val="28"/>
                <w:szCs w:val="28"/>
                <w:highlight w:val="yellow"/>
              </w:rPr>
            </w:pPr>
            <w:r w:rsidRPr="00D1331E">
              <w:rPr>
                <w:rFonts w:eastAsia="SimSun"/>
                <w:b/>
                <w:lang w:eastAsia="zh-CN"/>
              </w:rPr>
              <w:lastRenderedPageBreak/>
              <w:t>Iebildums ņemts vērā</w:t>
            </w:r>
          </w:p>
        </w:tc>
        <w:tc>
          <w:tcPr>
            <w:tcW w:w="2951" w:type="dxa"/>
            <w:tcBorders>
              <w:top w:val="single" w:sz="4" w:space="0" w:color="auto"/>
              <w:left w:val="single" w:sz="4" w:space="0" w:color="auto"/>
              <w:bottom w:val="single" w:sz="4" w:space="0" w:color="auto"/>
            </w:tcBorders>
          </w:tcPr>
          <w:p w:rsidR="00794534" w:rsidRDefault="00794534" w:rsidP="00794534">
            <w:pPr>
              <w:jc w:val="both"/>
            </w:pPr>
            <w:r w:rsidRPr="00794534">
              <w:t xml:space="preserve">Ministru kabineta 2001. gada 28. augusta </w:t>
            </w:r>
            <w:r w:rsidRPr="00794534">
              <w:lastRenderedPageBreak/>
              <w:t>noteikumos Nr. 384 "Bīstamo vielu uzglabāšanas rezervuāru tehniskās uzraudzības kārtība"</w:t>
            </w:r>
            <w:r>
              <w:t xml:space="preserve"> 2.2.apakšpunktā noteiktais izņēmums -  </w:t>
            </w:r>
            <w:r w:rsidRPr="00794534">
              <w:t>iekārtas, kas īpaši projektētas lietošanai radioaktīvā vidē un avārijas dēļ var izraisīt radioaktīvu vielu noplūdi</w:t>
            </w:r>
            <w:r>
              <w:t xml:space="preserve"> tiek saglabāts, līdz ar to Noteikumu projekta</w:t>
            </w:r>
            <w:r w:rsidR="00511824">
              <w:t xml:space="preserve"> 2.2. </w:t>
            </w:r>
            <w:bookmarkStart w:id="1" w:name="_GoBack"/>
            <w:bookmarkEnd w:id="1"/>
            <w:r w:rsidR="00511824">
              <w:t xml:space="preserve">apakšpunkta </w:t>
            </w:r>
            <w:r w:rsidR="00C529AD">
              <w:t xml:space="preserve">svītrošana tiek </w:t>
            </w:r>
            <w:r>
              <w:t xml:space="preserve"> </w:t>
            </w:r>
            <w:r w:rsidR="00C529AD">
              <w:t xml:space="preserve">atcelta. </w:t>
            </w:r>
          </w:p>
          <w:p w:rsidR="00CE02C2" w:rsidRDefault="00CE02C2" w:rsidP="00794534">
            <w:pPr>
              <w:jc w:val="both"/>
            </w:pPr>
          </w:p>
          <w:p w:rsidR="00CE02C2" w:rsidRDefault="00CE02C2" w:rsidP="00794534">
            <w:pPr>
              <w:jc w:val="both"/>
            </w:pPr>
          </w:p>
          <w:p w:rsidR="00CE02C2" w:rsidRDefault="00CE02C2" w:rsidP="00794534">
            <w:pPr>
              <w:jc w:val="both"/>
            </w:pPr>
          </w:p>
          <w:p w:rsidR="00CE02C2" w:rsidRDefault="00CE02C2" w:rsidP="00794534">
            <w:pPr>
              <w:jc w:val="both"/>
            </w:pPr>
          </w:p>
          <w:p w:rsidR="00CE02C2" w:rsidRPr="0086282C" w:rsidRDefault="00CE02C2" w:rsidP="00794534">
            <w:pPr>
              <w:jc w:val="both"/>
            </w:pPr>
          </w:p>
        </w:tc>
      </w:tr>
      <w:tr w:rsidR="00776EFB" w:rsidRPr="007A1F1E" w:rsidTr="00320917">
        <w:tc>
          <w:tcPr>
            <w:tcW w:w="675" w:type="dxa"/>
            <w:tcBorders>
              <w:top w:val="single" w:sz="6" w:space="0" w:color="000000"/>
              <w:left w:val="single" w:sz="6" w:space="0" w:color="000000"/>
              <w:bottom w:val="single" w:sz="6" w:space="0" w:color="000000"/>
              <w:right w:val="single" w:sz="6" w:space="0" w:color="000000"/>
            </w:tcBorders>
            <w:vAlign w:val="center"/>
          </w:tcPr>
          <w:p w:rsidR="00776EFB" w:rsidRDefault="00776EFB" w:rsidP="00CE02C2">
            <w:pPr>
              <w:pStyle w:val="naisc"/>
              <w:numPr>
                <w:ilvl w:val="0"/>
                <w:numId w:val="2"/>
              </w:numPr>
              <w:spacing w:before="0" w:after="0"/>
              <w:ind w:left="530"/>
              <w:rPr>
                <w:sz w:val="28"/>
                <w:szCs w:val="28"/>
              </w:rPr>
            </w:pPr>
          </w:p>
        </w:tc>
        <w:tc>
          <w:tcPr>
            <w:tcW w:w="3145" w:type="dxa"/>
            <w:tcBorders>
              <w:left w:val="single" w:sz="6" w:space="0" w:color="000000"/>
              <w:bottom w:val="single" w:sz="4" w:space="0" w:color="auto"/>
              <w:right w:val="single" w:sz="6" w:space="0" w:color="000000"/>
            </w:tcBorders>
          </w:tcPr>
          <w:p w:rsidR="00776EFB" w:rsidRPr="00A90F6E" w:rsidRDefault="00776EFB" w:rsidP="00A90F6E">
            <w:pPr>
              <w:pStyle w:val="ListParagraph"/>
              <w:ind w:left="61"/>
              <w:jc w:val="both"/>
              <w:outlineLvl w:val="0"/>
              <w:rPr>
                <w:rFonts w:eastAsia="Arial Unicode MS"/>
              </w:rPr>
            </w:pPr>
            <w:r w:rsidRPr="00776EFB">
              <w:rPr>
                <w:rFonts w:eastAsia="Arial Unicode MS"/>
              </w:rPr>
              <w:t>2.</w:t>
            </w:r>
            <w:r w:rsidRPr="00776EFB">
              <w:rPr>
                <w:rFonts w:eastAsia="Arial Unicode MS"/>
              </w:rPr>
              <w:tab/>
              <w:t>Izteikt 3. punktu šādā redakcijā:</w:t>
            </w:r>
          </w:p>
          <w:p w:rsidR="00776EFB" w:rsidRDefault="00776EFB" w:rsidP="00A90F6E">
            <w:pPr>
              <w:pStyle w:val="ListParagraph"/>
              <w:ind w:left="61"/>
              <w:jc w:val="both"/>
              <w:outlineLvl w:val="0"/>
              <w:rPr>
                <w:rFonts w:eastAsia="Arial Unicode MS"/>
              </w:rPr>
            </w:pPr>
            <w:r w:rsidRPr="00776EFB">
              <w:rPr>
                <w:rFonts w:eastAsia="Arial Unicode MS"/>
              </w:rPr>
              <w:t>“3. Rezervuārs ir paredzēts, lai noteiktā daudzumā glabātu šādas vielas:</w:t>
            </w:r>
          </w:p>
          <w:p w:rsidR="00A90F6E" w:rsidRPr="00A90F6E" w:rsidRDefault="00A90F6E" w:rsidP="00A90F6E">
            <w:pPr>
              <w:pStyle w:val="ListParagraph"/>
              <w:ind w:left="61"/>
              <w:jc w:val="both"/>
              <w:outlineLvl w:val="0"/>
              <w:rPr>
                <w:rFonts w:eastAsia="Arial Unicode MS"/>
              </w:rPr>
            </w:pPr>
          </w:p>
          <w:p w:rsidR="00776EFB" w:rsidRPr="00776EFB" w:rsidRDefault="00776EFB" w:rsidP="00776EFB">
            <w:pPr>
              <w:pStyle w:val="ListParagraph"/>
              <w:ind w:left="61"/>
              <w:jc w:val="both"/>
              <w:outlineLvl w:val="0"/>
              <w:rPr>
                <w:rFonts w:eastAsia="Arial Unicode MS"/>
              </w:rPr>
            </w:pPr>
            <w:r w:rsidRPr="00776EFB">
              <w:rPr>
                <w:rFonts w:eastAsia="Arial Unicode MS"/>
              </w:rPr>
              <w:t xml:space="preserve">3.1. vielas, kuras saskaņā ar Eiropas Parlamenta un Padomes 2008. gada 16. decembra regulas Nr. 1272/2008 par vielu un maisījumu klasificēšanu, marķēšanu un iepakošanu un ar ko groza un atceļ Direktīvas 67/548/EEK un </w:t>
            </w:r>
            <w:r w:rsidRPr="00776EFB">
              <w:rPr>
                <w:rFonts w:eastAsia="Arial Unicode MS"/>
              </w:rPr>
              <w:lastRenderedPageBreak/>
              <w:t>1999/45/EK un groza Regulu Nr. 1907/2006 (turpmāk – Regula Nr. 1272/2008) 4. pantu noteiktas kā viegli uzliesmojoši, sprādzienbīstami un īpaši viegli uzliesmojoši šķidrumi, gāzes un to maisījumi, – vairāk nekā 2,5 m</w:t>
            </w:r>
            <w:r w:rsidRPr="003D6C53">
              <w:rPr>
                <w:rFonts w:eastAsia="Arial Unicode MS"/>
                <w:vertAlign w:val="superscript"/>
              </w:rPr>
              <w:t>3</w:t>
            </w:r>
            <w:r w:rsidRPr="00776EFB">
              <w:rPr>
                <w:rFonts w:eastAsia="Arial Unicode MS"/>
              </w:rPr>
              <w:t>;</w:t>
            </w:r>
          </w:p>
          <w:p w:rsidR="00776EFB" w:rsidRPr="00776EFB" w:rsidRDefault="00776EFB" w:rsidP="00776EFB">
            <w:pPr>
              <w:pStyle w:val="ListParagraph"/>
              <w:ind w:left="61"/>
              <w:jc w:val="both"/>
              <w:outlineLvl w:val="0"/>
              <w:rPr>
                <w:rFonts w:eastAsia="Arial Unicode MS"/>
              </w:rPr>
            </w:pPr>
          </w:p>
          <w:p w:rsidR="00776EFB" w:rsidRPr="00776EFB" w:rsidRDefault="00776EFB" w:rsidP="00776EFB">
            <w:pPr>
              <w:pStyle w:val="ListParagraph"/>
              <w:ind w:left="61"/>
              <w:jc w:val="both"/>
              <w:outlineLvl w:val="0"/>
              <w:rPr>
                <w:rFonts w:eastAsia="Arial Unicode MS"/>
              </w:rPr>
            </w:pPr>
            <w:r w:rsidRPr="00776EFB">
              <w:rPr>
                <w:rFonts w:eastAsia="Arial Unicode MS"/>
              </w:rPr>
              <w:t xml:space="preserve">3.2. dīzeļdegvielu, šķidro kurināmo un </w:t>
            </w:r>
            <w:proofErr w:type="spellStart"/>
            <w:r w:rsidRPr="00776EFB">
              <w:rPr>
                <w:rFonts w:eastAsia="Arial Unicode MS"/>
              </w:rPr>
              <w:t>degtspējīgus</w:t>
            </w:r>
            <w:proofErr w:type="spellEnd"/>
            <w:r w:rsidRPr="00776EFB">
              <w:rPr>
                <w:rFonts w:eastAsia="Arial Unicode MS"/>
              </w:rPr>
              <w:t xml:space="preserve"> šķidrumus, kas saskaņā ar Regulu Nr. 1272/2008 noteiktas kā uzliesmojoši šķidrumi, – vairāk nekā 10 m</w:t>
            </w:r>
            <w:r w:rsidRPr="003D6C53">
              <w:rPr>
                <w:rFonts w:eastAsia="Arial Unicode MS"/>
                <w:vertAlign w:val="superscript"/>
              </w:rPr>
              <w:t>3</w:t>
            </w:r>
            <w:r w:rsidRPr="00776EFB">
              <w:rPr>
                <w:rFonts w:eastAsia="Arial Unicode MS"/>
              </w:rPr>
              <w:t>;</w:t>
            </w:r>
          </w:p>
          <w:p w:rsidR="00776EFB" w:rsidRPr="00776EFB" w:rsidRDefault="00776EFB" w:rsidP="00776EFB">
            <w:pPr>
              <w:pStyle w:val="ListParagraph"/>
              <w:ind w:left="61"/>
              <w:jc w:val="both"/>
              <w:outlineLvl w:val="0"/>
              <w:rPr>
                <w:rFonts w:eastAsia="Arial Unicode MS"/>
              </w:rPr>
            </w:pPr>
          </w:p>
          <w:p w:rsidR="00776EFB" w:rsidRPr="0074039C" w:rsidRDefault="00776EFB" w:rsidP="00776EFB">
            <w:pPr>
              <w:pStyle w:val="ListParagraph"/>
              <w:ind w:left="61"/>
              <w:jc w:val="both"/>
              <w:outlineLvl w:val="0"/>
              <w:rPr>
                <w:rFonts w:eastAsia="Arial Unicode MS"/>
              </w:rPr>
            </w:pPr>
            <w:r w:rsidRPr="00776EFB">
              <w:rPr>
                <w:rFonts w:eastAsia="Arial Unicode MS"/>
              </w:rPr>
              <w:t>3.3. vielas, kuras saskaņā ar Regulu Nr. 1272/2008 noteiktas kā ļoti toksiski, toksiski, kaitīgi, kodīgi, kairinoši un videi bīstami šķidrumi (izņemot notekūdeņus), gāzes un to maisījumi, — vairāk nekā 2,5 m</w:t>
            </w:r>
            <w:r w:rsidRPr="003D6C53">
              <w:rPr>
                <w:rFonts w:eastAsia="Arial Unicode MS"/>
                <w:vertAlign w:val="superscript"/>
              </w:rPr>
              <w:t>3</w:t>
            </w:r>
            <w:r w:rsidRPr="00776EFB">
              <w:rPr>
                <w:rFonts w:eastAsia="Arial Unicode MS"/>
              </w:rPr>
              <w:t>”.</w:t>
            </w:r>
          </w:p>
        </w:tc>
        <w:tc>
          <w:tcPr>
            <w:tcW w:w="4536" w:type="dxa"/>
            <w:tcBorders>
              <w:left w:val="single" w:sz="6" w:space="0" w:color="000000"/>
              <w:bottom w:val="single" w:sz="4" w:space="0" w:color="auto"/>
              <w:right w:val="single" w:sz="6" w:space="0" w:color="000000"/>
            </w:tcBorders>
          </w:tcPr>
          <w:p w:rsidR="00455CE1" w:rsidRPr="00794534" w:rsidRDefault="00455CE1" w:rsidP="00794534">
            <w:pPr>
              <w:jc w:val="center"/>
              <w:rPr>
                <w:b/>
                <w:bCs/>
                <w:szCs w:val="28"/>
              </w:rPr>
            </w:pPr>
            <w:r w:rsidRPr="00794534">
              <w:rPr>
                <w:b/>
                <w:bCs/>
                <w:szCs w:val="28"/>
              </w:rPr>
              <w:lastRenderedPageBreak/>
              <w:t>VARAM</w:t>
            </w:r>
          </w:p>
          <w:p w:rsidR="00455CE1" w:rsidRDefault="00455CE1" w:rsidP="00A90F6E">
            <w:pPr>
              <w:jc w:val="both"/>
              <w:rPr>
                <w:szCs w:val="28"/>
              </w:rPr>
            </w:pPr>
          </w:p>
          <w:p w:rsidR="00776EFB" w:rsidRPr="00A90F6E" w:rsidRDefault="00A90F6E" w:rsidP="00A90F6E">
            <w:pPr>
              <w:jc w:val="both"/>
              <w:rPr>
                <w:szCs w:val="28"/>
              </w:rPr>
            </w:pPr>
            <w:r w:rsidRPr="00A90F6E">
              <w:rPr>
                <w:szCs w:val="28"/>
              </w:rPr>
              <w:t>2.</w:t>
            </w:r>
            <w:r w:rsidRPr="00A90F6E">
              <w:rPr>
                <w:szCs w:val="28"/>
              </w:rPr>
              <w:tab/>
              <w:t xml:space="preserve">Noteikumu projekta 2. punktā, kas groza MK noteikumu Nr. 384 3. punktu, ir atsauce uz Eiropas Parlamenta un Padomes Regulu (EK) Nr. 1272/2008 (2008. gada 16. decembris) par vielu un maisījumu klasificēšanu, marķēšanu un iepakošanu un ar ko groza un atceļ Direktīvas 67/548/EEK un 1999/45/EK un groza Regulu (EK) Nr. 1907/2006 (turpmāk – Regula Nr. 1272/2008), kas ietver prasības ķīmisko vielu  un maisījumu  klasifikācijai. Vēršam uzmanību, ka Regulas Nr. 1272/2008 4. pants nosaka klasificēšanas, marķēšanas un </w:t>
            </w:r>
            <w:r w:rsidRPr="00A90F6E">
              <w:rPr>
                <w:szCs w:val="28"/>
              </w:rPr>
              <w:lastRenderedPageBreak/>
              <w:t>iepakošanas vispārējās prasības piegādes ķēdes dalībniekiem (ražotājiem, importētājiem un pakārtotiem lietotājiem). Kritēriji, saskaņā ar kuriem ķīmiskās vielas vai maisījumi tiek klasificēti noteiktās bīstamības klasēs un kategorijās ir minēti Regulas Nr. 1272/2008 I pielikumā no 2. līdz 5. daļai, līdz ar to lūdzam Noteikumu projektā atsaukties uz Regulu Nr. 1272/2008 kopumā, neizdalot atsevišķus pantus. Kā arī vēršam uzmanību, ka attiecībā uz vielu un maisījumu klasifikāciju Regulas Nr. 1272/2008 prasības atšķiras no iepriekš spēka esošajām prasībām, kas tika noteiktas Direktīvā 67/548/EEK un Direktīvā 1999/45/EK par bīstamo ķīmisko vielu un produktu klasifikāciju, marķēšanu un iepakošanu, kuras tika pārņemtas ar Ministru kabineta 2002. gada 12. marta noteikumiem Nr. 107 “Ķīmisko vielu un ķīmisko produktu klasificēšanas, marķēšanas un iepakošanas kārtība” (nav spēka kopš 2015. gada 1. jūnija). Piemēram, Regula Nr. 1272/2008 neietver bīstamības klasi "Kaitīgs". Ņemot vērā iepriekš minēto, lūdzam noteikumu projekta 2. punktā un anotācijas I sadaļas 2. punktā pārskatīt ietvertās bīstamības klases un tās norādīt, saskaņā ar Regulas Nr. 1272/2008 prasībām ķīmisko vielu un maisījumu klasifikācijā.</w:t>
            </w:r>
          </w:p>
        </w:tc>
        <w:tc>
          <w:tcPr>
            <w:tcW w:w="3402" w:type="dxa"/>
            <w:tcBorders>
              <w:top w:val="single" w:sz="6" w:space="0" w:color="000000"/>
              <w:left w:val="single" w:sz="6" w:space="0" w:color="000000"/>
              <w:bottom w:val="single" w:sz="6" w:space="0" w:color="000000"/>
              <w:right w:val="single" w:sz="6" w:space="0" w:color="000000"/>
            </w:tcBorders>
          </w:tcPr>
          <w:p w:rsidR="00776EFB" w:rsidRPr="00D1331E" w:rsidRDefault="002F3623" w:rsidP="00320917">
            <w:pPr>
              <w:spacing w:after="120"/>
              <w:jc w:val="center"/>
              <w:rPr>
                <w:rFonts w:eastAsia="SimSun"/>
                <w:b/>
                <w:lang w:eastAsia="zh-CN"/>
              </w:rPr>
            </w:pPr>
            <w:r>
              <w:rPr>
                <w:rFonts w:eastAsia="SimSun"/>
                <w:b/>
                <w:lang w:eastAsia="zh-CN"/>
              </w:rPr>
              <w:lastRenderedPageBreak/>
              <w:t>Iebildums ņemts vērā</w:t>
            </w:r>
          </w:p>
        </w:tc>
        <w:tc>
          <w:tcPr>
            <w:tcW w:w="2951" w:type="dxa"/>
            <w:tcBorders>
              <w:top w:val="single" w:sz="4" w:space="0" w:color="auto"/>
              <w:left w:val="single" w:sz="4" w:space="0" w:color="auto"/>
              <w:bottom w:val="single" w:sz="4" w:space="0" w:color="auto"/>
            </w:tcBorders>
          </w:tcPr>
          <w:p w:rsidR="003D6C53" w:rsidRDefault="003D6C53" w:rsidP="00E00E7E">
            <w:pPr>
              <w:jc w:val="both"/>
            </w:pPr>
            <w:r>
              <w:t>Precizēts</w:t>
            </w:r>
            <w:r w:rsidR="00F7742F">
              <w:t xml:space="preserve"> </w:t>
            </w:r>
            <w:r>
              <w:t>Noteikumu projekt</w:t>
            </w:r>
            <w:r w:rsidR="004D4A22">
              <w:t>a 3.punkts</w:t>
            </w:r>
            <w:r>
              <w:t xml:space="preserve"> </w:t>
            </w:r>
            <w:r w:rsidR="00F7742F">
              <w:t>un anotācija.</w:t>
            </w:r>
          </w:p>
          <w:p w:rsidR="00F7742F" w:rsidRDefault="00F7742F" w:rsidP="00E00E7E">
            <w:pPr>
              <w:jc w:val="both"/>
            </w:pPr>
          </w:p>
          <w:p w:rsidR="00E00E7E" w:rsidRDefault="00E00E7E" w:rsidP="00E00E7E">
            <w:pPr>
              <w:jc w:val="both"/>
            </w:pPr>
            <w:r>
              <w:t>3. Rezervuārs ir paredzēts, lai noteiktā daudzumā glabātu šādas vielas:</w:t>
            </w:r>
          </w:p>
          <w:p w:rsidR="00E00E7E" w:rsidRDefault="00E00E7E" w:rsidP="00E00E7E">
            <w:pPr>
              <w:jc w:val="both"/>
            </w:pPr>
            <w:r>
              <w:t xml:space="preserve">3.1. vielas, kuras saskaņā ar Eiropas Parlamenta un Padomes 2008. gada 16. decembra regulas Nr. 1272/2008 par vielu un maisījumu klasificēšanu, marķēšanu un iepakošanu un ar ko groza un atceļ </w:t>
            </w:r>
            <w:r>
              <w:lastRenderedPageBreak/>
              <w:t>Direktīvas 67/548/EEK un 1999/45/EK un groza Regulu Nr. 1907/2006 (turpmāk – Regula Nr. 1272/2008) noteiktas kā viegli uzliesmojoši, īpaši viegli uzliesmojoši šķidrumi un tvaiki,  sprādzienbīstami, gāzes un to maisījumi, – vairāk nekā 2,5 m</w:t>
            </w:r>
            <w:r>
              <w:rPr>
                <w:vertAlign w:val="superscript"/>
              </w:rPr>
              <w:t>3</w:t>
            </w:r>
            <w:r>
              <w:t>;</w:t>
            </w:r>
          </w:p>
          <w:p w:rsidR="00E00E7E" w:rsidRDefault="00E00E7E" w:rsidP="00E00E7E">
            <w:pPr>
              <w:jc w:val="both"/>
            </w:pPr>
          </w:p>
          <w:p w:rsidR="00E00E7E" w:rsidRDefault="00E00E7E" w:rsidP="00E00E7E">
            <w:pPr>
              <w:jc w:val="both"/>
            </w:pPr>
            <w:r>
              <w:t xml:space="preserve">3.2. dīzeļdegvielu, šķidro kurināmo un </w:t>
            </w:r>
            <w:proofErr w:type="spellStart"/>
            <w:r>
              <w:t>degtspējīgus</w:t>
            </w:r>
            <w:proofErr w:type="spellEnd"/>
            <w:r>
              <w:t xml:space="preserve"> šķidrumus, kas saskaņā ar Regulu Nr. 1272/2008 noteiktas kā uzliesmojoši šķidrumi un tvaiki, – vairāk nekā 10 m</w:t>
            </w:r>
            <w:r w:rsidRPr="00E00E7E">
              <w:rPr>
                <w:vertAlign w:val="superscript"/>
              </w:rPr>
              <w:t>3</w:t>
            </w:r>
            <w:r>
              <w:t>;</w:t>
            </w:r>
          </w:p>
          <w:p w:rsidR="00E00E7E" w:rsidRDefault="00E00E7E" w:rsidP="00E00E7E">
            <w:pPr>
              <w:jc w:val="both"/>
            </w:pPr>
          </w:p>
          <w:p w:rsidR="00776EFB" w:rsidRDefault="00E00E7E" w:rsidP="00E00E7E">
            <w:pPr>
              <w:jc w:val="both"/>
            </w:pPr>
            <w:r>
              <w:t>3.3. vielas, kuras saskaņā ar Regulu Nr. 1272/2008 noteiktas kā ļoti toksiski, toksiski, kodīgi, kairinoši un videi bīstami šķidrumi (izņemot notekūdeņus), gāzes un to maisījumi, — vairāk nekā 2,5 m</w:t>
            </w:r>
            <w:r>
              <w:rPr>
                <w:vertAlign w:val="superscript"/>
              </w:rPr>
              <w:t>3</w:t>
            </w:r>
            <w:r>
              <w:t>.</w:t>
            </w:r>
          </w:p>
        </w:tc>
      </w:tr>
      <w:tr w:rsidR="00724936" w:rsidRPr="007A1F1E" w:rsidTr="00320917">
        <w:tc>
          <w:tcPr>
            <w:tcW w:w="675" w:type="dxa"/>
            <w:tcBorders>
              <w:top w:val="single" w:sz="6" w:space="0" w:color="000000"/>
              <w:left w:val="single" w:sz="6" w:space="0" w:color="000000"/>
              <w:bottom w:val="single" w:sz="6" w:space="0" w:color="000000"/>
              <w:right w:val="single" w:sz="6" w:space="0" w:color="000000"/>
            </w:tcBorders>
            <w:vAlign w:val="center"/>
          </w:tcPr>
          <w:p w:rsidR="00724936" w:rsidRDefault="00724936" w:rsidP="00CE02C2">
            <w:pPr>
              <w:pStyle w:val="naisc"/>
              <w:numPr>
                <w:ilvl w:val="0"/>
                <w:numId w:val="2"/>
              </w:numPr>
              <w:spacing w:before="0" w:after="0"/>
              <w:ind w:left="530"/>
              <w:rPr>
                <w:sz w:val="28"/>
                <w:szCs w:val="28"/>
              </w:rPr>
            </w:pPr>
          </w:p>
        </w:tc>
        <w:tc>
          <w:tcPr>
            <w:tcW w:w="3145" w:type="dxa"/>
            <w:tcBorders>
              <w:left w:val="single" w:sz="6" w:space="0" w:color="000000"/>
              <w:bottom w:val="single" w:sz="4" w:space="0" w:color="auto"/>
              <w:right w:val="single" w:sz="6" w:space="0" w:color="000000"/>
            </w:tcBorders>
          </w:tcPr>
          <w:p w:rsidR="00724936" w:rsidRPr="00776EFB" w:rsidRDefault="002A1DD5" w:rsidP="00A90F6E">
            <w:pPr>
              <w:pStyle w:val="ListParagraph"/>
              <w:ind w:left="61"/>
              <w:jc w:val="both"/>
              <w:outlineLvl w:val="0"/>
              <w:rPr>
                <w:rFonts w:eastAsia="Arial Unicode MS"/>
              </w:rPr>
            </w:pPr>
            <w:r w:rsidRPr="002A1DD5">
              <w:rPr>
                <w:rFonts w:eastAsia="Arial Unicode MS"/>
              </w:rPr>
              <w:t xml:space="preserve">8. Ekonomikas ministrija sadarbībā ar standartizācijas tehnisko komiteju iesniedz </w:t>
            </w:r>
            <w:r w:rsidRPr="002A1DD5">
              <w:rPr>
                <w:rFonts w:eastAsia="Arial Unicode MS"/>
              </w:rPr>
              <w:lastRenderedPageBreak/>
              <w:t>nacionālajai standartizācijas institūcijai publicēšanai tās tīmekļvietnē to piemērojamo standartu sarakstu, kurus var piemērot šo noteikumu prasību izpildei.</w:t>
            </w:r>
          </w:p>
        </w:tc>
        <w:tc>
          <w:tcPr>
            <w:tcW w:w="4536" w:type="dxa"/>
            <w:tcBorders>
              <w:left w:val="single" w:sz="6" w:space="0" w:color="000000"/>
              <w:bottom w:val="single" w:sz="4" w:space="0" w:color="auto"/>
              <w:right w:val="single" w:sz="6" w:space="0" w:color="000000"/>
            </w:tcBorders>
          </w:tcPr>
          <w:p w:rsidR="00724936" w:rsidRDefault="00724936" w:rsidP="00724936">
            <w:pPr>
              <w:pStyle w:val="NormalWeb"/>
              <w:spacing w:before="0" w:after="0"/>
              <w:ind w:right="13" w:firstLine="720"/>
              <w:rPr>
                <w:b/>
                <w:bCs/>
              </w:rPr>
            </w:pPr>
            <w:r>
              <w:rPr>
                <w:b/>
                <w:bCs/>
              </w:rPr>
              <w:lastRenderedPageBreak/>
              <w:t xml:space="preserve">      </w:t>
            </w:r>
            <w:r w:rsidRPr="00724936">
              <w:rPr>
                <w:b/>
                <w:bCs/>
              </w:rPr>
              <w:t>Tieslietu ministrija</w:t>
            </w:r>
          </w:p>
          <w:p w:rsidR="00724936" w:rsidRPr="00724936" w:rsidRDefault="00724936" w:rsidP="00724936">
            <w:pPr>
              <w:pStyle w:val="NormalWeb"/>
              <w:spacing w:before="0" w:after="0"/>
              <w:ind w:right="13"/>
              <w:jc w:val="both"/>
              <w:rPr>
                <w:b/>
                <w:bCs/>
              </w:rPr>
            </w:pPr>
            <w:r>
              <w:lastRenderedPageBreak/>
              <w:t xml:space="preserve">1. </w:t>
            </w:r>
            <w:r w:rsidRPr="00B82A62">
              <w:t>Ministru kabineta 2001. gada 28. augusta noteikum</w:t>
            </w:r>
            <w:r>
              <w:t>u</w:t>
            </w:r>
            <w:r w:rsidRPr="00B82A62">
              <w:t xml:space="preserve"> Nr. 384 "Bīstam</w:t>
            </w:r>
            <w:r>
              <w:t>u</w:t>
            </w:r>
            <w:r w:rsidRPr="00B82A62">
              <w:t xml:space="preserve"> vielu uzglabāšanas rezervuāru tehniskās uzraudzības kārtība"</w:t>
            </w:r>
            <w:r>
              <w:t xml:space="preserve"> (turpmāk – noteikumi) 8. punktā ir atrunāts turpmāk noteikumos izmantojamais saīsinājums "piemērojamie standarti", savukārt projekta 4. punktā izteiktajā noteikumu 8. punktā minētais saīsinājums nav ietverts, tomēr turpmāk tekstā tas tiek lietots. Ievērojot minēto, lūdzam atbilstoši precizēt projektu.</w:t>
            </w:r>
          </w:p>
          <w:p w:rsidR="00724936" w:rsidRPr="00A90F6E" w:rsidRDefault="00724936" w:rsidP="00A90F6E">
            <w:pPr>
              <w:jc w:val="both"/>
              <w:rPr>
                <w:szCs w:val="28"/>
              </w:rPr>
            </w:pPr>
          </w:p>
        </w:tc>
        <w:tc>
          <w:tcPr>
            <w:tcW w:w="3402" w:type="dxa"/>
            <w:tcBorders>
              <w:top w:val="single" w:sz="6" w:space="0" w:color="000000"/>
              <w:left w:val="single" w:sz="6" w:space="0" w:color="000000"/>
              <w:bottom w:val="single" w:sz="6" w:space="0" w:color="000000"/>
              <w:right w:val="single" w:sz="6" w:space="0" w:color="000000"/>
            </w:tcBorders>
          </w:tcPr>
          <w:p w:rsidR="00724936" w:rsidRDefault="002A1DD5" w:rsidP="00320917">
            <w:pPr>
              <w:spacing w:after="120"/>
              <w:jc w:val="center"/>
              <w:rPr>
                <w:rFonts w:eastAsia="SimSun"/>
                <w:b/>
                <w:lang w:eastAsia="zh-CN"/>
              </w:rPr>
            </w:pPr>
            <w:r>
              <w:rPr>
                <w:rFonts w:eastAsia="SimSun"/>
                <w:b/>
                <w:lang w:eastAsia="zh-CN"/>
              </w:rPr>
              <w:lastRenderedPageBreak/>
              <w:t>Iebildums ņemts vērā</w:t>
            </w:r>
          </w:p>
        </w:tc>
        <w:tc>
          <w:tcPr>
            <w:tcW w:w="2951" w:type="dxa"/>
            <w:tcBorders>
              <w:top w:val="single" w:sz="4" w:space="0" w:color="auto"/>
              <w:left w:val="single" w:sz="4" w:space="0" w:color="auto"/>
              <w:bottom w:val="single" w:sz="4" w:space="0" w:color="auto"/>
            </w:tcBorders>
          </w:tcPr>
          <w:p w:rsidR="002A1DD5" w:rsidRDefault="002A1DD5" w:rsidP="00E00E7E">
            <w:pPr>
              <w:jc w:val="both"/>
            </w:pPr>
            <w:r>
              <w:t>Precizēts Noteikumu projekt</w:t>
            </w:r>
            <w:r w:rsidR="005F15EC">
              <w:t>a 8.punkts.</w:t>
            </w:r>
          </w:p>
          <w:p w:rsidR="002A1DD5" w:rsidRDefault="002A1DD5" w:rsidP="00E00E7E">
            <w:pPr>
              <w:jc w:val="both"/>
            </w:pPr>
          </w:p>
          <w:p w:rsidR="00724936" w:rsidRDefault="002A1DD5" w:rsidP="00E00E7E">
            <w:pPr>
              <w:jc w:val="both"/>
            </w:pPr>
            <w:r w:rsidRPr="002A1DD5">
              <w:lastRenderedPageBreak/>
              <w:t>8. Ekonomikas ministrija sadarbībā ar standartizācijas tehnisko komiteju iesniedz nacionālajai standartizācijas institūcijai publicēšanai tās tīmekļvietnē to piemērojamo standartu sarakstu, kurus var piemērot šo noteikumu prasību izpildei (turpmāk – piemērojamie standarti).</w:t>
            </w:r>
          </w:p>
        </w:tc>
      </w:tr>
      <w:tr w:rsidR="00A90F6E" w:rsidRPr="007A1F1E" w:rsidTr="00320917">
        <w:tc>
          <w:tcPr>
            <w:tcW w:w="675" w:type="dxa"/>
            <w:tcBorders>
              <w:top w:val="single" w:sz="6" w:space="0" w:color="000000"/>
              <w:left w:val="single" w:sz="6" w:space="0" w:color="000000"/>
              <w:bottom w:val="single" w:sz="6" w:space="0" w:color="000000"/>
              <w:right w:val="single" w:sz="6" w:space="0" w:color="000000"/>
            </w:tcBorders>
            <w:vAlign w:val="center"/>
          </w:tcPr>
          <w:p w:rsidR="00A90F6E" w:rsidRDefault="00A90F6E" w:rsidP="00CE02C2">
            <w:pPr>
              <w:pStyle w:val="naisc"/>
              <w:numPr>
                <w:ilvl w:val="0"/>
                <w:numId w:val="2"/>
              </w:numPr>
              <w:spacing w:before="0" w:after="0"/>
              <w:ind w:left="530"/>
              <w:rPr>
                <w:sz w:val="28"/>
                <w:szCs w:val="28"/>
              </w:rPr>
            </w:pPr>
          </w:p>
        </w:tc>
        <w:tc>
          <w:tcPr>
            <w:tcW w:w="3145" w:type="dxa"/>
            <w:tcBorders>
              <w:left w:val="single" w:sz="6" w:space="0" w:color="000000"/>
              <w:bottom w:val="single" w:sz="4" w:space="0" w:color="auto"/>
              <w:right w:val="single" w:sz="6" w:space="0" w:color="000000"/>
            </w:tcBorders>
          </w:tcPr>
          <w:p w:rsidR="00A90F6E" w:rsidRPr="00776EFB" w:rsidRDefault="00A90F6E" w:rsidP="00A90F6E">
            <w:pPr>
              <w:pStyle w:val="ListParagraph"/>
              <w:ind w:left="61"/>
              <w:jc w:val="both"/>
              <w:outlineLvl w:val="0"/>
              <w:rPr>
                <w:rFonts w:eastAsia="Arial Unicode MS"/>
              </w:rPr>
            </w:pPr>
          </w:p>
        </w:tc>
        <w:tc>
          <w:tcPr>
            <w:tcW w:w="4536" w:type="dxa"/>
            <w:tcBorders>
              <w:left w:val="single" w:sz="6" w:space="0" w:color="000000"/>
              <w:bottom w:val="single" w:sz="4" w:space="0" w:color="auto"/>
              <w:right w:val="single" w:sz="6" w:space="0" w:color="000000"/>
            </w:tcBorders>
          </w:tcPr>
          <w:p w:rsidR="00724936" w:rsidRPr="00724936" w:rsidRDefault="00724936" w:rsidP="00724936">
            <w:pPr>
              <w:jc w:val="center"/>
              <w:rPr>
                <w:b/>
                <w:bCs/>
                <w:szCs w:val="28"/>
              </w:rPr>
            </w:pPr>
            <w:r w:rsidRPr="00724936">
              <w:rPr>
                <w:b/>
                <w:bCs/>
                <w:szCs w:val="28"/>
              </w:rPr>
              <w:t>VARAM</w:t>
            </w:r>
          </w:p>
          <w:p w:rsidR="00724936" w:rsidRDefault="00724936" w:rsidP="00724936">
            <w:pPr>
              <w:jc w:val="center"/>
              <w:rPr>
                <w:szCs w:val="28"/>
              </w:rPr>
            </w:pPr>
          </w:p>
          <w:p w:rsidR="00A90F6E" w:rsidRPr="00A90F6E" w:rsidRDefault="00A90F6E" w:rsidP="00A90F6E">
            <w:pPr>
              <w:jc w:val="both"/>
              <w:rPr>
                <w:szCs w:val="28"/>
              </w:rPr>
            </w:pPr>
            <w:r w:rsidRPr="00A90F6E">
              <w:rPr>
                <w:szCs w:val="28"/>
              </w:rPr>
              <w:t>3.</w:t>
            </w:r>
            <w:r w:rsidRPr="00A90F6E">
              <w:rPr>
                <w:szCs w:val="28"/>
              </w:rPr>
              <w:tab/>
              <w:t xml:space="preserve">Lūdzam precizēt MK noteikumu Nr. 384 42. punkta ceturto teikumu </w:t>
            </w:r>
            <w:r w:rsidR="002F3623">
              <w:rPr>
                <w:szCs w:val="28"/>
              </w:rPr>
              <w:t>“</w:t>
            </w:r>
            <w:r w:rsidRPr="00A90F6E">
              <w:rPr>
                <w:szCs w:val="28"/>
              </w:rPr>
              <w:t>Ja rezervuārā ir ļoti toksiskas, toksiskas un kaitīgas vielas, to koncentrācija nedrīkst pārsniegt normatīvajos aktos noteiktās maksimāli pieļaujamās vērtības</w:t>
            </w:r>
            <w:r w:rsidR="002F3623">
              <w:rPr>
                <w:szCs w:val="28"/>
              </w:rPr>
              <w:t>”</w:t>
            </w:r>
            <w:r w:rsidRPr="00A90F6E">
              <w:rPr>
                <w:szCs w:val="28"/>
              </w:rPr>
              <w:t>, ņemot vērā Regulas Nr. 1272/2008 prasības ķīmisko vielu un maisījumu klasifikācijā attiecībā uz bīstamības klasēm un kategorijām.</w:t>
            </w:r>
          </w:p>
        </w:tc>
        <w:tc>
          <w:tcPr>
            <w:tcW w:w="3402" w:type="dxa"/>
            <w:tcBorders>
              <w:top w:val="single" w:sz="6" w:space="0" w:color="000000"/>
              <w:left w:val="single" w:sz="6" w:space="0" w:color="000000"/>
              <w:bottom w:val="single" w:sz="6" w:space="0" w:color="000000"/>
              <w:right w:val="single" w:sz="6" w:space="0" w:color="000000"/>
            </w:tcBorders>
          </w:tcPr>
          <w:p w:rsidR="00A90F6E" w:rsidRPr="00D1331E" w:rsidRDefault="002F3623" w:rsidP="00320917">
            <w:pPr>
              <w:spacing w:after="120"/>
              <w:jc w:val="center"/>
              <w:rPr>
                <w:rFonts w:eastAsia="SimSun"/>
                <w:b/>
                <w:lang w:eastAsia="zh-CN"/>
              </w:rPr>
            </w:pPr>
            <w:r>
              <w:rPr>
                <w:rFonts w:eastAsia="SimSun"/>
                <w:b/>
                <w:lang w:eastAsia="zh-CN"/>
              </w:rPr>
              <w:t>Iebildums ņemts vērā</w:t>
            </w:r>
          </w:p>
        </w:tc>
        <w:tc>
          <w:tcPr>
            <w:tcW w:w="2951" w:type="dxa"/>
            <w:tcBorders>
              <w:top w:val="single" w:sz="4" w:space="0" w:color="auto"/>
              <w:left w:val="single" w:sz="4" w:space="0" w:color="auto"/>
              <w:bottom w:val="single" w:sz="4" w:space="0" w:color="auto"/>
            </w:tcBorders>
          </w:tcPr>
          <w:p w:rsidR="004C67C7" w:rsidRPr="002A1DD5" w:rsidRDefault="004C67C7" w:rsidP="002F3623">
            <w:pPr>
              <w:jc w:val="both"/>
            </w:pPr>
            <w:r w:rsidRPr="002A1DD5">
              <w:t>Precizēts Noteikumu projekt</w:t>
            </w:r>
            <w:r w:rsidR="005F15EC">
              <w:t>a 42.punkt</w:t>
            </w:r>
            <w:r w:rsidR="00126900">
              <w:t>a ceturtais teikums</w:t>
            </w:r>
            <w:r w:rsidR="005F15EC">
              <w:t>.</w:t>
            </w:r>
          </w:p>
          <w:p w:rsidR="004C67C7" w:rsidRPr="002A1DD5" w:rsidRDefault="004C67C7" w:rsidP="002F3623">
            <w:pPr>
              <w:jc w:val="both"/>
            </w:pPr>
          </w:p>
          <w:p w:rsidR="00A90F6E" w:rsidRPr="002A1DD5" w:rsidRDefault="002F3623" w:rsidP="002F3623">
            <w:pPr>
              <w:jc w:val="both"/>
            </w:pPr>
            <w:r w:rsidRPr="002A1DD5">
              <w:t>42. Ja rezervuārā ir ļoti toksiskas, toksiskas vielas, to koncentrācija nedrīkst pārsniegt normatīvajos aktos noteiktās maksimāli pieļaujamās vērtības, ņemot vērā Regulas Nr. 1272/2008 prasības ķīmisko vielu un maisījumu klasifikācijā attiecībā uz bīstamības klasēm un kategorijām.</w:t>
            </w:r>
          </w:p>
        </w:tc>
      </w:tr>
      <w:tr w:rsidR="004C67C7" w:rsidRPr="007A1F1E" w:rsidTr="00320917">
        <w:tc>
          <w:tcPr>
            <w:tcW w:w="675" w:type="dxa"/>
            <w:tcBorders>
              <w:top w:val="single" w:sz="6" w:space="0" w:color="000000"/>
              <w:left w:val="single" w:sz="6" w:space="0" w:color="000000"/>
              <w:bottom w:val="single" w:sz="6" w:space="0" w:color="000000"/>
              <w:right w:val="single" w:sz="6" w:space="0" w:color="000000"/>
            </w:tcBorders>
            <w:vAlign w:val="center"/>
          </w:tcPr>
          <w:p w:rsidR="004C67C7" w:rsidRDefault="004C67C7" w:rsidP="00CE02C2">
            <w:pPr>
              <w:pStyle w:val="naisc"/>
              <w:numPr>
                <w:ilvl w:val="0"/>
                <w:numId w:val="2"/>
              </w:numPr>
              <w:spacing w:before="0" w:after="0"/>
              <w:ind w:left="530"/>
              <w:rPr>
                <w:sz w:val="28"/>
                <w:szCs w:val="28"/>
              </w:rPr>
            </w:pPr>
          </w:p>
        </w:tc>
        <w:tc>
          <w:tcPr>
            <w:tcW w:w="3145" w:type="dxa"/>
            <w:tcBorders>
              <w:left w:val="single" w:sz="6" w:space="0" w:color="000000"/>
              <w:bottom w:val="single" w:sz="4" w:space="0" w:color="auto"/>
              <w:right w:val="single" w:sz="6" w:space="0" w:color="000000"/>
            </w:tcBorders>
          </w:tcPr>
          <w:p w:rsidR="004C67C7" w:rsidRPr="002F3623" w:rsidRDefault="00F74CDD" w:rsidP="00A90F6E">
            <w:pPr>
              <w:pStyle w:val="ListParagraph"/>
              <w:ind w:left="61"/>
              <w:jc w:val="both"/>
              <w:outlineLvl w:val="0"/>
              <w:rPr>
                <w:rFonts w:eastAsia="Arial Unicode MS"/>
              </w:rPr>
            </w:pPr>
            <w:r>
              <w:rPr>
                <w:rFonts w:eastAsia="Arial Unicode MS"/>
              </w:rPr>
              <w:t>Noteikumu projekta anotācija</w:t>
            </w:r>
          </w:p>
        </w:tc>
        <w:tc>
          <w:tcPr>
            <w:tcW w:w="4536" w:type="dxa"/>
            <w:tcBorders>
              <w:left w:val="single" w:sz="6" w:space="0" w:color="000000"/>
              <w:bottom w:val="single" w:sz="4" w:space="0" w:color="auto"/>
              <w:right w:val="single" w:sz="6" w:space="0" w:color="000000"/>
            </w:tcBorders>
          </w:tcPr>
          <w:p w:rsidR="00455CE1" w:rsidRDefault="00455CE1" w:rsidP="00455CE1">
            <w:pPr>
              <w:jc w:val="center"/>
              <w:rPr>
                <w:szCs w:val="28"/>
              </w:rPr>
            </w:pPr>
            <w:r w:rsidRPr="00126900">
              <w:rPr>
                <w:szCs w:val="28"/>
              </w:rPr>
              <w:t>Ti</w:t>
            </w:r>
            <w:r w:rsidR="00126900" w:rsidRPr="00126900">
              <w:rPr>
                <w:szCs w:val="28"/>
              </w:rPr>
              <w:t xml:space="preserve">eslietu </w:t>
            </w:r>
            <w:r w:rsidRPr="00126900">
              <w:rPr>
                <w:szCs w:val="28"/>
              </w:rPr>
              <w:t>ministrija</w:t>
            </w:r>
          </w:p>
          <w:p w:rsidR="00455CE1" w:rsidRDefault="00455CE1" w:rsidP="00A90F6E">
            <w:pPr>
              <w:jc w:val="both"/>
              <w:rPr>
                <w:szCs w:val="28"/>
              </w:rPr>
            </w:pPr>
          </w:p>
          <w:p w:rsidR="004C67C7" w:rsidRPr="00A90F6E" w:rsidRDefault="00077D92" w:rsidP="00A90F6E">
            <w:pPr>
              <w:jc w:val="both"/>
              <w:rPr>
                <w:szCs w:val="28"/>
              </w:rPr>
            </w:pPr>
            <w:r w:rsidRPr="00077D92">
              <w:rPr>
                <w:szCs w:val="28"/>
              </w:rPr>
              <w:t>2. Lūdzam precizēt projekta sākotnējās (</w:t>
            </w:r>
            <w:proofErr w:type="spellStart"/>
            <w:r w:rsidRPr="00077D92">
              <w:rPr>
                <w:szCs w:val="28"/>
              </w:rPr>
              <w:t>ex</w:t>
            </w:r>
            <w:proofErr w:type="spellEnd"/>
            <w:r w:rsidRPr="00077D92">
              <w:rPr>
                <w:szCs w:val="28"/>
              </w:rPr>
              <w:t xml:space="preserve"> – </w:t>
            </w:r>
            <w:proofErr w:type="spellStart"/>
            <w:r w:rsidRPr="00077D92">
              <w:rPr>
                <w:szCs w:val="28"/>
              </w:rPr>
              <w:t>ante</w:t>
            </w:r>
            <w:proofErr w:type="spellEnd"/>
            <w:r w:rsidRPr="00077D92">
              <w:rPr>
                <w:szCs w:val="28"/>
              </w:rPr>
              <w:t xml:space="preserve">) ietekmes novērtējuma ziņojuma I sadaļas 2. punktu atbilstoši Ministru kabineta </w:t>
            </w:r>
            <w:r w:rsidRPr="00077D92">
              <w:rPr>
                <w:szCs w:val="28"/>
              </w:rPr>
              <w:lastRenderedPageBreak/>
              <w:t>2009. gada 15. decembra instrukcijas Nr. 19 "Tiesību akta projekta sākotnējās ietekmes izvērtēšanas kārtība" 14. punktā noteiktajām prasībām, pamatojot visus projektā ietvertos grozījumus, tostarp projekta 2. punktā ietverto noteikumu 3. punktu, kas papildināts ar atsaucēm uz starptautiskām tiesību normām.</w:t>
            </w:r>
          </w:p>
        </w:tc>
        <w:tc>
          <w:tcPr>
            <w:tcW w:w="3402" w:type="dxa"/>
            <w:tcBorders>
              <w:top w:val="single" w:sz="6" w:space="0" w:color="000000"/>
              <w:left w:val="single" w:sz="6" w:space="0" w:color="000000"/>
              <w:bottom w:val="single" w:sz="6" w:space="0" w:color="000000"/>
              <w:right w:val="single" w:sz="6" w:space="0" w:color="000000"/>
            </w:tcBorders>
          </w:tcPr>
          <w:p w:rsidR="004C67C7" w:rsidRDefault="00F74CDD" w:rsidP="00320917">
            <w:pPr>
              <w:spacing w:after="120"/>
              <w:jc w:val="center"/>
              <w:rPr>
                <w:rFonts w:eastAsia="SimSun"/>
                <w:b/>
                <w:lang w:eastAsia="zh-CN"/>
              </w:rPr>
            </w:pPr>
            <w:r>
              <w:rPr>
                <w:rFonts w:eastAsia="SimSun"/>
                <w:b/>
                <w:lang w:eastAsia="zh-CN"/>
              </w:rPr>
              <w:lastRenderedPageBreak/>
              <w:t>Iebildums ņemts vērā.</w:t>
            </w:r>
          </w:p>
        </w:tc>
        <w:tc>
          <w:tcPr>
            <w:tcW w:w="2951" w:type="dxa"/>
            <w:tcBorders>
              <w:top w:val="single" w:sz="4" w:space="0" w:color="auto"/>
              <w:left w:val="single" w:sz="4" w:space="0" w:color="auto"/>
              <w:bottom w:val="single" w:sz="4" w:space="0" w:color="auto"/>
            </w:tcBorders>
          </w:tcPr>
          <w:p w:rsidR="004C67C7" w:rsidRPr="002F3623" w:rsidRDefault="00F74CDD" w:rsidP="002F3623">
            <w:pPr>
              <w:jc w:val="both"/>
            </w:pPr>
            <w:r>
              <w:t xml:space="preserve">Precizēta Noteikumu projekta anotācija. </w:t>
            </w:r>
          </w:p>
        </w:tc>
      </w:tr>
    </w:tbl>
    <w:tbl>
      <w:tblPr>
        <w:tblW w:w="10847" w:type="dxa"/>
        <w:tblInd w:w="8" w:type="dxa"/>
        <w:tblLayout w:type="fixed"/>
        <w:tblLook w:val="00A0" w:firstRow="1" w:lastRow="0" w:firstColumn="1" w:lastColumn="0" w:noHBand="0" w:noVBand="0"/>
      </w:tblPr>
      <w:tblGrid>
        <w:gridCol w:w="3108"/>
        <w:gridCol w:w="7739"/>
      </w:tblGrid>
      <w:tr w:rsidR="00CE02C2" w:rsidRPr="00F96C8D" w:rsidTr="00320917">
        <w:tc>
          <w:tcPr>
            <w:tcW w:w="3108" w:type="dxa"/>
          </w:tcPr>
          <w:p w:rsidR="00CE02C2" w:rsidRPr="00F96C8D" w:rsidRDefault="00CE02C2" w:rsidP="00320917">
            <w:pPr>
              <w:pStyle w:val="naiskr"/>
              <w:tabs>
                <w:tab w:val="left" w:pos="630"/>
              </w:tabs>
              <w:spacing w:before="0" w:after="0"/>
              <w:rPr>
                <w:sz w:val="22"/>
                <w:szCs w:val="22"/>
              </w:rPr>
            </w:pPr>
            <w:r>
              <w:rPr>
                <w:sz w:val="22"/>
                <w:szCs w:val="22"/>
              </w:rPr>
              <w:tab/>
            </w:r>
          </w:p>
          <w:p w:rsidR="00CE02C2" w:rsidRPr="00F96C8D" w:rsidRDefault="00CE02C2" w:rsidP="00320917">
            <w:pPr>
              <w:pStyle w:val="naiskr"/>
              <w:spacing w:before="0" w:after="0"/>
              <w:rPr>
                <w:sz w:val="22"/>
                <w:szCs w:val="22"/>
              </w:rPr>
            </w:pPr>
            <w:r w:rsidRPr="00F96C8D">
              <w:rPr>
                <w:sz w:val="22"/>
                <w:szCs w:val="22"/>
              </w:rPr>
              <w:t>Atbildīgā amatpersona</w:t>
            </w:r>
          </w:p>
        </w:tc>
        <w:tc>
          <w:tcPr>
            <w:tcW w:w="7739" w:type="dxa"/>
          </w:tcPr>
          <w:p w:rsidR="00CE02C2" w:rsidRPr="00F96C8D" w:rsidRDefault="00CE02C2" w:rsidP="00320917">
            <w:pPr>
              <w:pStyle w:val="naisf"/>
              <w:spacing w:before="0" w:after="0"/>
              <w:ind w:firstLine="0"/>
              <w:jc w:val="center"/>
              <w:rPr>
                <w:sz w:val="22"/>
                <w:szCs w:val="22"/>
              </w:rPr>
            </w:pPr>
          </w:p>
        </w:tc>
      </w:tr>
      <w:tr w:rsidR="00CE02C2" w:rsidRPr="00F96C8D" w:rsidTr="00320917">
        <w:tc>
          <w:tcPr>
            <w:tcW w:w="3108" w:type="dxa"/>
          </w:tcPr>
          <w:p w:rsidR="00CE02C2" w:rsidRPr="00F96C8D" w:rsidRDefault="00CE02C2" w:rsidP="00320917">
            <w:pPr>
              <w:pStyle w:val="naiskr"/>
              <w:spacing w:before="0" w:after="0"/>
              <w:ind w:firstLine="720"/>
              <w:jc w:val="center"/>
              <w:rPr>
                <w:sz w:val="22"/>
                <w:szCs w:val="22"/>
              </w:rPr>
            </w:pPr>
          </w:p>
        </w:tc>
        <w:tc>
          <w:tcPr>
            <w:tcW w:w="7739" w:type="dxa"/>
            <w:tcBorders>
              <w:top w:val="single" w:sz="6" w:space="0" w:color="000000"/>
            </w:tcBorders>
          </w:tcPr>
          <w:p w:rsidR="00CE02C2" w:rsidRPr="00F96C8D" w:rsidRDefault="00CE02C2" w:rsidP="00320917">
            <w:pPr>
              <w:pStyle w:val="naisc"/>
              <w:spacing w:before="0" w:after="0"/>
              <w:ind w:firstLine="720"/>
              <w:rPr>
                <w:sz w:val="22"/>
                <w:szCs w:val="22"/>
              </w:rPr>
            </w:pPr>
            <w:r w:rsidRPr="00F96C8D">
              <w:rPr>
                <w:sz w:val="22"/>
                <w:szCs w:val="22"/>
              </w:rPr>
              <w:t>(paraksts)*</w:t>
            </w:r>
          </w:p>
          <w:p w:rsidR="00CE02C2" w:rsidRPr="00F96C8D" w:rsidRDefault="00CE02C2" w:rsidP="00320917">
            <w:pPr>
              <w:pStyle w:val="naisc"/>
              <w:spacing w:before="0" w:after="0"/>
              <w:ind w:firstLine="720"/>
              <w:rPr>
                <w:sz w:val="22"/>
                <w:szCs w:val="22"/>
              </w:rPr>
            </w:pPr>
          </w:p>
        </w:tc>
      </w:tr>
    </w:tbl>
    <w:p w:rsidR="00CE02C2" w:rsidRPr="00C048FB" w:rsidRDefault="00CE02C2" w:rsidP="00CE02C2">
      <w:pPr>
        <w:pStyle w:val="naisf"/>
        <w:spacing w:before="0" w:after="0"/>
        <w:ind w:left="2160" w:firstLine="720"/>
      </w:pPr>
      <w:r w:rsidRPr="00C048FB">
        <w:t>Inese Matēviča</w:t>
      </w:r>
    </w:p>
    <w:tbl>
      <w:tblPr>
        <w:tblW w:w="0" w:type="auto"/>
        <w:tblLook w:val="00A0" w:firstRow="1" w:lastRow="0" w:firstColumn="1" w:lastColumn="0" w:noHBand="0" w:noVBand="0"/>
      </w:tblPr>
      <w:tblGrid>
        <w:gridCol w:w="8268"/>
      </w:tblGrid>
      <w:tr w:rsidR="00CE02C2" w:rsidRPr="00F96C8D" w:rsidTr="00320917">
        <w:tc>
          <w:tcPr>
            <w:tcW w:w="8268" w:type="dxa"/>
            <w:tcBorders>
              <w:top w:val="single" w:sz="4" w:space="0" w:color="000000"/>
            </w:tcBorders>
          </w:tcPr>
          <w:p w:rsidR="00CE02C2" w:rsidRPr="00F96C8D" w:rsidRDefault="00CE02C2" w:rsidP="00320917">
            <w:pPr>
              <w:jc w:val="center"/>
              <w:rPr>
                <w:sz w:val="22"/>
                <w:szCs w:val="22"/>
              </w:rPr>
            </w:pPr>
            <w:r w:rsidRPr="00F96C8D">
              <w:rPr>
                <w:sz w:val="22"/>
                <w:szCs w:val="22"/>
              </w:rPr>
              <w:t>(par projektu atbildīgās amatpersonas vārds un uzvārds)</w:t>
            </w:r>
          </w:p>
        </w:tc>
      </w:tr>
      <w:tr w:rsidR="00CE02C2" w:rsidRPr="00F96C8D" w:rsidTr="00320917">
        <w:tc>
          <w:tcPr>
            <w:tcW w:w="8268" w:type="dxa"/>
            <w:tcBorders>
              <w:bottom w:val="single" w:sz="4" w:space="0" w:color="000000"/>
            </w:tcBorders>
          </w:tcPr>
          <w:p w:rsidR="00CE02C2" w:rsidRDefault="00CE02C2" w:rsidP="00320917">
            <w:pPr>
              <w:jc w:val="center"/>
              <w:rPr>
                <w:sz w:val="22"/>
                <w:szCs w:val="22"/>
              </w:rPr>
            </w:pPr>
          </w:p>
          <w:p w:rsidR="00CE02C2" w:rsidRPr="00C048FB" w:rsidRDefault="00CE02C2" w:rsidP="00320917">
            <w:pPr>
              <w:jc w:val="center"/>
            </w:pPr>
            <w:r w:rsidRPr="00C048FB">
              <w:t xml:space="preserve">Ekonomikas ministrijas Iekšējā tirgus departamenta Atbilstības novērtēšanas nodaļas </w:t>
            </w:r>
            <w:r>
              <w:t>vadītāja vietniece</w:t>
            </w:r>
          </w:p>
        </w:tc>
      </w:tr>
      <w:tr w:rsidR="00CE02C2" w:rsidRPr="00F96C8D" w:rsidTr="00320917">
        <w:tc>
          <w:tcPr>
            <w:tcW w:w="8268" w:type="dxa"/>
            <w:tcBorders>
              <w:top w:val="single" w:sz="4" w:space="0" w:color="000000"/>
            </w:tcBorders>
          </w:tcPr>
          <w:p w:rsidR="00CE02C2" w:rsidRDefault="00CE02C2" w:rsidP="00320917">
            <w:pPr>
              <w:jc w:val="center"/>
              <w:rPr>
                <w:sz w:val="22"/>
                <w:szCs w:val="22"/>
              </w:rPr>
            </w:pPr>
            <w:r w:rsidRPr="00F96C8D">
              <w:rPr>
                <w:sz w:val="22"/>
                <w:szCs w:val="22"/>
              </w:rPr>
              <w:t>(amats)</w:t>
            </w:r>
          </w:p>
          <w:p w:rsidR="00CE02C2" w:rsidRPr="00F96C8D" w:rsidRDefault="00CE02C2" w:rsidP="00320917">
            <w:pPr>
              <w:jc w:val="center"/>
              <w:rPr>
                <w:sz w:val="22"/>
                <w:szCs w:val="22"/>
              </w:rPr>
            </w:pPr>
          </w:p>
        </w:tc>
      </w:tr>
      <w:tr w:rsidR="00CE02C2" w:rsidRPr="00F96C8D" w:rsidTr="00320917">
        <w:tc>
          <w:tcPr>
            <w:tcW w:w="8268" w:type="dxa"/>
            <w:tcBorders>
              <w:bottom w:val="single" w:sz="4" w:space="0" w:color="000000"/>
            </w:tcBorders>
          </w:tcPr>
          <w:p w:rsidR="00CE02C2" w:rsidRPr="00C048FB" w:rsidRDefault="00CE02C2" w:rsidP="00320917">
            <w:pPr>
              <w:jc w:val="center"/>
            </w:pPr>
            <w:r w:rsidRPr="00C048FB">
              <w:t>Tālr. 67013066</w:t>
            </w:r>
          </w:p>
        </w:tc>
      </w:tr>
      <w:tr w:rsidR="00CE02C2" w:rsidRPr="00F96C8D" w:rsidTr="00320917">
        <w:tc>
          <w:tcPr>
            <w:tcW w:w="8268" w:type="dxa"/>
            <w:tcBorders>
              <w:top w:val="single" w:sz="4" w:space="0" w:color="000000"/>
            </w:tcBorders>
          </w:tcPr>
          <w:p w:rsidR="00CE02C2" w:rsidRPr="00F96C8D" w:rsidRDefault="00CE02C2" w:rsidP="00320917">
            <w:pPr>
              <w:jc w:val="center"/>
              <w:rPr>
                <w:sz w:val="22"/>
                <w:szCs w:val="22"/>
              </w:rPr>
            </w:pPr>
            <w:r w:rsidRPr="00F96C8D">
              <w:rPr>
                <w:sz w:val="22"/>
                <w:szCs w:val="22"/>
              </w:rPr>
              <w:t>(tālruņa un faksa numurs)</w:t>
            </w:r>
          </w:p>
          <w:p w:rsidR="00CE02C2" w:rsidRPr="00F96C8D" w:rsidRDefault="00CE02C2" w:rsidP="00320917">
            <w:pPr>
              <w:jc w:val="center"/>
              <w:rPr>
                <w:sz w:val="22"/>
                <w:szCs w:val="22"/>
              </w:rPr>
            </w:pPr>
          </w:p>
        </w:tc>
      </w:tr>
      <w:tr w:rsidR="00CE02C2" w:rsidRPr="00F96C8D" w:rsidTr="00320917">
        <w:tc>
          <w:tcPr>
            <w:tcW w:w="8268" w:type="dxa"/>
            <w:tcBorders>
              <w:bottom w:val="single" w:sz="4" w:space="0" w:color="000000"/>
            </w:tcBorders>
          </w:tcPr>
          <w:p w:rsidR="00CE02C2" w:rsidRPr="00C048FB" w:rsidRDefault="00CE02C2" w:rsidP="00320917">
            <w:pPr>
              <w:jc w:val="center"/>
            </w:pPr>
            <w:r w:rsidRPr="00C048FB">
              <w:t xml:space="preserve">Inese.Matevica@em.gov.lv </w:t>
            </w:r>
          </w:p>
        </w:tc>
      </w:tr>
      <w:tr w:rsidR="00CE02C2" w:rsidRPr="00F96C8D" w:rsidTr="00320917">
        <w:tc>
          <w:tcPr>
            <w:tcW w:w="8268" w:type="dxa"/>
            <w:tcBorders>
              <w:top w:val="single" w:sz="4" w:space="0" w:color="000000"/>
            </w:tcBorders>
          </w:tcPr>
          <w:p w:rsidR="00CE02C2" w:rsidRPr="00F96C8D" w:rsidRDefault="00CE02C2" w:rsidP="00320917">
            <w:pPr>
              <w:jc w:val="center"/>
              <w:rPr>
                <w:sz w:val="22"/>
                <w:szCs w:val="22"/>
              </w:rPr>
            </w:pPr>
            <w:r w:rsidRPr="00F96C8D">
              <w:rPr>
                <w:sz w:val="22"/>
                <w:szCs w:val="22"/>
              </w:rPr>
              <w:t>(e-pasta adrese)</w:t>
            </w:r>
          </w:p>
        </w:tc>
      </w:tr>
    </w:tbl>
    <w:p w:rsidR="00CE02C2" w:rsidRDefault="00CE02C2" w:rsidP="00CE02C2">
      <w:pPr>
        <w:jc w:val="both"/>
        <w:rPr>
          <w:sz w:val="26"/>
          <w:szCs w:val="26"/>
        </w:rPr>
      </w:pPr>
    </w:p>
    <w:p w:rsidR="00171916" w:rsidRDefault="00171916"/>
    <w:sectPr w:rsidR="00171916" w:rsidSect="004E5EE9">
      <w:headerReference w:type="even" r:id="rId13"/>
      <w:headerReference w:type="default" r:id="rId14"/>
      <w:footerReference w:type="default" r:id="rId15"/>
      <w:footerReference w:type="first" r:id="rId16"/>
      <w:pgSz w:w="16838" w:h="11906" w:orient="landscape" w:code="9"/>
      <w:pgMar w:top="1134" w:right="1134"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0D7" w:rsidRDefault="000470D7">
      <w:r>
        <w:separator/>
      </w:r>
    </w:p>
  </w:endnote>
  <w:endnote w:type="continuationSeparator" w:id="0">
    <w:p w:rsidR="000470D7" w:rsidRDefault="00047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9FD" w:rsidRPr="000669FD" w:rsidRDefault="00CE02C2" w:rsidP="000669FD">
    <w:pPr>
      <w:pStyle w:val="naislab"/>
      <w:ind w:left="-567"/>
      <w:jc w:val="both"/>
      <w:rPr>
        <w:sz w:val="20"/>
        <w:szCs w:val="20"/>
      </w:rPr>
    </w:pPr>
    <w:r>
      <w:rPr>
        <w:sz w:val="20"/>
        <w:szCs w:val="20"/>
      </w:rPr>
      <w:t>EMIzz_GrozMK</w:t>
    </w:r>
    <w:r w:rsidR="00D11A4E">
      <w:rPr>
        <w:sz w:val="20"/>
        <w:szCs w:val="20"/>
      </w:rPr>
      <w:t>384</w:t>
    </w:r>
  </w:p>
  <w:p w:rsidR="00F877D6" w:rsidRPr="000669FD" w:rsidRDefault="0065415C" w:rsidP="00066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7D6" w:rsidRPr="000669FD" w:rsidRDefault="00CE02C2" w:rsidP="000669FD">
    <w:pPr>
      <w:pStyle w:val="naislab"/>
      <w:ind w:left="-567"/>
      <w:jc w:val="both"/>
      <w:rPr>
        <w:sz w:val="20"/>
        <w:szCs w:val="20"/>
      </w:rPr>
    </w:pPr>
    <w:bookmarkStart w:id="2" w:name="_Hlk1484360"/>
    <w:bookmarkStart w:id="3" w:name="_Hlk1484361"/>
    <w:bookmarkStart w:id="4" w:name="_Hlk21010111"/>
    <w:bookmarkStart w:id="5" w:name="_Hlk21010112"/>
    <w:bookmarkStart w:id="6" w:name="_Hlk22909325"/>
    <w:bookmarkStart w:id="7" w:name="_Hlk22909326"/>
    <w:r w:rsidRPr="00D1331E">
      <w:rPr>
        <w:sz w:val="20"/>
        <w:szCs w:val="20"/>
      </w:rPr>
      <w:t>EMIzz</w:t>
    </w:r>
    <w:r w:rsidRPr="00474161">
      <w:rPr>
        <w:sz w:val="20"/>
        <w:szCs w:val="20"/>
      </w:rPr>
      <w:t>_</w:t>
    </w:r>
    <w:bookmarkEnd w:id="2"/>
    <w:bookmarkEnd w:id="3"/>
    <w:bookmarkEnd w:id="4"/>
    <w:bookmarkEnd w:id="5"/>
    <w:bookmarkEnd w:id="6"/>
    <w:bookmarkEnd w:id="7"/>
    <w:r>
      <w:rPr>
        <w:sz w:val="20"/>
        <w:szCs w:val="20"/>
      </w:rPr>
      <w:t>GrozMK</w:t>
    </w:r>
    <w:r w:rsidR="00D11A4E">
      <w:rPr>
        <w:sz w:val="20"/>
        <w:szCs w:val="20"/>
      </w:rPr>
      <w:t>384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0D7" w:rsidRDefault="000470D7">
      <w:r>
        <w:separator/>
      </w:r>
    </w:p>
  </w:footnote>
  <w:footnote w:type="continuationSeparator" w:id="0">
    <w:p w:rsidR="000470D7" w:rsidRDefault="00047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7D6" w:rsidRDefault="00CE02C2"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77D6" w:rsidRDefault="00654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7D6" w:rsidRDefault="00CE02C2"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F877D6" w:rsidRDefault="00654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53D5A"/>
    <w:multiLevelType w:val="hybridMultilevel"/>
    <w:tmpl w:val="DF08B12A"/>
    <w:lvl w:ilvl="0" w:tplc="CE76094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30E769C"/>
    <w:multiLevelType w:val="hybridMultilevel"/>
    <w:tmpl w:val="3F725C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C5A0357"/>
    <w:multiLevelType w:val="hybridMultilevel"/>
    <w:tmpl w:val="478295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2C2"/>
    <w:rsid w:val="0004550F"/>
    <w:rsid w:val="000470D7"/>
    <w:rsid w:val="00077D92"/>
    <w:rsid w:val="00126900"/>
    <w:rsid w:val="00134381"/>
    <w:rsid w:val="00171916"/>
    <w:rsid w:val="002A1DD5"/>
    <w:rsid w:val="002F3623"/>
    <w:rsid w:val="003D6C53"/>
    <w:rsid w:val="00455CE1"/>
    <w:rsid w:val="004C67C7"/>
    <w:rsid w:val="004D4A22"/>
    <w:rsid w:val="00511824"/>
    <w:rsid w:val="0054367B"/>
    <w:rsid w:val="005F15EC"/>
    <w:rsid w:val="0065415C"/>
    <w:rsid w:val="006A3F5A"/>
    <w:rsid w:val="00724936"/>
    <w:rsid w:val="0073683C"/>
    <w:rsid w:val="0074039C"/>
    <w:rsid w:val="00776EFB"/>
    <w:rsid w:val="00794534"/>
    <w:rsid w:val="00855848"/>
    <w:rsid w:val="008C20D8"/>
    <w:rsid w:val="008F59A0"/>
    <w:rsid w:val="009B1A2A"/>
    <w:rsid w:val="009F74A4"/>
    <w:rsid w:val="00A90F6E"/>
    <w:rsid w:val="00AE54C6"/>
    <w:rsid w:val="00C17765"/>
    <w:rsid w:val="00C402AB"/>
    <w:rsid w:val="00C529AD"/>
    <w:rsid w:val="00CC05CC"/>
    <w:rsid w:val="00CE02C2"/>
    <w:rsid w:val="00D11A4E"/>
    <w:rsid w:val="00D707B0"/>
    <w:rsid w:val="00E00E7E"/>
    <w:rsid w:val="00EC6F16"/>
    <w:rsid w:val="00F74CDD"/>
    <w:rsid w:val="00F774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D1384"/>
  <w15:chartTrackingRefBased/>
  <w15:docId w15:val="{0C879BAE-328B-4312-B68B-5B392107B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2C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CE02C2"/>
    <w:rPr>
      <w:rFonts w:cs="Times New Roman"/>
      <w:color w:val="0000FF"/>
      <w:u w:val="single"/>
    </w:rPr>
  </w:style>
  <w:style w:type="paragraph" w:styleId="NormalWeb">
    <w:name w:val="Normal (Web)"/>
    <w:basedOn w:val="Normal"/>
    <w:uiPriority w:val="99"/>
    <w:rsid w:val="00CE02C2"/>
    <w:pPr>
      <w:spacing w:before="100" w:beforeAutospacing="1" w:after="100" w:afterAutospacing="1"/>
    </w:pPr>
  </w:style>
  <w:style w:type="paragraph" w:customStyle="1" w:styleId="naisf">
    <w:name w:val="naisf"/>
    <w:basedOn w:val="Normal"/>
    <w:rsid w:val="00CE02C2"/>
    <w:pPr>
      <w:spacing w:before="75" w:after="75"/>
      <w:ind w:firstLine="375"/>
      <w:jc w:val="both"/>
    </w:pPr>
  </w:style>
  <w:style w:type="paragraph" w:customStyle="1" w:styleId="naislab">
    <w:name w:val="naislab"/>
    <w:basedOn w:val="Normal"/>
    <w:rsid w:val="00CE02C2"/>
    <w:pPr>
      <w:spacing w:before="75" w:after="75"/>
      <w:jc w:val="right"/>
    </w:pPr>
  </w:style>
  <w:style w:type="paragraph" w:customStyle="1" w:styleId="naiskr">
    <w:name w:val="naiskr"/>
    <w:basedOn w:val="Normal"/>
    <w:rsid w:val="00CE02C2"/>
    <w:pPr>
      <w:spacing w:before="75" w:after="75"/>
    </w:pPr>
  </w:style>
  <w:style w:type="paragraph" w:customStyle="1" w:styleId="naisc">
    <w:name w:val="naisc"/>
    <w:basedOn w:val="Normal"/>
    <w:rsid w:val="00CE02C2"/>
    <w:pPr>
      <w:spacing w:before="75" w:after="75"/>
      <w:jc w:val="center"/>
    </w:pPr>
  </w:style>
  <w:style w:type="paragraph" w:styleId="Header">
    <w:name w:val="header"/>
    <w:basedOn w:val="Normal"/>
    <w:link w:val="HeaderChar"/>
    <w:rsid w:val="00CE02C2"/>
    <w:pPr>
      <w:tabs>
        <w:tab w:val="center" w:pos="4153"/>
        <w:tab w:val="right" w:pos="8306"/>
      </w:tabs>
    </w:pPr>
  </w:style>
  <w:style w:type="character" w:customStyle="1" w:styleId="HeaderChar">
    <w:name w:val="Header Char"/>
    <w:basedOn w:val="DefaultParagraphFont"/>
    <w:link w:val="Header"/>
    <w:rsid w:val="00CE02C2"/>
    <w:rPr>
      <w:rFonts w:ascii="Times New Roman" w:eastAsia="Times New Roman" w:hAnsi="Times New Roman" w:cs="Times New Roman"/>
      <w:sz w:val="24"/>
      <w:szCs w:val="24"/>
      <w:lang w:eastAsia="lv-LV"/>
    </w:rPr>
  </w:style>
  <w:style w:type="character" w:styleId="PageNumber">
    <w:name w:val="page number"/>
    <w:uiPriority w:val="99"/>
    <w:rsid w:val="00CE02C2"/>
    <w:rPr>
      <w:rFonts w:cs="Times New Roman"/>
    </w:rPr>
  </w:style>
  <w:style w:type="paragraph" w:styleId="Footer">
    <w:name w:val="footer"/>
    <w:basedOn w:val="Normal"/>
    <w:link w:val="FooterChar"/>
    <w:rsid w:val="00CE02C2"/>
    <w:pPr>
      <w:tabs>
        <w:tab w:val="center" w:pos="4153"/>
        <w:tab w:val="right" w:pos="8306"/>
      </w:tabs>
    </w:pPr>
  </w:style>
  <w:style w:type="character" w:customStyle="1" w:styleId="FooterChar">
    <w:name w:val="Footer Char"/>
    <w:basedOn w:val="DefaultParagraphFont"/>
    <w:link w:val="Footer"/>
    <w:rsid w:val="00CE02C2"/>
    <w:rPr>
      <w:rFonts w:ascii="Times New Roman" w:eastAsia="Times New Roman" w:hAnsi="Times New Roman" w:cs="Times New Roman"/>
      <w:sz w:val="24"/>
      <w:szCs w:val="24"/>
      <w:lang w:eastAsia="lv-LV"/>
    </w:rPr>
  </w:style>
  <w:style w:type="paragraph" w:customStyle="1" w:styleId="Body1">
    <w:name w:val="Body 1"/>
    <w:rsid w:val="00CE02C2"/>
    <w:pPr>
      <w:spacing w:after="200" w:line="276" w:lineRule="auto"/>
      <w:outlineLvl w:val="0"/>
    </w:pPr>
    <w:rPr>
      <w:rFonts w:ascii="Helvetica" w:eastAsia="Arial Unicode MS" w:hAnsi="Helvetica" w:cs="Times New Roman"/>
      <w:color w:val="000000"/>
      <w:szCs w:val="20"/>
      <w:u w:color="000000"/>
      <w:lang w:eastAsia="lv-LV"/>
    </w:rPr>
  </w:style>
  <w:style w:type="character" w:styleId="UnresolvedMention">
    <w:name w:val="Unresolved Mention"/>
    <w:basedOn w:val="DefaultParagraphFont"/>
    <w:uiPriority w:val="99"/>
    <w:semiHidden/>
    <w:unhideWhenUsed/>
    <w:rsid w:val="00D11A4E"/>
    <w:rPr>
      <w:color w:val="605E5C"/>
      <w:shd w:val="clear" w:color="auto" w:fill="E1DFDD"/>
    </w:rPr>
  </w:style>
  <w:style w:type="paragraph" w:styleId="ListParagraph">
    <w:name w:val="List Paragraph"/>
    <w:basedOn w:val="Normal"/>
    <w:uiPriority w:val="34"/>
    <w:qFormat/>
    <w:rsid w:val="00740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gurs.ludbarzs@iem.gov.l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uta.Kupe@tm.gov.lv" TargetMode="External"/><Relationship Id="rId12" Type="http://schemas.openxmlformats.org/officeDocument/2006/relationships/hyperlink" Target="mailto:zita.steinberga@varam.gov.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ristine.kazerovska@varam.gov.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ino.Salmins@lps.lv" TargetMode="External"/><Relationship Id="rId4" Type="http://schemas.openxmlformats.org/officeDocument/2006/relationships/webSettings" Target="webSettings.xml"/><Relationship Id="rId9" Type="http://schemas.openxmlformats.org/officeDocument/2006/relationships/hyperlink" Target="mailto:Gustavs.Gudzuks@mod.gov.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365</TotalTime>
  <Pages>6</Pages>
  <Words>6144</Words>
  <Characters>3503</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Matēviča</dc:creator>
  <cp:keywords/>
  <dc:description/>
  <cp:lastModifiedBy>Inese Matēviča</cp:lastModifiedBy>
  <cp:revision>11</cp:revision>
  <dcterms:created xsi:type="dcterms:W3CDTF">2021-05-19T08:46:00Z</dcterms:created>
  <dcterms:modified xsi:type="dcterms:W3CDTF">2021-05-24T08:32:00Z</dcterms:modified>
</cp:coreProperties>
</file>