
<file path=[Content_Types].xml><?xml version="1.0" encoding="utf-8"?>
<Types xmlns:ct="http://schemas.openxmlformats.org/package/2006/content-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ms-office.chartcolorstyle+xml" PartName="/word/charts/colors1.xml"/>
  <Override ContentType="application/vnd.ms-office.chartstyle+xml" PartName="/word/charts/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themeOverride+xml" PartName="/word/theme/themeOverride2.xml"/>
  <Override ContentType="application/vnd.openxmlformats-officedocument.themeOverride+xml" PartName="/word/theme/themeOverride3.xml"/>
  <Override ContentType="application/vnd.openxmlformats-officedocument.themeOverride+xml" PartName="/word/theme/themeOverride4.xml"/>
  <Override ContentType="application/vnd.openxmlformats-officedocument.themeOverride+xml" PartName="/word/theme/themeOverride5.xml"/>
  <Override ContentType="application/vnd.openxmlformats-officedocument.themeOverride+xml" PartName="/word/theme/themeOverride6.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6568" w14:textId="77777777" w:rsidR="005E59FD" w:rsidRPr="00965A0A" w:rsidRDefault="005E59FD" w:rsidP="00965A0A">
      <w:pPr>
        <w:ind w:right="-2"/>
        <w:mirrorIndents/>
        <w:jc w:val="center"/>
        <w:rPr>
          <w:b/>
        </w:rPr>
      </w:pPr>
      <w:r w:rsidRPr="00965A0A">
        <w:rPr>
          <w:b/>
        </w:rPr>
        <w:t>INFORMATĪVAIS ZIŅOJUMS</w:t>
      </w:r>
    </w:p>
    <w:p w14:paraId="201B08F2" w14:textId="2676C488" w:rsidR="005E59FD" w:rsidRPr="00965A0A" w:rsidRDefault="005E59FD" w:rsidP="00965A0A">
      <w:pPr>
        <w:pStyle w:val="BodyText"/>
        <w:ind w:right="-2"/>
        <w:mirrorIndents/>
        <w:rPr>
          <w:szCs w:val="24"/>
        </w:rPr>
      </w:pPr>
      <w:r w:rsidRPr="00965A0A">
        <w:rPr>
          <w:szCs w:val="24"/>
        </w:rPr>
        <w:t xml:space="preserve">par Eiropas Savienības Konkurētspējas </w:t>
      </w:r>
      <w:r w:rsidR="002D3677" w:rsidRPr="00965A0A">
        <w:rPr>
          <w:szCs w:val="24"/>
        </w:rPr>
        <w:t>ministru 20</w:t>
      </w:r>
      <w:r w:rsidR="006B5F5C" w:rsidRPr="00965A0A">
        <w:rPr>
          <w:szCs w:val="24"/>
        </w:rPr>
        <w:t>21</w:t>
      </w:r>
      <w:r w:rsidR="002D3677" w:rsidRPr="00965A0A">
        <w:rPr>
          <w:szCs w:val="24"/>
        </w:rPr>
        <w:t xml:space="preserve">. gada </w:t>
      </w:r>
      <w:r w:rsidR="006B5F5C" w:rsidRPr="00965A0A">
        <w:rPr>
          <w:szCs w:val="24"/>
        </w:rPr>
        <w:t>2</w:t>
      </w:r>
      <w:r w:rsidR="001855FF" w:rsidRPr="00965A0A">
        <w:rPr>
          <w:szCs w:val="24"/>
        </w:rPr>
        <w:t>1</w:t>
      </w:r>
      <w:r w:rsidR="006B5F5C" w:rsidRPr="00965A0A">
        <w:rPr>
          <w:szCs w:val="24"/>
        </w:rPr>
        <w:t xml:space="preserve">. </w:t>
      </w:r>
      <w:r w:rsidR="001855FF" w:rsidRPr="00965A0A">
        <w:rPr>
          <w:szCs w:val="24"/>
        </w:rPr>
        <w:t>un 22. jūlija</w:t>
      </w:r>
      <w:r w:rsidRPr="00965A0A">
        <w:rPr>
          <w:szCs w:val="24"/>
        </w:rPr>
        <w:t xml:space="preserve"> sanāksmē izskatāmajiem jautājumiem</w:t>
      </w:r>
    </w:p>
    <w:p w14:paraId="4832EE4D" w14:textId="516C1823" w:rsidR="00393BE0" w:rsidRPr="00965A0A" w:rsidRDefault="002D3677" w:rsidP="00965A0A">
      <w:pPr>
        <w:keepNext/>
        <w:keepLines/>
        <w:ind w:right="-2"/>
        <w:mirrorIndents/>
      </w:pPr>
      <w:r w:rsidRPr="00965A0A">
        <w:t>20</w:t>
      </w:r>
      <w:r w:rsidR="006B5F5C" w:rsidRPr="00965A0A">
        <w:t>21</w:t>
      </w:r>
      <w:r w:rsidRPr="00965A0A">
        <w:t xml:space="preserve">. gada </w:t>
      </w:r>
      <w:r w:rsidR="5449EBFB" w:rsidRPr="00965A0A">
        <w:t>21. un 22</w:t>
      </w:r>
      <w:r w:rsidR="00BB4825" w:rsidRPr="00965A0A">
        <w:t>.</w:t>
      </w:r>
      <w:r w:rsidR="005B54CE" w:rsidRPr="00965A0A">
        <w:t xml:space="preserve"> </w:t>
      </w:r>
      <w:r w:rsidR="385C095B" w:rsidRPr="00965A0A">
        <w:t xml:space="preserve">jūlijā </w:t>
      </w:r>
      <w:r w:rsidR="001855FF" w:rsidRPr="00965A0A">
        <w:t>Ļubļanā</w:t>
      </w:r>
      <w:r w:rsidR="005E59FD" w:rsidRPr="00965A0A">
        <w:t xml:space="preserve"> (</w:t>
      </w:r>
      <w:r w:rsidR="001855FF" w:rsidRPr="00965A0A">
        <w:t>Slovēnija</w:t>
      </w:r>
      <w:r w:rsidR="005E59FD" w:rsidRPr="00965A0A">
        <w:t xml:space="preserve">) notiks </w:t>
      </w:r>
      <w:r w:rsidR="004F4598" w:rsidRPr="00965A0A">
        <w:t xml:space="preserve">neformālā </w:t>
      </w:r>
      <w:r w:rsidR="005E59FD" w:rsidRPr="00965A0A">
        <w:t xml:space="preserve">Eiropas Savienības (turpmāk – ES) </w:t>
      </w:r>
      <w:r w:rsidR="004F4598" w:rsidRPr="00965A0A">
        <w:t>k</w:t>
      </w:r>
      <w:r w:rsidR="005E59FD" w:rsidRPr="00965A0A">
        <w:t xml:space="preserve">onkurētspējas ministru sanāksme </w:t>
      </w:r>
      <w:r w:rsidR="006E2438" w:rsidRPr="00965A0A">
        <w:t xml:space="preserve">par </w:t>
      </w:r>
      <w:r w:rsidR="00050511" w:rsidRPr="00965A0A">
        <w:t xml:space="preserve">ES </w:t>
      </w:r>
      <w:r w:rsidR="000A7822" w:rsidRPr="00965A0A">
        <w:t>v</w:t>
      </w:r>
      <w:r w:rsidR="007A1922" w:rsidRPr="00965A0A">
        <w:t xml:space="preserve">ienotā </w:t>
      </w:r>
      <w:r w:rsidR="002363B2" w:rsidRPr="00965A0A">
        <w:t>tirgus</w:t>
      </w:r>
      <w:r w:rsidR="00EE4E92" w:rsidRPr="00965A0A">
        <w:t xml:space="preserve"> un </w:t>
      </w:r>
      <w:r w:rsidR="00B35C40" w:rsidRPr="00965A0A">
        <w:t>rūpniecības</w:t>
      </w:r>
      <w:r w:rsidR="00273961" w:rsidRPr="00965A0A">
        <w:t xml:space="preserve"> politikas</w:t>
      </w:r>
      <w:r w:rsidR="00B35C40" w:rsidRPr="00965A0A">
        <w:t xml:space="preserve"> </w:t>
      </w:r>
      <w:r w:rsidR="00050511" w:rsidRPr="00965A0A">
        <w:t>jautājumiem</w:t>
      </w:r>
      <w:r w:rsidR="005E59FD" w:rsidRPr="00965A0A">
        <w:t>.</w:t>
      </w:r>
      <w:r w:rsidR="00A2077F" w:rsidRPr="00965A0A">
        <w:t xml:space="preserve"> </w:t>
      </w:r>
      <w:r w:rsidR="004F4598" w:rsidRPr="00965A0A">
        <w:t xml:space="preserve">Sanāksmes centrālā </w:t>
      </w:r>
      <w:r w:rsidR="00A2077F" w:rsidRPr="00965A0A">
        <w:t>tēma ir “</w:t>
      </w:r>
      <w:r w:rsidR="00780FCE" w:rsidRPr="00965A0A">
        <w:t>U</w:t>
      </w:r>
      <w:r w:rsidR="003261C5" w:rsidRPr="00965A0A">
        <w:t>z ap</w:t>
      </w:r>
      <w:r w:rsidR="352AA2A5" w:rsidRPr="00965A0A">
        <w:t>r</w:t>
      </w:r>
      <w:r w:rsidR="003261C5" w:rsidRPr="00965A0A">
        <w:t>i</w:t>
      </w:r>
      <w:r w:rsidR="57FBED6B" w:rsidRPr="00965A0A">
        <w:t>t</w:t>
      </w:r>
      <w:r w:rsidR="003261C5" w:rsidRPr="00965A0A">
        <w:t>es ekonomikas principiem balstīt</w:t>
      </w:r>
      <w:r w:rsidR="00780FCE" w:rsidRPr="00965A0A">
        <w:t>a</w:t>
      </w:r>
      <w:r w:rsidR="009C6B4E" w:rsidRPr="00965A0A">
        <w:t>s</w:t>
      </w:r>
      <w:r w:rsidR="00A2077F" w:rsidRPr="00965A0A">
        <w:t>, radoš</w:t>
      </w:r>
      <w:r w:rsidR="00780FCE" w:rsidRPr="00965A0A">
        <w:t>a</w:t>
      </w:r>
      <w:r w:rsidR="009C6B4E" w:rsidRPr="00965A0A">
        <w:t>s</w:t>
      </w:r>
      <w:r w:rsidR="00A2077F" w:rsidRPr="00965A0A">
        <w:t xml:space="preserve"> un </w:t>
      </w:r>
      <w:r w:rsidR="003261C5" w:rsidRPr="00965A0A">
        <w:t>vied</w:t>
      </w:r>
      <w:r w:rsidR="00780FCE" w:rsidRPr="00965A0A">
        <w:t>a</w:t>
      </w:r>
      <w:r w:rsidR="009C6B4E" w:rsidRPr="00965A0A">
        <w:t>s</w:t>
      </w:r>
      <w:r w:rsidR="00A2077F" w:rsidRPr="00965A0A">
        <w:t xml:space="preserve"> nākotn</w:t>
      </w:r>
      <w:r w:rsidR="00780FCE" w:rsidRPr="00965A0A">
        <w:t>e</w:t>
      </w:r>
      <w:r w:rsidR="009C6B4E" w:rsidRPr="00965A0A">
        <w:t>s</w:t>
      </w:r>
      <w:r w:rsidR="00A34CE8" w:rsidRPr="00965A0A">
        <w:t xml:space="preserve"> ve</w:t>
      </w:r>
      <w:r w:rsidR="00A2077F" w:rsidRPr="00965A0A">
        <w:t>i</w:t>
      </w:r>
      <w:r w:rsidR="00A34CE8" w:rsidRPr="00965A0A">
        <w:t>došana</w:t>
      </w:r>
      <w:r w:rsidR="00A2077F" w:rsidRPr="00965A0A">
        <w:t>”</w:t>
      </w:r>
      <w:r w:rsidR="001855FF" w:rsidRPr="00965A0A">
        <w:t xml:space="preserve"> </w:t>
      </w:r>
      <w:r w:rsidR="00A2077F" w:rsidRPr="00965A0A">
        <w:t>(</w:t>
      </w:r>
      <w:r w:rsidR="00A2077F" w:rsidRPr="00965A0A">
        <w:rPr>
          <w:i/>
          <w:iCs/>
        </w:rPr>
        <w:t xml:space="preserve">Building a </w:t>
      </w:r>
      <w:proofErr w:type="spellStart"/>
      <w:r w:rsidR="00A2077F" w:rsidRPr="00965A0A">
        <w:rPr>
          <w:i/>
          <w:iCs/>
        </w:rPr>
        <w:t>circular</w:t>
      </w:r>
      <w:proofErr w:type="spellEnd"/>
      <w:r w:rsidR="00A2077F" w:rsidRPr="00965A0A">
        <w:rPr>
          <w:i/>
          <w:iCs/>
        </w:rPr>
        <w:t xml:space="preserve">, </w:t>
      </w:r>
      <w:proofErr w:type="spellStart"/>
      <w:r w:rsidR="00A2077F" w:rsidRPr="00965A0A">
        <w:rPr>
          <w:i/>
          <w:iCs/>
        </w:rPr>
        <w:t>creative</w:t>
      </w:r>
      <w:proofErr w:type="spellEnd"/>
      <w:r w:rsidR="00A2077F" w:rsidRPr="00965A0A">
        <w:rPr>
          <w:i/>
          <w:iCs/>
        </w:rPr>
        <w:t xml:space="preserve"> </w:t>
      </w:r>
      <w:proofErr w:type="spellStart"/>
      <w:r w:rsidR="00A2077F" w:rsidRPr="00965A0A">
        <w:rPr>
          <w:i/>
          <w:iCs/>
        </w:rPr>
        <w:t>and</w:t>
      </w:r>
      <w:proofErr w:type="spellEnd"/>
      <w:r w:rsidR="00A2077F" w:rsidRPr="00965A0A">
        <w:rPr>
          <w:i/>
          <w:iCs/>
        </w:rPr>
        <w:t xml:space="preserve"> </w:t>
      </w:r>
      <w:proofErr w:type="spellStart"/>
      <w:r w:rsidR="00A2077F" w:rsidRPr="00965A0A">
        <w:rPr>
          <w:i/>
          <w:iCs/>
        </w:rPr>
        <w:t>smart</w:t>
      </w:r>
      <w:proofErr w:type="spellEnd"/>
      <w:r w:rsidR="00A2077F" w:rsidRPr="00965A0A">
        <w:rPr>
          <w:i/>
          <w:iCs/>
        </w:rPr>
        <w:t xml:space="preserve"> </w:t>
      </w:r>
      <w:proofErr w:type="spellStart"/>
      <w:r w:rsidR="00A2077F" w:rsidRPr="00965A0A">
        <w:rPr>
          <w:i/>
          <w:iCs/>
        </w:rPr>
        <w:t>future</w:t>
      </w:r>
      <w:proofErr w:type="spellEnd"/>
      <w:r w:rsidR="00A2077F" w:rsidRPr="00965A0A">
        <w:t>)</w:t>
      </w:r>
      <w:r w:rsidR="00A34CE8" w:rsidRPr="00965A0A">
        <w:t>.</w:t>
      </w:r>
      <w:r w:rsidR="00A2077F" w:rsidRPr="00965A0A">
        <w:t xml:space="preserve"> </w:t>
      </w:r>
      <w:r w:rsidR="002235AB" w:rsidRPr="00965A0A">
        <w:t>D</w:t>
      </w:r>
      <w:r w:rsidR="00A34CE8" w:rsidRPr="00965A0A">
        <w:t>i</w:t>
      </w:r>
      <w:r w:rsidR="00E8126D" w:rsidRPr="00965A0A">
        <w:t>s</w:t>
      </w:r>
      <w:r w:rsidR="00A34CE8" w:rsidRPr="00965A0A">
        <w:t>ku</w:t>
      </w:r>
      <w:r w:rsidR="00E8126D" w:rsidRPr="00965A0A">
        <w:t>s</w:t>
      </w:r>
      <w:r w:rsidR="00A34CE8" w:rsidRPr="00965A0A">
        <w:t>ij</w:t>
      </w:r>
      <w:r w:rsidR="002235AB" w:rsidRPr="00965A0A">
        <w:t>as</w:t>
      </w:r>
      <w:r w:rsidR="00A34CE8" w:rsidRPr="00965A0A">
        <w:t xml:space="preserve"> </w:t>
      </w:r>
      <w:r w:rsidR="00D54BA3" w:rsidRPr="00965A0A">
        <w:t>skatīs</w:t>
      </w:r>
      <w:r w:rsidR="00D94022" w:rsidRPr="00965A0A">
        <w:t xml:space="preserve"> divu</w:t>
      </w:r>
      <w:r w:rsidR="00AF2B18" w:rsidRPr="00965A0A">
        <w:t>s</w:t>
      </w:r>
      <w:r w:rsidR="00D94022" w:rsidRPr="00965A0A">
        <w:t xml:space="preserve"> </w:t>
      </w:r>
      <w:r w:rsidR="00AF1AF2" w:rsidRPr="00965A0A">
        <w:t>piemērus</w:t>
      </w:r>
      <w:r w:rsidR="00AF2B18" w:rsidRPr="00965A0A">
        <w:t xml:space="preserve"> -</w:t>
      </w:r>
      <w:r w:rsidR="00A2077F" w:rsidRPr="00965A0A">
        <w:rPr>
          <w:b/>
          <w:bCs/>
        </w:rPr>
        <w:t xml:space="preserve"> ES </w:t>
      </w:r>
      <w:r w:rsidR="003A47F8" w:rsidRPr="00965A0A">
        <w:rPr>
          <w:b/>
          <w:bCs/>
        </w:rPr>
        <w:t>vieglā rūpniecība</w:t>
      </w:r>
      <w:r w:rsidR="003A47F8" w:rsidRPr="00965A0A">
        <w:rPr>
          <w:rStyle w:val="FootnoteReference"/>
          <w:b/>
          <w:bCs/>
        </w:rPr>
        <w:footnoteReference w:id="2"/>
      </w:r>
      <w:r w:rsidR="00A2077F" w:rsidRPr="00965A0A">
        <w:t xml:space="preserve"> un </w:t>
      </w:r>
      <w:r w:rsidR="00A2077F" w:rsidRPr="00965A0A">
        <w:rPr>
          <w:b/>
          <w:bCs/>
        </w:rPr>
        <w:t xml:space="preserve">ES </w:t>
      </w:r>
      <w:r w:rsidR="00377005" w:rsidRPr="00965A0A">
        <w:rPr>
          <w:b/>
          <w:bCs/>
        </w:rPr>
        <w:t>energoi</w:t>
      </w:r>
      <w:r w:rsidR="77C33DB8" w:rsidRPr="00965A0A">
        <w:rPr>
          <w:b/>
          <w:bCs/>
        </w:rPr>
        <w:t>etilpīgās</w:t>
      </w:r>
      <w:r w:rsidR="00377005" w:rsidRPr="00965A0A">
        <w:rPr>
          <w:b/>
          <w:bCs/>
        </w:rPr>
        <w:t xml:space="preserve"> rūpniecības</w:t>
      </w:r>
      <w:r w:rsidR="00A2077F" w:rsidRPr="00965A0A">
        <w:rPr>
          <w:b/>
          <w:bCs/>
        </w:rPr>
        <w:t xml:space="preserve"> </w:t>
      </w:r>
      <w:r w:rsidR="70D996FE" w:rsidRPr="00965A0A">
        <w:rPr>
          <w:b/>
          <w:bCs/>
        </w:rPr>
        <w:t>nozares</w:t>
      </w:r>
      <w:r w:rsidR="00A2077F" w:rsidRPr="00965A0A">
        <w:t>.</w:t>
      </w:r>
      <w:bookmarkStart w:id="0" w:name="_Hlk76630234"/>
      <w:bookmarkStart w:id="1" w:name="_Hlk76667246"/>
      <w:bookmarkEnd w:id="0"/>
      <w:bookmarkEnd w:id="1"/>
    </w:p>
    <w:p w14:paraId="610A84DF" w14:textId="242378C7" w:rsidR="00ED7CDF" w:rsidRPr="00965A0A" w:rsidRDefault="00F22A2E" w:rsidP="00965A0A">
      <w:pPr>
        <w:ind w:right="-2"/>
        <w:mirrorIndents/>
      </w:pPr>
      <w:r w:rsidRPr="00965A0A">
        <w:t>Plānotā d</w:t>
      </w:r>
      <w:r w:rsidR="005B29E4" w:rsidRPr="00965A0A">
        <w:t>iskusij</w:t>
      </w:r>
      <w:r w:rsidRPr="00965A0A">
        <w:t>a</w:t>
      </w:r>
      <w:r w:rsidR="005B29E4" w:rsidRPr="00965A0A">
        <w:t xml:space="preserve"> </w:t>
      </w:r>
      <w:r w:rsidR="00CD43F6" w:rsidRPr="00965A0A">
        <w:t>ir saistīt</w:t>
      </w:r>
      <w:r w:rsidRPr="00965A0A">
        <w:t>a</w:t>
      </w:r>
      <w:r w:rsidR="00CD43F6" w:rsidRPr="00965A0A">
        <w:t xml:space="preserve"> ar </w:t>
      </w:r>
      <w:r w:rsidR="00413CCE" w:rsidRPr="00965A0A">
        <w:t>Eiropas Komisija</w:t>
      </w:r>
      <w:r w:rsidR="00CD43F6" w:rsidRPr="00965A0A">
        <w:t>s</w:t>
      </w:r>
      <w:r w:rsidR="00413CCE" w:rsidRPr="00965A0A">
        <w:t xml:space="preserve"> (turpmāk - Komisija) 2020. gada </w:t>
      </w:r>
      <w:r w:rsidR="00A12A8B" w:rsidRPr="00965A0A">
        <w:t xml:space="preserve">11. </w:t>
      </w:r>
      <w:r w:rsidR="00377005" w:rsidRPr="00965A0A">
        <w:t>martā</w:t>
      </w:r>
      <w:r w:rsidR="00413CCE" w:rsidRPr="00965A0A">
        <w:t xml:space="preserve"> </w:t>
      </w:r>
      <w:r w:rsidR="00CD43F6" w:rsidRPr="00965A0A">
        <w:t xml:space="preserve">publicēto </w:t>
      </w:r>
      <w:r w:rsidR="004B6ECA" w:rsidRPr="00965A0A">
        <w:t xml:space="preserve">komunikāciju </w:t>
      </w:r>
      <w:r w:rsidR="00CA2D33" w:rsidRPr="00965A0A">
        <w:t>“</w:t>
      </w:r>
      <w:r w:rsidR="00A12A8B" w:rsidRPr="00965A0A">
        <w:rPr>
          <w:i/>
          <w:iCs/>
        </w:rPr>
        <w:t>Jaun</w:t>
      </w:r>
      <w:r w:rsidR="00CA2D33" w:rsidRPr="00965A0A">
        <w:rPr>
          <w:i/>
          <w:iCs/>
        </w:rPr>
        <w:t>s</w:t>
      </w:r>
      <w:r w:rsidR="00A12A8B" w:rsidRPr="00965A0A">
        <w:rPr>
          <w:i/>
          <w:iCs/>
        </w:rPr>
        <w:t xml:space="preserve"> a</w:t>
      </w:r>
      <w:r w:rsidR="00377005" w:rsidRPr="00965A0A">
        <w:rPr>
          <w:i/>
          <w:iCs/>
        </w:rPr>
        <w:t>prites ekonomikas rīcības plān</w:t>
      </w:r>
      <w:r w:rsidR="00CA2D33" w:rsidRPr="00965A0A">
        <w:rPr>
          <w:i/>
          <w:iCs/>
        </w:rPr>
        <w:t>s. Par tīrāku un konkurētspējīgāku Eiropu</w:t>
      </w:r>
      <w:r w:rsidR="00CA2D33" w:rsidRPr="00965A0A">
        <w:t>”</w:t>
      </w:r>
      <w:r w:rsidR="00A12A8B" w:rsidRPr="00965A0A">
        <w:rPr>
          <w:rStyle w:val="FootnoteReference"/>
        </w:rPr>
        <w:footnoteReference w:id="3"/>
      </w:r>
      <w:r w:rsidR="00D85200" w:rsidRPr="00965A0A">
        <w:t xml:space="preserve"> un 2021. gada 5. maijā Komisijas publicēto </w:t>
      </w:r>
      <w:r w:rsidR="00D85200" w:rsidRPr="00965A0A">
        <w:rPr>
          <w:i/>
          <w:iCs/>
        </w:rPr>
        <w:t>“Atjauninātajā rūpniecības stratēģijā”</w:t>
      </w:r>
      <w:r w:rsidR="00D85200" w:rsidRPr="00965A0A">
        <w:rPr>
          <w:rStyle w:val="FootnoteReference"/>
          <w:i/>
          <w:iCs/>
        </w:rPr>
        <w:footnoteReference w:id="4"/>
      </w:r>
      <w:r w:rsidR="00CA2D33" w:rsidRPr="00965A0A">
        <w:t>.</w:t>
      </w:r>
      <w:r w:rsidR="00DC229A" w:rsidRPr="00965A0A">
        <w:t xml:space="preserve"> Abu stratēģisko dokumentu</w:t>
      </w:r>
      <w:r w:rsidR="00EC41A3" w:rsidRPr="00965A0A">
        <w:t xml:space="preserve"> </w:t>
      </w:r>
      <w:r w:rsidR="00377005" w:rsidRPr="00965A0A">
        <w:t>mērķi</w:t>
      </w:r>
      <w:r w:rsidR="00EC41A3" w:rsidRPr="00965A0A">
        <w:t>s ir</w:t>
      </w:r>
      <w:r w:rsidR="00377005" w:rsidRPr="00965A0A">
        <w:t xml:space="preserve"> veicināt pāreju uz </w:t>
      </w:r>
      <w:proofErr w:type="spellStart"/>
      <w:r w:rsidR="00377005" w:rsidRPr="00965A0A">
        <w:t>klimatneitrālu</w:t>
      </w:r>
      <w:proofErr w:type="spellEnd"/>
      <w:r w:rsidR="00377005" w:rsidRPr="00965A0A">
        <w:t xml:space="preserve"> ekonomiku</w:t>
      </w:r>
      <w:r w:rsidR="00A12A8B" w:rsidRPr="00965A0A">
        <w:t xml:space="preserve"> līdz 2050. gadam</w:t>
      </w:r>
      <w:r w:rsidR="00EC41A3" w:rsidRPr="00965A0A">
        <w:t xml:space="preserve"> un stiprināt uzņēmumu </w:t>
      </w:r>
      <w:r w:rsidR="00A12A8B" w:rsidRPr="00965A0A">
        <w:t xml:space="preserve">ilgtspējīgu </w:t>
      </w:r>
      <w:r w:rsidR="00EC41A3" w:rsidRPr="00965A0A">
        <w:t>konkurētspēju. Taj</w:t>
      </w:r>
      <w:r w:rsidR="00F03EAC" w:rsidRPr="00965A0A">
        <w:t>os</w:t>
      </w:r>
      <w:r w:rsidR="00EC41A3" w:rsidRPr="00965A0A">
        <w:t xml:space="preserve"> ietvert</w:t>
      </w:r>
      <w:r w:rsidR="00F03EAC" w:rsidRPr="00965A0A">
        <w:t>ā</w:t>
      </w:r>
      <w:r w:rsidR="00EC41A3" w:rsidRPr="00965A0A">
        <w:t>s iniciatīvas</w:t>
      </w:r>
      <w:r w:rsidR="00F03EAC" w:rsidRPr="00965A0A">
        <w:t xml:space="preserve"> ir</w:t>
      </w:r>
      <w:r w:rsidR="00A12A8B" w:rsidRPr="00965A0A">
        <w:t xml:space="preserve"> vērstas uz aprites ekonomikas principu integrēšanu visās ekonomikas jomās, tostarp </w:t>
      </w:r>
      <w:r w:rsidR="000024B3" w:rsidRPr="00965A0A">
        <w:t xml:space="preserve">veicināt </w:t>
      </w:r>
      <w:r w:rsidR="00A12A8B" w:rsidRPr="00965A0A">
        <w:t>ilgtspējīgu produktu ražošanu</w:t>
      </w:r>
      <w:r w:rsidR="00ED7CDF" w:rsidRPr="00965A0A">
        <w:t xml:space="preserve">, </w:t>
      </w:r>
      <w:r w:rsidR="00526DB9" w:rsidRPr="00965A0A">
        <w:t>paildzināt produktu lietošanas dzīves ciklu</w:t>
      </w:r>
      <w:r w:rsidR="00ED7CDF" w:rsidRPr="00965A0A">
        <w:t xml:space="preserve"> un atbildīgu atkritumu pārstrādi.</w:t>
      </w:r>
      <w:bookmarkStart w:id="2" w:name="_Hlk76630020"/>
    </w:p>
    <w:bookmarkEnd w:id="2"/>
    <w:p w14:paraId="5D7010E7" w14:textId="7DBDB501" w:rsidR="00BB4825" w:rsidRPr="00965A0A" w:rsidRDefault="00F14341" w:rsidP="00965A0A">
      <w:pPr>
        <w:pStyle w:val="DashEqual1"/>
        <w:keepNext/>
        <w:keepLines/>
        <w:numPr>
          <w:ilvl w:val="0"/>
          <w:numId w:val="0"/>
        </w:numPr>
        <w:ind w:right="-2" w:firstLine="567"/>
        <w:mirrorIndents/>
        <w:rPr>
          <w:bCs/>
          <w:u w:val="single"/>
          <w:lang w:val="lv-LV"/>
        </w:rPr>
      </w:pPr>
      <w:r w:rsidRPr="00965A0A">
        <w:rPr>
          <w:bCs/>
          <w:u w:val="single"/>
          <w:lang w:val="lv-LV"/>
        </w:rPr>
        <w:t xml:space="preserve">ES </w:t>
      </w:r>
      <w:r w:rsidR="003A47F8" w:rsidRPr="00965A0A">
        <w:rPr>
          <w:bCs/>
          <w:u w:val="single"/>
          <w:lang w:val="lv-LV"/>
        </w:rPr>
        <w:t>vieglā rūpniecība</w:t>
      </w:r>
    </w:p>
    <w:p w14:paraId="2CDC8FA7" w14:textId="7FD91A20" w:rsidR="00357A3B" w:rsidRPr="00965A0A" w:rsidRDefault="00BE2777" w:rsidP="00965A0A">
      <w:pPr>
        <w:pBdr>
          <w:top w:val="nil"/>
          <w:left w:val="nil"/>
          <w:bottom w:val="nil"/>
          <w:right w:val="nil"/>
          <w:between w:val="nil"/>
          <w:bar w:val="nil"/>
        </w:pBdr>
        <w:ind w:right="-2"/>
        <w:mirrorIndents/>
      </w:pPr>
      <w:bookmarkStart w:id="3" w:name="_Hlk25156259"/>
      <w:r w:rsidRPr="00965A0A">
        <w:t xml:space="preserve">Eiropas zaļajā kursā, Aprites ekonomikas rīcības plānā un Atjauninātajā rūpniecības stratēģijā tekstilizstrādājumi </w:t>
      </w:r>
      <w:r w:rsidR="00D61C75" w:rsidRPr="00965A0A">
        <w:t xml:space="preserve">ir </w:t>
      </w:r>
      <w:r w:rsidRPr="00965A0A">
        <w:t xml:space="preserve">noteikti par prioritāru rūpniecības nozari, kurā ES </w:t>
      </w:r>
      <w:r w:rsidR="002C3D56" w:rsidRPr="00965A0A">
        <w:t xml:space="preserve">ir iespēja attīstīt </w:t>
      </w:r>
      <w:r w:rsidRPr="00965A0A">
        <w:t>oglekļa ziņā neitrālu aprites ekonomiku</w:t>
      </w:r>
      <w:r w:rsidR="00045EEC" w:rsidRPr="00965A0A">
        <w:t xml:space="preserve">. </w:t>
      </w:r>
      <w:r w:rsidR="005B54CE" w:rsidRPr="00965A0A">
        <w:t>No 2021.gada 12. maija līdz 4. augustam</w:t>
      </w:r>
      <w:r w:rsidR="00ED7CDF" w:rsidRPr="00965A0A">
        <w:t xml:space="preserve"> sabiedriskajā apspriešanā atrodas Komisijas virzītā </w:t>
      </w:r>
      <w:r w:rsidR="00ED7CDF" w:rsidRPr="00965A0A">
        <w:rPr>
          <w:i/>
          <w:iCs/>
        </w:rPr>
        <w:t>ES stratēģija ilgtspējīgiem tekstilizstrādājumiem</w:t>
      </w:r>
      <w:r w:rsidR="00ED7CDF" w:rsidRPr="00965A0A">
        <w:t xml:space="preserve">, ko plāno pieņemt šī gada trešajā ceturksnī. </w:t>
      </w:r>
      <w:r w:rsidR="00F14341" w:rsidRPr="00965A0A">
        <w:t xml:space="preserve">Stratēģija paredz </w:t>
      </w:r>
      <w:r w:rsidR="00F009EA" w:rsidRPr="00965A0A">
        <w:t>veicināt</w:t>
      </w:r>
      <w:r w:rsidR="00F14341" w:rsidRPr="00965A0A">
        <w:t xml:space="preserve"> produkt</w:t>
      </w:r>
      <w:r w:rsidR="004243DD" w:rsidRPr="00965A0A">
        <w:t>u</w:t>
      </w:r>
      <w:r w:rsidR="00F14341" w:rsidRPr="00965A0A">
        <w:t xml:space="preserve"> ražo</w:t>
      </w:r>
      <w:r w:rsidR="004243DD" w:rsidRPr="00965A0A">
        <w:t>šanu</w:t>
      </w:r>
      <w:r w:rsidR="00F14341" w:rsidRPr="00965A0A">
        <w:t xml:space="preserve"> tā, lai tie būtu ilgtspējīgāki, atkārtoti lietojami, labojami, pārstrādājami un energoefektīvi. Tās mērķis ir nodrošināt, ka tekstilrūpniecība pārvar Covid-19 pandēmijas sekas, kļūstot konkurētspējīgāka, piemērojot aprites ekonomikas principus ražošanai, produktiem, patēriņam, atkritumu apsaimniekošanai un otrreizē</w:t>
      </w:r>
      <w:r w:rsidR="00526DB9" w:rsidRPr="00965A0A">
        <w:t>ji izmantojamām</w:t>
      </w:r>
      <w:r w:rsidR="00F14341" w:rsidRPr="00965A0A">
        <w:t xml:space="preserve"> izejvielām, kā arī stratēģiski piesaistot investīcijas un atbalstot pētniecību un inovācijas.</w:t>
      </w:r>
    </w:p>
    <w:p w14:paraId="4A819D86" w14:textId="0BDDA42B" w:rsidR="003A47F8" w:rsidRPr="00965A0A" w:rsidRDefault="00357A3B" w:rsidP="00965A0A">
      <w:pPr>
        <w:pBdr>
          <w:top w:val="nil"/>
          <w:left w:val="nil"/>
          <w:bottom w:val="nil"/>
          <w:right w:val="nil"/>
          <w:between w:val="nil"/>
          <w:bar w:val="nil"/>
        </w:pBdr>
        <w:ind w:right="-2"/>
        <w:mirrorIndents/>
      </w:pPr>
      <w:r w:rsidRPr="00965A0A">
        <w:t>ES tekstilrūpniecībā ir nodarbināti 1,5 miljoni cilvēku, kas str</w:t>
      </w:r>
      <w:r w:rsidR="00715C12" w:rsidRPr="00965A0A">
        <w:t>ā</w:t>
      </w:r>
      <w:r w:rsidRPr="00965A0A">
        <w:t>dā vairāk nekā 160 000 uzņēmum</w:t>
      </w:r>
      <w:r w:rsidR="00715C12" w:rsidRPr="00965A0A">
        <w:t>os</w:t>
      </w:r>
      <w:r w:rsidRPr="00965A0A">
        <w:t xml:space="preserve">, no kuriem lielākā daļa ir </w:t>
      </w:r>
      <w:r w:rsidR="00E54DD1" w:rsidRPr="00965A0A">
        <w:t xml:space="preserve">mazie un vidējie uzņēmumi (turpmāk – </w:t>
      </w:r>
      <w:r w:rsidRPr="00965A0A">
        <w:t>MVU</w:t>
      </w:r>
      <w:r w:rsidR="00E54DD1" w:rsidRPr="00965A0A">
        <w:t>)</w:t>
      </w:r>
      <w:r w:rsidRPr="00965A0A">
        <w:t xml:space="preserve">, </w:t>
      </w:r>
      <w:r w:rsidR="00715C12" w:rsidRPr="00965A0A">
        <w:t>to</w:t>
      </w:r>
      <w:r w:rsidRPr="00965A0A">
        <w:t xml:space="preserve"> apgrozījumam 2019. gadā sasniedzot 162 miljard</w:t>
      </w:r>
      <w:r w:rsidR="00715C12" w:rsidRPr="00965A0A">
        <w:t>us</w:t>
      </w:r>
      <w:r w:rsidR="00E54DD1" w:rsidRPr="00965A0A">
        <w:t xml:space="preserve"> EUR</w:t>
      </w:r>
      <w:r w:rsidRPr="00965A0A">
        <w:t xml:space="preserve">. </w:t>
      </w:r>
      <w:r w:rsidR="003A47F8" w:rsidRPr="00965A0A">
        <w:t xml:space="preserve">Saskaņā ar uzņēmējdarbības statistikas datiem 2019.gadā Latvijas vieglajā rūpniecībā bija nodarbināti 11,6 tūkst. cilvēku, tai skaitā tekstilizstrādājumu ražošanas nozarē – 2,9 tūkst. cilvēku, apģērbu ražošanas nozarē – 8,4 tūkst. cilvēku un ādas un ādas izstrādājumu ražošanas nozarē – 0,3 tūkst. cilvēku. Vieglās rūpniecības uzņēmumu skaits 2019.gadā bija 1909 uzņēmumi, kuru kopējais apgrozījums sasniedza 288 milj. </w:t>
      </w:r>
      <w:r w:rsidR="00E54DD1" w:rsidRPr="00965A0A">
        <w:t>EUR</w:t>
      </w:r>
      <w:r w:rsidR="003A47F8" w:rsidRPr="00965A0A">
        <w:t xml:space="preserve"> gadā.</w:t>
      </w:r>
    </w:p>
    <w:p w14:paraId="6985089A" w14:textId="13341A6C" w:rsidR="003A47F8" w:rsidRPr="00965A0A" w:rsidRDefault="003A47F8" w:rsidP="00965A0A">
      <w:pPr>
        <w:pBdr>
          <w:top w:val="nil"/>
          <w:left w:val="nil"/>
          <w:bottom w:val="nil"/>
          <w:right w:val="nil"/>
          <w:between w:val="nil"/>
          <w:bar w:val="nil"/>
        </w:pBdr>
        <w:ind w:right="-2"/>
        <w:mirrorIndents/>
      </w:pPr>
      <w:r w:rsidRPr="00965A0A">
        <w:t xml:space="preserve">Latvijas vieglo rūpniecību būtiski ietekmē globālās tendences, un atvērtā ES darba tirgus apstākļos nozare nevar balstīties uz lēta darbaspēka priekšrocībām, kā tas, piemēram, ir </w:t>
      </w:r>
      <w:proofErr w:type="spellStart"/>
      <w:r w:rsidRPr="00965A0A">
        <w:t>Austrumāzijā</w:t>
      </w:r>
      <w:proofErr w:type="spellEnd"/>
      <w:r w:rsidRPr="00965A0A">
        <w:t>. Nozarē 2014.-2015. gadā bija vērojams būtisks ražošanas apjomu samazinājums</w:t>
      </w:r>
      <w:r w:rsidR="00526DB9" w:rsidRPr="00965A0A">
        <w:t>, tomēr k</w:t>
      </w:r>
      <w:r w:rsidRPr="00965A0A">
        <w:t xml:space="preserve">opš 2016. gada nozare ir atguvusies. 2019. gadā nozares apjomi nedaudz saruka, ko </w:t>
      </w:r>
      <w:r w:rsidRPr="00965A0A">
        <w:lastRenderedPageBreak/>
        <w:t xml:space="preserve">ietekmēja apģērbu ražošanas apjomu samazinājums. Arī 2020. gadā turpināja samazināties gan apģērbu ražošanas, gan arī tekstilizstrādājumu ražošanas apjomi. </w:t>
      </w:r>
    </w:p>
    <w:p w14:paraId="2FA7DD81" w14:textId="77777777" w:rsidR="003A47F8" w:rsidRPr="00965A0A" w:rsidRDefault="003A47F8" w:rsidP="00965A0A">
      <w:pPr>
        <w:pBdr>
          <w:top w:val="nil"/>
          <w:left w:val="nil"/>
          <w:bottom w:val="nil"/>
          <w:right w:val="nil"/>
          <w:between w:val="nil"/>
          <w:bar w:val="nil"/>
        </w:pBdr>
        <w:ind w:right="-2"/>
        <w:mirrorIndents/>
      </w:pPr>
      <w:r w:rsidRPr="00965A0A">
        <w:t>Nozares realizācijas apjomi 2019. gadā nedaudz samazinājās, ko pamatā ietekmēja vietējā tirgū realizētās produkcijas apjomu kritums. Savukārt 2020. gadā, samazinoties eksportētās produkcijas realizācijai, arī kopējās produkcijas apjomi bija ievērojami (par 9,5%) mazāki nekā pirms gada.</w:t>
      </w:r>
    </w:p>
    <w:p w14:paraId="55E9645F" w14:textId="65C2F1F8" w:rsidR="003A47F8" w:rsidRPr="00965A0A" w:rsidRDefault="003A47F8" w:rsidP="00965A0A">
      <w:pPr>
        <w:pBdr>
          <w:top w:val="nil"/>
          <w:left w:val="nil"/>
          <w:bottom w:val="nil"/>
          <w:right w:val="nil"/>
          <w:between w:val="nil"/>
          <w:bar w:val="nil"/>
        </w:pBdr>
        <w:ind w:right="-2"/>
        <w:mirrorIndents/>
      </w:pPr>
      <w:r w:rsidRPr="00965A0A">
        <w:t xml:space="preserve">2020.gadā nozares eksports faktiskajās cenās bija 173 milj. </w:t>
      </w:r>
      <w:r w:rsidR="00C80501" w:rsidRPr="00965A0A">
        <w:t>EUR</w:t>
      </w:r>
      <w:r w:rsidRPr="00965A0A">
        <w:t xml:space="preserve"> vērtībā, kas ir par gandrīz 15% mazāk nekā 2019.gadā. Savukārt imports samazinājās par 22% un bija 90,5 milj. </w:t>
      </w:r>
      <w:r w:rsidR="00C80501" w:rsidRPr="00965A0A">
        <w:t>EUR</w:t>
      </w:r>
      <w:r w:rsidRPr="00965A0A">
        <w:t xml:space="preserve"> vērtībā.</w:t>
      </w:r>
    </w:p>
    <w:p w14:paraId="33726E17" w14:textId="2D81AC3E" w:rsidR="007D70C6" w:rsidRDefault="003A47F8" w:rsidP="00965A0A">
      <w:pPr>
        <w:pBdr>
          <w:top w:val="nil"/>
          <w:left w:val="nil"/>
          <w:bottom w:val="nil"/>
          <w:right w:val="nil"/>
          <w:between w:val="nil"/>
          <w:bar w:val="nil"/>
        </w:pBdr>
        <w:ind w:right="-2"/>
        <w:mirrorIndents/>
      </w:pPr>
      <w:r w:rsidRPr="00965A0A">
        <w:t xml:space="preserve">Kopš 2014. gada aizņemto darbvietu skaits nozarē ir samazinājies par 1,7 tūkstošiem. Konfidences rādītājs 2018. gadā laikā nedaudz uzlabojās, sasniedzot pozitīvu nozares attīstības redzējumu. Savukārt 2019. gadā un jo īpaši 2020. gadā rādītājs ir ievērojami pasliktinājies. Ņemot vērā lielo eksporta īpatsvaru nozares realizācijā, tās attīstība ir cieši saistīta ar pieprasījuma izmaiņām un konkurētspēju ārējos tirgos. </w:t>
      </w:r>
      <w:r w:rsidR="00FF13FA" w:rsidRPr="00965A0A">
        <w:t>V</w:t>
      </w:r>
      <w:r w:rsidR="007D70C6" w:rsidRPr="00965A0A">
        <w:t>ērtības</w:t>
      </w:r>
      <w:r w:rsidR="00FF13FA" w:rsidRPr="00965A0A">
        <w:t xml:space="preserve"> ziņā</w:t>
      </w:r>
      <w:r w:rsidR="007D70C6" w:rsidRPr="00965A0A">
        <w:t>, vairāk kā 60% ES pārdoto apģērbu ir ražoti trešajās valstīs. Eiropas tekstilrūpniecība un apģērbu rūpniecība saskaras ar</w:t>
      </w:r>
      <w:r w:rsidR="005B54CE" w:rsidRPr="00965A0A">
        <w:t xml:space="preserve"> nevienlīdzīgiem ko</w:t>
      </w:r>
      <w:r w:rsidR="007D70C6" w:rsidRPr="00965A0A">
        <w:t>nkurences apstākļiem, jo trešās valstīs bieži vien ir zemākas ražošanas izmaksas</w:t>
      </w:r>
      <w:r w:rsidR="00C72FAE" w:rsidRPr="00965A0A">
        <w:t>, kā arī</w:t>
      </w:r>
      <w:r w:rsidR="007D70C6" w:rsidRPr="00965A0A">
        <w:t xml:space="preserve"> vides un sociālie standarti.</w:t>
      </w:r>
    </w:p>
    <w:p w14:paraId="62B99F6D" w14:textId="77777777" w:rsidR="00965A0A" w:rsidRPr="00965A0A" w:rsidRDefault="00965A0A" w:rsidP="00965A0A">
      <w:pPr>
        <w:pBdr>
          <w:top w:val="nil"/>
          <w:left w:val="nil"/>
          <w:bottom w:val="nil"/>
          <w:right w:val="nil"/>
          <w:between w:val="nil"/>
          <w:bar w:val="nil"/>
        </w:pBdr>
        <w:ind w:right="-2"/>
        <w:mirrorIndents/>
      </w:pPr>
    </w:p>
    <w:p w14:paraId="3346C795" w14:textId="77777777" w:rsidR="00965A0A" w:rsidRPr="00361E41" w:rsidRDefault="00965A0A" w:rsidP="00965A0A">
      <w:pPr>
        <w:pBdr>
          <w:bottom w:val="thickThinSmallGap" w:sz="24" w:space="1" w:color="403152"/>
        </w:pBdr>
        <w:rPr>
          <w:rFonts w:ascii="Segoe UI Light" w:hAnsi="Segoe UI Light" w:cs="Segoe UI"/>
          <w:b/>
          <w:bCs/>
          <w:color w:val="403152"/>
          <w:sz w:val="18"/>
          <w:szCs w:val="16"/>
        </w:rPr>
      </w:pPr>
      <w:r w:rsidRPr="00361E41">
        <w:rPr>
          <w:rFonts w:ascii="Segoe UI Light" w:hAnsi="Segoe UI Light" w:cs="Segoe UI"/>
          <w:b/>
          <w:bCs/>
          <w:color w:val="403152"/>
          <w:sz w:val="18"/>
          <w:szCs w:val="16"/>
        </w:rPr>
        <w:t>Vieglā rūpniecība</w:t>
      </w:r>
    </w:p>
    <w:tbl>
      <w:tblPr>
        <w:tblStyle w:val="TableGrid"/>
        <w:tblW w:w="0" w:type="auto"/>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1762"/>
        <w:gridCol w:w="1755"/>
      </w:tblGrid>
      <w:tr w:rsidR="00965A0A" w:rsidRPr="00361E41" w14:paraId="79FC4825" w14:textId="77777777" w:rsidTr="00E0385C">
        <w:tc>
          <w:tcPr>
            <w:tcW w:w="3087" w:type="dxa"/>
            <w:vAlign w:val="center"/>
            <w:hideMark/>
          </w:tcPr>
          <w:p w14:paraId="3D635B4C" w14:textId="77777777" w:rsidR="00965A0A" w:rsidRPr="00965A0A" w:rsidRDefault="00965A0A" w:rsidP="00A339E3">
            <w:pPr>
              <w:jc w:val="center"/>
              <w:rPr>
                <w:rFonts w:ascii="Candara" w:eastAsia="Calibri" w:hAnsi="Candara" w:cs="Segoe UI"/>
                <w:sz w:val="18"/>
                <w:lang w:val="lv-LV"/>
              </w:rPr>
            </w:pPr>
            <w:r w:rsidRPr="00965A0A">
              <w:rPr>
                <w:rFonts w:ascii="Candara" w:eastAsia="Calibri" w:hAnsi="Candara" w:cs="Segoe UI"/>
                <w:sz w:val="18"/>
                <w:lang w:val="lv-LV"/>
              </w:rPr>
              <w:t>Nozares īpatsvars apstrādes rūpniecībā</w:t>
            </w:r>
            <w:r w:rsidRPr="00965A0A">
              <w:rPr>
                <w:rFonts w:ascii="Candara" w:eastAsia="Calibri" w:hAnsi="Candara" w:cs="Segoe UI"/>
                <w:sz w:val="18"/>
                <w:lang w:val="lv-LV"/>
              </w:rPr>
              <w:br/>
            </w:r>
            <w:r w:rsidRPr="00965A0A">
              <w:rPr>
                <w:rFonts w:ascii="Candara" w:eastAsia="Calibri" w:hAnsi="Candara" w:cs="Segoe UI"/>
                <w:i/>
                <w:sz w:val="16"/>
                <w:lang w:val="lv-LV"/>
              </w:rPr>
              <w:t>2020.gadā</w:t>
            </w:r>
          </w:p>
        </w:tc>
        <w:tc>
          <w:tcPr>
            <w:tcW w:w="3087" w:type="dxa"/>
            <w:vAlign w:val="center"/>
            <w:hideMark/>
          </w:tcPr>
          <w:p w14:paraId="27B246FB" w14:textId="77777777" w:rsidR="00965A0A" w:rsidRPr="00361E41" w:rsidRDefault="00965A0A" w:rsidP="00A339E3">
            <w:pPr>
              <w:jc w:val="center"/>
              <w:rPr>
                <w:rFonts w:ascii="Segoe UI Light" w:eastAsia="Calibri" w:hAnsi="Segoe UI Light" w:cs="Segoe UI"/>
                <w:sz w:val="18"/>
              </w:rPr>
            </w:pPr>
            <w:proofErr w:type="spellStart"/>
            <w:r w:rsidRPr="00361E41">
              <w:rPr>
                <w:rFonts w:ascii="Candara" w:eastAsia="Calibri" w:hAnsi="Candara" w:cs="Segoe UI"/>
                <w:sz w:val="18"/>
              </w:rPr>
              <w:t>Ražošanas</w:t>
            </w:r>
            <w:proofErr w:type="spellEnd"/>
            <w:r w:rsidRPr="00361E41">
              <w:rPr>
                <w:rFonts w:ascii="Candara" w:eastAsia="Calibri" w:hAnsi="Candara" w:cs="Segoe UI"/>
                <w:sz w:val="18"/>
              </w:rPr>
              <w:t xml:space="preserve"> </w:t>
            </w:r>
            <w:proofErr w:type="spellStart"/>
            <w:r w:rsidRPr="00361E41">
              <w:rPr>
                <w:rFonts w:ascii="Candara" w:eastAsia="Calibri" w:hAnsi="Candara" w:cs="Segoe UI"/>
                <w:sz w:val="18"/>
              </w:rPr>
              <w:t>apjomu</w:t>
            </w:r>
            <w:proofErr w:type="spellEnd"/>
            <w:r w:rsidRPr="00361E41">
              <w:rPr>
                <w:rFonts w:ascii="Candara" w:eastAsia="Calibri" w:hAnsi="Candara" w:cs="Segoe UI"/>
                <w:sz w:val="18"/>
              </w:rPr>
              <w:t xml:space="preserve"> </w:t>
            </w:r>
            <w:proofErr w:type="spellStart"/>
            <w:r w:rsidRPr="00361E41">
              <w:rPr>
                <w:rFonts w:ascii="Candara" w:eastAsia="Calibri" w:hAnsi="Candara" w:cs="Segoe UI"/>
                <w:sz w:val="18"/>
              </w:rPr>
              <w:t>izmaiņas</w:t>
            </w:r>
            <w:proofErr w:type="spellEnd"/>
            <w:r w:rsidRPr="00361E41">
              <w:rPr>
                <w:rFonts w:ascii="Candara" w:eastAsia="Calibri" w:hAnsi="Candara" w:cs="Segoe UI"/>
                <w:sz w:val="18"/>
              </w:rPr>
              <w:br/>
            </w:r>
            <w:proofErr w:type="spellStart"/>
            <w:r w:rsidRPr="00361E41">
              <w:rPr>
                <w:rFonts w:ascii="Candara" w:eastAsia="Calibri" w:hAnsi="Candara" w:cs="Segoe UI"/>
                <w:i/>
                <w:sz w:val="16"/>
              </w:rPr>
              <w:t>procentos</w:t>
            </w:r>
            <w:proofErr w:type="spellEnd"/>
          </w:p>
        </w:tc>
        <w:tc>
          <w:tcPr>
            <w:tcW w:w="3308" w:type="dxa"/>
            <w:gridSpan w:val="2"/>
            <w:vAlign w:val="center"/>
            <w:hideMark/>
          </w:tcPr>
          <w:p w14:paraId="7D59D2E3" w14:textId="77777777" w:rsidR="00965A0A" w:rsidRPr="00361E41" w:rsidRDefault="00965A0A" w:rsidP="00A339E3">
            <w:pPr>
              <w:jc w:val="center"/>
              <w:rPr>
                <w:rFonts w:ascii="Candara" w:eastAsia="Calibri" w:hAnsi="Candara" w:cs="Segoe UI"/>
                <w:sz w:val="18"/>
              </w:rPr>
            </w:pPr>
            <w:proofErr w:type="spellStart"/>
            <w:r w:rsidRPr="00361E41">
              <w:rPr>
                <w:rFonts w:ascii="Candara" w:eastAsia="Calibri" w:hAnsi="Candara" w:cs="Segoe UI"/>
                <w:sz w:val="18"/>
              </w:rPr>
              <w:t>Produkcijas</w:t>
            </w:r>
            <w:proofErr w:type="spellEnd"/>
            <w:r w:rsidRPr="00361E41">
              <w:rPr>
                <w:rFonts w:ascii="Candara" w:eastAsia="Calibri" w:hAnsi="Candara" w:cs="Segoe UI"/>
                <w:sz w:val="18"/>
              </w:rPr>
              <w:t xml:space="preserve"> </w:t>
            </w:r>
            <w:proofErr w:type="spellStart"/>
            <w:r w:rsidRPr="00361E41">
              <w:rPr>
                <w:rFonts w:ascii="Candara" w:eastAsia="Calibri" w:hAnsi="Candara" w:cs="Segoe UI"/>
                <w:sz w:val="18"/>
              </w:rPr>
              <w:t>apjomi</w:t>
            </w:r>
            <w:proofErr w:type="spellEnd"/>
            <w:r w:rsidRPr="00361E41">
              <w:rPr>
                <w:rFonts w:ascii="Candara" w:eastAsia="Calibri" w:hAnsi="Candara" w:cs="Segoe UI"/>
                <w:sz w:val="18"/>
              </w:rPr>
              <w:t xml:space="preserve"> un </w:t>
            </w:r>
            <w:proofErr w:type="spellStart"/>
            <w:r w:rsidRPr="00361E41">
              <w:rPr>
                <w:rFonts w:ascii="Candara" w:eastAsia="Calibri" w:hAnsi="Candara" w:cs="Segoe UI"/>
                <w:sz w:val="18"/>
              </w:rPr>
              <w:t>aizņemtās</w:t>
            </w:r>
            <w:proofErr w:type="spellEnd"/>
            <w:r w:rsidRPr="00361E41">
              <w:rPr>
                <w:rFonts w:ascii="Candara" w:eastAsia="Calibri" w:hAnsi="Candara" w:cs="Segoe UI"/>
                <w:sz w:val="18"/>
              </w:rPr>
              <w:t xml:space="preserve"> </w:t>
            </w:r>
            <w:proofErr w:type="spellStart"/>
            <w:r w:rsidRPr="00361E41">
              <w:rPr>
                <w:rFonts w:ascii="Candara" w:eastAsia="Calibri" w:hAnsi="Candara" w:cs="Segoe UI"/>
                <w:sz w:val="18"/>
              </w:rPr>
              <w:t>darbavietas</w:t>
            </w:r>
            <w:proofErr w:type="spellEnd"/>
            <w:r w:rsidRPr="00361E41">
              <w:rPr>
                <w:rFonts w:ascii="Candara" w:eastAsia="Calibri" w:hAnsi="Candara" w:cs="Segoe UI"/>
                <w:sz w:val="18"/>
              </w:rPr>
              <w:t xml:space="preserve"> </w:t>
            </w:r>
            <w:r w:rsidRPr="00361E41">
              <w:rPr>
                <w:rFonts w:ascii="Candara" w:eastAsia="Calibri" w:hAnsi="Candara" w:cs="Segoe UI"/>
                <w:sz w:val="18"/>
              </w:rPr>
              <w:br/>
            </w:r>
            <w:r w:rsidRPr="00361E41">
              <w:rPr>
                <w:rFonts w:ascii="Candara" w:eastAsia="Calibri" w:hAnsi="Candara" w:cs="Segoe UI"/>
                <w:i/>
                <w:sz w:val="16"/>
              </w:rPr>
              <w:t xml:space="preserve">2015.gada </w:t>
            </w:r>
            <w:proofErr w:type="gramStart"/>
            <w:r w:rsidRPr="00361E41">
              <w:rPr>
                <w:rFonts w:ascii="Candara" w:eastAsia="Calibri" w:hAnsi="Candara" w:cs="Segoe UI"/>
                <w:i/>
                <w:sz w:val="16"/>
              </w:rPr>
              <w:t>4.ceturksnis</w:t>
            </w:r>
            <w:proofErr w:type="gramEnd"/>
            <w:r w:rsidRPr="00361E41">
              <w:rPr>
                <w:rFonts w:ascii="Candara" w:eastAsia="Calibri" w:hAnsi="Candara" w:cs="Segoe UI"/>
                <w:i/>
                <w:sz w:val="16"/>
              </w:rPr>
              <w:t xml:space="preserve"> = 100</w:t>
            </w:r>
          </w:p>
        </w:tc>
      </w:tr>
      <w:tr w:rsidR="00965A0A" w:rsidRPr="00361E41" w14:paraId="1B748E3E" w14:textId="77777777" w:rsidTr="00E0385C">
        <w:tc>
          <w:tcPr>
            <w:tcW w:w="3087" w:type="dxa"/>
            <w:vAlign w:val="center"/>
            <w:hideMark/>
          </w:tcPr>
          <w:p w14:paraId="5E68B30B" w14:textId="77777777" w:rsidR="00965A0A" w:rsidRPr="00361E41" w:rsidRDefault="00965A0A" w:rsidP="00A339E3">
            <w:pPr>
              <w:jc w:val="center"/>
              <w:rPr>
                <w:rFonts w:ascii="Candara" w:eastAsia="Calibri" w:hAnsi="Candara" w:cs="Segoe UI"/>
                <w:sz w:val="18"/>
              </w:rPr>
            </w:pPr>
            <w:r w:rsidRPr="00361E41">
              <w:rPr>
                <w:rFonts w:ascii="Segoe UI Light" w:eastAsia="Calibri" w:hAnsi="Segoe UI Light"/>
                <w:noProof/>
                <w:w w:val="90"/>
                <w:sz w:val="16"/>
              </w:rPr>
              <w:drawing>
                <wp:inline distT="0" distB="0" distL="0" distR="0" wp14:anchorId="55F40392" wp14:editId="0D39EB0F">
                  <wp:extent cx="1800225" cy="16192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3087" w:type="dxa"/>
            <w:vAlign w:val="center"/>
            <w:hideMark/>
          </w:tcPr>
          <w:p w14:paraId="71A993B8" w14:textId="77777777" w:rsidR="00965A0A" w:rsidRPr="00361E41" w:rsidRDefault="00965A0A" w:rsidP="00A339E3">
            <w:pPr>
              <w:jc w:val="center"/>
              <w:rPr>
                <w:rFonts w:ascii="Segoe UI Light" w:eastAsia="Calibri" w:hAnsi="Segoe UI Light" w:cs="Segoe UI"/>
                <w:sz w:val="18"/>
              </w:rPr>
            </w:pPr>
            <w:r w:rsidRPr="00361E41">
              <w:rPr>
                <w:rFonts w:ascii="Segoe UI Light" w:eastAsia="Calibri" w:hAnsi="Segoe UI Light"/>
                <w:noProof/>
                <w:w w:val="90"/>
                <w:sz w:val="16"/>
              </w:rPr>
              <w:drawing>
                <wp:inline distT="0" distB="0" distL="0" distR="0" wp14:anchorId="01FB4AF6" wp14:editId="20776ECD">
                  <wp:extent cx="1800225" cy="16192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3308" w:type="dxa"/>
            <w:gridSpan w:val="2"/>
            <w:vAlign w:val="center"/>
            <w:hideMark/>
          </w:tcPr>
          <w:p w14:paraId="1194FB2C" w14:textId="77777777" w:rsidR="00965A0A" w:rsidRPr="00361E41" w:rsidRDefault="00965A0A" w:rsidP="00A339E3">
            <w:pPr>
              <w:jc w:val="center"/>
              <w:rPr>
                <w:rFonts w:ascii="Candara" w:eastAsia="Calibri" w:hAnsi="Candara" w:cs="Segoe UI"/>
                <w:sz w:val="18"/>
              </w:rPr>
            </w:pPr>
            <w:r w:rsidRPr="00361E41">
              <w:rPr>
                <w:rFonts w:ascii="Segoe UI Light" w:eastAsia="Calibri" w:hAnsi="Segoe UI Light"/>
                <w:noProof/>
                <w:w w:val="90"/>
                <w:sz w:val="16"/>
              </w:rPr>
              <w:drawing>
                <wp:inline distT="0" distB="0" distL="0" distR="0" wp14:anchorId="20E26121" wp14:editId="27B4F160">
                  <wp:extent cx="1800225" cy="161925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65A0A" w:rsidRPr="00361E41" w14:paraId="574FDC73" w14:textId="77777777" w:rsidTr="00E0385C">
        <w:tc>
          <w:tcPr>
            <w:tcW w:w="3087" w:type="dxa"/>
            <w:vAlign w:val="center"/>
            <w:hideMark/>
          </w:tcPr>
          <w:p w14:paraId="6181B065" w14:textId="77777777" w:rsidR="00965A0A" w:rsidRPr="00965A0A" w:rsidRDefault="00965A0A" w:rsidP="00A339E3">
            <w:pPr>
              <w:jc w:val="center"/>
              <w:rPr>
                <w:rFonts w:ascii="Candara" w:eastAsia="Calibri" w:hAnsi="Candara" w:cs="Segoe UI"/>
                <w:sz w:val="18"/>
                <w:lang w:val="lv-LV"/>
              </w:rPr>
            </w:pPr>
            <w:r w:rsidRPr="00965A0A">
              <w:rPr>
                <w:rFonts w:ascii="Candara" w:eastAsia="Calibri" w:hAnsi="Candara" w:cs="Segoe UI"/>
                <w:sz w:val="18"/>
                <w:lang w:val="lv-LV"/>
              </w:rPr>
              <w:t>Produkcijas realizācijas izmaiņas</w:t>
            </w:r>
            <w:r w:rsidRPr="00965A0A">
              <w:rPr>
                <w:rFonts w:ascii="Candara" w:eastAsia="Calibri" w:hAnsi="Candara" w:cs="Segoe UI"/>
                <w:sz w:val="18"/>
                <w:lang w:val="lv-LV"/>
              </w:rPr>
              <w:br/>
            </w:r>
            <w:r w:rsidRPr="00965A0A">
              <w:rPr>
                <w:rFonts w:ascii="Candara" w:eastAsia="Calibri" w:hAnsi="Candara" w:cs="Segoe UI"/>
                <w:i/>
                <w:sz w:val="16"/>
                <w:szCs w:val="16"/>
                <w:lang w:val="lv-LV"/>
              </w:rPr>
              <w:t>12 mēnešu slīdošais vidējais</w:t>
            </w:r>
          </w:p>
        </w:tc>
        <w:tc>
          <w:tcPr>
            <w:tcW w:w="3087" w:type="dxa"/>
            <w:vAlign w:val="center"/>
            <w:hideMark/>
          </w:tcPr>
          <w:p w14:paraId="475904A8" w14:textId="77777777" w:rsidR="00965A0A" w:rsidRPr="00361E41" w:rsidRDefault="00965A0A" w:rsidP="00A339E3">
            <w:pPr>
              <w:jc w:val="center"/>
              <w:rPr>
                <w:rFonts w:ascii="Segoe UI Light" w:eastAsia="Calibri" w:hAnsi="Segoe UI Light" w:cs="Segoe UI"/>
                <w:sz w:val="18"/>
              </w:rPr>
            </w:pPr>
            <w:proofErr w:type="spellStart"/>
            <w:r w:rsidRPr="00361E41">
              <w:rPr>
                <w:rFonts w:ascii="Candara" w:eastAsia="Calibri" w:hAnsi="Candara" w:cs="Segoe UI"/>
                <w:sz w:val="18"/>
                <w:szCs w:val="16"/>
              </w:rPr>
              <w:t>Produkcijas</w:t>
            </w:r>
            <w:proofErr w:type="spellEnd"/>
            <w:r w:rsidRPr="00361E41">
              <w:rPr>
                <w:rFonts w:ascii="Candara" w:eastAsia="Calibri" w:hAnsi="Candara" w:cs="Segoe UI"/>
                <w:sz w:val="18"/>
                <w:szCs w:val="16"/>
              </w:rPr>
              <w:t xml:space="preserve"> </w:t>
            </w:r>
            <w:proofErr w:type="spellStart"/>
            <w:r w:rsidRPr="00361E41">
              <w:rPr>
                <w:rFonts w:ascii="Candara" w:eastAsia="Calibri" w:hAnsi="Candara" w:cs="Segoe UI"/>
                <w:sz w:val="18"/>
                <w:szCs w:val="16"/>
              </w:rPr>
              <w:t>realizācija</w:t>
            </w:r>
            <w:proofErr w:type="spellEnd"/>
            <w:r w:rsidRPr="00361E41">
              <w:rPr>
                <w:rFonts w:ascii="Candara" w:eastAsia="Calibri" w:hAnsi="Candara" w:cs="Segoe UI"/>
                <w:sz w:val="18"/>
                <w:szCs w:val="16"/>
              </w:rPr>
              <w:t xml:space="preserve"> </w:t>
            </w:r>
            <w:r w:rsidRPr="00361E41">
              <w:rPr>
                <w:rFonts w:ascii="Candara" w:eastAsia="Calibri" w:hAnsi="Candara" w:cs="Segoe UI"/>
                <w:sz w:val="18"/>
                <w:szCs w:val="16"/>
              </w:rPr>
              <w:br/>
            </w:r>
            <w:r w:rsidRPr="00361E41">
              <w:rPr>
                <w:rFonts w:ascii="Candara" w:eastAsia="Calibri" w:hAnsi="Candara" w:cs="Segoe UI"/>
                <w:i/>
                <w:sz w:val="16"/>
                <w:szCs w:val="16"/>
              </w:rPr>
              <w:t xml:space="preserve">2015.gada </w:t>
            </w:r>
            <w:proofErr w:type="spellStart"/>
            <w:r w:rsidRPr="00361E41">
              <w:rPr>
                <w:rFonts w:ascii="Candara" w:eastAsia="Calibri" w:hAnsi="Candara" w:cs="Segoe UI"/>
                <w:i/>
                <w:sz w:val="16"/>
                <w:szCs w:val="16"/>
              </w:rPr>
              <w:t>decembris</w:t>
            </w:r>
            <w:proofErr w:type="spellEnd"/>
            <w:r w:rsidRPr="00361E41">
              <w:rPr>
                <w:rFonts w:ascii="Candara" w:eastAsia="Calibri" w:hAnsi="Candara" w:cs="Segoe UI"/>
                <w:i/>
                <w:sz w:val="16"/>
                <w:szCs w:val="16"/>
              </w:rPr>
              <w:t xml:space="preserve"> = 100, 12 </w:t>
            </w:r>
            <w:proofErr w:type="spellStart"/>
            <w:r w:rsidRPr="00361E41">
              <w:rPr>
                <w:rFonts w:ascii="Candara" w:eastAsia="Calibri" w:hAnsi="Candara" w:cs="Segoe UI"/>
                <w:i/>
                <w:sz w:val="16"/>
                <w:szCs w:val="16"/>
              </w:rPr>
              <w:t>mēnešu</w:t>
            </w:r>
            <w:proofErr w:type="spellEnd"/>
            <w:r w:rsidRPr="00361E41">
              <w:rPr>
                <w:rFonts w:ascii="Candara" w:eastAsia="Calibri" w:hAnsi="Candara" w:cs="Segoe UI"/>
                <w:i/>
                <w:sz w:val="16"/>
                <w:szCs w:val="16"/>
              </w:rPr>
              <w:t xml:space="preserve"> </w:t>
            </w:r>
            <w:proofErr w:type="spellStart"/>
            <w:r w:rsidRPr="00361E41">
              <w:rPr>
                <w:rFonts w:ascii="Candara" w:eastAsia="Calibri" w:hAnsi="Candara" w:cs="Segoe UI"/>
                <w:i/>
                <w:sz w:val="16"/>
                <w:szCs w:val="16"/>
              </w:rPr>
              <w:t>slīdošais</w:t>
            </w:r>
            <w:proofErr w:type="spellEnd"/>
            <w:r w:rsidRPr="00361E41">
              <w:rPr>
                <w:rFonts w:ascii="Candara" w:eastAsia="Calibri" w:hAnsi="Candara" w:cs="Segoe UI"/>
                <w:i/>
                <w:sz w:val="16"/>
                <w:szCs w:val="16"/>
              </w:rPr>
              <w:t xml:space="preserve"> </w:t>
            </w:r>
            <w:proofErr w:type="spellStart"/>
            <w:r w:rsidRPr="00361E41">
              <w:rPr>
                <w:rFonts w:ascii="Candara" w:eastAsia="Calibri" w:hAnsi="Candara" w:cs="Segoe UI"/>
                <w:i/>
                <w:sz w:val="16"/>
                <w:szCs w:val="16"/>
              </w:rPr>
              <w:t>vidējais</w:t>
            </w:r>
            <w:proofErr w:type="spellEnd"/>
          </w:p>
        </w:tc>
        <w:tc>
          <w:tcPr>
            <w:tcW w:w="3308" w:type="dxa"/>
            <w:gridSpan w:val="2"/>
            <w:vAlign w:val="center"/>
            <w:hideMark/>
          </w:tcPr>
          <w:p w14:paraId="3D148570" w14:textId="77777777" w:rsidR="00965A0A" w:rsidRPr="00361E41" w:rsidRDefault="00965A0A" w:rsidP="00A339E3">
            <w:pPr>
              <w:jc w:val="center"/>
              <w:rPr>
                <w:rFonts w:ascii="Candara" w:eastAsia="Calibri" w:hAnsi="Candara" w:cs="Segoe UI"/>
                <w:sz w:val="18"/>
              </w:rPr>
            </w:pPr>
            <w:proofErr w:type="spellStart"/>
            <w:r w:rsidRPr="00361E41">
              <w:rPr>
                <w:rFonts w:ascii="Candara" w:eastAsia="Calibri" w:hAnsi="Candara" w:cs="Segoe UI"/>
                <w:sz w:val="18"/>
              </w:rPr>
              <w:t>Ražošanas</w:t>
            </w:r>
            <w:proofErr w:type="spellEnd"/>
            <w:r w:rsidRPr="00361E41">
              <w:rPr>
                <w:rFonts w:ascii="Candara" w:eastAsia="Calibri" w:hAnsi="Candara" w:cs="Segoe UI"/>
                <w:sz w:val="18"/>
              </w:rPr>
              <w:t xml:space="preserve"> </w:t>
            </w:r>
            <w:proofErr w:type="spellStart"/>
            <w:r w:rsidRPr="00361E41">
              <w:rPr>
                <w:rFonts w:ascii="Candara" w:eastAsia="Calibri" w:hAnsi="Candara" w:cs="Segoe UI"/>
                <w:sz w:val="18"/>
              </w:rPr>
              <w:t>jaudu</w:t>
            </w:r>
            <w:proofErr w:type="spellEnd"/>
            <w:r w:rsidRPr="00361E41">
              <w:rPr>
                <w:rFonts w:ascii="Candara" w:eastAsia="Calibri" w:hAnsi="Candara" w:cs="Segoe UI"/>
                <w:sz w:val="18"/>
              </w:rPr>
              <w:t xml:space="preserve"> </w:t>
            </w:r>
            <w:proofErr w:type="spellStart"/>
            <w:r w:rsidRPr="00361E41">
              <w:rPr>
                <w:rFonts w:ascii="Candara" w:eastAsia="Calibri" w:hAnsi="Candara" w:cs="Segoe UI"/>
                <w:sz w:val="18"/>
              </w:rPr>
              <w:t>noslodze</w:t>
            </w:r>
            <w:proofErr w:type="spellEnd"/>
            <w:r w:rsidRPr="00361E41">
              <w:rPr>
                <w:rFonts w:ascii="Candara" w:eastAsia="Calibri" w:hAnsi="Candara" w:cs="Segoe UI"/>
                <w:sz w:val="18"/>
              </w:rPr>
              <w:t xml:space="preserve"> </w:t>
            </w:r>
            <w:r w:rsidRPr="00361E41">
              <w:rPr>
                <w:rFonts w:ascii="Candara" w:eastAsia="Calibri" w:hAnsi="Candara" w:cs="Segoe UI"/>
                <w:sz w:val="18"/>
              </w:rPr>
              <w:br/>
            </w:r>
            <w:proofErr w:type="spellStart"/>
            <w:r w:rsidRPr="00361E41">
              <w:rPr>
                <w:rFonts w:ascii="Candara" w:eastAsia="Calibri" w:hAnsi="Candara" w:cs="Segoe UI"/>
                <w:i/>
                <w:sz w:val="16"/>
              </w:rPr>
              <w:t>Vēsturiski</w:t>
            </w:r>
            <w:proofErr w:type="spellEnd"/>
            <w:r w:rsidRPr="00361E41">
              <w:rPr>
                <w:rFonts w:ascii="Candara" w:eastAsia="Calibri" w:hAnsi="Candara" w:cs="Segoe UI"/>
                <w:i/>
                <w:sz w:val="16"/>
              </w:rPr>
              <w:t xml:space="preserve"> </w:t>
            </w:r>
            <w:proofErr w:type="spellStart"/>
            <w:r w:rsidRPr="00361E41">
              <w:rPr>
                <w:rFonts w:ascii="Candara" w:eastAsia="Calibri" w:hAnsi="Candara" w:cs="Segoe UI"/>
                <w:i/>
                <w:sz w:val="16"/>
              </w:rPr>
              <w:t>augstākais</w:t>
            </w:r>
            <w:proofErr w:type="spellEnd"/>
            <w:r w:rsidRPr="00361E41">
              <w:rPr>
                <w:rFonts w:ascii="Candara" w:eastAsia="Calibri" w:hAnsi="Candara" w:cs="Segoe UI"/>
                <w:i/>
                <w:sz w:val="16"/>
              </w:rPr>
              <w:t xml:space="preserve"> un </w:t>
            </w:r>
            <w:proofErr w:type="spellStart"/>
            <w:r w:rsidRPr="00361E41">
              <w:rPr>
                <w:rFonts w:ascii="Candara" w:eastAsia="Calibri" w:hAnsi="Candara" w:cs="Segoe UI"/>
                <w:i/>
                <w:sz w:val="16"/>
              </w:rPr>
              <w:t>zemākais</w:t>
            </w:r>
            <w:proofErr w:type="spellEnd"/>
            <w:r w:rsidRPr="00361E41">
              <w:rPr>
                <w:rFonts w:ascii="Candara" w:eastAsia="Calibri" w:hAnsi="Candara" w:cs="Segoe UI"/>
                <w:i/>
                <w:sz w:val="16"/>
              </w:rPr>
              <w:t xml:space="preserve"> </w:t>
            </w:r>
            <w:proofErr w:type="spellStart"/>
            <w:r w:rsidRPr="00361E41">
              <w:rPr>
                <w:rFonts w:ascii="Candara" w:eastAsia="Calibri" w:hAnsi="Candara" w:cs="Segoe UI"/>
                <w:i/>
                <w:sz w:val="16"/>
              </w:rPr>
              <w:t>līmenis</w:t>
            </w:r>
            <w:proofErr w:type="spellEnd"/>
            <w:r w:rsidRPr="00361E41">
              <w:rPr>
                <w:rFonts w:ascii="Candara" w:eastAsia="Calibri" w:hAnsi="Candara" w:cs="Segoe UI"/>
                <w:i/>
                <w:sz w:val="16"/>
              </w:rPr>
              <w:t xml:space="preserve">, </w:t>
            </w:r>
            <w:proofErr w:type="spellStart"/>
            <w:r w:rsidRPr="00361E41">
              <w:rPr>
                <w:rFonts w:ascii="Candara" w:eastAsia="Calibri" w:hAnsi="Candara" w:cs="Segoe UI"/>
                <w:i/>
                <w:sz w:val="16"/>
              </w:rPr>
              <w:t>procentos</w:t>
            </w:r>
            <w:proofErr w:type="spellEnd"/>
          </w:p>
        </w:tc>
      </w:tr>
      <w:tr w:rsidR="00965A0A" w:rsidRPr="00361E41" w14:paraId="434F83E8" w14:textId="77777777" w:rsidTr="00E0385C">
        <w:tc>
          <w:tcPr>
            <w:tcW w:w="3087" w:type="dxa"/>
            <w:vAlign w:val="center"/>
            <w:hideMark/>
          </w:tcPr>
          <w:p w14:paraId="2DC8FB8C" w14:textId="77777777" w:rsidR="00965A0A" w:rsidRPr="00361E41" w:rsidRDefault="00965A0A" w:rsidP="00A339E3">
            <w:pPr>
              <w:jc w:val="center"/>
              <w:rPr>
                <w:rFonts w:ascii="Candara" w:eastAsia="Calibri" w:hAnsi="Candara" w:cs="Segoe UI"/>
                <w:sz w:val="18"/>
              </w:rPr>
            </w:pPr>
            <w:r w:rsidRPr="00361E41">
              <w:rPr>
                <w:rFonts w:ascii="Segoe UI Light" w:eastAsia="Calibri" w:hAnsi="Segoe UI Light"/>
                <w:noProof/>
                <w:w w:val="90"/>
                <w:sz w:val="16"/>
              </w:rPr>
              <w:drawing>
                <wp:inline distT="0" distB="0" distL="0" distR="0" wp14:anchorId="639CC72A" wp14:editId="1091878D">
                  <wp:extent cx="1800225" cy="16192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087" w:type="dxa"/>
            <w:vAlign w:val="center"/>
            <w:hideMark/>
          </w:tcPr>
          <w:p w14:paraId="1267068C" w14:textId="77777777" w:rsidR="00965A0A" w:rsidRPr="00361E41" w:rsidRDefault="00965A0A" w:rsidP="00A339E3">
            <w:pPr>
              <w:jc w:val="center"/>
              <w:rPr>
                <w:rFonts w:ascii="Candara" w:eastAsia="Calibri" w:hAnsi="Candara" w:cs="Segoe UI"/>
                <w:sz w:val="18"/>
              </w:rPr>
            </w:pPr>
            <w:r w:rsidRPr="00361E41">
              <w:rPr>
                <w:rFonts w:ascii="Segoe UI Light" w:eastAsia="Calibri" w:hAnsi="Segoe UI Light"/>
                <w:noProof/>
                <w:w w:val="90"/>
                <w:sz w:val="16"/>
              </w:rPr>
              <w:drawing>
                <wp:inline distT="0" distB="0" distL="0" distR="0" wp14:anchorId="3A09F847" wp14:editId="2B867D48">
                  <wp:extent cx="1800225" cy="161925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657" w:type="dxa"/>
            <w:vAlign w:val="center"/>
            <w:hideMark/>
          </w:tcPr>
          <w:p w14:paraId="1572F6CA" w14:textId="77777777" w:rsidR="00965A0A" w:rsidRPr="00361E41" w:rsidRDefault="00965A0A" w:rsidP="00A339E3">
            <w:pPr>
              <w:jc w:val="center"/>
              <w:rPr>
                <w:rFonts w:ascii="Candara" w:eastAsia="Calibri" w:hAnsi="Candara" w:cs="Segoe UI"/>
                <w:sz w:val="18"/>
              </w:rPr>
            </w:pPr>
            <w:r w:rsidRPr="00361E41">
              <w:rPr>
                <w:rFonts w:ascii="Segoe UI Light" w:eastAsia="Calibri" w:hAnsi="Segoe UI Light"/>
                <w:noProof/>
                <w:w w:val="90"/>
                <w:sz w:val="16"/>
              </w:rPr>
              <w:drawing>
                <wp:inline distT="0" distB="0" distL="0" distR="0" wp14:anchorId="6181038D" wp14:editId="2D72349B">
                  <wp:extent cx="723900" cy="161925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651" w:type="dxa"/>
            <w:vAlign w:val="center"/>
          </w:tcPr>
          <w:p w14:paraId="76725342" w14:textId="77777777" w:rsidR="00965A0A" w:rsidRPr="00361E41" w:rsidRDefault="00965A0A" w:rsidP="00A339E3">
            <w:pPr>
              <w:ind w:left="438"/>
              <w:rPr>
                <w:rFonts w:ascii="Candara" w:eastAsia="Calibri" w:hAnsi="Candara" w:cs="Segoe UI"/>
                <w:sz w:val="16"/>
                <w:szCs w:val="16"/>
              </w:rPr>
            </w:pPr>
            <w:r w:rsidRPr="00361E41">
              <w:rPr>
                <w:rFonts w:ascii="Segoe UI Light" w:eastAsia="Calibri" w:hAnsi="Segoe UI Light"/>
                <w:noProof/>
                <w:w w:val="90"/>
                <w:sz w:val="16"/>
              </w:rPr>
              <w:pict>
                <v:rect w14:anchorId="1605FF72" id="Rectangle 1" o:spid="_x0000_s1026" style="position:absolute;margin-left:2.9pt;margin-top:4.9pt;width:13.2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MY2JWgIAAK8EAAAOAAAAZHJzL2Uyb0RvYy54bWysVE1v2zAMvQ/YfxB0X+1kSboFdYogQYcB RVusHXpmZMk2IImapMTpfv0o2Wm7bqdhF5kUKX48Pvri8mg0O0gfOrQVn5yVnEkrsO5sU/HvD1cf PnEWItgaNFpZ8ScZ+OXq/buL3i3lFFvUtfSMgtiw7F3F2xjdsiiCaKWBcIZOWjIq9AYiqb4pag89 RTe6mJbloujR186jkCHQ7XYw8lWOr5QU8VapICPTFafaYj59PnfpLFYXsGw8uLYTYxnwD1UY6Cwl fQ61hQhs77s/QplOeAyo4plAU6BSnZC5B+pmUr7p5r4FJ3MvBE5wzzCF/xdW3BzuPOtqmh1nFgyN 6BuBBrbRkk0SPL0LS/K6d3d+1AKJqdej8iZ9qQt2zJA+PUMqj5EJupwszhczAl6Q6eN8vsiIFy9v nQ/xi0TDklBxT7kzjnC4DpHykevJJaUKqLv6qtM6K77ZbbRnB6Dhbsp5OdumgunJb27asr7i0/ms THUAkUxpiCQaR20H23AGuiH2iuhzbospA0Uacm8htEOOHHZMoW2yy0yxsdSE1IBNknZYPxG0HgfO BSeuOurxGkK8A08ko2poceItHUojlYijxFmL/uff7pM/zZ6snPVEWir/xx685Ex/tcSKz5NZAjtm ZTY/n5LiX1t2ry12bzZI0NHkqbosJv+oT6LyaB5pv9YpK5nACso9ADUqmzgsE22okOt1diNmO4jX 9t6JFPyE48PxEbwbBx2JIDd4Ijgs38x78E0vLa73EVWXyfCCK405KbQVeeDjBqe1e61nr5f/zOoX AAAA//8DAFBLAwQUAAYACAAAACEAWDUJQN0AAAAFAQAADwAAAGRycy9kb3ducmV2LnhtbEyOQUvD QBSE7wX/w/IEL8VujG3RmE3RgJSCFGyLeNxmX5Ng9m3c3bbx3/s82dMwzDDz5YvBduKEPrSOFNxN EhBIlTMt1Qp229fbBxAhajK6c4QKfjDAorga5Toz7kzveNrEWvAIhUwraGLsMylD1aDVYeJ6JM4O zlsd2fpaGq/PPG47mSbJXFrdEj80useyweprc7QKluPD6sWv+w+//J6PU/dW+s9VqdTN9fD8BCLi EP/L8IfP6FAw094dyQTRKZgxeFTwyMLpfZqC2HNrNgVZ5PKSvvgFAAD//wMAUEsBAi0AFAAGAAgA AAAhALaDOJL+AAAA4QEAABMAAAAAAAAAAAAAAAAAAAAAAFtDb250ZW50X1R5cGVzXS54bWxQSwEC LQAUAAYACAAAACEAOP0h/9YAAACUAQAACwAAAAAAAAAAAAAAAAAvAQAAX3JlbHMvLnJlbHNQSwEC LQAUAAYACAAAACEABjGNiVoCAACvBAAADgAAAAAAAAAAAAAAAAAuAgAAZHJzL2Uyb0RvYy54bWxQ SwECLQAUAAYACAAAACEAWDUJQN0AAAAFAQAADwAAAAAAAAAAAAAAAAC0BAAAZHJzL2Rvd25yZXYu eG1sUEsFBgAAAAAEAAQA8wAAAL4FAAAAAA== " fillcolor="#c0504d" stroked="f" strokeweight="2pt"/>
              </w:pict>
            </w:r>
            <w:r w:rsidRPr="00361E41">
              <w:rPr>
                <w:rFonts w:ascii="Candara" w:eastAsia="Calibri" w:hAnsi="Candara" w:cs="Segoe UI"/>
                <w:sz w:val="16"/>
                <w:szCs w:val="16"/>
              </w:rPr>
              <w:t xml:space="preserve">2021.gada </w:t>
            </w:r>
            <w:proofErr w:type="gramStart"/>
            <w:r w:rsidRPr="00361E41">
              <w:rPr>
                <w:rFonts w:ascii="Candara" w:eastAsia="Calibri" w:hAnsi="Candara" w:cs="Segoe UI"/>
                <w:sz w:val="16"/>
                <w:szCs w:val="16"/>
              </w:rPr>
              <w:t>1.ceturksnis</w:t>
            </w:r>
            <w:proofErr w:type="gramEnd"/>
          </w:p>
          <w:p w14:paraId="1AF10DCE" w14:textId="77777777" w:rsidR="00965A0A" w:rsidRPr="00361E41" w:rsidRDefault="00965A0A" w:rsidP="00A339E3">
            <w:pPr>
              <w:ind w:left="438"/>
              <w:rPr>
                <w:rFonts w:ascii="Candara" w:eastAsia="Calibri" w:hAnsi="Candara" w:cs="Segoe UI"/>
                <w:sz w:val="16"/>
                <w:szCs w:val="16"/>
              </w:rPr>
            </w:pPr>
            <w:r w:rsidRPr="00361E41">
              <w:rPr>
                <w:rFonts w:ascii="Candara" w:eastAsia="Calibri" w:hAnsi="Candara"/>
                <w:noProof/>
                <w:w w:val="90"/>
                <w:sz w:val="16"/>
              </w:rPr>
              <w:pict>
                <v:rect w14:anchorId="154987AF" id="Rectangle 2" o:spid="_x0000_s1026" style="position:absolute;margin-left:2.75pt;margin-top:4.2pt;width:13.2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x6YWwIAAK8EAAAOAAAAZHJzL2Uyb0RvYy54bWysVEtv2zAMvg/YfxB0X51kSboGcYogQYcB RVu0HXpmZMk2oNcoJU7360fJTtt1Ow27yKRI8fHxo5eXR6PZQWJonS35+GzEmbTCVa2tS/798erT F85CBFuBdlaW/FkGfrn6+GHZ+YWcuMbpSiKjIDYsOl/yJka/KIogGmkgnDkvLRmVQwORVKyLCqGj 6EYXk9FoXnQOK49OyBDodtsb+SrHV0qKeKtUkJHpklNtMZ+Yz106i9USFjWCb1oxlAH/UIWB1lLS l1BbiMD22P4RyrQCXXAqnglnCqdUK2TugboZj95189CAl7kXAif4F5jC/wsrbg53yNqq5BPOLBga 0T2BBrbWkk0SPJ0PC/J68Hc4aIHE1OtRoUlf6oIdM6TPL5DKY2SCLsfz8/mUgBdk+jybzTPixetb jyF+lc6wJJQcKXfGEQ7XIVI+cj25pFTB6ba6arXOCta7jUZ2ABruxWQ7mp2i/+amLeuovdl0lOoA IpnSEEk0ntoOtuYMdE3sFRFzbutShsyMlHsLoelz5LAJE6pK21SCzBQbSk1I9dgkaeeqZ4IWXc+5 4MVVS9GuIcQ7QCIZVUOLE2/pUNpRiW6QOGsc/vzbffKn2ZOVs45IS+X/2ANKzvQ3S6y4GE8T2DEr 09n5hBR8a9m9tdi92TiCbkwr6kUWk3/UJ1GhM0+0X+uUlUxgBeXugRqUTeyXiTZUyPU6uxGzPcRr ++BFCp5wSjg+Hp8A/TDoSAS5cSeCw+LdvHvf9NK69T461WYyvOJKM0gKbUWexrDBae3e6tnr9T+z +gUAAP//AwBQSwMEFAAGAAgAAAAhAPVIoOHZAAAABQEAAA8AAABkcnMvZG93bnJldi54bWxMjsFO wzAQRO9I/IO1SNyoXWhLCXEqBOUMlCLBbRsvSYS9jmK3DX/PcoLjaJ5mXrkag1cHGlIX2cJ0YkAR 19F13FjYvj5eLEGljOzQRyYL35RgVZ2elFi4eOQXOmxyo2SEU4EW2pz7QutUtxQwTWJPLN1nHAJm iUOj3YBHGQ9eXxqz0AE7locWe7pvqf7a7IOF5+4anz5888DOvPG4Xqz9+7i19vxsvLsFlWnMfzD8 6os6VOK0i3t2SXkL87mAFpYzUNJeTW9A7YSaGdBVqf/bVz8AAAD//wMAUEsBAi0AFAAGAAgAAAAh ALaDOJL+AAAA4QEAABMAAAAAAAAAAAAAAAAAAAAAAFtDb250ZW50X1R5cGVzXS54bWxQSwECLQAU AAYACAAAACEAOP0h/9YAAACUAQAACwAAAAAAAAAAAAAAAAAvAQAAX3JlbHMvLnJlbHNQSwECLQAU AAYACAAAACEAP8semFsCAACvBAAADgAAAAAAAAAAAAAAAAAuAgAAZHJzL2Uyb0RvYy54bWxQSwEC LQAUAAYACAAAACEA9Uig4dkAAAAFAQAADwAAAAAAAAAAAAAAAAC1BAAAZHJzL2Rvd25yZXYueG1s UEsFBgAAAAAEAAQA8wAAALsFAAAAAA== " fillcolor="#92d050" stroked="f" strokeweight="2pt"/>
              </w:pict>
            </w:r>
            <w:r w:rsidRPr="00361E41">
              <w:rPr>
                <w:rFonts w:ascii="Candara" w:eastAsia="Calibri" w:hAnsi="Candara" w:cs="Segoe UI"/>
                <w:sz w:val="16"/>
                <w:szCs w:val="16"/>
              </w:rPr>
              <w:t xml:space="preserve">2020.gada </w:t>
            </w:r>
            <w:proofErr w:type="gramStart"/>
            <w:r w:rsidRPr="00361E41">
              <w:rPr>
                <w:rFonts w:ascii="Candara" w:eastAsia="Calibri" w:hAnsi="Candara" w:cs="Segoe UI"/>
                <w:sz w:val="16"/>
                <w:szCs w:val="16"/>
              </w:rPr>
              <w:t>1.ceturksnis</w:t>
            </w:r>
            <w:proofErr w:type="gramEnd"/>
          </w:p>
          <w:p w14:paraId="2CAB5102" w14:textId="77777777" w:rsidR="00965A0A" w:rsidRPr="00361E41" w:rsidRDefault="00965A0A" w:rsidP="00A339E3">
            <w:pPr>
              <w:ind w:left="438"/>
              <w:rPr>
                <w:rFonts w:ascii="Candara" w:eastAsia="Calibri" w:hAnsi="Candara" w:cs="Segoe UI"/>
                <w:sz w:val="16"/>
                <w:szCs w:val="16"/>
              </w:rPr>
            </w:pPr>
          </w:p>
        </w:tc>
      </w:tr>
    </w:tbl>
    <w:p w14:paraId="5C842E60" w14:textId="77777777" w:rsidR="00965A0A" w:rsidRDefault="00965A0A" w:rsidP="00965A0A"/>
    <w:p w14:paraId="03F7D6D8" w14:textId="77777777" w:rsidR="003A47F8" w:rsidRPr="00965A0A" w:rsidRDefault="003A47F8" w:rsidP="00965A0A">
      <w:pPr>
        <w:mirrorIndents/>
      </w:pPr>
    </w:p>
    <w:p w14:paraId="24B7562C" w14:textId="77777777" w:rsidR="003A47F8" w:rsidRPr="00965A0A" w:rsidRDefault="003A47F8" w:rsidP="00965A0A">
      <w:pPr>
        <w:pBdr>
          <w:top w:val="nil"/>
          <w:left w:val="nil"/>
          <w:bottom w:val="nil"/>
          <w:right w:val="nil"/>
          <w:between w:val="nil"/>
          <w:bar w:val="nil"/>
        </w:pBdr>
        <w:ind w:right="-2"/>
        <w:mirrorIndents/>
      </w:pPr>
    </w:p>
    <w:p w14:paraId="032FA966" w14:textId="249C50ED" w:rsidR="00357A3B" w:rsidRPr="00965A0A" w:rsidRDefault="003A47F8" w:rsidP="00965A0A">
      <w:pPr>
        <w:pBdr>
          <w:top w:val="nil"/>
          <w:left w:val="nil"/>
          <w:bottom w:val="nil"/>
          <w:right w:val="nil"/>
          <w:between w:val="nil"/>
          <w:bar w:val="nil"/>
        </w:pBdr>
        <w:ind w:right="-2"/>
        <w:mirrorIndents/>
      </w:pPr>
      <w:r w:rsidRPr="00965A0A">
        <w:t>Vieglās rūpniecības</w:t>
      </w:r>
      <w:r w:rsidR="00357A3B" w:rsidRPr="00965A0A">
        <w:t xml:space="preserve"> nozare ir resursu ietilpīga nozare</w:t>
      </w:r>
      <w:r w:rsidR="00C7398D" w:rsidRPr="00965A0A">
        <w:t>.</w:t>
      </w:r>
      <w:r w:rsidR="00357A3B" w:rsidRPr="00965A0A">
        <w:t xml:space="preserve"> </w:t>
      </w:r>
      <w:r w:rsidRPr="00965A0A">
        <w:t>Vieglā rūpniecība</w:t>
      </w:r>
      <w:r w:rsidR="00357A3B" w:rsidRPr="00965A0A">
        <w:t xml:space="preserve"> ir ceturtā </w:t>
      </w:r>
      <w:r w:rsidR="0027736A" w:rsidRPr="00965A0A">
        <w:t>lielākā</w:t>
      </w:r>
      <w:r w:rsidR="00F70EDB" w:rsidRPr="00965A0A">
        <w:t xml:space="preserve"> nozare</w:t>
      </w:r>
      <w:r w:rsidR="0027736A" w:rsidRPr="00965A0A">
        <w:t xml:space="preserve"> </w:t>
      </w:r>
      <w:r w:rsidR="00357A3B" w:rsidRPr="00965A0A">
        <w:t>ES primāro izejvielu un ūdens (</w:t>
      </w:r>
      <w:r w:rsidR="0033778E" w:rsidRPr="00965A0A">
        <w:t xml:space="preserve">aiz </w:t>
      </w:r>
      <w:r w:rsidR="00357A3B" w:rsidRPr="00965A0A">
        <w:t xml:space="preserve">pārtikas, mājokļu un transporta) izmantošanas ziņā un piektā </w:t>
      </w:r>
      <w:r w:rsidR="00EE76E4" w:rsidRPr="00965A0A">
        <w:t xml:space="preserve">– </w:t>
      </w:r>
      <w:r w:rsidR="00357A3B" w:rsidRPr="00965A0A">
        <w:t xml:space="preserve">siltumnīcefekta gāzu emisiju </w:t>
      </w:r>
      <w:r w:rsidR="001574F9" w:rsidRPr="00965A0A">
        <w:t>z</w:t>
      </w:r>
      <w:r w:rsidR="00357A3B" w:rsidRPr="00965A0A">
        <w:t>iņā</w:t>
      </w:r>
      <w:r w:rsidR="00715C12" w:rsidRPr="00965A0A">
        <w:t>. Tajā pat laikā t</w:t>
      </w:r>
      <w:r w:rsidR="00357A3B" w:rsidRPr="00965A0A">
        <w:t>iek lēsts, ka mazāk nekā 1 % no visiem tekstilizstrādājumiem visā pasaulē tiek pārstrādāti jaunos tekstilizstrādājumos.</w:t>
      </w:r>
      <w:r w:rsidR="004B00CF" w:rsidRPr="00965A0A">
        <w:rPr>
          <w:rStyle w:val="FootnoteReference"/>
        </w:rPr>
        <w:footnoteReference w:id="5"/>
      </w:r>
    </w:p>
    <w:p w14:paraId="47A837DA" w14:textId="694F5C92" w:rsidR="00CB351A" w:rsidRPr="00965A0A" w:rsidRDefault="003D12C5" w:rsidP="00965A0A">
      <w:pPr>
        <w:pBdr>
          <w:top w:val="nil"/>
          <w:left w:val="nil"/>
          <w:bottom w:val="nil"/>
          <w:right w:val="nil"/>
          <w:between w:val="nil"/>
          <w:bar w:val="nil"/>
        </w:pBdr>
        <w:ind w:right="-2"/>
        <w:mirrorIndents/>
      </w:pPr>
      <w:r w:rsidRPr="00965A0A">
        <w:t xml:space="preserve">Atsaucoties uz </w:t>
      </w:r>
      <w:r w:rsidR="00612CCE" w:rsidRPr="00965A0A">
        <w:t>Eiropas vides aģentūras publicēto pētījumu</w:t>
      </w:r>
      <w:r w:rsidR="00612CCE" w:rsidRPr="00965A0A">
        <w:rPr>
          <w:rStyle w:val="FootnoteReference"/>
        </w:rPr>
        <w:footnoteReference w:id="6"/>
      </w:r>
      <w:r w:rsidR="00612CCE" w:rsidRPr="00965A0A">
        <w:t xml:space="preserve">, </w:t>
      </w:r>
      <w:r w:rsidR="00357A3B" w:rsidRPr="00965A0A">
        <w:t>ES tekstila atkritumu savākšanas rādītāji un pārstrādes jaudas ir zemas līdz vidējas.</w:t>
      </w:r>
      <w:r w:rsidR="007D70C6" w:rsidRPr="00965A0A">
        <w:t xml:space="preserve"> </w:t>
      </w:r>
      <w:r w:rsidR="00CB351A" w:rsidRPr="00965A0A">
        <w:t xml:space="preserve">Eiropieši patērē vidēji 26 kg tekstilizstrādājumu uz vienu cilvēku gadā. Savukārt tā sauktās “ātrās modes” iespaidā, kuras pamatā ir lēti, zemas kvalitātes apģērbi, atkritumos ES nonāk 11 kg tekstilizstrādājumu uz vienu cilvēku gadā. </w:t>
      </w:r>
    </w:p>
    <w:p w14:paraId="2A513BEE" w14:textId="729DB08C" w:rsidR="00C8110D" w:rsidRPr="00965A0A" w:rsidRDefault="00A771A2" w:rsidP="00965A0A">
      <w:pPr>
        <w:pBdr>
          <w:top w:val="nil"/>
          <w:left w:val="nil"/>
          <w:bottom w:val="nil"/>
          <w:right w:val="nil"/>
          <w:between w:val="nil"/>
          <w:bar w:val="nil"/>
        </w:pBdr>
        <w:ind w:right="-2"/>
        <w:mirrorIndents/>
      </w:pPr>
      <w:bookmarkStart w:id="4" w:name="_Hlk76633536"/>
      <w:r w:rsidRPr="00965A0A">
        <w:t xml:space="preserve">Saskaņā ar Centrālās statistikas pārvaldes </w:t>
      </w:r>
      <w:r w:rsidR="004B00CF" w:rsidRPr="00965A0A">
        <w:t xml:space="preserve">provizoriskajiem </w:t>
      </w:r>
      <w:r w:rsidRPr="00965A0A">
        <w:t>datiem</w:t>
      </w:r>
      <w:r w:rsidR="0EF63BCB" w:rsidRPr="00965A0A">
        <w:t>,</w:t>
      </w:r>
      <w:r w:rsidRPr="00965A0A">
        <w:t xml:space="preserve"> lietotu apģērbu imports no citām valstīm Latvijā 20</w:t>
      </w:r>
      <w:r w:rsidR="1049870C" w:rsidRPr="00965A0A">
        <w:t>20</w:t>
      </w:r>
      <w:r w:rsidRPr="00965A0A">
        <w:t>. gadā sasniedza 15 897 tonnas, savukārt jaunu apģērbu – 10 885 tonnu, lietotajam apģērbam sastādot 60% no visa apģērbu importa</w:t>
      </w:r>
      <w:r w:rsidR="51F7C312" w:rsidRPr="00965A0A">
        <w:t xml:space="preserve">, kas ir par 3 % vairāk nekā gadu iepriekš. </w:t>
      </w:r>
      <w:r w:rsidR="001A3F82" w:rsidRPr="00965A0A">
        <w:t>Latvijas tirgū ik gadu vidēji tiek ievest</w:t>
      </w:r>
      <w:r w:rsidR="005078E1" w:rsidRPr="00965A0A">
        <w:t>i</w:t>
      </w:r>
      <w:r w:rsidR="001A3F82" w:rsidRPr="00965A0A">
        <w:t xml:space="preserve"> aptuveni 12 000 tonnas lietotu tekstilizstrādājumu (2010-2019). Salīdzinoši augstā ievesto lietoto apģērbu realizācija Latvijā ir saistāma ar iedzīvotāju mazo pirktspēju. No ievestajiem lietotajiem tekstilizstrādājumiem 0,3% tiek pārstrādāti vietējā tirgū, bet 62% - izvesti uz citām valstīm. No visiem ievestajiem lietotajiem tekstilizstrādājumiem 2% tika apglabāti poligonos vai</w:t>
      </w:r>
      <w:r w:rsidR="00C8110D" w:rsidRPr="00965A0A">
        <w:t xml:space="preserve"> </w:t>
      </w:r>
      <w:r w:rsidR="001A3F82" w:rsidRPr="00965A0A">
        <w:t xml:space="preserve">sadedzināti. </w:t>
      </w:r>
      <w:r w:rsidR="00C8110D" w:rsidRPr="00965A0A">
        <w:t xml:space="preserve"> </w:t>
      </w:r>
      <w:bookmarkEnd w:id="4"/>
    </w:p>
    <w:p w14:paraId="079A6490" w14:textId="19ADD2E0" w:rsidR="00ED7CDF" w:rsidRPr="00965A0A" w:rsidRDefault="001A3F82" w:rsidP="00965A0A">
      <w:pPr>
        <w:pBdr>
          <w:top w:val="nil"/>
          <w:left w:val="nil"/>
          <w:bottom w:val="nil"/>
          <w:right w:val="nil"/>
          <w:between w:val="nil"/>
          <w:bar w:val="nil"/>
        </w:pBdr>
        <w:ind w:right="-2"/>
        <w:mirrorIndents/>
      </w:pPr>
      <w:r w:rsidRPr="00965A0A">
        <w:t>Eiropas Parlamenta un Padomes 2018. gada 30. maija Direktīva 2018/851, ar kuru grozīta Direktīva  2008/98  par atkritumiem  prasību  izpildei  no  2025.  gada  ES  dalībvalstīm  būs jānodrošina  tādu  materiālu,  kas  piesārņo  dabu,  dalīta  savākšana,  kas  iekļauj  arī tekstilizstrādājumu atkritumus</w:t>
      </w:r>
      <w:r w:rsidR="00325F6F" w:rsidRPr="00965A0A">
        <w:t>.</w:t>
      </w:r>
      <w:r w:rsidRPr="00965A0A">
        <w:t xml:space="preserve"> </w:t>
      </w:r>
      <w:r w:rsidR="00E54DD1" w:rsidRPr="00965A0A">
        <w:t xml:space="preserve">2019. gadā pilotprojekta ietvaros Rīgā un Pierīgā tika uzstādīti 20 atkritumu šķiršanas konteineri tekstilizstrādājumiem. Projekta ietvaros bija paredzēts, ka konteineros būs iespējams nodot nolietoto apģērbu, apavus un citus tekstila izstrādājumus, tostarp mājas tekstilu – aizkarus, gultasveļu utt. Pilotprojekts norisinājās sešus mēnešus, kuru ietvaros savākts būtisks apjoms tekstilizstrādājumu – 108,5 tonnas apģērba, apavu un mājas tekstila. Tas apliecina iedzīvotāju lielo </w:t>
      </w:r>
      <w:r w:rsidR="00147CD5" w:rsidRPr="00965A0A">
        <w:t>interesi</w:t>
      </w:r>
      <w:r w:rsidR="00E54DD1" w:rsidRPr="00965A0A">
        <w:t xml:space="preserve"> atbrīvoties no nolietotā vai nevajadzīgā apģērba un apaviem jēgpilnā, dabai draudzīgā veidā, nododot tos pārstrādei vai atkārtotai lietošanai. Ievērojot augstus iedzīvotāju iesaistes rādītājus, pēc projekta termiņa beigām konteineri netika noņemti un iedzīvotājiem arī turpmāk ir iespēja šķirot tekstilizstrādājumus.</w:t>
      </w:r>
    </w:p>
    <w:p w14:paraId="51DFCBFB" w14:textId="7A936606" w:rsidR="003D0DD4" w:rsidRPr="00965A0A" w:rsidRDefault="00C12B9F" w:rsidP="00965A0A">
      <w:pPr>
        <w:pBdr>
          <w:top w:val="nil"/>
          <w:left w:val="nil"/>
          <w:bottom w:val="nil"/>
          <w:right w:val="nil"/>
          <w:between w:val="nil"/>
          <w:bar w:val="nil"/>
        </w:pBdr>
        <w:ind w:right="-2"/>
        <w:mirrorIndents/>
      </w:pPr>
      <w:r w:rsidRPr="00965A0A">
        <w:t xml:space="preserve">ES </w:t>
      </w:r>
      <w:r w:rsidR="003A47F8" w:rsidRPr="00965A0A">
        <w:t>vieglā rūpniecība</w:t>
      </w:r>
      <w:r w:rsidRPr="00965A0A">
        <w:t xml:space="preserve"> </w:t>
      </w:r>
      <w:r w:rsidR="00375962" w:rsidRPr="00965A0A">
        <w:t xml:space="preserve">vēsturiski </w:t>
      </w:r>
      <w:r w:rsidRPr="00965A0A">
        <w:t xml:space="preserve">ir </w:t>
      </w:r>
      <w:r w:rsidR="00203F23" w:rsidRPr="00965A0A">
        <w:t xml:space="preserve">bijusi </w:t>
      </w:r>
      <w:r w:rsidRPr="00965A0A">
        <w:t>globāli konkurētspējīga, jo īpaši tehnisko tekstilizstrādājumu un augstas klases modes apģērbu jomā.</w:t>
      </w:r>
      <w:r w:rsidR="004C4DC9" w:rsidRPr="00965A0A">
        <w:t xml:space="preserve"> No Latvijas uzņēmumiem īpaši izceļami inovatīvu un ilgtspējīgu tekstilmateriālu ražotāji, kas saņem Latvijas </w:t>
      </w:r>
      <w:r w:rsidR="005B54CE" w:rsidRPr="00965A0A">
        <w:t>i</w:t>
      </w:r>
      <w:r w:rsidR="004C4DC9" w:rsidRPr="00965A0A">
        <w:t xml:space="preserve">nvestīciju </w:t>
      </w:r>
      <w:r w:rsidR="005B54CE" w:rsidRPr="00965A0A">
        <w:t>a</w:t>
      </w:r>
      <w:r w:rsidR="004C4DC9" w:rsidRPr="00965A0A">
        <w:t xml:space="preserve">ttīstības </w:t>
      </w:r>
      <w:r w:rsidR="005B54CE" w:rsidRPr="00965A0A">
        <w:t>a</w:t>
      </w:r>
      <w:r w:rsidR="004C4DC9" w:rsidRPr="00965A0A">
        <w:t xml:space="preserve">ģentūras </w:t>
      </w:r>
      <w:r w:rsidR="004E16C4" w:rsidRPr="00965A0A">
        <w:t xml:space="preserve">(turpmāk - LIAA) </w:t>
      </w:r>
      <w:r w:rsidR="004C4DC9" w:rsidRPr="00965A0A">
        <w:t>atbalstu. Piemēram,</w:t>
      </w:r>
      <w:r w:rsidR="003D0DD4" w:rsidRPr="00965A0A">
        <w:t xml:space="preserve"> </w:t>
      </w:r>
      <w:r w:rsidR="003D0DD4" w:rsidRPr="00965A0A">
        <w:rPr>
          <w:bCs/>
        </w:rPr>
        <w:t xml:space="preserve">Mišelas </w:t>
      </w:r>
      <w:proofErr w:type="spellStart"/>
      <w:r w:rsidR="003D0DD4" w:rsidRPr="00965A0A">
        <w:rPr>
          <w:bCs/>
        </w:rPr>
        <w:t>Šehūrinas</w:t>
      </w:r>
      <w:proofErr w:type="spellEnd"/>
      <w:r w:rsidR="003D0DD4" w:rsidRPr="00965A0A">
        <w:rPr>
          <w:bCs/>
        </w:rPr>
        <w:t xml:space="preserve"> zīmols </w:t>
      </w:r>
      <w:proofErr w:type="spellStart"/>
      <w:r w:rsidR="003D0DD4" w:rsidRPr="00965A0A">
        <w:rPr>
          <w:bCs/>
          <w:i/>
          <w:iCs/>
        </w:rPr>
        <w:t>Tooche</w:t>
      </w:r>
      <w:proofErr w:type="spellEnd"/>
      <w:r w:rsidR="003D0DD4" w:rsidRPr="00965A0A">
        <w:rPr>
          <w:bCs/>
        </w:rPr>
        <w:t xml:space="preserve"> ražo apavus no ananāsu </w:t>
      </w:r>
      <w:r w:rsidR="00E54DD1" w:rsidRPr="00965A0A">
        <w:rPr>
          <w:bCs/>
        </w:rPr>
        <w:t>lapu šķiedras</w:t>
      </w:r>
      <w:r w:rsidR="003D0DD4" w:rsidRPr="00965A0A">
        <w:rPr>
          <w:bCs/>
        </w:rPr>
        <w:t xml:space="preserve">, savukārt viņas zīmols </w:t>
      </w:r>
      <w:proofErr w:type="spellStart"/>
      <w:r w:rsidR="003D0DD4" w:rsidRPr="00965A0A">
        <w:rPr>
          <w:bCs/>
          <w:i/>
          <w:iCs/>
        </w:rPr>
        <w:t>Batwatex</w:t>
      </w:r>
      <w:proofErr w:type="spellEnd"/>
      <w:r w:rsidR="003D0DD4" w:rsidRPr="00965A0A">
        <w:rPr>
          <w:bCs/>
        </w:rPr>
        <w:t xml:space="preserve">, radījis jaunu tekstilmateriālu izmantojot kartupeļu lapas un kaņepju šķiedras un šobrīd gūst atbalstu LIAA inkubatorā. </w:t>
      </w:r>
    </w:p>
    <w:p w14:paraId="5642421D" w14:textId="6B0CCD62" w:rsidR="00C12B9F" w:rsidRPr="00965A0A" w:rsidRDefault="003D0DD4" w:rsidP="00965A0A">
      <w:pPr>
        <w:keepNext/>
        <w:keepLines/>
        <w:ind w:right="-2"/>
        <w:mirrorIndents/>
      </w:pPr>
      <w:r w:rsidRPr="00965A0A">
        <w:rPr>
          <w:bCs/>
        </w:rPr>
        <w:lastRenderedPageBreak/>
        <w:t>Inovatīvu materiālu radīšanā lielu lomu spēlē universitātes kā pētījumu un izcilības centri, tāpēc svarīgs ir to stratēģisks atbalsts. Piemēram, Rīgas Tehniskās universitātes (turpmāk – RTU)</w:t>
      </w:r>
      <w:r w:rsidRPr="00965A0A">
        <w:t xml:space="preserve"> </w:t>
      </w:r>
      <w:r w:rsidR="00D62AC8" w:rsidRPr="00965A0A">
        <w:rPr>
          <w:bCs/>
        </w:rPr>
        <w:t xml:space="preserve">Mehānikas un mašīnbūves institūta vadošā pētniece, Mehānikas un </w:t>
      </w:r>
      <w:proofErr w:type="spellStart"/>
      <w:r w:rsidR="00D62AC8" w:rsidRPr="00965A0A">
        <w:rPr>
          <w:bCs/>
        </w:rPr>
        <w:t>biotekstilmateriālu</w:t>
      </w:r>
      <w:proofErr w:type="spellEnd"/>
      <w:r w:rsidR="00D62AC8" w:rsidRPr="00965A0A">
        <w:rPr>
          <w:bCs/>
        </w:rPr>
        <w:t xml:space="preserve"> zinātniskās laboratorijas vadītāja</w:t>
      </w:r>
      <w:r w:rsidR="00D62AC8" w:rsidRPr="00965A0A" w:rsidDel="00D62AC8">
        <w:rPr>
          <w:bCs/>
        </w:rPr>
        <w:t xml:space="preserve"> </w:t>
      </w:r>
      <w:r w:rsidRPr="00965A0A">
        <w:rPr>
          <w:bCs/>
        </w:rPr>
        <w:t xml:space="preserve">un uzņēmēja Inga </w:t>
      </w:r>
      <w:proofErr w:type="spellStart"/>
      <w:r w:rsidRPr="00965A0A">
        <w:rPr>
          <w:bCs/>
        </w:rPr>
        <w:t>Ļašenko</w:t>
      </w:r>
      <w:proofErr w:type="spellEnd"/>
      <w:r w:rsidRPr="00965A0A">
        <w:rPr>
          <w:bCs/>
        </w:rPr>
        <w:t xml:space="preserve"> izgudroja </w:t>
      </w:r>
      <w:proofErr w:type="spellStart"/>
      <w:r w:rsidRPr="00965A0A">
        <w:rPr>
          <w:bCs/>
          <w:i/>
          <w:iCs/>
        </w:rPr>
        <w:t>Amberline</w:t>
      </w:r>
      <w:proofErr w:type="spellEnd"/>
      <w:r w:rsidRPr="00965A0A">
        <w:rPr>
          <w:bCs/>
          <w:i/>
          <w:iCs/>
        </w:rPr>
        <w:t xml:space="preserve"> </w:t>
      </w:r>
      <w:r w:rsidRPr="00965A0A">
        <w:rPr>
          <w:bCs/>
        </w:rPr>
        <w:t xml:space="preserve">dzintara diegu, kas </w:t>
      </w:r>
      <w:r w:rsidR="001459DF" w:rsidRPr="00965A0A">
        <w:rPr>
          <w:bCs/>
        </w:rPr>
        <w:t xml:space="preserve">ir </w:t>
      </w:r>
      <w:r w:rsidRPr="00965A0A">
        <w:rPr>
          <w:bCs/>
        </w:rPr>
        <w:t xml:space="preserve">kļuvis par komerciāli veiksmīgu produktu. Šobrīd RTU noris pētījums </w:t>
      </w:r>
      <w:proofErr w:type="spellStart"/>
      <w:r w:rsidRPr="00965A0A">
        <w:rPr>
          <w:bCs/>
          <w:i/>
          <w:iCs/>
        </w:rPr>
        <w:t>Forest</w:t>
      </w:r>
      <w:proofErr w:type="spellEnd"/>
      <w:r w:rsidRPr="00965A0A">
        <w:rPr>
          <w:bCs/>
          <w:i/>
          <w:iCs/>
        </w:rPr>
        <w:t xml:space="preserve"> </w:t>
      </w:r>
      <w:proofErr w:type="spellStart"/>
      <w:r w:rsidRPr="00965A0A">
        <w:rPr>
          <w:bCs/>
          <w:i/>
          <w:iCs/>
        </w:rPr>
        <w:t>Wool</w:t>
      </w:r>
      <w:proofErr w:type="spellEnd"/>
      <w:r w:rsidRPr="00965A0A">
        <w:rPr>
          <w:bCs/>
        </w:rPr>
        <w:t xml:space="preserve"> ar pasaulē atzītiem dizaineriem, lai izgatavotu vilnu no priežu meža rūpniecības ražošanas atkritumiem.</w:t>
      </w:r>
    </w:p>
    <w:bookmarkEnd w:id="3"/>
    <w:p w14:paraId="27C5A56C" w14:textId="4991610E" w:rsidR="00CB1254" w:rsidRPr="00965A0A" w:rsidRDefault="00CB1254" w:rsidP="00965A0A">
      <w:pPr>
        <w:ind w:left="1701" w:right="-2"/>
        <w:mirrorIndents/>
        <w:rPr>
          <w:u w:val="single"/>
        </w:rPr>
      </w:pPr>
      <w:r w:rsidRPr="00965A0A">
        <w:rPr>
          <w:u w:val="single"/>
        </w:rPr>
        <w:t>ES energoi</w:t>
      </w:r>
      <w:r w:rsidR="00F01D4D" w:rsidRPr="00965A0A">
        <w:rPr>
          <w:u w:val="single"/>
        </w:rPr>
        <w:t>etilpīgās</w:t>
      </w:r>
      <w:r w:rsidRPr="00965A0A">
        <w:rPr>
          <w:u w:val="single"/>
        </w:rPr>
        <w:t xml:space="preserve"> rūpniecības </w:t>
      </w:r>
      <w:r w:rsidR="00F01D4D" w:rsidRPr="00965A0A">
        <w:rPr>
          <w:u w:val="single"/>
        </w:rPr>
        <w:t>nozares</w:t>
      </w:r>
    </w:p>
    <w:p w14:paraId="36AE927A" w14:textId="07876FA6" w:rsidR="00B0709E" w:rsidRPr="00965A0A" w:rsidRDefault="00B0709E" w:rsidP="00965A0A">
      <w:pPr>
        <w:ind w:right="-2"/>
        <w:mirrorIndents/>
      </w:pPr>
      <w:r w:rsidRPr="00965A0A">
        <w:t>Energoietilpīgo nozaru ekosistēma sastāv no vairākām rūpniecības nozarēm</w:t>
      </w:r>
      <w:r w:rsidR="00152748" w:rsidRPr="00965A0A">
        <w:t>, piemēram,</w:t>
      </w:r>
      <w:r w:rsidRPr="00965A0A">
        <w:t xml:space="preserve"> tēraud</w:t>
      </w:r>
      <w:r w:rsidR="00F9508B" w:rsidRPr="00965A0A">
        <w:t>a</w:t>
      </w:r>
      <w:r w:rsidRPr="00965A0A">
        <w:t xml:space="preserve">, </w:t>
      </w:r>
      <w:r w:rsidR="00CE50BA" w:rsidRPr="00965A0A">
        <w:t>ķīmiskās</w:t>
      </w:r>
      <w:r w:rsidRPr="00965A0A">
        <w:t xml:space="preserve">, </w:t>
      </w:r>
      <w:r w:rsidR="00F9508B" w:rsidRPr="00965A0A">
        <w:t>būvmateriālu</w:t>
      </w:r>
      <w:r w:rsidRPr="00965A0A">
        <w:t>, krāsain</w:t>
      </w:r>
      <w:r w:rsidR="00E02078" w:rsidRPr="00965A0A">
        <w:t>o</w:t>
      </w:r>
      <w:r w:rsidRPr="00965A0A">
        <w:t xml:space="preserve"> metāl</w:t>
      </w:r>
      <w:r w:rsidR="0084505A" w:rsidRPr="00965A0A">
        <w:t>u</w:t>
      </w:r>
      <w:r w:rsidRPr="00965A0A">
        <w:t>, stikla ražošana</w:t>
      </w:r>
      <w:r w:rsidR="0084505A" w:rsidRPr="00965A0A">
        <w:t>s</w:t>
      </w:r>
      <w:r w:rsidRPr="00965A0A">
        <w:t>, kokrūpniecība</w:t>
      </w:r>
      <w:r w:rsidR="00274410" w:rsidRPr="00965A0A">
        <w:t>s</w:t>
      </w:r>
      <w:r w:rsidRPr="00965A0A">
        <w:t xml:space="preserve">, </w:t>
      </w:r>
      <w:r w:rsidR="00274410" w:rsidRPr="00965A0A">
        <w:t xml:space="preserve">ieguves </w:t>
      </w:r>
      <w:r w:rsidRPr="00965A0A">
        <w:t>rūpniecība u.</w:t>
      </w:r>
      <w:r w:rsidR="00274410" w:rsidRPr="00965A0A">
        <w:t>tml</w:t>
      </w:r>
      <w:r w:rsidRPr="00965A0A">
        <w:t>.</w:t>
      </w:r>
      <w:r w:rsidR="009A70EB" w:rsidRPr="00965A0A">
        <w:t xml:space="preserve">. </w:t>
      </w:r>
      <w:r w:rsidR="00112408" w:rsidRPr="00965A0A">
        <w:t xml:space="preserve">Energoietilpīgajās nozarēs ir </w:t>
      </w:r>
      <w:r w:rsidR="00F01D4D" w:rsidRPr="00965A0A">
        <w:t>nodarbin</w:t>
      </w:r>
      <w:r w:rsidR="00112408" w:rsidRPr="00965A0A">
        <w:t>āti</w:t>
      </w:r>
      <w:r w:rsidR="00F01D4D" w:rsidRPr="00965A0A">
        <w:t xml:space="preserve"> 7,8 milj</w:t>
      </w:r>
      <w:r w:rsidR="00112408" w:rsidRPr="00965A0A">
        <w:t>.</w:t>
      </w:r>
      <w:r w:rsidR="00F01D4D" w:rsidRPr="00965A0A">
        <w:t xml:space="preserve"> cilvēk</w:t>
      </w:r>
      <w:r w:rsidR="00246DD6" w:rsidRPr="00965A0A">
        <w:t>i</w:t>
      </w:r>
      <w:r w:rsidR="00F01D4D" w:rsidRPr="00965A0A">
        <w:t xml:space="preserve"> 548 000 uzņēmumos ES, vairums no kuriem ir MVU. Šīs nozares 2019. gadā rad</w:t>
      </w:r>
      <w:r w:rsidR="00246DD6" w:rsidRPr="00965A0A">
        <w:t>īja</w:t>
      </w:r>
      <w:r w:rsidR="00F01D4D" w:rsidRPr="00965A0A">
        <w:t xml:space="preserve"> 673 miljonus tonnu emisiju, kas sastāda 22% no ES kopējā daudzuma.</w:t>
      </w:r>
      <w:r w:rsidR="000C6722" w:rsidRPr="00965A0A">
        <w:t xml:space="preserve"> Pēc Ekonomikas ministrijas novērtējuma, balstoties uz strukturālās statistikas datiem, energoietilpīgajās nozarēs  2019.gadā bija nodarbināti aptuveni 37,2 tūkst. cilvēku, 2,8 tūkst. uzņēmumos, kas galvenokārt arī ir MVU.</w:t>
      </w:r>
    </w:p>
    <w:p w14:paraId="47CF335F" w14:textId="7DACFB05" w:rsidR="5008F133" w:rsidRPr="00965A0A" w:rsidRDefault="5008F133" w:rsidP="00965A0A">
      <w:pPr>
        <w:ind w:right="-2"/>
        <w:mirrorIndents/>
      </w:pPr>
      <w:r w:rsidRPr="00965A0A">
        <w:t>Arī energoietilpīgās rūpniecības nozares Latvijā ietekmēja Covid-19 pandēmija, īpaši pēkšņais pieprasījuma kritums metālu ražošanas un autorūpniecības nozarēs. Pēc Ekonomikas ministrijas datiem, 2020. gadā metālu ražošanā kritums sasniedza 22.5 % attiecībā pret iepriekšējo gadu</w:t>
      </w:r>
      <w:r w:rsidR="00306150" w:rsidRPr="00965A0A">
        <w:t>.</w:t>
      </w:r>
      <w:r w:rsidRPr="00965A0A">
        <w:t xml:space="preserve"> </w:t>
      </w:r>
      <w:r w:rsidR="00306150" w:rsidRPr="00965A0A">
        <w:t>A</w:t>
      </w:r>
      <w:r w:rsidRPr="00965A0A">
        <w:t>utomobiļu, puspiekabju un piekabju ražošana kritās par 17.3 %, savukārt tekstilizstrādājumu ražošana par –11.3 %. Pozitīva izaugsme bija vērojama tādās energoietilpīgās nozarēs kā būvniecība (3.1 %), ķīmisko vielu un produktu ražošana (3.2 %), kokapstrāde (4.5 %), ieguves rūpniecība un karjeru izstrāde (8.8 %). Atveseļošanās ES noris nevienmērīgi, visnegatīvāk ietekmējot metālu ražošanas sektoru.</w:t>
      </w:r>
    </w:p>
    <w:p w14:paraId="06A85501" w14:textId="3B0E2C6F" w:rsidR="00B42D20" w:rsidRPr="00965A0A" w:rsidRDefault="00B42D20" w:rsidP="00965A0A">
      <w:pPr>
        <w:spacing w:line="259" w:lineRule="auto"/>
        <w:ind w:right="-2"/>
        <w:mirrorIndents/>
        <w:jc w:val="left"/>
      </w:pPr>
      <w:r w:rsidRPr="00965A0A">
        <w:rPr>
          <w:noProof/>
        </w:rPr>
        <w:drawing>
          <wp:anchor distT="0" distB="0" distL="114300" distR="114300" simplePos="0" relativeHeight="251661312" behindDoc="0" locked="0" layoutInCell="1" allowOverlap="1" wp14:anchorId="42C7E0C3" wp14:editId="179120DD">
            <wp:simplePos x="0" y="0"/>
            <wp:positionH relativeFrom="column">
              <wp:posOffset>-321945</wp:posOffset>
            </wp:positionH>
            <wp:positionV relativeFrom="paragraph">
              <wp:posOffset>112395</wp:posOffset>
            </wp:positionV>
            <wp:extent cx="6440170" cy="37007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40170" cy="3700780"/>
                    </a:xfrm>
                    <a:prstGeom prst="rect">
                      <a:avLst/>
                    </a:prstGeom>
                    <a:noFill/>
                    <a:ln>
                      <a:noFill/>
                    </a:ln>
                  </pic:spPr>
                </pic:pic>
              </a:graphicData>
            </a:graphic>
          </wp:anchor>
        </w:drawing>
      </w:r>
    </w:p>
    <w:p w14:paraId="33057192" w14:textId="71106528" w:rsidR="5008F133" w:rsidRPr="00965A0A" w:rsidRDefault="5008F133" w:rsidP="00965A0A">
      <w:pPr>
        <w:spacing w:line="259" w:lineRule="auto"/>
        <w:ind w:right="-2"/>
        <w:mirrorIndents/>
      </w:pPr>
    </w:p>
    <w:p w14:paraId="70B45F32" w14:textId="6858924D" w:rsidR="00B42D20" w:rsidRPr="00965A0A" w:rsidRDefault="00B42D20" w:rsidP="00965A0A">
      <w:pPr>
        <w:spacing w:line="259" w:lineRule="auto"/>
        <w:ind w:right="-2"/>
        <w:mirrorIndents/>
      </w:pPr>
    </w:p>
    <w:p w14:paraId="0092D7E8" w14:textId="2DF67B17" w:rsidR="00B42D20" w:rsidRPr="00965A0A" w:rsidRDefault="00B42D20" w:rsidP="00965A0A">
      <w:pPr>
        <w:spacing w:line="259" w:lineRule="auto"/>
        <w:ind w:right="-2"/>
        <w:mirrorIndents/>
      </w:pPr>
    </w:p>
    <w:p w14:paraId="4E81F258" w14:textId="6A3AFB30" w:rsidR="00B42D20" w:rsidRPr="00965A0A" w:rsidRDefault="00B42D20" w:rsidP="00965A0A">
      <w:pPr>
        <w:spacing w:line="259" w:lineRule="auto"/>
        <w:ind w:right="-2"/>
        <w:mirrorIndents/>
      </w:pPr>
    </w:p>
    <w:p w14:paraId="73C34118" w14:textId="3E0A5DED" w:rsidR="00B42D20" w:rsidRPr="00965A0A" w:rsidRDefault="00B42D20" w:rsidP="00965A0A">
      <w:pPr>
        <w:spacing w:line="259" w:lineRule="auto"/>
        <w:ind w:right="-2"/>
        <w:mirrorIndents/>
      </w:pPr>
    </w:p>
    <w:p w14:paraId="6D245DBE" w14:textId="272D3950" w:rsidR="00B42D20" w:rsidRPr="00965A0A" w:rsidRDefault="00B42D20" w:rsidP="00965A0A">
      <w:pPr>
        <w:spacing w:line="259" w:lineRule="auto"/>
        <w:ind w:right="-2"/>
        <w:mirrorIndents/>
      </w:pPr>
    </w:p>
    <w:p w14:paraId="0CFC6C23" w14:textId="0AACC7A5" w:rsidR="00B42D20" w:rsidRPr="00965A0A" w:rsidRDefault="00B42D20" w:rsidP="00965A0A">
      <w:pPr>
        <w:spacing w:line="259" w:lineRule="auto"/>
        <w:ind w:right="-2"/>
        <w:mirrorIndents/>
      </w:pPr>
    </w:p>
    <w:p w14:paraId="2173BB0B" w14:textId="31DE5CF8" w:rsidR="00B42D20" w:rsidRPr="00965A0A" w:rsidRDefault="00B42D20" w:rsidP="00965A0A">
      <w:pPr>
        <w:spacing w:line="259" w:lineRule="auto"/>
        <w:ind w:right="-2"/>
        <w:mirrorIndents/>
      </w:pPr>
    </w:p>
    <w:p w14:paraId="3AA169CA" w14:textId="5D644019" w:rsidR="00B42D20" w:rsidRPr="00965A0A" w:rsidRDefault="00B42D20" w:rsidP="00965A0A">
      <w:pPr>
        <w:spacing w:line="259" w:lineRule="auto"/>
        <w:ind w:right="-2"/>
        <w:mirrorIndents/>
      </w:pPr>
    </w:p>
    <w:p w14:paraId="69FBF77D" w14:textId="025272A5" w:rsidR="00B42D20" w:rsidRPr="00965A0A" w:rsidRDefault="00B42D20" w:rsidP="00965A0A">
      <w:pPr>
        <w:spacing w:line="259" w:lineRule="auto"/>
        <w:ind w:right="-2"/>
        <w:mirrorIndents/>
      </w:pPr>
    </w:p>
    <w:p w14:paraId="3004DD90" w14:textId="45B4AAF1" w:rsidR="00B42D20" w:rsidRPr="00965A0A" w:rsidRDefault="00B42D20" w:rsidP="00965A0A">
      <w:pPr>
        <w:spacing w:line="259" w:lineRule="auto"/>
        <w:ind w:right="-2"/>
        <w:mirrorIndents/>
      </w:pPr>
    </w:p>
    <w:p w14:paraId="3F0EB0EC" w14:textId="31A6319D" w:rsidR="00B42D20" w:rsidRPr="00965A0A" w:rsidRDefault="00B42D20" w:rsidP="00965A0A">
      <w:pPr>
        <w:spacing w:line="259" w:lineRule="auto"/>
        <w:ind w:right="-2"/>
        <w:mirrorIndents/>
      </w:pPr>
    </w:p>
    <w:p w14:paraId="4FCA32BE" w14:textId="77777777" w:rsidR="00B42D20" w:rsidRPr="00965A0A" w:rsidRDefault="00B42D20" w:rsidP="00965A0A">
      <w:pPr>
        <w:spacing w:line="259" w:lineRule="auto"/>
        <w:ind w:right="-2"/>
        <w:mirrorIndents/>
      </w:pPr>
    </w:p>
    <w:p w14:paraId="3B218E9B" w14:textId="2295857C" w:rsidR="00B42D20" w:rsidRPr="00965A0A" w:rsidRDefault="00B42D20" w:rsidP="00965A0A">
      <w:pPr>
        <w:spacing w:line="259" w:lineRule="auto"/>
        <w:ind w:right="-2"/>
        <w:mirrorIndents/>
      </w:pPr>
    </w:p>
    <w:p w14:paraId="74C7C2D5" w14:textId="77777777" w:rsidR="00B42D20" w:rsidRPr="00965A0A" w:rsidRDefault="00B42D20" w:rsidP="00965A0A">
      <w:pPr>
        <w:spacing w:line="259" w:lineRule="auto"/>
        <w:ind w:right="-2"/>
        <w:mirrorIndents/>
      </w:pPr>
    </w:p>
    <w:p w14:paraId="606E6885" w14:textId="77777777" w:rsidR="00965A0A" w:rsidRPr="00AB3112" w:rsidRDefault="00965A0A" w:rsidP="00965A0A">
      <w:pPr>
        <w:spacing w:before="240"/>
        <w:jc w:val="right"/>
        <w:rPr>
          <w:rFonts w:ascii="Candara" w:hAnsi="Candara" w:cs="Segoe UI"/>
          <w:sz w:val="18"/>
          <w:szCs w:val="16"/>
        </w:rPr>
      </w:pPr>
      <w:r w:rsidRPr="00AB3112">
        <w:rPr>
          <w:rFonts w:ascii="Candara" w:hAnsi="Candara" w:cs="Segoe UI"/>
          <w:sz w:val="18"/>
          <w:szCs w:val="16"/>
        </w:rPr>
        <w:lastRenderedPageBreak/>
        <w:t>Apstrādes rūpniecības struktūra un nozaru attīstības tendences</w:t>
      </w:r>
      <w:r w:rsidRPr="00AB3112">
        <w:rPr>
          <w:rFonts w:ascii="Candara" w:hAnsi="Candara" w:cs="Segoe UI"/>
          <w:sz w:val="18"/>
          <w:szCs w:val="16"/>
        </w:rPr>
        <w:br/>
      </w:r>
      <w:r w:rsidRPr="00AB3112">
        <w:rPr>
          <w:rFonts w:ascii="Candara" w:hAnsi="Candara" w:cs="Segoe UI"/>
          <w:i/>
          <w:szCs w:val="16"/>
        </w:rPr>
        <w:t>procentos</w:t>
      </w:r>
    </w:p>
    <w:tbl>
      <w:tblPr>
        <w:tblStyle w:val="ColorfulGrid-Accent3"/>
        <w:tblW w:w="9136" w:type="dxa"/>
        <w:jc w:val="center"/>
        <w:tblLayout w:type="fixed"/>
        <w:tblLook w:val="0400" w:firstRow="0" w:lastRow="0" w:firstColumn="0" w:lastColumn="0" w:noHBand="0" w:noVBand="1"/>
      </w:tblPr>
      <w:tblGrid>
        <w:gridCol w:w="2510"/>
        <w:gridCol w:w="1141"/>
        <w:gridCol w:w="1140"/>
        <w:gridCol w:w="1141"/>
        <w:gridCol w:w="237"/>
        <w:gridCol w:w="741"/>
        <w:gridCol w:w="741"/>
        <w:gridCol w:w="741"/>
        <w:gridCol w:w="744"/>
      </w:tblGrid>
      <w:tr w:rsidR="00965A0A" w:rsidRPr="00AD05B0" w14:paraId="75BF00A6"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nil"/>
              <w:left w:val="nil"/>
              <w:bottom w:val="nil"/>
              <w:right w:val="nil"/>
            </w:tcBorders>
            <w:shd w:val="clear" w:color="auto" w:fill="806000" w:themeFill="accent4" w:themeFillShade="80"/>
            <w:vAlign w:val="center"/>
          </w:tcPr>
          <w:p w14:paraId="06ACB04E" w14:textId="77777777" w:rsidR="00965A0A" w:rsidRPr="00457A11" w:rsidRDefault="00965A0A" w:rsidP="00A339E3">
            <w:pPr>
              <w:spacing w:before="40" w:after="40"/>
              <w:ind w:left="-113" w:right="-113"/>
              <w:jc w:val="center"/>
              <w:rPr>
                <w:rFonts w:ascii="Candara" w:hAnsi="Candara" w:cs="Segoe UI"/>
                <w:color w:val="FFFFFF" w:themeColor="background1"/>
              </w:rPr>
            </w:pPr>
          </w:p>
        </w:tc>
        <w:tc>
          <w:tcPr>
            <w:tcW w:w="3422" w:type="dxa"/>
            <w:gridSpan w:val="3"/>
            <w:tcBorders>
              <w:top w:val="nil"/>
              <w:left w:val="nil"/>
              <w:bottom w:val="nil"/>
              <w:right w:val="nil"/>
            </w:tcBorders>
            <w:shd w:val="clear" w:color="auto" w:fill="806000" w:themeFill="accent4" w:themeFillShade="80"/>
            <w:vAlign w:val="center"/>
            <w:hideMark/>
          </w:tcPr>
          <w:p w14:paraId="29F448B9"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Struktūra 2020.gadā</w:t>
            </w:r>
          </w:p>
        </w:tc>
        <w:tc>
          <w:tcPr>
            <w:tcW w:w="237" w:type="dxa"/>
            <w:tcBorders>
              <w:top w:val="nil"/>
              <w:left w:val="nil"/>
              <w:bottom w:val="nil"/>
              <w:right w:val="nil"/>
            </w:tcBorders>
            <w:shd w:val="clear" w:color="auto" w:fill="FFFFFF" w:themeFill="background1"/>
          </w:tcPr>
          <w:p w14:paraId="1B96B761" w14:textId="77777777" w:rsidR="00965A0A" w:rsidRPr="00AD05B0" w:rsidRDefault="00965A0A" w:rsidP="00A339E3">
            <w:pPr>
              <w:ind w:left="-113" w:right="-113"/>
              <w:jc w:val="center"/>
              <w:rPr>
                <w:rFonts w:ascii="Candara" w:hAnsi="Candara" w:cs="Segoe UI"/>
                <w:color w:val="FFFFFF" w:themeColor="background1"/>
                <w:sz w:val="18"/>
                <w:szCs w:val="18"/>
              </w:rPr>
            </w:pPr>
          </w:p>
        </w:tc>
        <w:tc>
          <w:tcPr>
            <w:tcW w:w="2967" w:type="dxa"/>
            <w:gridSpan w:val="4"/>
            <w:tcBorders>
              <w:top w:val="nil"/>
              <w:left w:val="nil"/>
              <w:bottom w:val="nil"/>
              <w:right w:val="nil"/>
            </w:tcBorders>
            <w:shd w:val="clear" w:color="auto" w:fill="806000" w:themeFill="accent4" w:themeFillShade="80"/>
            <w:vAlign w:val="center"/>
            <w:hideMark/>
          </w:tcPr>
          <w:p w14:paraId="0005B35F"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Ražošanas apjomu izmaiņas</w:t>
            </w:r>
          </w:p>
        </w:tc>
      </w:tr>
      <w:tr w:rsidR="00965A0A" w:rsidRPr="00AD05B0" w14:paraId="1208ECE8" w14:textId="77777777" w:rsidTr="00A339E3">
        <w:trPr>
          <w:trHeight w:val="21"/>
          <w:jc w:val="center"/>
        </w:trPr>
        <w:tc>
          <w:tcPr>
            <w:tcW w:w="2510" w:type="dxa"/>
            <w:tcBorders>
              <w:top w:val="nil"/>
              <w:left w:val="nil"/>
              <w:bottom w:val="single" w:sz="4" w:space="0" w:color="FFFFFF" w:themeColor="background1"/>
              <w:right w:val="nil"/>
            </w:tcBorders>
            <w:shd w:val="clear" w:color="auto" w:fill="806000" w:themeFill="accent4" w:themeFillShade="80"/>
            <w:vAlign w:val="center"/>
          </w:tcPr>
          <w:p w14:paraId="3B88E8E7"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p>
        </w:tc>
        <w:tc>
          <w:tcPr>
            <w:tcW w:w="1141" w:type="dxa"/>
            <w:tcBorders>
              <w:top w:val="nil"/>
              <w:left w:val="nil"/>
              <w:bottom w:val="single" w:sz="4" w:space="0" w:color="FFFFFF" w:themeColor="background1"/>
              <w:right w:val="nil"/>
            </w:tcBorders>
            <w:shd w:val="clear" w:color="auto" w:fill="806000" w:themeFill="accent4" w:themeFillShade="80"/>
            <w:vAlign w:val="center"/>
            <w:hideMark/>
          </w:tcPr>
          <w:p w14:paraId="0E5BAC47"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Izlaide</w:t>
            </w:r>
          </w:p>
        </w:tc>
        <w:tc>
          <w:tcPr>
            <w:tcW w:w="1140" w:type="dxa"/>
            <w:tcBorders>
              <w:top w:val="nil"/>
              <w:left w:val="nil"/>
              <w:bottom w:val="single" w:sz="4" w:space="0" w:color="FFFFFF" w:themeColor="background1"/>
              <w:right w:val="nil"/>
            </w:tcBorders>
            <w:shd w:val="clear" w:color="auto" w:fill="806000" w:themeFill="accent4" w:themeFillShade="80"/>
            <w:vAlign w:val="center"/>
            <w:hideMark/>
          </w:tcPr>
          <w:p w14:paraId="6DECE8C5"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Aizņemtās darbavietas</w:t>
            </w:r>
          </w:p>
        </w:tc>
        <w:tc>
          <w:tcPr>
            <w:tcW w:w="1140" w:type="dxa"/>
            <w:tcBorders>
              <w:top w:val="nil"/>
              <w:left w:val="nil"/>
              <w:bottom w:val="single" w:sz="4" w:space="0" w:color="FFFFFF" w:themeColor="background1"/>
              <w:right w:val="nil"/>
            </w:tcBorders>
            <w:shd w:val="clear" w:color="auto" w:fill="806000" w:themeFill="accent4" w:themeFillShade="80"/>
            <w:vAlign w:val="center"/>
            <w:hideMark/>
          </w:tcPr>
          <w:p w14:paraId="34AACA9F"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Eksporta īpatsvars realizācijā</w:t>
            </w:r>
          </w:p>
        </w:tc>
        <w:tc>
          <w:tcPr>
            <w:tcW w:w="237" w:type="dxa"/>
            <w:tcBorders>
              <w:top w:val="nil"/>
              <w:left w:val="nil"/>
              <w:bottom w:val="single" w:sz="4" w:space="0" w:color="FFFFFF" w:themeColor="background1"/>
              <w:right w:val="nil"/>
            </w:tcBorders>
            <w:shd w:val="clear" w:color="auto" w:fill="FFFFFF" w:themeFill="background1"/>
          </w:tcPr>
          <w:p w14:paraId="172C15BF" w14:textId="77777777" w:rsidR="00965A0A" w:rsidRPr="00AD05B0" w:rsidRDefault="00965A0A" w:rsidP="00A339E3">
            <w:pPr>
              <w:ind w:left="-113" w:right="-113"/>
              <w:jc w:val="center"/>
              <w:rPr>
                <w:rFonts w:ascii="Candara" w:hAnsi="Candara" w:cs="Segoe UI"/>
                <w:color w:val="FFFFFF" w:themeColor="background1"/>
                <w:sz w:val="18"/>
                <w:szCs w:val="18"/>
              </w:rPr>
            </w:pPr>
          </w:p>
        </w:tc>
        <w:tc>
          <w:tcPr>
            <w:tcW w:w="741" w:type="dxa"/>
            <w:tcBorders>
              <w:top w:val="nil"/>
              <w:left w:val="nil"/>
              <w:bottom w:val="single" w:sz="4" w:space="0" w:color="FFFFFF" w:themeColor="background1"/>
              <w:right w:val="nil"/>
            </w:tcBorders>
            <w:shd w:val="clear" w:color="auto" w:fill="806000" w:themeFill="accent4" w:themeFillShade="80"/>
            <w:vAlign w:val="center"/>
          </w:tcPr>
          <w:p w14:paraId="114B0E04"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2018</w:t>
            </w:r>
          </w:p>
        </w:tc>
        <w:tc>
          <w:tcPr>
            <w:tcW w:w="741" w:type="dxa"/>
            <w:tcBorders>
              <w:top w:val="nil"/>
              <w:left w:val="nil"/>
              <w:bottom w:val="single" w:sz="4" w:space="0" w:color="FFFFFF" w:themeColor="background1"/>
              <w:right w:val="nil"/>
            </w:tcBorders>
            <w:shd w:val="clear" w:color="auto" w:fill="806000" w:themeFill="accent4" w:themeFillShade="80"/>
            <w:vAlign w:val="center"/>
          </w:tcPr>
          <w:p w14:paraId="076569D3"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2019</w:t>
            </w:r>
          </w:p>
        </w:tc>
        <w:tc>
          <w:tcPr>
            <w:tcW w:w="741" w:type="dxa"/>
            <w:tcBorders>
              <w:top w:val="nil"/>
              <w:left w:val="nil"/>
              <w:bottom w:val="single" w:sz="4" w:space="0" w:color="FFFFFF" w:themeColor="background1"/>
              <w:right w:val="nil"/>
            </w:tcBorders>
            <w:shd w:val="clear" w:color="auto" w:fill="806000" w:themeFill="accent4" w:themeFillShade="80"/>
            <w:vAlign w:val="center"/>
          </w:tcPr>
          <w:p w14:paraId="58998A3C"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2020</w:t>
            </w:r>
          </w:p>
        </w:tc>
        <w:tc>
          <w:tcPr>
            <w:tcW w:w="741" w:type="dxa"/>
            <w:tcBorders>
              <w:top w:val="nil"/>
              <w:left w:val="nil"/>
              <w:bottom w:val="single" w:sz="4" w:space="0" w:color="FFFFFF" w:themeColor="background1"/>
              <w:right w:val="nil"/>
            </w:tcBorders>
            <w:shd w:val="clear" w:color="auto" w:fill="806000" w:themeFill="accent4" w:themeFillShade="80"/>
            <w:vAlign w:val="center"/>
          </w:tcPr>
          <w:p w14:paraId="1558FDAF" w14:textId="77777777" w:rsidR="00965A0A" w:rsidRPr="00AD05B0" w:rsidRDefault="00965A0A" w:rsidP="00A339E3">
            <w:pPr>
              <w:spacing w:before="40" w:after="40"/>
              <w:ind w:left="-113" w:right="-113"/>
              <w:jc w:val="center"/>
              <w:rPr>
                <w:rFonts w:ascii="Candara" w:hAnsi="Candara" w:cs="Segoe UI"/>
                <w:color w:val="FFFFFF" w:themeColor="background1"/>
                <w:sz w:val="18"/>
                <w:szCs w:val="18"/>
              </w:rPr>
            </w:pPr>
            <w:r w:rsidRPr="00AD05B0">
              <w:rPr>
                <w:rFonts w:ascii="Candara" w:hAnsi="Candara" w:cs="Segoe UI"/>
                <w:color w:val="FFFFFF" w:themeColor="background1"/>
                <w:sz w:val="18"/>
                <w:szCs w:val="18"/>
              </w:rPr>
              <w:t xml:space="preserve">2021 </w:t>
            </w:r>
            <w:r w:rsidRPr="00AD05B0">
              <w:rPr>
                <w:rFonts w:ascii="Candara" w:hAnsi="Candara" w:cs="Segoe UI"/>
                <w:color w:val="FFFFFF" w:themeColor="background1"/>
                <w:sz w:val="18"/>
                <w:szCs w:val="18"/>
              </w:rPr>
              <w:br/>
            </w:r>
            <w:proofErr w:type="spellStart"/>
            <w:r w:rsidRPr="00AD05B0">
              <w:rPr>
                <w:rFonts w:ascii="Candara" w:hAnsi="Candara" w:cs="Segoe UI"/>
                <w:color w:val="FFFFFF" w:themeColor="background1"/>
                <w:sz w:val="18"/>
                <w:szCs w:val="18"/>
              </w:rPr>
              <w:t>Jan-Feb</w:t>
            </w:r>
            <w:proofErr w:type="spellEnd"/>
          </w:p>
        </w:tc>
      </w:tr>
      <w:tr w:rsidR="00965A0A" w:rsidRPr="00AD05B0" w14:paraId="5275D1E3"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7B753AF2" w14:textId="77777777" w:rsidR="00965A0A" w:rsidRPr="00AD05B0" w:rsidRDefault="00965A0A" w:rsidP="00A339E3">
            <w:pPr>
              <w:spacing w:before="40" w:after="40"/>
              <w:ind w:right="-113"/>
              <w:rPr>
                <w:rFonts w:ascii="Candara" w:hAnsi="Candara" w:cs="Segoe UI"/>
                <w:b/>
                <w:sz w:val="18"/>
                <w:szCs w:val="18"/>
              </w:rPr>
            </w:pPr>
            <w:r w:rsidRPr="00AD05B0">
              <w:rPr>
                <w:rFonts w:ascii="Candara" w:hAnsi="Candara" w:cs="Segoe UI"/>
                <w:b/>
                <w:sz w:val="18"/>
                <w:szCs w:val="18"/>
              </w:rPr>
              <w:t>Apstrādes rūpniecība</w:t>
            </w:r>
          </w:p>
        </w:tc>
        <w:tc>
          <w:tcPr>
            <w:tcW w:w="1141"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5B635EBB"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100</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0E361FDA"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100</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4D70A198"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66,0</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74F43548" w14:textId="77777777" w:rsidR="00965A0A" w:rsidRPr="00AD05B0" w:rsidRDefault="00965A0A" w:rsidP="00A339E3">
            <w:pPr>
              <w:ind w:left="-113" w:right="-113"/>
              <w:jc w:val="right"/>
              <w:rPr>
                <w:rFonts w:ascii="Candara" w:hAnsi="Candara"/>
                <w:b/>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vAlign w:val="bottom"/>
          </w:tcPr>
          <w:p w14:paraId="57AD0F07"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2,7</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252673C2"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2,1</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4F33A8C0"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-0,9</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0BDDAE56" w14:textId="77777777" w:rsidR="00965A0A" w:rsidRPr="00AD05B0" w:rsidRDefault="00965A0A" w:rsidP="00A339E3">
            <w:pPr>
              <w:spacing w:before="40" w:after="40"/>
              <w:jc w:val="right"/>
              <w:rPr>
                <w:rFonts w:ascii="Candara" w:hAnsi="Candara"/>
                <w:b/>
                <w:bCs/>
                <w:color w:val="000000"/>
                <w:sz w:val="18"/>
                <w:szCs w:val="18"/>
              </w:rPr>
            </w:pPr>
            <w:r w:rsidRPr="00AD05B0">
              <w:rPr>
                <w:rFonts w:ascii="Candara" w:hAnsi="Candara"/>
                <w:b/>
                <w:bCs/>
                <w:color w:val="000000"/>
                <w:sz w:val="18"/>
                <w:szCs w:val="18"/>
              </w:rPr>
              <w:t>-1,9</w:t>
            </w:r>
          </w:p>
        </w:tc>
      </w:tr>
      <w:tr w:rsidR="00965A0A" w:rsidRPr="00AD05B0" w14:paraId="265DE7BB" w14:textId="77777777" w:rsidTr="00A339E3">
        <w:trPr>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2CC" w:themeFill="accent4" w:themeFillTint="33"/>
            <w:hideMark/>
          </w:tcPr>
          <w:p w14:paraId="0D01D798"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Pārtikas ražošana</w:t>
            </w:r>
          </w:p>
        </w:tc>
        <w:tc>
          <w:tcPr>
            <w:tcW w:w="11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1AB8ABC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21,5</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39A3992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20,1</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54388560"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38,5</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1761A3E5"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tcPr>
          <w:p w14:paraId="17D950E0"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-2,9</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07005C33"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-0,7</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33DDB432"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-1,7</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5B56A752"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-11,4</w:t>
            </w:r>
          </w:p>
        </w:tc>
      </w:tr>
      <w:tr w:rsidR="00965A0A" w:rsidRPr="00AD05B0" w14:paraId="37095701"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7B8FBCD5"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Vieglā rūpniecība</w:t>
            </w:r>
          </w:p>
        </w:tc>
        <w:tc>
          <w:tcPr>
            <w:tcW w:w="1141"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544C37A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3,1</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0B0000A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8,5</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1A269BC1"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82,1</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563209B6"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vAlign w:val="bottom"/>
          </w:tcPr>
          <w:p w14:paraId="58AB79B6"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-0,8</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456918DA"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-2,6</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6BEB45F3"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-9,5</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3BE7648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0,2</w:t>
            </w:r>
          </w:p>
        </w:tc>
      </w:tr>
      <w:tr w:rsidR="00965A0A" w:rsidRPr="00AD05B0" w14:paraId="44C0CD28" w14:textId="77777777" w:rsidTr="00A339E3">
        <w:trPr>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2CC" w:themeFill="accent4" w:themeFillTint="33"/>
            <w:hideMark/>
          </w:tcPr>
          <w:p w14:paraId="7C5B9CC6"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Kokapstrāde</w:t>
            </w:r>
          </w:p>
        </w:tc>
        <w:tc>
          <w:tcPr>
            <w:tcW w:w="11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619A48D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26,5</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76E97C7A"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20,0</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765957BE"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72,5</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5C8804F0"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tcPr>
          <w:p w14:paraId="69326133"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4,5</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4CC7BE96"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0,0</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25E77143"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4,5</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3AF0D8FA"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1,5</w:t>
            </w:r>
          </w:p>
        </w:tc>
      </w:tr>
      <w:tr w:rsidR="00965A0A" w:rsidRPr="00AD05B0" w14:paraId="76ACDC34"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338B454F"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Papīra ražošana, poligrāfija</w:t>
            </w:r>
          </w:p>
        </w:tc>
        <w:tc>
          <w:tcPr>
            <w:tcW w:w="1141"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00EEB002"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3,9</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5FE2FB11"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4,3</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21C699D0"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66,2</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5B078F50"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vAlign w:val="bottom"/>
          </w:tcPr>
          <w:p w14:paraId="4C11C63B"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-3,7</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60EE9AE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5,7</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3CBA599A"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4,7</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540C4B2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5,6</w:t>
            </w:r>
          </w:p>
        </w:tc>
      </w:tr>
      <w:tr w:rsidR="00965A0A" w:rsidRPr="00AD05B0" w14:paraId="09174EBD" w14:textId="77777777" w:rsidTr="00A339E3">
        <w:trPr>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2CC" w:themeFill="accent4" w:themeFillTint="33"/>
            <w:hideMark/>
          </w:tcPr>
          <w:p w14:paraId="6088B571"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Ķīmija un farmācija</w:t>
            </w:r>
          </w:p>
        </w:tc>
        <w:tc>
          <w:tcPr>
            <w:tcW w:w="11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77A5A84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8,7</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2936CCF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7,1</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36631480"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73,5</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12163F61"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tcPr>
          <w:p w14:paraId="7A8A2DA6"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7,0</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2206291A"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3,9</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61637E3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-1,8</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40EE17E4"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11,9</w:t>
            </w:r>
          </w:p>
        </w:tc>
      </w:tr>
      <w:tr w:rsidR="00965A0A" w:rsidRPr="00AD05B0" w14:paraId="398895CA"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5E345205"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Nemetāliskie minerāli</w:t>
            </w:r>
          </w:p>
        </w:tc>
        <w:tc>
          <w:tcPr>
            <w:tcW w:w="1141"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183B6DD9"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5,8</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3AF1E41E"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5,3</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6CC914E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51,8</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79340974"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vAlign w:val="bottom"/>
          </w:tcPr>
          <w:p w14:paraId="5C5BAD09"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1,3</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440A22E3"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-2,1</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53E93887"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-1,4</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352A799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-10,9</w:t>
            </w:r>
          </w:p>
        </w:tc>
      </w:tr>
      <w:tr w:rsidR="00965A0A" w:rsidRPr="00AD05B0" w14:paraId="1A29B5F4" w14:textId="77777777" w:rsidTr="00A339E3">
        <w:trPr>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2CC" w:themeFill="accent4" w:themeFillTint="33"/>
            <w:hideMark/>
          </w:tcPr>
          <w:p w14:paraId="47E735BB"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Metālapstrāde</w:t>
            </w:r>
          </w:p>
        </w:tc>
        <w:tc>
          <w:tcPr>
            <w:tcW w:w="11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0C052E7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9,6</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3DD525E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11,2</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351D2854"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67,8</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3AA0E493"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tcPr>
          <w:p w14:paraId="496DAED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3,6</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0FDA8831"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13,5</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4DA777D9"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-5,6</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2CAD9494"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-10,8</w:t>
            </w:r>
          </w:p>
        </w:tc>
      </w:tr>
      <w:tr w:rsidR="00965A0A" w:rsidRPr="00AD05B0" w14:paraId="341C73A3"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4D36105B"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Elektroniskās iekārtas</w:t>
            </w:r>
          </w:p>
        </w:tc>
        <w:tc>
          <w:tcPr>
            <w:tcW w:w="1141"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2E1E4E2C"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9,8</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5BA9C307"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5,2</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1AABC39B"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89,3</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4A7BBF8A"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vAlign w:val="bottom"/>
          </w:tcPr>
          <w:p w14:paraId="086FEDBF"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12,1</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49007F5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11,3</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33222D55"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12,1</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4131F1F7"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10,0</w:t>
            </w:r>
          </w:p>
        </w:tc>
      </w:tr>
      <w:tr w:rsidR="00965A0A" w:rsidRPr="00AD05B0" w14:paraId="6168A889" w14:textId="77777777" w:rsidTr="00A339E3">
        <w:trPr>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2CC" w:themeFill="accent4" w:themeFillTint="33"/>
            <w:hideMark/>
          </w:tcPr>
          <w:p w14:paraId="428D0510"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Mašīnu un iekārtu ražošana</w:t>
            </w:r>
          </w:p>
        </w:tc>
        <w:tc>
          <w:tcPr>
            <w:tcW w:w="11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37081047"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2,7</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4B6548FC"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3,1</w:t>
            </w:r>
          </w:p>
        </w:tc>
        <w:tc>
          <w:tcPr>
            <w:tcW w:w="1140"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hideMark/>
          </w:tcPr>
          <w:p w14:paraId="07ADD98C"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85,2</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337F75D9"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vAlign w:val="bottom"/>
          </w:tcPr>
          <w:p w14:paraId="3BD8E331"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7,0</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0A90B515"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-1,9</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6C7F97C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-2,7</w:t>
            </w:r>
          </w:p>
        </w:tc>
        <w:tc>
          <w:tcPr>
            <w:tcW w:w="741" w:type="dxa"/>
            <w:tcBorders>
              <w:top w:val="single" w:sz="4" w:space="0" w:color="FFFFFF" w:themeColor="background1"/>
              <w:left w:val="nil"/>
              <w:bottom w:val="single" w:sz="4" w:space="0" w:color="FFFFFF" w:themeColor="background1"/>
              <w:right w:val="nil"/>
            </w:tcBorders>
            <w:shd w:val="clear" w:color="auto" w:fill="FFF2CC" w:themeFill="accent4" w:themeFillTint="33"/>
          </w:tcPr>
          <w:p w14:paraId="75EEB37D"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4,6</w:t>
            </w:r>
          </w:p>
        </w:tc>
      </w:tr>
      <w:tr w:rsidR="00965A0A" w:rsidRPr="00AD05B0" w14:paraId="51E35C76" w14:textId="77777777" w:rsidTr="00A339E3">
        <w:trPr>
          <w:cnfStyle w:val="000000100000" w:firstRow="0" w:lastRow="0" w:firstColumn="0" w:lastColumn="0" w:oddVBand="0" w:evenVBand="0" w:oddHBand="1" w:evenHBand="0" w:firstRowFirstColumn="0" w:firstRowLastColumn="0" w:lastRowFirstColumn="0" w:lastRowLastColumn="0"/>
          <w:trHeight w:val="21"/>
          <w:jc w:val="center"/>
        </w:trPr>
        <w:tc>
          <w:tcPr>
            <w:tcW w:w="2510" w:type="dxa"/>
            <w:tcBorders>
              <w:top w:val="single" w:sz="4" w:space="0" w:color="FFFFFF" w:themeColor="background1"/>
              <w:left w:val="nil"/>
              <w:bottom w:val="single" w:sz="4" w:space="0" w:color="FFFFFF" w:themeColor="background1"/>
              <w:right w:val="nil"/>
            </w:tcBorders>
            <w:shd w:val="clear" w:color="auto" w:fill="FFFFFF" w:themeFill="background1"/>
            <w:hideMark/>
          </w:tcPr>
          <w:p w14:paraId="07167FCB"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Transportlīdzekļu ražošana</w:t>
            </w:r>
          </w:p>
        </w:tc>
        <w:tc>
          <w:tcPr>
            <w:tcW w:w="1141"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05313111"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3,4</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4B3413FE"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3,1</w:t>
            </w:r>
          </w:p>
        </w:tc>
        <w:tc>
          <w:tcPr>
            <w:tcW w:w="1140" w:type="dxa"/>
            <w:tcBorders>
              <w:top w:val="single" w:sz="4" w:space="0" w:color="FFFFFF" w:themeColor="background1"/>
              <w:left w:val="nil"/>
              <w:bottom w:val="single" w:sz="4" w:space="0" w:color="FFFFFF" w:themeColor="background1"/>
              <w:right w:val="nil"/>
            </w:tcBorders>
            <w:shd w:val="clear" w:color="auto" w:fill="FFFFFF" w:themeFill="background1"/>
            <w:vAlign w:val="bottom"/>
            <w:hideMark/>
          </w:tcPr>
          <w:p w14:paraId="27EFE7AB"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90,1</w:t>
            </w:r>
          </w:p>
        </w:tc>
        <w:tc>
          <w:tcPr>
            <w:tcW w:w="237" w:type="dxa"/>
            <w:tcBorders>
              <w:top w:val="single" w:sz="4" w:space="0" w:color="FFFFFF" w:themeColor="background1"/>
              <w:left w:val="nil"/>
              <w:bottom w:val="single" w:sz="4" w:space="0" w:color="FFFFFF" w:themeColor="background1"/>
              <w:right w:val="nil"/>
            </w:tcBorders>
            <w:shd w:val="clear" w:color="auto" w:fill="FFFFFF" w:themeFill="background1"/>
          </w:tcPr>
          <w:p w14:paraId="39975048"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vAlign w:val="bottom"/>
          </w:tcPr>
          <w:p w14:paraId="7CEFA6BB"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7,3</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10DC4634"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-7,7</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6D7DEC84"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-15,3</w:t>
            </w:r>
          </w:p>
        </w:tc>
        <w:tc>
          <w:tcPr>
            <w:tcW w:w="741" w:type="dxa"/>
            <w:tcBorders>
              <w:top w:val="single" w:sz="4" w:space="0" w:color="FFFFFF" w:themeColor="background1"/>
              <w:left w:val="nil"/>
              <w:bottom w:val="single" w:sz="4" w:space="0" w:color="FFFFFF" w:themeColor="background1"/>
              <w:right w:val="nil"/>
            </w:tcBorders>
            <w:shd w:val="clear" w:color="auto" w:fill="FFFFFF" w:themeFill="background1"/>
          </w:tcPr>
          <w:p w14:paraId="12E76391"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-5,0</w:t>
            </w:r>
          </w:p>
        </w:tc>
      </w:tr>
      <w:tr w:rsidR="00965A0A" w:rsidRPr="00AD05B0" w14:paraId="78CF781E" w14:textId="77777777" w:rsidTr="00A339E3">
        <w:trPr>
          <w:trHeight w:val="21"/>
          <w:jc w:val="center"/>
        </w:trPr>
        <w:tc>
          <w:tcPr>
            <w:tcW w:w="2510" w:type="dxa"/>
            <w:tcBorders>
              <w:top w:val="single" w:sz="4" w:space="0" w:color="FFFFFF" w:themeColor="background1"/>
              <w:left w:val="nil"/>
              <w:bottom w:val="nil"/>
              <w:right w:val="nil"/>
            </w:tcBorders>
            <w:shd w:val="clear" w:color="auto" w:fill="FFF2CC" w:themeFill="accent4" w:themeFillTint="33"/>
            <w:hideMark/>
          </w:tcPr>
          <w:p w14:paraId="1A5EE9D8" w14:textId="77777777" w:rsidR="00965A0A" w:rsidRPr="00AD05B0" w:rsidRDefault="00965A0A" w:rsidP="00A339E3">
            <w:pPr>
              <w:spacing w:before="40" w:after="40"/>
              <w:ind w:right="-113"/>
              <w:rPr>
                <w:rFonts w:ascii="Candara" w:hAnsi="Candara" w:cs="Segoe UI"/>
                <w:sz w:val="18"/>
                <w:szCs w:val="18"/>
              </w:rPr>
            </w:pPr>
            <w:r w:rsidRPr="00AD05B0">
              <w:rPr>
                <w:rFonts w:ascii="Candara" w:hAnsi="Candara" w:cs="Segoe UI"/>
                <w:sz w:val="18"/>
                <w:szCs w:val="18"/>
              </w:rPr>
              <w:t>Pārējās nozares</w:t>
            </w:r>
          </w:p>
        </w:tc>
        <w:tc>
          <w:tcPr>
            <w:tcW w:w="1141" w:type="dxa"/>
            <w:tcBorders>
              <w:top w:val="single" w:sz="4" w:space="0" w:color="FFFFFF" w:themeColor="background1"/>
              <w:left w:val="nil"/>
              <w:bottom w:val="nil"/>
              <w:right w:val="nil"/>
            </w:tcBorders>
            <w:shd w:val="clear" w:color="auto" w:fill="FFF2CC" w:themeFill="accent4" w:themeFillTint="33"/>
            <w:vAlign w:val="bottom"/>
            <w:hideMark/>
          </w:tcPr>
          <w:p w14:paraId="463DC82E"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4,9</w:t>
            </w:r>
          </w:p>
        </w:tc>
        <w:tc>
          <w:tcPr>
            <w:tcW w:w="1140" w:type="dxa"/>
            <w:tcBorders>
              <w:top w:val="single" w:sz="4" w:space="0" w:color="FFFFFF" w:themeColor="background1"/>
              <w:left w:val="nil"/>
              <w:bottom w:val="nil"/>
              <w:right w:val="nil"/>
            </w:tcBorders>
            <w:shd w:val="clear" w:color="auto" w:fill="FFF2CC" w:themeFill="accent4" w:themeFillTint="33"/>
            <w:vAlign w:val="bottom"/>
            <w:hideMark/>
          </w:tcPr>
          <w:p w14:paraId="4B3555D7"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12,1</w:t>
            </w:r>
          </w:p>
        </w:tc>
        <w:tc>
          <w:tcPr>
            <w:tcW w:w="1140" w:type="dxa"/>
            <w:tcBorders>
              <w:top w:val="single" w:sz="4" w:space="0" w:color="FFFFFF" w:themeColor="background1"/>
              <w:left w:val="nil"/>
              <w:bottom w:val="nil"/>
              <w:right w:val="nil"/>
            </w:tcBorders>
            <w:shd w:val="clear" w:color="auto" w:fill="FFF2CC" w:themeFill="accent4" w:themeFillTint="33"/>
            <w:vAlign w:val="bottom"/>
            <w:hideMark/>
          </w:tcPr>
          <w:p w14:paraId="582AFDBC"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67,1</w:t>
            </w:r>
          </w:p>
        </w:tc>
        <w:tc>
          <w:tcPr>
            <w:tcW w:w="237" w:type="dxa"/>
            <w:tcBorders>
              <w:top w:val="single" w:sz="4" w:space="0" w:color="FFFFFF" w:themeColor="background1"/>
              <w:left w:val="nil"/>
              <w:bottom w:val="nil"/>
              <w:right w:val="nil"/>
            </w:tcBorders>
            <w:shd w:val="clear" w:color="auto" w:fill="FFFFFF" w:themeFill="background1"/>
          </w:tcPr>
          <w:p w14:paraId="0454ECF8" w14:textId="77777777" w:rsidR="00965A0A" w:rsidRPr="00AD05B0" w:rsidRDefault="00965A0A" w:rsidP="00A339E3">
            <w:pPr>
              <w:ind w:left="-113" w:right="-113"/>
              <w:jc w:val="right"/>
              <w:rPr>
                <w:rFonts w:ascii="Candara" w:hAnsi="Candara"/>
                <w:bCs/>
                <w:color w:val="000000"/>
                <w:sz w:val="18"/>
                <w:szCs w:val="18"/>
              </w:rPr>
            </w:pPr>
          </w:p>
        </w:tc>
        <w:tc>
          <w:tcPr>
            <w:tcW w:w="741" w:type="dxa"/>
            <w:tcBorders>
              <w:top w:val="single" w:sz="4" w:space="0" w:color="FFFFFF" w:themeColor="background1"/>
              <w:left w:val="nil"/>
              <w:bottom w:val="nil"/>
              <w:right w:val="nil"/>
            </w:tcBorders>
            <w:shd w:val="clear" w:color="auto" w:fill="FFF2CC" w:themeFill="accent4" w:themeFillTint="33"/>
            <w:vAlign w:val="bottom"/>
          </w:tcPr>
          <w:p w14:paraId="49138723"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-1,8</w:t>
            </w:r>
          </w:p>
        </w:tc>
        <w:tc>
          <w:tcPr>
            <w:tcW w:w="741" w:type="dxa"/>
            <w:tcBorders>
              <w:top w:val="single" w:sz="4" w:space="0" w:color="FFFFFF" w:themeColor="background1"/>
              <w:left w:val="nil"/>
              <w:bottom w:val="nil"/>
              <w:right w:val="nil"/>
            </w:tcBorders>
            <w:shd w:val="clear" w:color="auto" w:fill="FFF2CC" w:themeFill="accent4" w:themeFillTint="33"/>
          </w:tcPr>
          <w:p w14:paraId="0D342787"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2,8</w:t>
            </w:r>
          </w:p>
        </w:tc>
        <w:tc>
          <w:tcPr>
            <w:tcW w:w="741" w:type="dxa"/>
            <w:tcBorders>
              <w:top w:val="single" w:sz="4" w:space="0" w:color="FFFFFF" w:themeColor="background1"/>
              <w:left w:val="nil"/>
              <w:bottom w:val="nil"/>
              <w:right w:val="nil"/>
            </w:tcBorders>
            <w:shd w:val="clear" w:color="auto" w:fill="FFF2CC" w:themeFill="accent4" w:themeFillTint="33"/>
          </w:tcPr>
          <w:p w14:paraId="24DD2968"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-14,2</w:t>
            </w:r>
          </w:p>
        </w:tc>
        <w:tc>
          <w:tcPr>
            <w:tcW w:w="741" w:type="dxa"/>
            <w:tcBorders>
              <w:top w:val="single" w:sz="4" w:space="0" w:color="FFFFFF" w:themeColor="background1"/>
              <w:left w:val="nil"/>
              <w:bottom w:val="nil"/>
              <w:right w:val="nil"/>
            </w:tcBorders>
            <w:shd w:val="clear" w:color="auto" w:fill="FFF2CC" w:themeFill="accent4" w:themeFillTint="33"/>
          </w:tcPr>
          <w:p w14:paraId="538A3992" w14:textId="77777777" w:rsidR="00965A0A" w:rsidRPr="00AD05B0" w:rsidRDefault="00965A0A" w:rsidP="00A339E3">
            <w:pPr>
              <w:spacing w:before="40" w:after="40"/>
              <w:jc w:val="right"/>
              <w:rPr>
                <w:rFonts w:ascii="Candara" w:hAnsi="Candara"/>
                <w:bCs/>
                <w:color w:val="000000"/>
                <w:sz w:val="18"/>
                <w:szCs w:val="18"/>
              </w:rPr>
            </w:pPr>
            <w:r w:rsidRPr="00AD05B0">
              <w:rPr>
                <w:rFonts w:ascii="Candara" w:hAnsi="Candara"/>
                <w:bCs/>
                <w:color w:val="000000"/>
                <w:sz w:val="18"/>
                <w:szCs w:val="18"/>
              </w:rPr>
              <w:t>-5,2</w:t>
            </w:r>
          </w:p>
        </w:tc>
      </w:tr>
    </w:tbl>
    <w:p w14:paraId="3E6E76D6" w14:textId="77777777" w:rsidR="00B42D20" w:rsidRPr="00965A0A" w:rsidRDefault="00B42D20" w:rsidP="00965A0A">
      <w:pPr>
        <w:spacing w:line="259" w:lineRule="auto"/>
        <w:ind w:right="-2"/>
        <w:mirrorIndents/>
      </w:pPr>
    </w:p>
    <w:p w14:paraId="7087495F" w14:textId="25761774" w:rsidR="00A07A13" w:rsidRPr="00965A0A" w:rsidRDefault="002E449F" w:rsidP="00965A0A">
      <w:pPr>
        <w:ind w:right="-2"/>
        <w:mirrorIndents/>
      </w:pPr>
      <w:proofErr w:type="spellStart"/>
      <w:r w:rsidRPr="00965A0A">
        <w:t>Dekarbonizētas</w:t>
      </w:r>
      <w:proofErr w:type="spellEnd"/>
      <w:r w:rsidRPr="00965A0A">
        <w:t xml:space="preserve"> enerģijas izmaksas un pieejamība būs </w:t>
      </w:r>
      <w:r w:rsidR="00276D7C" w:rsidRPr="00965A0A">
        <w:t xml:space="preserve">noteicošais </w:t>
      </w:r>
      <w:r w:rsidRPr="00965A0A">
        <w:t xml:space="preserve">faktors pārmaiņām un konkurētspējas </w:t>
      </w:r>
      <w:r w:rsidR="00276D7C" w:rsidRPr="00965A0A">
        <w:t>saglabāšanai</w:t>
      </w:r>
      <w:r w:rsidRPr="00965A0A">
        <w:t xml:space="preserve">, </w:t>
      </w:r>
      <w:r w:rsidR="00C34A7B" w:rsidRPr="00965A0A">
        <w:t xml:space="preserve">kā arī </w:t>
      </w:r>
      <w:r w:rsidR="00AB7C22" w:rsidRPr="00965A0A">
        <w:t xml:space="preserve">turpmākām </w:t>
      </w:r>
      <w:r w:rsidRPr="00965A0A">
        <w:t>investīcijām.</w:t>
      </w:r>
      <w:r w:rsidR="00A07A13" w:rsidRPr="00965A0A">
        <w:t xml:space="preserve"> </w:t>
      </w:r>
    </w:p>
    <w:p w14:paraId="11914E26" w14:textId="39E357C7" w:rsidR="00A07A13" w:rsidRPr="00965A0A" w:rsidRDefault="00A07A13" w:rsidP="00965A0A">
      <w:pPr>
        <w:ind w:right="-2"/>
        <w:mirrorIndents/>
      </w:pPr>
      <w:r w:rsidRPr="00965A0A">
        <w:t xml:space="preserve">Lielākā daļa </w:t>
      </w:r>
      <w:r w:rsidR="00BA6F2F" w:rsidRPr="00965A0A">
        <w:t xml:space="preserve">energoietilpīgo nozaru </w:t>
      </w:r>
      <w:r w:rsidRPr="00965A0A">
        <w:t>uzņēmum</w:t>
      </w:r>
      <w:r w:rsidR="00BA6F2F" w:rsidRPr="00965A0A">
        <w:t>i</w:t>
      </w:r>
      <w:r w:rsidRPr="00965A0A">
        <w:t xml:space="preserve"> darbojas pasaules tirgos un tirgo savus produktus par starptautiski noteiktām cenām, kas tās pakļauj oglekļa emisiju pārvirzes riskam. Bažas par vienlīdzīgiem konkurences apstākļiem var pastiprināties pārejas periodā, jo </w:t>
      </w:r>
      <w:proofErr w:type="spellStart"/>
      <w:r w:rsidRPr="00965A0A">
        <w:t>mazoglekļa</w:t>
      </w:r>
      <w:proofErr w:type="spellEnd"/>
      <w:r w:rsidRPr="00965A0A">
        <w:t xml:space="preserve"> tirgus un </w:t>
      </w:r>
      <w:proofErr w:type="spellStart"/>
      <w:r w:rsidRPr="00965A0A">
        <w:t>mazoglekļa</w:t>
      </w:r>
      <w:proofErr w:type="spellEnd"/>
      <w:r w:rsidRPr="00965A0A">
        <w:t xml:space="preserve"> aprites produkti joprojām ir attīstības stadijā. Tāpat atšķirības citu globālo konkurentu pārejas ātrumā un apjomā </w:t>
      </w:r>
      <w:r w:rsidR="00604003" w:rsidRPr="00965A0A">
        <w:t>var</w:t>
      </w:r>
      <w:r w:rsidRPr="00965A0A">
        <w:t xml:space="preserve"> ietekmēt ES </w:t>
      </w:r>
      <w:r w:rsidR="00604003" w:rsidRPr="00965A0A">
        <w:t>industrijas</w:t>
      </w:r>
      <w:r w:rsidRPr="00965A0A">
        <w:t xml:space="preserve"> konkurētspēju. </w:t>
      </w:r>
      <w:r w:rsidR="00604003" w:rsidRPr="00965A0A">
        <w:t>Šo uzņēmumu k</w:t>
      </w:r>
      <w:r w:rsidRPr="00965A0A">
        <w:t>onkurētspēja</w:t>
      </w:r>
      <w:r w:rsidR="00604003" w:rsidRPr="00965A0A">
        <w:t xml:space="preserve"> </w:t>
      </w:r>
      <w:r w:rsidRPr="00965A0A">
        <w:t>ir svarīga ne tikai ES vienotajā tirgū, bet arī eksporta</w:t>
      </w:r>
      <w:r w:rsidR="00604003" w:rsidRPr="00965A0A">
        <w:t xml:space="preserve"> </w:t>
      </w:r>
      <w:r w:rsidRPr="00965A0A">
        <w:t xml:space="preserve">tirgos, jo iespējamais </w:t>
      </w:r>
      <w:r w:rsidR="009F5D25" w:rsidRPr="00965A0A">
        <w:t xml:space="preserve">zaudējums </w:t>
      </w:r>
      <w:r w:rsidRPr="00965A0A">
        <w:t>eksporta tirg</w:t>
      </w:r>
      <w:r w:rsidR="009F5D25" w:rsidRPr="00965A0A">
        <w:t>ū</w:t>
      </w:r>
      <w:r w:rsidRPr="00965A0A">
        <w:t xml:space="preserve"> varētu apdraudēt konkurētspēju un</w:t>
      </w:r>
      <w:r w:rsidR="00604003" w:rsidRPr="00965A0A">
        <w:t xml:space="preserve"> to</w:t>
      </w:r>
      <w:r w:rsidRPr="00965A0A">
        <w:t xml:space="preserve"> zaļās un digitālās pārejas ātrumu.</w:t>
      </w:r>
    </w:p>
    <w:p w14:paraId="557A1653" w14:textId="3A997449" w:rsidR="00782F04" w:rsidRPr="00965A0A" w:rsidRDefault="00604003" w:rsidP="00965A0A">
      <w:pPr>
        <w:ind w:right="-2"/>
        <w:mirrorIndents/>
      </w:pPr>
      <w:r w:rsidRPr="00965A0A">
        <w:t>Aprites ekonomika var samazināt globālās CO2 emisijas no cementa, tērauda, plastmasas,</w:t>
      </w:r>
      <w:r w:rsidR="00556836" w:rsidRPr="00965A0A">
        <w:t xml:space="preserve"> </w:t>
      </w:r>
      <w:r w:rsidRPr="00965A0A">
        <w:t>un alumīnij</w:t>
      </w:r>
      <w:r w:rsidR="00556836" w:rsidRPr="00965A0A">
        <w:t>a</w:t>
      </w:r>
      <w:r w:rsidRPr="00965A0A">
        <w:t xml:space="preserve"> par 40% jeb 3,7 miljardiem tonnu 2050. gadā, tādējādi sasniedzot gandrīz pusi no</w:t>
      </w:r>
      <w:r w:rsidR="00556836" w:rsidRPr="00965A0A">
        <w:t xml:space="preserve"> </w:t>
      </w:r>
      <w:r w:rsidRPr="00965A0A">
        <w:t xml:space="preserve">nulles emisiju </w:t>
      </w:r>
      <w:r w:rsidR="00556836" w:rsidRPr="00965A0A">
        <w:t>mērķiem</w:t>
      </w:r>
      <w:r w:rsidRPr="00965A0A">
        <w:t>.</w:t>
      </w:r>
      <w:r w:rsidR="004B00CF" w:rsidRPr="00965A0A">
        <w:rPr>
          <w:rStyle w:val="FootnoteReference"/>
        </w:rPr>
        <w:footnoteReference w:id="7"/>
      </w:r>
    </w:p>
    <w:p w14:paraId="32BEF5B2" w14:textId="29CB704C" w:rsidR="00556836" w:rsidRPr="00965A0A" w:rsidRDefault="00604003" w:rsidP="00965A0A">
      <w:pPr>
        <w:ind w:right="-2"/>
        <w:mirrorIndents/>
      </w:pPr>
      <w:r w:rsidRPr="00965A0A">
        <w:lastRenderedPageBreak/>
        <w:t>Produkta dizain</w:t>
      </w:r>
      <w:r w:rsidR="00556836" w:rsidRPr="00965A0A">
        <w:t>am</w:t>
      </w:r>
      <w:r w:rsidR="00B42D20" w:rsidRPr="00965A0A">
        <w:rPr>
          <w:rStyle w:val="FootnoteReference"/>
        </w:rPr>
        <w:footnoteReference w:id="8"/>
      </w:r>
      <w:r w:rsidRPr="00965A0A">
        <w:t>, atkritumu apstrāde</w:t>
      </w:r>
      <w:r w:rsidR="00615EA6" w:rsidRPr="00965A0A">
        <w:t>i</w:t>
      </w:r>
      <w:r w:rsidRPr="00965A0A">
        <w:t xml:space="preserve"> un noteikumi</w:t>
      </w:r>
      <w:r w:rsidR="00615EA6" w:rsidRPr="00965A0A">
        <w:t>em</w:t>
      </w:r>
      <w:r w:rsidRPr="00965A0A">
        <w:t xml:space="preserve"> par</w:t>
      </w:r>
      <w:r w:rsidR="00556836" w:rsidRPr="00965A0A">
        <w:t xml:space="preserve"> </w:t>
      </w:r>
      <w:r w:rsidRPr="00965A0A">
        <w:t>atkritumu plūsmu sūtījumiem ir jāatspoguļo aprites ekonomikas vajadzības.</w:t>
      </w:r>
    </w:p>
    <w:p w14:paraId="75DB8CBA" w14:textId="43EB0F56" w:rsidR="00FB56A4" w:rsidRPr="00965A0A" w:rsidRDefault="00604003" w:rsidP="00965A0A">
      <w:pPr>
        <w:ind w:right="-2"/>
        <w:mirrorIndents/>
      </w:pPr>
      <w:r w:rsidRPr="00965A0A">
        <w:t xml:space="preserve"> </w:t>
      </w:r>
      <w:r w:rsidR="009F5D25" w:rsidRPr="00965A0A">
        <w:t>Digitālo p</w:t>
      </w:r>
      <w:r w:rsidRPr="00965A0A">
        <w:t>rasmju atšķirības, visticamāk, palielināsies zaļās un digitālās pārejas laikā, jo strauj</w:t>
      </w:r>
      <w:r w:rsidR="00556836" w:rsidRPr="00965A0A">
        <w:t xml:space="preserve">o </w:t>
      </w:r>
      <w:r w:rsidRPr="00965A0A">
        <w:t>tehnoloģiskās pārmaiņ</w:t>
      </w:r>
      <w:r w:rsidR="00556836" w:rsidRPr="00965A0A">
        <w:t xml:space="preserve">u </w:t>
      </w:r>
      <w:r w:rsidRPr="00965A0A">
        <w:t>dēļ darbaspēkam ir pastāvīgi jāpielāgojas.</w:t>
      </w:r>
    </w:p>
    <w:p w14:paraId="6B640F8D" w14:textId="33D9D047" w:rsidR="00C8110D" w:rsidRPr="00965A0A" w:rsidRDefault="00647B1F" w:rsidP="00965A0A">
      <w:pPr>
        <w:ind w:right="-2"/>
        <w:mirrorIndents/>
      </w:pPr>
      <w:r w:rsidRPr="00965A0A">
        <w:t xml:space="preserve">2021. </w:t>
      </w:r>
      <w:r w:rsidR="00556836" w:rsidRPr="00965A0A">
        <w:t xml:space="preserve">gada 14. jūlijā Komisija </w:t>
      </w:r>
      <w:r w:rsidR="006F0030" w:rsidRPr="00965A0A">
        <w:t xml:space="preserve">plāno </w:t>
      </w:r>
      <w:r w:rsidR="00556836" w:rsidRPr="00965A0A">
        <w:t>publicē</w:t>
      </w:r>
      <w:r w:rsidR="006F0030" w:rsidRPr="00965A0A">
        <w:t>t</w:t>
      </w:r>
      <w:r w:rsidR="00556836" w:rsidRPr="00965A0A">
        <w:t xml:space="preserve"> tiesību aktu priekšlikumu </w:t>
      </w:r>
      <w:proofErr w:type="spellStart"/>
      <w:r w:rsidR="00556836" w:rsidRPr="00965A0A">
        <w:t>pakotni</w:t>
      </w:r>
      <w:proofErr w:type="spellEnd"/>
      <w:r w:rsidR="00556836" w:rsidRPr="00965A0A">
        <w:t xml:space="preserve"> </w:t>
      </w:r>
      <w:proofErr w:type="spellStart"/>
      <w:r w:rsidR="00556836" w:rsidRPr="00965A0A">
        <w:rPr>
          <w:i/>
          <w:iCs/>
        </w:rPr>
        <w:t>Fit</w:t>
      </w:r>
      <w:proofErr w:type="spellEnd"/>
      <w:r w:rsidR="00556836" w:rsidRPr="00965A0A">
        <w:rPr>
          <w:i/>
          <w:iCs/>
        </w:rPr>
        <w:t xml:space="preserve"> </w:t>
      </w:r>
      <w:proofErr w:type="spellStart"/>
      <w:r w:rsidR="00556836" w:rsidRPr="00965A0A">
        <w:rPr>
          <w:i/>
          <w:iCs/>
        </w:rPr>
        <w:t>for</w:t>
      </w:r>
      <w:proofErr w:type="spellEnd"/>
      <w:r w:rsidR="00556836" w:rsidRPr="00965A0A">
        <w:rPr>
          <w:i/>
          <w:iCs/>
        </w:rPr>
        <w:t xml:space="preserve"> 55</w:t>
      </w:r>
      <w:r w:rsidR="00096DA8" w:rsidRPr="00965A0A">
        <w:t xml:space="preserve">. </w:t>
      </w:r>
      <w:proofErr w:type="spellStart"/>
      <w:r w:rsidR="00556836" w:rsidRPr="00965A0A">
        <w:t>Pakotne</w:t>
      </w:r>
      <w:r w:rsidR="00096DA8" w:rsidRPr="00965A0A">
        <w:t>s</w:t>
      </w:r>
      <w:proofErr w:type="spellEnd"/>
      <w:r w:rsidR="00096DA8" w:rsidRPr="00965A0A">
        <w:t xml:space="preserve"> mērķis </w:t>
      </w:r>
      <w:r w:rsidR="006F0030" w:rsidRPr="00965A0A">
        <w:t xml:space="preserve">būs </w:t>
      </w:r>
      <w:r w:rsidR="00096DA8" w:rsidRPr="00965A0A">
        <w:t xml:space="preserve">veicināt </w:t>
      </w:r>
      <w:r w:rsidR="00C8110D" w:rsidRPr="00965A0A">
        <w:t xml:space="preserve">efektīvu Eiropas </w:t>
      </w:r>
      <w:r w:rsidR="00E54DD1" w:rsidRPr="00965A0A">
        <w:t>z</w:t>
      </w:r>
      <w:r w:rsidR="00C8110D" w:rsidRPr="00965A0A">
        <w:t xml:space="preserve">aļā kursa regulējumu tā mērķu sasniegšanai, ņemot vērā nepieciešamību stiprināt globālo rīcību klimata jomā, lai sasniegtu vismaz 55% siltumnīcefekta gāzu emisiju samazināšanas mērķi līdz 2030. gadam </w:t>
      </w:r>
      <w:r w:rsidR="00E54DD1" w:rsidRPr="00965A0A">
        <w:t xml:space="preserve">salīdzinājumā ar 1990. gadu </w:t>
      </w:r>
      <w:r w:rsidR="00C8110D" w:rsidRPr="00965A0A">
        <w:t xml:space="preserve">un </w:t>
      </w:r>
      <w:proofErr w:type="spellStart"/>
      <w:r w:rsidR="00C8110D" w:rsidRPr="00965A0A">
        <w:t>klimaneitralitātes</w:t>
      </w:r>
      <w:proofErr w:type="spellEnd"/>
      <w:r w:rsidR="00C8110D" w:rsidRPr="00965A0A">
        <w:t xml:space="preserve"> sasniegšanu </w:t>
      </w:r>
      <w:r w:rsidR="00096DA8" w:rsidRPr="00965A0A">
        <w:t xml:space="preserve">ES </w:t>
      </w:r>
      <w:r w:rsidR="00C8110D" w:rsidRPr="00965A0A">
        <w:t xml:space="preserve">līdz 2050.gadam attiecībā pret 1990. gadu.  </w:t>
      </w:r>
    </w:p>
    <w:p w14:paraId="481CDD39" w14:textId="278B15FC" w:rsidR="00C8110D" w:rsidRPr="00965A0A" w:rsidRDefault="00CB1254" w:rsidP="00965A0A">
      <w:pPr>
        <w:ind w:right="-2"/>
        <w:mirrorIndents/>
        <w:rPr>
          <w:b/>
          <w:bCs/>
        </w:rPr>
      </w:pPr>
      <w:r w:rsidRPr="00965A0A">
        <w:rPr>
          <w:b/>
          <w:bCs/>
        </w:rPr>
        <w:t>Latvijas nostāja:</w:t>
      </w:r>
    </w:p>
    <w:p w14:paraId="19D2F6A1" w14:textId="080DB2E1" w:rsidR="00D61C75" w:rsidRPr="00965A0A" w:rsidRDefault="00D61C75" w:rsidP="00965A0A">
      <w:pPr>
        <w:ind w:right="-2"/>
        <w:mirrorIndents/>
        <w:rPr>
          <w:bCs/>
        </w:rPr>
      </w:pPr>
      <w:r w:rsidRPr="00965A0A">
        <w:rPr>
          <w:bCs/>
        </w:rPr>
        <w:t xml:space="preserve">Latvijas nostāja par aprites ekonomiku iekļauta Vides un </w:t>
      </w:r>
      <w:r w:rsidR="005B54CE" w:rsidRPr="00965A0A">
        <w:rPr>
          <w:bCs/>
        </w:rPr>
        <w:t>r</w:t>
      </w:r>
      <w:r w:rsidRPr="00965A0A">
        <w:rPr>
          <w:bCs/>
        </w:rPr>
        <w:t xml:space="preserve">eģionālās </w:t>
      </w:r>
      <w:r w:rsidR="005B54CE" w:rsidRPr="00965A0A">
        <w:rPr>
          <w:bCs/>
        </w:rPr>
        <w:t>a</w:t>
      </w:r>
      <w:r w:rsidRPr="00965A0A">
        <w:rPr>
          <w:bCs/>
        </w:rPr>
        <w:t xml:space="preserve">ttīstības ministrijas sagatavotajā pozīcijā Nr. 1 “Jauns aprites ekonomikas rīcības plāns. Par tīrāku un konkurētspējīgāku Eiropu”, kas apstiprināta 2020. gada 28. aprīļa Ministru kabineta sēdē.  </w:t>
      </w:r>
    </w:p>
    <w:p w14:paraId="7F39C17E" w14:textId="6D7D2C9D" w:rsidR="00D61C75" w:rsidRPr="00965A0A" w:rsidRDefault="00D61C75" w:rsidP="00965A0A">
      <w:pPr>
        <w:ind w:right="-2"/>
        <w:mirrorIndents/>
      </w:pPr>
      <w:r w:rsidRPr="00965A0A">
        <w:t xml:space="preserve">Latvijas nostāja par ES </w:t>
      </w:r>
      <w:r w:rsidR="00420C9C" w:rsidRPr="00965A0A">
        <w:t>r</w:t>
      </w:r>
      <w:r w:rsidRPr="00965A0A">
        <w:t xml:space="preserve">ūpniecības stratēģiju ir ietverta </w:t>
      </w:r>
      <w:r w:rsidR="00420C9C" w:rsidRPr="00965A0A">
        <w:t xml:space="preserve">Ekonomikas ministrijas sagatavotajā </w:t>
      </w:r>
      <w:r w:rsidRPr="00965A0A">
        <w:t>nacionālajā pozīcijā Nr.1 “Par Komisijas paziņojumu Eiropas Parlamentam, Padomei, Eiropas Ekonomikas un sociālo lietu komitejai un reģionu komitejai “Jauna rūpniecības stratēģija Eiropai””, k</w:t>
      </w:r>
      <w:r w:rsidR="00667776" w:rsidRPr="00965A0A">
        <w:t>as</w:t>
      </w:r>
      <w:r w:rsidRPr="00965A0A">
        <w:t xml:space="preserve"> </w:t>
      </w:r>
      <w:r w:rsidR="00667776" w:rsidRPr="00965A0A">
        <w:t xml:space="preserve">ir </w:t>
      </w:r>
      <w:r w:rsidRPr="00965A0A">
        <w:t>apstiprināta 2020.gada 11.augusta Ministru kabineta sēdē.</w:t>
      </w:r>
    </w:p>
    <w:p w14:paraId="5EDEBBFA" w14:textId="1492E627" w:rsidR="004C4DC9" w:rsidRPr="00965A0A" w:rsidRDefault="004C4DC9" w:rsidP="00965A0A">
      <w:pPr>
        <w:keepNext/>
        <w:keepLines/>
        <w:ind w:right="-2"/>
        <w:mirrorIndents/>
        <w:rPr>
          <w:b/>
          <w:i/>
          <w:iCs/>
        </w:rPr>
      </w:pPr>
      <w:r w:rsidRPr="00965A0A">
        <w:rPr>
          <w:b/>
          <w:i/>
          <w:iCs/>
        </w:rPr>
        <w:t>Diskusij</w:t>
      </w:r>
      <w:r w:rsidR="00670525" w:rsidRPr="00965A0A">
        <w:rPr>
          <w:b/>
          <w:i/>
          <w:iCs/>
        </w:rPr>
        <w:t>as</w:t>
      </w:r>
      <w:r w:rsidRPr="00965A0A">
        <w:rPr>
          <w:b/>
          <w:i/>
          <w:iCs/>
        </w:rPr>
        <w:t xml:space="preserve"> jautājumi</w:t>
      </w:r>
      <w:r w:rsidR="00670525" w:rsidRPr="00965A0A">
        <w:rPr>
          <w:b/>
          <w:i/>
          <w:iCs/>
        </w:rPr>
        <w:t>:</w:t>
      </w:r>
    </w:p>
    <w:p w14:paraId="3A2DADF0" w14:textId="0EE12E65" w:rsidR="000C7C06" w:rsidRPr="00965A0A" w:rsidRDefault="00670525" w:rsidP="00965A0A">
      <w:pPr>
        <w:keepNext/>
        <w:keepLines/>
        <w:ind w:right="-2"/>
        <w:mirrorIndents/>
        <w:rPr>
          <w:bCs/>
          <w:i/>
          <w:iCs/>
        </w:rPr>
      </w:pPr>
      <w:r w:rsidRPr="00965A0A">
        <w:rPr>
          <w:bCs/>
          <w:i/>
          <w:iCs/>
        </w:rPr>
        <w:t xml:space="preserve">1. </w:t>
      </w:r>
      <w:r w:rsidR="000C7C06" w:rsidRPr="00965A0A">
        <w:rPr>
          <w:bCs/>
          <w:i/>
          <w:iCs/>
        </w:rPr>
        <w:t xml:space="preserve">Kuras trīs darbības ES un/vai valstu līmenī jūs uzskatāt par vissvarīgākajām, lai veidotu </w:t>
      </w:r>
      <w:r w:rsidR="00B75965" w:rsidRPr="00965A0A">
        <w:rPr>
          <w:bCs/>
          <w:i/>
          <w:iCs/>
        </w:rPr>
        <w:t xml:space="preserve">uz </w:t>
      </w:r>
      <w:r w:rsidR="000C7C06" w:rsidRPr="00965A0A">
        <w:rPr>
          <w:bCs/>
          <w:i/>
          <w:iCs/>
        </w:rPr>
        <w:t>aprites</w:t>
      </w:r>
      <w:r w:rsidR="00B75965" w:rsidRPr="00965A0A">
        <w:rPr>
          <w:bCs/>
          <w:i/>
          <w:iCs/>
        </w:rPr>
        <w:t xml:space="preserve"> ekonomikas principiem balstītu</w:t>
      </w:r>
      <w:r w:rsidR="000C7C06" w:rsidRPr="00965A0A">
        <w:rPr>
          <w:bCs/>
          <w:i/>
          <w:iCs/>
        </w:rPr>
        <w:t xml:space="preserve">, radošu un gudru nākotni ES </w:t>
      </w:r>
      <w:r w:rsidR="003A47F8" w:rsidRPr="00965A0A">
        <w:rPr>
          <w:bCs/>
          <w:i/>
          <w:iCs/>
        </w:rPr>
        <w:t>vieglajai rūpniecībai</w:t>
      </w:r>
      <w:r w:rsidR="000C7C06" w:rsidRPr="00965A0A">
        <w:rPr>
          <w:bCs/>
          <w:i/>
          <w:iCs/>
        </w:rPr>
        <w:t>, no vienas puses, un ES energoietilpīgai rūpniecībai, no otras puses?</w:t>
      </w:r>
    </w:p>
    <w:p w14:paraId="5443D859" w14:textId="1D1B0007" w:rsidR="00B75965" w:rsidRPr="00965A0A" w:rsidRDefault="00AB51E7" w:rsidP="00965A0A">
      <w:pPr>
        <w:keepNext/>
        <w:keepLines/>
        <w:ind w:right="-2"/>
        <w:mirrorIndents/>
        <w:rPr>
          <w:bCs/>
        </w:rPr>
      </w:pPr>
      <w:r w:rsidRPr="00965A0A">
        <w:rPr>
          <w:bCs/>
        </w:rPr>
        <w:t xml:space="preserve">Aprites ekonomikas rīcības plāns un iniciatīvas </w:t>
      </w:r>
      <w:proofErr w:type="spellStart"/>
      <w:r w:rsidRPr="00965A0A">
        <w:rPr>
          <w:bCs/>
        </w:rPr>
        <w:t>Ekodizaina</w:t>
      </w:r>
      <w:proofErr w:type="spellEnd"/>
      <w:r w:rsidRPr="00965A0A">
        <w:rPr>
          <w:bCs/>
        </w:rPr>
        <w:t xml:space="preserve"> direktīvas uzlabošanai ir ES līmeņa darbības, kam ir būtiska ietekme gan attiecībā uz </w:t>
      </w:r>
      <w:r w:rsidR="00142F91" w:rsidRPr="00965A0A">
        <w:rPr>
          <w:bCs/>
        </w:rPr>
        <w:t>vieglo rūpniecību</w:t>
      </w:r>
      <w:r w:rsidRPr="00965A0A">
        <w:rPr>
          <w:bCs/>
        </w:rPr>
        <w:t xml:space="preserve">, gan arī energoietilpīgām nozarēm. Abas šīs darbības ietver aspektus, kas paredzēti, lai uzlabotu turpmāko industrializācijas attīstību ES, vienlaikus ņemot vērā ilgtspējības principus. Tiek ņemta vērā ietekme uz izmantoto izejvielu daudzumu, pārstrādi, kā arī atjaunojamo enerģiju, kas padara produktus videi draudzīgākus visā to dzīves ciklā, tādējādi padarot pārstrādes un remonta iespējas pieejamākas patērētājiem. </w:t>
      </w:r>
    </w:p>
    <w:p w14:paraId="1D32D595" w14:textId="5CDF9F29" w:rsidR="00142F91" w:rsidRPr="00965A0A" w:rsidRDefault="00096DA8" w:rsidP="00965A0A">
      <w:pPr>
        <w:pBdr>
          <w:top w:val="nil"/>
          <w:left w:val="nil"/>
          <w:bottom w:val="nil"/>
          <w:right w:val="nil"/>
          <w:between w:val="nil"/>
          <w:bar w:val="nil"/>
        </w:pBdr>
        <w:ind w:right="-2"/>
        <w:mirrorIndents/>
      </w:pPr>
      <w:r w:rsidRPr="00965A0A">
        <w:t xml:space="preserve">ES </w:t>
      </w:r>
      <w:r w:rsidR="003A47F8" w:rsidRPr="00965A0A">
        <w:t>vieglās rūpniecības</w:t>
      </w:r>
      <w:r w:rsidRPr="00965A0A">
        <w:t xml:space="preserve"> ekosistēma ir integrēta globālajās vērtīb</w:t>
      </w:r>
      <w:r w:rsidR="00E54DD1" w:rsidRPr="00965A0A">
        <w:t>u</w:t>
      </w:r>
      <w:r w:rsidRPr="00965A0A">
        <w:t xml:space="preserve"> ķēdēs un ir atkarīga no eksporta tirgiem, tajā pat laikā tā saskaras ar spēcīgu starptautisku konkurenci. </w:t>
      </w:r>
      <w:r w:rsidR="00A771A2" w:rsidRPr="00965A0A">
        <w:t xml:space="preserve">Kā </w:t>
      </w:r>
      <w:r w:rsidR="00A962FA" w:rsidRPr="00965A0A">
        <w:t>līderim</w:t>
      </w:r>
      <w:r w:rsidR="00A771A2" w:rsidRPr="00965A0A">
        <w:t xml:space="preserve"> aprites ekonomikas principu īstenošanā, ES</w:t>
      </w:r>
      <w:r w:rsidRPr="00965A0A">
        <w:t xml:space="preserve"> </w:t>
      </w:r>
      <w:r w:rsidR="00A962FA" w:rsidRPr="00965A0A">
        <w:t xml:space="preserve">ir iespēja dominēt ilgtspējīgas un inovatīvas </w:t>
      </w:r>
      <w:r w:rsidR="003A47F8" w:rsidRPr="00965A0A">
        <w:t>vieglās rūpniecības</w:t>
      </w:r>
      <w:r w:rsidR="00A962FA" w:rsidRPr="00965A0A">
        <w:t xml:space="preserve"> tirg</w:t>
      </w:r>
      <w:r w:rsidR="00E54DD1" w:rsidRPr="00965A0A">
        <w:t>ū</w:t>
      </w:r>
      <w:r w:rsidR="00A962FA" w:rsidRPr="00965A0A">
        <w:t xml:space="preserve">, tāpēc </w:t>
      </w:r>
      <w:r w:rsidRPr="00965A0A">
        <w:rPr>
          <w:bCs/>
        </w:rPr>
        <w:t>valsts un Eiropas līmenī svarīgi ir atbalstīt alternatīvo tekstila materiālu pētniecību un attīstību.</w:t>
      </w:r>
      <w:r w:rsidR="00965A0A" w:rsidRPr="00965A0A">
        <w:rPr>
          <w:bCs/>
        </w:rPr>
        <w:t xml:space="preserve"> </w:t>
      </w:r>
      <w:r w:rsidRPr="00965A0A">
        <w:rPr>
          <w:bCs/>
        </w:rPr>
        <w:t>Lai arī to ražošanas izmaksas ir augstākas nekā tradicionālajiem tekstilmateriāliem, kas ražoti trešajās valstīs, šādi materiāli ir konkurētspējīgi to ilgtspējības un unikālo īpašību dēļ.</w:t>
      </w:r>
      <w:r w:rsidR="009F5D25" w:rsidRPr="00965A0A">
        <w:rPr>
          <w:bCs/>
        </w:rPr>
        <w:t xml:space="preserve"> </w:t>
      </w:r>
    </w:p>
    <w:p w14:paraId="00D53CFD" w14:textId="741527EA" w:rsidR="00B42D20" w:rsidRPr="00965A0A" w:rsidRDefault="00A962FA" w:rsidP="00965A0A">
      <w:pPr>
        <w:pBdr>
          <w:top w:val="nil"/>
          <w:left w:val="nil"/>
          <w:bottom w:val="nil"/>
          <w:right w:val="nil"/>
          <w:between w:val="nil"/>
          <w:bar w:val="nil"/>
        </w:pBdr>
        <w:ind w:right="-2"/>
        <w:mirrorIndents/>
      </w:pPr>
      <w:r w:rsidRPr="00965A0A">
        <w:rPr>
          <w:bCs/>
        </w:rPr>
        <w:t xml:space="preserve">Šajā ziņā Latvijā dibināti vairāki uz ilgtspējību vērsti inovatīvi uzņēmumi, </w:t>
      </w:r>
      <w:r w:rsidR="009F5D25" w:rsidRPr="00965A0A">
        <w:rPr>
          <w:bCs/>
        </w:rPr>
        <w:t>kas izmanto netradicionālas izejvielas tekstilmateriālu ražošanā, piemēram</w:t>
      </w:r>
      <w:r w:rsidR="00965A0A" w:rsidRPr="00965A0A">
        <w:rPr>
          <w:bCs/>
        </w:rPr>
        <w:t>,</w:t>
      </w:r>
      <w:r w:rsidR="009F5D25" w:rsidRPr="00965A0A">
        <w:rPr>
          <w:bCs/>
        </w:rPr>
        <w:t xml:space="preserve"> </w:t>
      </w:r>
      <w:proofErr w:type="spellStart"/>
      <w:r w:rsidR="00924EF2" w:rsidRPr="00965A0A">
        <w:rPr>
          <w:bCs/>
          <w:i/>
          <w:iCs/>
        </w:rPr>
        <w:t>Tooche</w:t>
      </w:r>
      <w:proofErr w:type="spellEnd"/>
      <w:r w:rsidR="009F5D25" w:rsidRPr="00965A0A">
        <w:rPr>
          <w:bCs/>
          <w:i/>
          <w:iCs/>
        </w:rPr>
        <w:t xml:space="preserve"> </w:t>
      </w:r>
      <w:r w:rsidR="009F5D25" w:rsidRPr="00965A0A">
        <w:rPr>
          <w:bCs/>
        </w:rPr>
        <w:t>(a</w:t>
      </w:r>
      <w:r w:rsidR="00924EF2" w:rsidRPr="00965A0A">
        <w:rPr>
          <w:bCs/>
        </w:rPr>
        <w:t xml:space="preserve">nanāsu </w:t>
      </w:r>
      <w:r w:rsidR="00E54DD1" w:rsidRPr="00965A0A">
        <w:rPr>
          <w:bCs/>
        </w:rPr>
        <w:t>lapu š</w:t>
      </w:r>
      <w:r w:rsidR="00C80501" w:rsidRPr="00965A0A">
        <w:rPr>
          <w:bCs/>
        </w:rPr>
        <w:t>ķ</w:t>
      </w:r>
      <w:r w:rsidR="00E54DD1" w:rsidRPr="00965A0A">
        <w:rPr>
          <w:bCs/>
        </w:rPr>
        <w:t>iedras</w:t>
      </w:r>
      <w:r w:rsidR="009F5D25" w:rsidRPr="00965A0A">
        <w:rPr>
          <w:bCs/>
        </w:rPr>
        <w:t>)</w:t>
      </w:r>
      <w:r w:rsidR="00924EF2" w:rsidRPr="00965A0A">
        <w:rPr>
          <w:bCs/>
        </w:rPr>
        <w:t xml:space="preserve">, </w:t>
      </w:r>
      <w:proofErr w:type="spellStart"/>
      <w:r w:rsidRPr="00965A0A">
        <w:rPr>
          <w:bCs/>
          <w:i/>
          <w:iCs/>
        </w:rPr>
        <w:t>Batw</w:t>
      </w:r>
      <w:r w:rsidR="00924EF2" w:rsidRPr="00965A0A">
        <w:rPr>
          <w:bCs/>
          <w:i/>
          <w:iCs/>
        </w:rPr>
        <w:t>ate</w:t>
      </w:r>
      <w:r w:rsidRPr="00965A0A">
        <w:rPr>
          <w:bCs/>
          <w:i/>
          <w:iCs/>
        </w:rPr>
        <w:t>x</w:t>
      </w:r>
      <w:proofErr w:type="spellEnd"/>
      <w:r w:rsidR="009F5D25" w:rsidRPr="00965A0A">
        <w:rPr>
          <w:bCs/>
        </w:rPr>
        <w:t xml:space="preserve"> (kartupeļu </w:t>
      </w:r>
      <w:r w:rsidR="00924EF2" w:rsidRPr="00965A0A">
        <w:rPr>
          <w:bCs/>
        </w:rPr>
        <w:t>lapas un kaņepju šķiedras</w:t>
      </w:r>
      <w:r w:rsidR="009F5D25" w:rsidRPr="00965A0A">
        <w:rPr>
          <w:bCs/>
        </w:rPr>
        <w:t xml:space="preserve">), </w:t>
      </w:r>
      <w:r w:rsidR="00A82C96" w:rsidRPr="00965A0A">
        <w:rPr>
          <w:bCs/>
        </w:rPr>
        <w:t xml:space="preserve"> </w:t>
      </w:r>
      <w:proofErr w:type="spellStart"/>
      <w:r w:rsidR="009F5D25" w:rsidRPr="00965A0A">
        <w:rPr>
          <w:bCs/>
          <w:i/>
          <w:iCs/>
        </w:rPr>
        <w:t>Amberline</w:t>
      </w:r>
      <w:proofErr w:type="spellEnd"/>
      <w:r w:rsidR="009F5D25" w:rsidRPr="00965A0A">
        <w:rPr>
          <w:bCs/>
          <w:i/>
          <w:iCs/>
        </w:rPr>
        <w:t xml:space="preserve"> </w:t>
      </w:r>
      <w:r w:rsidR="009F5D25" w:rsidRPr="00965A0A">
        <w:rPr>
          <w:bCs/>
        </w:rPr>
        <w:t xml:space="preserve">(dzintars),  </w:t>
      </w:r>
      <w:proofErr w:type="spellStart"/>
      <w:r w:rsidR="009F5D25" w:rsidRPr="00965A0A">
        <w:rPr>
          <w:bCs/>
          <w:i/>
          <w:iCs/>
        </w:rPr>
        <w:t>Forest</w:t>
      </w:r>
      <w:proofErr w:type="spellEnd"/>
      <w:r w:rsidR="009F5D25" w:rsidRPr="00965A0A">
        <w:rPr>
          <w:bCs/>
          <w:i/>
          <w:iCs/>
        </w:rPr>
        <w:t xml:space="preserve"> </w:t>
      </w:r>
      <w:proofErr w:type="spellStart"/>
      <w:r w:rsidR="009F5D25" w:rsidRPr="00965A0A">
        <w:rPr>
          <w:bCs/>
          <w:i/>
          <w:iCs/>
        </w:rPr>
        <w:t>Wool</w:t>
      </w:r>
      <w:proofErr w:type="spellEnd"/>
      <w:r w:rsidR="009F5D25" w:rsidRPr="00965A0A">
        <w:rPr>
          <w:bCs/>
        </w:rPr>
        <w:t xml:space="preserve"> (priežu meža rūpniecības ražošanas atkritumi). Šādu inovāciju un uzņēmumu attīstībā svarīgu lomu spēlē LIAA inkubatoros sniegtais praktiskais un finansiālais atbalsts</w:t>
      </w:r>
      <w:r w:rsidR="00965A0A" w:rsidRPr="00965A0A">
        <w:rPr>
          <w:bCs/>
        </w:rPr>
        <w:t>, kā arī universitātes kā pētījumu centri.</w:t>
      </w:r>
    </w:p>
    <w:p w14:paraId="6DC8CD4D" w14:textId="7568ED26" w:rsidR="00B42D20" w:rsidRPr="00965A0A" w:rsidRDefault="00C80501" w:rsidP="00965A0A">
      <w:pPr>
        <w:pBdr>
          <w:top w:val="nil"/>
          <w:left w:val="nil"/>
          <w:bottom w:val="nil"/>
          <w:right w:val="nil"/>
          <w:between w:val="nil"/>
          <w:bar w:val="nil"/>
        </w:pBdr>
        <w:ind w:right="-2"/>
        <w:mirrorIndents/>
        <w:rPr>
          <w:bCs/>
        </w:rPr>
      </w:pPr>
      <w:r w:rsidRPr="00965A0A">
        <w:rPr>
          <w:bCs/>
        </w:rPr>
        <w:lastRenderedPageBreak/>
        <w:t xml:space="preserve">Lai īstenotu klimata ambīcijas, jāpielāgojas būs visām nozarēm. Ražošanas uzņēmumiem un, jo īpaši energoietilpīgiem uzņēmumiem, tas nozīmēs procesu un energoresursu izmantošanas </w:t>
      </w:r>
      <w:proofErr w:type="spellStart"/>
      <w:r w:rsidRPr="00965A0A">
        <w:rPr>
          <w:bCs/>
        </w:rPr>
        <w:t>efektivizēšanu</w:t>
      </w:r>
      <w:proofErr w:type="spellEnd"/>
      <w:r w:rsidRPr="00965A0A">
        <w:rPr>
          <w:bCs/>
        </w:rPr>
        <w:t>, tostarp viedo risinājumu ieviešanu. Šajā kontekstā Latvijā novērtē ES iesaisti finansējuma nodrošināšanā uzņēmumu energoefektivitātes veicināšanai, ko Latvija izmantos minēto mērķu īstenošanai. Tajā pašā laikā uzņēmumu konkurētspēju ietekmēs valstu īstenotie pasākumi pašā enerģētikas sektorā klimata mērķu sasniegšanai un enerģētiskās drošības stiprināšanai. Šeit būtiska nozīme būs valsts atbalsta nosacījumiem vides un enerģētikas jomā, ko šobrīd pārskata</w:t>
      </w:r>
      <w:r w:rsidR="00965A0A" w:rsidRPr="00965A0A">
        <w:rPr>
          <w:bCs/>
        </w:rPr>
        <w:t xml:space="preserve"> DG COMP</w:t>
      </w:r>
      <w:r w:rsidRPr="00965A0A">
        <w:rPr>
          <w:rStyle w:val="FootnoteReference"/>
          <w:bCs/>
        </w:rPr>
        <w:footnoteReference w:id="9"/>
      </w:r>
      <w:r w:rsidRPr="00965A0A">
        <w:rPr>
          <w:bCs/>
        </w:rPr>
        <w:t xml:space="preserve">. Elastīgi nosacījumi atbalsta pieejamībā pasākumu īstenošanai ļautu gan straujāk virzīties uz enerģētikas un klimata mērķu sasniegšanu, gan nodrošinātu uzņēmumu konkurētspēju un oglekļa novirzes riska mazināšanu.  </w:t>
      </w:r>
    </w:p>
    <w:p w14:paraId="38C50CD3" w14:textId="555EAFF5" w:rsidR="00B42D20" w:rsidRPr="00965A0A" w:rsidRDefault="006F6E41" w:rsidP="00965A0A">
      <w:pPr>
        <w:pBdr>
          <w:top w:val="nil"/>
          <w:left w:val="nil"/>
          <w:bottom w:val="nil"/>
          <w:right w:val="nil"/>
          <w:between w:val="nil"/>
          <w:bar w:val="nil"/>
        </w:pBdr>
        <w:ind w:right="-2"/>
        <w:mirrorIndents/>
        <w:rPr>
          <w:bCs/>
        </w:rPr>
      </w:pPr>
      <w:r w:rsidRPr="00965A0A">
        <w:rPr>
          <w:bCs/>
        </w:rPr>
        <w:t xml:space="preserve">Vienlaikus </w:t>
      </w:r>
      <w:r w:rsidRPr="00965A0A">
        <w:t xml:space="preserve">tekstilrūpniecības attīstībā </w:t>
      </w:r>
      <w:r w:rsidRPr="00965A0A">
        <w:rPr>
          <w:bCs/>
        </w:rPr>
        <w:t xml:space="preserve">mūsdienīgās komponentes </w:t>
      </w:r>
      <w:r w:rsidRPr="00965A0A">
        <w:t xml:space="preserve">ir būtiski iekļaut arī izglītības programmu saturā, ieskaitot gan augstāko izglītību, gan profesionālo, t.sk. jauniešu un pieaugušo, sekmīgai darbaspēka izglītošanai un/vai </w:t>
      </w:r>
      <w:proofErr w:type="spellStart"/>
      <w:r w:rsidRPr="00965A0A">
        <w:t>pārkvalifikācijai</w:t>
      </w:r>
      <w:proofErr w:type="spellEnd"/>
      <w:r w:rsidRPr="00965A0A">
        <w:t>, īpaši ņemot vērā to, ka Latvijā šī nozare saglabājas kā viena no perspektīvākajām</w:t>
      </w:r>
      <w:r w:rsidR="00AF103D" w:rsidRPr="00965A0A">
        <w:t xml:space="preserve"> - </w:t>
      </w:r>
      <w:r w:rsidRPr="00965A0A">
        <w:t xml:space="preserve">kā lielākajās pilsētās, tā reģionos. Piemēram, šuvēja profesija </w:t>
      </w:r>
      <w:r w:rsidR="00B06511" w:rsidRPr="00965A0A">
        <w:t xml:space="preserve">atbilstoši darba tirgus pieprasījumam </w:t>
      </w:r>
      <w:r w:rsidRPr="00965A0A">
        <w:t xml:space="preserve">ir iekļauta Nodarbinātības valsts aģentūras tālākizglītības mācību sarakstā un ir Top5 pieprasītākā </w:t>
      </w:r>
      <w:proofErr w:type="spellStart"/>
      <w:r w:rsidRPr="00965A0A">
        <w:t>pārkvalifikācijā</w:t>
      </w:r>
      <w:proofErr w:type="spellEnd"/>
      <w:r w:rsidRPr="00965A0A">
        <w:t xml:space="preserve">. Vēl pirms pandēmijas, proti, 2019.gadā šuvēja mācības pabeidza 277 bezdarbnieki, darbā iekārtojoties 40%. Tāpat šī profesija ir pieprasīta mācībās uzņēmumos uz vietas, ko NVA ar ESF atbalstu nodrošina speciālā pasākumā “Apmācība pie darba devēja”, kura </w:t>
      </w:r>
      <w:r w:rsidRPr="00965A0A">
        <w:rPr>
          <w:color w:val="000000" w:themeColor="text1"/>
        </w:rPr>
        <w:t>mērķis ir darba devējam vajadzīgā darbinieka praktiskā sagatavošana, NVA darba devējam nodrošinot dotāciju ikmēneša darba algai bezdarbniekam (2020.gadā 18 bezdarbnieki tika apmācīti uzņēmumos uz vietas).</w:t>
      </w:r>
    </w:p>
    <w:p w14:paraId="7387B472" w14:textId="77777777" w:rsidR="00B42D20" w:rsidRPr="00965A0A" w:rsidRDefault="00670525" w:rsidP="00965A0A">
      <w:pPr>
        <w:pBdr>
          <w:top w:val="nil"/>
          <w:left w:val="nil"/>
          <w:bottom w:val="nil"/>
          <w:right w:val="nil"/>
          <w:between w:val="nil"/>
          <w:bar w:val="nil"/>
        </w:pBdr>
        <w:ind w:right="-2"/>
        <w:mirrorIndents/>
        <w:rPr>
          <w:bCs/>
        </w:rPr>
      </w:pPr>
      <w:r w:rsidRPr="00965A0A">
        <w:rPr>
          <w:bCs/>
          <w:i/>
          <w:iCs/>
        </w:rPr>
        <w:t xml:space="preserve">2. </w:t>
      </w:r>
      <w:r w:rsidR="000C7C06" w:rsidRPr="00965A0A">
        <w:rPr>
          <w:bCs/>
          <w:i/>
          <w:iCs/>
        </w:rPr>
        <w:t>Kādi konkrēti pasākumi ir nepieciešami, lai stiprinātu noturību šajās piegādes ķēdēs, lai saglabātu (vai atjaunotu) ražošanu un palīdzētu ES uzņēmumiem, jo īpaši MVU, pārveidot savus uzņēmumus un būt globālāk konkurētspējīgiem?</w:t>
      </w:r>
    </w:p>
    <w:p w14:paraId="3608AC55" w14:textId="4F76B630" w:rsidR="00B75965" w:rsidRPr="00965A0A" w:rsidRDefault="007A50DF" w:rsidP="00965A0A">
      <w:pPr>
        <w:pBdr>
          <w:top w:val="nil"/>
          <w:left w:val="nil"/>
          <w:bottom w:val="nil"/>
          <w:right w:val="nil"/>
          <w:between w:val="nil"/>
          <w:bar w:val="nil"/>
        </w:pBdr>
        <w:ind w:right="-2"/>
        <w:mirrorIndents/>
        <w:rPr>
          <w:bCs/>
        </w:rPr>
      </w:pPr>
      <w:r w:rsidRPr="00965A0A">
        <w:rPr>
          <w:bCs/>
        </w:rPr>
        <w:t>Latvijas skatījumā</w:t>
      </w:r>
      <w:r w:rsidR="00A82C96" w:rsidRPr="00965A0A">
        <w:rPr>
          <w:bCs/>
        </w:rPr>
        <w:t>,</w:t>
      </w:r>
      <w:r w:rsidR="00B75965" w:rsidRPr="00965A0A">
        <w:rPr>
          <w:bCs/>
        </w:rPr>
        <w:t xml:space="preserve"> ES līmenī būtu jāveicina pieprasījuma radīšana arī vietējā </w:t>
      </w:r>
      <w:r w:rsidR="00501350" w:rsidRPr="00965A0A">
        <w:rPr>
          <w:bCs/>
        </w:rPr>
        <w:t>un reģionālā līmenī</w:t>
      </w:r>
      <w:r w:rsidR="00DF275C" w:rsidRPr="00965A0A">
        <w:rPr>
          <w:bCs/>
        </w:rPr>
        <w:t>,</w:t>
      </w:r>
      <w:r w:rsidR="00B75965" w:rsidRPr="00965A0A">
        <w:rPr>
          <w:bCs/>
        </w:rPr>
        <w:t xml:space="preserve"> </w:t>
      </w:r>
      <w:r w:rsidR="00DF275C" w:rsidRPr="00965A0A">
        <w:rPr>
          <w:bCs/>
        </w:rPr>
        <w:t>balstoties uz aprites ekonomikas principiem</w:t>
      </w:r>
      <w:r w:rsidR="00B75965" w:rsidRPr="00965A0A">
        <w:rPr>
          <w:bCs/>
        </w:rPr>
        <w:t xml:space="preserve">. </w:t>
      </w:r>
      <w:r w:rsidR="00DF275C" w:rsidRPr="00965A0A">
        <w:rPr>
          <w:bCs/>
        </w:rPr>
        <w:t xml:space="preserve">Šobrīd </w:t>
      </w:r>
      <w:r w:rsidR="00B75965" w:rsidRPr="00965A0A">
        <w:rPr>
          <w:bCs/>
        </w:rPr>
        <w:t>Latvijas eksportētāji rūpējas par pieprasījumu</w:t>
      </w:r>
      <w:r w:rsidR="00DF275C" w:rsidRPr="00965A0A">
        <w:rPr>
          <w:bCs/>
        </w:rPr>
        <w:t xml:space="preserve"> citās</w:t>
      </w:r>
      <w:r w:rsidR="00B75965" w:rsidRPr="00965A0A">
        <w:rPr>
          <w:bCs/>
        </w:rPr>
        <w:t xml:space="preserve"> Eiropas valstīs pēc šādiem risinājumiem.</w:t>
      </w:r>
      <w:r w:rsidR="00DF275C" w:rsidRPr="00965A0A">
        <w:rPr>
          <w:bCs/>
        </w:rPr>
        <w:t xml:space="preserve"> No r</w:t>
      </w:r>
      <w:r w:rsidR="00B75965" w:rsidRPr="00965A0A">
        <w:rPr>
          <w:bCs/>
        </w:rPr>
        <w:t xml:space="preserve">ažošanas </w:t>
      </w:r>
      <w:r w:rsidR="00DF275C" w:rsidRPr="00965A0A">
        <w:rPr>
          <w:bCs/>
        </w:rPr>
        <w:t>viedokļa,</w:t>
      </w:r>
      <w:r w:rsidR="00B75965" w:rsidRPr="00965A0A">
        <w:rPr>
          <w:bCs/>
        </w:rPr>
        <w:t xml:space="preserve"> </w:t>
      </w:r>
      <w:r w:rsidR="00E54DD1" w:rsidRPr="00965A0A">
        <w:rPr>
          <w:bCs/>
        </w:rPr>
        <w:t>“</w:t>
      </w:r>
      <w:r w:rsidR="00B75965" w:rsidRPr="00965A0A">
        <w:rPr>
          <w:bCs/>
        </w:rPr>
        <w:t>pudeles kakls</w:t>
      </w:r>
      <w:r w:rsidR="00E54DD1" w:rsidRPr="00965A0A">
        <w:rPr>
          <w:bCs/>
        </w:rPr>
        <w:t>”</w:t>
      </w:r>
      <w:r w:rsidR="00B75965" w:rsidRPr="00965A0A">
        <w:rPr>
          <w:bCs/>
        </w:rPr>
        <w:t xml:space="preserve"> ir </w:t>
      </w:r>
      <w:r w:rsidR="00DF275C" w:rsidRPr="00965A0A">
        <w:rPr>
          <w:bCs/>
        </w:rPr>
        <w:t xml:space="preserve">lokāli ražoto materiālu trūkums. Savukārt Latvijas pozitīvie </w:t>
      </w:r>
      <w:r w:rsidR="00B75965" w:rsidRPr="00965A0A">
        <w:rPr>
          <w:bCs/>
        </w:rPr>
        <w:t>piemēri ir balstīti uz individuāliem centieniem, nevis sistēmisku pieeju valsts līmenī</w:t>
      </w:r>
      <w:r w:rsidR="00DF275C" w:rsidRPr="00965A0A">
        <w:rPr>
          <w:bCs/>
        </w:rPr>
        <w:t>.</w:t>
      </w:r>
      <w:r w:rsidR="005B54CE" w:rsidRPr="00965A0A">
        <w:rPr>
          <w:bCs/>
        </w:rPr>
        <w:t xml:space="preserve"> </w:t>
      </w:r>
      <w:r w:rsidR="00B75965" w:rsidRPr="00965A0A">
        <w:rPr>
          <w:bCs/>
        </w:rPr>
        <w:t xml:space="preserve">MVU </w:t>
      </w:r>
      <w:r w:rsidR="00DF275C" w:rsidRPr="00965A0A">
        <w:rPr>
          <w:bCs/>
        </w:rPr>
        <w:t>attīstību veicinās</w:t>
      </w:r>
      <w:r w:rsidR="00B75965" w:rsidRPr="00965A0A">
        <w:rPr>
          <w:bCs/>
        </w:rPr>
        <w:t xml:space="preserve"> izaugsmes finansējuma</w:t>
      </w:r>
      <w:r w:rsidR="00DF275C" w:rsidRPr="00965A0A">
        <w:rPr>
          <w:bCs/>
        </w:rPr>
        <w:t xml:space="preserve"> pieejamība</w:t>
      </w:r>
      <w:r w:rsidR="00B75965" w:rsidRPr="00965A0A">
        <w:rPr>
          <w:bCs/>
        </w:rPr>
        <w:t>, kas paredzēt</w:t>
      </w:r>
      <w:r w:rsidR="00DF275C" w:rsidRPr="00965A0A">
        <w:rPr>
          <w:bCs/>
        </w:rPr>
        <w:t xml:space="preserve">a </w:t>
      </w:r>
      <w:r w:rsidR="00B75965" w:rsidRPr="00965A0A">
        <w:rPr>
          <w:bCs/>
        </w:rPr>
        <w:t xml:space="preserve">aprites </w:t>
      </w:r>
      <w:r w:rsidR="00DF275C" w:rsidRPr="00965A0A">
        <w:rPr>
          <w:bCs/>
        </w:rPr>
        <w:t xml:space="preserve">ekonomikas veicināšanai </w:t>
      </w:r>
      <w:r w:rsidR="00B75965" w:rsidRPr="00965A0A">
        <w:rPr>
          <w:bCs/>
        </w:rPr>
        <w:t xml:space="preserve">un viedākai </w:t>
      </w:r>
      <w:r w:rsidR="003A47F8" w:rsidRPr="00965A0A">
        <w:rPr>
          <w:bCs/>
        </w:rPr>
        <w:t>vieglajai rūpniecībai</w:t>
      </w:r>
      <w:r w:rsidR="00B75965" w:rsidRPr="00965A0A">
        <w:rPr>
          <w:bCs/>
        </w:rPr>
        <w:t>. Tomēr</w:t>
      </w:r>
      <w:r w:rsidR="00E54DD1" w:rsidRPr="00965A0A">
        <w:rPr>
          <w:bCs/>
        </w:rPr>
        <w:t>,</w:t>
      </w:r>
      <w:r w:rsidR="00B75965" w:rsidRPr="00965A0A">
        <w:rPr>
          <w:bCs/>
        </w:rPr>
        <w:t xml:space="preserve"> galvenais ir </w:t>
      </w:r>
      <w:r w:rsidR="00DF275C" w:rsidRPr="00965A0A">
        <w:rPr>
          <w:bCs/>
        </w:rPr>
        <w:t>materiālu</w:t>
      </w:r>
      <w:r w:rsidR="00B75965" w:rsidRPr="00965A0A">
        <w:rPr>
          <w:bCs/>
        </w:rPr>
        <w:t xml:space="preserve"> pieejamība vietējā mērogā.</w:t>
      </w:r>
    </w:p>
    <w:p w14:paraId="3C4FEA94" w14:textId="50BBF626" w:rsidR="00402471" w:rsidRPr="00965A0A" w:rsidRDefault="00BF2C42" w:rsidP="00965A0A">
      <w:pPr>
        <w:mirrorIndents/>
        <w:rPr>
          <w:rFonts w:eastAsiaTheme="minorEastAsia"/>
        </w:rPr>
      </w:pPr>
      <w:r w:rsidRPr="00965A0A">
        <w:t>Eiropas Komisijas 2020. gada ziņojums par Latviju norāda, ka Latvijas uzņēmumi nepietiekami izmanto digitālās transformācijas sniegtās iespējas. Kā viens no būtiskākajiem cēloņiem tiek minēts augsti kvalificētu speciālistu trūkums.</w:t>
      </w:r>
      <w:r w:rsidR="00DD7777" w:rsidRPr="00965A0A">
        <w:t xml:space="preserve"> Papildus,</w:t>
      </w:r>
      <w:r w:rsidRPr="00965A0A">
        <w:t xml:space="preserve"> Latvija, kur  lielākā daļa no uzņēmumiem ir MV</w:t>
      </w:r>
      <w:r w:rsidR="0070157B" w:rsidRPr="00965A0A">
        <w:t>U</w:t>
      </w:r>
      <w:r w:rsidRPr="00965A0A">
        <w:t>, attiecībā uz digitālo tehnoloģiju integrāciju uzņēmumos 2020. gada DESI indeksā ieņēma tikai 23. vietu. Pandēmijas laikā visā pasaulē pieauga e</w:t>
      </w:r>
      <w:r w:rsidRPr="00965A0A">
        <w:noBreakHyphen/>
        <w:t>komercijas apjoms,</w:t>
      </w:r>
      <w:r w:rsidR="00BE0E1F" w:rsidRPr="00965A0A">
        <w:t xml:space="preserve"> kas ļāva </w:t>
      </w:r>
      <w:r w:rsidR="00B34FAB" w:rsidRPr="00965A0A">
        <w:t xml:space="preserve">uzņēmumiem sasniegt eksporta tirgus bez fiziskas </w:t>
      </w:r>
      <w:r w:rsidR="002922CC" w:rsidRPr="00965A0A">
        <w:t xml:space="preserve">saiknes un kļūt </w:t>
      </w:r>
      <w:r w:rsidR="00D44B5E" w:rsidRPr="00965A0A">
        <w:t>par globāli konkurētspējīgiem piegādātājiem</w:t>
      </w:r>
      <w:r w:rsidR="00597D4D" w:rsidRPr="00965A0A">
        <w:t>, taču par</w:t>
      </w:r>
      <w:r w:rsidR="00E54DD1" w:rsidRPr="00965A0A">
        <w:t xml:space="preserve"> </w:t>
      </w:r>
      <w:r w:rsidR="004F1656" w:rsidRPr="00965A0A">
        <w:t xml:space="preserve">būtiskāku šķērsli </w:t>
      </w:r>
      <w:r w:rsidR="00C80501" w:rsidRPr="00965A0A">
        <w:t>at</w:t>
      </w:r>
      <w:r w:rsidR="004F1656" w:rsidRPr="00965A0A">
        <w:t>veseļošanas posmam un turpmākai izaugsmei kļūst tas, ka Latvijas uzņēmumi salīdzinoši maz izmanto pārdošanu tiešsaistē - Latvijā tikai 11% MV</w:t>
      </w:r>
      <w:r w:rsidR="0070157B" w:rsidRPr="00965A0A">
        <w:t>U</w:t>
      </w:r>
      <w:r w:rsidR="004F1656" w:rsidRPr="00965A0A">
        <w:t xml:space="preserve"> veic e</w:t>
      </w:r>
      <w:r w:rsidR="004F1656" w:rsidRPr="00965A0A">
        <w:noBreakHyphen/>
        <w:t>komerciju, kamēr ES vidējais rādītājs ir 17,5%</w:t>
      </w:r>
      <w:r w:rsidR="004F1656" w:rsidRPr="00965A0A">
        <w:rPr>
          <w:rStyle w:val="FootnoteReference"/>
        </w:rPr>
        <w:footnoteReference w:id="10"/>
      </w:r>
      <w:r w:rsidR="004F1656" w:rsidRPr="00965A0A">
        <w:t>. Lai nodrošinātu Latvijas ekonomikas atveseļošanos no krīzes,</w:t>
      </w:r>
      <w:r w:rsidR="004F3296" w:rsidRPr="00965A0A">
        <w:t xml:space="preserve"> Ekonomikas ministrija ir </w:t>
      </w:r>
      <w:r w:rsidR="003676A1" w:rsidRPr="00965A0A">
        <w:t xml:space="preserve">izstrādājusi plānu </w:t>
      </w:r>
      <w:r w:rsidR="00402471" w:rsidRPr="00965A0A">
        <w:rPr>
          <w:rFonts w:eastAsiaTheme="minorEastAsia"/>
        </w:rPr>
        <w:t xml:space="preserve">uzņēmējdarbības digitālās transformācijas pilna cikla atbalsta ietvara izveidei, kas iekļaus </w:t>
      </w:r>
      <w:r w:rsidR="00965A0A" w:rsidRPr="00965A0A">
        <w:rPr>
          <w:rFonts w:eastAsiaTheme="minorEastAsia"/>
        </w:rPr>
        <w:t xml:space="preserve">tādus </w:t>
      </w:r>
      <w:r w:rsidR="00402471" w:rsidRPr="00965A0A">
        <w:rPr>
          <w:rFonts w:eastAsiaTheme="minorEastAsia"/>
        </w:rPr>
        <w:t>pasākumus</w:t>
      </w:r>
      <w:r w:rsidR="00965A0A" w:rsidRPr="00965A0A">
        <w:rPr>
          <w:rFonts w:eastAsiaTheme="minorEastAsia"/>
        </w:rPr>
        <w:t>,</w:t>
      </w:r>
      <w:r w:rsidR="00402471" w:rsidRPr="00965A0A">
        <w:rPr>
          <w:rFonts w:eastAsiaTheme="minorEastAsia"/>
        </w:rPr>
        <w:t xml:space="preserve"> kā jaunu digitālo produktu un pakalpojumu izstrāde, darbinieku digitālo prasmju apmācība un </w:t>
      </w:r>
      <w:r w:rsidR="00402471" w:rsidRPr="00965A0A">
        <w:rPr>
          <w:rFonts w:eastAsiaTheme="minorEastAsia"/>
        </w:rPr>
        <w:lastRenderedPageBreak/>
        <w:t xml:space="preserve">procesu </w:t>
      </w:r>
      <w:proofErr w:type="spellStart"/>
      <w:r w:rsidR="00402471" w:rsidRPr="00965A0A">
        <w:rPr>
          <w:rFonts w:eastAsiaTheme="minorEastAsia"/>
        </w:rPr>
        <w:t>digitalizācija</w:t>
      </w:r>
      <w:proofErr w:type="spellEnd"/>
      <w:r w:rsidR="00402471" w:rsidRPr="00965A0A">
        <w:rPr>
          <w:rFonts w:eastAsiaTheme="minorEastAsia"/>
        </w:rPr>
        <w:t xml:space="preserve"> uzņēmējdarbībā, kas būs pieejama dažādu jomu, izmēru un darbību uzņēmumiem Latvijas mērogā caur Eiropas Digitālo inovāciju centru (</w:t>
      </w:r>
      <w:r w:rsidR="00E0385C" w:rsidRPr="00E0385C">
        <w:rPr>
          <w:rFonts w:eastAsiaTheme="minorEastAsia"/>
          <w:i/>
          <w:iCs/>
        </w:rPr>
        <w:t xml:space="preserve">turpmāk - </w:t>
      </w:r>
      <w:r w:rsidR="00402471" w:rsidRPr="00E0385C">
        <w:rPr>
          <w:rFonts w:eastAsiaTheme="minorEastAsia"/>
          <w:i/>
          <w:iCs/>
        </w:rPr>
        <w:t>EDIC</w:t>
      </w:r>
      <w:r w:rsidR="00402471" w:rsidRPr="00965A0A">
        <w:rPr>
          <w:rFonts w:eastAsiaTheme="minorEastAsia"/>
        </w:rPr>
        <w:t>) izveidi.</w:t>
      </w:r>
    </w:p>
    <w:p w14:paraId="703A6646" w14:textId="594F2ACB" w:rsidR="00A31F59" w:rsidRPr="00A31F59" w:rsidRDefault="00A31F59" w:rsidP="00965A0A">
      <w:pPr>
        <w:mirrorIndents/>
      </w:pPr>
      <w:r w:rsidRPr="00A31F59">
        <w:t>Vienota digitālās transformācijas atbalsta platforma kā vienas pieturas aģentūra (EDIC) palīdzēs uzņēmumiem kļūt konkurētspējīgākiem attiecībā uz to uzņēmējdarbības procesiem (ražošanas, produktu piedāvāšanas vai pakalpojumu sniegšanu), kā arī atbalstīt digitālās jomas pētniecību un attīstību, inovācijas ieviešanu un aprobēšanu kā privātajā tā publiskajā sektorā. EDIC Latvijā darbosies ar</w:t>
      </w:r>
      <w:r w:rsidR="00C80501" w:rsidRPr="00965A0A">
        <w:t xml:space="preserve"> </w:t>
      </w:r>
      <w:r w:rsidRPr="00A31F59">
        <w:t xml:space="preserve">mērķi ieviest un piemērot digitālās tehnoloģijas, nodrošinot piekļuvi tehniskajām kompetencēm un radot vidi risinājumu testēšanai pirms </w:t>
      </w:r>
      <w:r w:rsidR="00965A0A" w:rsidRPr="00965A0A">
        <w:t xml:space="preserve">to </w:t>
      </w:r>
      <w:r w:rsidRPr="00A31F59">
        <w:t xml:space="preserve">ieviešanas ražošanā. EDIC kompetence iekļautu inovāciju atbalsta pakalpojumus, finansējuma piesaistes atbalstu, apmācības un prasmju pilnveidošanu u.c. funkcijas, kas nodrošinātu koordinētu pieeju uzņēmējdarbības </w:t>
      </w:r>
      <w:proofErr w:type="spellStart"/>
      <w:r w:rsidRPr="00A31F59">
        <w:t>digitalizācijas</w:t>
      </w:r>
      <w:proofErr w:type="spellEnd"/>
      <w:r w:rsidRPr="00A31F59">
        <w:t xml:space="preserve"> un digitālo inovāciju </w:t>
      </w:r>
      <w:proofErr w:type="spellStart"/>
      <w:r w:rsidRPr="00A31F59">
        <w:t>pārneses</w:t>
      </w:r>
      <w:proofErr w:type="spellEnd"/>
      <w:r w:rsidRPr="00A31F59">
        <w:t xml:space="preserve"> veicināšanai arī publiskajā sektorā.</w:t>
      </w:r>
    </w:p>
    <w:p w14:paraId="157C9754" w14:textId="4BB63913" w:rsidR="00626651" w:rsidRPr="00965A0A" w:rsidRDefault="00626651" w:rsidP="00965A0A">
      <w:pPr>
        <w:mirrorIndents/>
      </w:pPr>
      <w:r w:rsidRPr="00965A0A">
        <w:t>Tāpat būtisk</w:t>
      </w:r>
      <w:r w:rsidR="00C80501" w:rsidRPr="00965A0A">
        <w:t>a</w:t>
      </w:r>
      <w:r w:rsidRPr="00965A0A">
        <w:t xml:space="preserve"> ir zaļo zināšanu un jaunu zaļo profesiju veidošana, kas nodrošina uzņēmumu kompetences ilgtspējīgas ražošanas nodrošināšanai. Nozīmīga loma ir universitātēm, </w:t>
      </w:r>
      <w:r w:rsidR="00965A0A" w:rsidRPr="00965A0A">
        <w:t>radot</w:t>
      </w:r>
      <w:r w:rsidRPr="00965A0A">
        <w:t xml:space="preserve"> šodienas un nākotnes nepieciešamībām atbilstošas programmas un iekļaujot zināšanu apguvi viedākas un zaļākas ražošanas veidošanai. Papildus, ņemot vērā nepārtraukti mainīgos tirgus apstākļus un uzņēmumiem straujo nepieciešamību tiem pielāgoties, svarīgi ir nodrošināt efektīvas prasmju un kompetenču pilnveides iespējas sabiedrībai arī visa mūža garumā. </w:t>
      </w:r>
    </w:p>
    <w:p w14:paraId="17F11C6E" w14:textId="38227E56" w:rsidR="004C4DC9" w:rsidRPr="00965A0A" w:rsidRDefault="00626651" w:rsidP="00965A0A">
      <w:pPr>
        <w:mirrorIndents/>
      </w:pPr>
      <w:r w:rsidRPr="00965A0A">
        <w:t>E</w:t>
      </w:r>
      <w:r w:rsidR="00C80501" w:rsidRPr="00965A0A">
        <w:t>S</w:t>
      </w:r>
      <w:r w:rsidRPr="00965A0A">
        <w:t xml:space="preserve"> līmenī ir jānodrošina veiksmīga zināšanu un pieredzes </w:t>
      </w:r>
      <w:proofErr w:type="spellStart"/>
      <w:r w:rsidRPr="00965A0A">
        <w:t>pārnese</w:t>
      </w:r>
      <w:proofErr w:type="spellEnd"/>
      <w:r w:rsidRPr="00965A0A">
        <w:t xml:space="preserve"> gan starpvalstu līmenī, gan veicinot universitāšu un pētniecības sadarbību. Pozitīvi ir vērtējamas valstu iniciatīvas sniedzot konsultācijas un motivējot savus komersantus un pētniecības organizācijas iesaistīties </w:t>
      </w:r>
      <w:r w:rsidR="00C80501" w:rsidRPr="00965A0A">
        <w:t>ES</w:t>
      </w:r>
      <w:r w:rsidRPr="00965A0A">
        <w:t xml:space="preserve"> līmeņa starptautisku projektu realizācijā, piesaistot arī Eiropas Savienības finanšu līdzekļus, kā piemēram, </w:t>
      </w:r>
      <w:proofErr w:type="spellStart"/>
      <w:r w:rsidRPr="00965A0A">
        <w:rPr>
          <w:i/>
          <w:iCs/>
        </w:rPr>
        <w:t>Horizon</w:t>
      </w:r>
      <w:proofErr w:type="spellEnd"/>
      <w:r w:rsidRPr="00965A0A">
        <w:rPr>
          <w:i/>
          <w:iCs/>
        </w:rPr>
        <w:t xml:space="preserve"> </w:t>
      </w:r>
      <w:proofErr w:type="spellStart"/>
      <w:r w:rsidRPr="00965A0A">
        <w:rPr>
          <w:i/>
          <w:iCs/>
        </w:rPr>
        <w:t>Europe</w:t>
      </w:r>
      <w:proofErr w:type="spellEnd"/>
      <w:r w:rsidRPr="00965A0A">
        <w:t xml:space="preserve"> ietvaros. Vienoti, starpvalstu projekti ir pierādīts efektīvs veids kā veicināt zināšanu pārnesi un reģionālo sadarbību, lai virzītos uz Eiropas zaļā kursa noteikto mērķu sasniegšanu.</w:t>
      </w:r>
    </w:p>
    <w:p w14:paraId="52EB7EC8" w14:textId="77777777" w:rsidR="00B42D20" w:rsidRPr="00965A0A" w:rsidRDefault="00B42D20" w:rsidP="00965A0A">
      <w:pPr>
        <w:keepNext/>
        <w:keepLines/>
        <w:spacing w:line="276" w:lineRule="auto"/>
        <w:ind w:right="-2" w:firstLine="0"/>
        <w:mirrorIndents/>
        <w:rPr>
          <w:b/>
        </w:rPr>
      </w:pPr>
    </w:p>
    <w:p w14:paraId="700705A2" w14:textId="1E558C13" w:rsidR="00C65C2E" w:rsidRPr="00965A0A" w:rsidRDefault="00C65C2E" w:rsidP="00965A0A">
      <w:pPr>
        <w:keepNext/>
        <w:keepLines/>
        <w:spacing w:line="276" w:lineRule="auto"/>
        <w:ind w:right="-2" w:firstLine="0"/>
        <w:mirrorIndents/>
        <w:rPr>
          <w:b/>
        </w:rPr>
      </w:pPr>
      <w:r w:rsidRPr="00965A0A">
        <w:rPr>
          <w:b/>
        </w:rPr>
        <w:t>Latvijas delegācija</w:t>
      </w:r>
      <w:r w:rsidR="00CF3103" w:rsidRPr="00965A0A">
        <w:rPr>
          <w:b/>
        </w:rPr>
        <w:t>:</w:t>
      </w:r>
    </w:p>
    <w:p w14:paraId="58700CAA" w14:textId="2662240D" w:rsidR="00C65C2E" w:rsidRPr="00965A0A" w:rsidRDefault="00C65C2E" w:rsidP="00965A0A">
      <w:pPr>
        <w:spacing w:line="276" w:lineRule="auto"/>
        <w:ind w:left="3119" w:right="-2" w:hanging="3119"/>
        <w:mirrorIndents/>
      </w:pPr>
      <w:r w:rsidRPr="00965A0A">
        <w:t>Delegācijas vadītājs:</w:t>
      </w:r>
      <w:r w:rsidR="00950438" w:rsidRPr="00965A0A">
        <w:tab/>
      </w:r>
      <w:r w:rsidR="00C8110D" w:rsidRPr="00965A0A">
        <w:rPr>
          <w:b/>
        </w:rPr>
        <w:t>Zaiga Liepiņa</w:t>
      </w:r>
      <w:r w:rsidR="00545424" w:rsidRPr="00965A0A">
        <w:rPr>
          <w:b/>
        </w:rPr>
        <w:t xml:space="preserve">, </w:t>
      </w:r>
      <w:r w:rsidR="00545424" w:rsidRPr="00965A0A">
        <w:rPr>
          <w:bCs/>
        </w:rPr>
        <w:t>Ekonomikas ministrijas valsts sekretār</w:t>
      </w:r>
      <w:r w:rsidR="00C8110D" w:rsidRPr="00965A0A">
        <w:rPr>
          <w:bCs/>
        </w:rPr>
        <w:t>a vietniece</w:t>
      </w:r>
    </w:p>
    <w:p w14:paraId="125E5C24" w14:textId="77777777" w:rsidR="00C8110D" w:rsidRPr="00965A0A" w:rsidRDefault="00C8110D" w:rsidP="00965A0A">
      <w:pPr>
        <w:spacing w:line="276" w:lineRule="auto"/>
        <w:ind w:left="2552" w:right="-2" w:hanging="2552"/>
        <w:mirrorIndents/>
        <w:rPr>
          <w:highlight w:val="yellow"/>
        </w:rPr>
      </w:pPr>
    </w:p>
    <w:p w14:paraId="17A96EF2" w14:textId="77777777" w:rsidR="00C65C2E" w:rsidRPr="00965A0A" w:rsidRDefault="00C65C2E" w:rsidP="00965A0A">
      <w:pPr>
        <w:tabs>
          <w:tab w:val="right" w:pos="8931"/>
        </w:tabs>
        <w:ind w:right="-2" w:firstLine="0"/>
        <w:mirrorIndents/>
      </w:pPr>
      <w:r w:rsidRPr="00965A0A">
        <w:t xml:space="preserve">Iesniedzējs: </w:t>
      </w:r>
    </w:p>
    <w:p w14:paraId="5A12043E" w14:textId="3F9175D0" w:rsidR="00C65C2E" w:rsidRPr="00965A0A" w:rsidRDefault="005C2E66" w:rsidP="00965A0A">
      <w:pPr>
        <w:tabs>
          <w:tab w:val="right" w:pos="9354"/>
        </w:tabs>
        <w:ind w:right="-2" w:firstLine="0"/>
        <w:mirrorIndents/>
      </w:pPr>
      <w:r w:rsidRPr="00965A0A">
        <w:t>E</w:t>
      </w:r>
      <w:r w:rsidR="00C65C2E" w:rsidRPr="00965A0A">
        <w:t xml:space="preserve">konomikas </w:t>
      </w:r>
      <w:r w:rsidR="00C8110D" w:rsidRPr="00965A0A">
        <w:t>ministrs</w:t>
      </w:r>
      <w:r w:rsidR="00C65C2E" w:rsidRPr="00965A0A">
        <w:tab/>
      </w:r>
      <w:r w:rsidR="00C8110D" w:rsidRPr="00965A0A">
        <w:t>J</w:t>
      </w:r>
      <w:r w:rsidR="00FE7DB3" w:rsidRPr="00965A0A">
        <w:t>.</w:t>
      </w:r>
      <w:r w:rsidR="00F51CE5" w:rsidRPr="00965A0A">
        <w:t xml:space="preserve"> </w:t>
      </w:r>
      <w:proofErr w:type="spellStart"/>
      <w:r w:rsidR="00C8110D" w:rsidRPr="00965A0A">
        <w:t>Vitenbergs</w:t>
      </w:r>
      <w:proofErr w:type="spellEnd"/>
    </w:p>
    <w:p w14:paraId="00399F8F" w14:textId="77777777" w:rsidR="00C65C2E" w:rsidRPr="00965A0A" w:rsidRDefault="00C65C2E" w:rsidP="00965A0A">
      <w:pPr>
        <w:tabs>
          <w:tab w:val="right" w:pos="8931"/>
        </w:tabs>
        <w:ind w:right="-2" w:firstLine="0"/>
        <w:mirrorIndents/>
      </w:pPr>
      <w:r w:rsidRPr="00965A0A">
        <w:t>Vīza:</w:t>
      </w:r>
    </w:p>
    <w:p w14:paraId="3DAAED0B" w14:textId="77777777" w:rsidR="00950438" w:rsidRPr="00965A0A" w:rsidRDefault="004E6550" w:rsidP="00965A0A">
      <w:pPr>
        <w:tabs>
          <w:tab w:val="right" w:pos="9354"/>
        </w:tabs>
        <w:ind w:right="-2" w:firstLine="0"/>
        <w:mirrorIndents/>
      </w:pPr>
      <w:r w:rsidRPr="00965A0A">
        <w:t>Valsts sekretārs</w:t>
      </w:r>
      <w:r w:rsidR="00316BC2" w:rsidRPr="00965A0A">
        <w:tab/>
      </w:r>
      <w:r w:rsidR="006B5F5C" w:rsidRPr="00965A0A">
        <w:t>E</w:t>
      </w:r>
      <w:r w:rsidR="002E0D48" w:rsidRPr="00965A0A">
        <w:t>.</w:t>
      </w:r>
      <w:r w:rsidRPr="00965A0A">
        <w:t xml:space="preserve"> </w:t>
      </w:r>
      <w:r w:rsidR="006B5F5C" w:rsidRPr="00965A0A">
        <w:t>Valantis</w:t>
      </w:r>
    </w:p>
    <w:p w14:paraId="7E1278FE" w14:textId="77777777" w:rsidR="00965A0A" w:rsidRDefault="00965A0A" w:rsidP="00965A0A">
      <w:pPr>
        <w:ind w:right="-2" w:firstLine="0"/>
        <w:mirrorIndents/>
      </w:pPr>
    </w:p>
    <w:p w14:paraId="16634B62" w14:textId="77777777" w:rsidR="00965A0A" w:rsidRDefault="00965A0A" w:rsidP="00965A0A">
      <w:pPr>
        <w:spacing w:after="0"/>
        <w:ind w:firstLine="0"/>
        <w:mirrorIndents/>
        <w:rPr>
          <w:sz w:val="16"/>
          <w:szCs w:val="16"/>
        </w:rPr>
      </w:pPr>
    </w:p>
    <w:p w14:paraId="61548C66" w14:textId="65EB7E90" w:rsidR="00C65C2E" w:rsidRPr="00965A0A" w:rsidRDefault="00456621" w:rsidP="00965A0A">
      <w:pPr>
        <w:spacing w:after="0"/>
        <w:ind w:firstLine="0"/>
        <w:mirrorIndents/>
        <w:rPr>
          <w:sz w:val="16"/>
          <w:szCs w:val="16"/>
        </w:rPr>
      </w:pPr>
      <w:r w:rsidRPr="00965A0A">
        <w:rPr>
          <w:sz w:val="16"/>
          <w:szCs w:val="16"/>
        </w:rPr>
        <w:t>13</w:t>
      </w:r>
      <w:r w:rsidR="00A0648A" w:rsidRPr="00965A0A">
        <w:rPr>
          <w:sz w:val="16"/>
          <w:szCs w:val="16"/>
        </w:rPr>
        <w:t>.</w:t>
      </w:r>
      <w:r w:rsidR="006B5F5C" w:rsidRPr="00965A0A">
        <w:rPr>
          <w:sz w:val="16"/>
          <w:szCs w:val="16"/>
        </w:rPr>
        <w:t>0</w:t>
      </w:r>
      <w:r w:rsidR="00C8110D" w:rsidRPr="00965A0A">
        <w:rPr>
          <w:sz w:val="16"/>
          <w:szCs w:val="16"/>
        </w:rPr>
        <w:t>7</w:t>
      </w:r>
      <w:r w:rsidR="009E0ACC" w:rsidRPr="00965A0A">
        <w:rPr>
          <w:sz w:val="16"/>
          <w:szCs w:val="16"/>
        </w:rPr>
        <w:t>.20</w:t>
      </w:r>
      <w:r w:rsidR="006B5F5C" w:rsidRPr="00965A0A">
        <w:rPr>
          <w:sz w:val="16"/>
          <w:szCs w:val="16"/>
        </w:rPr>
        <w:t>21</w:t>
      </w:r>
      <w:r w:rsidR="00C65C2E" w:rsidRPr="00965A0A">
        <w:rPr>
          <w:sz w:val="16"/>
          <w:szCs w:val="16"/>
        </w:rPr>
        <w:t xml:space="preserve">. </w:t>
      </w:r>
    </w:p>
    <w:p w14:paraId="2C538901" w14:textId="0677BFD8" w:rsidR="003D1D82" w:rsidRPr="00965A0A" w:rsidRDefault="00965A0A" w:rsidP="00965A0A">
      <w:pPr>
        <w:spacing w:after="0"/>
        <w:ind w:firstLine="0"/>
        <w:mirrorIndents/>
        <w:rPr>
          <w:sz w:val="16"/>
          <w:szCs w:val="16"/>
        </w:rPr>
      </w:pPr>
      <w:r w:rsidRPr="00965A0A">
        <w:rPr>
          <w:sz w:val="16"/>
          <w:szCs w:val="16"/>
        </w:rPr>
        <w:t>2795</w:t>
      </w:r>
    </w:p>
    <w:p w14:paraId="2DED0E95" w14:textId="339D52C5" w:rsidR="00965A0A" w:rsidRPr="00965A0A" w:rsidRDefault="003D1D82" w:rsidP="00965A0A">
      <w:pPr>
        <w:spacing w:after="0"/>
        <w:ind w:firstLine="0"/>
        <w:mirrorIndents/>
        <w:rPr>
          <w:sz w:val="16"/>
          <w:szCs w:val="16"/>
        </w:rPr>
      </w:pPr>
      <w:proofErr w:type="spellStart"/>
      <w:r w:rsidRPr="00965A0A">
        <w:rPr>
          <w:sz w:val="16"/>
          <w:szCs w:val="16"/>
        </w:rPr>
        <w:t>R.Vecbaštiks</w:t>
      </w:r>
      <w:proofErr w:type="spellEnd"/>
      <w:r w:rsidR="00965A0A" w:rsidRPr="00965A0A">
        <w:rPr>
          <w:sz w:val="16"/>
          <w:szCs w:val="16"/>
        </w:rPr>
        <w:t>, 67 013 025</w:t>
      </w:r>
    </w:p>
    <w:p w14:paraId="457CB84E" w14:textId="596AECDE" w:rsidR="003D1D82" w:rsidRPr="0066150F" w:rsidRDefault="00B12871" w:rsidP="00965A0A">
      <w:pPr>
        <w:spacing w:after="0"/>
        <w:ind w:firstLine="0"/>
        <w:mirrorIndents/>
        <w:rPr>
          <w:sz w:val="16"/>
          <w:szCs w:val="16"/>
        </w:rPr>
      </w:pPr>
      <w:hyperlink r:id="rId34" w:history="1">
        <w:r w:rsidR="0066150F" w:rsidRPr="0066150F">
          <w:rPr>
            <w:rStyle w:val="Hyperlink"/>
            <w:color w:val="auto"/>
            <w:sz w:val="16"/>
            <w:szCs w:val="16"/>
          </w:rPr>
          <w:t>Reinis.vecbastiks@em.gov.lv</w:t>
        </w:r>
      </w:hyperlink>
    </w:p>
    <w:p w14:paraId="03355EE7" w14:textId="05ED58F9" w:rsidR="003D1D82" w:rsidRPr="0066150F" w:rsidRDefault="003D1D82" w:rsidP="00965A0A">
      <w:pPr>
        <w:spacing w:after="0"/>
        <w:ind w:firstLine="0"/>
        <w:mirrorIndents/>
        <w:rPr>
          <w:sz w:val="16"/>
          <w:szCs w:val="16"/>
        </w:rPr>
      </w:pPr>
      <w:proofErr w:type="spellStart"/>
      <w:r w:rsidRPr="0066150F">
        <w:rPr>
          <w:sz w:val="16"/>
          <w:szCs w:val="16"/>
        </w:rPr>
        <w:t>E.Raģe</w:t>
      </w:r>
      <w:proofErr w:type="spellEnd"/>
      <w:r w:rsidR="00965A0A" w:rsidRPr="0066150F">
        <w:rPr>
          <w:sz w:val="16"/>
          <w:szCs w:val="16"/>
        </w:rPr>
        <w:t>, 67 013 147</w:t>
      </w:r>
    </w:p>
    <w:p w14:paraId="31866DCE" w14:textId="456781C6" w:rsidR="003D1D82" w:rsidRPr="0066150F" w:rsidRDefault="00B12871" w:rsidP="00965A0A">
      <w:pPr>
        <w:spacing w:after="0"/>
        <w:ind w:firstLine="0"/>
        <w:mirrorIndents/>
        <w:rPr>
          <w:sz w:val="16"/>
          <w:szCs w:val="16"/>
        </w:rPr>
      </w:pPr>
      <w:hyperlink r:id="rId35" w:history="1">
        <w:r w:rsidR="0066150F" w:rsidRPr="0066150F">
          <w:rPr>
            <w:rStyle w:val="Hyperlink"/>
            <w:color w:val="auto"/>
            <w:sz w:val="16"/>
            <w:szCs w:val="16"/>
          </w:rPr>
          <w:t>Elina.rage@em.gov.lv</w:t>
        </w:r>
      </w:hyperlink>
    </w:p>
    <w:p w14:paraId="6C3FC837" w14:textId="47591581" w:rsidR="007F593C" w:rsidRPr="00965A0A" w:rsidRDefault="007F593C" w:rsidP="00965A0A">
      <w:pPr>
        <w:tabs>
          <w:tab w:val="left" w:pos="7230"/>
        </w:tabs>
        <w:ind w:right="-2" w:firstLine="0"/>
        <w:mirrorIndents/>
        <w:rPr>
          <w:u w:val="single"/>
        </w:rPr>
      </w:pPr>
    </w:p>
    <w:p w14:paraId="708782EF" w14:textId="77777777" w:rsidR="007D70C6" w:rsidRPr="00965A0A" w:rsidRDefault="007D70C6" w:rsidP="00965A0A">
      <w:pPr>
        <w:tabs>
          <w:tab w:val="left" w:pos="7230"/>
        </w:tabs>
        <w:ind w:right="-2" w:firstLine="0"/>
        <w:mirrorIndents/>
      </w:pPr>
    </w:p>
    <w:sectPr w:rsidR="007D70C6" w:rsidRPr="00965A0A" w:rsidSect="00EC0A8F">
      <w:headerReference w:type="default" r:id="rId36"/>
      <w:footerReference w:type="default" r:id="rId37"/>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01D6" w14:textId="77777777" w:rsidR="00B12871" w:rsidRDefault="00B12871" w:rsidP="00C65C2E">
      <w:r>
        <w:separator/>
      </w:r>
    </w:p>
  </w:endnote>
  <w:endnote w:type="continuationSeparator" w:id="0">
    <w:p w14:paraId="3FF289EC" w14:textId="77777777" w:rsidR="00B12871" w:rsidRDefault="00B12871" w:rsidP="00C65C2E">
      <w:r>
        <w:continuationSeparator/>
      </w:r>
    </w:p>
  </w:endnote>
  <w:endnote w:type="continuationNotice" w:id="1">
    <w:p w14:paraId="1E0A7498" w14:textId="77777777" w:rsidR="00B12871" w:rsidRDefault="00B128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okChampa">
    <w:charset w:val="DE"/>
    <w:family w:val="swiss"/>
    <w:pitch w:val="variable"/>
    <w:sig w:usb0="83000003" w:usb1="00000000" w:usb2="00000000" w:usb3="00000000" w:csb0="00010001" w:csb1="00000000"/>
  </w:font>
  <w:font w:name="Segoe UI Light">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2A48" w14:textId="24B09FE3" w:rsidR="00A82C96" w:rsidRPr="003354DF" w:rsidRDefault="00A82C96" w:rsidP="00E82941">
    <w:pPr>
      <w:pStyle w:val="Header"/>
      <w:spacing w:before="120"/>
      <w:ind w:firstLine="0"/>
      <w:rPr>
        <w:i/>
        <w:iCs/>
        <w:sz w:val="20"/>
      </w:rPr>
    </w:pPr>
    <w:r w:rsidRPr="003354DF">
      <w:rPr>
        <w:sz w:val="20"/>
      </w:rPr>
      <w:t>EMzino_</w:t>
    </w:r>
    <w:r>
      <w:rPr>
        <w:sz w:val="20"/>
      </w:rPr>
      <w:t>2</w:t>
    </w:r>
    <w:r w:rsidR="003261C5">
      <w:rPr>
        <w:sz w:val="20"/>
      </w:rPr>
      <w:t>1</w:t>
    </w:r>
    <w:r w:rsidRPr="003354DF">
      <w:rPr>
        <w:sz w:val="20"/>
      </w:rPr>
      <w:t>0</w:t>
    </w:r>
    <w:r w:rsidR="003261C5">
      <w:rPr>
        <w:sz w:val="20"/>
      </w:rPr>
      <w:t>7</w:t>
    </w:r>
    <w:r w:rsidRPr="003354DF">
      <w:rPr>
        <w:sz w:val="20"/>
      </w:rPr>
      <w:t>2021_</w:t>
    </w:r>
    <w:r>
      <w:rPr>
        <w:sz w:val="20"/>
      </w:rPr>
      <w:t>COMPET</w:t>
    </w:r>
    <w:r w:rsidRPr="003354DF">
      <w:rPr>
        <w:sz w:val="20"/>
      </w:rPr>
      <w:t xml:space="preserve"> </w:t>
    </w:r>
    <w:r w:rsidRPr="003354DF">
      <w:rPr>
        <w:i/>
        <w:iCs/>
        <w:sz w:val="20"/>
      </w:rPr>
      <w:t xml:space="preserve">“Par Eiropas Savienības Konkurētspējas ministru 2021. gada </w:t>
    </w:r>
    <w:r w:rsidR="003261C5">
      <w:rPr>
        <w:i/>
        <w:iCs/>
        <w:sz w:val="20"/>
      </w:rPr>
      <w:t>21</w:t>
    </w:r>
    <w:r w:rsidR="00965A0A">
      <w:rPr>
        <w:i/>
        <w:iCs/>
        <w:sz w:val="20"/>
      </w:rPr>
      <w:t xml:space="preserve"> un </w:t>
    </w:r>
    <w:r w:rsidR="003261C5">
      <w:rPr>
        <w:i/>
        <w:iCs/>
        <w:sz w:val="20"/>
      </w:rPr>
      <w:t>22.</w:t>
    </w:r>
    <w:r w:rsidRPr="003354DF">
      <w:rPr>
        <w:i/>
        <w:iCs/>
        <w:sz w:val="20"/>
      </w:rPr>
      <w:t xml:space="preserve"> </w:t>
    </w:r>
    <w:r w:rsidR="003261C5">
      <w:rPr>
        <w:i/>
        <w:iCs/>
        <w:sz w:val="20"/>
      </w:rPr>
      <w:t>jūlija</w:t>
    </w:r>
    <w:r w:rsidRPr="003354DF">
      <w:rPr>
        <w:i/>
        <w:iCs/>
        <w:sz w:val="20"/>
      </w:rPr>
      <w:t xml:space="preserve"> sanāksmē izskatāmajiem jautājumiem”</w:t>
    </w:r>
  </w:p>
  <w:p w14:paraId="18DDC747" w14:textId="77777777" w:rsidR="00A82C96" w:rsidRDefault="00A82C96" w:rsidP="00E82941">
    <w:pPr>
      <w:pStyle w:val="Header"/>
      <w:ind w:firstLine="0"/>
      <w:jc w:val="right"/>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555F" w14:textId="77777777" w:rsidR="00B12871" w:rsidRDefault="00B12871" w:rsidP="00C65C2E">
      <w:r>
        <w:separator/>
      </w:r>
    </w:p>
  </w:footnote>
  <w:footnote w:type="continuationSeparator" w:id="0">
    <w:p w14:paraId="5FA9414A" w14:textId="77777777" w:rsidR="00B12871" w:rsidRDefault="00B12871" w:rsidP="00C65C2E">
      <w:r>
        <w:continuationSeparator/>
      </w:r>
    </w:p>
  </w:footnote>
  <w:footnote w:type="continuationNotice" w:id="1">
    <w:p w14:paraId="15524AB8" w14:textId="77777777" w:rsidR="00B12871" w:rsidRDefault="00B12871">
      <w:pPr>
        <w:spacing w:after="0"/>
      </w:pPr>
    </w:p>
  </w:footnote>
  <w:footnote w:id="2">
    <w:p w14:paraId="37242BC9" w14:textId="3BB177E7" w:rsidR="003A47F8" w:rsidRPr="00E0385C" w:rsidRDefault="003A47F8">
      <w:pPr>
        <w:pStyle w:val="FootnoteText"/>
        <w:rPr>
          <w:sz w:val="18"/>
          <w:szCs w:val="18"/>
        </w:rPr>
      </w:pPr>
      <w:r w:rsidRPr="00E0385C">
        <w:rPr>
          <w:rStyle w:val="FootnoteReference"/>
          <w:sz w:val="18"/>
          <w:szCs w:val="18"/>
        </w:rPr>
        <w:footnoteRef/>
      </w:r>
      <w:r w:rsidRPr="00E0385C">
        <w:rPr>
          <w:sz w:val="18"/>
          <w:szCs w:val="18"/>
        </w:rPr>
        <w:t xml:space="preserve"> </w:t>
      </w:r>
      <w:proofErr w:type="spellStart"/>
      <w:r w:rsidRPr="00E0385C">
        <w:rPr>
          <w:sz w:val="18"/>
          <w:szCs w:val="18"/>
        </w:rPr>
        <w:t>Vieglās</w:t>
      </w:r>
      <w:proofErr w:type="spellEnd"/>
      <w:r w:rsidRPr="00E0385C">
        <w:rPr>
          <w:sz w:val="18"/>
          <w:szCs w:val="18"/>
        </w:rPr>
        <w:t xml:space="preserve"> </w:t>
      </w:r>
      <w:proofErr w:type="spellStart"/>
      <w:r w:rsidRPr="00E0385C">
        <w:rPr>
          <w:sz w:val="18"/>
          <w:szCs w:val="18"/>
        </w:rPr>
        <w:t>rūpniecības</w:t>
      </w:r>
      <w:proofErr w:type="spellEnd"/>
      <w:r w:rsidRPr="00E0385C">
        <w:rPr>
          <w:sz w:val="18"/>
          <w:szCs w:val="18"/>
        </w:rPr>
        <w:t xml:space="preserve"> </w:t>
      </w:r>
      <w:proofErr w:type="spellStart"/>
      <w:r w:rsidRPr="00E0385C">
        <w:rPr>
          <w:sz w:val="18"/>
          <w:szCs w:val="18"/>
        </w:rPr>
        <w:t>nozares</w:t>
      </w:r>
      <w:proofErr w:type="spellEnd"/>
      <w:r w:rsidRPr="00E0385C">
        <w:rPr>
          <w:sz w:val="18"/>
          <w:szCs w:val="18"/>
        </w:rPr>
        <w:t xml:space="preserve">: </w:t>
      </w:r>
      <w:proofErr w:type="spellStart"/>
      <w:r w:rsidRPr="00E0385C">
        <w:rPr>
          <w:sz w:val="18"/>
          <w:szCs w:val="18"/>
        </w:rPr>
        <w:t>Tekstilizstrādājumu</w:t>
      </w:r>
      <w:proofErr w:type="spellEnd"/>
      <w:r w:rsidRPr="00E0385C">
        <w:rPr>
          <w:sz w:val="18"/>
          <w:szCs w:val="18"/>
        </w:rPr>
        <w:t xml:space="preserve"> </w:t>
      </w:r>
      <w:proofErr w:type="spellStart"/>
      <w:r w:rsidRPr="00E0385C">
        <w:rPr>
          <w:sz w:val="18"/>
          <w:szCs w:val="18"/>
        </w:rPr>
        <w:t>ražošana</w:t>
      </w:r>
      <w:proofErr w:type="spellEnd"/>
      <w:r w:rsidRPr="00E0385C">
        <w:rPr>
          <w:sz w:val="18"/>
          <w:szCs w:val="18"/>
        </w:rPr>
        <w:t xml:space="preserve"> (C13); </w:t>
      </w:r>
      <w:proofErr w:type="spellStart"/>
      <w:r w:rsidRPr="00E0385C">
        <w:rPr>
          <w:sz w:val="18"/>
          <w:szCs w:val="18"/>
        </w:rPr>
        <w:t>Apģērbu</w:t>
      </w:r>
      <w:proofErr w:type="spellEnd"/>
      <w:r w:rsidRPr="00E0385C">
        <w:rPr>
          <w:sz w:val="18"/>
          <w:szCs w:val="18"/>
        </w:rPr>
        <w:t xml:space="preserve"> </w:t>
      </w:r>
      <w:proofErr w:type="spellStart"/>
      <w:r w:rsidRPr="00E0385C">
        <w:rPr>
          <w:sz w:val="18"/>
          <w:szCs w:val="18"/>
        </w:rPr>
        <w:t>ražošana</w:t>
      </w:r>
      <w:proofErr w:type="spellEnd"/>
      <w:r w:rsidRPr="00E0385C">
        <w:rPr>
          <w:sz w:val="18"/>
          <w:szCs w:val="18"/>
        </w:rPr>
        <w:t xml:space="preserve"> (C14) un </w:t>
      </w:r>
      <w:proofErr w:type="spellStart"/>
      <w:r w:rsidRPr="00E0385C">
        <w:rPr>
          <w:sz w:val="18"/>
          <w:szCs w:val="18"/>
        </w:rPr>
        <w:t>Ādas</w:t>
      </w:r>
      <w:proofErr w:type="spellEnd"/>
      <w:r w:rsidRPr="00E0385C">
        <w:rPr>
          <w:sz w:val="18"/>
          <w:szCs w:val="18"/>
        </w:rPr>
        <w:t xml:space="preserve"> un </w:t>
      </w:r>
      <w:proofErr w:type="spellStart"/>
      <w:r w:rsidRPr="00E0385C">
        <w:rPr>
          <w:sz w:val="18"/>
          <w:szCs w:val="18"/>
        </w:rPr>
        <w:t>ādas</w:t>
      </w:r>
      <w:proofErr w:type="spellEnd"/>
      <w:r w:rsidRPr="00E0385C">
        <w:rPr>
          <w:sz w:val="18"/>
          <w:szCs w:val="18"/>
        </w:rPr>
        <w:t xml:space="preserve"> </w:t>
      </w:r>
      <w:proofErr w:type="spellStart"/>
      <w:r w:rsidRPr="00E0385C">
        <w:rPr>
          <w:sz w:val="18"/>
          <w:szCs w:val="18"/>
        </w:rPr>
        <w:t>izstrādājumu</w:t>
      </w:r>
      <w:proofErr w:type="spellEnd"/>
      <w:r w:rsidRPr="00E0385C">
        <w:rPr>
          <w:sz w:val="18"/>
          <w:szCs w:val="18"/>
        </w:rPr>
        <w:t xml:space="preserve"> </w:t>
      </w:r>
      <w:proofErr w:type="spellStart"/>
      <w:r w:rsidRPr="00E0385C">
        <w:rPr>
          <w:sz w:val="18"/>
          <w:szCs w:val="18"/>
        </w:rPr>
        <w:t>ražošana</w:t>
      </w:r>
      <w:proofErr w:type="spellEnd"/>
      <w:r w:rsidRPr="00E0385C">
        <w:rPr>
          <w:sz w:val="18"/>
          <w:szCs w:val="18"/>
        </w:rPr>
        <w:t xml:space="preserve"> (C15)</w:t>
      </w:r>
    </w:p>
  </w:footnote>
  <w:footnote w:id="3">
    <w:p w14:paraId="367599EA" w14:textId="09B2F7FD" w:rsidR="00A82C96" w:rsidRPr="00E0385C" w:rsidRDefault="00A82C96">
      <w:pPr>
        <w:pStyle w:val="FootnoteText"/>
        <w:rPr>
          <w:sz w:val="18"/>
          <w:szCs w:val="18"/>
          <w:lang w:val="lv-LV"/>
        </w:rPr>
      </w:pPr>
      <w:r w:rsidRPr="00E0385C">
        <w:rPr>
          <w:rStyle w:val="FootnoteReference"/>
          <w:sz w:val="18"/>
          <w:szCs w:val="18"/>
        </w:rPr>
        <w:footnoteRef/>
      </w:r>
      <w:r w:rsidRPr="00E0385C">
        <w:rPr>
          <w:sz w:val="18"/>
          <w:szCs w:val="18"/>
        </w:rPr>
        <w:t xml:space="preserve"> </w:t>
      </w:r>
      <w:proofErr w:type="spellStart"/>
      <w:r w:rsidRPr="00E0385C">
        <w:rPr>
          <w:sz w:val="18"/>
          <w:szCs w:val="18"/>
        </w:rPr>
        <w:t>Eiropas</w:t>
      </w:r>
      <w:proofErr w:type="spellEnd"/>
      <w:r w:rsidRPr="00E0385C">
        <w:rPr>
          <w:sz w:val="18"/>
          <w:szCs w:val="18"/>
        </w:rPr>
        <w:t xml:space="preserve"> </w:t>
      </w:r>
      <w:proofErr w:type="spellStart"/>
      <w:r w:rsidRPr="00E0385C">
        <w:rPr>
          <w:sz w:val="18"/>
          <w:szCs w:val="18"/>
        </w:rPr>
        <w:t>Komisijas</w:t>
      </w:r>
      <w:proofErr w:type="spellEnd"/>
      <w:r w:rsidRPr="00E0385C">
        <w:rPr>
          <w:sz w:val="18"/>
          <w:szCs w:val="18"/>
        </w:rPr>
        <w:t xml:space="preserve"> 2020. </w:t>
      </w:r>
      <w:proofErr w:type="spellStart"/>
      <w:r w:rsidRPr="00E0385C">
        <w:rPr>
          <w:sz w:val="18"/>
          <w:szCs w:val="18"/>
        </w:rPr>
        <w:t>gada</w:t>
      </w:r>
      <w:proofErr w:type="spellEnd"/>
      <w:r w:rsidRPr="00E0385C">
        <w:rPr>
          <w:sz w:val="18"/>
          <w:szCs w:val="18"/>
        </w:rPr>
        <w:t xml:space="preserve"> 11. </w:t>
      </w:r>
      <w:proofErr w:type="spellStart"/>
      <w:r w:rsidRPr="00E0385C">
        <w:rPr>
          <w:sz w:val="18"/>
          <w:szCs w:val="18"/>
        </w:rPr>
        <w:t>marta</w:t>
      </w:r>
      <w:proofErr w:type="spellEnd"/>
      <w:r w:rsidRPr="00E0385C">
        <w:rPr>
          <w:sz w:val="18"/>
          <w:szCs w:val="18"/>
        </w:rPr>
        <w:t xml:space="preserve"> </w:t>
      </w:r>
      <w:proofErr w:type="spellStart"/>
      <w:r w:rsidRPr="00E0385C">
        <w:rPr>
          <w:sz w:val="18"/>
          <w:szCs w:val="18"/>
        </w:rPr>
        <w:t>paziņojums</w:t>
      </w:r>
      <w:proofErr w:type="spellEnd"/>
      <w:r w:rsidRPr="00E0385C">
        <w:rPr>
          <w:sz w:val="18"/>
          <w:szCs w:val="18"/>
        </w:rPr>
        <w:t xml:space="preserve"> “</w:t>
      </w:r>
      <w:proofErr w:type="spellStart"/>
      <w:r w:rsidRPr="00E0385C">
        <w:rPr>
          <w:sz w:val="18"/>
          <w:szCs w:val="18"/>
        </w:rPr>
        <w:t>Jauns</w:t>
      </w:r>
      <w:proofErr w:type="spellEnd"/>
      <w:r w:rsidRPr="00E0385C">
        <w:rPr>
          <w:sz w:val="18"/>
          <w:szCs w:val="18"/>
        </w:rPr>
        <w:t xml:space="preserve"> </w:t>
      </w:r>
      <w:proofErr w:type="spellStart"/>
      <w:r w:rsidRPr="00E0385C">
        <w:rPr>
          <w:sz w:val="18"/>
          <w:szCs w:val="18"/>
        </w:rPr>
        <w:t>aprites</w:t>
      </w:r>
      <w:proofErr w:type="spellEnd"/>
      <w:r w:rsidRPr="00E0385C">
        <w:rPr>
          <w:sz w:val="18"/>
          <w:szCs w:val="18"/>
        </w:rPr>
        <w:t xml:space="preserve"> </w:t>
      </w:r>
      <w:proofErr w:type="spellStart"/>
      <w:r w:rsidRPr="00E0385C">
        <w:rPr>
          <w:sz w:val="18"/>
          <w:szCs w:val="18"/>
        </w:rPr>
        <w:t>ekonomikas</w:t>
      </w:r>
      <w:proofErr w:type="spellEnd"/>
      <w:r w:rsidRPr="00E0385C">
        <w:rPr>
          <w:sz w:val="18"/>
          <w:szCs w:val="18"/>
        </w:rPr>
        <w:t xml:space="preserve"> </w:t>
      </w:r>
      <w:proofErr w:type="spellStart"/>
      <w:r w:rsidRPr="00E0385C">
        <w:rPr>
          <w:sz w:val="18"/>
          <w:szCs w:val="18"/>
        </w:rPr>
        <w:t>rīcības</w:t>
      </w:r>
      <w:proofErr w:type="spellEnd"/>
      <w:r w:rsidRPr="00E0385C">
        <w:rPr>
          <w:sz w:val="18"/>
          <w:szCs w:val="18"/>
        </w:rPr>
        <w:t xml:space="preserve"> </w:t>
      </w:r>
      <w:proofErr w:type="spellStart"/>
      <w:r w:rsidRPr="00E0385C">
        <w:rPr>
          <w:sz w:val="18"/>
          <w:szCs w:val="18"/>
        </w:rPr>
        <w:t>plāns</w:t>
      </w:r>
      <w:proofErr w:type="spellEnd"/>
      <w:r w:rsidRPr="00E0385C">
        <w:rPr>
          <w:sz w:val="18"/>
          <w:szCs w:val="18"/>
        </w:rPr>
        <w:t xml:space="preserve">. Par </w:t>
      </w:r>
      <w:proofErr w:type="spellStart"/>
      <w:r w:rsidRPr="00E0385C">
        <w:rPr>
          <w:sz w:val="18"/>
          <w:szCs w:val="18"/>
        </w:rPr>
        <w:t>tīrāku</w:t>
      </w:r>
      <w:proofErr w:type="spellEnd"/>
      <w:r w:rsidRPr="00E0385C">
        <w:rPr>
          <w:sz w:val="18"/>
          <w:szCs w:val="18"/>
        </w:rPr>
        <w:t xml:space="preserve"> un </w:t>
      </w:r>
      <w:proofErr w:type="spellStart"/>
      <w:r w:rsidRPr="00E0385C">
        <w:rPr>
          <w:sz w:val="18"/>
          <w:szCs w:val="18"/>
        </w:rPr>
        <w:t>konkurētspējīgāku</w:t>
      </w:r>
      <w:proofErr w:type="spellEnd"/>
      <w:r w:rsidRPr="00E0385C">
        <w:rPr>
          <w:sz w:val="18"/>
          <w:szCs w:val="18"/>
        </w:rPr>
        <w:t xml:space="preserve"> </w:t>
      </w:r>
      <w:proofErr w:type="spellStart"/>
      <w:r w:rsidRPr="00E0385C">
        <w:rPr>
          <w:sz w:val="18"/>
          <w:szCs w:val="18"/>
        </w:rPr>
        <w:t>Eiropu</w:t>
      </w:r>
      <w:proofErr w:type="spellEnd"/>
      <w:r w:rsidRPr="00E0385C">
        <w:rPr>
          <w:sz w:val="18"/>
          <w:szCs w:val="18"/>
        </w:rPr>
        <w:t xml:space="preserve">” </w:t>
      </w:r>
      <w:r w:rsidR="00165481" w:rsidRPr="00E0385C">
        <w:rPr>
          <w:sz w:val="18"/>
          <w:szCs w:val="18"/>
        </w:rPr>
        <w:t>(</w:t>
      </w:r>
      <w:proofErr w:type="gramStart"/>
      <w:r w:rsidRPr="00E0385C">
        <w:rPr>
          <w:sz w:val="18"/>
          <w:szCs w:val="18"/>
        </w:rPr>
        <w:t>COM(</w:t>
      </w:r>
      <w:proofErr w:type="gramEnd"/>
      <w:r w:rsidRPr="00E0385C">
        <w:rPr>
          <w:sz w:val="18"/>
          <w:szCs w:val="18"/>
        </w:rPr>
        <w:t>2020) 98 final</w:t>
      </w:r>
      <w:r w:rsidR="00165481" w:rsidRPr="00E0385C">
        <w:rPr>
          <w:sz w:val="18"/>
          <w:szCs w:val="18"/>
        </w:rPr>
        <w:t xml:space="preserve">) </w:t>
      </w:r>
      <w:proofErr w:type="spellStart"/>
      <w:r w:rsidR="00165481" w:rsidRPr="00E0385C">
        <w:rPr>
          <w:sz w:val="18"/>
          <w:szCs w:val="18"/>
        </w:rPr>
        <w:t>ir</w:t>
      </w:r>
      <w:proofErr w:type="spellEnd"/>
      <w:r w:rsidR="00165481" w:rsidRPr="00E0385C">
        <w:rPr>
          <w:sz w:val="18"/>
          <w:szCs w:val="18"/>
        </w:rPr>
        <w:t xml:space="preserve"> </w:t>
      </w:r>
      <w:proofErr w:type="spellStart"/>
      <w:r w:rsidR="00165481" w:rsidRPr="00E0385C">
        <w:rPr>
          <w:sz w:val="18"/>
          <w:szCs w:val="18"/>
        </w:rPr>
        <w:t>viens</w:t>
      </w:r>
      <w:proofErr w:type="spellEnd"/>
      <w:r w:rsidR="00165481" w:rsidRPr="00E0385C">
        <w:rPr>
          <w:sz w:val="18"/>
          <w:szCs w:val="18"/>
        </w:rPr>
        <w:t xml:space="preserve"> no </w:t>
      </w:r>
      <w:proofErr w:type="spellStart"/>
      <w:r w:rsidR="00165481" w:rsidRPr="00E0385C">
        <w:rPr>
          <w:i/>
          <w:iCs/>
          <w:sz w:val="18"/>
          <w:szCs w:val="18"/>
        </w:rPr>
        <w:t>Eiropas</w:t>
      </w:r>
      <w:proofErr w:type="spellEnd"/>
      <w:r w:rsidR="00165481" w:rsidRPr="00E0385C">
        <w:rPr>
          <w:i/>
          <w:iCs/>
          <w:sz w:val="18"/>
          <w:szCs w:val="18"/>
        </w:rPr>
        <w:t xml:space="preserve"> </w:t>
      </w:r>
      <w:proofErr w:type="spellStart"/>
      <w:r w:rsidR="00165481" w:rsidRPr="00E0385C">
        <w:rPr>
          <w:i/>
          <w:iCs/>
          <w:sz w:val="18"/>
          <w:szCs w:val="18"/>
        </w:rPr>
        <w:t>zaļā</w:t>
      </w:r>
      <w:proofErr w:type="spellEnd"/>
      <w:r w:rsidR="00165481" w:rsidRPr="00E0385C">
        <w:rPr>
          <w:i/>
          <w:iCs/>
          <w:sz w:val="18"/>
          <w:szCs w:val="18"/>
        </w:rPr>
        <w:t xml:space="preserve"> </w:t>
      </w:r>
      <w:proofErr w:type="spellStart"/>
      <w:r w:rsidR="00165481" w:rsidRPr="00E0385C">
        <w:rPr>
          <w:i/>
          <w:iCs/>
          <w:sz w:val="18"/>
          <w:szCs w:val="18"/>
        </w:rPr>
        <w:t>kursa</w:t>
      </w:r>
      <w:proofErr w:type="spellEnd"/>
      <w:r w:rsidR="00165481" w:rsidRPr="00E0385C">
        <w:rPr>
          <w:rStyle w:val="FootnoteReference"/>
          <w:sz w:val="18"/>
          <w:szCs w:val="18"/>
        </w:rPr>
        <w:footnoteRef/>
      </w:r>
      <w:r w:rsidR="00165481" w:rsidRPr="00E0385C">
        <w:rPr>
          <w:sz w:val="18"/>
          <w:szCs w:val="18"/>
        </w:rPr>
        <w:t xml:space="preserve"> </w:t>
      </w:r>
      <w:proofErr w:type="spellStart"/>
      <w:r w:rsidR="00165481" w:rsidRPr="00E0385C">
        <w:rPr>
          <w:sz w:val="18"/>
          <w:szCs w:val="18"/>
        </w:rPr>
        <w:t>stūrakmeņiem</w:t>
      </w:r>
      <w:proofErr w:type="spellEnd"/>
      <w:r w:rsidR="00165481" w:rsidRPr="00E0385C">
        <w:rPr>
          <w:sz w:val="18"/>
          <w:szCs w:val="18"/>
        </w:rPr>
        <w:t xml:space="preserve"> un </w:t>
      </w:r>
      <w:proofErr w:type="spellStart"/>
      <w:r w:rsidR="00165481" w:rsidRPr="00E0385C">
        <w:rPr>
          <w:sz w:val="18"/>
          <w:szCs w:val="18"/>
        </w:rPr>
        <w:t>paredz</w:t>
      </w:r>
      <w:proofErr w:type="spellEnd"/>
      <w:r w:rsidR="00165481" w:rsidRPr="00E0385C">
        <w:rPr>
          <w:sz w:val="18"/>
          <w:szCs w:val="18"/>
        </w:rPr>
        <w:t xml:space="preserve"> </w:t>
      </w:r>
      <w:proofErr w:type="spellStart"/>
      <w:r w:rsidR="00165481" w:rsidRPr="00E0385C">
        <w:rPr>
          <w:sz w:val="18"/>
          <w:szCs w:val="18"/>
        </w:rPr>
        <w:t>pasākumus</w:t>
      </w:r>
      <w:proofErr w:type="spellEnd"/>
      <w:r w:rsidR="00165481" w:rsidRPr="00E0385C">
        <w:rPr>
          <w:sz w:val="18"/>
          <w:szCs w:val="18"/>
        </w:rPr>
        <w:t xml:space="preserve"> </w:t>
      </w:r>
      <w:proofErr w:type="spellStart"/>
      <w:r w:rsidR="00165481" w:rsidRPr="00E0385C">
        <w:rPr>
          <w:sz w:val="18"/>
          <w:szCs w:val="18"/>
        </w:rPr>
        <w:t>visā</w:t>
      </w:r>
      <w:proofErr w:type="spellEnd"/>
      <w:r w:rsidR="00165481" w:rsidRPr="00E0385C">
        <w:rPr>
          <w:sz w:val="18"/>
          <w:szCs w:val="18"/>
        </w:rPr>
        <w:t xml:space="preserve"> </w:t>
      </w:r>
      <w:proofErr w:type="spellStart"/>
      <w:r w:rsidR="00165481" w:rsidRPr="00E0385C">
        <w:rPr>
          <w:sz w:val="18"/>
          <w:szCs w:val="18"/>
        </w:rPr>
        <w:t>rūpniecības</w:t>
      </w:r>
      <w:proofErr w:type="spellEnd"/>
      <w:r w:rsidR="00165481" w:rsidRPr="00E0385C">
        <w:rPr>
          <w:sz w:val="18"/>
          <w:szCs w:val="18"/>
        </w:rPr>
        <w:t xml:space="preserve"> </w:t>
      </w:r>
      <w:proofErr w:type="spellStart"/>
      <w:r w:rsidR="00165481" w:rsidRPr="00E0385C">
        <w:rPr>
          <w:sz w:val="18"/>
          <w:szCs w:val="18"/>
        </w:rPr>
        <w:t>aprites</w:t>
      </w:r>
      <w:proofErr w:type="spellEnd"/>
      <w:r w:rsidR="00165481" w:rsidRPr="00E0385C">
        <w:rPr>
          <w:sz w:val="18"/>
          <w:szCs w:val="18"/>
        </w:rPr>
        <w:t xml:space="preserve"> </w:t>
      </w:r>
      <w:proofErr w:type="spellStart"/>
      <w:r w:rsidR="00165481" w:rsidRPr="00E0385C">
        <w:rPr>
          <w:sz w:val="18"/>
          <w:szCs w:val="18"/>
        </w:rPr>
        <w:t>ciklā</w:t>
      </w:r>
      <w:proofErr w:type="spellEnd"/>
    </w:p>
  </w:footnote>
  <w:footnote w:id="4">
    <w:p w14:paraId="7AA8EEA8" w14:textId="5F235D9B" w:rsidR="00D85200" w:rsidRPr="00D85200" w:rsidRDefault="00D85200">
      <w:pPr>
        <w:pStyle w:val="FootnoteText"/>
        <w:rPr>
          <w:lang w:val="lv-LV"/>
        </w:rPr>
      </w:pPr>
      <w:r w:rsidRPr="00E0385C">
        <w:rPr>
          <w:rStyle w:val="FootnoteReference"/>
          <w:sz w:val="18"/>
          <w:szCs w:val="18"/>
        </w:rPr>
        <w:footnoteRef/>
      </w:r>
      <w:r w:rsidR="003D1D82" w:rsidRPr="00E0385C">
        <w:rPr>
          <w:sz w:val="18"/>
          <w:szCs w:val="18"/>
          <w:lang w:val="lv-LV"/>
        </w:rPr>
        <w:t xml:space="preserve"> </w:t>
      </w:r>
      <w:r w:rsidR="003D1D82" w:rsidRPr="00E0385C">
        <w:rPr>
          <w:sz w:val="18"/>
          <w:szCs w:val="18"/>
          <w:lang w:val="lv-LV"/>
        </w:rPr>
        <w:t xml:space="preserve">COM/2017/0479 </w:t>
      </w:r>
      <w:proofErr w:type="spellStart"/>
      <w:r w:rsidR="003D1D82" w:rsidRPr="00E0385C">
        <w:rPr>
          <w:sz w:val="18"/>
          <w:szCs w:val="18"/>
          <w:lang w:val="lv-LV"/>
        </w:rPr>
        <w:t>final</w:t>
      </w:r>
      <w:proofErr w:type="spellEnd"/>
    </w:p>
  </w:footnote>
  <w:footnote w:id="5">
    <w:p w14:paraId="3AFCC38E" w14:textId="3D2552DB" w:rsidR="004B00CF" w:rsidRPr="00E0385C" w:rsidRDefault="004B00CF">
      <w:pPr>
        <w:pStyle w:val="FootnoteText"/>
        <w:rPr>
          <w:sz w:val="18"/>
          <w:szCs w:val="18"/>
          <w:lang w:val="lv-LV"/>
        </w:rPr>
      </w:pPr>
      <w:r>
        <w:rPr>
          <w:rStyle w:val="FootnoteReference"/>
        </w:rPr>
        <w:footnoteRef/>
      </w:r>
      <w:hyperlink r:id="rId1" w:history="1">
        <w:r w:rsidR="00E0385C" w:rsidRPr="00D77478">
          <w:rPr>
            <w:rStyle w:val="Hyperlink"/>
            <w:sz w:val="18"/>
            <w:szCs w:val="18"/>
            <w:lang w:val="lv-LV"/>
          </w:rPr>
          <w:t>https://www.ellenmacarthurfoundation.org/assets/downloads/A-New-Textiles-Economy_Summary-of-Findings_Updated_1-12-17.pdf</w:t>
        </w:r>
      </w:hyperlink>
    </w:p>
  </w:footnote>
  <w:footnote w:id="6">
    <w:p w14:paraId="3B4B4BBD" w14:textId="295F3690" w:rsidR="00612CCE" w:rsidRPr="00612CCE" w:rsidRDefault="00612CCE">
      <w:pPr>
        <w:pStyle w:val="FootnoteText"/>
        <w:rPr>
          <w:lang w:val="lv-LV"/>
        </w:rPr>
      </w:pPr>
      <w:r w:rsidRPr="00E0385C">
        <w:rPr>
          <w:rStyle w:val="FootnoteReference"/>
          <w:sz w:val="18"/>
          <w:szCs w:val="18"/>
        </w:rPr>
        <w:footnoteRef/>
      </w:r>
      <w:r w:rsidRPr="00E0385C">
        <w:rPr>
          <w:sz w:val="18"/>
          <w:szCs w:val="18"/>
          <w:lang w:val="lv-LV"/>
        </w:rPr>
        <w:t xml:space="preserve"> </w:t>
      </w:r>
      <w:hyperlink r:id="rId2" w:history="1">
        <w:r w:rsidRPr="00E0385C">
          <w:rPr>
            <w:rStyle w:val="Hyperlink"/>
            <w:sz w:val="18"/>
            <w:szCs w:val="18"/>
            <w:lang w:val="lv-LV"/>
          </w:rPr>
          <w:t>https://www.eea.europa.eu/publications/textiles-in-europes-circular-economy</w:t>
        </w:r>
      </w:hyperlink>
      <w:r>
        <w:rPr>
          <w:lang w:val="lv-LV"/>
        </w:rPr>
        <w:t xml:space="preserve"> </w:t>
      </w:r>
    </w:p>
  </w:footnote>
  <w:footnote w:id="7">
    <w:p w14:paraId="10EDDF8B" w14:textId="2936809B" w:rsidR="00E0385C" w:rsidRPr="004B00CF" w:rsidRDefault="004B00CF" w:rsidP="00E0385C">
      <w:pPr>
        <w:pStyle w:val="FootnoteText"/>
        <w:rPr>
          <w:lang w:val="lv-LV"/>
        </w:rPr>
      </w:pPr>
      <w:r>
        <w:rPr>
          <w:rStyle w:val="FootnoteReference"/>
        </w:rPr>
        <w:footnoteRef/>
      </w:r>
      <w:r w:rsidR="00E0385C">
        <w:rPr>
          <w:lang w:val="lv-LV"/>
        </w:rPr>
        <w:t xml:space="preserve"> </w:t>
      </w:r>
      <w:hyperlink r:id="rId3" w:history="1">
        <w:r w:rsidR="00E0385C" w:rsidRPr="00E0385C">
          <w:rPr>
            <w:rStyle w:val="Hyperlink"/>
            <w:sz w:val="18"/>
            <w:szCs w:val="18"/>
            <w:lang w:val="lv-LV"/>
          </w:rPr>
          <w:t>https://www.ellenmacarthurfoundation.org/assets/downloads/Completing_The_Picture_How_The_Circular_Economy-_Tackles_Climate_Change_V3_26_September.pdf</w:t>
        </w:r>
      </w:hyperlink>
      <w:r w:rsidR="00E0385C">
        <w:rPr>
          <w:lang w:val="lv-LV"/>
        </w:rPr>
        <w:t xml:space="preserve"> </w:t>
      </w:r>
    </w:p>
  </w:footnote>
  <w:footnote w:id="8">
    <w:p w14:paraId="7C9FE281" w14:textId="2A0DA583" w:rsidR="00B42D20" w:rsidRPr="00E0385C" w:rsidRDefault="00B42D20">
      <w:pPr>
        <w:pStyle w:val="FootnoteText"/>
        <w:rPr>
          <w:sz w:val="18"/>
          <w:szCs w:val="18"/>
          <w:lang w:val="lv-LV"/>
        </w:rPr>
      </w:pPr>
      <w:r w:rsidRPr="00E0385C">
        <w:rPr>
          <w:rStyle w:val="FootnoteReference"/>
          <w:sz w:val="18"/>
          <w:szCs w:val="18"/>
        </w:rPr>
        <w:footnoteRef/>
      </w:r>
      <w:r w:rsidRPr="00E0385C">
        <w:rPr>
          <w:sz w:val="18"/>
          <w:szCs w:val="18"/>
          <w:lang w:val="lv-LV"/>
        </w:rPr>
        <w:t xml:space="preserve"> </w:t>
      </w:r>
      <w:r w:rsidRPr="00E0385C">
        <w:rPr>
          <w:sz w:val="18"/>
          <w:szCs w:val="18"/>
          <w:lang w:val="lv-LV"/>
        </w:rPr>
        <w:t xml:space="preserve">Eiropas Parlamenta un Padomes Direktīva 2009/125/EK ( 2009. gada 21. oktobris ), ar ko izveido sistēmu, lai noteiktu </w:t>
      </w:r>
      <w:proofErr w:type="spellStart"/>
      <w:r w:rsidRPr="00E0385C">
        <w:rPr>
          <w:sz w:val="18"/>
          <w:szCs w:val="18"/>
          <w:lang w:val="lv-LV"/>
        </w:rPr>
        <w:t>ekodizaina</w:t>
      </w:r>
      <w:proofErr w:type="spellEnd"/>
      <w:r w:rsidRPr="00E0385C">
        <w:rPr>
          <w:sz w:val="18"/>
          <w:szCs w:val="18"/>
          <w:lang w:val="lv-LV"/>
        </w:rPr>
        <w:t xml:space="preserve"> prasības ar enerģiju saistītiem ražojumiem</w:t>
      </w:r>
    </w:p>
  </w:footnote>
  <w:footnote w:id="9">
    <w:p w14:paraId="401E8937" w14:textId="04AD0B56" w:rsidR="00C80501" w:rsidRPr="00E0385C" w:rsidRDefault="00C80501">
      <w:pPr>
        <w:pStyle w:val="FootnoteText"/>
        <w:rPr>
          <w:sz w:val="18"/>
          <w:szCs w:val="18"/>
          <w:lang w:val="lv-LV"/>
        </w:rPr>
      </w:pPr>
      <w:r w:rsidRPr="00E0385C">
        <w:rPr>
          <w:rStyle w:val="FootnoteReference"/>
          <w:sz w:val="18"/>
          <w:szCs w:val="18"/>
        </w:rPr>
        <w:footnoteRef/>
      </w:r>
      <w:r w:rsidRPr="00E0385C">
        <w:rPr>
          <w:sz w:val="18"/>
          <w:szCs w:val="18"/>
          <w:lang w:val="lv-LV"/>
        </w:rPr>
        <w:t xml:space="preserve"> </w:t>
      </w:r>
      <w:hyperlink r:id="rId4" w:history="1">
        <w:r w:rsidR="00E0385C" w:rsidRPr="00D77478">
          <w:rPr>
            <w:rStyle w:val="Hyperlink"/>
            <w:sz w:val="18"/>
            <w:szCs w:val="18"/>
            <w:lang w:val="lv-LV"/>
          </w:rPr>
          <w:t>https://ec.europa.eu/commission/presscorner/detail/en/ip_21_2784</w:t>
        </w:r>
      </w:hyperlink>
      <w:r w:rsidR="00E0385C">
        <w:rPr>
          <w:sz w:val="18"/>
          <w:szCs w:val="18"/>
          <w:lang w:val="lv-LV"/>
        </w:rPr>
        <w:t xml:space="preserve"> </w:t>
      </w:r>
    </w:p>
  </w:footnote>
  <w:footnote w:id="10">
    <w:p w14:paraId="239BB0D4" w14:textId="31E05D55" w:rsidR="004F1656" w:rsidRPr="004E66DB" w:rsidRDefault="004F1656" w:rsidP="004F1656">
      <w:pPr>
        <w:pStyle w:val="FootnoteText"/>
      </w:pPr>
      <w:r w:rsidRPr="00E0385C">
        <w:rPr>
          <w:rStyle w:val="FootnoteReference"/>
          <w:sz w:val="18"/>
          <w:szCs w:val="18"/>
        </w:rPr>
        <w:footnoteRef/>
      </w:r>
      <w:r w:rsidRPr="00E0385C">
        <w:rPr>
          <w:sz w:val="18"/>
          <w:szCs w:val="18"/>
        </w:rPr>
        <w:t xml:space="preserve"> </w:t>
      </w:r>
      <w:proofErr w:type="spellStart"/>
      <w:r w:rsidRPr="00E0385C">
        <w:rPr>
          <w:sz w:val="18"/>
          <w:szCs w:val="18"/>
        </w:rPr>
        <w:t>Komisijas</w:t>
      </w:r>
      <w:proofErr w:type="spellEnd"/>
      <w:r w:rsidRPr="00E0385C">
        <w:rPr>
          <w:sz w:val="18"/>
          <w:szCs w:val="18"/>
        </w:rPr>
        <w:t xml:space="preserve"> </w:t>
      </w:r>
      <w:proofErr w:type="spellStart"/>
      <w:r w:rsidRPr="00E0385C">
        <w:rPr>
          <w:sz w:val="18"/>
          <w:szCs w:val="18"/>
        </w:rPr>
        <w:t>dienestu</w:t>
      </w:r>
      <w:proofErr w:type="spellEnd"/>
      <w:r w:rsidRPr="00E0385C">
        <w:rPr>
          <w:sz w:val="18"/>
          <w:szCs w:val="18"/>
        </w:rPr>
        <w:t xml:space="preserve"> </w:t>
      </w:r>
      <w:proofErr w:type="spellStart"/>
      <w:r w:rsidRPr="00E0385C">
        <w:rPr>
          <w:sz w:val="18"/>
          <w:szCs w:val="18"/>
        </w:rPr>
        <w:t>darba</w:t>
      </w:r>
      <w:proofErr w:type="spellEnd"/>
      <w:r w:rsidRPr="00E0385C">
        <w:rPr>
          <w:sz w:val="18"/>
          <w:szCs w:val="18"/>
        </w:rPr>
        <w:t xml:space="preserve"> </w:t>
      </w:r>
      <w:proofErr w:type="spellStart"/>
      <w:r w:rsidRPr="00E0385C">
        <w:rPr>
          <w:sz w:val="18"/>
          <w:szCs w:val="18"/>
        </w:rPr>
        <w:t>dokuments</w:t>
      </w:r>
      <w:proofErr w:type="spellEnd"/>
      <w:r w:rsidRPr="00E0385C">
        <w:rPr>
          <w:sz w:val="18"/>
          <w:szCs w:val="18"/>
        </w:rPr>
        <w:t xml:space="preserve"> “2020. </w:t>
      </w:r>
      <w:proofErr w:type="spellStart"/>
      <w:r w:rsidRPr="00E0385C">
        <w:rPr>
          <w:sz w:val="18"/>
          <w:szCs w:val="18"/>
        </w:rPr>
        <w:t>gada</w:t>
      </w:r>
      <w:proofErr w:type="spellEnd"/>
      <w:r w:rsidRPr="00E0385C">
        <w:rPr>
          <w:sz w:val="18"/>
          <w:szCs w:val="18"/>
        </w:rPr>
        <w:t xml:space="preserve"> </w:t>
      </w:r>
      <w:proofErr w:type="spellStart"/>
      <w:r w:rsidRPr="00E0385C">
        <w:rPr>
          <w:sz w:val="18"/>
          <w:szCs w:val="18"/>
        </w:rPr>
        <w:t>ziņ</w:t>
      </w:r>
      <w:r w:rsidR="003131ED" w:rsidRPr="00E0385C">
        <w:rPr>
          <w:sz w:val="18"/>
          <w:szCs w:val="18"/>
        </w:rPr>
        <w:t>o</w:t>
      </w:r>
      <w:r w:rsidRPr="00E0385C">
        <w:rPr>
          <w:sz w:val="18"/>
          <w:szCs w:val="18"/>
        </w:rPr>
        <w:t>jums</w:t>
      </w:r>
      <w:proofErr w:type="spellEnd"/>
      <w:r w:rsidRPr="00E0385C">
        <w:rPr>
          <w:sz w:val="18"/>
          <w:szCs w:val="18"/>
        </w:rPr>
        <w:t xml:space="preserve"> par </w:t>
      </w:r>
      <w:proofErr w:type="spellStart"/>
      <w:r w:rsidRPr="00E0385C">
        <w:rPr>
          <w:sz w:val="18"/>
          <w:szCs w:val="18"/>
        </w:rPr>
        <w:t>Latviju</w:t>
      </w:r>
      <w:proofErr w:type="spellEnd"/>
      <w:r w:rsidRPr="00E0385C">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5D63" w14:textId="77777777" w:rsidR="00A82C96" w:rsidRDefault="00A82C96" w:rsidP="00E829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9AE"/>
    <w:multiLevelType w:val="hybridMultilevel"/>
    <w:tmpl w:val="D466DCCC"/>
    <w:lvl w:ilvl="0" w:tplc="4DF2C3B0">
      <w:start w:val="1"/>
      <w:numFmt w:val="decimal"/>
      <w:pStyle w:val="Prrafodelista"/>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B34D2"/>
    <w:multiLevelType w:val="hybridMultilevel"/>
    <w:tmpl w:val="30DCCA42"/>
    <w:lvl w:ilvl="0" w:tplc="FA6C9B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66AD9"/>
    <w:multiLevelType w:val="hybridMultilevel"/>
    <w:tmpl w:val="875071AC"/>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 w15:restartNumberingAfterBreak="0">
    <w:nsid w:val="075B6DF6"/>
    <w:multiLevelType w:val="hybridMultilevel"/>
    <w:tmpl w:val="5388F4DC"/>
    <w:lvl w:ilvl="0" w:tplc="FB081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6D2400"/>
    <w:multiLevelType w:val="hybridMultilevel"/>
    <w:tmpl w:val="B0DEC16A"/>
    <w:lvl w:ilvl="0" w:tplc="FB08167E">
      <w:start w:val="1"/>
      <w:numFmt w:val="lowerLetter"/>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19B236C"/>
    <w:multiLevelType w:val="hybridMultilevel"/>
    <w:tmpl w:val="4766A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3C3219"/>
    <w:multiLevelType w:val="hybridMultilevel"/>
    <w:tmpl w:val="CDD4D5B0"/>
    <w:lvl w:ilvl="0" w:tplc="D5E0A5F8">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49945EF"/>
    <w:multiLevelType w:val="hybridMultilevel"/>
    <w:tmpl w:val="BA168292"/>
    <w:lvl w:ilvl="0" w:tplc="04260001">
      <w:start w:val="2"/>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240E3C"/>
    <w:multiLevelType w:val="hybridMultilevel"/>
    <w:tmpl w:val="91CA7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640E73"/>
    <w:multiLevelType w:val="hybridMultilevel"/>
    <w:tmpl w:val="657A6260"/>
    <w:lvl w:ilvl="0" w:tplc="04348D5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C9457F"/>
    <w:multiLevelType w:val="hybridMultilevel"/>
    <w:tmpl w:val="7C3812A4"/>
    <w:lvl w:ilvl="0" w:tplc="0426000B">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13" w15:restartNumberingAfterBreak="0">
    <w:nsid w:val="2E692B41"/>
    <w:multiLevelType w:val="hybridMultilevel"/>
    <w:tmpl w:val="7104FF22"/>
    <w:lvl w:ilvl="0" w:tplc="51CA4B98">
      <w:start w:val="2"/>
      <w:numFmt w:val="bullet"/>
      <w:lvlText w:val="-"/>
      <w:lvlJc w:val="left"/>
      <w:pPr>
        <w:ind w:left="360" w:hanging="360"/>
      </w:pPr>
      <w:rPr>
        <w:rFonts w:ascii="Cambria" w:eastAsia="Calibri" w:hAnsi="Cambria" w:cs="Calibri" w:hint="default"/>
        <w:i/>
        <w:sz w:val="22"/>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2F5F79CA"/>
    <w:multiLevelType w:val="hybridMultilevel"/>
    <w:tmpl w:val="3D485CE2"/>
    <w:lvl w:ilvl="0" w:tplc="6820135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4A5675F"/>
    <w:multiLevelType w:val="hybridMultilevel"/>
    <w:tmpl w:val="4EC09278"/>
    <w:lvl w:ilvl="0" w:tplc="06A2BDA6">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5933A8"/>
    <w:multiLevelType w:val="hybridMultilevel"/>
    <w:tmpl w:val="B47A3E46"/>
    <w:lvl w:ilvl="0" w:tplc="EEFE2E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C12AF3"/>
    <w:multiLevelType w:val="hybridMultilevel"/>
    <w:tmpl w:val="63D427E2"/>
    <w:lvl w:ilvl="0" w:tplc="2D5698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9A3400"/>
    <w:multiLevelType w:val="hybridMultilevel"/>
    <w:tmpl w:val="1D9A02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79F5E27"/>
    <w:multiLevelType w:val="multilevel"/>
    <w:tmpl w:val="940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DE1718"/>
    <w:multiLevelType w:val="hybridMultilevel"/>
    <w:tmpl w:val="399EB182"/>
    <w:lvl w:ilvl="0" w:tplc="04348D5A">
      <w:start w:val="1"/>
      <w:numFmt w:val="lowerLetter"/>
      <w:lvlText w:val="%1)"/>
      <w:lvlJc w:val="left"/>
      <w:pPr>
        <w:ind w:left="164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DB147A7"/>
    <w:multiLevelType w:val="hybridMultilevel"/>
    <w:tmpl w:val="1680AF0C"/>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24" w15:restartNumberingAfterBreak="0">
    <w:nsid w:val="52A3735D"/>
    <w:multiLevelType w:val="hybridMultilevel"/>
    <w:tmpl w:val="27543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7406799"/>
    <w:multiLevelType w:val="hybridMultilevel"/>
    <w:tmpl w:val="6AB4EB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826B63"/>
    <w:multiLevelType w:val="hybridMultilevel"/>
    <w:tmpl w:val="17B25E5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63D07FBF"/>
    <w:multiLevelType w:val="multilevel"/>
    <w:tmpl w:val="0DEC75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8B36BC"/>
    <w:multiLevelType w:val="hybridMultilevel"/>
    <w:tmpl w:val="89449FAC"/>
    <w:lvl w:ilvl="0" w:tplc="2D3476D0">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966329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A00451E"/>
    <w:multiLevelType w:val="hybridMultilevel"/>
    <w:tmpl w:val="8DC2F0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746339A6"/>
    <w:multiLevelType w:val="hybridMultilevel"/>
    <w:tmpl w:val="AB869D4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6C94629"/>
    <w:multiLevelType w:val="hybridMultilevel"/>
    <w:tmpl w:val="94F4E372"/>
    <w:lvl w:ilvl="0" w:tplc="04260017">
      <w:start w:val="1"/>
      <w:numFmt w:val="lowerLetter"/>
      <w:lvlText w:val="%1)"/>
      <w:lvlJc w:val="left"/>
      <w:pPr>
        <w:ind w:left="1709" w:hanging="360"/>
      </w:pPr>
    </w:lvl>
    <w:lvl w:ilvl="1" w:tplc="04260019">
      <w:start w:val="1"/>
      <w:numFmt w:val="lowerLetter"/>
      <w:lvlText w:val="%2."/>
      <w:lvlJc w:val="left"/>
      <w:pPr>
        <w:ind w:left="2429" w:hanging="360"/>
      </w:pPr>
    </w:lvl>
    <w:lvl w:ilvl="2" w:tplc="0426001B">
      <w:start w:val="1"/>
      <w:numFmt w:val="lowerRoman"/>
      <w:lvlText w:val="%3."/>
      <w:lvlJc w:val="right"/>
      <w:pPr>
        <w:ind w:left="3149" w:hanging="180"/>
      </w:pPr>
    </w:lvl>
    <w:lvl w:ilvl="3" w:tplc="0426000F">
      <w:start w:val="1"/>
      <w:numFmt w:val="decimal"/>
      <w:lvlText w:val="%4."/>
      <w:lvlJc w:val="left"/>
      <w:pPr>
        <w:ind w:left="3869" w:hanging="360"/>
      </w:pPr>
    </w:lvl>
    <w:lvl w:ilvl="4" w:tplc="04260019">
      <w:start w:val="1"/>
      <w:numFmt w:val="lowerLetter"/>
      <w:lvlText w:val="%5."/>
      <w:lvlJc w:val="left"/>
      <w:pPr>
        <w:ind w:left="4589" w:hanging="360"/>
      </w:pPr>
    </w:lvl>
    <w:lvl w:ilvl="5" w:tplc="0426001B">
      <w:start w:val="1"/>
      <w:numFmt w:val="lowerRoman"/>
      <w:lvlText w:val="%6."/>
      <w:lvlJc w:val="right"/>
      <w:pPr>
        <w:ind w:left="5309" w:hanging="180"/>
      </w:pPr>
    </w:lvl>
    <w:lvl w:ilvl="6" w:tplc="0426000F">
      <w:start w:val="1"/>
      <w:numFmt w:val="decimal"/>
      <w:lvlText w:val="%7."/>
      <w:lvlJc w:val="left"/>
      <w:pPr>
        <w:ind w:left="6029" w:hanging="360"/>
      </w:pPr>
    </w:lvl>
    <w:lvl w:ilvl="7" w:tplc="04260019">
      <w:start w:val="1"/>
      <w:numFmt w:val="lowerLetter"/>
      <w:lvlText w:val="%8."/>
      <w:lvlJc w:val="left"/>
      <w:pPr>
        <w:ind w:left="6749" w:hanging="360"/>
      </w:pPr>
    </w:lvl>
    <w:lvl w:ilvl="8" w:tplc="0426001B">
      <w:start w:val="1"/>
      <w:numFmt w:val="lowerRoman"/>
      <w:lvlText w:val="%9."/>
      <w:lvlJc w:val="right"/>
      <w:pPr>
        <w:ind w:left="7469" w:hanging="180"/>
      </w:pPr>
    </w:lvl>
  </w:abstractNum>
  <w:abstractNum w:abstractNumId="33" w15:restartNumberingAfterBreak="0">
    <w:nsid w:val="7C813C7B"/>
    <w:multiLevelType w:val="hybridMultilevel"/>
    <w:tmpl w:val="DC9CC8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E4914C3"/>
    <w:multiLevelType w:val="hybridMultilevel"/>
    <w:tmpl w:val="F93C18FA"/>
    <w:lvl w:ilvl="0" w:tplc="30E4FC2E">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ED33C36"/>
    <w:multiLevelType w:val="multilevel"/>
    <w:tmpl w:val="2DB01DA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3"/>
  </w:num>
  <w:num w:numId="4">
    <w:abstractNumId w:val="11"/>
  </w:num>
  <w:num w:numId="5">
    <w:abstractNumId w:val="31"/>
  </w:num>
  <w:num w:numId="6">
    <w:abstractNumId w:val="1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2"/>
  </w:num>
  <w:num w:numId="10">
    <w:abstractNumId w:val="21"/>
  </w:num>
  <w:num w:numId="11">
    <w:abstractNumId w:val="1"/>
  </w:num>
  <w:num w:numId="12">
    <w:abstractNumId w:val="34"/>
  </w:num>
  <w:num w:numId="13">
    <w:abstractNumId w:val="24"/>
  </w:num>
  <w:num w:numId="14">
    <w:abstractNumId w:val="19"/>
  </w:num>
  <w:num w:numId="15">
    <w:abstractNumId w:val="17"/>
  </w:num>
  <w:num w:numId="16">
    <w:abstractNumId w:val="23"/>
  </w:num>
  <w:num w:numId="17">
    <w:abstractNumId w:val="23"/>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27"/>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 w:numId="32">
    <w:abstractNumId w:val="33"/>
  </w:num>
  <w:num w:numId="33">
    <w:abstractNumId w:val="25"/>
  </w:num>
  <w:num w:numId="34">
    <w:abstractNumId w:val="35"/>
  </w:num>
  <w:num w:numId="35">
    <w:abstractNumId w:val="10"/>
  </w:num>
  <w:num w:numId="36">
    <w:abstractNumId w:val="9"/>
  </w:num>
  <w:num w:numId="37">
    <w:abstractNumId w:val="23"/>
  </w:num>
  <w:num w:numId="38">
    <w:abstractNumId w:val="23"/>
  </w:num>
  <w:num w:numId="39">
    <w:abstractNumId w:val="16"/>
  </w:num>
  <w:num w:numId="40">
    <w:abstractNumId w:val="20"/>
  </w:num>
  <w:num w:numId="41">
    <w:abstractNumId w:val="6"/>
  </w:num>
  <w:num w:numId="42">
    <w:abstractNumId w:val="4"/>
  </w:num>
  <w:num w:numId="43">
    <w:abstractNumId w:val="18"/>
  </w:num>
  <w:num w:numId="44">
    <w:abstractNumId w:val="26"/>
  </w:num>
  <w:num w:numId="45">
    <w:abstractNumId w:val="28"/>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FD"/>
    <w:rsid w:val="00001F55"/>
    <w:rsid w:val="000024B3"/>
    <w:rsid w:val="00002D26"/>
    <w:rsid w:val="00003257"/>
    <w:rsid w:val="00003880"/>
    <w:rsid w:val="0000388E"/>
    <w:rsid w:val="00003DB0"/>
    <w:rsid w:val="00006532"/>
    <w:rsid w:val="00006AFF"/>
    <w:rsid w:val="00006DD2"/>
    <w:rsid w:val="00006EB7"/>
    <w:rsid w:val="00006F4F"/>
    <w:rsid w:val="000103D5"/>
    <w:rsid w:val="00010974"/>
    <w:rsid w:val="00015EE5"/>
    <w:rsid w:val="00020F9B"/>
    <w:rsid w:val="00020FFE"/>
    <w:rsid w:val="00024BE6"/>
    <w:rsid w:val="00030014"/>
    <w:rsid w:val="0003438D"/>
    <w:rsid w:val="00034FD6"/>
    <w:rsid w:val="000358E0"/>
    <w:rsid w:val="0003618A"/>
    <w:rsid w:val="00036ADF"/>
    <w:rsid w:val="000379D3"/>
    <w:rsid w:val="00037B1E"/>
    <w:rsid w:val="000436A4"/>
    <w:rsid w:val="000442B9"/>
    <w:rsid w:val="00045D2E"/>
    <w:rsid w:val="00045EEC"/>
    <w:rsid w:val="00050511"/>
    <w:rsid w:val="000510F6"/>
    <w:rsid w:val="000529CF"/>
    <w:rsid w:val="000535D1"/>
    <w:rsid w:val="00054CAF"/>
    <w:rsid w:val="00055B42"/>
    <w:rsid w:val="00055EC2"/>
    <w:rsid w:val="000602E6"/>
    <w:rsid w:val="00060920"/>
    <w:rsid w:val="0006151F"/>
    <w:rsid w:val="0006157F"/>
    <w:rsid w:val="000635BC"/>
    <w:rsid w:val="00063DC3"/>
    <w:rsid w:val="00073D7A"/>
    <w:rsid w:val="0007654B"/>
    <w:rsid w:val="00076E90"/>
    <w:rsid w:val="000772EF"/>
    <w:rsid w:val="00077601"/>
    <w:rsid w:val="000776A7"/>
    <w:rsid w:val="00077C15"/>
    <w:rsid w:val="000809E3"/>
    <w:rsid w:val="00081FBD"/>
    <w:rsid w:val="00083036"/>
    <w:rsid w:val="00085098"/>
    <w:rsid w:val="00087137"/>
    <w:rsid w:val="000873F9"/>
    <w:rsid w:val="000926E1"/>
    <w:rsid w:val="0009330E"/>
    <w:rsid w:val="0009394F"/>
    <w:rsid w:val="00094533"/>
    <w:rsid w:val="00096DA8"/>
    <w:rsid w:val="000A0FEF"/>
    <w:rsid w:val="000A3211"/>
    <w:rsid w:val="000A3F35"/>
    <w:rsid w:val="000A4D65"/>
    <w:rsid w:val="000A7822"/>
    <w:rsid w:val="000B273C"/>
    <w:rsid w:val="000B2E1D"/>
    <w:rsid w:val="000B45BE"/>
    <w:rsid w:val="000B5201"/>
    <w:rsid w:val="000B7533"/>
    <w:rsid w:val="000B7652"/>
    <w:rsid w:val="000B7A44"/>
    <w:rsid w:val="000C0144"/>
    <w:rsid w:val="000C08A1"/>
    <w:rsid w:val="000C0B8F"/>
    <w:rsid w:val="000C29FD"/>
    <w:rsid w:val="000C6722"/>
    <w:rsid w:val="000C7C06"/>
    <w:rsid w:val="000D043C"/>
    <w:rsid w:val="000D2C3C"/>
    <w:rsid w:val="000D4080"/>
    <w:rsid w:val="000D4269"/>
    <w:rsid w:val="000D4314"/>
    <w:rsid w:val="000D5588"/>
    <w:rsid w:val="000D62AE"/>
    <w:rsid w:val="000D7B0D"/>
    <w:rsid w:val="000E3EE7"/>
    <w:rsid w:val="000E584F"/>
    <w:rsid w:val="000E5D3A"/>
    <w:rsid w:val="000E6824"/>
    <w:rsid w:val="000E729A"/>
    <w:rsid w:val="000E7F2E"/>
    <w:rsid w:val="000F2E13"/>
    <w:rsid w:val="000F4E1E"/>
    <w:rsid w:val="000F56DD"/>
    <w:rsid w:val="000F574A"/>
    <w:rsid w:val="000F5D5C"/>
    <w:rsid w:val="000F6061"/>
    <w:rsid w:val="000F6268"/>
    <w:rsid w:val="000F644B"/>
    <w:rsid w:val="00103145"/>
    <w:rsid w:val="0010746D"/>
    <w:rsid w:val="0011067D"/>
    <w:rsid w:val="001122BD"/>
    <w:rsid w:val="00112408"/>
    <w:rsid w:val="0011276E"/>
    <w:rsid w:val="00113C1F"/>
    <w:rsid w:val="00113E9C"/>
    <w:rsid w:val="00114AE6"/>
    <w:rsid w:val="00116A52"/>
    <w:rsid w:val="00117A4A"/>
    <w:rsid w:val="001208B2"/>
    <w:rsid w:val="00120DF4"/>
    <w:rsid w:val="00121D12"/>
    <w:rsid w:val="0012241A"/>
    <w:rsid w:val="00123D33"/>
    <w:rsid w:val="00125759"/>
    <w:rsid w:val="00127023"/>
    <w:rsid w:val="00127F7A"/>
    <w:rsid w:val="00130B66"/>
    <w:rsid w:val="00141852"/>
    <w:rsid w:val="00142F03"/>
    <w:rsid w:val="00142F91"/>
    <w:rsid w:val="00143A56"/>
    <w:rsid w:val="0014562B"/>
    <w:rsid w:val="001459DF"/>
    <w:rsid w:val="00146333"/>
    <w:rsid w:val="00147CD5"/>
    <w:rsid w:val="00147E72"/>
    <w:rsid w:val="00151124"/>
    <w:rsid w:val="001511E3"/>
    <w:rsid w:val="00152748"/>
    <w:rsid w:val="00152897"/>
    <w:rsid w:val="00153D60"/>
    <w:rsid w:val="00157304"/>
    <w:rsid w:val="001574F9"/>
    <w:rsid w:val="00162DC9"/>
    <w:rsid w:val="0016355C"/>
    <w:rsid w:val="001638B2"/>
    <w:rsid w:val="00164401"/>
    <w:rsid w:val="00165481"/>
    <w:rsid w:val="00166724"/>
    <w:rsid w:val="00166F5D"/>
    <w:rsid w:val="00170AC8"/>
    <w:rsid w:val="00174C7E"/>
    <w:rsid w:val="00175AD7"/>
    <w:rsid w:val="00176362"/>
    <w:rsid w:val="00176B91"/>
    <w:rsid w:val="00182684"/>
    <w:rsid w:val="001855FF"/>
    <w:rsid w:val="00186768"/>
    <w:rsid w:val="00187DDC"/>
    <w:rsid w:val="00194414"/>
    <w:rsid w:val="0019488D"/>
    <w:rsid w:val="00196A58"/>
    <w:rsid w:val="001A1717"/>
    <w:rsid w:val="001A22E1"/>
    <w:rsid w:val="001A2487"/>
    <w:rsid w:val="001A364C"/>
    <w:rsid w:val="001A3D8D"/>
    <w:rsid w:val="001A3F82"/>
    <w:rsid w:val="001A3F99"/>
    <w:rsid w:val="001A4483"/>
    <w:rsid w:val="001A4A99"/>
    <w:rsid w:val="001A4B8A"/>
    <w:rsid w:val="001A4C64"/>
    <w:rsid w:val="001A506D"/>
    <w:rsid w:val="001A6EF7"/>
    <w:rsid w:val="001B012B"/>
    <w:rsid w:val="001B2E0E"/>
    <w:rsid w:val="001B3007"/>
    <w:rsid w:val="001B34D5"/>
    <w:rsid w:val="001B3DD8"/>
    <w:rsid w:val="001B462F"/>
    <w:rsid w:val="001B4E60"/>
    <w:rsid w:val="001B66D2"/>
    <w:rsid w:val="001B6B76"/>
    <w:rsid w:val="001B70CB"/>
    <w:rsid w:val="001C0CDC"/>
    <w:rsid w:val="001C1246"/>
    <w:rsid w:val="001C355D"/>
    <w:rsid w:val="001C37D0"/>
    <w:rsid w:val="001C4170"/>
    <w:rsid w:val="001C4AFF"/>
    <w:rsid w:val="001D4E8E"/>
    <w:rsid w:val="001E2930"/>
    <w:rsid w:val="001E2B33"/>
    <w:rsid w:val="001E4A15"/>
    <w:rsid w:val="001E4A2A"/>
    <w:rsid w:val="001E5482"/>
    <w:rsid w:val="001E6D2A"/>
    <w:rsid w:val="001F136D"/>
    <w:rsid w:val="001F2DB0"/>
    <w:rsid w:val="001F5E31"/>
    <w:rsid w:val="001F65AD"/>
    <w:rsid w:val="001F77CD"/>
    <w:rsid w:val="00200343"/>
    <w:rsid w:val="002007B9"/>
    <w:rsid w:val="002018ED"/>
    <w:rsid w:val="0020372F"/>
    <w:rsid w:val="00203F23"/>
    <w:rsid w:val="00204405"/>
    <w:rsid w:val="00206E18"/>
    <w:rsid w:val="00207845"/>
    <w:rsid w:val="0021287A"/>
    <w:rsid w:val="00213109"/>
    <w:rsid w:val="00213765"/>
    <w:rsid w:val="00214162"/>
    <w:rsid w:val="00214D2D"/>
    <w:rsid w:val="00216232"/>
    <w:rsid w:val="00217703"/>
    <w:rsid w:val="0021798A"/>
    <w:rsid w:val="002210E2"/>
    <w:rsid w:val="00222747"/>
    <w:rsid w:val="002230AB"/>
    <w:rsid w:val="002235AB"/>
    <w:rsid w:val="00223711"/>
    <w:rsid w:val="00223819"/>
    <w:rsid w:val="0022468E"/>
    <w:rsid w:val="00226A49"/>
    <w:rsid w:val="002273A6"/>
    <w:rsid w:val="00230CD2"/>
    <w:rsid w:val="002319CE"/>
    <w:rsid w:val="00231DB0"/>
    <w:rsid w:val="0023309C"/>
    <w:rsid w:val="00233E52"/>
    <w:rsid w:val="00234BA1"/>
    <w:rsid w:val="002363B2"/>
    <w:rsid w:val="0023676A"/>
    <w:rsid w:val="00236796"/>
    <w:rsid w:val="00237563"/>
    <w:rsid w:val="00237ED4"/>
    <w:rsid w:val="00240DAE"/>
    <w:rsid w:val="0024180B"/>
    <w:rsid w:val="0024311E"/>
    <w:rsid w:val="0024407F"/>
    <w:rsid w:val="0024468F"/>
    <w:rsid w:val="00244CBC"/>
    <w:rsid w:val="00246C9C"/>
    <w:rsid w:val="00246DD6"/>
    <w:rsid w:val="002475E9"/>
    <w:rsid w:val="00247C50"/>
    <w:rsid w:val="00247F14"/>
    <w:rsid w:val="00250BE7"/>
    <w:rsid w:val="00250DA8"/>
    <w:rsid w:val="00251C57"/>
    <w:rsid w:val="00251ED9"/>
    <w:rsid w:val="00252ED4"/>
    <w:rsid w:val="002546A3"/>
    <w:rsid w:val="00254B94"/>
    <w:rsid w:val="00256F1A"/>
    <w:rsid w:val="00257727"/>
    <w:rsid w:val="00262D7B"/>
    <w:rsid w:val="0026423C"/>
    <w:rsid w:val="0026797F"/>
    <w:rsid w:val="00270AA8"/>
    <w:rsid w:val="00271E95"/>
    <w:rsid w:val="00271FD9"/>
    <w:rsid w:val="0027208F"/>
    <w:rsid w:val="00272742"/>
    <w:rsid w:val="00273518"/>
    <w:rsid w:val="00273961"/>
    <w:rsid w:val="00274410"/>
    <w:rsid w:val="00275983"/>
    <w:rsid w:val="002766C1"/>
    <w:rsid w:val="00276D7C"/>
    <w:rsid w:val="0027704C"/>
    <w:rsid w:val="0027736A"/>
    <w:rsid w:val="00280C00"/>
    <w:rsid w:val="00282BD8"/>
    <w:rsid w:val="00283025"/>
    <w:rsid w:val="0028348C"/>
    <w:rsid w:val="00283E8E"/>
    <w:rsid w:val="00285FEE"/>
    <w:rsid w:val="00286135"/>
    <w:rsid w:val="0028622B"/>
    <w:rsid w:val="00286354"/>
    <w:rsid w:val="00287136"/>
    <w:rsid w:val="002904D7"/>
    <w:rsid w:val="002922CC"/>
    <w:rsid w:val="002925BC"/>
    <w:rsid w:val="00292B43"/>
    <w:rsid w:val="00295CFB"/>
    <w:rsid w:val="00296F75"/>
    <w:rsid w:val="002A2165"/>
    <w:rsid w:val="002A3280"/>
    <w:rsid w:val="002A3ED4"/>
    <w:rsid w:val="002A6877"/>
    <w:rsid w:val="002A705E"/>
    <w:rsid w:val="002A78D4"/>
    <w:rsid w:val="002A7F55"/>
    <w:rsid w:val="002B1244"/>
    <w:rsid w:val="002B1B38"/>
    <w:rsid w:val="002B1FC9"/>
    <w:rsid w:val="002B46B5"/>
    <w:rsid w:val="002C0B97"/>
    <w:rsid w:val="002C3D56"/>
    <w:rsid w:val="002C6D92"/>
    <w:rsid w:val="002D3677"/>
    <w:rsid w:val="002D3C9D"/>
    <w:rsid w:val="002D4A65"/>
    <w:rsid w:val="002D5B09"/>
    <w:rsid w:val="002D6003"/>
    <w:rsid w:val="002E00C1"/>
    <w:rsid w:val="002E02A0"/>
    <w:rsid w:val="002E0D48"/>
    <w:rsid w:val="002E2840"/>
    <w:rsid w:val="002E449F"/>
    <w:rsid w:val="002E799D"/>
    <w:rsid w:val="002F0216"/>
    <w:rsid w:val="002F251C"/>
    <w:rsid w:val="002F2EF6"/>
    <w:rsid w:val="002F7DCC"/>
    <w:rsid w:val="00300438"/>
    <w:rsid w:val="0030155B"/>
    <w:rsid w:val="00301E1B"/>
    <w:rsid w:val="00303C35"/>
    <w:rsid w:val="0030479A"/>
    <w:rsid w:val="00304C38"/>
    <w:rsid w:val="00306150"/>
    <w:rsid w:val="003131ED"/>
    <w:rsid w:val="00316BC2"/>
    <w:rsid w:val="0032048D"/>
    <w:rsid w:val="00320A4D"/>
    <w:rsid w:val="003219AF"/>
    <w:rsid w:val="00322A82"/>
    <w:rsid w:val="00325F6F"/>
    <w:rsid w:val="003261C5"/>
    <w:rsid w:val="00327C6E"/>
    <w:rsid w:val="00333A45"/>
    <w:rsid w:val="00334340"/>
    <w:rsid w:val="00334861"/>
    <w:rsid w:val="0033503A"/>
    <w:rsid w:val="003353C5"/>
    <w:rsid w:val="003354DF"/>
    <w:rsid w:val="0033778E"/>
    <w:rsid w:val="003402CB"/>
    <w:rsid w:val="00342E53"/>
    <w:rsid w:val="0034483D"/>
    <w:rsid w:val="003450AE"/>
    <w:rsid w:val="00345204"/>
    <w:rsid w:val="00346F47"/>
    <w:rsid w:val="00347003"/>
    <w:rsid w:val="003471E6"/>
    <w:rsid w:val="00347D1B"/>
    <w:rsid w:val="00350C78"/>
    <w:rsid w:val="00352538"/>
    <w:rsid w:val="00352579"/>
    <w:rsid w:val="00354461"/>
    <w:rsid w:val="00356CE9"/>
    <w:rsid w:val="00357A3B"/>
    <w:rsid w:val="00360573"/>
    <w:rsid w:val="003609AC"/>
    <w:rsid w:val="00362A09"/>
    <w:rsid w:val="00363334"/>
    <w:rsid w:val="003635ED"/>
    <w:rsid w:val="003676A1"/>
    <w:rsid w:val="003709B5"/>
    <w:rsid w:val="00370E37"/>
    <w:rsid w:val="003711C5"/>
    <w:rsid w:val="0037261A"/>
    <w:rsid w:val="003741CA"/>
    <w:rsid w:val="00375962"/>
    <w:rsid w:val="00377005"/>
    <w:rsid w:val="00377958"/>
    <w:rsid w:val="00382B8F"/>
    <w:rsid w:val="00384ED6"/>
    <w:rsid w:val="0038615C"/>
    <w:rsid w:val="00387616"/>
    <w:rsid w:val="00387A7D"/>
    <w:rsid w:val="003914E0"/>
    <w:rsid w:val="003914F1"/>
    <w:rsid w:val="00391631"/>
    <w:rsid w:val="00392523"/>
    <w:rsid w:val="00393334"/>
    <w:rsid w:val="00393BE0"/>
    <w:rsid w:val="003942E2"/>
    <w:rsid w:val="00395EF0"/>
    <w:rsid w:val="003972C5"/>
    <w:rsid w:val="003A0B5D"/>
    <w:rsid w:val="003A0F39"/>
    <w:rsid w:val="003A47F8"/>
    <w:rsid w:val="003A49BE"/>
    <w:rsid w:val="003B0D39"/>
    <w:rsid w:val="003B1DF3"/>
    <w:rsid w:val="003B5C8A"/>
    <w:rsid w:val="003B63F4"/>
    <w:rsid w:val="003C01BF"/>
    <w:rsid w:val="003C0C79"/>
    <w:rsid w:val="003C1CE6"/>
    <w:rsid w:val="003C51E0"/>
    <w:rsid w:val="003C52E6"/>
    <w:rsid w:val="003C5983"/>
    <w:rsid w:val="003C5DDD"/>
    <w:rsid w:val="003C7D3B"/>
    <w:rsid w:val="003D0DD4"/>
    <w:rsid w:val="003D12C5"/>
    <w:rsid w:val="003D1D82"/>
    <w:rsid w:val="003D2DD5"/>
    <w:rsid w:val="003D3A80"/>
    <w:rsid w:val="003D3F07"/>
    <w:rsid w:val="003D4F7E"/>
    <w:rsid w:val="003D66A9"/>
    <w:rsid w:val="003E0B9C"/>
    <w:rsid w:val="003E3082"/>
    <w:rsid w:val="003E4337"/>
    <w:rsid w:val="003E4950"/>
    <w:rsid w:val="003E7ECA"/>
    <w:rsid w:val="003F2389"/>
    <w:rsid w:val="003F4A8C"/>
    <w:rsid w:val="003F4E31"/>
    <w:rsid w:val="00402471"/>
    <w:rsid w:val="00404827"/>
    <w:rsid w:val="004077A5"/>
    <w:rsid w:val="00410308"/>
    <w:rsid w:val="00411381"/>
    <w:rsid w:val="00413CCE"/>
    <w:rsid w:val="00414C57"/>
    <w:rsid w:val="00416475"/>
    <w:rsid w:val="004173AE"/>
    <w:rsid w:val="004208D4"/>
    <w:rsid w:val="00420C9C"/>
    <w:rsid w:val="00424217"/>
    <w:rsid w:val="004243DD"/>
    <w:rsid w:val="004248EB"/>
    <w:rsid w:val="00427047"/>
    <w:rsid w:val="00432B1C"/>
    <w:rsid w:val="00432F54"/>
    <w:rsid w:val="00433309"/>
    <w:rsid w:val="00433CED"/>
    <w:rsid w:val="00442381"/>
    <w:rsid w:val="0044289A"/>
    <w:rsid w:val="00443282"/>
    <w:rsid w:val="00444596"/>
    <w:rsid w:val="00446089"/>
    <w:rsid w:val="00451BA7"/>
    <w:rsid w:val="00451D1F"/>
    <w:rsid w:val="00456621"/>
    <w:rsid w:val="00460656"/>
    <w:rsid w:val="004620FB"/>
    <w:rsid w:val="00462FC0"/>
    <w:rsid w:val="00463778"/>
    <w:rsid w:val="00463A0B"/>
    <w:rsid w:val="00463C1C"/>
    <w:rsid w:val="00463C66"/>
    <w:rsid w:val="0046464B"/>
    <w:rsid w:val="00466605"/>
    <w:rsid w:val="00466B4D"/>
    <w:rsid w:val="0046786F"/>
    <w:rsid w:val="00470EB7"/>
    <w:rsid w:val="00471D64"/>
    <w:rsid w:val="00472278"/>
    <w:rsid w:val="00472F40"/>
    <w:rsid w:val="00473128"/>
    <w:rsid w:val="0047323F"/>
    <w:rsid w:val="00475E15"/>
    <w:rsid w:val="00483FE0"/>
    <w:rsid w:val="004900E8"/>
    <w:rsid w:val="00490580"/>
    <w:rsid w:val="004912E1"/>
    <w:rsid w:val="00492A73"/>
    <w:rsid w:val="00496D25"/>
    <w:rsid w:val="0049720E"/>
    <w:rsid w:val="004A0C1E"/>
    <w:rsid w:val="004A260E"/>
    <w:rsid w:val="004A268B"/>
    <w:rsid w:val="004A363D"/>
    <w:rsid w:val="004A4504"/>
    <w:rsid w:val="004A4B6A"/>
    <w:rsid w:val="004A7182"/>
    <w:rsid w:val="004B00CF"/>
    <w:rsid w:val="004B03C2"/>
    <w:rsid w:val="004B1189"/>
    <w:rsid w:val="004B1E2B"/>
    <w:rsid w:val="004B52AB"/>
    <w:rsid w:val="004B6ECA"/>
    <w:rsid w:val="004C0B6B"/>
    <w:rsid w:val="004C234B"/>
    <w:rsid w:val="004C3033"/>
    <w:rsid w:val="004C355A"/>
    <w:rsid w:val="004C4DC9"/>
    <w:rsid w:val="004C629F"/>
    <w:rsid w:val="004C7149"/>
    <w:rsid w:val="004D2D3A"/>
    <w:rsid w:val="004D307A"/>
    <w:rsid w:val="004D56E4"/>
    <w:rsid w:val="004D697A"/>
    <w:rsid w:val="004D6D27"/>
    <w:rsid w:val="004E16C4"/>
    <w:rsid w:val="004E6550"/>
    <w:rsid w:val="004E7259"/>
    <w:rsid w:val="004F049D"/>
    <w:rsid w:val="004F06F6"/>
    <w:rsid w:val="004F085D"/>
    <w:rsid w:val="004F1656"/>
    <w:rsid w:val="004F3296"/>
    <w:rsid w:val="004F35E0"/>
    <w:rsid w:val="004F4598"/>
    <w:rsid w:val="004F7031"/>
    <w:rsid w:val="00501350"/>
    <w:rsid w:val="0050424B"/>
    <w:rsid w:val="00505C24"/>
    <w:rsid w:val="005078E1"/>
    <w:rsid w:val="005115F7"/>
    <w:rsid w:val="00511666"/>
    <w:rsid w:val="005121B0"/>
    <w:rsid w:val="00515F3F"/>
    <w:rsid w:val="005161D4"/>
    <w:rsid w:val="005216B4"/>
    <w:rsid w:val="00521C43"/>
    <w:rsid w:val="00522258"/>
    <w:rsid w:val="00523FA1"/>
    <w:rsid w:val="00525A9C"/>
    <w:rsid w:val="00526DB9"/>
    <w:rsid w:val="005338AB"/>
    <w:rsid w:val="00533D14"/>
    <w:rsid w:val="005377A0"/>
    <w:rsid w:val="005379B4"/>
    <w:rsid w:val="00541B3B"/>
    <w:rsid w:val="00545424"/>
    <w:rsid w:val="0054572B"/>
    <w:rsid w:val="00546180"/>
    <w:rsid w:val="005503F7"/>
    <w:rsid w:val="005507F1"/>
    <w:rsid w:val="005511DC"/>
    <w:rsid w:val="00552C57"/>
    <w:rsid w:val="00554A69"/>
    <w:rsid w:val="00556836"/>
    <w:rsid w:val="005647B0"/>
    <w:rsid w:val="005656A7"/>
    <w:rsid w:val="005663BF"/>
    <w:rsid w:val="005672CC"/>
    <w:rsid w:val="005674D1"/>
    <w:rsid w:val="005704E4"/>
    <w:rsid w:val="00571229"/>
    <w:rsid w:val="0057168E"/>
    <w:rsid w:val="00571DA2"/>
    <w:rsid w:val="00574DDF"/>
    <w:rsid w:val="00575610"/>
    <w:rsid w:val="00583E89"/>
    <w:rsid w:val="00585ADE"/>
    <w:rsid w:val="00586006"/>
    <w:rsid w:val="00587BDB"/>
    <w:rsid w:val="00587CE7"/>
    <w:rsid w:val="0059015E"/>
    <w:rsid w:val="00593B15"/>
    <w:rsid w:val="005947C7"/>
    <w:rsid w:val="00595920"/>
    <w:rsid w:val="00595F0F"/>
    <w:rsid w:val="005966B3"/>
    <w:rsid w:val="00597855"/>
    <w:rsid w:val="00597D4D"/>
    <w:rsid w:val="005A1016"/>
    <w:rsid w:val="005A1ED0"/>
    <w:rsid w:val="005A38FD"/>
    <w:rsid w:val="005A3DB2"/>
    <w:rsid w:val="005A55DD"/>
    <w:rsid w:val="005A6A67"/>
    <w:rsid w:val="005A6F65"/>
    <w:rsid w:val="005A7171"/>
    <w:rsid w:val="005B151D"/>
    <w:rsid w:val="005B2639"/>
    <w:rsid w:val="005B29E4"/>
    <w:rsid w:val="005B3642"/>
    <w:rsid w:val="005B3B3B"/>
    <w:rsid w:val="005B5364"/>
    <w:rsid w:val="005B54CE"/>
    <w:rsid w:val="005B630B"/>
    <w:rsid w:val="005B6E58"/>
    <w:rsid w:val="005C117C"/>
    <w:rsid w:val="005C1E65"/>
    <w:rsid w:val="005C2E66"/>
    <w:rsid w:val="005C3A5A"/>
    <w:rsid w:val="005C6FAD"/>
    <w:rsid w:val="005D374D"/>
    <w:rsid w:val="005D7065"/>
    <w:rsid w:val="005E05D5"/>
    <w:rsid w:val="005E2945"/>
    <w:rsid w:val="005E32E7"/>
    <w:rsid w:val="005E37D6"/>
    <w:rsid w:val="005E5776"/>
    <w:rsid w:val="005E59FD"/>
    <w:rsid w:val="005F28E5"/>
    <w:rsid w:val="005F4F7A"/>
    <w:rsid w:val="005F5060"/>
    <w:rsid w:val="005F76DF"/>
    <w:rsid w:val="00600B02"/>
    <w:rsid w:val="00600CF1"/>
    <w:rsid w:val="00601C50"/>
    <w:rsid w:val="00604003"/>
    <w:rsid w:val="006043FB"/>
    <w:rsid w:val="006058E2"/>
    <w:rsid w:val="00606786"/>
    <w:rsid w:val="006070E4"/>
    <w:rsid w:val="00607E52"/>
    <w:rsid w:val="00612CCE"/>
    <w:rsid w:val="00613982"/>
    <w:rsid w:val="00615EA6"/>
    <w:rsid w:val="006179E4"/>
    <w:rsid w:val="00621237"/>
    <w:rsid w:val="00622415"/>
    <w:rsid w:val="006228F1"/>
    <w:rsid w:val="00623E3C"/>
    <w:rsid w:val="00625453"/>
    <w:rsid w:val="00626651"/>
    <w:rsid w:val="00627E70"/>
    <w:rsid w:val="006305D2"/>
    <w:rsid w:val="00633E04"/>
    <w:rsid w:val="0063447B"/>
    <w:rsid w:val="00634FC2"/>
    <w:rsid w:val="006402D7"/>
    <w:rsid w:val="00641703"/>
    <w:rsid w:val="00641DEC"/>
    <w:rsid w:val="00641E5B"/>
    <w:rsid w:val="00642F24"/>
    <w:rsid w:val="00645B0F"/>
    <w:rsid w:val="00647269"/>
    <w:rsid w:val="00647B1F"/>
    <w:rsid w:val="0065071B"/>
    <w:rsid w:val="006546A6"/>
    <w:rsid w:val="00656987"/>
    <w:rsid w:val="00660157"/>
    <w:rsid w:val="00660C9C"/>
    <w:rsid w:val="00661238"/>
    <w:rsid w:val="0066150F"/>
    <w:rsid w:val="006617F1"/>
    <w:rsid w:val="00663C24"/>
    <w:rsid w:val="00667776"/>
    <w:rsid w:val="00670525"/>
    <w:rsid w:val="00670DCA"/>
    <w:rsid w:val="00671220"/>
    <w:rsid w:val="00672D2A"/>
    <w:rsid w:val="00677B13"/>
    <w:rsid w:val="00682D1B"/>
    <w:rsid w:val="00692664"/>
    <w:rsid w:val="00696015"/>
    <w:rsid w:val="00696D9C"/>
    <w:rsid w:val="00696ECC"/>
    <w:rsid w:val="00696F79"/>
    <w:rsid w:val="006A17A1"/>
    <w:rsid w:val="006A434F"/>
    <w:rsid w:val="006A5C3C"/>
    <w:rsid w:val="006A7C0E"/>
    <w:rsid w:val="006B0A2F"/>
    <w:rsid w:val="006B0F21"/>
    <w:rsid w:val="006B1158"/>
    <w:rsid w:val="006B2945"/>
    <w:rsid w:val="006B3525"/>
    <w:rsid w:val="006B3684"/>
    <w:rsid w:val="006B48BB"/>
    <w:rsid w:val="006B5F5C"/>
    <w:rsid w:val="006C329E"/>
    <w:rsid w:val="006C3957"/>
    <w:rsid w:val="006C53DB"/>
    <w:rsid w:val="006D7081"/>
    <w:rsid w:val="006D71A0"/>
    <w:rsid w:val="006E239C"/>
    <w:rsid w:val="006E2438"/>
    <w:rsid w:val="006E46B8"/>
    <w:rsid w:val="006E5CFA"/>
    <w:rsid w:val="006F0030"/>
    <w:rsid w:val="006F12B7"/>
    <w:rsid w:val="006F18B4"/>
    <w:rsid w:val="006F3230"/>
    <w:rsid w:val="006F343C"/>
    <w:rsid w:val="006F49BF"/>
    <w:rsid w:val="006F4E16"/>
    <w:rsid w:val="006F6E41"/>
    <w:rsid w:val="0070073D"/>
    <w:rsid w:val="00700ACA"/>
    <w:rsid w:val="00700B95"/>
    <w:rsid w:val="0070157B"/>
    <w:rsid w:val="0070163D"/>
    <w:rsid w:val="00702A2B"/>
    <w:rsid w:val="00702C29"/>
    <w:rsid w:val="00703924"/>
    <w:rsid w:val="00704E69"/>
    <w:rsid w:val="00705CC4"/>
    <w:rsid w:val="00707C77"/>
    <w:rsid w:val="0071177F"/>
    <w:rsid w:val="00711AB8"/>
    <w:rsid w:val="00711DA8"/>
    <w:rsid w:val="00713E65"/>
    <w:rsid w:val="00715780"/>
    <w:rsid w:val="00715C12"/>
    <w:rsid w:val="00716396"/>
    <w:rsid w:val="007170CC"/>
    <w:rsid w:val="00717E43"/>
    <w:rsid w:val="00720356"/>
    <w:rsid w:val="00720E5F"/>
    <w:rsid w:val="00720FB2"/>
    <w:rsid w:val="007223D6"/>
    <w:rsid w:val="00725761"/>
    <w:rsid w:val="007278BE"/>
    <w:rsid w:val="007310D1"/>
    <w:rsid w:val="007313B8"/>
    <w:rsid w:val="00731FC2"/>
    <w:rsid w:val="00734D8C"/>
    <w:rsid w:val="00735145"/>
    <w:rsid w:val="00735B8A"/>
    <w:rsid w:val="007369F1"/>
    <w:rsid w:val="00736D8B"/>
    <w:rsid w:val="00741F60"/>
    <w:rsid w:val="00742A0D"/>
    <w:rsid w:val="007435C1"/>
    <w:rsid w:val="00744582"/>
    <w:rsid w:val="007463CB"/>
    <w:rsid w:val="00747721"/>
    <w:rsid w:val="0075064F"/>
    <w:rsid w:val="00750A95"/>
    <w:rsid w:val="00751DB8"/>
    <w:rsid w:val="007522AE"/>
    <w:rsid w:val="00753EBD"/>
    <w:rsid w:val="00753ED1"/>
    <w:rsid w:val="00754439"/>
    <w:rsid w:val="00756511"/>
    <w:rsid w:val="0075652E"/>
    <w:rsid w:val="00761994"/>
    <w:rsid w:val="00761ED6"/>
    <w:rsid w:val="007628FD"/>
    <w:rsid w:val="00763D88"/>
    <w:rsid w:val="00764713"/>
    <w:rsid w:val="00765131"/>
    <w:rsid w:val="00767F8D"/>
    <w:rsid w:val="007715FC"/>
    <w:rsid w:val="00771B05"/>
    <w:rsid w:val="00774644"/>
    <w:rsid w:val="007801E6"/>
    <w:rsid w:val="00780FCE"/>
    <w:rsid w:val="007816DD"/>
    <w:rsid w:val="00782D2A"/>
    <w:rsid w:val="00782F04"/>
    <w:rsid w:val="0078324B"/>
    <w:rsid w:val="007865DE"/>
    <w:rsid w:val="00787AAC"/>
    <w:rsid w:val="00792ACC"/>
    <w:rsid w:val="00796E81"/>
    <w:rsid w:val="007971E3"/>
    <w:rsid w:val="007A1922"/>
    <w:rsid w:val="007A20D4"/>
    <w:rsid w:val="007A391D"/>
    <w:rsid w:val="007A439E"/>
    <w:rsid w:val="007A50DF"/>
    <w:rsid w:val="007A5E0F"/>
    <w:rsid w:val="007B16CF"/>
    <w:rsid w:val="007B17E2"/>
    <w:rsid w:val="007B3BB0"/>
    <w:rsid w:val="007B5060"/>
    <w:rsid w:val="007B51BA"/>
    <w:rsid w:val="007B6CB3"/>
    <w:rsid w:val="007B756E"/>
    <w:rsid w:val="007C1A22"/>
    <w:rsid w:val="007C2F8A"/>
    <w:rsid w:val="007C4EE9"/>
    <w:rsid w:val="007C5125"/>
    <w:rsid w:val="007C537C"/>
    <w:rsid w:val="007D0CAA"/>
    <w:rsid w:val="007D27F8"/>
    <w:rsid w:val="007D41CE"/>
    <w:rsid w:val="007D6A10"/>
    <w:rsid w:val="007D70C6"/>
    <w:rsid w:val="007E0746"/>
    <w:rsid w:val="007E1396"/>
    <w:rsid w:val="007E5168"/>
    <w:rsid w:val="007E5369"/>
    <w:rsid w:val="007F01C7"/>
    <w:rsid w:val="007F33A0"/>
    <w:rsid w:val="007F37DA"/>
    <w:rsid w:val="007F3EB0"/>
    <w:rsid w:val="007F593C"/>
    <w:rsid w:val="007F5AEA"/>
    <w:rsid w:val="007F766E"/>
    <w:rsid w:val="007F7B80"/>
    <w:rsid w:val="00802BF7"/>
    <w:rsid w:val="00802EC9"/>
    <w:rsid w:val="00802FD6"/>
    <w:rsid w:val="00803714"/>
    <w:rsid w:val="008043D6"/>
    <w:rsid w:val="00804977"/>
    <w:rsid w:val="00804A86"/>
    <w:rsid w:val="00804FFF"/>
    <w:rsid w:val="008059FC"/>
    <w:rsid w:val="00807A4F"/>
    <w:rsid w:val="00813057"/>
    <w:rsid w:val="0081639A"/>
    <w:rsid w:val="00820DB6"/>
    <w:rsid w:val="008214CB"/>
    <w:rsid w:val="00824CDB"/>
    <w:rsid w:val="00824DDA"/>
    <w:rsid w:val="00827464"/>
    <w:rsid w:val="008305D7"/>
    <w:rsid w:val="008311C5"/>
    <w:rsid w:val="00832120"/>
    <w:rsid w:val="00836970"/>
    <w:rsid w:val="008405BF"/>
    <w:rsid w:val="008445B6"/>
    <w:rsid w:val="00844668"/>
    <w:rsid w:val="00844950"/>
    <w:rsid w:val="0084505A"/>
    <w:rsid w:val="00845334"/>
    <w:rsid w:val="00846F33"/>
    <w:rsid w:val="008500B0"/>
    <w:rsid w:val="00850AFF"/>
    <w:rsid w:val="00850E4A"/>
    <w:rsid w:val="00850F68"/>
    <w:rsid w:val="00851F7C"/>
    <w:rsid w:val="00856DDC"/>
    <w:rsid w:val="0086137A"/>
    <w:rsid w:val="008634FC"/>
    <w:rsid w:val="00864644"/>
    <w:rsid w:val="008647E8"/>
    <w:rsid w:val="00864CB8"/>
    <w:rsid w:val="00864ECD"/>
    <w:rsid w:val="00865C5D"/>
    <w:rsid w:val="00866B36"/>
    <w:rsid w:val="00870693"/>
    <w:rsid w:val="0087072A"/>
    <w:rsid w:val="00871379"/>
    <w:rsid w:val="008752D5"/>
    <w:rsid w:val="00876A52"/>
    <w:rsid w:val="00876BEC"/>
    <w:rsid w:val="0088107F"/>
    <w:rsid w:val="00882AEC"/>
    <w:rsid w:val="0088378A"/>
    <w:rsid w:val="008837AE"/>
    <w:rsid w:val="00883E33"/>
    <w:rsid w:val="00885A09"/>
    <w:rsid w:val="008871C6"/>
    <w:rsid w:val="00893323"/>
    <w:rsid w:val="00895BEE"/>
    <w:rsid w:val="008966C4"/>
    <w:rsid w:val="008A070A"/>
    <w:rsid w:val="008A29CD"/>
    <w:rsid w:val="008A3AC8"/>
    <w:rsid w:val="008A5897"/>
    <w:rsid w:val="008A659F"/>
    <w:rsid w:val="008A77DA"/>
    <w:rsid w:val="008B0A2B"/>
    <w:rsid w:val="008B233C"/>
    <w:rsid w:val="008B6E6F"/>
    <w:rsid w:val="008C0585"/>
    <w:rsid w:val="008C2AEA"/>
    <w:rsid w:val="008C33B1"/>
    <w:rsid w:val="008C5638"/>
    <w:rsid w:val="008D22FE"/>
    <w:rsid w:val="008D443F"/>
    <w:rsid w:val="008D4E6A"/>
    <w:rsid w:val="008E3678"/>
    <w:rsid w:val="008E4CA1"/>
    <w:rsid w:val="008F1790"/>
    <w:rsid w:val="008F3C98"/>
    <w:rsid w:val="008F6E1A"/>
    <w:rsid w:val="009018AD"/>
    <w:rsid w:val="00905BEC"/>
    <w:rsid w:val="00905E2C"/>
    <w:rsid w:val="00906DB7"/>
    <w:rsid w:val="00910805"/>
    <w:rsid w:val="00912129"/>
    <w:rsid w:val="009141CD"/>
    <w:rsid w:val="00915976"/>
    <w:rsid w:val="00920982"/>
    <w:rsid w:val="00920BF1"/>
    <w:rsid w:val="0092389D"/>
    <w:rsid w:val="00924EF2"/>
    <w:rsid w:val="0092522A"/>
    <w:rsid w:val="0092776A"/>
    <w:rsid w:val="009303CD"/>
    <w:rsid w:val="00931F06"/>
    <w:rsid w:val="00932031"/>
    <w:rsid w:val="0093294A"/>
    <w:rsid w:val="00940DF4"/>
    <w:rsid w:val="00942B22"/>
    <w:rsid w:val="0094409F"/>
    <w:rsid w:val="00944538"/>
    <w:rsid w:val="00950438"/>
    <w:rsid w:val="00951AAC"/>
    <w:rsid w:val="00957975"/>
    <w:rsid w:val="009636BE"/>
    <w:rsid w:val="00965A0A"/>
    <w:rsid w:val="00970FC4"/>
    <w:rsid w:val="009715D7"/>
    <w:rsid w:val="009751D9"/>
    <w:rsid w:val="00976EA8"/>
    <w:rsid w:val="00977BDF"/>
    <w:rsid w:val="00982E35"/>
    <w:rsid w:val="009877A4"/>
    <w:rsid w:val="0099352A"/>
    <w:rsid w:val="00993775"/>
    <w:rsid w:val="00993A4D"/>
    <w:rsid w:val="00994976"/>
    <w:rsid w:val="009952D4"/>
    <w:rsid w:val="009954BE"/>
    <w:rsid w:val="009958A9"/>
    <w:rsid w:val="00995A20"/>
    <w:rsid w:val="00997A1E"/>
    <w:rsid w:val="009A1694"/>
    <w:rsid w:val="009A170A"/>
    <w:rsid w:val="009A474F"/>
    <w:rsid w:val="009A70EB"/>
    <w:rsid w:val="009B4BBB"/>
    <w:rsid w:val="009B51B2"/>
    <w:rsid w:val="009C1115"/>
    <w:rsid w:val="009C6B4E"/>
    <w:rsid w:val="009C6E54"/>
    <w:rsid w:val="009C7941"/>
    <w:rsid w:val="009D0085"/>
    <w:rsid w:val="009D09BA"/>
    <w:rsid w:val="009D14A2"/>
    <w:rsid w:val="009D23C6"/>
    <w:rsid w:val="009D327D"/>
    <w:rsid w:val="009D3CA6"/>
    <w:rsid w:val="009D57D7"/>
    <w:rsid w:val="009E0ACC"/>
    <w:rsid w:val="009E1173"/>
    <w:rsid w:val="009E1B87"/>
    <w:rsid w:val="009E1BCA"/>
    <w:rsid w:val="009E2FD4"/>
    <w:rsid w:val="009E39E7"/>
    <w:rsid w:val="009E509C"/>
    <w:rsid w:val="009E71CD"/>
    <w:rsid w:val="009E7D31"/>
    <w:rsid w:val="009F2F84"/>
    <w:rsid w:val="009F3F55"/>
    <w:rsid w:val="009F48A3"/>
    <w:rsid w:val="009F50F9"/>
    <w:rsid w:val="009F5D25"/>
    <w:rsid w:val="009F7505"/>
    <w:rsid w:val="00A03329"/>
    <w:rsid w:val="00A057FE"/>
    <w:rsid w:val="00A0648A"/>
    <w:rsid w:val="00A07A13"/>
    <w:rsid w:val="00A12A8B"/>
    <w:rsid w:val="00A14193"/>
    <w:rsid w:val="00A1583E"/>
    <w:rsid w:val="00A20474"/>
    <w:rsid w:val="00A2077F"/>
    <w:rsid w:val="00A208CD"/>
    <w:rsid w:val="00A22C0D"/>
    <w:rsid w:val="00A24208"/>
    <w:rsid w:val="00A249DD"/>
    <w:rsid w:val="00A24E21"/>
    <w:rsid w:val="00A31F59"/>
    <w:rsid w:val="00A32C4D"/>
    <w:rsid w:val="00A344DF"/>
    <w:rsid w:val="00A34CE8"/>
    <w:rsid w:val="00A35D1B"/>
    <w:rsid w:val="00A3752C"/>
    <w:rsid w:val="00A40642"/>
    <w:rsid w:val="00A418B3"/>
    <w:rsid w:val="00A42067"/>
    <w:rsid w:val="00A42B7C"/>
    <w:rsid w:val="00A44AAB"/>
    <w:rsid w:val="00A45067"/>
    <w:rsid w:val="00A50CE1"/>
    <w:rsid w:val="00A51CF8"/>
    <w:rsid w:val="00A51F00"/>
    <w:rsid w:val="00A52E9E"/>
    <w:rsid w:val="00A53DCC"/>
    <w:rsid w:val="00A56FA2"/>
    <w:rsid w:val="00A57158"/>
    <w:rsid w:val="00A57836"/>
    <w:rsid w:val="00A6009B"/>
    <w:rsid w:val="00A658A5"/>
    <w:rsid w:val="00A73F96"/>
    <w:rsid w:val="00A755A7"/>
    <w:rsid w:val="00A771A2"/>
    <w:rsid w:val="00A775B9"/>
    <w:rsid w:val="00A776CD"/>
    <w:rsid w:val="00A77BCE"/>
    <w:rsid w:val="00A80634"/>
    <w:rsid w:val="00A82C96"/>
    <w:rsid w:val="00A84C6F"/>
    <w:rsid w:val="00A9006C"/>
    <w:rsid w:val="00A903F6"/>
    <w:rsid w:val="00A91E2D"/>
    <w:rsid w:val="00A93963"/>
    <w:rsid w:val="00A962FA"/>
    <w:rsid w:val="00A96461"/>
    <w:rsid w:val="00AA0989"/>
    <w:rsid w:val="00AA219A"/>
    <w:rsid w:val="00AA33E2"/>
    <w:rsid w:val="00AA3DCE"/>
    <w:rsid w:val="00AA46ED"/>
    <w:rsid w:val="00AA4F0E"/>
    <w:rsid w:val="00AA5509"/>
    <w:rsid w:val="00AA73C9"/>
    <w:rsid w:val="00AB0170"/>
    <w:rsid w:val="00AB19D0"/>
    <w:rsid w:val="00AB2522"/>
    <w:rsid w:val="00AB51E7"/>
    <w:rsid w:val="00AB62AB"/>
    <w:rsid w:val="00AB779B"/>
    <w:rsid w:val="00AB7C22"/>
    <w:rsid w:val="00AC12EB"/>
    <w:rsid w:val="00AC2036"/>
    <w:rsid w:val="00AC34BC"/>
    <w:rsid w:val="00AD26A8"/>
    <w:rsid w:val="00AD755F"/>
    <w:rsid w:val="00AD7F34"/>
    <w:rsid w:val="00AE1CF5"/>
    <w:rsid w:val="00AE2336"/>
    <w:rsid w:val="00AE47BF"/>
    <w:rsid w:val="00AE4F2E"/>
    <w:rsid w:val="00AE6DCB"/>
    <w:rsid w:val="00AE705E"/>
    <w:rsid w:val="00AF0ABB"/>
    <w:rsid w:val="00AF103D"/>
    <w:rsid w:val="00AF1AF2"/>
    <w:rsid w:val="00AF298F"/>
    <w:rsid w:val="00AF2AA2"/>
    <w:rsid w:val="00AF2B18"/>
    <w:rsid w:val="00AF3B78"/>
    <w:rsid w:val="00AF48B9"/>
    <w:rsid w:val="00AF716A"/>
    <w:rsid w:val="00B008C9"/>
    <w:rsid w:val="00B01691"/>
    <w:rsid w:val="00B02E1B"/>
    <w:rsid w:val="00B03768"/>
    <w:rsid w:val="00B0404A"/>
    <w:rsid w:val="00B04B2C"/>
    <w:rsid w:val="00B05BC3"/>
    <w:rsid w:val="00B06111"/>
    <w:rsid w:val="00B06511"/>
    <w:rsid w:val="00B0709E"/>
    <w:rsid w:val="00B0778F"/>
    <w:rsid w:val="00B12871"/>
    <w:rsid w:val="00B12DAE"/>
    <w:rsid w:val="00B168A7"/>
    <w:rsid w:val="00B21F15"/>
    <w:rsid w:val="00B242EF"/>
    <w:rsid w:val="00B24301"/>
    <w:rsid w:val="00B307C4"/>
    <w:rsid w:val="00B31E7E"/>
    <w:rsid w:val="00B32691"/>
    <w:rsid w:val="00B349E9"/>
    <w:rsid w:val="00B34C93"/>
    <w:rsid w:val="00B34FAB"/>
    <w:rsid w:val="00B35C40"/>
    <w:rsid w:val="00B37485"/>
    <w:rsid w:val="00B37D82"/>
    <w:rsid w:val="00B40BE8"/>
    <w:rsid w:val="00B41709"/>
    <w:rsid w:val="00B42BA2"/>
    <w:rsid w:val="00B42D20"/>
    <w:rsid w:val="00B43B8E"/>
    <w:rsid w:val="00B44F9F"/>
    <w:rsid w:val="00B44FBB"/>
    <w:rsid w:val="00B45EA6"/>
    <w:rsid w:val="00B46889"/>
    <w:rsid w:val="00B552FD"/>
    <w:rsid w:val="00B567C0"/>
    <w:rsid w:val="00B5715A"/>
    <w:rsid w:val="00B575D7"/>
    <w:rsid w:val="00B57A52"/>
    <w:rsid w:val="00B57C84"/>
    <w:rsid w:val="00B6011A"/>
    <w:rsid w:val="00B62718"/>
    <w:rsid w:val="00B62DB1"/>
    <w:rsid w:val="00B62F51"/>
    <w:rsid w:val="00B639F7"/>
    <w:rsid w:val="00B64C61"/>
    <w:rsid w:val="00B65304"/>
    <w:rsid w:val="00B6532C"/>
    <w:rsid w:val="00B65A55"/>
    <w:rsid w:val="00B65FD3"/>
    <w:rsid w:val="00B703E4"/>
    <w:rsid w:val="00B72E85"/>
    <w:rsid w:val="00B73950"/>
    <w:rsid w:val="00B73C5E"/>
    <w:rsid w:val="00B74BD8"/>
    <w:rsid w:val="00B75965"/>
    <w:rsid w:val="00B75B78"/>
    <w:rsid w:val="00B819E6"/>
    <w:rsid w:val="00B82CB9"/>
    <w:rsid w:val="00B833B6"/>
    <w:rsid w:val="00B878D4"/>
    <w:rsid w:val="00B913B2"/>
    <w:rsid w:val="00B915B1"/>
    <w:rsid w:val="00B91D2A"/>
    <w:rsid w:val="00B93095"/>
    <w:rsid w:val="00B93AB1"/>
    <w:rsid w:val="00B94190"/>
    <w:rsid w:val="00B97B9C"/>
    <w:rsid w:val="00BA0651"/>
    <w:rsid w:val="00BA2FAC"/>
    <w:rsid w:val="00BA4DDB"/>
    <w:rsid w:val="00BA5F25"/>
    <w:rsid w:val="00BA6538"/>
    <w:rsid w:val="00BA6F2F"/>
    <w:rsid w:val="00BA770D"/>
    <w:rsid w:val="00BA7B7F"/>
    <w:rsid w:val="00BA7EC2"/>
    <w:rsid w:val="00BB0940"/>
    <w:rsid w:val="00BB0ED5"/>
    <w:rsid w:val="00BB269E"/>
    <w:rsid w:val="00BB2998"/>
    <w:rsid w:val="00BB35B4"/>
    <w:rsid w:val="00BB3A8C"/>
    <w:rsid w:val="00BB4825"/>
    <w:rsid w:val="00BB5CB7"/>
    <w:rsid w:val="00BB6624"/>
    <w:rsid w:val="00BB7476"/>
    <w:rsid w:val="00BC2C2E"/>
    <w:rsid w:val="00BC2DBA"/>
    <w:rsid w:val="00BC3E1F"/>
    <w:rsid w:val="00BC5273"/>
    <w:rsid w:val="00BC6CF3"/>
    <w:rsid w:val="00BC7469"/>
    <w:rsid w:val="00BC78B0"/>
    <w:rsid w:val="00BD36AE"/>
    <w:rsid w:val="00BD7CED"/>
    <w:rsid w:val="00BE073D"/>
    <w:rsid w:val="00BE0BD6"/>
    <w:rsid w:val="00BE0E1F"/>
    <w:rsid w:val="00BE1284"/>
    <w:rsid w:val="00BE1572"/>
    <w:rsid w:val="00BE1C08"/>
    <w:rsid w:val="00BE2777"/>
    <w:rsid w:val="00BE4C20"/>
    <w:rsid w:val="00BE50AD"/>
    <w:rsid w:val="00BE54B7"/>
    <w:rsid w:val="00BE77EA"/>
    <w:rsid w:val="00BF042C"/>
    <w:rsid w:val="00BF1C4D"/>
    <w:rsid w:val="00BF1D59"/>
    <w:rsid w:val="00BF2C42"/>
    <w:rsid w:val="00BF3009"/>
    <w:rsid w:val="00BF389E"/>
    <w:rsid w:val="00BF3B4B"/>
    <w:rsid w:val="00BF4A0E"/>
    <w:rsid w:val="00BF4DF4"/>
    <w:rsid w:val="00BF53B6"/>
    <w:rsid w:val="00BF6DD4"/>
    <w:rsid w:val="00C03EC8"/>
    <w:rsid w:val="00C06802"/>
    <w:rsid w:val="00C069BC"/>
    <w:rsid w:val="00C071A7"/>
    <w:rsid w:val="00C07400"/>
    <w:rsid w:val="00C12B9F"/>
    <w:rsid w:val="00C13AE9"/>
    <w:rsid w:val="00C13F22"/>
    <w:rsid w:val="00C228C1"/>
    <w:rsid w:val="00C233A8"/>
    <w:rsid w:val="00C244D7"/>
    <w:rsid w:val="00C257EF"/>
    <w:rsid w:val="00C25B9E"/>
    <w:rsid w:val="00C26F48"/>
    <w:rsid w:val="00C30075"/>
    <w:rsid w:val="00C30125"/>
    <w:rsid w:val="00C3069E"/>
    <w:rsid w:val="00C3072B"/>
    <w:rsid w:val="00C30BD4"/>
    <w:rsid w:val="00C31253"/>
    <w:rsid w:val="00C32A92"/>
    <w:rsid w:val="00C33C6B"/>
    <w:rsid w:val="00C34A7B"/>
    <w:rsid w:val="00C35424"/>
    <w:rsid w:val="00C43BAA"/>
    <w:rsid w:val="00C444A7"/>
    <w:rsid w:val="00C45098"/>
    <w:rsid w:val="00C47F63"/>
    <w:rsid w:val="00C50CA4"/>
    <w:rsid w:val="00C53F1D"/>
    <w:rsid w:val="00C55BFD"/>
    <w:rsid w:val="00C6029E"/>
    <w:rsid w:val="00C60F0F"/>
    <w:rsid w:val="00C65102"/>
    <w:rsid w:val="00C65B39"/>
    <w:rsid w:val="00C65B64"/>
    <w:rsid w:val="00C65C2E"/>
    <w:rsid w:val="00C65CB5"/>
    <w:rsid w:val="00C67F9E"/>
    <w:rsid w:val="00C70F9B"/>
    <w:rsid w:val="00C71B2E"/>
    <w:rsid w:val="00C72FAE"/>
    <w:rsid w:val="00C7398D"/>
    <w:rsid w:val="00C739FC"/>
    <w:rsid w:val="00C75335"/>
    <w:rsid w:val="00C80501"/>
    <w:rsid w:val="00C80F08"/>
    <w:rsid w:val="00C8110D"/>
    <w:rsid w:val="00C819D3"/>
    <w:rsid w:val="00C84463"/>
    <w:rsid w:val="00C86D2F"/>
    <w:rsid w:val="00C9280F"/>
    <w:rsid w:val="00C9477C"/>
    <w:rsid w:val="00CA14D0"/>
    <w:rsid w:val="00CA2D33"/>
    <w:rsid w:val="00CA5DBA"/>
    <w:rsid w:val="00CA6ED7"/>
    <w:rsid w:val="00CA7F39"/>
    <w:rsid w:val="00CB1254"/>
    <w:rsid w:val="00CB2678"/>
    <w:rsid w:val="00CB2ED8"/>
    <w:rsid w:val="00CB351A"/>
    <w:rsid w:val="00CC0FF4"/>
    <w:rsid w:val="00CC134E"/>
    <w:rsid w:val="00CC37F4"/>
    <w:rsid w:val="00CC3AAD"/>
    <w:rsid w:val="00CC3D4D"/>
    <w:rsid w:val="00CC48EB"/>
    <w:rsid w:val="00CC6610"/>
    <w:rsid w:val="00CD228E"/>
    <w:rsid w:val="00CD28AB"/>
    <w:rsid w:val="00CD2B7C"/>
    <w:rsid w:val="00CD3F21"/>
    <w:rsid w:val="00CD43F6"/>
    <w:rsid w:val="00CD4F04"/>
    <w:rsid w:val="00CD74B1"/>
    <w:rsid w:val="00CE0630"/>
    <w:rsid w:val="00CE0A76"/>
    <w:rsid w:val="00CE119F"/>
    <w:rsid w:val="00CE1B84"/>
    <w:rsid w:val="00CE4FA5"/>
    <w:rsid w:val="00CE50BA"/>
    <w:rsid w:val="00CE5351"/>
    <w:rsid w:val="00CE58A0"/>
    <w:rsid w:val="00CE6B3E"/>
    <w:rsid w:val="00CE77E8"/>
    <w:rsid w:val="00CF25B0"/>
    <w:rsid w:val="00CF3103"/>
    <w:rsid w:val="00CF3879"/>
    <w:rsid w:val="00D01EDE"/>
    <w:rsid w:val="00D0220F"/>
    <w:rsid w:val="00D02CB7"/>
    <w:rsid w:val="00D02F70"/>
    <w:rsid w:val="00D11B8C"/>
    <w:rsid w:val="00D126CF"/>
    <w:rsid w:val="00D139C8"/>
    <w:rsid w:val="00D204AE"/>
    <w:rsid w:val="00D2087B"/>
    <w:rsid w:val="00D22DD6"/>
    <w:rsid w:val="00D2315A"/>
    <w:rsid w:val="00D24B74"/>
    <w:rsid w:val="00D24EA7"/>
    <w:rsid w:val="00D27296"/>
    <w:rsid w:val="00D27793"/>
    <w:rsid w:val="00D30B90"/>
    <w:rsid w:val="00D31748"/>
    <w:rsid w:val="00D32119"/>
    <w:rsid w:val="00D357FE"/>
    <w:rsid w:val="00D358CA"/>
    <w:rsid w:val="00D368B1"/>
    <w:rsid w:val="00D36F42"/>
    <w:rsid w:val="00D3768F"/>
    <w:rsid w:val="00D44B5E"/>
    <w:rsid w:val="00D4674C"/>
    <w:rsid w:val="00D46931"/>
    <w:rsid w:val="00D47A68"/>
    <w:rsid w:val="00D5070A"/>
    <w:rsid w:val="00D5156D"/>
    <w:rsid w:val="00D535DD"/>
    <w:rsid w:val="00D54B76"/>
    <w:rsid w:val="00D54BA3"/>
    <w:rsid w:val="00D571F2"/>
    <w:rsid w:val="00D606B5"/>
    <w:rsid w:val="00D61C75"/>
    <w:rsid w:val="00D61CAE"/>
    <w:rsid w:val="00D62AC8"/>
    <w:rsid w:val="00D67A1F"/>
    <w:rsid w:val="00D70357"/>
    <w:rsid w:val="00D70DC2"/>
    <w:rsid w:val="00D723F9"/>
    <w:rsid w:val="00D735D3"/>
    <w:rsid w:val="00D768A6"/>
    <w:rsid w:val="00D769E0"/>
    <w:rsid w:val="00D770F2"/>
    <w:rsid w:val="00D771E1"/>
    <w:rsid w:val="00D775AF"/>
    <w:rsid w:val="00D800C0"/>
    <w:rsid w:val="00D81D18"/>
    <w:rsid w:val="00D82460"/>
    <w:rsid w:val="00D85200"/>
    <w:rsid w:val="00D90FB8"/>
    <w:rsid w:val="00D94022"/>
    <w:rsid w:val="00D94946"/>
    <w:rsid w:val="00D96557"/>
    <w:rsid w:val="00DA3E9D"/>
    <w:rsid w:val="00DA6547"/>
    <w:rsid w:val="00DA678E"/>
    <w:rsid w:val="00DA7539"/>
    <w:rsid w:val="00DA7E21"/>
    <w:rsid w:val="00DB2BBB"/>
    <w:rsid w:val="00DB365E"/>
    <w:rsid w:val="00DB3D42"/>
    <w:rsid w:val="00DB6CC1"/>
    <w:rsid w:val="00DB73CF"/>
    <w:rsid w:val="00DC129A"/>
    <w:rsid w:val="00DC14EF"/>
    <w:rsid w:val="00DC229A"/>
    <w:rsid w:val="00DC25F6"/>
    <w:rsid w:val="00DC39DD"/>
    <w:rsid w:val="00DC469C"/>
    <w:rsid w:val="00DC58B4"/>
    <w:rsid w:val="00DC59D7"/>
    <w:rsid w:val="00DC727D"/>
    <w:rsid w:val="00DC79E6"/>
    <w:rsid w:val="00DD1FAD"/>
    <w:rsid w:val="00DD3A29"/>
    <w:rsid w:val="00DD7777"/>
    <w:rsid w:val="00DE00C1"/>
    <w:rsid w:val="00DE0C8E"/>
    <w:rsid w:val="00DE2054"/>
    <w:rsid w:val="00DE3581"/>
    <w:rsid w:val="00DE39C9"/>
    <w:rsid w:val="00DE44AB"/>
    <w:rsid w:val="00DE73D2"/>
    <w:rsid w:val="00DF275C"/>
    <w:rsid w:val="00DF34C4"/>
    <w:rsid w:val="00DF3BEA"/>
    <w:rsid w:val="00E01135"/>
    <w:rsid w:val="00E0139D"/>
    <w:rsid w:val="00E02078"/>
    <w:rsid w:val="00E022FF"/>
    <w:rsid w:val="00E0385C"/>
    <w:rsid w:val="00E05CD0"/>
    <w:rsid w:val="00E07601"/>
    <w:rsid w:val="00E100CE"/>
    <w:rsid w:val="00E11B3C"/>
    <w:rsid w:val="00E135F0"/>
    <w:rsid w:val="00E13D80"/>
    <w:rsid w:val="00E201E0"/>
    <w:rsid w:val="00E20227"/>
    <w:rsid w:val="00E20342"/>
    <w:rsid w:val="00E20B2B"/>
    <w:rsid w:val="00E2398C"/>
    <w:rsid w:val="00E24C7E"/>
    <w:rsid w:val="00E27A7E"/>
    <w:rsid w:val="00E3037A"/>
    <w:rsid w:val="00E31AA3"/>
    <w:rsid w:val="00E31FE6"/>
    <w:rsid w:val="00E33EB1"/>
    <w:rsid w:val="00E34CF4"/>
    <w:rsid w:val="00E36328"/>
    <w:rsid w:val="00E408E5"/>
    <w:rsid w:val="00E426C8"/>
    <w:rsid w:val="00E430B6"/>
    <w:rsid w:val="00E4634B"/>
    <w:rsid w:val="00E47195"/>
    <w:rsid w:val="00E50F9C"/>
    <w:rsid w:val="00E54DD1"/>
    <w:rsid w:val="00E550DF"/>
    <w:rsid w:val="00E579E3"/>
    <w:rsid w:val="00E60B29"/>
    <w:rsid w:val="00E6568B"/>
    <w:rsid w:val="00E65DC5"/>
    <w:rsid w:val="00E703BC"/>
    <w:rsid w:val="00E73BF2"/>
    <w:rsid w:val="00E77CAB"/>
    <w:rsid w:val="00E77F19"/>
    <w:rsid w:val="00E8126D"/>
    <w:rsid w:val="00E81814"/>
    <w:rsid w:val="00E828C3"/>
    <w:rsid w:val="00E82941"/>
    <w:rsid w:val="00E84AE9"/>
    <w:rsid w:val="00E87E92"/>
    <w:rsid w:val="00E91B3D"/>
    <w:rsid w:val="00E9491E"/>
    <w:rsid w:val="00E9557D"/>
    <w:rsid w:val="00E957E7"/>
    <w:rsid w:val="00E962E9"/>
    <w:rsid w:val="00E96672"/>
    <w:rsid w:val="00E97894"/>
    <w:rsid w:val="00EA0051"/>
    <w:rsid w:val="00EA0BB6"/>
    <w:rsid w:val="00EA1DE9"/>
    <w:rsid w:val="00EA228A"/>
    <w:rsid w:val="00EA31F2"/>
    <w:rsid w:val="00EA371D"/>
    <w:rsid w:val="00EA640B"/>
    <w:rsid w:val="00EA6937"/>
    <w:rsid w:val="00EA7351"/>
    <w:rsid w:val="00EA7731"/>
    <w:rsid w:val="00EA7D94"/>
    <w:rsid w:val="00EB22DA"/>
    <w:rsid w:val="00EB29A3"/>
    <w:rsid w:val="00EB4E58"/>
    <w:rsid w:val="00EB5625"/>
    <w:rsid w:val="00EB5FD5"/>
    <w:rsid w:val="00EC0A8F"/>
    <w:rsid w:val="00EC2D24"/>
    <w:rsid w:val="00EC41A3"/>
    <w:rsid w:val="00ED0F6B"/>
    <w:rsid w:val="00ED1D18"/>
    <w:rsid w:val="00ED22C9"/>
    <w:rsid w:val="00ED6E6C"/>
    <w:rsid w:val="00ED7CDF"/>
    <w:rsid w:val="00ED7DA1"/>
    <w:rsid w:val="00EE06A1"/>
    <w:rsid w:val="00EE0D1E"/>
    <w:rsid w:val="00EE2CF4"/>
    <w:rsid w:val="00EE452B"/>
    <w:rsid w:val="00EE4E92"/>
    <w:rsid w:val="00EE57EA"/>
    <w:rsid w:val="00EE6154"/>
    <w:rsid w:val="00EE76E4"/>
    <w:rsid w:val="00EF3C12"/>
    <w:rsid w:val="00EF5024"/>
    <w:rsid w:val="00EF5245"/>
    <w:rsid w:val="00EF603B"/>
    <w:rsid w:val="00EF7149"/>
    <w:rsid w:val="00EF726E"/>
    <w:rsid w:val="00EF767D"/>
    <w:rsid w:val="00F003A9"/>
    <w:rsid w:val="00F009EA"/>
    <w:rsid w:val="00F011D4"/>
    <w:rsid w:val="00F01D4D"/>
    <w:rsid w:val="00F03EAC"/>
    <w:rsid w:val="00F111D4"/>
    <w:rsid w:val="00F123C9"/>
    <w:rsid w:val="00F13B57"/>
    <w:rsid w:val="00F14341"/>
    <w:rsid w:val="00F1491C"/>
    <w:rsid w:val="00F152C1"/>
    <w:rsid w:val="00F17491"/>
    <w:rsid w:val="00F1788C"/>
    <w:rsid w:val="00F22A2E"/>
    <w:rsid w:val="00F3250B"/>
    <w:rsid w:val="00F3666E"/>
    <w:rsid w:val="00F412DC"/>
    <w:rsid w:val="00F43253"/>
    <w:rsid w:val="00F43CA5"/>
    <w:rsid w:val="00F45EEF"/>
    <w:rsid w:val="00F51CE5"/>
    <w:rsid w:val="00F52AA5"/>
    <w:rsid w:val="00F55C42"/>
    <w:rsid w:val="00F55F6F"/>
    <w:rsid w:val="00F571F8"/>
    <w:rsid w:val="00F57EDF"/>
    <w:rsid w:val="00F603CE"/>
    <w:rsid w:val="00F60E12"/>
    <w:rsid w:val="00F61CEF"/>
    <w:rsid w:val="00F62A6E"/>
    <w:rsid w:val="00F632B2"/>
    <w:rsid w:val="00F70EDB"/>
    <w:rsid w:val="00F72400"/>
    <w:rsid w:val="00F73E5D"/>
    <w:rsid w:val="00F745BE"/>
    <w:rsid w:val="00F75232"/>
    <w:rsid w:val="00F8105D"/>
    <w:rsid w:val="00F8162D"/>
    <w:rsid w:val="00F832DA"/>
    <w:rsid w:val="00F842FE"/>
    <w:rsid w:val="00F843A2"/>
    <w:rsid w:val="00F84F51"/>
    <w:rsid w:val="00F93DA7"/>
    <w:rsid w:val="00F9508B"/>
    <w:rsid w:val="00F96E11"/>
    <w:rsid w:val="00FA089D"/>
    <w:rsid w:val="00FA28F1"/>
    <w:rsid w:val="00FA3923"/>
    <w:rsid w:val="00FA3B38"/>
    <w:rsid w:val="00FA5A75"/>
    <w:rsid w:val="00FB0392"/>
    <w:rsid w:val="00FB4235"/>
    <w:rsid w:val="00FB4736"/>
    <w:rsid w:val="00FB554B"/>
    <w:rsid w:val="00FB56A4"/>
    <w:rsid w:val="00FB6191"/>
    <w:rsid w:val="00FB7C66"/>
    <w:rsid w:val="00FC1058"/>
    <w:rsid w:val="00FC2FDD"/>
    <w:rsid w:val="00FC453E"/>
    <w:rsid w:val="00FC5086"/>
    <w:rsid w:val="00FC6F79"/>
    <w:rsid w:val="00FD1D4B"/>
    <w:rsid w:val="00FE1B82"/>
    <w:rsid w:val="00FE1F47"/>
    <w:rsid w:val="00FE2D63"/>
    <w:rsid w:val="00FE70AA"/>
    <w:rsid w:val="00FE7DB3"/>
    <w:rsid w:val="00FF0ACC"/>
    <w:rsid w:val="00FF13FA"/>
    <w:rsid w:val="00FF1738"/>
    <w:rsid w:val="00FF1E9A"/>
    <w:rsid w:val="00FF37E8"/>
    <w:rsid w:val="00FF755A"/>
    <w:rsid w:val="0DBD02FA"/>
    <w:rsid w:val="0EF63BCB"/>
    <w:rsid w:val="1049870C"/>
    <w:rsid w:val="11BABDCC"/>
    <w:rsid w:val="1234E582"/>
    <w:rsid w:val="178A113E"/>
    <w:rsid w:val="1B0B5DC3"/>
    <w:rsid w:val="1E645227"/>
    <w:rsid w:val="204B770B"/>
    <w:rsid w:val="258954BB"/>
    <w:rsid w:val="25A640BB"/>
    <w:rsid w:val="2AE6B3BC"/>
    <w:rsid w:val="31EA0F3F"/>
    <w:rsid w:val="32D250D0"/>
    <w:rsid w:val="352AA2A5"/>
    <w:rsid w:val="385C095B"/>
    <w:rsid w:val="395E8A5D"/>
    <w:rsid w:val="3A05A75A"/>
    <w:rsid w:val="3B9312A5"/>
    <w:rsid w:val="3D462613"/>
    <w:rsid w:val="40C18ED4"/>
    <w:rsid w:val="49FE5646"/>
    <w:rsid w:val="5008F133"/>
    <w:rsid w:val="51F7C312"/>
    <w:rsid w:val="5449EBFB"/>
    <w:rsid w:val="54C982F1"/>
    <w:rsid w:val="57FBED6B"/>
    <w:rsid w:val="5DD530FD"/>
    <w:rsid w:val="5F92A736"/>
    <w:rsid w:val="6AE8A710"/>
    <w:rsid w:val="6C008347"/>
    <w:rsid w:val="6C2D80C9"/>
    <w:rsid w:val="6CAAEE95"/>
    <w:rsid w:val="6F1F9324"/>
    <w:rsid w:val="70D996FE"/>
    <w:rsid w:val="70FB6947"/>
    <w:rsid w:val="762A1A32"/>
    <w:rsid w:val="7669E855"/>
    <w:rsid w:val="76C8BD7A"/>
    <w:rsid w:val="77C33DB8"/>
    <w:rsid w:val="7D4898A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67"/>
    <w:pPr>
      <w:spacing w:after="120"/>
      <w:ind w:firstLine="567"/>
      <w:jc w:val="both"/>
    </w:pPr>
    <w:rPr>
      <w:rFonts w:ascii="Times New Roman" w:eastAsia="Times New Roman" w:hAnsi="Times New Roman"/>
      <w:sz w:val="24"/>
      <w:szCs w:val="24"/>
    </w:rPr>
  </w:style>
  <w:style w:type="paragraph" w:styleId="Heading1">
    <w:name w:val="heading 1"/>
    <w:basedOn w:val="Normal"/>
    <w:next w:val="Normal"/>
    <w:link w:val="Heading1Char"/>
    <w:qFormat/>
    <w:rsid w:val="00BC7469"/>
    <w:pPr>
      <w:keepNext/>
      <w:numPr>
        <w:numId w:val="20"/>
      </w:numPr>
      <w:outlineLvl w:val="0"/>
    </w:pPr>
    <w:rPr>
      <w:b/>
      <w:bCs/>
      <w:color w:val="000000"/>
      <w:lang w:eastAsia="x-none"/>
    </w:rPr>
  </w:style>
  <w:style w:type="paragraph" w:styleId="Heading2">
    <w:name w:val="heading 2"/>
    <w:basedOn w:val="Normal"/>
    <w:next w:val="Normal"/>
    <w:link w:val="Heading2Char"/>
    <w:qFormat/>
    <w:rsid w:val="00BC7469"/>
    <w:pPr>
      <w:keepNext/>
      <w:numPr>
        <w:ilvl w:val="1"/>
        <w:numId w:val="20"/>
      </w:numPr>
      <w:outlineLvl w:val="1"/>
    </w:pPr>
    <w:rPr>
      <w:b/>
      <w:bCs/>
      <w:lang w:eastAsia="x-none"/>
    </w:rPr>
  </w:style>
  <w:style w:type="paragraph" w:styleId="Heading3">
    <w:name w:val="heading 3"/>
    <w:basedOn w:val="Normal"/>
    <w:next w:val="Normal"/>
    <w:link w:val="Heading3Char"/>
    <w:qFormat/>
    <w:rsid w:val="00BC7469"/>
    <w:pPr>
      <w:keepNext/>
      <w:numPr>
        <w:ilvl w:val="2"/>
        <w:numId w:val="20"/>
      </w:numPr>
      <w:outlineLvl w:val="2"/>
    </w:pPr>
    <w:rPr>
      <w:color w:val="000000"/>
      <w:u w:val="single"/>
      <w:lang w:eastAsia="x-none"/>
    </w:rPr>
  </w:style>
  <w:style w:type="paragraph" w:styleId="Heading4">
    <w:name w:val="heading 4"/>
    <w:basedOn w:val="Normal"/>
    <w:next w:val="Normal"/>
    <w:link w:val="Heading4Char"/>
    <w:qFormat/>
    <w:rsid w:val="00BC7469"/>
    <w:pPr>
      <w:keepNext/>
      <w:numPr>
        <w:ilvl w:val="3"/>
        <w:numId w:val="20"/>
      </w:numPr>
      <w:outlineLvl w:val="3"/>
    </w:pPr>
    <w:rPr>
      <w:u w:val="single"/>
      <w:lang w:eastAsia="x-none"/>
    </w:rPr>
  </w:style>
  <w:style w:type="paragraph" w:styleId="Heading5">
    <w:name w:val="heading 5"/>
    <w:basedOn w:val="Normal"/>
    <w:next w:val="Normal"/>
    <w:link w:val="Heading5Char"/>
    <w:qFormat/>
    <w:rsid w:val="00BC7469"/>
    <w:pPr>
      <w:keepNext/>
      <w:numPr>
        <w:ilvl w:val="4"/>
        <w:numId w:val="20"/>
      </w:numPr>
      <w:outlineLvl w:val="4"/>
    </w:pPr>
    <w:rPr>
      <w:b/>
      <w:bCs/>
      <w:sz w:val="26"/>
      <w:szCs w:val="26"/>
      <w:lang w:eastAsia="x-none"/>
    </w:rPr>
  </w:style>
  <w:style w:type="paragraph" w:styleId="Heading6">
    <w:name w:val="heading 6"/>
    <w:basedOn w:val="Normal"/>
    <w:next w:val="Normal"/>
    <w:link w:val="Heading6Char"/>
    <w:qFormat/>
    <w:rsid w:val="00BC7469"/>
    <w:pPr>
      <w:keepNext/>
      <w:numPr>
        <w:ilvl w:val="5"/>
        <w:numId w:val="20"/>
      </w:numPr>
      <w:jc w:val="right"/>
      <w:outlineLvl w:val="5"/>
    </w:pPr>
    <w:rPr>
      <w:b/>
      <w:bCs/>
      <w:i/>
      <w:iCs/>
      <w:sz w:val="28"/>
      <w:szCs w:val="28"/>
      <w:lang w:eastAsia="x-none"/>
    </w:rPr>
  </w:style>
  <w:style w:type="paragraph" w:styleId="Heading7">
    <w:name w:val="heading 7"/>
    <w:basedOn w:val="Normal"/>
    <w:next w:val="Normal"/>
    <w:link w:val="Heading7Char"/>
    <w:qFormat/>
    <w:rsid w:val="00BC7469"/>
    <w:pPr>
      <w:keepNext/>
      <w:numPr>
        <w:ilvl w:val="6"/>
        <w:numId w:val="20"/>
      </w:numPr>
      <w:outlineLvl w:val="6"/>
    </w:pPr>
    <w:rPr>
      <w:b/>
      <w:bCs/>
      <w:color w:val="339966"/>
      <w:lang w:eastAsia="x-none"/>
    </w:rPr>
  </w:style>
  <w:style w:type="paragraph" w:styleId="Heading8">
    <w:name w:val="heading 8"/>
    <w:basedOn w:val="Normal"/>
    <w:next w:val="Normal"/>
    <w:link w:val="Heading8Char"/>
    <w:qFormat/>
    <w:rsid w:val="00BC7469"/>
    <w:pPr>
      <w:keepNext/>
      <w:numPr>
        <w:ilvl w:val="7"/>
        <w:numId w:val="20"/>
      </w:numPr>
      <w:outlineLvl w:val="7"/>
    </w:pPr>
    <w:rPr>
      <w:b/>
      <w:bCs/>
      <w:i/>
      <w:iCs/>
      <w:sz w:val="28"/>
      <w:szCs w:val="28"/>
      <w:lang w:eastAsia="x-none"/>
    </w:rPr>
  </w:style>
  <w:style w:type="paragraph" w:styleId="Heading9">
    <w:name w:val="heading 9"/>
    <w:basedOn w:val="Normal"/>
    <w:next w:val="Normal"/>
    <w:link w:val="Heading9Char"/>
    <w:qFormat/>
    <w:rsid w:val="00BC7469"/>
    <w:pPr>
      <w:keepNext/>
      <w:numPr>
        <w:ilvl w:val="8"/>
        <w:numId w:val="20"/>
      </w:numPr>
      <w:outlineLvl w:val="8"/>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Calibr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010974"/>
    <w:pPr>
      <w:spacing w:line="480" w:lineRule="auto"/>
    </w:pPr>
  </w:style>
  <w:style w:type="character" w:customStyle="1" w:styleId="BodyText2Char">
    <w:name w:val="Body Text 2 Char"/>
    <w:link w:val="BodyText2"/>
    <w:uiPriority w:val="99"/>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qFormat/>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No"/>
    <w:link w:val="16Point"/>
    <w:uiPriority w:val="99"/>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uiPriority w:val="99"/>
    <w:semiHidden/>
    <w:unhideWhenUsed/>
    <w:rsid w:val="006B3525"/>
    <w:rPr>
      <w:sz w:val="16"/>
      <w:szCs w:val="16"/>
    </w:rPr>
  </w:style>
  <w:style w:type="paragraph" w:styleId="CommentText">
    <w:name w:val="annotation text"/>
    <w:basedOn w:val="Normal"/>
    <w:link w:val="CommentTextChar"/>
    <w:unhideWhenUsed/>
    <w:rsid w:val="006B3525"/>
    <w:rPr>
      <w:sz w:val="20"/>
      <w:szCs w:val="20"/>
    </w:rPr>
  </w:style>
  <w:style w:type="character" w:customStyle="1" w:styleId="CommentTextChar">
    <w:name w:val="Comment Text Char"/>
    <w:link w:val="CommentText"/>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sz w:val="22"/>
      <w:szCs w:val="22"/>
      <w:u w:color="000000"/>
      <w:lang w:val="en-US" w:eastAsia="nl-NL"/>
    </w:rPr>
  </w:style>
  <w:style w:type="paragraph" w:customStyle="1" w:styleId="16Point">
    <w:name w:val="16 Point"/>
    <w:aliases w:val="Superscript 6 Point,Odwołanie przypisu,footnote ref,2001+ Fußnotenzeichen"/>
    <w:basedOn w:val="Normal"/>
    <w:link w:val="FootnoteReference"/>
    <w:uiPriority w:val="99"/>
    <w:rsid w:val="004A0C1E"/>
    <w:pPr>
      <w:spacing w:after="160" w:line="240" w:lineRule="exact"/>
    </w:pPr>
    <w:rPr>
      <w:rFonts w:ascii="Calibri" w:eastAsia="Calibri" w:hAnsi="Calibr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 w:type="character" w:customStyle="1" w:styleId="Heading1Char">
    <w:name w:val="Heading 1 Char"/>
    <w:link w:val="Heading1"/>
    <w:rsid w:val="00BC7469"/>
    <w:rPr>
      <w:rFonts w:ascii="Times New Roman" w:eastAsia="Times New Roman" w:hAnsi="Times New Roman" w:cs="Times New Roman"/>
      <w:b/>
      <w:bCs/>
      <w:color w:val="000000"/>
      <w:sz w:val="24"/>
      <w:szCs w:val="24"/>
      <w:lang w:eastAsia="x-none"/>
    </w:rPr>
  </w:style>
  <w:style w:type="character" w:customStyle="1" w:styleId="Heading2Char">
    <w:name w:val="Heading 2 Char"/>
    <w:link w:val="Heading2"/>
    <w:rsid w:val="00BC7469"/>
    <w:rPr>
      <w:rFonts w:ascii="Times New Roman" w:eastAsia="Times New Roman" w:hAnsi="Times New Roman" w:cs="Times New Roman"/>
      <w:b/>
      <w:bCs/>
      <w:sz w:val="24"/>
      <w:szCs w:val="24"/>
      <w:lang w:eastAsia="x-none"/>
    </w:rPr>
  </w:style>
  <w:style w:type="character" w:customStyle="1" w:styleId="Heading3Char">
    <w:name w:val="Heading 3 Char"/>
    <w:link w:val="Heading3"/>
    <w:rsid w:val="00BC7469"/>
    <w:rPr>
      <w:rFonts w:ascii="Times New Roman" w:eastAsia="Times New Roman" w:hAnsi="Times New Roman" w:cs="Times New Roman"/>
      <w:color w:val="000000"/>
      <w:sz w:val="24"/>
      <w:szCs w:val="24"/>
      <w:u w:val="single"/>
      <w:lang w:eastAsia="x-none"/>
    </w:rPr>
  </w:style>
  <w:style w:type="character" w:customStyle="1" w:styleId="Heading4Char">
    <w:name w:val="Heading 4 Char"/>
    <w:link w:val="Heading4"/>
    <w:rsid w:val="00BC7469"/>
    <w:rPr>
      <w:rFonts w:ascii="Times New Roman" w:eastAsia="Times New Roman" w:hAnsi="Times New Roman" w:cs="Times New Roman"/>
      <w:sz w:val="24"/>
      <w:szCs w:val="24"/>
      <w:u w:val="single"/>
      <w:lang w:eastAsia="x-none"/>
    </w:rPr>
  </w:style>
  <w:style w:type="character" w:customStyle="1" w:styleId="Heading5Char">
    <w:name w:val="Heading 5 Char"/>
    <w:link w:val="Heading5"/>
    <w:rsid w:val="00BC7469"/>
    <w:rPr>
      <w:rFonts w:ascii="Times New Roman" w:eastAsia="Times New Roman" w:hAnsi="Times New Roman" w:cs="Times New Roman"/>
      <w:b/>
      <w:bCs/>
      <w:sz w:val="26"/>
      <w:szCs w:val="26"/>
      <w:lang w:eastAsia="x-none"/>
    </w:rPr>
  </w:style>
  <w:style w:type="character" w:customStyle="1" w:styleId="Heading6Char">
    <w:name w:val="Heading 6 Char"/>
    <w:link w:val="Heading6"/>
    <w:rsid w:val="00BC7469"/>
    <w:rPr>
      <w:rFonts w:ascii="Times New Roman" w:eastAsia="Times New Roman" w:hAnsi="Times New Roman" w:cs="Times New Roman"/>
      <w:b/>
      <w:bCs/>
      <w:i/>
      <w:iCs/>
      <w:sz w:val="28"/>
      <w:szCs w:val="28"/>
      <w:lang w:eastAsia="x-none"/>
    </w:rPr>
  </w:style>
  <w:style w:type="character" w:customStyle="1" w:styleId="Heading7Char">
    <w:name w:val="Heading 7 Char"/>
    <w:link w:val="Heading7"/>
    <w:rsid w:val="00BC7469"/>
    <w:rPr>
      <w:rFonts w:ascii="Times New Roman" w:eastAsia="Times New Roman" w:hAnsi="Times New Roman" w:cs="Times New Roman"/>
      <w:b/>
      <w:bCs/>
      <w:color w:val="339966"/>
      <w:sz w:val="24"/>
      <w:szCs w:val="24"/>
      <w:lang w:eastAsia="x-none"/>
    </w:rPr>
  </w:style>
  <w:style w:type="character" w:customStyle="1" w:styleId="Heading8Char">
    <w:name w:val="Heading 8 Char"/>
    <w:link w:val="Heading8"/>
    <w:rsid w:val="00BC7469"/>
    <w:rPr>
      <w:rFonts w:ascii="Times New Roman" w:eastAsia="Times New Roman" w:hAnsi="Times New Roman" w:cs="Times New Roman"/>
      <w:b/>
      <w:bCs/>
      <w:i/>
      <w:iCs/>
      <w:sz w:val="28"/>
      <w:szCs w:val="28"/>
      <w:lang w:eastAsia="x-none"/>
    </w:rPr>
  </w:style>
  <w:style w:type="character" w:customStyle="1" w:styleId="Heading9Char">
    <w:name w:val="Heading 9 Char"/>
    <w:link w:val="Heading9"/>
    <w:rsid w:val="00BC7469"/>
    <w:rPr>
      <w:rFonts w:ascii="Times New Roman" w:eastAsia="Times New Roman" w:hAnsi="Times New Roman" w:cs="Times New Roman"/>
      <w:b/>
      <w:bCs/>
      <w:sz w:val="32"/>
      <w:szCs w:val="32"/>
      <w:lang w:eastAsia="x-none"/>
    </w:rPr>
  </w:style>
  <w:style w:type="paragraph" w:customStyle="1" w:styleId="Prrafodelista">
    <w:name w:val="Párrafo de lista"/>
    <w:basedOn w:val="Normal"/>
    <w:rsid w:val="00BC7469"/>
    <w:pPr>
      <w:numPr>
        <w:numId w:val="21"/>
      </w:numPr>
      <w:tabs>
        <w:tab w:val="clear" w:pos="720"/>
      </w:tabs>
      <w:spacing w:after="200" w:line="276" w:lineRule="auto"/>
      <w:ind w:firstLine="0"/>
      <w:contextualSpacing/>
    </w:pPr>
    <w:rPr>
      <w:rFonts w:ascii="Calibri" w:hAnsi="Calibri"/>
      <w:sz w:val="22"/>
      <w:szCs w:val="22"/>
      <w:lang w:val="es-ES" w:eastAsia="en-US"/>
    </w:rPr>
  </w:style>
  <w:style w:type="paragraph" w:customStyle="1" w:styleId="naisc">
    <w:name w:val="naisc"/>
    <w:basedOn w:val="Normal"/>
    <w:rsid w:val="00BB6624"/>
    <w:pPr>
      <w:spacing w:before="100" w:after="100"/>
    </w:pPr>
    <w:rPr>
      <w:lang w:val="en-GB"/>
    </w:rPr>
  </w:style>
  <w:style w:type="paragraph" w:styleId="Revision">
    <w:name w:val="Revision"/>
    <w:hidden/>
    <w:uiPriority w:val="99"/>
    <w:semiHidden/>
    <w:rsid w:val="009E7D31"/>
    <w:rPr>
      <w:rFonts w:ascii="Times New Roman" w:eastAsia="Times New Roman" w:hAnsi="Times New Roman"/>
      <w:sz w:val="24"/>
      <w:szCs w:val="24"/>
    </w:rPr>
  </w:style>
  <w:style w:type="table" w:styleId="TableGrid">
    <w:name w:val="Table Grid"/>
    <w:basedOn w:val="TableNormal"/>
    <w:uiPriority w:val="39"/>
    <w:rsid w:val="00792A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3D3F07"/>
    <w:pPr>
      <w:spacing w:after="160" w:line="240" w:lineRule="exact"/>
      <w:ind w:firstLine="0"/>
    </w:pPr>
    <w:rPr>
      <w:rFonts w:ascii="Calibri" w:eastAsia="Calibri" w:hAnsi="Calibri"/>
      <w:sz w:val="22"/>
      <w:szCs w:val="22"/>
      <w:vertAlign w:val="superscript"/>
      <w:lang w:eastAsia="en-US"/>
    </w:rPr>
  </w:style>
  <w:style w:type="character" w:customStyle="1" w:styleId="5NormalChar">
    <w:name w:val="5 Normal Char"/>
    <w:link w:val="5Normal"/>
    <w:locked/>
    <w:rsid w:val="00DC727D"/>
    <w:rPr>
      <w:rFonts w:ascii="Verdana" w:hAnsi="Verdana"/>
      <w:spacing w:val="-2"/>
    </w:rPr>
  </w:style>
  <w:style w:type="paragraph" w:customStyle="1" w:styleId="5Normal">
    <w:name w:val="5 Normal"/>
    <w:basedOn w:val="Normal"/>
    <w:link w:val="5NormalChar"/>
    <w:rsid w:val="00DC727D"/>
    <w:pPr>
      <w:ind w:right="57" w:firstLine="0"/>
    </w:pPr>
    <w:rPr>
      <w:rFonts w:ascii="Verdana" w:eastAsia="Calibri" w:hAnsi="Verdana"/>
      <w:spacing w:val="-2"/>
      <w:sz w:val="22"/>
      <w:szCs w:val="22"/>
      <w:lang w:eastAsia="en-US"/>
    </w:rPr>
  </w:style>
  <w:style w:type="character" w:customStyle="1" w:styleId="UnresolvedMention1">
    <w:name w:val="Unresolved Mention1"/>
    <w:uiPriority w:val="99"/>
    <w:semiHidden/>
    <w:unhideWhenUsed/>
    <w:rsid w:val="00AB779B"/>
    <w:rPr>
      <w:color w:val="808080"/>
      <w:shd w:val="clear" w:color="auto" w:fill="E6E6E6"/>
    </w:rPr>
  </w:style>
  <w:style w:type="character" w:styleId="UnresolvedMention">
    <w:name w:val="Unresolved Mention"/>
    <w:uiPriority w:val="99"/>
    <w:semiHidden/>
    <w:unhideWhenUsed/>
    <w:rsid w:val="00CA14D0"/>
    <w:rPr>
      <w:color w:val="808080"/>
      <w:shd w:val="clear" w:color="auto" w:fill="E6E6E6"/>
    </w:rPr>
  </w:style>
  <w:style w:type="paragraph" w:customStyle="1" w:styleId="EntEmet">
    <w:name w:val="EntEmet"/>
    <w:basedOn w:val="Normal"/>
    <w:rsid w:val="004D697A"/>
    <w:pPr>
      <w:spacing w:before="40" w:after="0"/>
      <w:ind w:firstLine="0"/>
      <w:jc w:val="left"/>
    </w:pPr>
    <w:rPr>
      <w:rFonts w:eastAsia="Calibri"/>
      <w:lang w:eastAsia="fr-BE"/>
    </w:rPr>
  </w:style>
  <w:style w:type="character" w:customStyle="1" w:styleId="tableentry">
    <w:name w:val="tableentry"/>
    <w:rsid w:val="004D697A"/>
    <w:rPr>
      <w:rFonts w:ascii="Helvetica" w:hAnsi="Helvetica" w:cs="Helvetica" w:hint="default"/>
    </w:rPr>
  </w:style>
  <w:style w:type="character" w:styleId="Emphasis">
    <w:name w:val="Emphasis"/>
    <w:uiPriority w:val="20"/>
    <w:qFormat/>
    <w:rsid w:val="004D697A"/>
    <w:rPr>
      <w:i/>
      <w:iCs/>
    </w:rPr>
  </w:style>
  <w:style w:type="character" w:styleId="Strong">
    <w:name w:val="Strong"/>
    <w:uiPriority w:val="22"/>
    <w:qFormat/>
    <w:rsid w:val="004D697A"/>
    <w:rPr>
      <w:b/>
      <w:bCs/>
    </w:rPr>
  </w:style>
  <w:style w:type="character" w:styleId="FollowedHyperlink">
    <w:name w:val="FollowedHyperlink"/>
    <w:uiPriority w:val="99"/>
    <w:semiHidden/>
    <w:unhideWhenUsed/>
    <w:rsid w:val="003741CA"/>
    <w:rPr>
      <w:color w:val="954F72"/>
      <w:u w:val="single"/>
    </w:rPr>
  </w:style>
  <w:style w:type="paragraph" w:customStyle="1" w:styleId="Default">
    <w:name w:val="Default"/>
    <w:rsid w:val="003471E6"/>
    <w:pPr>
      <w:autoSpaceDE w:val="0"/>
      <w:autoSpaceDN w:val="0"/>
      <w:adjustRightInd w:val="0"/>
    </w:pPr>
    <w:rPr>
      <w:rFonts w:ascii="EUAlbertina" w:eastAsia="Times New Roman" w:hAnsi="EUAlbertina" w:cs="EUAlbertina"/>
      <w:color w:val="000000"/>
      <w:sz w:val="24"/>
      <w:szCs w:val="24"/>
      <w:lang w:eastAsia="en-US"/>
    </w:rPr>
  </w:style>
  <w:style w:type="paragraph" w:customStyle="1" w:styleId="naiskr">
    <w:name w:val="naiskr"/>
    <w:basedOn w:val="Normal"/>
    <w:rsid w:val="00D5070A"/>
    <w:pPr>
      <w:spacing w:before="100" w:beforeAutospacing="1" w:after="100" w:afterAutospacing="1"/>
      <w:ind w:firstLine="0"/>
      <w:jc w:val="left"/>
    </w:pPr>
    <w:rPr>
      <w:rFonts w:eastAsia="Arial Unicode MS"/>
      <w:lang w:val="en-GB" w:eastAsia="en-US"/>
    </w:rPr>
  </w:style>
  <w:style w:type="character" w:customStyle="1" w:styleId="ts-alignment-element-highlighted">
    <w:name w:val="ts-alignment-element-highlighted"/>
    <w:rsid w:val="00283025"/>
  </w:style>
  <w:style w:type="character" w:customStyle="1" w:styleId="ts-alignment-element">
    <w:name w:val="ts-alignment-element"/>
    <w:rsid w:val="00283025"/>
  </w:style>
  <w:style w:type="paragraph" w:customStyle="1" w:styleId="mt-translation">
    <w:name w:val="mt-translation"/>
    <w:basedOn w:val="Normal"/>
    <w:rsid w:val="002018ED"/>
    <w:pPr>
      <w:spacing w:before="100" w:beforeAutospacing="1" w:after="100" w:afterAutospacing="1"/>
      <w:ind w:firstLine="0"/>
      <w:jc w:val="left"/>
    </w:pPr>
  </w:style>
  <w:style w:type="character" w:customStyle="1" w:styleId="phrase">
    <w:name w:val="phrase"/>
    <w:rsid w:val="002018ED"/>
  </w:style>
  <w:style w:type="character" w:customStyle="1" w:styleId="word">
    <w:name w:val="word"/>
    <w:rsid w:val="002018ED"/>
  </w:style>
  <w:style w:type="paragraph" w:customStyle="1" w:styleId="CharCharCharChar">
    <w:name w:val="Char Char Char Char"/>
    <w:aliases w:val="Char2"/>
    <w:basedOn w:val="Normal"/>
    <w:next w:val="Normal"/>
    <w:uiPriority w:val="99"/>
    <w:rsid w:val="004F1656"/>
    <w:pPr>
      <w:spacing w:after="160" w:line="240" w:lineRule="exact"/>
      <w:ind w:left="567" w:hanging="499"/>
      <w:textAlignment w:val="baseline"/>
    </w:pPr>
    <w:rPr>
      <w:rFonts w:eastAsiaTheme="minorHAnsi" w:cstheme="minorBidi"/>
      <w:szCs w:val="22"/>
      <w:vertAlign w:val="superscript"/>
      <w:lang w:eastAsia="en-US"/>
    </w:rPr>
  </w:style>
  <w:style w:type="character" w:customStyle="1" w:styleId="normaltextrun">
    <w:name w:val="normaltextrun"/>
    <w:basedOn w:val="DefaultParagraphFont"/>
    <w:rsid w:val="00350C78"/>
  </w:style>
  <w:style w:type="table" w:styleId="ColorfulGrid-Accent3">
    <w:name w:val="Colorful Grid Accent 3"/>
    <w:basedOn w:val="TableNormal"/>
    <w:uiPriority w:val="73"/>
    <w:rsid w:val="00AF716A"/>
    <w:rPr>
      <w:rFonts w:eastAsia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3">
      <w:bodyDiv w:val="1"/>
      <w:marLeft w:val="0"/>
      <w:marRight w:val="0"/>
      <w:marTop w:val="0"/>
      <w:marBottom w:val="0"/>
      <w:divBdr>
        <w:top w:val="none" w:sz="0" w:space="0" w:color="auto"/>
        <w:left w:val="none" w:sz="0" w:space="0" w:color="auto"/>
        <w:bottom w:val="none" w:sz="0" w:space="0" w:color="auto"/>
        <w:right w:val="none" w:sz="0" w:space="0" w:color="auto"/>
      </w:divBdr>
    </w:div>
    <w:div w:id="50230705">
      <w:bodyDiv w:val="1"/>
      <w:marLeft w:val="0"/>
      <w:marRight w:val="0"/>
      <w:marTop w:val="0"/>
      <w:marBottom w:val="0"/>
      <w:divBdr>
        <w:top w:val="none" w:sz="0" w:space="0" w:color="auto"/>
        <w:left w:val="none" w:sz="0" w:space="0" w:color="auto"/>
        <w:bottom w:val="none" w:sz="0" w:space="0" w:color="auto"/>
        <w:right w:val="none" w:sz="0" w:space="0" w:color="auto"/>
      </w:divBdr>
    </w:div>
    <w:div w:id="58989254">
      <w:bodyDiv w:val="1"/>
      <w:marLeft w:val="0"/>
      <w:marRight w:val="0"/>
      <w:marTop w:val="0"/>
      <w:marBottom w:val="0"/>
      <w:divBdr>
        <w:top w:val="none" w:sz="0" w:space="0" w:color="auto"/>
        <w:left w:val="none" w:sz="0" w:space="0" w:color="auto"/>
        <w:bottom w:val="none" w:sz="0" w:space="0" w:color="auto"/>
        <w:right w:val="none" w:sz="0" w:space="0" w:color="auto"/>
      </w:divBdr>
    </w:div>
    <w:div w:id="84421145">
      <w:bodyDiv w:val="1"/>
      <w:marLeft w:val="0"/>
      <w:marRight w:val="0"/>
      <w:marTop w:val="0"/>
      <w:marBottom w:val="0"/>
      <w:divBdr>
        <w:top w:val="none" w:sz="0" w:space="0" w:color="auto"/>
        <w:left w:val="none" w:sz="0" w:space="0" w:color="auto"/>
        <w:bottom w:val="none" w:sz="0" w:space="0" w:color="auto"/>
        <w:right w:val="none" w:sz="0" w:space="0" w:color="auto"/>
      </w:divBdr>
    </w:div>
    <w:div w:id="85884048">
      <w:bodyDiv w:val="1"/>
      <w:marLeft w:val="0"/>
      <w:marRight w:val="0"/>
      <w:marTop w:val="0"/>
      <w:marBottom w:val="0"/>
      <w:divBdr>
        <w:top w:val="none" w:sz="0" w:space="0" w:color="auto"/>
        <w:left w:val="none" w:sz="0" w:space="0" w:color="auto"/>
        <w:bottom w:val="none" w:sz="0" w:space="0" w:color="auto"/>
        <w:right w:val="none" w:sz="0" w:space="0" w:color="auto"/>
      </w:divBdr>
    </w:div>
    <w:div w:id="114058140">
      <w:bodyDiv w:val="1"/>
      <w:marLeft w:val="0"/>
      <w:marRight w:val="0"/>
      <w:marTop w:val="0"/>
      <w:marBottom w:val="0"/>
      <w:divBdr>
        <w:top w:val="none" w:sz="0" w:space="0" w:color="auto"/>
        <w:left w:val="none" w:sz="0" w:space="0" w:color="auto"/>
        <w:bottom w:val="none" w:sz="0" w:space="0" w:color="auto"/>
        <w:right w:val="none" w:sz="0" w:space="0" w:color="auto"/>
      </w:divBdr>
    </w:div>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42819466">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11187651">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257258976">
      <w:bodyDiv w:val="1"/>
      <w:marLeft w:val="0"/>
      <w:marRight w:val="0"/>
      <w:marTop w:val="0"/>
      <w:marBottom w:val="0"/>
      <w:divBdr>
        <w:top w:val="none" w:sz="0" w:space="0" w:color="auto"/>
        <w:left w:val="none" w:sz="0" w:space="0" w:color="auto"/>
        <w:bottom w:val="none" w:sz="0" w:space="0" w:color="auto"/>
        <w:right w:val="none" w:sz="0" w:space="0" w:color="auto"/>
      </w:divBdr>
    </w:div>
    <w:div w:id="276301564">
      <w:bodyDiv w:val="1"/>
      <w:marLeft w:val="0"/>
      <w:marRight w:val="0"/>
      <w:marTop w:val="0"/>
      <w:marBottom w:val="0"/>
      <w:divBdr>
        <w:top w:val="none" w:sz="0" w:space="0" w:color="auto"/>
        <w:left w:val="none" w:sz="0" w:space="0" w:color="auto"/>
        <w:bottom w:val="none" w:sz="0" w:space="0" w:color="auto"/>
        <w:right w:val="none" w:sz="0" w:space="0" w:color="auto"/>
      </w:divBdr>
    </w:div>
    <w:div w:id="307443347">
      <w:bodyDiv w:val="1"/>
      <w:marLeft w:val="0"/>
      <w:marRight w:val="0"/>
      <w:marTop w:val="0"/>
      <w:marBottom w:val="0"/>
      <w:divBdr>
        <w:top w:val="none" w:sz="0" w:space="0" w:color="auto"/>
        <w:left w:val="none" w:sz="0" w:space="0" w:color="auto"/>
        <w:bottom w:val="none" w:sz="0" w:space="0" w:color="auto"/>
        <w:right w:val="none" w:sz="0" w:space="0" w:color="auto"/>
      </w:divBdr>
    </w:div>
    <w:div w:id="31125698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368576475">
      <w:bodyDiv w:val="1"/>
      <w:marLeft w:val="0"/>
      <w:marRight w:val="0"/>
      <w:marTop w:val="0"/>
      <w:marBottom w:val="0"/>
      <w:divBdr>
        <w:top w:val="none" w:sz="0" w:space="0" w:color="auto"/>
        <w:left w:val="none" w:sz="0" w:space="0" w:color="auto"/>
        <w:bottom w:val="none" w:sz="0" w:space="0" w:color="auto"/>
        <w:right w:val="none" w:sz="0" w:space="0" w:color="auto"/>
      </w:divBdr>
      <w:divsChild>
        <w:div w:id="1672100694">
          <w:marLeft w:val="0"/>
          <w:marRight w:val="0"/>
          <w:marTop w:val="0"/>
          <w:marBottom w:val="0"/>
          <w:divBdr>
            <w:top w:val="none" w:sz="0" w:space="0" w:color="auto"/>
            <w:left w:val="none" w:sz="0" w:space="0" w:color="auto"/>
            <w:bottom w:val="none" w:sz="0" w:space="0" w:color="auto"/>
            <w:right w:val="none" w:sz="0" w:space="0" w:color="auto"/>
          </w:divBdr>
          <w:divsChild>
            <w:div w:id="670572735">
              <w:marLeft w:val="-360"/>
              <w:marRight w:val="-360"/>
              <w:marTop w:val="0"/>
              <w:marBottom w:val="0"/>
              <w:divBdr>
                <w:top w:val="none" w:sz="0" w:space="0" w:color="auto"/>
                <w:left w:val="none" w:sz="0" w:space="0" w:color="auto"/>
                <w:bottom w:val="none" w:sz="0" w:space="0" w:color="auto"/>
                <w:right w:val="none" w:sz="0" w:space="0" w:color="auto"/>
              </w:divBdr>
              <w:divsChild>
                <w:div w:id="1502894110">
                  <w:marLeft w:val="0"/>
                  <w:marRight w:val="0"/>
                  <w:marTop w:val="0"/>
                  <w:marBottom w:val="0"/>
                  <w:divBdr>
                    <w:top w:val="none" w:sz="0" w:space="0" w:color="auto"/>
                    <w:left w:val="none" w:sz="0" w:space="0" w:color="auto"/>
                    <w:bottom w:val="none" w:sz="0" w:space="0" w:color="auto"/>
                    <w:right w:val="none" w:sz="0" w:space="0" w:color="auto"/>
                  </w:divBdr>
                  <w:divsChild>
                    <w:div w:id="1748305829">
                      <w:marLeft w:val="0"/>
                      <w:marRight w:val="0"/>
                      <w:marTop w:val="0"/>
                      <w:marBottom w:val="0"/>
                      <w:divBdr>
                        <w:top w:val="none" w:sz="0" w:space="0" w:color="auto"/>
                        <w:left w:val="none" w:sz="0" w:space="0" w:color="auto"/>
                        <w:bottom w:val="none" w:sz="0" w:space="0" w:color="auto"/>
                        <w:right w:val="none" w:sz="0" w:space="0" w:color="auto"/>
                      </w:divBdr>
                      <w:divsChild>
                        <w:div w:id="607280237">
                          <w:marLeft w:val="0"/>
                          <w:marRight w:val="0"/>
                          <w:marTop w:val="0"/>
                          <w:marBottom w:val="0"/>
                          <w:divBdr>
                            <w:top w:val="none" w:sz="0" w:space="0" w:color="auto"/>
                            <w:left w:val="none" w:sz="0" w:space="0" w:color="auto"/>
                            <w:bottom w:val="none" w:sz="0" w:space="0" w:color="auto"/>
                            <w:right w:val="none" w:sz="0" w:space="0" w:color="auto"/>
                          </w:divBdr>
                          <w:divsChild>
                            <w:div w:id="646780537">
                              <w:marLeft w:val="0"/>
                              <w:marRight w:val="0"/>
                              <w:marTop w:val="0"/>
                              <w:marBottom w:val="0"/>
                              <w:divBdr>
                                <w:top w:val="none" w:sz="0" w:space="0" w:color="auto"/>
                                <w:left w:val="none" w:sz="0" w:space="0" w:color="auto"/>
                                <w:bottom w:val="none" w:sz="0" w:space="0" w:color="auto"/>
                                <w:right w:val="none" w:sz="0" w:space="0" w:color="auto"/>
                              </w:divBdr>
                            </w:div>
                            <w:div w:id="1750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82915">
      <w:bodyDiv w:val="1"/>
      <w:marLeft w:val="0"/>
      <w:marRight w:val="0"/>
      <w:marTop w:val="0"/>
      <w:marBottom w:val="0"/>
      <w:divBdr>
        <w:top w:val="none" w:sz="0" w:space="0" w:color="auto"/>
        <w:left w:val="none" w:sz="0" w:space="0" w:color="auto"/>
        <w:bottom w:val="none" w:sz="0" w:space="0" w:color="auto"/>
        <w:right w:val="none" w:sz="0" w:space="0" w:color="auto"/>
      </w:divBdr>
    </w:div>
    <w:div w:id="454643905">
      <w:bodyDiv w:val="1"/>
      <w:marLeft w:val="0"/>
      <w:marRight w:val="0"/>
      <w:marTop w:val="0"/>
      <w:marBottom w:val="0"/>
      <w:divBdr>
        <w:top w:val="none" w:sz="0" w:space="0" w:color="auto"/>
        <w:left w:val="none" w:sz="0" w:space="0" w:color="auto"/>
        <w:bottom w:val="none" w:sz="0" w:space="0" w:color="auto"/>
        <w:right w:val="none" w:sz="0" w:space="0" w:color="auto"/>
      </w:divBdr>
    </w:div>
    <w:div w:id="472677171">
      <w:bodyDiv w:val="1"/>
      <w:marLeft w:val="0"/>
      <w:marRight w:val="0"/>
      <w:marTop w:val="0"/>
      <w:marBottom w:val="0"/>
      <w:divBdr>
        <w:top w:val="none" w:sz="0" w:space="0" w:color="auto"/>
        <w:left w:val="none" w:sz="0" w:space="0" w:color="auto"/>
        <w:bottom w:val="none" w:sz="0" w:space="0" w:color="auto"/>
        <w:right w:val="none" w:sz="0" w:space="0" w:color="auto"/>
      </w:divBdr>
    </w:div>
    <w:div w:id="478615429">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30843796">
      <w:bodyDiv w:val="1"/>
      <w:marLeft w:val="0"/>
      <w:marRight w:val="0"/>
      <w:marTop w:val="0"/>
      <w:marBottom w:val="0"/>
      <w:divBdr>
        <w:top w:val="none" w:sz="0" w:space="0" w:color="auto"/>
        <w:left w:val="none" w:sz="0" w:space="0" w:color="auto"/>
        <w:bottom w:val="none" w:sz="0" w:space="0" w:color="auto"/>
        <w:right w:val="none" w:sz="0" w:space="0" w:color="auto"/>
      </w:divBdr>
    </w:div>
    <w:div w:id="552430444">
      <w:bodyDiv w:val="1"/>
      <w:marLeft w:val="0"/>
      <w:marRight w:val="0"/>
      <w:marTop w:val="0"/>
      <w:marBottom w:val="0"/>
      <w:divBdr>
        <w:top w:val="none" w:sz="0" w:space="0" w:color="auto"/>
        <w:left w:val="none" w:sz="0" w:space="0" w:color="auto"/>
        <w:bottom w:val="none" w:sz="0" w:space="0" w:color="auto"/>
        <w:right w:val="none" w:sz="0" w:space="0" w:color="auto"/>
      </w:divBdr>
    </w:div>
    <w:div w:id="554005305">
      <w:bodyDiv w:val="1"/>
      <w:marLeft w:val="0"/>
      <w:marRight w:val="0"/>
      <w:marTop w:val="0"/>
      <w:marBottom w:val="0"/>
      <w:divBdr>
        <w:top w:val="none" w:sz="0" w:space="0" w:color="auto"/>
        <w:left w:val="none" w:sz="0" w:space="0" w:color="auto"/>
        <w:bottom w:val="none" w:sz="0" w:space="0" w:color="auto"/>
        <w:right w:val="none" w:sz="0" w:space="0" w:color="auto"/>
      </w:divBdr>
    </w:div>
    <w:div w:id="554590303">
      <w:bodyDiv w:val="1"/>
      <w:marLeft w:val="0"/>
      <w:marRight w:val="0"/>
      <w:marTop w:val="0"/>
      <w:marBottom w:val="0"/>
      <w:divBdr>
        <w:top w:val="none" w:sz="0" w:space="0" w:color="auto"/>
        <w:left w:val="none" w:sz="0" w:space="0" w:color="auto"/>
        <w:bottom w:val="none" w:sz="0" w:space="0" w:color="auto"/>
        <w:right w:val="none" w:sz="0" w:space="0" w:color="auto"/>
      </w:divBdr>
    </w:div>
    <w:div w:id="554970290">
      <w:bodyDiv w:val="1"/>
      <w:marLeft w:val="0"/>
      <w:marRight w:val="0"/>
      <w:marTop w:val="0"/>
      <w:marBottom w:val="0"/>
      <w:divBdr>
        <w:top w:val="none" w:sz="0" w:space="0" w:color="auto"/>
        <w:left w:val="none" w:sz="0" w:space="0" w:color="auto"/>
        <w:bottom w:val="none" w:sz="0" w:space="0" w:color="auto"/>
        <w:right w:val="none" w:sz="0" w:space="0" w:color="auto"/>
      </w:divBdr>
    </w:div>
    <w:div w:id="575558016">
      <w:bodyDiv w:val="1"/>
      <w:marLeft w:val="0"/>
      <w:marRight w:val="0"/>
      <w:marTop w:val="0"/>
      <w:marBottom w:val="0"/>
      <w:divBdr>
        <w:top w:val="none" w:sz="0" w:space="0" w:color="auto"/>
        <w:left w:val="none" w:sz="0" w:space="0" w:color="auto"/>
        <w:bottom w:val="none" w:sz="0" w:space="0" w:color="auto"/>
        <w:right w:val="none" w:sz="0" w:space="0" w:color="auto"/>
      </w:divBdr>
    </w:div>
    <w:div w:id="599216579">
      <w:bodyDiv w:val="1"/>
      <w:marLeft w:val="0"/>
      <w:marRight w:val="0"/>
      <w:marTop w:val="0"/>
      <w:marBottom w:val="0"/>
      <w:divBdr>
        <w:top w:val="none" w:sz="0" w:space="0" w:color="auto"/>
        <w:left w:val="none" w:sz="0" w:space="0" w:color="auto"/>
        <w:bottom w:val="none" w:sz="0" w:space="0" w:color="auto"/>
        <w:right w:val="none" w:sz="0" w:space="0" w:color="auto"/>
      </w:divBdr>
    </w:div>
    <w:div w:id="708577696">
      <w:bodyDiv w:val="1"/>
      <w:marLeft w:val="0"/>
      <w:marRight w:val="0"/>
      <w:marTop w:val="0"/>
      <w:marBottom w:val="0"/>
      <w:divBdr>
        <w:top w:val="none" w:sz="0" w:space="0" w:color="auto"/>
        <w:left w:val="none" w:sz="0" w:space="0" w:color="auto"/>
        <w:bottom w:val="none" w:sz="0" w:space="0" w:color="auto"/>
        <w:right w:val="none" w:sz="0" w:space="0" w:color="auto"/>
      </w:divBdr>
    </w:div>
    <w:div w:id="729765344">
      <w:bodyDiv w:val="1"/>
      <w:marLeft w:val="0"/>
      <w:marRight w:val="0"/>
      <w:marTop w:val="0"/>
      <w:marBottom w:val="0"/>
      <w:divBdr>
        <w:top w:val="none" w:sz="0" w:space="0" w:color="auto"/>
        <w:left w:val="none" w:sz="0" w:space="0" w:color="auto"/>
        <w:bottom w:val="none" w:sz="0" w:space="0" w:color="auto"/>
        <w:right w:val="none" w:sz="0" w:space="0" w:color="auto"/>
      </w:divBdr>
    </w:div>
    <w:div w:id="788595977">
      <w:bodyDiv w:val="1"/>
      <w:marLeft w:val="0"/>
      <w:marRight w:val="0"/>
      <w:marTop w:val="0"/>
      <w:marBottom w:val="0"/>
      <w:divBdr>
        <w:top w:val="none" w:sz="0" w:space="0" w:color="auto"/>
        <w:left w:val="none" w:sz="0" w:space="0" w:color="auto"/>
        <w:bottom w:val="none" w:sz="0" w:space="0" w:color="auto"/>
        <w:right w:val="none" w:sz="0" w:space="0" w:color="auto"/>
      </w:divBdr>
    </w:div>
    <w:div w:id="810093704">
      <w:bodyDiv w:val="1"/>
      <w:marLeft w:val="0"/>
      <w:marRight w:val="0"/>
      <w:marTop w:val="0"/>
      <w:marBottom w:val="0"/>
      <w:divBdr>
        <w:top w:val="none" w:sz="0" w:space="0" w:color="auto"/>
        <w:left w:val="none" w:sz="0" w:space="0" w:color="auto"/>
        <w:bottom w:val="none" w:sz="0" w:space="0" w:color="auto"/>
        <w:right w:val="none" w:sz="0" w:space="0" w:color="auto"/>
      </w:divBdr>
    </w:div>
    <w:div w:id="819424666">
      <w:bodyDiv w:val="1"/>
      <w:marLeft w:val="0"/>
      <w:marRight w:val="0"/>
      <w:marTop w:val="0"/>
      <w:marBottom w:val="0"/>
      <w:divBdr>
        <w:top w:val="none" w:sz="0" w:space="0" w:color="auto"/>
        <w:left w:val="none" w:sz="0" w:space="0" w:color="auto"/>
        <w:bottom w:val="none" w:sz="0" w:space="0" w:color="auto"/>
        <w:right w:val="none" w:sz="0" w:space="0" w:color="auto"/>
      </w:divBdr>
    </w:div>
    <w:div w:id="828249855">
      <w:bodyDiv w:val="1"/>
      <w:marLeft w:val="0"/>
      <w:marRight w:val="0"/>
      <w:marTop w:val="0"/>
      <w:marBottom w:val="0"/>
      <w:divBdr>
        <w:top w:val="none" w:sz="0" w:space="0" w:color="auto"/>
        <w:left w:val="none" w:sz="0" w:space="0" w:color="auto"/>
        <w:bottom w:val="none" w:sz="0" w:space="0" w:color="auto"/>
        <w:right w:val="none" w:sz="0" w:space="0" w:color="auto"/>
      </w:divBdr>
    </w:div>
    <w:div w:id="876627977">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951667492">
      <w:bodyDiv w:val="1"/>
      <w:marLeft w:val="0"/>
      <w:marRight w:val="0"/>
      <w:marTop w:val="0"/>
      <w:marBottom w:val="0"/>
      <w:divBdr>
        <w:top w:val="none" w:sz="0" w:space="0" w:color="auto"/>
        <w:left w:val="none" w:sz="0" w:space="0" w:color="auto"/>
        <w:bottom w:val="none" w:sz="0" w:space="0" w:color="auto"/>
        <w:right w:val="none" w:sz="0" w:space="0" w:color="auto"/>
      </w:divBdr>
    </w:div>
    <w:div w:id="1001659734">
      <w:bodyDiv w:val="1"/>
      <w:marLeft w:val="0"/>
      <w:marRight w:val="0"/>
      <w:marTop w:val="0"/>
      <w:marBottom w:val="0"/>
      <w:divBdr>
        <w:top w:val="none" w:sz="0" w:space="0" w:color="auto"/>
        <w:left w:val="none" w:sz="0" w:space="0" w:color="auto"/>
        <w:bottom w:val="none" w:sz="0" w:space="0" w:color="auto"/>
        <w:right w:val="none" w:sz="0" w:space="0" w:color="auto"/>
      </w:divBdr>
      <w:divsChild>
        <w:div w:id="490292874">
          <w:marLeft w:val="0"/>
          <w:marRight w:val="0"/>
          <w:marTop w:val="0"/>
          <w:marBottom w:val="0"/>
          <w:divBdr>
            <w:top w:val="none" w:sz="0" w:space="0" w:color="auto"/>
            <w:left w:val="none" w:sz="0" w:space="0" w:color="auto"/>
            <w:bottom w:val="none" w:sz="0" w:space="0" w:color="auto"/>
            <w:right w:val="none" w:sz="0" w:space="0" w:color="auto"/>
          </w:divBdr>
        </w:div>
        <w:div w:id="1721780927">
          <w:marLeft w:val="0"/>
          <w:marRight w:val="0"/>
          <w:marTop w:val="0"/>
          <w:marBottom w:val="0"/>
          <w:divBdr>
            <w:top w:val="none" w:sz="0" w:space="0" w:color="auto"/>
            <w:left w:val="none" w:sz="0" w:space="0" w:color="auto"/>
            <w:bottom w:val="none" w:sz="0" w:space="0" w:color="auto"/>
            <w:right w:val="none" w:sz="0" w:space="0" w:color="auto"/>
          </w:divBdr>
          <w:divsChild>
            <w:div w:id="1323124857">
              <w:marLeft w:val="0"/>
              <w:marRight w:val="-135"/>
              <w:marTop w:val="0"/>
              <w:marBottom w:val="0"/>
              <w:divBdr>
                <w:top w:val="none" w:sz="0" w:space="0" w:color="auto"/>
                <w:left w:val="none" w:sz="0" w:space="0" w:color="auto"/>
                <w:bottom w:val="none" w:sz="0" w:space="0" w:color="auto"/>
                <w:right w:val="none" w:sz="0" w:space="0" w:color="auto"/>
              </w:divBdr>
              <w:divsChild>
                <w:div w:id="2142722086">
                  <w:marLeft w:val="0"/>
                  <w:marRight w:val="0"/>
                  <w:marTop w:val="0"/>
                  <w:marBottom w:val="0"/>
                  <w:divBdr>
                    <w:top w:val="none" w:sz="0" w:space="0" w:color="auto"/>
                    <w:left w:val="none" w:sz="0" w:space="0" w:color="auto"/>
                    <w:bottom w:val="none" w:sz="0" w:space="0" w:color="auto"/>
                    <w:right w:val="none" w:sz="0" w:space="0" w:color="auto"/>
                  </w:divBdr>
                  <w:divsChild>
                    <w:div w:id="1649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7840">
      <w:bodyDiv w:val="1"/>
      <w:marLeft w:val="0"/>
      <w:marRight w:val="0"/>
      <w:marTop w:val="0"/>
      <w:marBottom w:val="0"/>
      <w:divBdr>
        <w:top w:val="none" w:sz="0" w:space="0" w:color="auto"/>
        <w:left w:val="none" w:sz="0" w:space="0" w:color="auto"/>
        <w:bottom w:val="none" w:sz="0" w:space="0" w:color="auto"/>
        <w:right w:val="none" w:sz="0" w:space="0" w:color="auto"/>
      </w:divBdr>
    </w:div>
    <w:div w:id="1036003533">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103299811">
      <w:bodyDiv w:val="1"/>
      <w:marLeft w:val="0"/>
      <w:marRight w:val="0"/>
      <w:marTop w:val="0"/>
      <w:marBottom w:val="0"/>
      <w:divBdr>
        <w:top w:val="none" w:sz="0" w:space="0" w:color="auto"/>
        <w:left w:val="none" w:sz="0" w:space="0" w:color="auto"/>
        <w:bottom w:val="none" w:sz="0" w:space="0" w:color="auto"/>
        <w:right w:val="none" w:sz="0" w:space="0" w:color="auto"/>
      </w:divBdr>
    </w:div>
    <w:div w:id="1169908304">
      <w:bodyDiv w:val="1"/>
      <w:marLeft w:val="0"/>
      <w:marRight w:val="0"/>
      <w:marTop w:val="0"/>
      <w:marBottom w:val="0"/>
      <w:divBdr>
        <w:top w:val="none" w:sz="0" w:space="0" w:color="auto"/>
        <w:left w:val="none" w:sz="0" w:space="0" w:color="auto"/>
        <w:bottom w:val="none" w:sz="0" w:space="0" w:color="auto"/>
        <w:right w:val="none" w:sz="0" w:space="0" w:color="auto"/>
      </w:divBdr>
    </w:div>
    <w:div w:id="1225289366">
      <w:bodyDiv w:val="1"/>
      <w:marLeft w:val="0"/>
      <w:marRight w:val="0"/>
      <w:marTop w:val="0"/>
      <w:marBottom w:val="0"/>
      <w:divBdr>
        <w:top w:val="none" w:sz="0" w:space="0" w:color="auto"/>
        <w:left w:val="none" w:sz="0" w:space="0" w:color="auto"/>
        <w:bottom w:val="none" w:sz="0" w:space="0" w:color="auto"/>
        <w:right w:val="none" w:sz="0" w:space="0" w:color="auto"/>
      </w:divBdr>
    </w:div>
    <w:div w:id="1229000478">
      <w:bodyDiv w:val="1"/>
      <w:marLeft w:val="0"/>
      <w:marRight w:val="0"/>
      <w:marTop w:val="0"/>
      <w:marBottom w:val="0"/>
      <w:divBdr>
        <w:top w:val="none" w:sz="0" w:space="0" w:color="auto"/>
        <w:left w:val="none" w:sz="0" w:space="0" w:color="auto"/>
        <w:bottom w:val="none" w:sz="0" w:space="0" w:color="auto"/>
        <w:right w:val="none" w:sz="0" w:space="0" w:color="auto"/>
      </w:divBdr>
    </w:div>
    <w:div w:id="1259488965">
      <w:bodyDiv w:val="1"/>
      <w:marLeft w:val="0"/>
      <w:marRight w:val="0"/>
      <w:marTop w:val="0"/>
      <w:marBottom w:val="0"/>
      <w:divBdr>
        <w:top w:val="none" w:sz="0" w:space="0" w:color="auto"/>
        <w:left w:val="none" w:sz="0" w:space="0" w:color="auto"/>
        <w:bottom w:val="none" w:sz="0" w:space="0" w:color="auto"/>
        <w:right w:val="none" w:sz="0" w:space="0" w:color="auto"/>
      </w:divBdr>
    </w:div>
    <w:div w:id="1362513625">
      <w:bodyDiv w:val="1"/>
      <w:marLeft w:val="0"/>
      <w:marRight w:val="0"/>
      <w:marTop w:val="0"/>
      <w:marBottom w:val="0"/>
      <w:divBdr>
        <w:top w:val="none" w:sz="0" w:space="0" w:color="auto"/>
        <w:left w:val="none" w:sz="0" w:space="0" w:color="auto"/>
        <w:bottom w:val="none" w:sz="0" w:space="0" w:color="auto"/>
        <w:right w:val="none" w:sz="0" w:space="0" w:color="auto"/>
      </w:divBdr>
    </w:div>
    <w:div w:id="1365903935">
      <w:bodyDiv w:val="1"/>
      <w:marLeft w:val="0"/>
      <w:marRight w:val="0"/>
      <w:marTop w:val="0"/>
      <w:marBottom w:val="0"/>
      <w:divBdr>
        <w:top w:val="none" w:sz="0" w:space="0" w:color="auto"/>
        <w:left w:val="none" w:sz="0" w:space="0" w:color="auto"/>
        <w:bottom w:val="none" w:sz="0" w:space="0" w:color="auto"/>
        <w:right w:val="none" w:sz="0" w:space="0" w:color="auto"/>
      </w:divBdr>
    </w:div>
    <w:div w:id="1370908785">
      <w:bodyDiv w:val="1"/>
      <w:marLeft w:val="0"/>
      <w:marRight w:val="0"/>
      <w:marTop w:val="0"/>
      <w:marBottom w:val="0"/>
      <w:divBdr>
        <w:top w:val="none" w:sz="0" w:space="0" w:color="auto"/>
        <w:left w:val="none" w:sz="0" w:space="0" w:color="auto"/>
        <w:bottom w:val="none" w:sz="0" w:space="0" w:color="auto"/>
        <w:right w:val="none" w:sz="0" w:space="0" w:color="auto"/>
      </w:divBdr>
    </w:div>
    <w:div w:id="1383598158">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438990606">
      <w:bodyDiv w:val="1"/>
      <w:marLeft w:val="0"/>
      <w:marRight w:val="0"/>
      <w:marTop w:val="0"/>
      <w:marBottom w:val="0"/>
      <w:divBdr>
        <w:top w:val="none" w:sz="0" w:space="0" w:color="auto"/>
        <w:left w:val="none" w:sz="0" w:space="0" w:color="auto"/>
        <w:bottom w:val="none" w:sz="0" w:space="0" w:color="auto"/>
        <w:right w:val="none" w:sz="0" w:space="0" w:color="auto"/>
      </w:divBdr>
    </w:div>
    <w:div w:id="1467047745">
      <w:bodyDiv w:val="1"/>
      <w:marLeft w:val="0"/>
      <w:marRight w:val="0"/>
      <w:marTop w:val="0"/>
      <w:marBottom w:val="0"/>
      <w:divBdr>
        <w:top w:val="none" w:sz="0" w:space="0" w:color="auto"/>
        <w:left w:val="none" w:sz="0" w:space="0" w:color="auto"/>
        <w:bottom w:val="none" w:sz="0" w:space="0" w:color="auto"/>
        <w:right w:val="none" w:sz="0" w:space="0" w:color="auto"/>
      </w:divBdr>
      <w:divsChild>
        <w:div w:id="198661789">
          <w:marLeft w:val="0"/>
          <w:marRight w:val="0"/>
          <w:marTop w:val="0"/>
          <w:marBottom w:val="0"/>
          <w:divBdr>
            <w:top w:val="none" w:sz="0" w:space="0" w:color="auto"/>
            <w:left w:val="none" w:sz="0" w:space="0" w:color="auto"/>
            <w:bottom w:val="none" w:sz="0" w:space="0" w:color="auto"/>
            <w:right w:val="none" w:sz="0" w:space="0" w:color="auto"/>
          </w:divBdr>
          <w:divsChild>
            <w:div w:id="1993289231">
              <w:marLeft w:val="0"/>
              <w:marRight w:val="0"/>
              <w:marTop w:val="0"/>
              <w:marBottom w:val="0"/>
              <w:divBdr>
                <w:top w:val="none" w:sz="0" w:space="0" w:color="auto"/>
                <w:left w:val="none" w:sz="0" w:space="0" w:color="auto"/>
                <w:bottom w:val="none" w:sz="0" w:space="0" w:color="auto"/>
                <w:right w:val="none" w:sz="0" w:space="0" w:color="auto"/>
              </w:divBdr>
              <w:divsChild>
                <w:div w:id="915020248">
                  <w:marLeft w:val="0"/>
                  <w:marRight w:val="0"/>
                  <w:marTop w:val="0"/>
                  <w:marBottom w:val="0"/>
                  <w:divBdr>
                    <w:top w:val="none" w:sz="0" w:space="0" w:color="auto"/>
                    <w:left w:val="none" w:sz="0" w:space="0" w:color="auto"/>
                    <w:bottom w:val="none" w:sz="0" w:space="0" w:color="auto"/>
                    <w:right w:val="none" w:sz="0" w:space="0" w:color="auto"/>
                  </w:divBdr>
                  <w:divsChild>
                    <w:div w:id="1748724938">
                      <w:marLeft w:val="0"/>
                      <w:marRight w:val="0"/>
                      <w:marTop w:val="0"/>
                      <w:marBottom w:val="0"/>
                      <w:divBdr>
                        <w:top w:val="none" w:sz="0" w:space="0" w:color="auto"/>
                        <w:left w:val="none" w:sz="0" w:space="0" w:color="auto"/>
                        <w:bottom w:val="none" w:sz="0" w:space="0" w:color="auto"/>
                        <w:right w:val="none" w:sz="0" w:space="0" w:color="auto"/>
                      </w:divBdr>
                      <w:divsChild>
                        <w:div w:id="10380207">
                          <w:marLeft w:val="0"/>
                          <w:marRight w:val="0"/>
                          <w:marTop w:val="0"/>
                          <w:marBottom w:val="0"/>
                          <w:divBdr>
                            <w:top w:val="none" w:sz="0" w:space="0" w:color="auto"/>
                            <w:left w:val="none" w:sz="0" w:space="0" w:color="auto"/>
                            <w:bottom w:val="none" w:sz="0" w:space="0" w:color="auto"/>
                            <w:right w:val="none" w:sz="0" w:space="0" w:color="auto"/>
                          </w:divBdr>
                          <w:divsChild>
                            <w:div w:id="1890605656">
                              <w:marLeft w:val="0"/>
                              <w:marRight w:val="0"/>
                              <w:marTop w:val="0"/>
                              <w:marBottom w:val="0"/>
                              <w:divBdr>
                                <w:top w:val="none" w:sz="0" w:space="0" w:color="auto"/>
                                <w:left w:val="none" w:sz="0" w:space="0" w:color="auto"/>
                                <w:bottom w:val="none" w:sz="0" w:space="0" w:color="auto"/>
                                <w:right w:val="none" w:sz="0" w:space="0" w:color="auto"/>
                              </w:divBdr>
                              <w:divsChild>
                                <w:div w:id="42603351">
                                  <w:marLeft w:val="0"/>
                                  <w:marRight w:val="0"/>
                                  <w:marTop w:val="0"/>
                                  <w:marBottom w:val="0"/>
                                  <w:divBdr>
                                    <w:top w:val="none" w:sz="0" w:space="0" w:color="auto"/>
                                    <w:left w:val="none" w:sz="0" w:space="0" w:color="auto"/>
                                    <w:bottom w:val="none" w:sz="0" w:space="0" w:color="auto"/>
                                    <w:right w:val="none" w:sz="0" w:space="0" w:color="auto"/>
                                  </w:divBdr>
                                  <w:divsChild>
                                    <w:div w:id="1918972371">
                                      <w:marLeft w:val="0"/>
                                      <w:marRight w:val="0"/>
                                      <w:marTop w:val="0"/>
                                      <w:marBottom w:val="0"/>
                                      <w:divBdr>
                                        <w:top w:val="none" w:sz="0" w:space="0" w:color="auto"/>
                                        <w:left w:val="none" w:sz="0" w:space="0" w:color="auto"/>
                                        <w:bottom w:val="none" w:sz="0" w:space="0" w:color="auto"/>
                                        <w:right w:val="none" w:sz="0" w:space="0" w:color="auto"/>
                                      </w:divBdr>
                                      <w:divsChild>
                                        <w:div w:id="575821736">
                                          <w:marLeft w:val="0"/>
                                          <w:marRight w:val="0"/>
                                          <w:marTop w:val="0"/>
                                          <w:marBottom w:val="0"/>
                                          <w:divBdr>
                                            <w:top w:val="none" w:sz="0" w:space="0" w:color="auto"/>
                                            <w:left w:val="none" w:sz="0" w:space="0" w:color="auto"/>
                                            <w:bottom w:val="none" w:sz="0" w:space="0" w:color="auto"/>
                                            <w:right w:val="none" w:sz="0" w:space="0" w:color="auto"/>
                                          </w:divBdr>
                                          <w:divsChild>
                                            <w:div w:id="1373573332">
                                              <w:marLeft w:val="0"/>
                                              <w:marRight w:val="0"/>
                                              <w:marTop w:val="0"/>
                                              <w:marBottom w:val="0"/>
                                              <w:divBdr>
                                                <w:top w:val="none" w:sz="0" w:space="0" w:color="auto"/>
                                                <w:left w:val="none" w:sz="0" w:space="0" w:color="auto"/>
                                                <w:bottom w:val="none" w:sz="0" w:space="0" w:color="auto"/>
                                                <w:right w:val="none" w:sz="0" w:space="0" w:color="auto"/>
                                              </w:divBdr>
                                              <w:divsChild>
                                                <w:div w:id="575826410">
                                                  <w:marLeft w:val="0"/>
                                                  <w:marRight w:val="0"/>
                                                  <w:marTop w:val="0"/>
                                                  <w:marBottom w:val="0"/>
                                                  <w:divBdr>
                                                    <w:top w:val="none" w:sz="0" w:space="0" w:color="auto"/>
                                                    <w:left w:val="none" w:sz="0" w:space="0" w:color="auto"/>
                                                    <w:bottom w:val="none" w:sz="0" w:space="0" w:color="auto"/>
                                                    <w:right w:val="none" w:sz="0" w:space="0" w:color="auto"/>
                                                  </w:divBdr>
                                                  <w:divsChild>
                                                    <w:div w:id="58745717">
                                                      <w:marLeft w:val="0"/>
                                                      <w:marRight w:val="0"/>
                                                      <w:marTop w:val="0"/>
                                                      <w:marBottom w:val="0"/>
                                                      <w:divBdr>
                                                        <w:top w:val="none" w:sz="0" w:space="0" w:color="auto"/>
                                                        <w:left w:val="none" w:sz="0" w:space="0" w:color="auto"/>
                                                        <w:bottom w:val="none" w:sz="0" w:space="0" w:color="auto"/>
                                                        <w:right w:val="none" w:sz="0" w:space="0" w:color="auto"/>
                                                      </w:divBdr>
                                                      <w:divsChild>
                                                        <w:div w:id="666715968">
                                                          <w:marLeft w:val="0"/>
                                                          <w:marRight w:val="0"/>
                                                          <w:marTop w:val="0"/>
                                                          <w:marBottom w:val="0"/>
                                                          <w:divBdr>
                                                            <w:top w:val="none" w:sz="0" w:space="0" w:color="auto"/>
                                                            <w:left w:val="none" w:sz="0" w:space="0" w:color="auto"/>
                                                            <w:bottom w:val="none" w:sz="0" w:space="0" w:color="auto"/>
                                                            <w:right w:val="none" w:sz="0" w:space="0" w:color="auto"/>
                                                          </w:divBdr>
                                                          <w:divsChild>
                                                            <w:div w:id="397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629154">
      <w:bodyDiv w:val="1"/>
      <w:marLeft w:val="0"/>
      <w:marRight w:val="0"/>
      <w:marTop w:val="0"/>
      <w:marBottom w:val="0"/>
      <w:divBdr>
        <w:top w:val="none" w:sz="0" w:space="0" w:color="auto"/>
        <w:left w:val="none" w:sz="0" w:space="0" w:color="auto"/>
        <w:bottom w:val="none" w:sz="0" w:space="0" w:color="auto"/>
        <w:right w:val="none" w:sz="0" w:space="0" w:color="auto"/>
      </w:divBdr>
    </w:div>
    <w:div w:id="1509247942">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562905688">
      <w:bodyDiv w:val="1"/>
      <w:marLeft w:val="0"/>
      <w:marRight w:val="0"/>
      <w:marTop w:val="0"/>
      <w:marBottom w:val="0"/>
      <w:divBdr>
        <w:top w:val="none" w:sz="0" w:space="0" w:color="auto"/>
        <w:left w:val="none" w:sz="0" w:space="0" w:color="auto"/>
        <w:bottom w:val="none" w:sz="0" w:space="0" w:color="auto"/>
        <w:right w:val="none" w:sz="0" w:space="0" w:color="auto"/>
      </w:divBdr>
    </w:div>
    <w:div w:id="1603880059">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665234637">
      <w:bodyDiv w:val="1"/>
      <w:marLeft w:val="0"/>
      <w:marRight w:val="0"/>
      <w:marTop w:val="0"/>
      <w:marBottom w:val="0"/>
      <w:divBdr>
        <w:top w:val="none" w:sz="0" w:space="0" w:color="auto"/>
        <w:left w:val="none" w:sz="0" w:space="0" w:color="auto"/>
        <w:bottom w:val="none" w:sz="0" w:space="0" w:color="auto"/>
        <w:right w:val="none" w:sz="0" w:space="0" w:color="auto"/>
      </w:divBdr>
    </w:div>
    <w:div w:id="1702853397">
      <w:bodyDiv w:val="1"/>
      <w:marLeft w:val="0"/>
      <w:marRight w:val="0"/>
      <w:marTop w:val="0"/>
      <w:marBottom w:val="0"/>
      <w:divBdr>
        <w:top w:val="none" w:sz="0" w:space="0" w:color="auto"/>
        <w:left w:val="none" w:sz="0" w:space="0" w:color="auto"/>
        <w:bottom w:val="none" w:sz="0" w:space="0" w:color="auto"/>
        <w:right w:val="none" w:sz="0" w:space="0" w:color="auto"/>
      </w:divBdr>
    </w:div>
    <w:div w:id="1722052930">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743216881">
      <w:bodyDiv w:val="1"/>
      <w:marLeft w:val="0"/>
      <w:marRight w:val="0"/>
      <w:marTop w:val="0"/>
      <w:marBottom w:val="0"/>
      <w:divBdr>
        <w:top w:val="none" w:sz="0" w:space="0" w:color="auto"/>
        <w:left w:val="none" w:sz="0" w:space="0" w:color="auto"/>
        <w:bottom w:val="none" w:sz="0" w:space="0" w:color="auto"/>
        <w:right w:val="none" w:sz="0" w:space="0" w:color="auto"/>
      </w:divBdr>
    </w:div>
    <w:div w:id="1771732008">
      <w:bodyDiv w:val="1"/>
      <w:marLeft w:val="0"/>
      <w:marRight w:val="0"/>
      <w:marTop w:val="0"/>
      <w:marBottom w:val="0"/>
      <w:divBdr>
        <w:top w:val="none" w:sz="0" w:space="0" w:color="auto"/>
        <w:left w:val="none" w:sz="0" w:space="0" w:color="auto"/>
        <w:bottom w:val="none" w:sz="0" w:space="0" w:color="auto"/>
        <w:right w:val="none" w:sz="0" w:space="0" w:color="auto"/>
      </w:divBdr>
    </w:div>
    <w:div w:id="1797679176">
      <w:bodyDiv w:val="1"/>
      <w:marLeft w:val="0"/>
      <w:marRight w:val="0"/>
      <w:marTop w:val="0"/>
      <w:marBottom w:val="0"/>
      <w:divBdr>
        <w:top w:val="none" w:sz="0" w:space="0" w:color="auto"/>
        <w:left w:val="none" w:sz="0" w:space="0" w:color="auto"/>
        <w:bottom w:val="none" w:sz="0" w:space="0" w:color="auto"/>
        <w:right w:val="none" w:sz="0" w:space="0" w:color="auto"/>
      </w:divBdr>
    </w:div>
    <w:div w:id="1798259600">
      <w:bodyDiv w:val="1"/>
      <w:marLeft w:val="0"/>
      <w:marRight w:val="0"/>
      <w:marTop w:val="0"/>
      <w:marBottom w:val="0"/>
      <w:divBdr>
        <w:top w:val="none" w:sz="0" w:space="0" w:color="auto"/>
        <w:left w:val="none" w:sz="0" w:space="0" w:color="auto"/>
        <w:bottom w:val="none" w:sz="0" w:space="0" w:color="auto"/>
        <w:right w:val="none" w:sz="0" w:space="0" w:color="auto"/>
      </w:divBdr>
    </w:div>
    <w:div w:id="1848130940">
      <w:bodyDiv w:val="1"/>
      <w:marLeft w:val="0"/>
      <w:marRight w:val="0"/>
      <w:marTop w:val="0"/>
      <w:marBottom w:val="0"/>
      <w:divBdr>
        <w:top w:val="none" w:sz="0" w:space="0" w:color="auto"/>
        <w:left w:val="none" w:sz="0" w:space="0" w:color="auto"/>
        <w:bottom w:val="none" w:sz="0" w:space="0" w:color="auto"/>
        <w:right w:val="none" w:sz="0" w:space="0" w:color="auto"/>
      </w:divBdr>
    </w:div>
    <w:div w:id="1877233891">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1901020312">
      <w:bodyDiv w:val="1"/>
      <w:marLeft w:val="0"/>
      <w:marRight w:val="0"/>
      <w:marTop w:val="0"/>
      <w:marBottom w:val="0"/>
      <w:divBdr>
        <w:top w:val="none" w:sz="0" w:space="0" w:color="auto"/>
        <w:left w:val="none" w:sz="0" w:space="0" w:color="auto"/>
        <w:bottom w:val="none" w:sz="0" w:space="0" w:color="auto"/>
        <w:right w:val="none" w:sz="0" w:space="0" w:color="auto"/>
      </w:divBdr>
    </w:div>
    <w:div w:id="2004773261">
      <w:bodyDiv w:val="1"/>
      <w:marLeft w:val="0"/>
      <w:marRight w:val="0"/>
      <w:marTop w:val="0"/>
      <w:marBottom w:val="0"/>
      <w:divBdr>
        <w:top w:val="none" w:sz="0" w:space="0" w:color="auto"/>
        <w:left w:val="none" w:sz="0" w:space="0" w:color="auto"/>
        <w:bottom w:val="none" w:sz="0" w:space="0" w:color="auto"/>
        <w:right w:val="none" w:sz="0" w:space="0" w:color="auto"/>
      </w:divBdr>
    </w:div>
    <w:div w:id="2019772959">
      <w:bodyDiv w:val="1"/>
      <w:marLeft w:val="0"/>
      <w:marRight w:val="0"/>
      <w:marTop w:val="0"/>
      <w:marBottom w:val="0"/>
      <w:divBdr>
        <w:top w:val="none" w:sz="0" w:space="0" w:color="auto"/>
        <w:left w:val="none" w:sz="0" w:space="0" w:color="auto"/>
        <w:bottom w:val="none" w:sz="0" w:space="0" w:color="auto"/>
        <w:right w:val="none" w:sz="0" w:space="0" w:color="auto"/>
      </w:divBdr>
    </w:div>
    <w:div w:id="2029868939">
      <w:bodyDiv w:val="1"/>
      <w:marLeft w:val="0"/>
      <w:marRight w:val="0"/>
      <w:marTop w:val="0"/>
      <w:marBottom w:val="0"/>
      <w:divBdr>
        <w:top w:val="none" w:sz="0" w:space="0" w:color="auto"/>
        <w:left w:val="none" w:sz="0" w:space="0" w:color="auto"/>
        <w:bottom w:val="none" w:sz="0" w:space="0" w:color="auto"/>
        <w:right w:val="none" w:sz="0" w:space="0" w:color="auto"/>
      </w:divBdr>
    </w:div>
    <w:div w:id="2100364004">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 w:id="2142066188">
      <w:bodyDiv w:val="1"/>
      <w:marLeft w:val="0"/>
      <w:marRight w:val="0"/>
      <w:marTop w:val="0"/>
      <w:marBottom w:val="0"/>
      <w:divBdr>
        <w:top w:val="none" w:sz="0" w:space="0" w:color="auto"/>
        <w:left w:val="none" w:sz="0" w:space="0" w:color="auto"/>
        <w:bottom w:val="none" w:sz="0" w:space="0" w:color="auto"/>
        <w:right w:val="none" w:sz="0" w:space="0" w:color="auto"/>
      </w:divBdr>
    </w:div>
    <w:div w:id="2142453499">
      <w:bodyDiv w:val="1"/>
      <w:marLeft w:val="0"/>
      <w:marRight w:val="0"/>
      <w:marTop w:val="0"/>
      <w:marBottom w:val="0"/>
      <w:divBdr>
        <w:top w:val="none" w:sz="0" w:space="0" w:color="auto"/>
        <w:left w:val="none" w:sz="0" w:space="0" w:color="auto"/>
        <w:bottom w:val="none" w:sz="0" w:space="0" w:color="auto"/>
        <w:right w:val="none" w:sz="0" w:space="0" w:color="auto"/>
      </w:divBdr>
    </w:div>
    <w:div w:id="21425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customXml/item13.xml" Type="http://schemas.openxmlformats.org/officeDocument/2006/relationships/customXml" Id="rId13"></Relationship><Relationship Target="../customXml/item18.xml" Type="http://schemas.openxmlformats.org/officeDocument/2006/relationships/customXml" Id="rId18"></Relationship><Relationship Target="endnotes.xml" Type="http://schemas.openxmlformats.org/officeDocument/2006/relationships/endnotes" Id="rId26"></Relationship><Relationship Target="theme/theme1.xml" Type="http://schemas.openxmlformats.org/officeDocument/2006/relationships/theme" Id="rId39"></Relationship><Relationship Target="numbering.xml" Type="http://schemas.openxmlformats.org/officeDocument/2006/relationships/numbering" Id="rId21"></Relationship><Relationship TargetMode="External" Target="mailto:Reinis.vecbastiks@em.gov.lv" Type="http://schemas.openxmlformats.org/officeDocument/2006/relationships/hyperlink" Id="rId34"></Relationship><Relationship Target="../customXml/item7.xml" Type="http://schemas.openxmlformats.org/officeDocument/2006/relationships/customXml" Id="rId7"></Relationship><Relationship Target="../customXml/item12.xml" Type="http://schemas.openxmlformats.org/officeDocument/2006/relationships/customXml" Id="rId12"></Relationship><Relationship Target="../customXml/item17.xml" Type="http://schemas.openxmlformats.org/officeDocument/2006/relationships/customXml" Id="rId17"></Relationship><Relationship Target="footnotes.xml" Type="http://schemas.openxmlformats.org/officeDocument/2006/relationships/footnotes" Id="rId25"></Relationship><Relationship Target="media/image1.png" Type="http://schemas.openxmlformats.org/officeDocument/2006/relationships/image" Id="rId33"></Relationship><Relationship Target="fontTable.xml" Type="http://schemas.openxmlformats.org/officeDocument/2006/relationships/fontTable" Id="rId38"></Relationship><Relationship Target="../customXml/item2.xml" Type="http://schemas.openxmlformats.org/officeDocument/2006/relationships/customXml" Id="rId2"></Relationship><Relationship Target="../customXml/item16.xml" Type="http://schemas.openxmlformats.org/officeDocument/2006/relationships/customXml" Id="rId16"></Relationship><Relationship Target="../customXml/item20.xml" Type="http://schemas.openxmlformats.org/officeDocument/2006/relationships/customXml" Id="rId20"></Relationship><Relationship Target="charts/chart3.xml" Type="http://schemas.openxmlformats.org/officeDocument/2006/relationships/chart" Id="rId29"></Relationship><Relationship Target="../customXml/item1.xml" Type="http://schemas.openxmlformats.org/officeDocument/2006/relationships/customXml" Id="rId1"></Relationship><Relationship Target="../customXml/item6.xml" Type="http://schemas.openxmlformats.org/officeDocument/2006/relationships/customXml" Id="rId6"></Relationship><Relationship Target="../customXml/item11.xml" Type="http://schemas.openxmlformats.org/officeDocument/2006/relationships/customXml" Id="rId11"></Relationship><Relationship Target="webSettings.xml" Type="http://schemas.openxmlformats.org/officeDocument/2006/relationships/webSettings" Id="rId24"></Relationship><Relationship Target="charts/chart6.xml" Type="http://schemas.openxmlformats.org/officeDocument/2006/relationships/chart" Id="rId32"></Relationship><Relationship Target="footer1.xml" Type="http://schemas.openxmlformats.org/officeDocument/2006/relationships/footer" Id="rId37"></Relationship><Relationship Target="../customXml/item5.xml" Type="http://schemas.openxmlformats.org/officeDocument/2006/relationships/customXml" Id="rId5"></Relationship><Relationship Target="../customXml/item15.xml" Type="http://schemas.openxmlformats.org/officeDocument/2006/relationships/customXml" Id="rId15"></Relationship><Relationship Target="settings.xml" Type="http://schemas.openxmlformats.org/officeDocument/2006/relationships/settings" Id="rId23"></Relationship><Relationship Target="charts/chart2.xml" Type="http://schemas.openxmlformats.org/officeDocument/2006/relationships/chart" Id="rId28"></Relationship><Relationship Target="header1.xml" Type="http://schemas.openxmlformats.org/officeDocument/2006/relationships/header" Id="rId36"></Relationship><Relationship Target="../customXml/item10.xml" Type="http://schemas.openxmlformats.org/officeDocument/2006/relationships/customXml" Id="rId10"></Relationship><Relationship Target="../customXml/item19.xml" Type="http://schemas.openxmlformats.org/officeDocument/2006/relationships/customXml" Id="rId19"></Relationship><Relationship Target="charts/chart5.xml" Type="http://schemas.openxmlformats.org/officeDocument/2006/relationships/chart" Id="rId31"></Relationship><Relationship Target="../customXml/item4.xml" Type="http://schemas.openxmlformats.org/officeDocument/2006/relationships/customXml" Id="rId4"></Relationship><Relationship Target="../customXml/item9.xml" Type="http://schemas.openxmlformats.org/officeDocument/2006/relationships/customXml" Id="rId9"></Relationship><Relationship Target="../customXml/item14.xml" Type="http://schemas.openxmlformats.org/officeDocument/2006/relationships/customXml" Id="rId14"></Relationship><Relationship Target="styles.xml" Type="http://schemas.openxmlformats.org/officeDocument/2006/relationships/styles" Id="rId22"></Relationship><Relationship Target="charts/chart1.xml" Type="http://schemas.openxmlformats.org/officeDocument/2006/relationships/chart" Id="rId27"></Relationship><Relationship Target="charts/chart4.xml" Type="http://schemas.openxmlformats.org/officeDocument/2006/relationships/chart" Id="rId30"></Relationship><Relationship TargetMode="External" Target="mailto:Elina.rage@em.gov.lv" Type="http://schemas.openxmlformats.org/officeDocument/2006/relationships/hyperlink" Id="rId35"></Relationship><Relationship Target="../customXml/item8.xml" Type="http://schemas.openxmlformats.org/officeDocument/2006/relationships/customXml" Id="rId8"></Relationship><Relationship Target="../customXml/item3.xml" Type="http://schemas.openxmlformats.org/officeDocument/2006/relationships/customXml" Id="rId3"></Relationship></Relationships>
</file>

<file path=word/_rels/footnotes.xml.rels><?xml version="1.0" encoding="UTF-8" ?><Relationships xmlns:rel="http://schemas.openxmlformats.org/package/2006/relationships" xmlns="http://schemas.openxmlformats.org/package/2006/relationships"><Relationship TargetMode="External" Target="https://www.ellenmacarthurfoundation.org/assets/downloads/Completing_The_Picture_How_The_Circular_Economy-_Tackles_Climate_Change_V3_26_September.pdf" Type="http://schemas.openxmlformats.org/officeDocument/2006/relationships/hyperlink" Id="rId3"></Relationship><Relationship TargetMode="External" Target="https://www.eea.europa.eu/publications/textiles-in-europes-circular-economy" Type="http://schemas.openxmlformats.org/officeDocument/2006/relationships/hyperlink" Id="rId2"></Relationship><Relationship TargetMode="External" Target="https://www.ellenmacarthurfoundation.org/assets/downloads/A-New-Textiles-Economy_Summary-of-Findings_Updated_1-12-17.pdf" Type="http://schemas.openxmlformats.org/officeDocument/2006/relationships/hyperlink" Id="rId1"></Relationship><Relationship TargetMode="External" Target="https://ec.europa.eu/commission/presscorner/detail/en/ip_21_2784" Type="http://schemas.openxmlformats.org/officeDocument/2006/relationships/hyperlink" Id="rId4"></Relationship></Relationships>
</file>

<file path=word/charts/_rels/chart1.xml.rels><?xml version="1.0" encoding="UTF-8" ?><Relationships xmlns:rel="http://schemas.openxmlformats.org/package/2006/relationships" xmlns="http://schemas.openxmlformats.org/package/2006/relationships"><Relationship Target="../embeddings/Microsoft_Excel_Worksheet.xlsx" Type="http://schemas.openxmlformats.org/officeDocument/2006/relationships/package" Id="rId2"></Relationship><Relationship Target="../theme/themeOverride1.xml" Type="http://schemas.openxmlformats.org/officeDocument/2006/relationships/themeOverride" Id="rId1"></Relationship></Relationships>
</file>

<file path=word/charts/_rels/chart2.xml.rels><?xml version="1.0" encoding="UTF-8" ?><Relationships xmlns:rel="http://schemas.openxmlformats.org/package/2006/relationships" xmlns="http://schemas.openxmlformats.org/package/2006/relationships"><Relationship Target="../embeddings/Microsoft_Excel_Worksheet1.xlsx" Type="http://schemas.openxmlformats.org/officeDocument/2006/relationships/package" Id="rId2"></Relationship><Relationship Target="../theme/themeOverride2.xml" Type="http://schemas.openxmlformats.org/officeDocument/2006/relationships/themeOverride" Id="rId1"></Relationship></Relationships>
</file>

<file path=word/charts/_rels/chart3.xml.rels><?xml version="1.0" encoding="UTF-8" ?><Relationships xmlns:rel="http://schemas.openxmlformats.org/package/2006/relationships" xmlns="http://schemas.openxmlformats.org/package/2006/relationships"><Relationship Target="../embeddings/Microsoft_Excel_Worksheet2.xlsx" Type="http://schemas.openxmlformats.org/officeDocument/2006/relationships/package" Id="rId2"></Relationship><Relationship Target="../theme/themeOverride3.xml" Type="http://schemas.openxmlformats.org/officeDocument/2006/relationships/themeOverride" Id="rId1"></Relationship></Relationships>
</file>

<file path=word/charts/_rels/chart4.xml.rels><?xml version="1.0" encoding="UTF-8" ?><Relationships xmlns:rel="http://schemas.openxmlformats.org/package/2006/relationships" xmlns="http://schemas.openxmlformats.org/package/2006/relationships"><Relationship Target="../embeddings/Microsoft_Excel_Worksheet3.xlsx" Type="http://schemas.openxmlformats.org/officeDocument/2006/relationships/package" Id="rId2"></Relationship><Relationship Target="../theme/themeOverride4.xml" Type="http://schemas.openxmlformats.org/officeDocument/2006/relationships/themeOverride" Id="rId1"></Relationship></Relationships>
</file>

<file path=word/charts/_rels/chart5.xml.rels><?xml version="1.0" encoding="UTF-8" ?><Relationships xmlns:rel="http://schemas.openxmlformats.org/package/2006/relationships" xmlns="http://schemas.openxmlformats.org/package/2006/relationships"><Relationship Target="../theme/themeOverride5.xml" Type="http://schemas.openxmlformats.org/officeDocument/2006/relationships/themeOverride" Id="rId3"></Relationship><Relationship Target="colors1.xml" Type="http://schemas.microsoft.com/office/2011/relationships/chartColorStyle" Id="rId2"></Relationship><Relationship Target="style1.xml" Type="http://schemas.microsoft.com/office/2011/relationships/chartStyle" Id="rId1"></Relationship><Relationship Target="../embeddings/Microsoft_Excel_Worksheet4.xlsx" Type="http://schemas.openxmlformats.org/officeDocument/2006/relationships/package" Id="rId4"></Relationship></Relationships>
</file>

<file path=word/charts/_rels/chart6.xml.rels><?xml version="1.0" encoding="UTF-8" ?><Relationships xmlns:rel="http://schemas.openxmlformats.org/package/2006/relationships" xmlns="http://schemas.openxmlformats.org/package/2006/relationships"><Relationship Target="../embeddings/Microsoft_Excel_Worksheet5.xlsx" Type="http://schemas.openxmlformats.org/officeDocument/2006/relationships/package" Id="rId2"></Relationship><Relationship Target="../theme/themeOverride6.xml" Type="http://schemas.openxmlformats.org/officeDocument/2006/relationships/themeOverride" Id="rId1"></Relationship></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xmlns:mc="http://schemas.openxmlformats.org/markup-compatibility/2006"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31070410482386"/>
          <c:y val="9.8043996950400794E-2"/>
          <c:w val="0.69226879455876078"/>
          <c:h val="0.76906693993709441"/>
        </c:manualLayout>
      </c:layout>
      <c:pieChart>
        <c:varyColors val="1"/>
        <c:ser>
          <c:idx val="10"/>
          <c:order val="0"/>
          <c:tx>
            <c:strRef>
              <c:f>Sheet1!$B$1</c:f>
              <c:strCache>
                <c:ptCount val="1"/>
                <c:pt idx="0">
                  <c:v>2017</c:v>
                </c:pt>
              </c:strCache>
            </c:strRef>
          </c:tx>
          <c:explosion val="5"/>
          <c:dPt>
            <c:idx val="0"/>
            <c:bubble3D val="0"/>
            <c:spPr>
              <a:solidFill>
                <a:srgbClr val="C0504D"/>
              </a:solidFill>
            </c:spPr>
            <c:extLst>
              <c:ext xmlns:c16="http://schemas.microsoft.com/office/drawing/2014/chart" uri="{C3380CC4-5D6E-409C-BE32-E72D297353CC}">
                <c16:uniqueId val="{00000001-31C7-48D3-89D7-FACFBBDB5115}"/>
              </c:ext>
            </c:extLst>
          </c:dPt>
          <c:dPt>
            <c:idx val="1"/>
            <c:bubble3D val="0"/>
            <c:spPr>
              <a:solidFill>
                <a:sysClr val="window" lastClr="FFFFFF">
                  <a:lumMod val="85000"/>
                </a:sysClr>
              </a:solidFill>
            </c:spPr>
            <c:extLst>
              <c:ext xmlns:c16="http://schemas.microsoft.com/office/drawing/2014/chart" uri="{C3380CC4-5D6E-409C-BE32-E72D297353CC}">
                <c16:uniqueId val="{00000003-31C7-48D3-89D7-FACFBBDB5115}"/>
              </c:ext>
            </c:extLst>
          </c:dPt>
          <c:dPt>
            <c:idx val="2"/>
            <c:bubble3D val="0"/>
            <c:extLst>
              <c:ext xmlns:c16="http://schemas.microsoft.com/office/drawing/2014/chart" uri="{C3380CC4-5D6E-409C-BE32-E72D297353CC}">
                <c16:uniqueId val="{00000004-31C7-48D3-89D7-FACFBBDB5115}"/>
              </c:ext>
            </c:extLst>
          </c:dPt>
          <c:dPt>
            <c:idx val="3"/>
            <c:bubble3D val="0"/>
            <c:extLst>
              <c:ext xmlns:c16="http://schemas.microsoft.com/office/drawing/2014/chart" uri="{C3380CC4-5D6E-409C-BE32-E72D297353CC}">
                <c16:uniqueId val="{00000005-31C7-48D3-89D7-FACFBBDB5115}"/>
              </c:ext>
            </c:extLst>
          </c:dPt>
          <c:dPt>
            <c:idx val="4"/>
            <c:bubble3D val="0"/>
            <c:extLst>
              <c:ext xmlns:c16="http://schemas.microsoft.com/office/drawing/2014/chart" uri="{C3380CC4-5D6E-409C-BE32-E72D297353CC}">
                <c16:uniqueId val="{00000006-31C7-48D3-89D7-FACFBBDB5115}"/>
              </c:ext>
            </c:extLst>
          </c:dPt>
          <c:dPt>
            <c:idx val="5"/>
            <c:bubble3D val="0"/>
            <c:extLst>
              <c:ext xmlns:c16="http://schemas.microsoft.com/office/drawing/2014/chart" uri="{C3380CC4-5D6E-409C-BE32-E72D297353CC}">
                <c16:uniqueId val="{00000007-31C7-48D3-89D7-FACFBBDB5115}"/>
              </c:ext>
            </c:extLst>
          </c:dPt>
          <c:dPt>
            <c:idx val="6"/>
            <c:bubble3D val="0"/>
            <c:extLst>
              <c:ext xmlns:c16="http://schemas.microsoft.com/office/drawing/2014/chart" uri="{C3380CC4-5D6E-409C-BE32-E72D297353CC}">
                <c16:uniqueId val="{00000008-31C7-48D3-89D7-FACFBBDB5115}"/>
              </c:ext>
            </c:extLst>
          </c:dPt>
          <c:dPt>
            <c:idx val="7"/>
            <c:bubble3D val="0"/>
            <c:extLst>
              <c:ext xmlns:c16="http://schemas.microsoft.com/office/drawing/2014/chart" uri="{C3380CC4-5D6E-409C-BE32-E72D297353CC}">
                <c16:uniqueId val="{00000009-31C7-48D3-89D7-FACFBBDB5115}"/>
              </c:ext>
            </c:extLst>
          </c:dPt>
          <c:dPt>
            <c:idx val="8"/>
            <c:bubble3D val="0"/>
            <c:extLst>
              <c:ext xmlns:c16="http://schemas.microsoft.com/office/drawing/2014/chart" uri="{C3380CC4-5D6E-409C-BE32-E72D297353CC}">
                <c16:uniqueId val="{0000000A-31C7-48D3-89D7-FACFBBDB5115}"/>
              </c:ext>
            </c:extLst>
          </c:dPt>
          <c:dLbls>
            <c:dLbl>
              <c:idx val="0"/>
              <c:numFmt formatCode="0%" sourceLinked="0"/>
              <c:spPr>
                <a:noFill/>
                <a:ln>
                  <a:noFill/>
                </a:ln>
                <a:effectLst/>
              </c:spPr>
              <c:txPr>
                <a:bodyPr wrap="square" lIns="38100" tIns="19050" rIns="38100" bIns="19050" anchor="ctr">
                  <a:spAutoFit/>
                </a:bodyPr>
                <a:lstStyle/>
                <a:p>
                  <a:pPr>
                    <a:defRPr>
                      <a:solidFill>
                        <a:schemeClr val="bg1"/>
                      </a:solidFill>
                    </a:defRPr>
                  </a:pPr>
                  <a:endParaRPr lang="lv-LV"/>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C7-48D3-89D7-FACFBBDB5115}"/>
                </c:ext>
              </c:extLst>
            </c:dLbl>
            <c:numFmt formatCode="0%" sourceLinked="0"/>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Gaļa un tās produktu pārstrāde</c:v>
                </c:pt>
                <c:pt idx="1">
                  <c:v>Pārējo produktu ražošana</c:v>
                </c:pt>
              </c:strCache>
            </c:strRef>
          </c:cat>
          <c:val>
            <c:numRef>
              <c:f>Sheet1!$B$2:$B$3</c:f>
              <c:numCache>
                <c:formatCode>0</c:formatCode>
                <c:ptCount val="2"/>
                <c:pt idx="0">
                  <c:v>3.1060716837290701E-2</c:v>
                </c:pt>
                <c:pt idx="1">
                  <c:v>0.96893928316270928</c:v>
                </c:pt>
              </c:numCache>
            </c:numRef>
          </c:val>
          <c:extLst>
            <c:ext xmlns:c16="http://schemas.microsoft.com/office/drawing/2014/chart" uri="{C3380CC4-5D6E-409C-BE32-E72D297353CC}">
              <c16:uniqueId val="{0000000B-31C7-48D3-89D7-FACFBBDB5115}"/>
            </c:ext>
          </c:extLst>
        </c:ser>
        <c:dLbls>
          <c:showLegendKey val="0"/>
          <c:showVal val="0"/>
          <c:showCatName val="0"/>
          <c:showSerName val="0"/>
          <c:showPercent val="0"/>
          <c:showBubbleSize val="0"/>
          <c:showLeaderLines val="1"/>
        </c:dLbls>
        <c:firstSliceAng val="0"/>
      </c:pieChart>
      <c:spPr>
        <a:noFill/>
        <a:ln w="24631">
          <a:noFill/>
        </a:ln>
      </c:spPr>
    </c:plotArea>
    <c:plotVisOnly val="1"/>
    <c:dispBlanksAs val="zero"/>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xmlns:mc="http://schemas.openxmlformats.org/markup-compatibility/2006"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660379823855053E-2"/>
          <c:y val="1.7110621835777641E-2"/>
          <c:w val="0.95295822178982303"/>
          <c:h val="0.81008034520969086"/>
        </c:manualLayout>
      </c:layout>
      <c:barChart>
        <c:barDir val="col"/>
        <c:grouping val="clustered"/>
        <c:varyColors val="0"/>
        <c:ser>
          <c:idx val="0"/>
          <c:order val="1"/>
          <c:tx>
            <c:strRef>
              <c:f>Sheet1!$A$3</c:f>
              <c:strCache>
                <c:ptCount val="1"/>
                <c:pt idx="0">
                  <c:v>Nozare</c:v>
                </c:pt>
              </c:strCache>
            </c:strRef>
          </c:tx>
          <c:spPr>
            <a:ln w="6350">
              <a:noFill/>
              <a:prstDash val="solid"/>
            </a:ln>
          </c:spPr>
          <c:invertIfNegative val="0"/>
          <c:cat>
            <c:strRef>
              <c:f>Sheet1!$B$1:$I$1</c:f>
              <c:strCache>
                <c:ptCount val="6"/>
                <c:pt idx="0">
                  <c:v>2016</c:v>
                </c:pt>
                <c:pt idx="1">
                  <c:v>2017</c:v>
                </c:pt>
                <c:pt idx="2">
                  <c:v>2018</c:v>
                </c:pt>
                <c:pt idx="3">
                  <c:v>2019</c:v>
                </c:pt>
                <c:pt idx="4">
                  <c:v>2020</c:v>
                </c:pt>
                <c:pt idx="5">
                  <c:v>2021 Jan</c:v>
                </c:pt>
              </c:strCache>
            </c:strRef>
          </c:cat>
          <c:val>
            <c:numRef>
              <c:f>Sheet1!$B$3:$I$3</c:f>
              <c:numCache>
                <c:formatCode>0.0</c:formatCode>
                <c:ptCount val="6"/>
                <c:pt idx="0">
                  <c:v>2.0700172501437777</c:v>
                </c:pt>
                <c:pt idx="1">
                  <c:v>7.610852118253149</c:v>
                </c:pt>
                <c:pt idx="2">
                  <c:v>-0.78752702856493784</c:v>
                </c:pt>
                <c:pt idx="3">
                  <c:v>-2.6375155811481505</c:v>
                </c:pt>
                <c:pt idx="4">
                  <c:v>-9.535179628960563</c:v>
                </c:pt>
                <c:pt idx="5">
                  <c:v>-2.3124305765929591</c:v>
                </c:pt>
              </c:numCache>
            </c:numRef>
          </c:val>
          <c:extLst>
            <c:ext xmlns:c16="http://schemas.microsoft.com/office/drawing/2014/chart" uri="{C3380CC4-5D6E-409C-BE32-E72D297353CC}">
              <c16:uniqueId val="{00000000-A25B-4835-9D2D-8DEA40B8B4D1}"/>
            </c:ext>
          </c:extLst>
        </c:ser>
        <c:dLbls>
          <c:showLegendKey val="0"/>
          <c:showVal val="0"/>
          <c:showCatName val="0"/>
          <c:showSerName val="0"/>
          <c:showPercent val="0"/>
          <c:showBubbleSize val="0"/>
        </c:dLbls>
        <c:gapWidth val="40"/>
        <c:overlap val="100"/>
        <c:axId val="275547144"/>
        <c:axId val="275547536"/>
      </c:barChart>
      <c:lineChart>
        <c:grouping val="standard"/>
        <c:varyColors val="0"/>
        <c:ser>
          <c:idx val="1"/>
          <c:order val="0"/>
          <c:tx>
            <c:strRef>
              <c:f>Sheet1!$A$2</c:f>
              <c:strCache>
                <c:ptCount val="1"/>
                <c:pt idx="0">
                  <c:v>Apstrādes rūpniecība</c:v>
                </c:pt>
              </c:strCache>
            </c:strRef>
          </c:tx>
          <c:spPr>
            <a:ln w="69850">
              <a:noFill/>
              <a:prstDash val="solid"/>
            </a:ln>
          </c:spPr>
          <c:marker>
            <c:symbol val="diamond"/>
            <c:size val="8"/>
            <c:spPr>
              <a:ln>
                <a:noFill/>
              </a:ln>
            </c:spPr>
          </c:marker>
          <c:cat>
            <c:strRef>
              <c:f>Sheet1!$B$1:$I$1</c:f>
              <c:strCache>
                <c:ptCount val="6"/>
                <c:pt idx="0">
                  <c:v>2016</c:v>
                </c:pt>
                <c:pt idx="1">
                  <c:v>2017</c:v>
                </c:pt>
                <c:pt idx="2">
                  <c:v>2018</c:v>
                </c:pt>
                <c:pt idx="3">
                  <c:v>2019</c:v>
                </c:pt>
                <c:pt idx="4">
                  <c:v>2020</c:v>
                </c:pt>
                <c:pt idx="5">
                  <c:v>2021 Jan</c:v>
                </c:pt>
              </c:strCache>
            </c:strRef>
          </c:cat>
          <c:val>
            <c:numRef>
              <c:f>Sheet1!$B$2:$I$2</c:f>
              <c:numCache>
                <c:formatCode>0.0</c:formatCode>
                <c:ptCount val="6"/>
                <c:pt idx="0">
                  <c:v>5.619213493445784</c:v>
                </c:pt>
                <c:pt idx="1">
                  <c:v>8.0281201180350621</c:v>
                </c:pt>
                <c:pt idx="2">
                  <c:v>2.7345033852625988</c:v>
                </c:pt>
                <c:pt idx="3">
                  <c:v>2.1398966309069039</c:v>
                </c:pt>
                <c:pt idx="4">
                  <c:v>-0.87769974455524391</c:v>
                </c:pt>
                <c:pt idx="5">
                  <c:v>-3.1129263715641997</c:v>
                </c:pt>
              </c:numCache>
            </c:numRef>
          </c:val>
          <c:smooth val="1"/>
          <c:extLst>
            <c:ext xmlns:c16="http://schemas.microsoft.com/office/drawing/2014/chart" uri="{C3380CC4-5D6E-409C-BE32-E72D297353CC}">
              <c16:uniqueId val="{00000001-A25B-4835-9D2D-8DEA40B8B4D1}"/>
            </c:ext>
          </c:extLst>
        </c:ser>
        <c:dLbls>
          <c:showLegendKey val="0"/>
          <c:showVal val="0"/>
          <c:showCatName val="0"/>
          <c:showSerName val="0"/>
          <c:showPercent val="0"/>
          <c:showBubbleSize val="0"/>
        </c:dLbls>
        <c:dropLines>
          <c:spPr>
            <a:ln w="6350">
              <a:solidFill>
                <a:srgbClr val="C0504D"/>
              </a:solidFill>
            </a:ln>
          </c:spPr>
        </c:dropLines>
        <c:marker val="1"/>
        <c:smooth val="0"/>
        <c:axId val="275547144"/>
        <c:axId val="275547536"/>
      </c:lineChart>
      <c:catAx>
        <c:axId val="275547144"/>
        <c:scaling>
          <c:orientation val="minMax"/>
        </c:scaling>
        <c:delete val="0"/>
        <c:axPos val="b"/>
        <c:numFmt formatCode="General" sourceLinked="1"/>
        <c:majorTickMark val="none"/>
        <c:minorTickMark val="none"/>
        <c:tickLblPos val="low"/>
        <c:spPr>
          <a:ln w="3175"/>
        </c:spPr>
        <c:txPr>
          <a:bodyPr rot="0" vert="horz"/>
          <a:lstStyle/>
          <a:p>
            <a:pPr>
              <a:defRPr/>
            </a:pPr>
            <a:endParaRPr lang="lv-LV"/>
          </a:p>
        </c:txPr>
        <c:crossAx val="275547536"/>
        <c:crosses val="autoZero"/>
        <c:auto val="1"/>
        <c:lblAlgn val="ctr"/>
        <c:lblOffset val="0"/>
        <c:tickLblSkip val="1"/>
        <c:tickMarkSkip val="1"/>
        <c:noMultiLvlLbl val="0"/>
      </c:catAx>
      <c:valAx>
        <c:axId val="275547536"/>
        <c:scaling>
          <c:orientation val="minMax"/>
          <c:max val="10"/>
          <c:min val="-10"/>
        </c:scaling>
        <c:delete val="0"/>
        <c:axPos val="l"/>
        <c:numFmt formatCode="#,##0" sourceLinked="0"/>
        <c:majorTickMark val="out"/>
        <c:minorTickMark val="none"/>
        <c:tickLblPos val="nextTo"/>
        <c:spPr>
          <a:ln w="6350">
            <a:noFill/>
          </a:ln>
        </c:spPr>
        <c:txPr>
          <a:bodyPr rot="0" vert="horz"/>
          <a:lstStyle/>
          <a:p>
            <a:pPr>
              <a:defRPr/>
            </a:pPr>
            <a:endParaRPr lang="lv-LV"/>
          </a:p>
        </c:txPr>
        <c:crossAx val="275547144"/>
        <c:crosses val="autoZero"/>
        <c:crossBetween val="between"/>
        <c:majorUnit val="5"/>
      </c:valAx>
      <c:spPr>
        <a:noFill/>
        <a:ln w="6350">
          <a:noFill/>
        </a:ln>
      </c:spPr>
    </c:plotArea>
    <c:legend>
      <c:legendPos val="t"/>
      <c:layout>
        <c:manualLayout>
          <c:xMode val="edge"/>
          <c:yMode val="edge"/>
          <c:x val="8.2950186782207766E-2"/>
          <c:y val="0.56178477690288708"/>
          <c:w val="0.61566808704720566"/>
          <c:h val="0.19969389368497611"/>
        </c:manualLayout>
      </c:layout>
      <c:overlay val="0"/>
    </c:legend>
    <c:plotVisOnly val="1"/>
    <c:dispBlanksAs val="zero"/>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xmlns:mc="http://schemas.openxmlformats.org/markup-compatibility/2006"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10635627068355"/>
          <c:y val="3.175E-2"/>
          <c:w val="0.79644426428439652"/>
          <c:h val="0.81037481055753957"/>
        </c:manualLayout>
      </c:layout>
      <c:lineChart>
        <c:grouping val="standard"/>
        <c:varyColors val="0"/>
        <c:ser>
          <c:idx val="1"/>
          <c:order val="0"/>
          <c:tx>
            <c:strRef>
              <c:f>Sheet1!$A$3</c:f>
              <c:strCache>
                <c:ptCount val="1"/>
                <c:pt idx="0">
                  <c:v>Ražošanas apjomi</c:v>
                </c:pt>
              </c:strCache>
            </c:strRef>
          </c:tx>
          <c:marker>
            <c:symbol val="none"/>
          </c:marker>
          <c:cat>
            <c:strRef>
              <c:f>Sheet1!$B$1:$AC$2</c:f>
              <c:strCache>
                <c:ptCount val="17"/>
                <c:pt idx="0">
                  <c:v>2016</c:v>
                </c:pt>
                <c:pt idx="4">
                  <c:v>2017</c:v>
                </c:pt>
                <c:pt idx="8">
                  <c:v>2018</c:v>
                </c:pt>
                <c:pt idx="12">
                  <c:v>2019</c:v>
                </c:pt>
                <c:pt idx="16">
                  <c:v>2020</c:v>
                </c:pt>
              </c:strCache>
            </c:strRef>
          </c:cat>
          <c:val>
            <c:numRef>
              <c:f>Sheet1!$B$3:$AC$3</c:f>
              <c:numCache>
                <c:formatCode>0</c:formatCode>
                <c:ptCount val="20"/>
                <c:pt idx="0">
                  <c:v>99.9</c:v>
                </c:pt>
                <c:pt idx="1">
                  <c:v>99.8001</c:v>
                </c:pt>
                <c:pt idx="2">
                  <c:v>103.79210400000001</c:v>
                </c:pt>
                <c:pt idx="3">
                  <c:v>100.88592508800001</c:v>
                </c:pt>
                <c:pt idx="4">
                  <c:v>111.27717537206401</c:v>
                </c:pt>
                <c:pt idx="5">
                  <c:v>110.49823514445956</c:v>
                </c:pt>
                <c:pt idx="6">
                  <c:v>108.95125985243712</c:v>
                </c:pt>
                <c:pt idx="7">
                  <c:v>113.85406654579678</c:v>
                </c:pt>
                <c:pt idx="8">
                  <c:v>113.28479621306779</c:v>
                </c:pt>
                <c:pt idx="9">
                  <c:v>110.67924590016723</c:v>
                </c:pt>
                <c:pt idx="10">
                  <c:v>109.79381193296589</c:v>
                </c:pt>
                <c:pt idx="11">
                  <c:v>113.19742010288783</c:v>
                </c:pt>
                <c:pt idx="12">
                  <c:v>105.0472058554799</c:v>
                </c:pt>
                <c:pt idx="13">
                  <c:v>112.82069908878542</c:v>
                </c:pt>
                <c:pt idx="14">
                  <c:v>102.89247756897231</c:v>
                </c:pt>
                <c:pt idx="15">
                  <c:v>104.64164968764483</c:v>
                </c:pt>
                <c:pt idx="16">
                  <c:v>96.270317712633243</c:v>
                </c:pt>
                <c:pt idx="17">
                  <c:v>85.584312446530959</c:v>
                </c:pt>
                <c:pt idx="18">
                  <c:v>98.678712250850197</c:v>
                </c:pt>
                <c:pt idx="19">
                  <c:v>102.4285033163825</c:v>
                </c:pt>
              </c:numCache>
            </c:numRef>
          </c:val>
          <c:smooth val="0"/>
          <c:extLst>
            <c:ext xmlns:c16="http://schemas.microsoft.com/office/drawing/2014/chart" uri="{C3380CC4-5D6E-409C-BE32-E72D297353CC}">
              <c16:uniqueId val="{00000000-D663-4A72-B917-F2B33660A059}"/>
            </c:ext>
          </c:extLst>
        </c:ser>
        <c:ser>
          <c:idx val="0"/>
          <c:order val="1"/>
          <c:tx>
            <c:strRef>
              <c:f>Sheet1!$A$4</c:f>
              <c:strCache>
                <c:ptCount val="1"/>
                <c:pt idx="0">
                  <c:v>Darba vietas</c:v>
                </c:pt>
              </c:strCache>
            </c:strRef>
          </c:tx>
          <c:marker>
            <c:symbol val="none"/>
          </c:marker>
          <c:cat>
            <c:strRef>
              <c:f>Sheet1!$B$1:$AC$2</c:f>
              <c:strCache>
                <c:ptCount val="17"/>
                <c:pt idx="0">
                  <c:v>2016</c:v>
                </c:pt>
                <c:pt idx="4">
                  <c:v>2017</c:v>
                </c:pt>
                <c:pt idx="8">
                  <c:v>2018</c:v>
                </c:pt>
                <c:pt idx="12">
                  <c:v>2019</c:v>
                </c:pt>
                <c:pt idx="16">
                  <c:v>2020</c:v>
                </c:pt>
              </c:strCache>
            </c:strRef>
          </c:cat>
          <c:val>
            <c:numRef>
              <c:f>Sheet1!$B$4:$AC$4</c:f>
              <c:numCache>
                <c:formatCode>0</c:formatCode>
                <c:ptCount val="20"/>
                <c:pt idx="0">
                  <c:v>100.89747076420996</c:v>
                </c:pt>
                <c:pt idx="1">
                  <c:v>100.06345752878252</c:v>
                </c:pt>
                <c:pt idx="2">
                  <c:v>100.09065361254646</c:v>
                </c:pt>
                <c:pt idx="3">
                  <c:v>99.066267790771462</c:v>
                </c:pt>
                <c:pt idx="4">
                  <c:v>100.6708367328438</c:v>
                </c:pt>
                <c:pt idx="5">
                  <c:v>100.82494787417278</c:v>
                </c:pt>
                <c:pt idx="6">
                  <c:v>101.03345118302963</c:v>
                </c:pt>
                <c:pt idx="7">
                  <c:v>102.12129453358715</c:v>
                </c:pt>
                <c:pt idx="8">
                  <c:v>104.34230804097542</c:v>
                </c:pt>
                <c:pt idx="9">
                  <c:v>102.74680446015772</c:v>
                </c:pt>
                <c:pt idx="10">
                  <c:v>101.56830749705374</c:v>
                </c:pt>
                <c:pt idx="11">
                  <c:v>100.22663403136613</c:v>
                </c:pt>
                <c:pt idx="12">
                  <c:v>95.775541655334948</c:v>
                </c:pt>
                <c:pt idx="13">
                  <c:v>96.391986220650878</c:v>
                </c:pt>
                <c:pt idx="14">
                  <c:v>93.590789592965265</c:v>
                </c:pt>
                <c:pt idx="15">
                  <c:v>93.064998640195796</c:v>
                </c:pt>
                <c:pt idx="16">
                  <c:v>88.994651436859741</c:v>
                </c:pt>
                <c:pt idx="17">
                  <c:v>84.325990390717052</c:v>
                </c:pt>
                <c:pt idx="18">
                  <c:v>84.289728945698471</c:v>
                </c:pt>
                <c:pt idx="19">
                  <c:v>83.75487263167436</c:v>
                </c:pt>
              </c:numCache>
            </c:numRef>
          </c:val>
          <c:smooth val="0"/>
          <c:extLst>
            <c:ext xmlns:c16="http://schemas.microsoft.com/office/drawing/2014/chart" uri="{C3380CC4-5D6E-409C-BE32-E72D297353CC}">
              <c16:uniqueId val="{00000001-D663-4A72-B917-F2B33660A059}"/>
            </c:ext>
          </c:extLst>
        </c:ser>
        <c:dLbls>
          <c:showLegendKey val="0"/>
          <c:showVal val="0"/>
          <c:showCatName val="0"/>
          <c:showSerName val="0"/>
          <c:showPercent val="0"/>
          <c:showBubbleSize val="0"/>
        </c:dLbls>
        <c:smooth val="0"/>
        <c:axId val="87781760"/>
        <c:axId val="87783296"/>
      </c:lineChart>
      <c:catAx>
        <c:axId val="87781760"/>
        <c:scaling>
          <c:orientation val="minMax"/>
        </c:scaling>
        <c:delete val="0"/>
        <c:axPos val="b"/>
        <c:numFmt formatCode="General" sourceLinked="1"/>
        <c:majorTickMark val="out"/>
        <c:minorTickMark val="none"/>
        <c:tickLblPos val="low"/>
        <c:spPr>
          <a:solidFill>
            <a:sysClr val="window" lastClr="FFFFFF"/>
          </a:solidFill>
          <a:ln w="3175">
            <a:noFill/>
            <a:prstDash val="solid"/>
          </a:ln>
        </c:spPr>
        <c:txPr>
          <a:bodyPr rot="0" vert="horz"/>
          <a:lstStyle/>
          <a:p>
            <a:pPr>
              <a:defRPr/>
            </a:pPr>
            <a:endParaRPr lang="lv-LV"/>
          </a:p>
        </c:txPr>
        <c:crossAx val="87783296"/>
        <c:crosses val="autoZero"/>
        <c:auto val="1"/>
        <c:lblAlgn val="ctr"/>
        <c:lblOffset val="0"/>
        <c:tickLblSkip val="2"/>
        <c:tickMarkSkip val="1"/>
        <c:noMultiLvlLbl val="1"/>
      </c:catAx>
      <c:valAx>
        <c:axId val="87783296"/>
        <c:scaling>
          <c:orientation val="minMax"/>
          <c:max val="120"/>
          <c:min val="80"/>
        </c:scaling>
        <c:delete val="0"/>
        <c:axPos val="l"/>
        <c:numFmt formatCode="0" sourceLinked="0"/>
        <c:majorTickMark val="out"/>
        <c:minorTickMark val="none"/>
        <c:tickLblPos val="nextTo"/>
        <c:spPr>
          <a:ln w="3175">
            <a:noFill/>
          </a:ln>
        </c:spPr>
        <c:txPr>
          <a:bodyPr rot="0" vert="horz"/>
          <a:lstStyle/>
          <a:p>
            <a:pPr>
              <a:defRPr/>
            </a:pPr>
            <a:endParaRPr lang="lv-LV"/>
          </a:p>
        </c:txPr>
        <c:crossAx val="87781760"/>
        <c:crosses val="autoZero"/>
        <c:crossBetween val="between"/>
        <c:majorUnit val="8"/>
        <c:minorUnit val="5"/>
      </c:valAx>
      <c:spPr>
        <a:noFill/>
        <a:ln w="6350">
          <a:noFill/>
        </a:ln>
      </c:spPr>
    </c:plotArea>
    <c:legend>
      <c:legendPos val="l"/>
      <c:layout>
        <c:manualLayout>
          <c:xMode val="edge"/>
          <c:yMode val="edge"/>
          <c:x val="0.10061408990542849"/>
          <c:y val="0.61875436158715458"/>
          <c:w val="0.61668157747042385"/>
          <c:h val="0.18833595800524935"/>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xmlns:mc="http://schemas.openxmlformats.org/markup-compatibility/2006"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42538050090679"/>
          <c:y val="3.175E-2"/>
          <c:w val="0.80992768761047729"/>
          <c:h val="0.84173483019121287"/>
        </c:manualLayout>
      </c:layout>
      <c:areaChart>
        <c:grouping val="standard"/>
        <c:varyColors val="0"/>
        <c:ser>
          <c:idx val="0"/>
          <c:order val="0"/>
          <c:tx>
            <c:strRef>
              <c:f>Sheet1!$A$4</c:f>
              <c:strCache>
                <c:ptCount val="1"/>
                <c:pt idx="0">
                  <c:v>Cenas</c:v>
                </c:pt>
              </c:strCache>
            </c:strRef>
          </c:tx>
          <c:cat>
            <c:numRef>
              <c:f>Sheet1!$B$1:$CH$2</c:f>
              <c:numCache>
                <c:formatCode>General</c:formatCode>
                <c:ptCount val="61"/>
                <c:pt idx="0">
                  <c:v>2016</c:v>
                </c:pt>
                <c:pt idx="12">
                  <c:v>2017</c:v>
                </c:pt>
                <c:pt idx="24">
                  <c:v>2018</c:v>
                </c:pt>
                <c:pt idx="36">
                  <c:v>2019</c:v>
                </c:pt>
                <c:pt idx="48">
                  <c:v>2020</c:v>
                </c:pt>
                <c:pt idx="60">
                  <c:v>2021</c:v>
                </c:pt>
              </c:numCache>
            </c:numRef>
          </c:cat>
          <c:val>
            <c:numRef>
              <c:f>Sheet1!$B$4:$CH$4</c:f>
              <c:numCache>
                <c:formatCode>0.0</c:formatCode>
                <c:ptCount val="61"/>
                <c:pt idx="0">
                  <c:v>1.9340573077611936</c:v>
                </c:pt>
                <c:pt idx="1">
                  <c:v>2.0379570973426837</c:v>
                </c:pt>
                <c:pt idx="2">
                  <c:v>2.1966399607018303</c:v>
                </c:pt>
                <c:pt idx="3">
                  <c:v>2.1971231449378479</c:v>
                </c:pt>
                <c:pt idx="4">
                  <c:v>2.1754230014541065</c:v>
                </c:pt>
                <c:pt idx="5">
                  <c:v>2.5102237354576289</c:v>
                </c:pt>
                <c:pt idx="6">
                  <c:v>2.6673402207032098</c:v>
                </c:pt>
                <c:pt idx="7">
                  <c:v>2.8125511022768563</c:v>
                </c:pt>
                <c:pt idx="8">
                  <c:v>3.092335953172622</c:v>
                </c:pt>
                <c:pt idx="9">
                  <c:v>3.1834588495303962</c:v>
                </c:pt>
                <c:pt idx="10">
                  <c:v>3.3214589259670078</c:v>
                </c:pt>
                <c:pt idx="11">
                  <c:v>3.3392126408303824</c:v>
                </c:pt>
                <c:pt idx="12">
                  <c:v>3.3773355546136941</c:v>
                </c:pt>
                <c:pt idx="13">
                  <c:v>3.3320397305885336</c:v>
                </c:pt>
                <c:pt idx="14">
                  <c:v>3.1962347770245572</c:v>
                </c:pt>
                <c:pt idx="15">
                  <c:v>3.1135529340900518</c:v>
                </c:pt>
                <c:pt idx="16">
                  <c:v>2.8957784797466815</c:v>
                </c:pt>
                <c:pt idx="17">
                  <c:v>2.5974403798030039</c:v>
                </c:pt>
                <c:pt idx="18">
                  <c:v>2.3513945896210657</c:v>
                </c:pt>
                <c:pt idx="19">
                  <c:v>2.1802147746689684</c:v>
                </c:pt>
                <c:pt idx="20">
                  <c:v>1.8113420434554115</c:v>
                </c:pt>
                <c:pt idx="21">
                  <c:v>1.5142416645471144</c:v>
                </c:pt>
                <c:pt idx="22">
                  <c:v>1.1528832563549258</c:v>
                </c:pt>
                <c:pt idx="23">
                  <c:v>1.0050978936748436</c:v>
                </c:pt>
                <c:pt idx="24">
                  <c:v>0.86587496927823793</c:v>
                </c:pt>
                <c:pt idx="25">
                  <c:v>0.83525279068328473</c:v>
                </c:pt>
                <c:pt idx="26">
                  <c:v>0.8600906452990813</c:v>
                </c:pt>
                <c:pt idx="27">
                  <c:v>0.67570094575764017</c:v>
                </c:pt>
                <c:pt idx="28">
                  <c:v>0.70656195304104585</c:v>
                </c:pt>
                <c:pt idx="29">
                  <c:v>0.79950759453245723</c:v>
                </c:pt>
                <c:pt idx="30">
                  <c:v>0.83280474051734643</c:v>
                </c:pt>
                <c:pt idx="31">
                  <c:v>0.84053000775844566</c:v>
                </c:pt>
                <c:pt idx="32">
                  <c:v>0.91257968708220005</c:v>
                </c:pt>
                <c:pt idx="33">
                  <c:v>1.0926653904890742</c:v>
                </c:pt>
                <c:pt idx="34">
                  <c:v>1.3672202785225664</c:v>
                </c:pt>
                <c:pt idx="35">
                  <c:v>1.3739448453897012</c:v>
                </c:pt>
                <c:pt idx="36">
                  <c:v>1.3954562596711924</c:v>
                </c:pt>
                <c:pt idx="37">
                  <c:v>1.4148200361891128</c:v>
                </c:pt>
                <c:pt idx="38">
                  <c:v>1.3984485471082877</c:v>
                </c:pt>
                <c:pt idx="39">
                  <c:v>1.6577003071695913</c:v>
                </c:pt>
                <c:pt idx="40">
                  <c:v>1.678414172547491</c:v>
                </c:pt>
                <c:pt idx="41">
                  <c:v>1.6627023487097148</c:v>
                </c:pt>
                <c:pt idx="42">
                  <c:v>1.8121953952651921</c:v>
                </c:pt>
                <c:pt idx="43">
                  <c:v>1.9250389408607873</c:v>
                </c:pt>
                <c:pt idx="44">
                  <c:v>2.1566511971080331</c:v>
                </c:pt>
                <c:pt idx="45">
                  <c:v>2.354552545725511</c:v>
                </c:pt>
                <c:pt idx="46">
                  <c:v>2.4454991173502947</c:v>
                </c:pt>
                <c:pt idx="47">
                  <c:v>2.5820763025640048</c:v>
                </c:pt>
                <c:pt idx="48">
                  <c:v>2.7363412496696782</c:v>
                </c:pt>
                <c:pt idx="49">
                  <c:v>2.8544281232315427</c:v>
                </c:pt>
                <c:pt idx="50">
                  <c:v>2.9871099865534063</c:v>
                </c:pt>
                <c:pt idx="51">
                  <c:v>2.9718221453397291</c:v>
                </c:pt>
                <c:pt idx="52">
                  <c:v>2.9994501822769735</c:v>
                </c:pt>
                <c:pt idx="53">
                  <c:v>3.1169968110109068</c:v>
                </c:pt>
                <c:pt idx="54">
                  <c:v>3.1695100999157262</c:v>
                </c:pt>
                <c:pt idx="55">
                  <c:v>3.1161256605131911</c:v>
                </c:pt>
                <c:pt idx="56">
                  <c:v>3.008846796203585</c:v>
                </c:pt>
                <c:pt idx="57">
                  <c:v>2.7906517865321945</c:v>
                </c:pt>
                <c:pt idx="58">
                  <c:v>2.4756664574734799</c:v>
                </c:pt>
                <c:pt idx="59">
                  <c:v>2.2596909236464739</c:v>
                </c:pt>
                <c:pt idx="60">
                  <c:v>1.8731751574958935</c:v>
                </c:pt>
              </c:numCache>
            </c:numRef>
          </c:val>
          <c:extLst>
            <c:ext xmlns:c16="http://schemas.microsoft.com/office/drawing/2014/chart" uri="{C3380CC4-5D6E-409C-BE32-E72D297353CC}">
              <c16:uniqueId val="{00000000-686B-4634-AFF1-EDD159593AE1}"/>
            </c:ext>
          </c:extLst>
        </c:ser>
        <c:ser>
          <c:idx val="1"/>
          <c:order val="1"/>
          <c:tx>
            <c:strRef>
              <c:f>Sheet1!$A$3</c:f>
              <c:strCache>
                <c:ptCount val="1"/>
                <c:pt idx="0">
                  <c:v>Apjomi</c:v>
                </c:pt>
              </c:strCache>
            </c:strRef>
          </c:tx>
          <c:cat>
            <c:numRef>
              <c:f>Sheet1!$B$1:$CH$2</c:f>
              <c:numCache>
                <c:formatCode>General</c:formatCode>
                <c:ptCount val="61"/>
                <c:pt idx="0">
                  <c:v>2016</c:v>
                </c:pt>
                <c:pt idx="12">
                  <c:v>2017</c:v>
                </c:pt>
                <c:pt idx="24">
                  <c:v>2018</c:v>
                </c:pt>
                <c:pt idx="36">
                  <c:v>2019</c:v>
                </c:pt>
                <c:pt idx="48">
                  <c:v>2020</c:v>
                </c:pt>
                <c:pt idx="60">
                  <c:v>2021</c:v>
                </c:pt>
              </c:numCache>
            </c:numRef>
          </c:cat>
          <c:val>
            <c:numRef>
              <c:f>Sheet1!$B$3:$CH$3</c:f>
              <c:numCache>
                <c:formatCode>0.0</c:formatCode>
                <c:ptCount val="61"/>
                <c:pt idx="0">
                  <c:v>-2.3476720806554425</c:v>
                </c:pt>
                <c:pt idx="1">
                  <c:v>-1.2351617010493356</c:v>
                </c:pt>
                <c:pt idx="2">
                  <c:v>-0.88349919204398475</c:v>
                </c:pt>
                <c:pt idx="3">
                  <c:v>0.58355594169914582</c:v>
                </c:pt>
                <c:pt idx="4">
                  <c:v>2.7022578746095576</c:v>
                </c:pt>
                <c:pt idx="5">
                  <c:v>2.6602682756491731</c:v>
                </c:pt>
                <c:pt idx="6">
                  <c:v>2.0832000142928564</c:v>
                </c:pt>
                <c:pt idx="7">
                  <c:v>2.2655845296662704</c:v>
                </c:pt>
                <c:pt idx="8">
                  <c:v>2.878847888060406</c:v>
                </c:pt>
                <c:pt idx="9">
                  <c:v>2.5643135472826373</c:v>
                </c:pt>
                <c:pt idx="10">
                  <c:v>2.0490225382332028</c:v>
                </c:pt>
                <c:pt idx="11">
                  <c:v>-1.083553509982778</c:v>
                </c:pt>
                <c:pt idx="12">
                  <c:v>-1.1077617470264869</c:v>
                </c:pt>
                <c:pt idx="13">
                  <c:v>-2.607369233527379E-2</c:v>
                </c:pt>
                <c:pt idx="14">
                  <c:v>2.3961186561451484</c:v>
                </c:pt>
                <c:pt idx="15">
                  <c:v>1.1503164066912603</c:v>
                </c:pt>
                <c:pt idx="16">
                  <c:v>0.10227516086492017</c:v>
                </c:pt>
                <c:pt idx="17">
                  <c:v>0.53239917732064157</c:v>
                </c:pt>
                <c:pt idx="18">
                  <c:v>0.71368354596434358</c:v>
                </c:pt>
                <c:pt idx="19">
                  <c:v>1.644747696264389</c:v>
                </c:pt>
                <c:pt idx="20">
                  <c:v>1.335518340242686</c:v>
                </c:pt>
                <c:pt idx="21">
                  <c:v>2.9354439070719707</c:v>
                </c:pt>
                <c:pt idx="22">
                  <c:v>3.2694665338165834</c:v>
                </c:pt>
                <c:pt idx="23">
                  <c:v>5.6085402824166835</c:v>
                </c:pt>
                <c:pt idx="24">
                  <c:v>5.4951605821484293</c:v>
                </c:pt>
                <c:pt idx="25">
                  <c:v>4.067691933449666</c:v>
                </c:pt>
                <c:pt idx="26">
                  <c:v>1.0561857772609926</c:v>
                </c:pt>
                <c:pt idx="27">
                  <c:v>1.7948671735971118</c:v>
                </c:pt>
                <c:pt idx="28">
                  <c:v>1.1500646430786503</c:v>
                </c:pt>
                <c:pt idx="29">
                  <c:v>0.25116020150910856</c:v>
                </c:pt>
                <c:pt idx="30">
                  <c:v>9.1353351574724684E-2</c:v>
                </c:pt>
                <c:pt idx="31">
                  <c:v>-0.46075101818907171</c:v>
                </c:pt>
                <c:pt idx="32">
                  <c:v>-0.61049279251956534</c:v>
                </c:pt>
                <c:pt idx="33">
                  <c:v>-1.0379901295978726</c:v>
                </c:pt>
                <c:pt idx="34">
                  <c:v>-0.98597806837229029</c:v>
                </c:pt>
                <c:pt idx="35">
                  <c:v>-1.9792031308923868</c:v>
                </c:pt>
                <c:pt idx="36">
                  <c:v>-2.6090981055866536</c:v>
                </c:pt>
                <c:pt idx="37">
                  <c:v>-2.6272096360757615</c:v>
                </c:pt>
                <c:pt idx="38">
                  <c:v>-1.4179345060190371</c:v>
                </c:pt>
                <c:pt idx="39">
                  <c:v>-1.5485860773003139</c:v>
                </c:pt>
                <c:pt idx="40">
                  <c:v>-0.78824158057389582</c:v>
                </c:pt>
                <c:pt idx="41">
                  <c:v>-1.1901121306963063</c:v>
                </c:pt>
                <c:pt idx="42">
                  <c:v>-0.74210814385044443</c:v>
                </c:pt>
                <c:pt idx="43">
                  <c:v>-1.0018344466970888</c:v>
                </c:pt>
                <c:pt idx="44">
                  <c:v>-0.75868224563761544</c:v>
                </c:pt>
                <c:pt idx="45">
                  <c:v>-1.7836115710021261</c:v>
                </c:pt>
                <c:pt idx="46">
                  <c:v>-3.4851556745477978</c:v>
                </c:pt>
                <c:pt idx="47">
                  <c:v>-3.849886842566363</c:v>
                </c:pt>
                <c:pt idx="48">
                  <c:v>-2.4518966854906097</c:v>
                </c:pt>
                <c:pt idx="49">
                  <c:v>-1.8744031217148347</c:v>
                </c:pt>
                <c:pt idx="50">
                  <c:v>-3.6091393854699163</c:v>
                </c:pt>
                <c:pt idx="51">
                  <c:v>-6.0664235779026541</c:v>
                </c:pt>
                <c:pt idx="52">
                  <c:v>-9.2194145999505253</c:v>
                </c:pt>
                <c:pt idx="53">
                  <c:v>-9.264477744389481</c:v>
                </c:pt>
                <c:pt idx="54">
                  <c:v>-9.5572558669711327</c:v>
                </c:pt>
                <c:pt idx="55">
                  <c:v>-9.9616721411931621</c:v>
                </c:pt>
                <c:pt idx="56">
                  <c:v>-10.427802478128328</c:v>
                </c:pt>
                <c:pt idx="57">
                  <c:v>-10.313812382598215</c:v>
                </c:pt>
                <c:pt idx="58">
                  <c:v>-9.1526100360974993</c:v>
                </c:pt>
                <c:pt idx="59">
                  <c:v>-8.7444039088830294</c:v>
                </c:pt>
                <c:pt idx="60">
                  <c:v>-10.504650891019679</c:v>
                </c:pt>
              </c:numCache>
            </c:numRef>
          </c:val>
          <c:extLst>
            <c:ext xmlns:c16="http://schemas.microsoft.com/office/drawing/2014/chart" uri="{C3380CC4-5D6E-409C-BE32-E72D297353CC}">
              <c16:uniqueId val="{00000001-686B-4634-AFF1-EDD159593AE1}"/>
            </c:ext>
          </c:extLst>
        </c:ser>
        <c:dLbls>
          <c:showLegendKey val="0"/>
          <c:showVal val="0"/>
          <c:showCatName val="0"/>
          <c:showSerName val="0"/>
          <c:showPercent val="0"/>
          <c:showBubbleSize val="0"/>
        </c:dLbls>
        <c:axId val="544126208"/>
        <c:axId val="544125424"/>
      </c:areaChart>
      <c:lineChart>
        <c:grouping val="standard"/>
        <c:varyColors val="0"/>
        <c:ser>
          <c:idx val="2"/>
          <c:order val="2"/>
          <c:tx>
            <c:strRef>
              <c:f>Sheet1!$A$5</c:f>
              <c:strCache>
                <c:ptCount val="1"/>
                <c:pt idx="0">
                  <c:v>Kopā</c:v>
                </c:pt>
              </c:strCache>
            </c:strRef>
          </c:tx>
          <c:marker>
            <c:symbol val="none"/>
          </c:marker>
          <c:cat>
            <c:numRef>
              <c:f>Sheet1!$B$1:$CH$2</c:f>
              <c:numCache>
                <c:formatCode>General</c:formatCode>
                <c:ptCount val="61"/>
                <c:pt idx="0">
                  <c:v>2016</c:v>
                </c:pt>
                <c:pt idx="12">
                  <c:v>2017</c:v>
                </c:pt>
                <c:pt idx="24">
                  <c:v>2018</c:v>
                </c:pt>
                <c:pt idx="36">
                  <c:v>2019</c:v>
                </c:pt>
                <c:pt idx="48">
                  <c:v>2020</c:v>
                </c:pt>
                <c:pt idx="60">
                  <c:v>2021</c:v>
                </c:pt>
              </c:numCache>
            </c:numRef>
          </c:cat>
          <c:val>
            <c:numRef>
              <c:f>Sheet1!$B$5:$CH$5</c:f>
              <c:numCache>
                <c:formatCode>0.0</c:formatCode>
                <c:ptCount val="61"/>
                <c:pt idx="0">
                  <c:v>-0.41361477289424897</c:v>
                </c:pt>
                <c:pt idx="1">
                  <c:v>0.80279539629334806</c:v>
                </c:pt>
                <c:pt idx="2">
                  <c:v>1.3131407686578456</c:v>
                </c:pt>
                <c:pt idx="3">
                  <c:v>2.7806790866369937</c:v>
                </c:pt>
                <c:pt idx="4">
                  <c:v>4.8776808760636641</c:v>
                </c:pt>
                <c:pt idx="5">
                  <c:v>5.170492011106802</c:v>
                </c:pt>
                <c:pt idx="6">
                  <c:v>4.7505402349960661</c:v>
                </c:pt>
                <c:pt idx="7">
                  <c:v>5.0781356319431268</c:v>
                </c:pt>
                <c:pt idx="8">
                  <c:v>5.971183841233028</c:v>
                </c:pt>
                <c:pt idx="9">
                  <c:v>5.7477723968130334</c:v>
                </c:pt>
                <c:pt idx="10">
                  <c:v>5.3704814642002106</c:v>
                </c:pt>
                <c:pt idx="11">
                  <c:v>2.2556591308476044</c:v>
                </c:pt>
                <c:pt idx="12">
                  <c:v>2.2695738075872072</c:v>
                </c:pt>
                <c:pt idx="13">
                  <c:v>3.3059660382532599</c:v>
                </c:pt>
                <c:pt idx="14">
                  <c:v>5.5923534331697056</c:v>
                </c:pt>
                <c:pt idx="15">
                  <c:v>4.2638693407813122</c:v>
                </c:pt>
                <c:pt idx="16">
                  <c:v>2.9980536406116016</c:v>
                </c:pt>
                <c:pt idx="17">
                  <c:v>3.1298395571236455</c:v>
                </c:pt>
                <c:pt idx="18">
                  <c:v>3.0650781355854093</c:v>
                </c:pt>
                <c:pt idx="19">
                  <c:v>3.8249624709333574</c:v>
                </c:pt>
                <c:pt idx="20">
                  <c:v>3.1468603836980975</c:v>
                </c:pt>
                <c:pt idx="21">
                  <c:v>4.4496855716190851</c:v>
                </c:pt>
                <c:pt idx="22">
                  <c:v>4.4223497901715092</c:v>
                </c:pt>
                <c:pt idx="23">
                  <c:v>6.613638176091527</c:v>
                </c:pt>
                <c:pt idx="24">
                  <c:v>6.3610355514266672</c:v>
                </c:pt>
                <c:pt idx="25">
                  <c:v>4.9029447241329507</c:v>
                </c:pt>
                <c:pt idx="26">
                  <c:v>1.9162764225600739</c:v>
                </c:pt>
                <c:pt idx="27">
                  <c:v>2.470568119354752</c:v>
                </c:pt>
                <c:pt idx="28">
                  <c:v>1.8566265961196962</c:v>
                </c:pt>
                <c:pt idx="29">
                  <c:v>1.0506677960415658</c:v>
                </c:pt>
                <c:pt idx="30">
                  <c:v>0.92415809209207112</c:v>
                </c:pt>
                <c:pt idx="31">
                  <c:v>0.37977898956937395</c:v>
                </c:pt>
                <c:pt idx="32">
                  <c:v>0.30208689456263471</c:v>
                </c:pt>
                <c:pt idx="33">
                  <c:v>5.467526089120156E-2</c:v>
                </c:pt>
                <c:pt idx="34">
                  <c:v>0.38124221015027615</c:v>
                </c:pt>
                <c:pt idx="35">
                  <c:v>-0.60525828550268557</c:v>
                </c:pt>
                <c:pt idx="36">
                  <c:v>-1.2136418459154612</c:v>
                </c:pt>
                <c:pt idx="37">
                  <c:v>-1.2123895998866487</c:v>
                </c:pt>
                <c:pt idx="38">
                  <c:v>-1.9485958910749446E-2</c:v>
                </c:pt>
                <c:pt idx="39">
                  <c:v>0.10911422986927732</c:v>
                </c:pt>
                <c:pt idx="40">
                  <c:v>0.89017259197359522</c:v>
                </c:pt>
                <c:pt idx="41">
                  <c:v>0.4725902180134085</c:v>
                </c:pt>
                <c:pt idx="42">
                  <c:v>1.0700872514147477</c:v>
                </c:pt>
                <c:pt idx="43">
                  <c:v>0.92320449416369854</c:v>
                </c:pt>
                <c:pt idx="44">
                  <c:v>1.3979689514704177</c:v>
                </c:pt>
                <c:pt idx="45">
                  <c:v>0.5709409747233849</c:v>
                </c:pt>
                <c:pt idx="46">
                  <c:v>-1.0396565571975032</c:v>
                </c:pt>
                <c:pt idx="47">
                  <c:v>-1.2678105400023583</c:v>
                </c:pt>
                <c:pt idx="48">
                  <c:v>0.28444456417906849</c:v>
                </c:pt>
                <c:pt idx="49">
                  <c:v>0.98002500151670802</c:v>
                </c:pt>
                <c:pt idx="50">
                  <c:v>-0.62202939891650999</c:v>
                </c:pt>
                <c:pt idx="51">
                  <c:v>-3.094601432562925</c:v>
                </c:pt>
                <c:pt idx="52">
                  <c:v>-6.2199644176735518</c:v>
                </c:pt>
                <c:pt idx="53">
                  <c:v>-6.1474809333785743</c:v>
                </c:pt>
                <c:pt idx="54">
                  <c:v>-6.3877457670554065</c:v>
                </c:pt>
                <c:pt idx="55">
                  <c:v>-6.8455464806799711</c:v>
                </c:pt>
                <c:pt idx="56">
                  <c:v>-7.4189556819247429</c:v>
                </c:pt>
                <c:pt idx="57">
                  <c:v>-7.5231605960660204</c:v>
                </c:pt>
                <c:pt idx="58">
                  <c:v>-6.6769435786240194</c:v>
                </c:pt>
                <c:pt idx="59">
                  <c:v>-6.4847129852365555</c:v>
                </c:pt>
                <c:pt idx="60">
                  <c:v>-8.6314757335237857</c:v>
                </c:pt>
              </c:numCache>
            </c:numRef>
          </c:val>
          <c:smooth val="0"/>
          <c:extLst>
            <c:ext xmlns:c16="http://schemas.microsoft.com/office/drawing/2014/chart" uri="{C3380CC4-5D6E-409C-BE32-E72D297353CC}">
              <c16:uniqueId val="{00000002-686B-4634-AFF1-EDD159593AE1}"/>
            </c:ext>
          </c:extLst>
        </c:ser>
        <c:dLbls>
          <c:showLegendKey val="0"/>
          <c:showVal val="0"/>
          <c:showCatName val="0"/>
          <c:showSerName val="0"/>
          <c:showPercent val="0"/>
          <c:showBubbleSize val="0"/>
        </c:dLbls>
        <c:marker val="1"/>
        <c:smooth val="0"/>
        <c:axId val="544126208"/>
        <c:axId val="544125424"/>
      </c:lineChart>
      <c:catAx>
        <c:axId val="544126208"/>
        <c:scaling>
          <c:orientation val="minMax"/>
        </c:scaling>
        <c:delete val="0"/>
        <c:axPos val="b"/>
        <c:numFmt formatCode="General" sourceLinked="1"/>
        <c:majorTickMark val="none"/>
        <c:minorTickMark val="none"/>
        <c:tickLblPos val="low"/>
        <c:spPr>
          <a:solidFill>
            <a:sysClr val="window" lastClr="FFFFFF"/>
          </a:solidFill>
          <a:ln w="3175"/>
        </c:spPr>
        <c:txPr>
          <a:bodyPr rot="0" vert="horz"/>
          <a:lstStyle/>
          <a:p>
            <a:pPr>
              <a:defRPr/>
            </a:pPr>
            <a:endParaRPr lang="lv-LV"/>
          </a:p>
        </c:txPr>
        <c:crossAx val="544125424"/>
        <c:crosses val="autoZero"/>
        <c:auto val="1"/>
        <c:lblAlgn val="ctr"/>
        <c:lblOffset val="0"/>
        <c:tickLblSkip val="12"/>
        <c:noMultiLvlLbl val="1"/>
      </c:catAx>
      <c:valAx>
        <c:axId val="544125424"/>
        <c:scaling>
          <c:orientation val="minMax"/>
          <c:max val="7"/>
          <c:min val="-14"/>
        </c:scaling>
        <c:delete val="0"/>
        <c:axPos val="l"/>
        <c:numFmt formatCode="0" sourceLinked="0"/>
        <c:majorTickMark val="out"/>
        <c:minorTickMark val="none"/>
        <c:tickLblPos val="nextTo"/>
        <c:spPr>
          <a:ln w="3175">
            <a:noFill/>
          </a:ln>
        </c:spPr>
        <c:txPr>
          <a:bodyPr rot="0" vert="horz"/>
          <a:lstStyle/>
          <a:p>
            <a:pPr>
              <a:defRPr/>
            </a:pPr>
            <a:endParaRPr lang="lv-LV"/>
          </a:p>
        </c:txPr>
        <c:crossAx val="544126208"/>
        <c:crosses val="autoZero"/>
        <c:crossBetween val="between"/>
        <c:majorUnit val="7"/>
      </c:valAx>
      <c:spPr>
        <a:noFill/>
        <a:ln w="6350">
          <a:noFill/>
        </a:ln>
      </c:spPr>
    </c:plotArea>
    <c:legend>
      <c:legendPos val="l"/>
      <c:layout>
        <c:manualLayout>
          <c:xMode val="edge"/>
          <c:yMode val="edge"/>
          <c:x val="0.16252301795608887"/>
          <c:y val="0.48779620194534506"/>
          <c:w val="0.52567929008873893"/>
          <c:h val="0.2870246961975696"/>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xmlns:mc="http://schemas.openxmlformats.org/markup-compatibility/2006" val="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9607188304004"/>
          <c:y val="3.516429704237501E-2"/>
          <c:w val="0.82831519987960334"/>
          <c:h val="0.86539378413972068"/>
        </c:manualLayout>
      </c:layout>
      <c:lineChart>
        <c:grouping val="standard"/>
        <c:varyColors val="0"/>
        <c:ser>
          <c:idx val="3"/>
          <c:order val="0"/>
          <c:tx>
            <c:strRef>
              <c:f>Sheet2!$A$2</c:f>
              <c:strCache>
                <c:ptCount val="1"/>
                <c:pt idx="0">
                  <c:v>Vietējais tirgus</c:v>
                </c:pt>
              </c:strCache>
            </c:strRef>
          </c:tx>
          <c:spPr>
            <a:ln w="28575" cap="rnd" cmpd="sng" algn="ctr">
              <a:solidFill>
                <a:schemeClr val="accent2">
                  <a:lumMod val="60000"/>
                  <a:shade val="95000"/>
                  <a:satMod val="105000"/>
                </a:schemeClr>
              </a:solidFill>
              <a:prstDash val="solid"/>
              <a:round/>
            </a:ln>
            <a:effectLst/>
          </c:spPr>
          <c:marker>
            <c:symbol val="none"/>
          </c:marker>
          <c:cat>
            <c:numRef>
              <c:f>Sheet2!$B$1:$CI$1</c:f>
              <c:numCache>
                <c:formatCode>General</c:formatCode>
                <c:ptCount val="62"/>
                <c:pt idx="0">
                  <c:v>2016</c:v>
                </c:pt>
                <c:pt idx="12">
                  <c:v>2017</c:v>
                </c:pt>
                <c:pt idx="24">
                  <c:v>2018</c:v>
                </c:pt>
                <c:pt idx="36">
                  <c:v>2019</c:v>
                </c:pt>
                <c:pt idx="48">
                  <c:v>2020</c:v>
                </c:pt>
                <c:pt idx="60">
                  <c:v>2021</c:v>
                </c:pt>
              </c:numCache>
            </c:numRef>
          </c:cat>
          <c:val>
            <c:numRef>
              <c:f>Sheet2!$B$2:$CI$2</c:f>
              <c:numCache>
                <c:formatCode>0</c:formatCode>
                <c:ptCount val="62"/>
                <c:pt idx="0">
                  <c:v>100.86293016816911</c:v>
                </c:pt>
                <c:pt idx="1">
                  <c:v>101.56193028377979</c:v>
                </c:pt>
                <c:pt idx="2">
                  <c:v>102.19541766590874</c:v>
                </c:pt>
                <c:pt idx="3">
                  <c:v>103.77276271050779</c:v>
                </c:pt>
                <c:pt idx="4">
                  <c:v>105.38538384236627</c:v>
                </c:pt>
                <c:pt idx="5">
                  <c:v>106.58328862064569</c:v>
                </c:pt>
                <c:pt idx="6">
                  <c:v>107.05314238792432</c:v>
                </c:pt>
                <c:pt idx="7">
                  <c:v>107.85559926364874</c:v>
                </c:pt>
                <c:pt idx="8">
                  <c:v>107.49779895001765</c:v>
                </c:pt>
                <c:pt idx="9">
                  <c:v>106.19465878537615</c:v>
                </c:pt>
                <c:pt idx="10">
                  <c:v>105.94150098269103</c:v>
                </c:pt>
                <c:pt idx="11">
                  <c:v>105.38301234070181</c:v>
                </c:pt>
                <c:pt idx="12">
                  <c:v>106.98407240194585</c:v>
                </c:pt>
                <c:pt idx="13">
                  <c:v>107.36084472889294</c:v>
                </c:pt>
                <c:pt idx="14">
                  <c:v>109.17949006785462</c:v>
                </c:pt>
                <c:pt idx="15">
                  <c:v>108.48760445723741</c:v>
                </c:pt>
                <c:pt idx="16">
                  <c:v>109.4204939245092</c:v>
                </c:pt>
                <c:pt idx="17">
                  <c:v>111.29042298696567</c:v>
                </c:pt>
                <c:pt idx="18">
                  <c:v>112.35700586057354</c:v>
                </c:pt>
                <c:pt idx="19">
                  <c:v>114.35884970311766</c:v>
                </c:pt>
                <c:pt idx="20">
                  <c:v>114.69412075093601</c:v>
                </c:pt>
                <c:pt idx="21">
                  <c:v>116.68410708515766</c:v>
                </c:pt>
                <c:pt idx="22">
                  <c:v>118.49889873391453</c:v>
                </c:pt>
                <c:pt idx="23">
                  <c:v>119.82693966603327</c:v>
                </c:pt>
                <c:pt idx="24">
                  <c:v>120.29323618081514</c:v>
                </c:pt>
                <c:pt idx="25">
                  <c:v>120.85468919988496</c:v>
                </c:pt>
                <c:pt idx="26">
                  <c:v>119.2767512798698</c:v>
                </c:pt>
                <c:pt idx="27">
                  <c:v>119.90015977992466</c:v>
                </c:pt>
                <c:pt idx="28">
                  <c:v>119.96774757736286</c:v>
                </c:pt>
                <c:pt idx="29">
                  <c:v>119.52753758089047</c:v>
                </c:pt>
                <c:pt idx="30">
                  <c:v>119.75964830630319</c:v>
                </c:pt>
                <c:pt idx="31">
                  <c:v>120.00183791378996</c:v>
                </c:pt>
                <c:pt idx="32">
                  <c:v>121.42296028624023</c:v>
                </c:pt>
                <c:pt idx="33">
                  <c:v>122.96443636816379</c:v>
                </c:pt>
                <c:pt idx="34">
                  <c:v>124.99562754380609</c:v>
                </c:pt>
                <c:pt idx="35">
                  <c:v>126.4597333839254</c:v>
                </c:pt>
                <c:pt idx="36">
                  <c:v>126.11497632944905</c:v>
                </c:pt>
                <c:pt idx="37">
                  <c:v>125.16548635052577</c:v>
                </c:pt>
                <c:pt idx="38">
                  <c:v>125.17408304405957</c:v>
                </c:pt>
                <c:pt idx="39">
                  <c:v>123.65009678691172</c:v>
                </c:pt>
                <c:pt idx="40">
                  <c:v>123.06463231348883</c:v>
                </c:pt>
                <c:pt idx="41">
                  <c:v>121.52760279718623</c:v>
                </c:pt>
                <c:pt idx="42">
                  <c:v>119.3594574004192</c:v>
                </c:pt>
                <c:pt idx="43">
                  <c:v>117.90424469154182</c:v>
                </c:pt>
                <c:pt idx="44">
                  <c:v>116.33016046173147</c:v>
                </c:pt>
                <c:pt idx="45">
                  <c:v>114.89540195471035</c:v>
                </c:pt>
                <c:pt idx="46">
                  <c:v>112.21708726236815</c:v>
                </c:pt>
                <c:pt idx="47">
                  <c:v>111.60375764438743</c:v>
                </c:pt>
                <c:pt idx="48">
                  <c:v>112.37034555743635</c:v>
                </c:pt>
                <c:pt idx="49">
                  <c:v>113.48020833642128</c:v>
                </c:pt>
                <c:pt idx="50">
                  <c:v>113.14582660172712</c:v>
                </c:pt>
                <c:pt idx="51">
                  <c:v>112.25710635295658</c:v>
                </c:pt>
                <c:pt idx="52">
                  <c:v>113.33762179884333</c:v>
                </c:pt>
                <c:pt idx="53">
                  <c:v>113.6580709612586</c:v>
                </c:pt>
                <c:pt idx="54">
                  <c:v>118.13220528904162</c:v>
                </c:pt>
                <c:pt idx="55">
                  <c:v>118.84899166713605</c:v>
                </c:pt>
                <c:pt idx="56">
                  <c:v>121.13660146025218</c:v>
                </c:pt>
                <c:pt idx="57">
                  <c:v>124.71845828676793</c:v>
                </c:pt>
                <c:pt idx="58">
                  <c:v>129.05800989509069</c:v>
                </c:pt>
                <c:pt idx="59">
                  <c:v>131.56735509383736</c:v>
                </c:pt>
                <c:pt idx="60">
                  <c:v>132.46407916072556</c:v>
                </c:pt>
                <c:pt idx="61">
                  <c:v>135.7566127841726</c:v>
                </c:pt>
              </c:numCache>
            </c:numRef>
          </c:val>
          <c:smooth val="0"/>
          <c:extLst>
            <c:ext xmlns:c16="http://schemas.microsoft.com/office/drawing/2014/chart" uri="{C3380CC4-5D6E-409C-BE32-E72D297353CC}">
              <c16:uniqueId val="{00000000-824E-4E1C-9515-0098FEE03B69}"/>
            </c:ext>
          </c:extLst>
        </c:ser>
        <c:ser>
          <c:idx val="1"/>
          <c:order val="1"/>
          <c:tx>
            <c:strRef>
              <c:f>Sheet2!$A$3</c:f>
              <c:strCache>
                <c:ptCount val="1"/>
                <c:pt idx="0">
                  <c:v>Eksports</c:v>
                </c:pt>
              </c:strCache>
            </c:strRef>
          </c:tx>
          <c:spPr>
            <a:ln w="28575" cap="rnd" cmpd="sng" algn="ctr">
              <a:solidFill>
                <a:schemeClr val="accent4">
                  <a:shade val="95000"/>
                  <a:satMod val="105000"/>
                </a:schemeClr>
              </a:solidFill>
              <a:prstDash val="solid"/>
              <a:round/>
            </a:ln>
            <a:effectLst/>
          </c:spPr>
          <c:marker>
            <c:symbol val="none"/>
          </c:marker>
          <c:cat>
            <c:numRef>
              <c:f>Sheet2!$B$1:$CI$1</c:f>
              <c:numCache>
                <c:formatCode>General</c:formatCode>
                <c:ptCount val="62"/>
                <c:pt idx="0">
                  <c:v>2016</c:v>
                </c:pt>
                <c:pt idx="12">
                  <c:v>2017</c:v>
                </c:pt>
                <c:pt idx="24">
                  <c:v>2018</c:v>
                </c:pt>
                <c:pt idx="36">
                  <c:v>2019</c:v>
                </c:pt>
                <c:pt idx="48">
                  <c:v>2020</c:v>
                </c:pt>
                <c:pt idx="60">
                  <c:v>2021</c:v>
                </c:pt>
              </c:numCache>
            </c:numRef>
          </c:cat>
          <c:val>
            <c:numRef>
              <c:f>Sheet2!$B$3:$CI$3</c:f>
              <c:numCache>
                <c:formatCode>0</c:formatCode>
                <c:ptCount val="62"/>
                <c:pt idx="0">
                  <c:v>100.33410226548349</c:v>
                </c:pt>
                <c:pt idx="1">
                  <c:v>100.55361245445761</c:v>
                </c:pt>
                <c:pt idx="2">
                  <c:v>100.22268810952984</c:v>
                </c:pt>
                <c:pt idx="3">
                  <c:v>100.81864168197991</c:v>
                </c:pt>
                <c:pt idx="4">
                  <c:v>102.31245127967387</c:v>
                </c:pt>
                <c:pt idx="5">
                  <c:v>102.60795115723043</c:v>
                </c:pt>
                <c:pt idx="6">
                  <c:v>102.46485126397118</c:v>
                </c:pt>
                <c:pt idx="7">
                  <c:v>102.0760233371531</c:v>
                </c:pt>
                <c:pt idx="8">
                  <c:v>102.72530054716316</c:v>
                </c:pt>
                <c:pt idx="9">
                  <c:v>102.32726599755861</c:v>
                </c:pt>
                <c:pt idx="10">
                  <c:v>102.97953419162114</c:v>
                </c:pt>
                <c:pt idx="11">
                  <c:v>101.76262428940765</c:v>
                </c:pt>
                <c:pt idx="12">
                  <c:v>102.00713723569518</c:v>
                </c:pt>
                <c:pt idx="13">
                  <c:v>103.49300203199982</c:v>
                </c:pt>
                <c:pt idx="14">
                  <c:v>105.62744302642726</c:v>
                </c:pt>
                <c:pt idx="15">
                  <c:v>105.07168080218196</c:v>
                </c:pt>
                <c:pt idx="16">
                  <c:v>105.24179302016486</c:v>
                </c:pt>
                <c:pt idx="17">
                  <c:v>105.60323474925275</c:v>
                </c:pt>
                <c:pt idx="18">
                  <c:v>105.28661104682574</c:v>
                </c:pt>
                <c:pt idx="19">
                  <c:v>105.60552472141791</c:v>
                </c:pt>
                <c:pt idx="20">
                  <c:v>105.35671223555497</c:v>
                </c:pt>
                <c:pt idx="21">
                  <c:v>105.97178006546517</c:v>
                </c:pt>
                <c:pt idx="22">
                  <c:v>106.2925631050901</c:v>
                </c:pt>
                <c:pt idx="23">
                  <c:v>107.31449823438473</c:v>
                </c:pt>
                <c:pt idx="24">
                  <c:v>107.47049674637016</c:v>
                </c:pt>
                <c:pt idx="25">
                  <c:v>107.26972694184965</c:v>
                </c:pt>
                <c:pt idx="26">
                  <c:v>106.38953641616553</c:v>
                </c:pt>
                <c:pt idx="27">
                  <c:v>106.2908806765606</c:v>
                </c:pt>
                <c:pt idx="28">
                  <c:v>105.85321558826114</c:v>
                </c:pt>
                <c:pt idx="29">
                  <c:v>105.59851460254497</c:v>
                </c:pt>
                <c:pt idx="30">
                  <c:v>105.25628059916889</c:v>
                </c:pt>
                <c:pt idx="31">
                  <c:v>105.18543166442656</c:v>
                </c:pt>
                <c:pt idx="32">
                  <c:v>104.66878590349216</c:v>
                </c:pt>
                <c:pt idx="33">
                  <c:v>105.04966902892096</c:v>
                </c:pt>
                <c:pt idx="34">
                  <c:v>105.74479241635996</c:v>
                </c:pt>
                <c:pt idx="35">
                  <c:v>105.50495288265436</c:v>
                </c:pt>
                <c:pt idx="36">
                  <c:v>105.01821696224447</c:v>
                </c:pt>
                <c:pt idx="37">
                  <c:v>105.05859524695249</c:v>
                </c:pt>
                <c:pt idx="38">
                  <c:v>105.435412503435</c:v>
                </c:pt>
                <c:pt idx="39">
                  <c:v>105.8362978347145</c:v>
                </c:pt>
                <c:pt idx="40">
                  <c:v>106.47562067592501</c:v>
                </c:pt>
                <c:pt idx="41">
                  <c:v>105.87130169495329</c:v>
                </c:pt>
                <c:pt idx="42">
                  <c:v>106.64774246131819</c:v>
                </c:pt>
                <c:pt idx="43">
                  <c:v>106.66185616731569</c:v>
                </c:pt>
                <c:pt idx="44">
                  <c:v>107.20252326892131</c:v>
                </c:pt>
                <c:pt idx="45">
                  <c:v>107.03222411443511</c:v>
                </c:pt>
                <c:pt idx="46">
                  <c:v>106.45510439469032</c:v>
                </c:pt>
                <c:pt idx="47">
                  <c:v>106.25667129646079</c:v>
                </c:pt>
                <c:pt idx="48">
                  <c:v>107.54036426447034</c:v>
                </c:pt>
                <c:pt idx="49">
                  <c:v>108.12379309120077</c:v>
                </c:pt>
                <c:pt idx="50">
                  <c:v>106.55310585653378</c:v>
                </c:pt>
                <c:pt idx="51">
                  <c:v>103.75396539057586</c:v>
                </c:pt>
                <c:pt idx="52">
                  <c:v>100.17959924552436</c:v>
                </c:pt>
                <c:pt idx="53">
                  <c:v>99.425731061930293</c:v>
                </c:pt>
                <c:pt idx="54">
                  <c:v>98.826833239553622</c:v>
                </c:pt>
                <c:pt idx="55">
                  <c:v>97.938884848983449</c:v>
                </c:pt>
                <c:pt idx="56">
                  <c:v>97.130851813564576</c:v>
                </c:pt>
                <c:pt idx="57">
                  <c:v>96.068678601939382</c:v>
                </c:pt>
                <c:pt idx="58">
                  <c:v>95.510906810283842</c:v>
                </c:pt>
                <c:pt idx="59">
                  <c:v>95.077961868692142</c:v>
                </c:pt>
                <c:pt idx="60">
                  <c:v>93.561112346969182</c:v>
                </c:pt>
                <c:pt idx="61">
                  <c:v>92.740133958698266</c:v>
                </c:pt>
              </c:numCache>
            </c:numRef>
          </c:val>
          <c:smooth val="0"/>
          <c:extLst>
            <c:ext xmlns:c16="http://schemas.microsoft.com/office/drawing/2014/chart" uri="{C3380CC4-5D6E-409C-BE32-E72D297353CC}">
              <c16:uniqueId val="{00000001-824E-4E1C-9515-0098FEE03B69}"/>
            </c:ext>
          </c:extLst>
        </c:ser>
        <c:dLbls>
          <c:showLegendKey val="0"/>
          <c:showVal val="0"/>
          <c:showCatName val="0"/>
          <c:showSerName val="0"/>
          <c:showPercent val="0"/>
          <c:showBubbleSize val="0"/>
        </c:dLbls>
        <c:smooth val="0"/>
        <c:axId val="544121896"/>
        <c:axId val="644064696"/>
      </c:lineChart>
      <c:catAx>
        <c:axId val="544121896"/>
        <c:scaling>
          <c:orientation val="minMax"/>
        </c:scaling>
        <c:delete val="0"/>
        <c:axPos val="b"/>
        <c:numFmt formatCode="General" sourceLinked="1"/>
        <c:majorTickMark val="out"/>
        <c:minorTickMark val="none"/>
        <c:tickLblPos val="low"/>
        <c:spPr>
          <a:noFill/>
          <a:ln w="9525" cap="flat" cmpd="sng" algn="ctr">
            <a:noFill/>
            <a:prstDash val="solid"/>
            <a:round/>
          </a:ln>
          <a:effectLst/>
        </c:spPr>
        <c:txPr>
          <a:bodyPr rot="0" spcFirstLastPara="1" vertOverflow="ellipsis" wrap="square" anchor="ctr" anchorCtr="1"/>
          <a:lstStyle/>
          <a:p>
            <a:pPr>
              <a:defRPr sz="800" b="0" i="0" u="none" strike="noStrike" kern="1200" baseline="0">
                <a:solidFill>
                  <a:schemeClr val="tx1"/>
                </a:solidFill>
                <a:latin typeface="Candara" panose="020E0502030303020204" pitchFamily="34" charset="0"/>
                <a:ea typeface="+mn-ea"/>
                <a:cs typeface="Segoe UI" pitchFamily="34" charset="0"/>
              </a:defRPr>
            </a:pPr>
            <a:endParaRPr lang="lv-LV"/>
          </a:p>
        </c:txPr>
        <c:crossAx val="644064696"/>
        <c:crosses val="autoZero"/>
        <c:auto val="0"/>
        <c:lblAlgn val="ctr"/>
        <c:lblOffset val="0"/>
        <c:tickLblSkip val="12"/>
        <c:tickMarkSkip val="3"/>
        <c:noMultiLvlLbl val="1"/>
      </c:catAx>
      <c:valAx>
        <c:axId val="644064696"/>
        <c:scaling>
          <c:orientation val="minMax"/>
          <c:max val="140"/>
          <c:min val="90"/>
        </c:scaling>
        <c:delete val="0"/>
        <c:axPos val="l"/>
        <c:numFmt formatCode="0" sourceLinked="0"/>
        <c:majorTickMark val="out"/>
        <c:minorTickMark val="none"/>
        <c:tickLblPos val="nextTo"/>
        <c:spPr>
          <a:noFill/>
          <a:ln w="9525" cap="flat" cmpd="sng" algn="ctr">
            <a:noFill/>
            <a:prstDash val="solid"/>
            <a:round/>
          </a:ln>
          <a:effectLst/>
        </c:spPr>
        <c:txPr>
          <a:bodyPr rot="0" spcFirstLastPara="1" vertOverflow="ellipsis" wrap="square" anchor="ctr" anchorCtr="1"/>
          <a:lstStyle/>
          <a:p>
            <a:pPr>
              <a:defRPr sz="800" b="0" i="0" u="none" strike="noStrike" kern="1200" baseline="0">
                <a:solidFill>
                  <a:schemeClr val="tx1"/>
                </a:solidFill>
                <a:latin typeface="Candara" panose="020E0502030303020204" pitchFamily="34" charset="0"/>
                <a:ea typeface="+mn-ea"/>
                <a:cs typeface="Segoe UI" pitchFamily="34" charset="0"/>
              </a:defRPr>
            </a:pPr>
            <a:endParaRPr lang="lv-LV"/>
          </a:p>
        </c:txPr>
        <c:crossAx val="544121896"/>
        <c:crosses val="autoZero"/>
        <c:crossBetween val="between"/>
        <c:majorUnit val="10"/>
      </c:valAx>
      <c:spPr>
        <a:solidFill>
          <a:schemeClr val="bg1"/>
        </a:solidFill>
        <a:ln>
          <a:noFill/>
        </a:ln>
        <a:effectLst/>
      </c:spPr>
    </c:plotArea>
    <c:legend>
      <c:legendPos val="l"/>
      <c:layout>
        <c:manualLayout>
          <c:xMode val="edge"/>
          <c:yMode val="edge"/>
          <c:x val="0.1219577792719453"/>
          <c:y val="7.8546933887282136E-2"/>
          <c:w val="0.60781513421933353"/>
          <c:h val="0.20386042921105449"/>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andara" panose="020E0502030303020204" pitchFamily="34" charset="0"/>
              <a:ea typeface="+mn-ea"/>
              <a:cs typeface="Segoe UI" pitchFamily="34" charset="0"/>
            </a:defRPr>
          </a:pPr>
          <a:endParaRPr lang="lv-LV"/>
        </a:p>
      </c:txPr>
    </c:legend>
    <c:plotVisOnly val="1"/>
    <c:dispBlanksAs val="gap"/>
    <c:showDLblsOverMax val="0"/>
  </c:chart>
  <c:spPr>
    <a:solidFill>
      <a:schemeClr val="bg1"/>
    </a:solidFill>
    <a:ln w="9525" cap="flat" cmpd="sng" algn="ctr">
      <a:noFill/>
      <a:prstDash val="solid"/>
      <a:round/>
    </a:ln>
    <a:effectLst/>
  </c:spPr>
  <c:txPr>
    <a:bodyPr/>
    <a:lstStyle/>
    <a:p>
      <a:pPr>
        <a:defRPr sz="800">
          <a:latin typeface="Candara" panose="020E0502030303020204" pitchFamily="34" charset="0"/>
          <a:cs typeface="Segoe UI" pitchFamily="34" charset="0"/>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xmlns:mc="http://schemas.openxmlformats.org/markup-compatibility/2006" val="2"/>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115623704931618"/>
          <c:y val="3.1810004931388872E-2"/>
          <c:w val="0.32077358751208729"/>
          <c:h val="0.90879507408512694"/>
        </c:manualLayout>
      </c:layout>
      <c:stockChart>
        <c:ser>
          <c:idx val="1"/>
          <c:order val="0"/>
          <c:tx>
            <c:strRef>
              <c:f>Sheet1!$A$3</c:f>
              <c:strCache>
                <c:ptCount val="1"/>
                <c:pt idx="0">
                  <c:v>Vēsturiski maksimālais ražošanas jaudu noslodzes līmenis</c:v>
                </c:pt>
              </c:strCache>
            </c:strRef>
          </c:tx>
          <c:spPr>
            <a:ln w="25400">
              <a:noFill/>
            </a:ln>
          </c:spPr>
          <c:marker>
            <c:symbol val="none"/>
          </c:marker>
          <c:cat>
            <c:strRef>
              <c:f>Sheet1!$B$2:$L$2</c:f>
              <c:strCache>
                <c:ptCount val="1"/>
                <c:pt idx="0">
                  <c:v>AR</c:v>
                </c:pt>
              </c:strCache>
            </c:strRef>
          </c:cat>
          <c:val>
            <c:numRef>
              <c:f>Sheet1!$B$3:$L$3</c:f>
              <c:numCache>
                <c:formatCode>0.0</c:formatCode>
                <c:ptCount val="11"/>
                <c:pt idx="0">
                  <c:v>83.856829335484136</c:v>
                </c:pt>
                <c:pt idx="1">
                  <c:v>83.856829335484136</c:v>
                </c:pt>
                <c:pt idx="2">
                  <c:v>83.856829335484136</c:v>
                </c:pt>
                <c:pt idx="3">
                  <c:v>83.856829335484136</c:v>
                </c:pt>
                <c:pt idx="4">
                  <c:v>83.856829335484136</c:v>
                </c:pt>
                <c:pt idx="5">
                  <c:v>83.856829335484136</c:v>
                </c:pt>
                <c:pt idx="6">
                  <c:v>83.856829335484136</c:v>
                </c:pt>
                <c:pt idx="7">
                  <c:v>83.856829335484136</c:v>
                </c:pt>
                <c:pt idx="8">
                  <c:v>83.856829335484136</c:v>
                </c:pt>
                <c:pt idx="9">
                  <c:v>83.856829335484136</c:v>
                </c:pt>
                <c:pt idx="10">
                  <c:v>83.856829335484136</c:v>
                </c:pt>
              </c:numCache>
            </c:numRef>
          </c:val>
          <c:smooth val="1"/>
          <c:extLst>
            <c:ext xmlns:c16="http://schemas.microsoft.com/office/drawing/2014/chart" uri="{C3380CC4-5D6E-409C-BE32-E72D297353CC}">
              <c16:uniqueId val="{00000000-AD2E-41F8-AC3E-0408305F83AE}"/>
            </c:ext>
          </c:extLst>
        </c:ser>
        <c:ser>
          <c:idx val="0"/>
          <c:order val="1"/>
          <c:tx>
            <c:strRef>
              <c:f>Sheet1!$A$4</c:f>
              <c:strCache>
                <c:ptCount val="1"/>
                <c:pt idx="0">
                  <c:v>Vēsturiski minimālais ražošanas jaudu noslodzes līmenis</c:v>
                </c:pt>
              </c:strCache>
            </c:strRef>
          </c:tx>
          <c:spPr>
            <a:ln w="25400">
              <a:noFill/>
            </a:ln>
          </c:spPr>
          <c:marker>
            <c:symbol val="none"/>
          </c:marker>
          <c:cat>
            <c:strRef>
              <c:f>Sheet1!$B$2:$L$2</c:f>
              <c:strCache>
                <c:ptCount val="1"/>
                <c:pt idx="0">
                  <c:v>AR</c:v>
                </c:pt>
              </c:strCache>
            </c:strRef>
          </c:cat>
          <c:val>
            <c:numRef>
              <c:f>Sheet1!$B$4:$L$4</c:f>
              <c:numCache>
                <c:formatCode>0.0</c:formatCode>
                <c:ptCount val="11"/>
                <c:pt idx="0">
                  <c:v>51.446274410429162</c:v>
                </c:pt>
                <c:pt idx="1">
                  <c:v>51.446274410429162</c:v>
                </c:pt>
                <c:pt idx="2">
                  <c:v>51.446274410429162</c:v>
                </c:pt>
                <c:pt idx="3">
                  <c:v>51.446274410429162</c:v>
                </c:pt>
                <c:pt idx="4">
                  <c:v>51.446274410429162</c:v>
                </c:pt>
                <c:pt idx="5">
                  <c:v>51.446274410429162</c:v>
                </c:pt>
                <c:pt idx="6">
                  <c:v>51.446274410429162</c:v>
                </c:pt>
                <c:pt idx="7">
                  <c:v>51.446274410429162</c:v>
                </c:pt>
                <c:pt idx="8">
                  <c:v>51.446274410429162</c:v>
                </c:pt>
                <c:pt idx="9">
                  <c:v>51.446274410429162</c:v>
                </c:pt>
                <c:pt idx="10">
                  <c:v>51.446274410429162</c:v>
                </c:pt>
              </c:numCache>
            </c:numRef>
          </c:val>
          <c:smooth val="1"/>
          <c:extLst>
            <c:ext xmlns:c16="http://schemas.microsoft.com/office/drawing/2014/chart" uri="{C3380CC4-5D6E-409C-BE32-E72D297353CC}">
              <c16:uniqueId val="{00000001-AD2E-41F8-AC3E-0408305F83AE}"/>
            </c:ext>
          </c:extLst>
        </c:ser>
        <c:ser>
          <c:idx val="2"/>
          <c:order val="2"/>
          <c:tx>
            <c:strRef>
              <c:f>Sheet1!$A$5</c:f>
              <c:strCache>
                <c:ptCount val="1"/>
                <c:pt idx="0">
                  <c:v>2020 I</c:v>
                </c:pt>
              </c:strCache>
            </c:strRef>
          </c:tx>
          <c:spPr>
            <a:ln w="28575">
              <a:noFill/>
            </a:ln>
          </c:spPr>
          <c:marker>
            <c:symbol val="dash"/>
            <c:size val="22"/>
            <c:spPr>
              <a:solidFill>
                <a:srgbClr val="9BBB59"/>
              </a:solidFill>
              <a:ln w="12700">
                <a:noFill/>
              </a:ln>
            </c:spPr>
          </c:marker>
          <c:cat>
            <c:strRef>
              <c:f>Sheet1!$B$2:$L$2</c:f>
              <c:strCache>
                <c:ptCount val="1"/>
                <c:pt idx="0">
                  <c:v>AR</c:v>
                </c:pt>
              </c:strCache>
            </c:strRef>
          </c:cat>
          <c:val>
            <c:numRef>
              <c:f>Sheet1!$B$5:$L$5</c:f>
              <c:numCache>
                <c:formatCode>General</c:formatCode>
                <c:ptCount val="11"/>
                <c:pt idx="5" formatCode="0.0">
                  <c:v>79.113044860422775</c:v>
                </c:pt>
              </c:numCache>
            </c:numRef>
          </c:val>
          <c:smooth val="1"/>
          <c:extLst>
            <c:ext xmlns:c16="http://schemas.microsoft.com/office/drawing/2014/chart" uri="{C3380CC4-5D6E-409C-BE32-E72D297353CC}">
              <c16:uniqueId val="{00000002-AD2E-41F8-AC3E-0408305F83AE}"/>
            </c:ext>
          </c:extLst>
        </c:ser>
        <c:ser>
          <c:idx val="3"/>
          <c:order val="3"/>
          <c:tx>
            <c:strRef>
              <c:f>Sheet1!$A$6</c:f>
              <c:strCache>
                <c:ptCount val="1"/>
                <c:pt idx="0">
                  <c:v>2021 I</c:v>
                </c:pt>
              </c:strCache>
            </c:strRef>
          </c:tx>
          <c:spPr>
            <a:ln w="28575">
              <a:noFill/>
            </a:ln>
          </c:spPr>
          <c:marker>
            <c:symbol val="dash"/>
            <c:size val="22"/>
            <c:spPr>
              <a:solidFill>
                <a:srgbClr val="C0504D"/>
              </a:solidFill>
              <a:ln>
                <a:noFill/>
              </a:ln>
            </c:spPr>
          </c:marker>
          <c:cat>
            <c:strRef>
              <c:f>Sheet1!$B$2:$L$2</c:f>
              <c:strCache>
                <c:ptCount val="1"/>
                <c:pt idx="0">
                  <c:v>AR</c:v>
                </c:pt>
              </c:strCache>
            </c:strRef>
          </c:cat>
          <c:val>
            <c:numRef>
              <c:f>Sheet1!$B$6:$L$6</c:f>
              <c:numCache>
                <c:formatCode>General</c:formatCode>
                <c:ptCount val="11"/>
                <c:pt idx="5" formatCode="0.0">
                  <c:v>75.545868207739844</c:v>
                </c:pt>
              </c:numCache>
            </c:numRef>
          </c:val>
          <c:smooth val="0"/>
          <c:extLst>
            <c:ext xmlns:c16="http://schemas.microsoft.com/office/drawing/2014/chart" uri="{C3380CC4-5D6E-409C-BE32-E72D297353CC}">
              <c16:uniqueId val="{00000003-AD2E-41F8-AC3E-0408305F83AE}"/>
            </c:ext>
          </c:extLst>
        </c:ser>
        <c:dLbls>
          <c:showLegendKey val="0"/>
          <c:showVal val="0"/>
          <c:showCatName val="0"/>
          <c:showSerName val="0"/>
          <c:showPercent val="0"/>
          <c:showBubbleSize val="0"/>
        </c:dLbls>
        <c:hiLowLines>
          <c:spPr>
            <a:ln w="50800" cap="sq" cmpd="sng">
              <a:solidFill>
                <a:sysClr val="window" lastClr="FFFFFF">
                  <a:lumMod val="65000"/>
                </a:sysClr>
              </a:solidFill>
              <a:round/>
              <a:headEnd type="none"/>
            </a:ln>
          </c:spPr>
        </c:hiLowLines>
        <c:axId val="83850752"/>
        <c:axId val="83852288"/>
      </c:stockChart>
      <c:catAx>
        <c:axId val="83850752"/>
        <c:scaling>
          <c:orientation val="minMax"/>
        </c:scaling>
        <c:delete val="1"/>
        <c:axPos val="b"/>
        <c:numFmt formatCode="General" sourceLinked="1"/>
        <c:majorTickMark val="out"/>
        <c:minorTickMark val="none"/>
        <c:tickLblPos val="low"/>
        <c:crossAx val="83852288"/>
        <c:crosses val="autoZero"/>
        <c:auto val="1"/>
        <c:lblAlgn val="ctr"/>
        <c:lblOffset val="0"/>
        <c:noMultiLvlLbl val="1"/>
      </c:catAx>
      <c:valAx>
        <c:axId val="83852288"/>
        <c:scaling>
          <c:orientation val="minMax"/>
          <c:max val="90"/>
          <c:min val="50"/>
        </c:scaling>
        <c:delete val="0"/>
        <c:axPos val="l"/>
        <c:numFmt formatCode="0" sourceLinked="0"/>
        <c:majorTickMark val="out"/>
        <c:minorTickMark val="none"/>
        <c:tickLblPos val="nextTo"/>
        <c:spPr>
          <a:ln w="5666">
            <a:noFill/>
          </a:ln>
        </c:spPr>
        <c:txPr>
          <a:bodyPr rot="0" vert="horz"/>
          <a:lstStyle/>
          <a:p>
            <a:pPr>
              <a:defRPr/>
            </a:pPr>
            <a:endParaRPr lang="lv-LV"/>
          </a:p>
        </c:txPr>
        <c:crossAx val="83850752"/>
        <c:crosses val="autoZero"/>
        <c:crossBetween val="between"/>
        <c:majorUnit val="10"/>
      </c:valAx>
      <c:spPr>
        <a:noFill/>
        <a:ln w="22665">
          <a:noFill/>
        </a:ln>
      </c:spPr>
    </c:plotArea>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Times New Roman"/>
          <a:cs typeface="Times New Roman"/>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12" ma:contentTypeDescription="Create a new document." ma:contentTypeScope="" ma:versionID="52b05ae6a48a8e2141a376d048a40d67">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3c08ce9eba2902aa336d7444ff393af0"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E6BFE-F23E-40C8-AD4D-FE4FD9C8012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45EF4F1E-4BDA-475F-8AC0-0438EA995F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C8AA6193-D75A-4DBF-A471-65BC4719DB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A5E10826-1583-4EFC-8FF6-623728126E3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FB1BA75E-C256-448C-A867-D1A891D76C0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9D9731A0-64E9-4334-92B4-8AF3629A4DFC}">
  <ds:schemaRefs>
    <ds:schemaRef ds:uri="http://schemas.microsoft.com/office/2006/metadata/properties"/>
    <ds:schemaRef ds:uri="http://schemas.microsoft.com/office/infopath/2007/PartnerControls"/>
  </ds:schemaRefs>
</ds:datastoreItem>
</file>

<file path=customXml/itemProps15.xml><?xml version="1.0" encoding="utf-8"?>
<ds:datastoreItem xmlns:ds="http://schemas.openxmlformats.org/officeDocument/2006/customXml" ds:itemID="{79320F10-4593-442E-AC63-64235F3A634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48335C2E-F159-4CC2-AFFD-4C572A1A34A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4072D088-7FAF-4DA0-88A5-4CDA0FD5FC4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B05A6F61-55A4-4710-99B5-920C978E8CE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7D79A465-6595-478B-AA3E-14B8D5FBE04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F99D83B9-9C9D-4FAE-802B-4D47EF990AF7}">
  <ds:schemaRefs>
    <ds:schemaRef ds:uri="http://schemas.microsoft.com/sharepoint/v3/contenttype/forms"/>
  </ds:schemaRefs>
</ds:datastoreItem>
</file>

<file path=customXml/itemProps20.xml><?xml version="1.0" encoding="utf-8"?>
<ds:datastoreItem xmlns:ds="http://schemas.openxmlformats.org/officeDocument/2006/customXml" ds:itemID="{42A52669-9767-48BA-BA4E-6D3CDEF3532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7BAAE5B-320D-47CA-A402-9CCA600B18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02BDDE07-DF00-450C-BF5B-A335733B159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6986769E-3E37-4B60-A603-76C29B9D62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11819744-2B68-40A4-93B5-02A79832BD2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0855CAC3-E3EA-4B9E-A918-D48C27A0AE2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C859ABFF-F507-4D9D-A213-42468CA2435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2956AE2D-66B8-4547-9FE0-084FAF5A7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13773</Words>
  <Characters>7852</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21582</CharactersWithSpaces>
  <SharedDoc>false</SharedDoc>
  <HLinks>
    <vt:vector size="18" baseType="variant">
      <vt:variant>
        <vt:i4>4849768</vt:i4>
      </vt:variant>
      <vt:variant>
        <vt:i4>0</vt:i4>
      </vt:variant>
      <vt:variant>
        <vt:i4>0</vt:i4>
      </vt:variant>
      <vt:variant>
        <vt:i4>5</vt:i4>
      </vt:variant>
      <vt:variant>
        <vt:lpwstr>mailto:Elina.Rage@em.gov.lv</vt:lpwstr>
      </vt:variant>
      <vt:variant>
        <vt:lpwstr/>
      </vt:variant>
      <vt:variant>
        <vt:i4>4128803</vt:i4>
      </vt:variant>
      <vt:variant>
        <vt:i4>0</vt:i4>
      </vt:variant>
      <vt:variant>
        <vt:i4>0</vt:i4>
      </vt:variant>
      <vt:variant>
        <vt:i4>5</vt:i4>
      </vt:variant>
      <vt:variant>
        <vt:lpwstr>https://www.eea.europa.eu/publications/textiles-in-europes-circular-economy</vt:lpwstr>
      </vt:variant>
      <vt:variant>
        <vt:lpwstr/>
      </vt:variant>
      <vt:variant>
        <vt:i4>5111909</vt:i4>
      </vt:variant>
      <vt:variant>
        <vt:i4>0</vt:i4>
      </vt:variant>
      <vt:variant>
        <vt:i4>0</vt:i4>
      </vt:variant>
      <vt:variant>
        <vt:i4>5</vt:i4>
      </vt:variant>
      <vt:variant>
        <vt:lpwstr>https://data.stat.gov.lv/pxweb/lv/OSP_PUB/START__TIR__AT__ATN/ATN010c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2021-07-13T14:20:00Z</dcterms:created>
  <dcterms:modified xsi:type="dcterms:W3CDTF">2021-07-13T16:58:00Z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2021-07-21</vt:lpwstr>
  </property>
  <property fmtid="{D5CDD505-2E9C-101B-9397-08002B2CF9AE}" pid="4" name="DIScgiUrl">
    <vt:lpwstr>https://lim.esvis.gov.lv/cs/idcplg</vt:lpwstr>
  </property>
  <property fmtid="{D5CDD505-2E9C-101B-9397-08002B2CF9AE}" pid="5" name="DISdDocName">
    <vt:lpwstr>L279132</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https://lim.esvis.gov.lv/cs/idcplg?ClientControlled=DocMan&amp;coreContentOnly=1&amp;WebdavRequest=1&amp;IdcService=DOC_INFO&amp;dID=360153</vt:lpwstr>
  </property>
  <property fmtid="{D5CDD505-2E9C-101B-9397-08002B2CF9AE}" pid="8" name="DISCesvisSafetyLevel">
    <vt:lpwstr>Ierobežotas pieejamības</vt:lpwstr>
  </property>
  <property fmtid="{D5CDD505-2E9C-101B-9397-08002B2CF9AE}" pid="9" name="DISCesvisTitle">
    <vt:lpwstr>Par Eiropas Savienības Konkurētspējas ministru 2021. gada 21. un 22. jūlija sanāksmē izskatāmajiem jautājumiem</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4" name="DISCesvisDescription">
    <vt:lpwstr>
</vt:lpwstr>
  </property>
  <property fmtid="{D5CDD505-2E9C-101B-9397-08002B2CF9AE}" pid="15" name="DISdUser">
    <vt:lpwstr>vk_istafecka</vt:lpwstr>
  </property>
  <property fmtid="{D5CDD505-2E9C-101B-9397-08002B2CF9AE}" pid="16" name="DISdID">
    <vt:lpwstr>360153</vt:lpwstr>
  </property>
  <property fmtid="{D5CDD505-2E9C-101B-9397-08002B2CF9AE}" pid="17" name="DISCesvisAdditionalMakers">
    <vt:lpwstr>Vecākā referente Elīna Raģe</vt:lpwstr>
  </property>
  <property fmtid="{D5CDD505-2E9C-101B-9397-08002B2CF9AE}" pid="18" name="DISCesvisMainMaker">
    <vt:lpwstr>Vecākā referente Elīna Raģe</vt:lpwstr>
  </property>
  <property fmtid="{D5CDD505-2E9C-101B-9397-08002B2CF9AE}" pid="19" name="DISCesvisAdditionalMakersMail">
    <vt:lpwstr>elina.rage@em.gov.lv</vt:lpwstr>
  </property>
  <property fmtid="{D5CDD505-2E9C-101B-9397-08002B2CF9AE}" pid="20" name="DISCesvisMainMakerOrgUnitTitle">
    <vt:lpwstr>ES un ārējo ekonomisko attiecību departaments</vt:lpwstr>
  </property>
  <property fmtid="{D5CDD505-2E9C-101B-9397-08002B2CF9AE}" pid="21" name="DISCesvisAdditionalTutors">
    <vt:lpwstr>Vecākā referente Elīna Raģe, Vecākais referents Fēlikss Bikaunieks, Nodaļas vadītājs Māra Rone</vt:lpwstr>
  </property>
  <property fmtid="{D5CDD505-2E9C-101B-9397-08002B2CF9AE}" pid="22" name="DISCesvisAdditionalTutorsMail">
    <vt:lpwstr>elina.rage@em.gov.lv, felikss.bikaunieks@em.gov.lv, Mara.Rone@em.gov.lv</vt:lpwstr>
  </property>
  <property fmtid="{D5CDD505-2E9C-101B-9397-08002B2CF9AE}" pid="23" name="DISCesvisAdditionalTutorsPhone">
    <vt:lpwstr>67013265</vt:lpwstr>
  </property>
  <property fmtid="{D5CDD505-2E9C-101B-9397-08002B2CF9AE}" pid="24" name="DISCesvisOrgApprovers">
    <vt:lpwstr>Ārlietu ministrija, Vides aizsardzības un reģionālās attīstības ministrija, Labklājības ministrija, Kultūras ministrija, Satiksmes ministrija, Finanšu ministrija, Izglītības un zinātnes ministrija, Veselības ministrija, Zemkopības ministrija, Tieslietu ministrija</vt:lpwstr>
  </property>
</Properties>
</file>