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1362"/>
        <w:gridCol w:w="226"/>
        <w:gridCol w:w="1750"/>
        <w:gridCol w:w="1750"/>
        <w:gridCol w:w="1483"/>
        <w:gridCol w:w="1750"/>
        <w:gridCol w:w="1750"/>
        <w:gridCol w:w="1750"/>
      </w:tblGrid>
      <w:tr w:rsidR="001D4B6A" w:rsidRPr="005424BF" w14:paraId="5EA721F3" w14:textId="77777777" w:rsidTr="0014171D">
        <w:trPr>
          <w:trHeight w:val="163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ECF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7C6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6E955C81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20D" w14:textId="6164AEDE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C43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160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451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F53E" w14:textId="77777777" w:rsidR="001D4B6A" w:rsidRPr="008E0FB4" w:rsidRDefault="001D4B6A" w:rsidP="00AB1DE6">
            <w:pPr>
              <w:pStyle w:val="NoSpacing"/>
              <w:jc w:val="right"/>
            </w:pPr>
            <w:r>
              <w:t>4</w:t>
            </w:r>
            <w:r w:rsidRPr="008E0FB4">
              <w:t>.Pielikums</w:t>
            </w:r>
          </w:p>
          <w:p w14:paraId="513B1FBE" w14:textId="77777777" w:rsidR="001D4B6A" w:rsidRPr="008E0FB4" w:rsidRDefault="001D4B6A" w:rsidP="00AB1DE6">
            <w:pPr>
              <w:pStyle w:val="NoSpacing"/>
              <w:jc w:val="right"/>
            </w:pPr>
            <w:r w:rsidRPr="008E0FB4">
              <w:t>Informatīvajam ziņojumam</w:t>
            </w:r>
          </w:p>
          <w:p w14:paraId="643D9C28" w14:textId="77777777" w:rsidR="001D4B6A" w:rsidRPr="008E0FB4" w:rsidRDefault="001D4B6A" w:rsidP="00AB1DE6">
            <w:pPr>
              <w:pStyle w:val="NoSpacing"/>
              <w:jc w:val="right"/>
            </w:pPr>
            <w:r w:rsidRPr="008E0FB4">
              <w:t xml:space="preserve">par pievienotās vērtības nodokļa atmaksas kārtības </w:t>
            </w:r>
          </w:p>
          <w:p w14:paraId="2A9C8618" w14:textId="77777777" w:rsidR="001D4B6A" w:rsidRPr="008E0FB4" w:rsidRDefault="001D4B6A" w:rsidP="00AB1DE6">
            <w:pPr>
              <w:pStyle w:val="NoSpacing"/>
              <w:jc w:val="right"/>
            </w:pPr>
            <w:r w:rsidRPr="008E0FB4">
              <w:t>modernizēšanu ceļotājam</w:t>
            </w:r>
          </w:p>
          <w:p w14:paraId="51D11F35" w14:textId="77777777" w:rsidR="001D4B6A" w:rsidRPr="005424BF" w:rsidRDefault="001D4B6A" w:rsidP="00AB1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D4B6A" w:rsidRPr="005424BF" w14:paraId="1F31F2BF" w14:textId="77777777" w:rsidTr="0014171D">
        <w:trPr>
          <w:trHeight w:val="102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A256E64" w14:textId="77777777" w:rsidR="001D4B6A" w:rsidRPr="005424BF" w:rsidRDefault="001D4B6A" w:rsidP="00F177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E3E1E" w14:textId="48EB0310" w:rsidR="001D4B6A" w:rsidRPr="005424BF" w:rsidRDefault="0014171D" w:rsidP="001B7E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Valsts ieņēmumu dienesta 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sniegt</w:t>
            </w:r>
            <w:r w:rsidR="00F46214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ā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informācija par </w:t>
            </w:r>
            <w:r w:rsidR="001D4B6A"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Muitas pārvaldes Latgales MKP daļas un Rīgas MKP daļas viena vecākā muitas uzrauga amata vietas vidējā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m</w:t>
            </w:r>
            <w:r w:rsidR="001D4B6A"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izmaks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ām</w:t>
            </w:r>
            <w:r w:rsidR="001D4B6A"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201</w:t>
            </w:r>
            <w:r w:rsidR="001D4B6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9</w:t>
            </w:r>
            <w:r w:rsidR="001D4B6A"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.gadā</w:t>
            </w:r>
            <w:r w:rsidR="001B7EE3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1D4B6A"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un no tām izrietošās Valsts ieņēmumu dienesta izmaksas uzrādīto īpaša parauga čeku pārbaudei un apstiprināšanai </w:t>
            </w:r>
          </w:p>
        </w:tc>
      </w:tr>
      <w:tr w:rsidR="001D4B6A" w:rsidRPr="005424BF" w14:paraId="08EADB2C" w14:textId="77777777" w:rsidTr="0014171D">
        <w:trPr>
          <w:trHeight w:val="25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7CD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914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6DFE211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36E" w14:textId="0908EFB0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186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DFF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1F1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BD8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985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1D4B6A" w:rsidRPr="005424BF" w14:paraId="3ADA9E1C" w14:textId="77777777" w:rsidTr="0014171D">
        <w:trPr>
          <w:trHeight w:val="22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E6D105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Muitas kontroles punkts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ED82D6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Atlīdzības izmaksas, EUR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37DEBA71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C1134C" w14:textId="45F089AE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 īpaša parauga čeku apstiprināšanu attiecināmās atlīdzības izmaksas vienai maiņai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0E365C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 īpaša parauga čeku apstiprināšanu attiecināmās atlīdzības izmaksas MKP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48228B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Uzturēšanas izmaksas, EUR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61EE09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 īpaša parauga čeku apstiprināšanu attiecināmās uzturēšanas izmaksas vienai maiņai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F5AA4E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 īpaša parauga čeku apstiprināšanu attiecināmās uzturēšanas izmaksas MKP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9366C7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Uz īpaša parauga čeku apstiprināšanu attiecināmās izmaksas kopā EUR</w:t>
            </w:r>
          </w:p>
        </w:tc>
      </w:tr>
      <w:tr w:rsidR="001D4B6A" w:rsidRPr="005424BF" w14:paraId="54C3B089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C64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>"Terehova"(6 MA 4%)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875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16 277,00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345D5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E664282" w14:textId="76A35FE8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3 906,48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4122E67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15 625,92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C93C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35 356,00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F56D5E5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8 485,44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1587687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33 941,76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9C7E5B3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49 567,68</w:t>
            </w:r>
          </w:p>
        </w:tc>
      </w:tr>
      <w:tr w:rsidR="001D4B6A" w:rsidRPr="005424BF" w14:paraId="0CA33D65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4D8F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>"Silene" (2 MA 4%)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654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17 912,00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7FF96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DF67642" w14:textId="36BAF4A4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1 432,96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323C8B2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5 731,84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4548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36 856,00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389B54B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2 948,48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4FCEBCB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11 793,92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5EE93A6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17 525,76</w:t>
            </w:r>
          </w:p>
        </w:tc>
      </w:tr>
      <w:tr w:rsidR="001D4B6A" w:rsidRPr="005424BF" w14:paraId="0CE8A9E5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95B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 xml:space="preserve">"Pāternieki" (6 MA 4%)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4B5" w14:textId="77777777" w:rsidR="001D4B6A" w:rsidRPr="005424BF" w:rsidRDefault="001D4B6A" w:rsidP="00F17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15 216,00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4C6E9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022E5EA" w14:textId="0E24E653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3 651,84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5DB2AC3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14 607,36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2BEB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41 642,00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F15AF3C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9 994,08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DF07AF9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39 946,32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DAA64C4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54 553,68</w:t>
            </w:r>
          </w:p>
        </w:tc>
      </w:tr>
      <w:tr w:rsidR="001D4B6A" w:rsidRPr="005424BF" w14:paraId="16BB383B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EE0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>"Grebņeva" (2 MA 4%)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96A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18 393,00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45A3B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EBE32E0" w14:textId="246F9A6F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1 471,44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1B2C6D1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5 885,76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1B1E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37 261,00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457038B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2 980,88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92FEDCC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11 923,52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EC28027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17 809,28</w:t>
            </w:r>
          </w:p>
        </w:tc>
      </w:tr>
      <w:tr w:rsidR="001D4B6A" w:rsidRPr="005424BF" w14:paraId="6F767E04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DAB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>"Vientuļi" (2 MA 4%)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F5E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18 222,00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006F0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84AC677" w14:textId="38867555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1 457,76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7ACC409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5 831,04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49F6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36 783,00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5C74126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2 942,64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81B4664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11 770,56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9684046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17 601,60</w:t>
            </w:r>
          </w:p>
        </w:tc>
      </w:tr>
      <w:tr w:rsidR="001D4B6A" w:rsidRPr="005424BF" w14:paraId="6C45AA13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F53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color w:val="000000"/>
                <w:lang w:eastAsia="lv-LV"/>
              </w:rPr>
              <w:t>"Lidostas MKP" (1 MA 100%)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DF8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16 453,00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55CD6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C18637D" w14:textId="2E26DC7C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16 453,00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EAD7793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65 812,00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E89E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34 641,00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C78C14C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34 641,00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F9C80E3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138 564,00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2095D1A" w14:textId="77777777" w:rsidR="001D4B6A" w:rsidRPr="005424BF" w:rsidRDefault="001D4B6A" w:rsidP="001257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204 376,00</w:t>
            </w:r>
          </w:p>
        </w:tc>
      </w:tr>
      <w:tr w:rsidR="001D4B6A" w:rsidRPr="005424BF" w14:paraId="3E295524" w14:textId="77777777" w:rsidTr="0014171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9A9004" w14:textId="77777777" w:rsidR="001D4B6A" w:rsidRPr="005424BF" w:rsidRDefault="001D4B6A" w:rsidP="005424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Izmaksas kopā, EUR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93BFB3" w14:textId="77777777" w:rsidR="001D4B6A" w:rsidRPr="005424BF" w:rsidRDefault="001D4B6A" w:rsidP="00F177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10</w:t>
            </w:r>
            <w:r w:rsidRPr="005424B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 473,00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4A864143" w14:textId="77777777" w:rsidR="001D4B6A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22DEC20" w14:textId="312744C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28 373,48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6C86703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113 493,92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1249A54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222 539,00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4418A38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61 992,52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1604A02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247 940,08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603E306" w14:textId="77777777" w:rsidR="001D4B6A" w:rsidRPr="005424BF" w:rsidRDefault="001D4B6A" w:rsidP="005424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361 434,00</w:t>
            </w:r>
          </w:p>
        </w:tc>
      </w:tr>
    </w:tbl>
    <w:p w14:paraId="2DF596E7" w14:textId="77777777" w:rsidR="00C23A3A" w:rsidRDefault="00C23A3A"/>
    <w:p w14:paraId="63D4850F" w14:textId="54B53DFE" w:rsidR="00187244" w:rsidRDefault="00187244" w:rsidP="00187244">
      <w:pPr>
        <w:spacing w:after="0" w:line="240" w:lineRule="auto"/>
        <w:ind w:firstLine="720"/>
        <w:jc w:val="both"/>
        <w:rPr>
          <w:sz w:val="28"/>
          <w:szCs w:val="28"/>
        </w:rPr>
      </w:pPr>
      <w:r w:rsidRPr="00F727B6">
        <w:rPr>
          <w:sz w:val="28"/>
          <w:szCs w:val="28"/>
        </w:rPr>
        <w:t>Finanšu ministrs</w:t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  <w:t xml:space="preserve">    </w:t>
      </w:r>
      <w:r w:rsidRPr="00F727B6">
        <w:rPr>
          <w:sz w:val="28"/>
          <w:szCs w:val="28"/>
        </w:rPr>
        <w:tab/>
        <w:t xml:space="preserve">                                           </w:t>
      </w:r>
      <w:r w:rsidRPr="00F727B6">
        <w:rPr>
          <w:sz w:val="28"/>
          <w:szCs w:val="28"/>
        </w:rPr>
        <w:tab/>
        <w:t xml:space="preserve">                    J.Reirs</w:t>
      </w:r>
    </w:p>
    <w:p w14:paraId="4818155C" w14:textId="77777777" w:rsidR="00394D95" w:rsidRPr="00F727B6" w:rsidRDefault="00394D95" w:rsidP="0018724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0432DC6" w14:textId="77777777" w:rsidR="000B3A7A" w:rsidRDefault="000B3A7A" w:rsidP="00E9638B">
      <w:pPr>
        <w:spacing w:after="0" w:line="240" w:lineRule="auto"/>
        <w:jc w:val="both"/>
        <w:rPr>
          <w:i/>
          <w:sz w:val="16"/>
          <w:szCs w:val="16"/>
        </w:rPr>
      </w:pPr>
    </w:p>
    <w:p w14:paraId="5A3C6325" w14:textId="0E027B5C" w:rsidR="00E9638B" w:rsidRPr="000B3A7A" w:rsidRDefault="00E9638B" w:rsidP="00E9638B">
      <w:pPr>
        <w:spacing w:after="0" w:line="240" w:lineRule="auto"/>
        <w:jc w:val="both"/>
        <w:rPr>
          <w:i/>
          <w:sz w:val="16"/>
          <w:szCs w:val="16"/>
        </w:rPr>
      </w:pPr>
      <w:r w:rsidRPr="000B3A7A">
        <w:rPr>
          <w:i/>
          <w:sz w:val="16"/>
          <w:szCs w:val="16"/>
        </w:rPr>
        <w:t>Jacuka, 67095511</w:t>
      </w:r>
    </w:p>
    <w:p w14:paraId="59B46B1D" w14:textId="77777777" w:rsidR="00E9638B" w:rsidRPr="0014171D" w:rsidRDefault="008A28CA" w:rsidP="00E9638B">
      <w:pPr>
        <w:spacing w:after="0" w:line="240" w:lineRule="auto"/>
        <w:jc w:val="both"/>
        <w:rPr>
          <w:i/>
          <w:sz w:val="16"/>
          <w:szCs w:val="16"/>
        </w:rPr>
      </w:pPr>
      <w:hyperlink r:id="rId11" w:history="1">
        <w:r w:rsidR="00E9638B" w:rsidRPr="0014171D">
          <w:rPr>
            <w:sz w:val="16"/>
            <w:szCs w:val="16"/>
          </w:rPr>
          <w:t>Tatjana.Jacuka@fm.gov.lv</w:t>
        </w:r>
      </w:hyperlink>
    </w:p>
    <w:p w14:paraId="6E01B04F" w14:textId="77777777" w:rsidR="00C23A3A" w:rsidRDefault="00C23A3A"/>
    <w:sectPr w:rsidR="00C23A3A" w:rsidSect="00C23A3A">
      <w:footerReference w:type="default" r:id="rId12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DF2D" w14:textId="77777777" w:rsidR="008A28CA" w:rsidRDefault="008A28CA" w:rsidP="00C23A3A">
      <w:pPr>
        <w:spacing w:after="0" w:line="240" w:lineRule="auto"/>
      </w:pPr>
      <w:r>
        <w:separator/>
      </w:r>
    </w:p>
  </w:endnote>
  <w:endnote w:type="continuationSeparator" w:id="0">
    <w:p w14:paraId="2EBB4AC1" w14:textId="77777777" w:rsidR="008A28CA" w:rsidRDefault="008A28CA" w:rsidP="00C2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1BE" w14:textId="40799B4F" w:rsidR="00C23A3A" w:rsidRPr="00C23A3A" w:rsidRDefault="00C23A3A">
    <w:pPr>
      <w:pStyle w:val="Footer"/>
      <w:rPr>
        <w:sz w:val="20"/>
        <w:szCs w:val="20"/>
      </w:rPr>
    </w:pPr>
    <w:r w:rsidRPr="00C23A3A">
      <w:rPr>
        <w:sz w:val="20"/>
        <w:szCs w:val="20"/>
      </w:rPr>
      <w:t>FMZinP4_</w:t>
    </w:r>
    <w:r w:rsidR="00540B76">
      <w:rPr>
        <w:sz w:val="20"/>
        <w:szCs w:val="20"/>
      </w:rPr>
      <w:t>2806</w:t>
    </w:r>
    <w:r w:rsidRPr="00C23A3A">
      <w:rPr>
        <w:sz w:val="20"/>
        <w:szCs w:val="20"/>
      </w:rPr>
      <w:t>2021_PVN TAXFREE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1DBC" w14:textId="77777777" w:rsidR="008A28CA" w:rsidRDefault="008A28CA" w:rsidP="00C23A3A">
      <w:pPr>
        <w:spacing w:after="0" w:line="240" w:lineRule="auto"/>
      </w:pPr>
      <w:r>
        <w:separator/>
      </w:r>
    </w:p>
  </w:footnote>
  <w:footnote w:type="continuationSeparator" w:id="0">
    <w:p w14:paraId="3C8880B0" w14:textId="77777777" w:rsidR="008A28CA" w:rsidRDefault="008A28CA" w:rsidP="00C2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CA7"/>
    <w:multiLevelType w:val="multilevel"/>
    <w:tmpl w:val="F130439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PamatApak1"/>
      <w:suff w:val="nothing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111"/>
      <w:suff w:val="nothing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BF"/>
    <w:rsid w:val="000B3A7A"/>
    <w:rsid w:val="0012577C"/>
    <w:rsid w:val="0014171D"/>
    <w:rsid w:val="00187244"/>
    <w:rsid w:val="001B7EE3"/>
    <w:rsid w:val="001D4B6A"/>
    <w:rsid w:val="00204D63"/>
    <w:rsid w:val="0023326C"/>
    <w:rsid w:val="00370004"/>
    <w:rsid w:val="00394D95"/>
    <w:rsid w:val="004A2AD7"/>
    <w:rsid w:val="00540B76"/>
    <w:rsid w:val="005424BF"/>
    <w:rsid w:val="0055545F"/>
    <w:rsid w:val="00571DA9"/>
    <w:rsid w:val="00671620"/>
    <w:rsid w:val="006C1CA5"/>
    <w:rsid w:val="008A28CA"/>
    <w:rsid w:val="00A71F2A"/>
    <w:rsid w:val="00AB1DE6"/>
    <w:rsid w:val="00B54802"/>
    <w:rsid w:val="00B81475"/>
    <w:rsid w:val="00B96410"/>
    <w:rsid w:val="00C23A3A"/>
    <w:rsid w:val="00E9638B"/>
    <w:rsid w:val="00F177D1"/>
    <w:rsid w:val="00F402CE"/>
    <w:rsid w:val="00F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A50"/>
  <w15:chartTrackingRefBased/>
  <w15:docId w15:val="{95A431EA-2F9F-446C-8CD3-45055F1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11"/>
    <w:basedOn w:val="PamatApak1"/>
    <w:link w:val="111Char"/>
    <w:qFormat/>
    <w:rsid w:val="00370004"/>
    <w:pPr>
      <w:numPr>
        <w:ilvl w:val="2"/>
        <w:numId w:val="5"/>
      </w:numPr>
    </w:pPr>
  </w:style>
  <w:style w:type="character" w:customStyle="1" w:styleId="111Char">
    <w:name w:val="111 Char"/>
    <w:basedOn w:val="PamatApak1Char"/>
    <w:link w:val="111"/>
    <w:rsid w:val="00370004"/>
    <w:rPr>
      <w:rFonts w:cs="Times New Roman"/>
      <w:sz w:val="28"/>
    </w:rPr>
  </w:style>
  <w:style w:type="paragraph" w:customStyle="1" w:styleId="PamatApak1">
    <w:name w:val="PamatApak1"/>
    <w:basedOn w:val="Normal"/>
    <w:link w:val="PamatApak1Char"/>
    <w:qFormat/>
    <w:rsid w:val="00370004"/>
    <w:pPr>
      <w:numPr>
        <w:ilvl w:val="1"/>
        <w:numId w:val="4"/>
      </w:numPr>
      <w:spacing w:after="120" w:line="240" w:lineRule="auto"/>
      <w:jc w:val="both"/>
    </w:pPr>
    <w:rPr>
      <w:rFonts w:cs="Times New Roman"/>
      <w:sz w:val="28"/>
    </w:rPr>
  </w:style>
  <w:style w:type="character" w:customStyle="1" w:styleId="PamatApak1Char">
    <w:name w:val="PamatApak1 Char"/>
    <w:basedOn w:val="DefaultParagraphFont"/>
    <w:link w:val="PamatApak1"/>
    <w:rsid w:val="00370004"/>
    <w:rPr>
      <w:rFonts w:cs="Times New Roman"/>
      <w:sz w:val="28"/>
    </w:rPr>
  </w:style>
  <w:style w:type="paragraph" w:styleId="NoSpacing">
    <w:name w:val="No Spacing"/>
    <w:uiPriority w:val="1"/>
    <w:qFormat/>
    <w:rsid w:val="00AB1DE6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3A"/>
  </w:style>
  <w:style w:type="paragraph" w:styleId="Footer">
    <w:name w:val="footer"/>
    <w:basedOn w:val="Normal"/>
    <w:link w:val="FooterChar"/>
    <w:uiPriority w:val="99"/>
    <w:unhideWhenUsed/>
    <w:rsid w:val="00C2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jana.Jacuka@f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Sintija Ozola (NND)</Vad_x012b_t_x0101_js>
    <NPK xmlns="b6da864e-06a3-40ee-a61e-0cd067b16413">3</NPK>
    <Kategorija xmlns="2e5bb04e-596e-45bd-9003-43ca78b1ba16">4. pielikums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1546-98E5-41C7-8CEE-F1143F8F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9FAB7-80F1-49BF-B2CF-D5E03E276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8B4F-FC4F-4BDE-B3E3-26A319C4A8D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4.xml><?xml version="1.0" encoding="utf-8"?>
<ds:datastoreItem xmlns:ds="http://schemas.openxmlformats.org/officeDocument/2006/customXml" ds:itemID="{F7C77CEA-6B62-4D89-B81D-021E692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Informatīvajam ziņojumam par pievienotās vērtības nodokļa atmaksas kārtības  modernizēšanu ceļotājam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Informatīvajam ziņojumam par pievienotās vērtības nodokļa atmaksas kārtības  modernizēšanu ceļotājam</dc:title>
  <dc:subject/>
  <dc:creator>Tatjana Jacuka (NND)</dc:creator>
  <cp:keywords/>
  <dc:description/>
  <cp:lastModifiedBy>Jekaterina Borovika</cp:lastModifiedBy>
  <cp:revision>2</cp:revision>
  <dcterms:created xsi:type="dcterms:W3CDTF">2021-07-06T11:29:00Z</dcterms:created>
  <dcterms:modified xsi:type="dcterms:W3CDTF">2021-07-06T11:29:00Z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