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9C89A" w14:textId="77777777" w:rsidR="00DF47F0" w:rsidRPr="00667533" w:rsidRDefault="00DF47F0" w:rsidP="00DF47F0">
      <w:pPr>
        <w:spacing w:line="240" w:lineRule="auto"/>
        <w:jc w:val="center"/>
        <w:rPr>
          <w:b/>
          <w:sz w:val="28"/>
          <w:szCs w:val="28"/>
        </w:rPr>
      </w:pPr>
      <w:r w:rsidRPr="00667533">
        <w:rPr>
          <w:b/>
          <w:sz w:val="28"/>
          <w:szCs w:val="28"/>
        </w:rPr>
        <w:t>Informatīvais ziņojums</w:t>
      </w:r>
    </w:p>
    <w:p w14:paraId="73C7E879" w14:textId="77777777" w:rsidR="00836577" w:rsidRPr="00667533" w:rsidRDefault="00DF47F0" w:rsidP="00DF47F0">
      <w:pPr>
        <w:spacing w:before="120" w:line="240" w:lineRule="auto"/>
        <w:jc w:val="center"/>
        <w:rPr>
          <w:b/>
          <w:sz w:val="28"/>
          <w:szCs w:val="28"/>
        </w:rPr>
      </w:pPr>
      <w:r w:rsidRPr="00667533">
        <w:rPr>
          <w:b/>
          <w:sz w:val="28"/>
          <w:szCs w:val="28"/>
        </w:rPr>
        <w:t xml:space="preserve">par Eiropas Savienības Tieslietu un </w:t>
      </w:r>
      <w:proofErr w:type="spellStart"/>
      <w:r w:rsidRPr="00667533">
        <w:rPr>
          <w:b/>
          <w:sz w:val="28"/>
          <w:szCs w:val="28"/>
        </w:rPr>
        <w:t>iekšlietu</w:t>
      </w:r>
      <w:proofErr w:type="spellEnd"/>
      <w:r w:rsidRPr="00667533">
        <w:rPr>
          <w:b/>
          <w:sz w:val="28"/>
          <w:szCs w:val="28"/>
        </w:rPr>
        <w:t xml:space="preserve"> ministru padomes </w:t>
      </w:r>
    </w:p>
    <w:p w14:paraId="2681AFC9" w14:textId="5790903A" w:rsidR="00DF47F0" w:rsidRPr="00667533" w:rsidRDefault="00561387" w:rsidP="00836577">
      <w:pPr>
        <w:spacing w:after="240" w:line="240" w:lineRule="auto"/>
        <w:jc w:val="center"/>
        <w:rPr>
          <w:b/>
          <w:sz w:val="28"/>
          <w:szCs w:val="28"/>
        </w:rPr>
      </w:pPr>
      <w:r>
        <w:rPr>
          <w:b/>
          <w:sz w:val="28"/>
          <w:szCs w:val="28"/>
        </w:rPr>
        <w:t>2021</w:t>
      </w:r>
      <w:r w:rsidR="00DF47F0" w:rsidRPr="00667533">
        <w:rPr>
          <w:b/>
          <w:sz w:val="28"/>
          <w:szCs w:val="28"/>
        </w:rPr>
        <w:t xml:space="preserve">.gada </w:t>
      </w:r>
      <w:r>
        <w:rPr>
          <w:b/>
          <w:sz w:val="28"/>
          <w:szCs w:val="28"/>
        </w:rPr>
        <w:t>14.-16</w:t>
      </w:r>
      <w:r w:rsidR="00866B8E">
        <w:rPr>
          <w:b/>
          <w:sz w:val="28"/>
          <w:szCs w:val="28"/>
        </w:rPr>
        <w:t>.jūlija</w:t>
      </w:r>
      <w:r w:rsidR="006243E9" w:rsidRPr="00667533">
        <w:rPr>
          <w:b/>
          <w:sz w:val="28"/>
          <w:szCs w:val="28"/>
        </w:rPr>
        <w:t xml:space="preserve"> neformālajā</w:t>
      </w:r>
      <w:r w:rsidR="00DF47F0" w:rsidRPr="00667533">
        <w:rPr>
          <w:b/>
          <w:sz w:val="28"/>
          <w:szCs w:val="28"/>
        </w:rPr>
        <w:t xml:space="preserve"> sanāksmē iekļautajiem</w:t>
      </w:r>
      <w:r w:rsidR="000E4DC0" w:rsidRPr="00667533">
        <w:rPr>
          <w:b/>
          <w:sz w:val="28"/>
          <w:szCs w:val="28"/>
        </w:rPr>
        <w:t xml:space="preserve"> </w:t>
      </w:r>
      <w:proofErr w:type="spellStart"/>
      <w:r w:rsidR="000E4DC0" w:rsidRPr="00667533">
        <w:rPr>
          <w:b/>
          <w:sz w:val="28"/>
          <w:szCs w:val="28"/>
        </w:rPr>
        <w:t>iekšlietu</w:t>
      </w:r>
      <w:proofErr w:type="spellEnd"/>
      <w:r w:rsidR="000E4DC0" w:rsidRPr="00667533">
        <w:rPr>
          <w:b/>
          <w:sz w:val="28"/>
          <w:szCs w:val="28"/>
        </w:rPr>
        <w:t xml:space="preserve"> jomas</w:t>
      </w:r>
      <w:r w:rsidR="00DF47F0" w:rsidRPr="00667533">
        <w:rPr>
          <w:b/>
          <w:sz w:val="28"/>
          <w:szCs w:val="28"/>
        </w:rPr>
        <w:t xml:space="preserve"> jautājumiem</w:t>
      </w:r>
    </w:p>
    <w:p w14:paraId="250763D7" w14:textId="06C487BE" w:rsidR="00DF47F0" w:rsidRPr="00561387" w:rsidRDefault="00561387" w:rsidP="009A12F2">
      <w:pPr>
        <w:spacing w:line="240" w:lineRule="auto"/>
        <w:jc w:val="both"/>
        <w:rPr>
          <w:sz w:val="28"/>
          <w:szCs w:val="28"/>
        </w:rPr>
      </w:pPr>
      <w:r w:rsidRPr="00561387">
        <w:rPr>
          <w:sz w:val="28"/>
          <w:szCs w:val="28"/>
        </w:rPr>
        <w:tab/>
        <w:t>2021</w:t>
      </w:r>
      <w:r w:rsidR="00DF47F0" w:rsidRPr="00561387">
        <w:rPr>
          <w:sz w:val="28"/>
          <w:szCs w:val="28"/>
        </w:rPr>
        <w:t xml:space="preserve">.gada </w:t>
      </w:r>
      <w:r w:rsidRPr="00561387">
        <w:rPr>
          <w:sz w:val="28"/>
          <w:szCs w:val="28"/>
        </w:rPr>
        <w:t>14.-16</w:t>
      </w:r>
      <w:r w:rsidR="00866B8E" w:rsidRPr="00561387">
        <w:rPr>
          <w:sz w:val="28"/>
          <w:szCs w:val="28"/>
        </w:rPr>
        <w:t>.jūlijā</w:t>
      </w:r>
      <w:r w:rsidR="006243E9" w:rsidRPr="00561387">
        <w:rPr>
          <w:sz w:val="28"/>
          <w:szCs w:val="28"/>
        </w:rPr>
        <w:t xml:space="preserve"> </w:t>
      </w:r>
      <w:proofErr w:type="spellStart"/>
      <w:r w:rsidRPr="00561387">
        <w:rPr>
          <w:sz w:val="28"/>
          <w:szCs w:val="28"/>
        </w:rPr>
        <w:t>Brdo</w:t>
      </w:r>
      <w:proofErr w:type="spellEnd"/>
      <w:r w:rsidRPr="00561387">
        <w:rPr>
          <w:sz w:val="28"/>
          <w:szCs w:val="28"/>
        </w:rPr>
        <w:t>, Slovēnijā</w:t>
      </w:r>
      <w:r w:rsidR="006243E9" w:rsidRPr="00561387">
        <w:rPr>
          <w:sz w:val="28"/>
          <w:szCs w:val="28"/>
        </w:rPr>
        <w:t>,</w:t>
      </w:r>
      <w:r w:rsidR="00DF47F0" w:rsidRPr="00561387">
        <w:rPr>
          <w:sz w:val="28"/>
          <w:szCs w:val="28"/>
        </w:rPr>
        <w:t xml:space="preserve"> notiks Eiropas Savienības (turpmāk – ES) Tieslietu un </w:t>
      </w:r>
      <w:proofErr w:type="spellStart"/>
      <w:r w:rsidR="00DF47F0" w:rsidRPr="00561387">
        <w:rPr>
          <w:sz w:val="28"/>
          <w:szCs w:val="28"/>
        </w:rPr>
        <w:t>iekšlietu</w:t>
      </w:r>
      <w:proofErr w:type="spellEnd"/>
      <w:r w:rsidR="00DF47F0" w:rsidRPr="00561387">
        <w:rPr>
          <w:sz w:val="28"/>
          <w:szCs w:val="28"/>
        </w:rPr>
        <w:t xml:space="preserve"> ministru padomes (turpmāk – Padomes) </w:t>
      </w:r>
      <w:r w:rsidR="006243E9" w:rsidRPr="00561387">
        <w:rPr>
          <w:sz w:val="28"/>
          <w:szCs w:val="28"/>
        </w:rPr>
        <w:t xml:space="preserve">neformālā </w:t>
      </w:r>
      <w:r w:rsidR="00DF47F0" w:rsidRPr="00561387">
        <w:rPr>
          <w:sz w:val="28"/>
          <w:szCs w:val="28"/>
        </w:rPr>
        <w:t>sanāksme. Sanāksmes darba kārtībā</w:t>
      </w:r>
      <w:r w:rsidR="00866B8E" w:rsidRPr="00561387">
        <w:rPr>
          <w:sz w:val="28"/>
          <w:szCs w:val="28"/>
        </w:rPr>
        <w:t xml:space="preserve"> </w:t>
      </w:r>
      <w:r w:rsidR="00DF47F0" w:rsidRPr="00561387">
        <w:rPr>
          <w:sz w:val="28"/>
          <w:szCs w:val="28"/>
        </w:rPr>
        <w:t xml:space="preserve">ir iekļauti </w:t>
      </w:r>
      <w:r w:rsidR="000E4DC0" w:rsidRPr="00561387">
        <w:rPr>
          <w:sz w:val="28"/>
          <w:szCs w:val="28"/>
        </w:rPr>
        <w:t>šād</w:t>
      </w:r>
      <w:r w:rsidR="003B6A6B" w:rsidRPr="00561387">
        <w:rPr>
          <w:sz w:val="28"/>
          <w:szCs w:val="28"/>
        </w:rPr>
        <w:t>i</w:t>
      </w:r>
      <w:r w:rsidR="000E4DC0" w:rsidRPr="00561387">
        <w:rPr>
          <w:sz w:val="28"/>
          <w:szCs w:val="28"/>
        </w:rPr>
        <w:t xml:space="preserve"> </w:t>
      </w:r>
      <w:proofErr w:type="spellStart"/>
      <w:r w:rsidR="000E4DC0" w:rsidRPr="00561387">
        <w:rPr>
          <w:sz w:val="28"/>
          <w:szCs w:val="28"/>
        </w:rPr>
        <w:t>iekšlietu</w:t>
      </w:r>
      <w:proofErr w:type="spellEnd"/>
      <w:r w:rsidR="000E4DC0" w:rsidRPr="00561387">
        <w:rPr>
          <w:sz w:val="28"/>
          <w:szCs w:val="28"/>
        </w:rPr>
        <w:t xml:space="preserve"> jomas jautājumi</w:t>
      </w:r>
      <w:r w:rsidR="00DF47F0" w:rsidRPr="00561387">
        <w:rPr>
          <w:sz w:val="28"/>
          <w:szCs w:val="28"/>
        </w:rPr>
        <w:t>:</w:t>
      </w:r>
    </w:p>
    <w:p w14:paraId="45DECB0A" w14:textId="77777777" w:rsidR="00561387" w:rsidRPr="00023B1F" w:rsidRDefault="00561387" w:rsidP="009A12F2">
      <w:pPr>
        <w:spacing w:line="240" w:lineRule="auto"/>
        <w:jc w:val="both"/>
        <w:rPr>
          <w:sz w:val="12"/>
          <w:szCs w:val="12"/>
        </w:rPr>
      </w:pPr>
    </w:p>
    <w:p w14:paraId="5C52BBF4" w14:textId="108962D8" w:rsidR="00561387" w:rsidRPr="00561387" w:rsidRDefault="00561387" w:rsidP="00561387">
      <w:pPr>
        <w:pStyle w:val="ListParagraph"/>
        <w:numPr>
          <w:ilvl w:val="0"/>
          <w:numId w:val="16"/>
        </w:numPr>
        <w:spacing w:after="120" w:line="240" w:lineRule="auto"/>
        <w:jc w:val="both"/>
        <w:rPr>
          <w:b/>
          <w:sz w:val="28"/>
          <w:szCs w:val="28"/>
        </w:rPr>
      </w:pPr>
      <w:r w:rsidRPr="00561387">
        <w:rPr>
          <w:b/>
          <w:sz w:val="28"/>
          <w:szCs w:val="28"/>
        </w:rPr>
        <w:t>Cīņa pret noziedzību digitālajā laikmetā – ES digitālā darba kārtība</w:t>
      </w:r>
    </w:p>
    <w:p w14:paraId="3366180F" w14:textId="27F49B2E" w:rsidR="00561387" w:rsidRPr="00765F30" w:rsidRDefault="00561387" w:rsidP="00561387">
      <w:pPr>
        <w:spacing w:after="120" w:line="240" w:lineRule="auto"/>
        <w:jc w:val="both"/>
        <w:rPr>
          <w:sz w:val="28"/>
          <w:szCs w:val="28"/>
        </w:rPr>
      </w:pPr>
      <w:r w:rsidRPr="00561387">
        <w:rPr>
          <w:sz w:val="28"/>
          <w:szCs w:val="28"/>
        </w:rPr>
        <w:t>Š.g. 21.aprīlī Eiropas Komisija</w:t>
      </w:r>
      <w:r w:rsidR="00765F30">
        <w:rPr>
          <w:sz w:val="28"/>
          <w:szCs w:val="28"/>
        </w:rPr>
        <w:t xml:space="preserve"> (turpmāk – Komisija) </w:t>
      </w:r>
      <w:r w:rsidRPr="00561387">
        <w:rPr>
          <w:sz w:val="28"/>
          <w:szCs w:val="28"/>
        </w:rPr>
        <w:t xml:space="preserve"> </w:t>
      </w:r>
      <w:r w:rsidRPr="00765F30">
        <w:rPr>
          <w:sz w:val="28"/>
          <w:szCs w:val="28"/>
        </w:rPr>
        <w:t>nāca klajā ar Regulas priekšlikumu par mākslīgo intelektu</w:t>
      </w:r>
      <w:r w:rsidR="00765F30" w:rsidRPr="00765F30">
        <w:rPr>
          <w:sz w:val="28"/>
          <w:szCs w:val="28"/>
        </w:rPr>
        <w:t>, par kuru</w:t>
      </w:r>
      <w:r w:rsidRPr="00765F30">
        <w:rPr>
          <w:sz w:val="28"/>
          <w:szCs w:val="28"/>
        </w:rPr>
        <w:t xml:space="preserve"> nacionāli</w:t>
      </w:r>
      <w:r w:rsidR="00765F30" w:rsidRPr="00765F30">
        <w:rPr>
          <w:sz w:val="28"/>
          <w:szCs w:val="28"/>
        </w:rPr>
        <w:t xml:space="preserve"> atbildīga</w:t>
      </w:r>
      <w:r w:rsidRPr="00765F30">
        <w:rPr>
          <w:sz w:val="28"/>
          <w:szCs w:val="28"/>
        </w:rPr>
        <w:t xml:space="preserve"> ir </w:t>
      </w:r>
      <w:r w:rsidR="00765F30" w:rsidRPr="00765F30">
        <w:rPr>
          <w:sz w:val="28"/>
          <w:szCs w:val="28"/>
          <w:shd w:val="clear" w:color="auto" w:fill="FFFFFF"/>
        </w:rPr>
        <w:t>Vides aizsardzības un reģionālās attīstības ministrija.</w:t>
      </w:r>
    </w:p>
    <w:p w14:paraId="6EB5C8D2" w14:textId="77777777" w:rsidR="00561387" w:rsidRPr="00765F30" w:rsidRDefault="00561387" w:rsidP="00561387">
      <w:pPr>
        <w:spacing w:after="120" w:line="240" w:lineRule="auto"/>
        <w:jc w:val="both"/>
        <w:rPr>
          <w:b/>
          <w:sz w:val="28"/>
          <w:szCs w:val="28"/>
        </w:rPr>
      </w:pPr>
      <w:r w:rsidRPr="00765F30">
        <w:rPr>
          <w:sz w:val="28"/>
          <w:szCs w:val="28"/>
        </w:rPr>
        <w:t xml:space="preserve">Kaut arī šī priekšlikuma galvenais mērķis ir izveidot vienotu tirgu mākslīgā intelekta jomā ES, tas ietver arī normas, kas skar </w:t>
      </w:r>
      <w:proofErr w:type="spellStart"/>
      <w:r w:rsidRPr="00765F30">
        <w:rPr>
          <w:sz w:val="28"/>
          <w:szCs w:val="28"/>
        </w:rPr>
        <w:t>iekšlietu</w:t>
      </w:r>
      <w:proofErr w:type="spellEnd"/>
      <w:r w:rsidRPr="00765F30">
        <w:rPr>
          <w:sz w:val="28"/>
          <w:szCs w:val="28"/>
        </w:rPr>
        <w:t xml:space="preserve"> jomu (jo īpaši tiesībaizsardzības jomu), piemēram, priekšlikums paredz stingrus ierobežojumus (faktisku aizliegumu ar atsevišķiem izņēmumiem) </w:t>
      </w:r>
      <w:r w:rsidRPr="00765F30">
        <w:rPr>
          <w:sz w:val="28"/>
          <w:szCs w:val="28"/>
          <w:lang w:eastAsia="lv-LV"/>
        </w:rPr>
        <w:t xml:space="preserve">publiskās vietās izmantot reāllaika attālinātās </w:t>
      </w:r>
      <w:proofErr w:type="spellStart"/>
      <w:r w:rsidRPr="00765F30">
        <w:rPr>
          <w:sz w:val="28"/>
          <w:szCs w:val="28"/>
          <w:lang w:eastAsia="lv-LV"/>
        </w:rPr>
        <w:t>biometriskās</w:t>
      </w:r>
      <w:proofErr w:type="spellEnd"/>
      <w:r w:rsidRPr="00765F30">
        <w:rPr>
          <w:sz w:val="28"/>
          <w:szCs w:val="28"/>
          <w:lang w:eastAsia="lv-LV"/>
        </w:rPr>
        <w:t xml:space="preserve"> identifikācijas sistēmas.</w:t>
      </w:r>
    </w:p>
    <w:p w14:paraId="4EE6042B" w14:textId="5AE03E0A" w:rsidR="00561387" w:rsidRPr="00561387" w:rsidRDefault="00561387" w:rsidP="00561387">
      <w:pPr>
        <w:spacing w:after="120" w:line="240" w:lineRule="auto"/>
        <w:jc w:val="both"/>
        <w:rPr>
          <w:sz w:val="28"/>
          <w:szCs w:val="28"/>
          <w:lang w:eastAsia="lv-LV"/>
        </w:rPr>
      </w:pPr>
      <w:r w:rsidRPr="00765F30">
        <w:rPr>
          <w:sz w:val="28"/>
          <w:szCs w:val="28"/>
          <w:lang w:eastAsia="lv-LV"/>
        </w:rPr>
        <w:t xml:space="preserve">Tāpat priekšlikums paredz, ka vairāki no </w:t>
      </w:r>
      <w:proofErr w:type="spellStart"/>
      <w:r w:rsidRPr="00765F30">
        <w:rPr>
          <w:sz w:val="28"/>
          <w:szCs w:val="28"/>
          <w:lang w:eastAsia="lv-LV"/>
        </w:rPr>
        <w:t>iekšlietu</w:t>
      </w:r>
      <w:proofErr w:type="spellEnd"/>
      <w:r w:rsidRPr="00765F30">
        <w:rPr>
          <w:sz w:val="28"/>
          <w:szCs w:val="28"/>
          <w:lang w:eastAsia="lv-LV"/>
        </w:rPr>
        <w:t xml:space="preserve"> jomas instrumentiem (tostarp visi, kas ietver biometrijas datu izmantošanu) klasificējas kā “augsta riska aplikācijas” un attiecīgi tām pirms to palaišanas ekspluatācijā ES tirgū būs nepieciešams iziet kompleksu atbilstības no</w:t>
      </w:r>
      <w:r w:rsidRPr="00561387">
        <w:rPr>
          <w:sz w:val="28"/>
          <w:szCs w:val="28"/>
          <w:lang w:eastAsia="lv-LV"/>
        </w:rPr>
        <w:t xml:space="preserve">vērtējumu. </w:t>
      </w:r>
    </w:p>
    <w:p w14:paraId="693AC467" w14:textId="06620E6C" w:rsidR="00561387" w:rsidRDefault="00561387" w:rsidP="00561387">
      <w:pPr>
        <w:pStyle w:val="mt-translation"/>
        <w:spacing w:before="0" w:beforeAutospacing="0" w:after="120" w:afterAutospacing="0"/>
        <w:jc w:val="both"/>
        <w:rPr>
          <w:sz w:val="28"/>
          <w:szCs w:val="28"/>
        </w:rPr>
      </w:pPr>
      <w:r w:rsidRPr="00561387">
        <w:rPr>
          <w:sz w:val="28"/>
          <w:szCs w:val="28"/>
        </w:rPr>
        <w:t xml:space="preserve">ES </w:t>
      </w:r>
      <w:r w:rsidRPr="00561387">
        <w:rPr>
          <w:sz w:val="28"/>
          <w:szCs w:val="28"/>
          <w:shd w:val="clear" w:color="auto" w:fill="FFFFFF"/>
        </w:rPr>
        <w:t xml:space="preserve">tieslietu un </w:t>
      </w:r>
      <w:proofErr w:type="spellStart"/>
      <w:r w:rsidRPr="00561387">
        <w:rPr>
          <w:sz w:val="28"/>
          <w:szCs w:val="28"/>
          <w:shd w:val="clear" w:color="auto" w:fill="FFFFFF"/>
        </w:rPr>
        <w:t>iekšlietu</w:t>
      </w:r>
      <w:proofErr w:type="spellEnd"/>
      <w:r w:rsidRPr="00561387">
        <w:rPr>
          <w:sz w:val="28"/>
          <w:szCs w:val="28"/>
          <w:shd w:val="clear" w:color="auto" w:fill="FFFFFF"/>
        </w:rPr>
        <w:t xml:space="preserve"> ministru neformālajā sanāksmē</w:t>
      </w:r>
      <w:r w:rsidRPr="00561387">
        <w:rPr>
          <w:sz w:val="28"/>
          <w:szCs w:val="28"/>
        </w:rPr>
        <w:t xml:space="preserve"> plānotas diskusijas par cīņas pret noziedzību digitālajā laikmetā dažādiem izaicinājumiem, kā arī jaunāko tehnoloģiju iespēju izmantošanu. </w:t>
      </w:r>
      <w:r w:rsidR="00FC1E14">
        <w:rPr>
          <w:sz w:val="28"/>
          <w:szCs w:val="28"/>
        </w:rPr>
        <w:t xml:space="preserve">Informatīvā ziņojuma sagatavošanas laikā </w:t>
      </w:r>
      <w:r w:rsidR="00FC1E14">
        <w:rPr>
          <w:sz w:val="28"/>
          <w:szCs w:val="28"/>
          <w:u w:val="single"/>
        </w:rPr>
        <w:t>d</w:t>
      </w:r>
      <w:r w:rsidRPr="00765F30">
        <w:rPr>
          <w:sz w:val="28"/>
          <w:szCs w:val="28"/>
          <w:u w:val="single"/>
        </w:rPr>
        <w:t>iskusiju dokuments vēl nav ticis izplatīts</w:t>
      </w:r>
      <w:r w:rsidRPr="00561387">
        <w:rPr>
          <w:sz w:val="28"/>
          <w:szCs w:val="28"/>
        </w:rPr>
        <w:t>.</w:t>
      </w:r>
    </w:p>
    <w:p w14:paraId="4F42F6CD" w14:textId="77777777" w:rsidR="00765F30" w:rsidRPr="00023B1F" w:rsidRDefault="00765F30" w:rsidP="00561387">
      <w:pPr>
        <w:pStyle w:val="mt-translation"/>
        <w:spacing w:before="0" w:beforeAutospacing="0" w:after="120" w:afterAutospacing="0"/>
        <w:jc w:val="both"/>
        <w:rPr>
          <w:sz w:val="6"/>
          <w:szCs w:val="6"/>
        </w:rPr>
      </w:pPr>
    </w:p>
    <w:p w14:paraId="67872F5B" w14:textId="77777777" w:rsidR="00561387" w:rsidRPr="00561387" w:rsidRDefault="00561387" w:rsidP="00561387">
      <w:pPr>
        <w:widowControl/>
        <w:shd w:val="clear" w:color="auto" w:fill="FFFFFF" w:themeFill="background1"/>
        <w:spacing w:after="120" w:line="240" w:lineRule="auto"/>
        <w:jc w:val="both"/>
        <w:rPr>
          <w:i/>
          <w:sz w:val="28"/>
          <w:szCs w:val="28"/>
        </w:rPr>
      </w:pPr>
      <w:r w:rsidRPr="00561387">
        <w:rPr>
          <w:b/>
          <w:i/>
          <w:sz w:val="28"/>
          <w:szCs w:val="28"/>
          <w:u w:val="single"/>
        </w:rPr>
        <w:t>Latvijas nostāja:</w:t>
      </w:r>
    </w:p>
    <w:p w14:paraId="4830B6EF" w14:textId="7912F67F" w:rsidR="00561387" w:rsidRPr="00765F30" w:rsidRDefault="00561387" w:rsidP="00561387">
      <w:pPr>
        <w:pStyle w:val="mt-translation"/>
        <w:spacing w:before="0" w:beforeAutospacing="0" w:after="120" w:afterAutospacing="0"/>
        <w:jc w:val="both"/>
        <w:rPr>
          <w:i/>
          <w:sz w:val="28"/>
          <w:szCs w:val="28"/>
        </w:rPr>
      </w:pPr>
      <w:r w:rsidRPr="00765F30">
        <w:rPr>
          <w:i/>
          <w:sz w:val="28"/>
          <w:szCs w:val="28"/>
        </w:rPr>
        <w:t xml:space="preserve">Kopumā atzinīgi vērtējam, ka tiek izstrādāts vienots ietvars/regulējums, un uzskatām Komisijas piedāvājumu par labu pamatu tālākām diskusijām. </w:t>
      </w:r>
    </w:p>
    <w:p w14:paraId="0E8D9B02" w14:textId="0FE6D8DA" w:rsidR="00561387" w:rsidRDefault="00561387" w:rsidP="00561387">
      <w:pPr>
        <w:pStyle w:val="mt-translation"/>
        <w:spacing w:before="0" w:beforeAutospacing="0" w:after="120" w:afterAutospacing="0"/>
        <w:jc w:val="both"/>
        <w:rPr>
          <w:i/>
          <w:sz w:val="28"/>
          <w:szCs w:val="28"/>
        </w:rPr>
      </w:pPr>
      <w:r w:rsidRPr="00765F30">
        <w:rPr>
          <w:i/>
          <w:sz w:val="28"/>
          <w:szCs w:val="28"/>
        </w:rPr>
        <w:t xml:space="preserve">Ir skaidrs, ka mākslīgais intelekts, ievērojot vispārējo </w:t>
      </w:r>
      <w:proofErr w:type="spellStart"/>
      <w:r w:rsidRPr="00765F30">
        <w:rPr>
          <w:i/>
          <w:sz w:val="28"/>
          <w:szCs w:val="28"/>
        </w:rPr>
        <w:t>digitalizāciju</w:t>
      </w:r>
      <w:proofErr w:type="spellEnd"/>
      <w:r w:rsidRPr="00765F30">
        <w:rPr>
          <w:i/>
          <w:sz w:val="28"/>
          <w:szCs w:val="28"/>
        </w:rPr>
        <w:t xml:space="preserve">, nākotnē ieņems arvien nozīmīgāku lomu arī tiesībaizsardzības iestāžu darbā. Tādēļ ir būtiski, lai jaunais regulējums spētu nodrošināt atbilstošu balansu starp visu pušu interesēm (tiesībaizsardzība; </w:t>
      </w:r>
      <w:proofErr w:type="spellStart"/>
      <w:r w:rsidRPr="00765F30">
        <w:rPr>
          <w:i/>
          <w:sz w:val="28"/>
          <w:szCs w:val="28"/>
        </w:rPr>
        <w:t>pamattiesību</w:t>
      </w:r>
      <w:proofErr w:type="spellEnd"/>
      <w:r w:rsidRPr="00765F30">
        <w:rPr>
          <w:i/>
          <w:sz w:val="28"/>
          <w:szCs w:val="28"/>
        </w:rPr>
        <w:t xml:space="preserve"> ievērošana), vienlaikus nesamērīgi neapgrūtinot tiesībaizsardzības iestāžu efektīvu pienākumu izpildi.</w:t>
      </w:r>
    </w:p>
    <w:p w14:paraId="196B5952" w14:textId="77777777" w:rsidR="00023B1F" w:rsidRPr="00765F30" w:rsidRDefault="00023B1F" w:rsidP="00561387">
      <w:pPr>
        <w:pStyle w:val="mt-translation"/>
        <w:spacing w:before="0" w:beforeAutospacing="0" w:after="120" w:afterAutospacing="0"/>
        <w:jc w:val="both"/>
        <w:rPr>
          <w:sz w:val="28"/>
          <w:szCs w:val="28"/>
        </w:rPr>
      </w:pPr>
    </w:p>
    <w:p w14:paraId="06284AE8" w14:textId="16976642" w:rsidR="00561387" w:rsidRPr="00561387" w:rsidRDefault="00561387" w:rsidP="00561387">
      <w:pPr>
        <w:pStyle w:val="mt-translation"/>
        <w:numPr>
          <w:ilvl w:val="0"/>
          <w:numId w:val="16"/>
        </w:numPr>
        <w:spacing w:before="0" w:beforeAutospacing="0" w:after="120" w:afterAutospacing="0"/>
        <w:jc w:val="both"/>
        <w:rPr>
          <w:b/>
          <w:sz w:val="28"/>
          <w:szCs w:val="28"/>
        </w:rPr>
      </w:pPr>
      <w:r w:rsidRPr="00561387">
        <w:rPr>
          <w:b/>
          <w:sz w:val="28"/>
          <w:szCs w:val="28"/>
        </w:rPr>
        <w:lastRenderedPageBreak/>
        <w:t xml:space="preserve">Š.g. 9.-10.jūnija </w:t>
      </w:r>
      <w:proofErr w:type="spellStart"/>
      <w:r w:rsidRPr="00561387">
        <w:rPr>
          <w:b/>
          <w:sz w:val="28"/>
          <w:szCs w:val="28"/>
        </w:rPr>
        <w:t>Brdo</w:t>
      </w:r>
      <w:proofErr w:type="spellEnd"/>
      <w:r w:rsidRPr="00561387">
        <w:rPr>
          <w:b/>
          <w:sz w:val="28"/>
          <w:szCs w:val="28"/>
        </w:rPr>
        <w:t xml:space="preserve"> Procesa ministru sanāksmes diskusiju iznākums</w:t>
      </w:r>
    </w:p>
    <w:p w14:paraId="52CE4C7E" w14:textId="77777777" w:rsidR="00561387" w:rsidRPr="00561387" w:rsidRDefault="00561387" w:rsidP="00561387">
      <w:pPr>
        <w:spacing w:after="120" w:line="240" w:lineRule="auto"/>
        <w:jc w:val="both"/>
        <w:rPr>
          <w:sz w:val="28"/>
          <w:szCs w:val="28"/>
        </w:rPr>
      </w:pPr>
      <w:proofErr w:type="spellStart"/>
      <w:r w:rsidRPr="00561387">
        <w:rPr>
          <w:sz w:val="28"/>
          <w:szCs w:val="28"/>
        </w:rPr>
        <w:t>Brdo</w:t>
      </w:r>
      <w:proofErr w:type="spellEnd"/>
      <w:r w:rsidRPr="00561387">
        <w:rPr>
          <w:sz w:val="28"/>
          <w:szCs w:val="28"/>
        </w:rPr>
        <w:t xml:space="preserve"> Procesu 2013.gadā uzsāka Slovēnija ar nolūku stiprināt sadarbību un reģionālu dialogu ar </w:t>
      </w:r>
      <w:proofErr w:type="spellStart"/>
      <w:r w:rsidRPr="00561387">
        <w:rPr>
          <w:sz w:val="28"/>
          <w:szCs w:val="28"/>
        </w:rPr>
        <w:t>Rietumbalkānu</w:t>
      </w:r>
      <w:proofErr w:type="spellEnd"/>
      <w:r w:rsidRPr="00561387">
        <w:rPr>
          <w:sz w:val="28"/>
          <w:szCs w:val="28"/>
        </w:rPr>
        <w:t xml:space="preserve"> valstīm. Procesa galvenie dalībnieki ir divas ES dalībvalstis (Slovēnija un Horvātija) un </w:t>
      </w:r>
      <w:proofErr w:type="spellStart"/>
      <w:r w:rsidRPr="00561387">
        <w:rPr>
          <w:sz w:val="28"/>
          <w:szCs w:val="28"/>
        </w:rPr>
        <w:t>Rietumbalkānu</w:t>
      </w:r>
      <w:proofErr w:type="spellEnd"/>
      <w:r w:rsidRPr="00561387">
        <w:rPr>
          <w:sz w:val="28"/>
          <w:szCs w:val="28"/>
        </w:rPr>
        <w:t xml:space="preserve"> valstis (Albānija, Bosnija un Hercegovina, Melnkalne, Kosova, </w:t>
      </w:r>
      <w:proofErr w:type="spellStart"/>
      <w:r w:rsidRPr="00561387">
        <w:rPr>
          <w:sz w:val="28"/>
          <w:szCs w:val="28"/>
        </w:rPr>
        <w:t>Ziemeļmaķedonija</w:t>
      </w:r>
      <w:proofErr w:type="spellEnd"/>
      <w:r w:rsidRPr="00561387">
        <w:rPr>
          <w:sz w:val="28"/>
          <w:szCs w:val="28"/>
        </w:rPr>
        <w:t>, Serbija).</w:t>
      </w:r>
    </w:p>
    <w:p w14:paraId="4F59700A" w14:textId="7AD00119" w:rsidR="00561387" w:rsidRDefault="00561387" w:rsidP="00561387">
      <w:pPr>
        <w:spacing w:after="120" w:line="240" w:lineRule="auto"/>
        <w:jc w:val="both"/>
        <w:rPr>
          <w:sz w:val="28"/>
          <w:szCs w:val="28"/>
        </w:rPr>
      </w:pPr>
      <w:r w:rsidRPr="00561387">
        <w:rPr>
          <w:sz w:val="28"/>
          <w:szCs w:val="28"/>
        </w:rPr>
        <w:t xml:space="preserve">Neformālajā sanāksmē Slovēnija informēs par </w:t>
      </w:r>
      <w:proofErr w:type="spellStart"/>
      <w:r w:rsidRPr="00561387">
        <w:rPr>
          <w:sz w:val="28"/>
          <w:szCs w:val="28"/>
        </w:rPr>
        <w:t>Brdo</w:t>
      </w:r>
      <w:proofErr w:type="spellEnd"/>
      <w:r w:rsidRPr="00561387">
        <w:rPr>
          <w:sz w:val="28"/>
          <w:szCs w:val="28"/>
        </w:rPr>
        <w:t xml:space="preserve"> Procesa kārtējās ministru sanāksmes diskusijām un secinājumiem, kā arī uzklausīs dalībvalstu ierosinājumus turpmākai sadarbībai ar </w:t>
      </w:r>
      <w:proofErr w:type="spellStart"/>
      <w:r w:rsidRPr="00561387">
        <w:rPr>
          <w:sz w:val="28"/>
          <w:szCs w:val="28"/>
        </w:rPr>
        <w:t>Rietumbalkānu</w:t>
      </w:r>
      <w:proofErr w:type="spellEnd"/>
      <w:r w:rsidRPr="00561387">
        <w:rPr>
          <w:sz w:val="28"/>
          <w:szCs w:val="28"/>
        </w:rPr>
        <w:t xml:space="preserve"> reģionu. </w:t>
      </w:r>
      <w:r w:rsidR="00FC1E14">
        <w:rPr>
          <w:sz w:val="28"/>
          <w:szCs w:val="28"/>
        </w:rPr>
        <w:t xml:space="preserve">Informatīvā ziņojuma sagatavošanas laikā </w:t>
      </w:r>
      <w:r w:rsidR="00FC1E14">
        <w:rPr>
          <w:sz w:val="28"/>
          <w:szCs w:val="28"/>
          <w:u w:val="single"/>
        </w:rPr>
        <w:t>d</w:t>
      </w:r>
      <w:r w:rsidRPr="00765F30">
        <w:rPr>
          <w:sz w:val="28"/>
          <w:szCs w:val="28"/>
          <w:u w:val="single"/>
        </w:rPr>
        <w:t>iskusiju dokuments vēl nav ticis izplatīts</w:t>
      </w:r>
      <w:r w:rsidRPr="00561387">
        <w:rPr>
          <w:sz w:val="28"/>
          <w:szCs w:val="28"/>
        </w:rPr>
        <w:t>.</w:t>
      </w:r>
    </w:p>
    <w:p w14:paraId="5702FD6C" w14:textId="77777777" w:rsidR="00765F30" w:rsidRPr="00023B1F" w:rsidRDefault="00765F30" w:rsidP="00561387">
      <w:pPr>
        <w:spacing w:after="120" w:line="240" w:lineRule="auto"/>
        <w:jc w:val="both"/>
        <w:rPr>
          <w:sz w:val="6"/>
          <w:szCs w:val="6"/>
        </w:rPr>
      </w:pPr>
    </w:p>
    <w:p w14:paraId="18EDB96F" w14:textId="77777777" w:rsidR="00561387" w:rsidRPr="00561387" w:rsidRDefault="00561387" w:rsidP="00561387">
      <w:pPr>
        <w:widowControl/>
        <w:shd w:val="clear" w:color="auto" w:fill="FFFFFF" w:themeFill="background1"/>
        <w:spacing w:after="120" w:line="240" w:lineRule="auto"/>
        <w:jc w:val="both"/>
        <w:rPr>
          <w:i/>
          <w:sz w:val="28"/>
          <w:szCs w:val="28"/>
        </w:rPr>
      </w:pPr>
      <w:r w:rsidRPr="00561387">
        <w:rPr>
          <w:b/>
          <w:i/>
          <w:sz w:val="28"/>
          <w:szCs w:val="28"/>
          <w:u w:val="single"/>
        </w:rPr>
        <w:t>Latvijas nostāja:</w:t>
      </w:r>
    </w:p>
    <w:p w14:paraId="72EF91EA" w14:textId="77777777" w:rsidR="00561387" w:rsidRPr="00765F30" w:rsidRDefault="00561387" w:rsidP="00561387">
      <w:pPr>
        <w:spacing w:after="120" w:line="240" w:lineRule="auto"/>
        <w:jc w:val="both"/>
        <w:rPr>
          <w:i/>
          <w:sz w:val="28"/>
          <w:szCs w:val="28"/>
        </w:rPr>
      </w:pPr>
      <w:r w:rsidRPr="00765F30">
        <w:rPr>
          <w:i/>
          <w:sz w:val="28"/>
          <w:szCs w:val="28"/>
        </w:rPr>
        <w:t>Latvija piekrīt, ka plaša sadarbība ar galvenajām migrantu izcelsmes un tranzīta valstīm ir patiesi visaptverošas un ilgtspējīgas pieejas migrācijai, patvērumam un robežu pārvaldībai neatņemama sastāvdaļa.</w:t>
      </w:r>
    </w:p>
    <w:p w14:paraId="352C098C" w14:textId="3D020214" w:rsidR="00561387" w:rsidRDefault="00561387" w:rsidP="00561387">
      <w:pPr>
        <w:spacing w:after="120" w:line="240" w:lineRule="auto"/>
        <w:jc w:val="both"/>
        <w:rPr>
          <w:i/>
          <w:sz w:val="28"/>
          <w:szCs w:val="28"/>
        </w:rPr>
      </w:pPr>
      <w:r w:rsidRPr="00765F30">
        <w:rPr>
          <w:i/>
          <w:sz w:val="28"/>
          <w:szCs w:val="28"/>
        </w:rPr>
        <w:t>Latvija uzskata, ka ir nepieciešama individuāli pielāgota un ģeogrāfiski līdzsvarota pieeja</w:t>
      </w:r>
      <w:r w:rsidR="003225E5">
        <w:rPr>
          <w:i/>
          <w:sz w:val="28"/>
          <w:szCs w:val="28"/>
        </w:rPr>
        <w:t xml:space="preserve"> sadarbībā ar trešajām valstīm</w:t>
      </w:r>
      <w:r w:rsidRPr="00765F30">
        <w:rPr>
          <w:i/>
          <w:sz w:val="28"/>
          <w:szCs w:val="28"/>
        </w:rPr>
        <w:t>, kā arī iniciatīvas kuras nepārklājas, bet papildina viena otru.</w:t>
      </w:r>
    </w:p>
    <w:p w14:paraId="0731B7F8" w14:textId="77777777" w:rsidR="00023B1F" w:rsidRPr="00023B1F" w:rsidRDefault="00023B1F" w:rsidP="00561387">
      <w:pPr>
        <w:spacing w:after="120" w:line="240" w:lineRule="auto"/>
        <w:jc w:val="both"/>
        <w:rPr>
          <w:sz w:val="6"/>
          <w:szCs w:val="6"/>
        </w:rPr>
      </w:pPr>
    </w:p>
    <w:p w14:paraId="6CA30F83" w14:textId="26AA8EC0" w:rsidR="00561387" w:rsidRPr="00561387" w:rsidRDefault="00561387" w:rsidP="00561387">
      <w:pPr>
        <w:pStyle w:val="ListParagraph"/>
        <w:numPr>
          <w:ilvl w:val="0"/>
          <w:numId w:val="16"/>
        </w:numPr>
        <w:spacing w:after="120" w:line="240" w:lineRule="auto"/>
        <w:jc w:val="both"/>
        <w:rPr>
          <w:b/>
          <w:sz w:val="28"/>
          <w:szCs w:val="28"/>
        </w:rPr>
      </w:pPr>
      <w:r w:rsidRPr="00561387">
        <w:rPr>
          <w:b/>
          <w:sz w:val="28"/>
          <w:szCs w:val="28"/>
        </w:rPr>
        <w:t xml:space="preserve">Turpmākais darbs pie jaunā Migrācijas un patvēruma </w:t>
      </w:r>
      <w:proofErr w:type="spellStart"/>
      <w:r w:rsidRPr="00561387">
        <w:rPr>
          <w:b/>
          <w:sz w:val="28"/>
          <w:szCs w:val="28"/>
        </w:rPr>
        <w:t>pakta</w:t>
      </w:r>
      <w:proofErr w:type="spellEnd"/>
    </w:p>
    <w:p w14:paraId="4696F732" w14:textId="77777777" w:rsidR="00561387" w:rsidRPr="00561387" w:rsidRDefault="00561387" w:rsidP="00561387">
      <w:pPr>
        <w:shd w:val="clear" w:color="auto" w:fill="FFFFFF" w:themeFill="background1"/>
        <w:spacing w:after="120" w:line="240" w:lineRule="auto"/>
        <w:jc w:val="both"/>
        <w:rPr>
          <w:sz w:val="28"/>
          <w:szCs w:val="28"/>
        </w:rPr>
      </w:pPr>
      <w:r w:rsidRPr="00561387">
        <w:rPr>
          <w:sz w:val="28"/>
          <w:szCs w:val="28"/>
        </w:rPr>
        <w:t xml:space="preserve">Komisija 2020.gada 23.septembrī nāca klajā </w:t>
      </w:r>
      <w:r w:rsidRPr="00765F30">
        <w:rPr>
          <w:sz w:val="28"/>
          <w:szCs w:val="28"/>
        </w:rPr>
        <w:t xml:space="preserve">ar jauno Migrācijas un patvēruma </w:t>
      </w:r>
      <w:proofErr w:type="spellStart"/>
      <w:r w:rsidRPr="00765F30">
        <w:rPr>
          <w:sz w:val="28"/>
          <w:szCs w:val="28"/>
        </w:rPr>
        <w:t>paktu</w:t>
      </w:r>
      <w:proofErr w:type="spellEnd"/>
      <w:r w:rsidRPr="00765F30">
        <w:rPr>
          <w:sz w:val="28"/>
          <w:szCs w:val="28"/>
        </w:rPr>
        <w:t xml:space="preserve">, kā arī ar to saistītiem pieciem tiesību aktiem un četrām </w:t>
      </w:r>
      <w:proofErr w:type="spellStart"/>
      <w:r w:rsidRPr="00765F30">
        <w:rPr>
          <w:sz w:val="28"/>
          <w:szCs w:val="28"/>
        </w:rPr>
        <w:t>nelikumdošanas</w:t>
      </w:r>
      <w:proofErr w:type="spellEnd"/>
      <w:r w:rsidRPr="00765F30">
        <w:rPr>
          <w:sz w:val="28"/>
          <w:szCs w:val="28"/>
        </w:rPr>
        <w:t xml:space="preserve"> iniciatīvām. Piedāvātās </w:t>
      </w:r>
      <w:proofErr w:type="spellStart"/>
      <w:r w:rsidRPr="00765F30">
        <w:rPr>
          <w:sz w:val="28"/>
          <w:szCs w:val="28"/>
        </w:rPr>
        <w:t>pakotnes</w:t>
      </w:r>
      <w:proofErr w:type="spellEnd"/>
      <w:r w:rsidRPr="00765F30">
        <w:rPr>
          <w:sz w:val="28"/>
          <w:szCs w:val="28"/>
        </w:rPr>
        <w:t xml:space="preserve"> mērķis ir visaptverošas pieejas migrācijas, patvēruma un robežu pārvaldībai</w:t>
      </w:r>
      <w:r w:rsidRPr="00561387">
        <w:rPr>
          <w:sz w:val="28"/>
          <w:szCs w:val="28"/>
        </w:rPr>
        <w:t xml:space="preserve"> izveide, kas risina pastāvošos praktiskos izaicinājumus, piedāvā ātrākas, efektīvākas un pret krīzēm noturīgas procedūras, nodrošina līdzsvaru starp solidaritāti un atbildību, kā arī stiprina ES sadarbību ar migrācijas plūsmu izcelsmes un tranzīta valstīm.</w:t>
      </w:r>
    </w:p>
    <w:p w14:paraId="28961481" w14:textId="37D6EBB2" w:rsidR="00561387" w:rsidRPr="00561387" w:rsidRDefault="00561387" w:rsidP="00561387">
      <w:pPr>
        <w:shd w:val="clear" w:color="auto" w:fill="FFFFFF" w:themeFill="background1"/>
        <w:spacing w:after="120" w:line="240" w:lineRule="auto"/>
        <w:jc w:val="both"/>
        <w:rPr>
          <w:sz w:val="28"/>
          <w:szCs w:val="28"/>
        </w:rPr>
      </w:pPr>
      <w:r w:rsidRPr="00561387">
        <w:rPr>
          <w:sz w:val="28"/>
          <w:szCs w:val="28"/>
        </w:rPr>
        <w:t xml:space="preserve">Vācija un Portugāle (iepriekšējās prezidentūras ES Padomē) organizēja gan aktīvas dalībvalstu ekspertu diskusijas, gan arī politisku viedokļu apmaiņu (vēstnieku un ministru līmenī) par </w:t>
      </w:r>
      <w:proofErr w:type="spellStart"/>
      <w:r w:rsidRPr="00561387">
        <w:rPr>
          <w:sz w:val="28"/>
          <w:szCs w:val="28"/>
        </w:rPr>
        <w:t>pakotnē</w:t>
      </w:r>
      <w:proofErr w:type="spellEnd"/>
      <w:r w:rsidRPr="00561387">
        <w:rPr>
          <w:sz w:val="28"/>
          <w:szCs w:val="28"/>
        </w:rPr>
        <w:t xml:space="preserve"> atspoguļotajiem Eiropas migrācijas un patvēruma politikas pamatelementiem</w:t>
      </w:r>
      <w:r w:rsidRPr="00561387">
        <w:rPr>
          <w:rStyle w:val="FootnoteReference"/>
          <w:sz w:val="28"/>
          <w:szCs w:val="28"/>
        </w:rPr>
        <w:footnoteReference w:id="1"/>
      </w:r>
      <w:r w:rsidRPr="00561387">
        <w:rPr>
          <w:sz w:val="28"/>
          <w:szCs w:val="28"/>
        </w:rPr>
        <w:t xml:space="preserve">. Taču visi centieni panākt vienotu izpratni par šiem jautājumiem cieta </w:t>
      </w:r>
      <w:r w:rsidRPr="00765F30">
        <w:rPr>
          <w:sz w:val="28"/>
          <w:szCs w:val="28"/>
        </w:rPr>
        <w:t>neveiksmi, jo dalībvalstis konsekventi uzturēja savas jau nostiprinātās pozīcijas, tai</w:t>
      </w:r>
      <w:r w:rsidRPr="00561387">
        <w:rPr>
          <w:sz w:val="28"/>
          <w:szCs w:val="28"/>
        </w:rPr>
        <w:t xml:space="preserve"> </w:t>
      </w:r>
      <w:r w:rsidRPr="00561387">
        <w:rPr>
          <w:sz w:val="28"/>
          <w:szCs w:val="28"/>
        </w:rPr>
        <w:lastRenderedPageBreak/>
        <w:t xml:space="preserve">skaitā </w:t>
      </w:r>
      <w:r w:rsidR="00765F30">
        <w:rPr>
          <w:sz w:val="28"/>
          <w:szCs w:val="28"/>
        </w:rPr>
        <w:t xml:space="preserve">diametrāli pretējās nostājas </w:t>
      </w:r>
      <w:r w:rsidRPr="00561387">
        <w:rPr>
          <w:sz w:val="28"/>
          <w:szCs w:val="28"/>
        </w:rPr>
        <w:t>attiecībā uz ierosināto pastāvīgo ES līmeņa solidaritātes mehānismu</w:t>
      </w:r>
      <w:r w:rsidRPr="00561387">
        <w:rPr>
          <w:rStyle w:val="FootnoteReference"/>
          <w:sz w:val="28"/>
          <w:szCs w:val="28"/>
        </w:rPr>
        <w:footnoteReference w:id="2"/>
      </w:r>
      <w:r w:rsidRPr="00561387">
        <w:rPr>
          <w:sz w:val="28"/>
          <w:szCs w:val="28"/>
        </w:rPr>
        <w:t>.</w:t>
      </w:r>
    </w:p>
    <w:p w14:paraId="209D5C73" w14:textId="48569964" w:rsidR="00561387" w:rsidRDefault="00561387" w:rsidP="00561387">
      <w:pPr>
        <w:shd w:val="clear" w:color="auto" w:fill="FFFFFF" w:themeFill="background1"/>
        <w:spacing w:after="120" w:line="240" w:lineRule="auto"/>
        <w:jc w:val="both"/>
        <w:rPr>
          <w:sz w:val="28"/>
          <w:szCs w:val="28"/>
        </w:rPr>
      </w:pPr>
      <w:r w:rsidRPr="00561387">
        <w:rPr>
          <w:sz w:val="28"/>
          <w:szCs w:val="28"/>
        </w:rPr>
        <w:t xml:space="preserve">Neformālajā sanāksmē Slovēnija informēs par saviem plāniem turpmākajā darbā ar </w:t>
      </w:r>
      <w:proofErr w:type="spellStart"/>
      <w:r w:rsidRPr="00561387">
        <w:rPr>
          <w:sz w:val="28"/>
          <w:szCs w:val="28"/>
        </w:rPr>
        <w:t>pakotni</w:t>
      </w:r>
      <w:proofErr w:type="spellEnd"/>
      <w:r w:rsidRPr="00561387">
        <w:rPr>
          <w:sz w:val="28"/>
          <w:szCs w:val="28"/>
        </w:rPr>
        <w:t xml:space="preserve">, kā arī uzklausīs dalībvalstu ierosinājumus. </w:t>
      </w:r>
      <w:r w:rsidR="00FC1E14">
        <w:rPr>
          <w:sz w:val="28"/>
          <w:szCs w:val="28"/>
        </w:rPr>
        <w:t xml:space="preserve">Informatīvā ziņojuma sagatavošanas laikā </w:t>
      </w:r>
      <w:r w:rsidR="00FC1E14">
        <w:rPr>
          <w:sz w:val="28"/>
          <w:szCs w:val="28"/>
          <w:u w:val="single"/>
        </w:rPr>
        <w:t>d</w:t>
      </w:r>
      <w:r w:rsidRPr="00765F30">
        <w:rPr>
          <w:sz w:val="28"/>
          <w:szCs w:val="28"/>
          <w:u w:val="single"/>
        </w:rPr>
        <w:t>iskusiju dokuments vēl nav ticis izplatīts</w:t>
      </w:r>
      <w:r w:rsidRPr="00561387">
        <w:rPr>
          <w:sz w:val="28"/>
          <w:szCs w:val="28"/>
        </w:rPr>
        <w:t>.</w:t>
      </w:r>
    </w:p>
    <w:p w14:paraId="464F5519" w14:textId="77777777" w:rsidR="00F824CF" w:rsidRPr="00023B1F" w:rsidRDefault="00F824CF" w:rsidP="00561387">
      <w:pPr>
        <w:shd w:val="clear" w:color="auto" w:fill="FFFFFF" w:themeFill="background1"/>
        <w:spacing w:after="120" w:line="240" w:lineRule="auto"/>
        <w:jc w:val="both"/>
        <w:rPr>
          <w:sz w:val="6"/>
          <w:szCs w:val="6"/>
        </w:rPr>
      </w:pPr>
    </w:p>
    <w:p w14:paraId="5F0A2D8D" w14:textId="77777777" w:rsidR="00561387" w:rsidRPr="00561387" w:rsidRDefault="00561387" w:rsidP="00561387">
      <w:pPr>
        <w:widowControl/>
        <w:shd w:val="clear" w:color="auto" w:fill="FFFFFF" w:themeFill="background1"/>
        <w:spacing w:after="120" w:line="240" w:lineRule="auto"/>
        <w:jc w:val="both"/>
        <w:rPr>
          <w:i/>
          <w:sz w:val="28"/>
          <w:szCs w:val="28"/>
        </w:rPr>
      </w:pPr>
      <w:r w:rsidRPr="00561387">
        <w:rPr>
          <w:b/>
          <w:i/>
          <w:sz w:val="28"/>
          <w:szCs w:val="28"/>
          <w:u w:val="single"/>
        </w:rPr>
        <w:t>Latvijas nostāja:</w:t>
      </w:r>
    </w:p>
    <w:p w14:paraId="2482521E" w14:textId="77777777" w:rsidR="00561387" w:rsidRPr="00765F30" w:rsidRDefault="00561387" w:rsidP="00561387">
      <w:pPr>
        <w:widowControl/>
        <w:shd w:val="clear" w:color="auto" w:fill="FFFFFF" w:themeFill="background1"/>
        <w:spacing w:after="120" w:line="240" w:lineRule="auto"/>
        <w:jc w:val="both"/>
        <w:rPr>
          <w:i/>
          <w:sz w:val="28"/>
          <w:szCs w:val="28"/>
        </w:rPr>
      </w:pPr>
      <w:r w:rsidRPr="00765F30">
        <w:rPr>
          <w:i/>
          <w:sz w:val="28"/>
          <w:szCs w:val="28"/>
        </w:rPr>
        <w:t xml:space="preserve">Latvija turpina uzsvērt, ka svarīga ir visaptveroša pieeja patiesi efektīvai migrācijas pārvaldībai. </w:t>
      </w:r>
    </w:p>
    <w:p w14:paraId="3694FED9" w14:textId="77777777" w:rsidR="00561387" w:rsidRPr="00765F30" w:rsidRDefault="00561387" w:rsidP="00023B1F">
      <w:pPr>
        <w:widowControl/>
        <w:shd w:val="clear" w:color="auto" w:fill="FFFFFF" w:themeFill="background1"/>
        <w:spacing w:line="240" w:lineRule="auto"/>
        <w:jc w:val="both"/>
        <w:rPr>
          <w:i/>
          <w:sz w:val="28"/>
          <w:szCs w:val="28"/>
        </w:rPr>
      </w:pPr>
      <w:r w:rsidRPr="00765F30">
        <w:rPr>
          <w:i/>
          <w:sz w:val="28"/>
          <w:szCs w:val="28"/>
        </w:rPr>
        <w:t>Kā galvenos principus, ko Latvija vienmēr ir paudusi, var izcelt:</w:t>
      </w:r>
    </w:p>
    <w:p w14:paraId="0D019C48" w14:textId="77777777" w:rsidR="00561387" w:rsidRPr="00765F30" w:rsidRDefault="00561387" w:rsidP="00023B1F">
      <w:pPr>
        <w:pStyle w:val="ListParagraph"/>
        <w:widowControl/>
        <w:numPr>
          <w:ilvl w:val="1"/>
          <w:numId w:val="14"/>
        </w:numPr>
        <w:shd w:val="clear" w:color="auto" w:fill="FFFFFF" w:themeFill="background1"/>
        <w:spacing w:line="240" w:lineRule="auto"/>
        <w:contextualSpacing w:val="0"/>
        <w:jc w:val="both"/>
        <w:rPr>
          <w:i/>
          <w:sz w:val="28"/>
          <w:szCs w:val="28"/>
        </w:rPr>
      </w:pPr>
      <w:r w:rsidRPr="00765F30">
        <w:rPr>
          <w:i/>
          <w:sz w:val="28"/>
          <w:szCs w:val="28"/>
        </w:rPr>
        <w:t xml:space="preserve">svarīga loma ir </w:t>
      </w:r>
      <w:proofErr w:type="spellStart"/>
      <w:r w:rsidRPr="00765F30">
        <w:rPr>
          <w:i/>
          <w:sz w:val="28"/>
          <w:szCs w:val="28"/>
        </w:rPr>
        <w:t>prevencijai</w:t>
      </w:r>
      <w:proofErr w:type="spellEnd"/>
      <w:r w:rsidRPr="00765F30">
        <w:rPr>
          <w:i/>
          <w:sz w:val="28"/>
          <w:szCs w:val="28"/>
        </w:rPr>
        <w:t xml:space="preserve"> – plūsmu apturēšanai un novēršanai; </w:t>
      </w:r>
      <w:proofErr w:type="spellStart"/>
      <w:r w:rsidRPr="00765F30">
        <w:rPr>
          <w:i/>
          <w:sz w:val="28"/>
          <w:szCs w:val="28"/>
        </w:rPr>
        <w:t>prevencijas</w:t>
      </w:r>
      <w:proofErr w:type="spellEnd"/>
      <w:r w:rsidRPr="00765F30">
        <w:rPr>
          <w:i/>
          <w:sz w:val="28"/>
          <w:szCs w:val="28"/>
        </w:rPr>
        <w:t xml:space="preserve"> kontekstā liela nozīme ir arī efektīvas atgriešanas politikas īstenošanai; </w:t>
      </w:r>
    </w:p>
    <w:p w14:paraId="11D53AA5" w14:textId="77777777" w:rsidR="00561387" w:rsidRPr="00765F30" w:rsidRDefault="00561387" w:rsidP="00023B1F">
      <w:pPr>
        <w:pStyle w:val="ListParagraph"/>
        <w:widowControl/>
        <w:numPr>
          <w:ilvl w:val="1"/>
          <w:numId w:val="14"/>
        </w:numPr>
        <w:shd w:val="clear" w:color="auto" w:fill="FFFFFF" w:themeFill="background1"/>
        <w:spacing w:line="240" w:lineRule="auto"/>
        <w:contextualSpacing w:val="0"/>
        <w:jc w:val="both"/>
        <w:rPr>
          <w:i/>
          <w:sz w:val="28"/>
          <w:szCs w:val="28"/>
        </w:rPr>
      </w:pPr>
      <w:r w:rsidRPr="00765F30">
        <w:rPr>
          <w:i/>
          <w:sz w:val="28"/>
          <w:szCs w:val="28"/>
        </w:rPr>
        <w:t xml:space="preserve">būtiski nodrošināt efektīvu ārējās robežas pārvaldību un ir jāņem vērā ieguldījumi, ko dalībvalstis ar ārējo robežu veic </w:t>
      </w:r>
      <w:proofErr w:type="spellStart"/>
      <w:r w:rsidRPr="00765F30">
        <w:rPr>
          <w:i/>
          <w:sz w:val="28"/>
          <w:szCs w:val="28"/>
        </w:rPr>
        <w:t>prevencijas</w:t>
      </w:r>
      <w:proofErr w:type="spellEnd"/>
      <w:r w:rsidRPr="00765F30">
        <w:rPr>
          <w:i/>
          <w:sz w:val="28"/>
          <w:szCs w:val="28"/>
        </w:rPr>
        <w:t xml:space="preserve"> nolūkos; </w:t>
      </w:r>
    </w:p>
    <w:p w14:paraId="36886D26" w14:textId="77777777" w:rsidR="00561387" w:rsidRPr="00765F30" w:rsidRDefault="00561387" w:rsidP="00023B1F">
      <w:pPr>
        <w:pStyle w:val="ListParagraph"/>
        <w:widowControl/>
        <w:numPr>
          <w:ilvl w:val="1"/>
          <w:numId w:val="14"/>
        </w:numPr>
        <w:shd w:val="clear" w:color="auto" w:fill="FFFFFF" w:themeFill="background1"/>
        <w:spacing w:line="240" w:lineRule="auto"/>
        <w:contextualSpacing w:val="0"/>
        <w:jc w:val="both"/>
        <w:rPr>
          <w:sz w:val="28"/>
          <w:szCs w:val="28"/>
        </w:rPr>
      </w:pPr>
      <w:r w:rsidRPr="00765F30">
        <w:rPr>
          <w:i/>
          <w:sz w:val="28"/>
          <w:szCs w:val="28"/>
        </w:rPr>
        <w:t>solidaritāte ir nozīmīgs princips, kas ir saistošs visām dalībvalstīm, bet veids kā solidaritāte tiek īstenota var atšķirties un ir nepieciešama elastība, kas respektē dalībvalstu vajadzības un iespējas;</w:t>
      </w:r>
    </w:p>
    <w:p w14:paraId="4FF07B79" w14:textId="0B27DA2B" w:rsidR="00561387" w:rsidRPr="00765F30" w:rsidRDefault="00561387" w:rsidP="005A7D9E">
      <w:pPr>
        <w:pStyle w:val="ListParagraph"/>
        <w:widowControl/>
        <w:numPr>
          <w:ilvl w:val="1"/>
          <w:numId w:val="14"/>
        </w:numPr>
        <w:shd w:val="clear" w:color="auto" w:fill="FFFFFF" w:themeFill="background1"/>
        <w:spacing w:after="120" w:line="240" w:lineRule="auto"/>
        <w:contextualSpacing w:val="0"/>
        <w:jc w:val="both"/>
        <w:rPr>
          <w:sz w:val="28"/>
          <w:szCs w:val="28"/>
        </w:rPr>
      </w:pPr>
      <w:r w:rsidRPr="00765F30">
        <w:rPr>
          <w:i/>
          <w:sz w:val="28"/>
          <w:szCs w:val="28"/>
        </w:rPr>
        <w:t>svarīgi, lai ierosinātie pasākumi nekalpo kā jauni pamudinājumi un papildus</w:t>
      </w:r>
      <w:r w:rsidR="003225E5">
        <w:rPr>
          <w:i/>
          <w:sz w:val="28"/>
          <w:szCs w:val="28"/>
        </w:rPr>
        <w:t xml:space="preserve"> migrācijas</w:t>
      </w:r>
      <w:r w:rsidRPr="00765F30">
        <w:rPr>
          <w:i/>
          <w:sz w:val="28"/>
          <w:szCs w:val="28"/>
        </w:rPr>
        <w:t xml:space="preserve"> plūsmu ģeneratori.</w:t>
      </w:r>
    </w:p>
    <w:p w14:paraId="0406C737" w14:textId="77777777" w:rsidR="00561387" w:rsidRPr="00023B1F" w:rsidRDefault="00561387" w:rsidP="00561387">
      <w:pPr>
        <w:spacing w:after="120" w:line="240" w:lineRule="auto"/>
        <w:jc w:val="both"/>
        <w:rPr>
          <w:sz w:val="6"/>
          <w:szCs w:val="6"/>
        </w:rPr>
      </w:pPr>
    </w:p>
    <w:p w14:paraId="13152F0C" w14:textId="5992102A" w:rsidR="00561387" w:rsidRPr="00561387" w:rsidRDefault="00561387" w:rsidP="00561387">
      <w:pPr>
        <w:pStyle w:val="ListParagraph"/>
        <w:numPr>
          <w:ilvl w:val="0"/>
          <w:numId w:val="14"/>
        </w:numPr>
        <w:spacing w:after="120" w:line="240" w:lineRule="auto"/>
        <w:jc w:val="both"/>
        <w:rPr>
          <w:b/>
          <w:sz w:val="28"/>
          <w:szCs w:val="28"/>
        </w:rPr>
      </w:pPr>
      <w:r w:rsidRPr="00561387">
        <w:rPr>
          <w:b/>
          <w:sz w:val="28"/>
          <w:szCs w:val="28"/>
        </w:rPr>
        <w:t>Turpmākais darbs pie jaunās Šengenas stratēģijas</w:t>
      </w:r>
    </w:p>
    <w:p w14:paraId="4D7D3413" w14:textId="0078C6AE" w:rsidR="003225E5" w:rsidRDefault="00561387" w:rsidP="00561387">
      <w:pPr>
        <w:widowControl/>
        <w:shd w:val="clear" w:color="auto" w:fill="FFFFFF" w:themeFill="background1"/>
        <w:spacing w:after="120" w:line="240" w:lineRule="auto"/>
        <w:jc w:val="both"/>
        <w:rPr>
          <w:rStyle w:val="bumpedfont15"/>
          <w:iCs/>
          <w:sz w:val="28"/>
          <w:szCs w:val="28"/>
          <w:shd w:val="clear" w:color="auto" w:fill="FFFFFF"/>
        </w:rPr>
      </w:pPr>
      <w:r w:rsidRPr="00561387">
        <w:rPr>
          <w:rStyle w:val="bumpedfont15"/>
          <w:iCs/>
          <w:sz w:val="28"/>
          <w:szCs w:val="28"/>
          <w:shd w:val="clear" w:color="auto" w:fill="FFFFFF"/>
        </w:rPr>
        <w:t xml:space="preserve">Komisija </w:t>
      </w:r>
      <w:r w:rsidRPr="00765F30">
        <w:rPr>
          <w:rStyle w:val="bumpedfont15"/>
          <w:iCs/>
          <w:sz w:val="28"/>
          <w:szCs w:val="28"/>
          <w:shd w:val="clear" w:color="auto" w:fill="FFFFFF"/>
        </w:rPr>
        <w:t xml:space="preserve">prezentēja jauno Šengenas stratēģiju dalībvalstīm š.g. 8.jūnija Tieslietu un </w:t>
      </w:r>
      <w:proofErr w:type="spellStart"/>
      <w:r w:rsidRPr="00765F30">
        <w:rPr>
          <w:rStyle w:val="bumpedfont15"/>
          <w:iCs/>
          <w:sz w:val="28"/>
          <w:szCs w:val="28"/>
          <w:shd w:val="clear" w:color="auto" w:fill="FFFFFF"/>
        </w:rPr>
        <w:t>iekšlietu</w:t>
      </w:r>
      <w:proofErr w:type="spellEnd"/>
      <w:r w:rsidRPr="00765F30">
        <w:rPr>
          <w:rStyle w:val="bumpedfont15"/>
          <w:iCs/>
          <w:sz w:val="28"/>
          <w:szCs w:val="28"/>
          <w:shd w:val="clear" w:color="auto" w:fill="FFFFFF"/>
        </w:rPr>
        <w:t xml:space="preserve"> ministru padomes sanāksmē.</w:t>
      </w:r>
      <w:r w:rsidRPr="00765F30">
        <w:rPr>
          <w:rStyle w:val="bumpedfont15"/>
          <w:b/>
          <w:iCs/>
          <w:sz w:val="28"/>
          <w:szCs w:val="28"/>
          <w:shd w:val="clear" w:color="auto" w:fill="FFFFFF"/>
        </w:rPr>
        <w:t xml:space="preserve"> </w:t>
      </w:r>
      <w:r w:rsidRPr="00765F30">
        <w:rPr>
          <w:rStyle w:val="bumpedfont15"/>
          <w:iCs/>
          <w:sz w:val="28"/>
          <w:szCs w:val="28"/>
          <w:shd w:val="clear" w:color="auto" w:fill="FFFFFF"/>
        </w:rPr>
        <w:t>Stratēģija ietver apkopojumu par līdz šim paveikto</w:t>
      </w:r>
      <w:r w:rsidR="00765F30">
        <w:rPr>
          <w:rStyle w:val="bumpedfont15"/>
          <w:iCs/>
          <w:sz w:val="28"/>
          <w:szCs w:val="28"/>
          <w:shd w:val="clear" w:color="auto" w:fill="FFFFFF"/>
        </w:rPr>
        <w:t xml:space="preserve"> trīs galvenajos</w:t>
      </w:r>
      <w:r w:rsidRPr="00561387">
        <w:rPr>
          <w:rStyle w:val="bumpedfont15"/>
          <w:iCs/>
          <w:sz w:val="28"/>
          <w:szCs w:val="28"/>
          <w:shd w:val="clear" w:color="auto" w:fill="FFFFFF"/>
        </w:rPr>
        <w:t xml:space="preserve"> pīlāros, uz kuriem balstās Šengenas zona (efektīva ES ārējo robežu pārvaldība; kompensējoši pasākumi iekšējo robežu kontroles neesamībai; stab</w:t>
      </w:r>
      <w:r w:rsidRPr="00765F30">
        <w:rPr>
          <w:rStyle w:val="bumpedfont15"/>
          <w:iCs/>
          <w:sz w:val="28"/>
          <w:szCs w:val="28"/>
          <w:shd w:val="clear" w:color="auto" w:fill="FFFFFF"/>
        </w:rPr>
        <w:t>ila pārvaldība)</w:t>
      </w:r>
      <w:r w:rsidR="003225E5">
        <w:rPr>
          <w:rStyle w:val="bumpedfont15"/>
          <w:iCs/>
          <w:sz w:val="28"/>
          <w:szCs w:val="28"/>
          <w:shd w:val="clear" w:color="auto" w:fill="FFFFFF"/>
        </w:rPr>
        <w:t>. Tāpat Komisija</w:t>
      </w:r>
      <w:r w:rsidRPr="00765F30">
        <w:rPr>
          <w:rStyle w:val="bumpedfont15"/>
          <w:iCs/>
          <w:sz w:val="28"/>
          <w:szCs w:val="28"/>
          <w:shd w:val="clear" w:color="auto" w:fill="FFFFFF"/>
        </w:rPr>
        <w:t xml:space="preserve"> ierosina turpmākus pasākumus pilnībā funkcionējošai </w:t>
      </w:r>
      <w:r w:rsidRPr="00561387">
        <w:rPr>
          <w:rStyle w:val="bumpedfont15"/>
          <w:iCs/>
          <w:sz w:val="28"/>
          <w:szCs w:val="28"/>
          <w:shd w:val="clear" w:color="auto" w:fill="FFFFFF"/>
        </w:rPr>
        <w:t>un daudz izturīgākai Šengenas zonai</w:t>
      </w:r>
      <w:r w:rsidR="003225E5">
        <w:rPr>
          <w:rStyle w:val="bumpedfont15"/>
          <w:iCs/>
          <w:sz w:val="28"/>
          <w:szCs w:val="28"/>
          <w:shd w:val="clear" w:color="auto" w:fill="FFFFFF"/>
        </w:rPr>
        <w:t>:</w:t>
      </w:r>
    </w:p>
    <w:p w14:paraId="548C708C" w14:textId="7ECA7CC7" w:rsidR="003225E5" w:rsidRPr="00C82AF6" w:rsidRDefault="003225E5" w:rsidP="00023B1F">
      <w:pPr>
        <w:pStyle w:val="mt-translation"/>
        <w:numPr>
          <w:ilvl w:val="0"/>
          <w:numId w:val="14"/>
        </w:numPr>
        <w:spacing w:before="0" w:beforeAutospacing="0" w:after="0" w:afterAutospacing="0"/>
        <w:ind w:left="454" w:hanging="227"/>
        <w:jc w:val="both"/>
        <w:rPr>
          <w:sz w:val="28"/>
          <w:szCs w:val="28"/>
        </w:rPr>
      </w:pPr>
      <w:r w:rsidRPr="00C82AF6">
        <w:rPr>
          <w:b/>
          <w:i/>
          <w:sz w:val="28"/>
          <w:szCs w:val="28"/>
        </w:rPr>
        <w:t>Ārējo robežu pārvaldības jomā</w:t>
      </w:r>
      <w:r w:rsidRPr="00C82AF6">
        <w:rPr>
          <w:sz w:val="28"/>
          <w:szCs w:val="28"/>
        </w:rPr>
        <w:t xml:space="preserve">: Efektīvu un koordinētu pieeju robežu pārvaldībai; Sistemātisku uzraudzību uz ārējām robežām; Jaunāko </w:t>
      </w:r>
      <w:r w:rsidRPr="00C82AF6">
        <w:rPr>
          <w:sz w:val="28"/>
          <w:szCs w:val="28"/>
        </w:rPr>
        <w:lastRenderedPageBreak/>
        <w:t xml:space="preserve">tehnoloģiju izmantošanu; Virzību uz procedūru </w:t>
      </w:r>
      <w:proofErr w:type="spellStart"/>
      <w:r w:rsidRPr="00C82AF6">
        <w:rPr>
          <w:sz w:val="28"/>
          <w:szCs w:val="28"/>
        </w:rPr>
        <w:t>digitalizāciju</w:t>
      </w:r>
      <w:proofErr w:type="spellEnd"/>
      <w:r w:rsidRPr="00C82AF6">
        <w:rPr>
          <w:sz w:val="28"/>
          <w:szCs w:val="28"/>
        </w:rPr>
        <w:t>; Sadarbības / partnerības ar trešajām valstīm veicināšanu.</w:t>
      </w:r>
    </w:p>
    <w:p w14:paraId="2AC69868" w14:textId="2A716689" w:rsidR="003225E5" w:rsidRPr="00C82AF6" w:rsidRDefault="003225E5" w:rsidP="00023B1F">
      <w:pPr>
        <w:pStyle w:val="mt-translation"/>
        <w:numPr>
          <w:ilvl w:val="0"/>
          <w:numId w:val="14"/>
        </w:numPr>
        <w:spacing w:before="0" w:beforeAutospacing="0" w:after="0" w:afterAutospacing="0"/>
        <w:ind w:left="454" w:hanging="227"/>
        <w:jc w:val="both"/>
        <w:rPr>
          <w:sz w:val="28"/>
          <w:szCs w:val="28"/>
        </w:rPr>
      </w:pPr>
      <w:r w:rsidRPr="00C82AF6">
        <w:rPr>
          <w:b/>
          <w:i/>
          <w:sz w:val="28"/>
          <w:szCs w:val="28"/>
        </w:rPr>
        <w:t>Kompensējošie pasākumi pie iekšējo robežu kontroles neesamības</w:t>
      </w:r>
      <w:r w:rsidRPr="00C82AF6">
        <w:rPr>
          <w:sz w:val="28"/>
          <w:szCs w:val="28"/>
        </w:rPr>
        <w:t xml:space="preserve">: </w:t>
      </w:r>
      <w:proofErr w:type="spellStart"/>
      <w:r w:rsidRPr="00C82AF6">
        <w:rPr>
          <w:sz w:val="28"/>
          <w:szCs w:val="28"/>
        </w:rPr>
        <w:t>Prevencija</w:t>
      </w:r>
      <w:proofErr w:type="spellEnd"/>
      <w:r w:rsidRPr="00C82AF6">
        <w:rPr>
          <w:sz w:val="28"/>
          <w:szCs w:val="28"/>
        </w:rPr>
        <w:t xml:space="preserve"> un cīņa pret drošības apdraudējumu, tai skaitā organizēto noziedzību un terorismu; Policijas un tiesu iestāžu sadarbības uzlabošana; Jauno tehnoloģiju izmantošana, lai veidotu pret krīzēm noturīgas sistēmas; Kopējas migrācijas un patvēruma politikas izveide.</w:t>
      </w:r>
    </w:p>
    <w:p w14:paraId="2EBA9D54" w14:textId="5B77626B" w:rsidR="00561387" w:rsidRPr="003225E5" w:rsidRDefault="003225E5" w:rsidP="00023B1F">
      <w:pPr>
        <w:pStyle w:val="ListParagraph"/>
        <w:widowControl/>
        <w:numPr>
          <w:ilvl w:val="0"/>
          <w:numId w:val="14"/>
        </w:numPr>
        <w:shd w:val="clear" w:color="auto" w:fill="FFFFFF" w:themeFill="background1"/>
        <w:spacing w:after="120" w:line="240" w:lineRule="auto"/>
        <w:ind w:left="454" w:hanging="227"/>
        <w:jc w:val="both"/>
        <w:rPr>
          <w:rStyle w:val="bumpedfont15"/>
          <w:iCs/>
          <w:sz w:val="28"/>
          <w:szCs w:val="28"/>
          <w:shd w:val="clear" w:color="auto" w:fill="FFFFFF"/>
          <w:lang w:eastAsia="lv-LV"/>
        </w:rPr>
      </w:pPr>
      <w:r w:rsidRPr="00C82AF6">
        <w:rPr>
          <w:b/>
          <w:i/>
          <w:sz w:val="28"/>
          <w:szCs w:val="28"/>
        </w:rPr>
        <w:t>Stabilas pārvaldības attīstīšanai</w:t>
      </w:r>
      <w:r w:rsidRPr="00C82AF6">
        <w:rPr>
          <w:sz w:val="28"/>
          <w:szCs w:val="28"/>
        </w:rPr>
        <w:t xml:space="preserve">: Regulāru politiska līmeņa dialogu par aktuālajiem jautājumiem; Esošo sistēmu modernizēšanu un pielāgošanu; Šengenas </w:t>
      </w:r>
      <w:proofErr w:type="spellStart"/>
      <w:r w:rsidRPr="00C82AF6">
        <w:rPr>
          <w:i/>
          <w:sz w:val="28"/>
          <w:szCs w:val="28"/>
        </w:rPr>
        <w:t>acquis</w:t>
      </w:r>
      <w:proofErr w:type="spellEnd"/>
      <w:r w:rsidRPr="00C82AF6">
        <w:rPr>
          <w:sz w:val="28"/>
          <w:szCs w:val="28"/>
        </w:rPr>
        <w:t xml:space="preserve"> īstenošanas un novērtēšanas uzlabošana; Pabeigt Šengenas zonas paplašināšanu.</w:t>
      </w:r>
    </w:p>
    <w:p w14:paraId="48325B4F" w14:textId="77777777" w:rsidR="00561387" w:rsidRDefault="00561387" w:rsidP="00561387">
      <w:pPr>
        <w:widowControl/>
        <w:shd w:val="clear" w:color="auto" w:fill="FFFFFF" w:themeFill="background1"/>
        <w:spacing w:after="120" w:line="240" w:lineRule="auto"/>
        <w:jc w:val="both"/>
        <w:rPr>
          <w:rStyle w:val="bumpedfont15"/>
          <w:iCs/>
          <w:sz w:val="28"/>
          <w:szCs w:val="28"/>
          <w:shd w:val="clear" w:color="auto" w:fill="FFFFFF"/>
        </w:rPr>
      </w:pPr>
      <w:r w:rsidRPr="00561387">
        <w:rPr>
          <w:rStyle w:val="bumpedfont15"/>
          <w:iCs/>
          <w:sz w:val="28"/>
          <w:szCs w:val="28"/>
          <w:shd w:val="clear" w:color="auto" w:fill="FFFFFF"/>
        </w:rPr>
        <w:t>Neformālajā sanāksmē plānota diskusija par turpmākajiem pasākumiem Šengenas zonas stiprināšanai.</w:t>
      </w:r>
    </w:p>
    <w:p w14:paraId="62FDEF36" w14:textId="77777777" w:rsidR="00714247" w:rsidRPr="00023B1F" w:rsidRDefault="00714247" w:rsidP="00561387">
      <w:pPr>
        <w:widowControl/>
        <w:shd w:val="clear" w:color="auto" w:fill="FFFFFF" w:themeFill="background1"/>
        <w:spacing w:after="120" w:line="240" w:lineRule="auto"/>
        <w:jc w:val="both"/>
        <w:rPr>
          <w:rStyle w:val="bumpedfont15"/>
          <w:iCs/>
          <w:sz w:val="6"/>
          <w:szCs w:val="6"/>
          <w:shd w:val="clear" w:color="auto" w:fill="FFFFFF"/>
        </w:rPr>
      </w:pPr>
    </w:p>
    <w:p w14:paraId="620FD7CF" w14:textId="77777777" w:rsidR="00561387" w:rsidRPr="00561387" w:rsidRDefault="00561387" w:rsidP="00561387">
      <w:pPr>
        <w:widowControl/>
        <w:shd w:val="clear" w:color="auto" w:fill="FFFFFF" w:themeFill="background1"/>
        <w:spacing w:after="120" w:line="240" w:lineRule="auto"/>
        <w:jc w:val="both"/>
        <w:rPr>
          <w:rStyle w:val="bumpedfont15"/>
          <w:b/>
          <w:bCs/>
          <w:i/>
          <w:sz w:val="28"/>
          <w:szCs w:val="28"/>
          <w:u w:val="single"/>
          <w:shd w:val="clear" w:color="auto" w:fill="FFFFFF"/>
        </w:rPr>
      </w:pPr>
      <w:r w:rsidRPr="00561387">
        <w:rPr>
          <w:rStyle w:val="bumpedfont15"/>
          <w:b/>
          <w:bCs/>
          <w:i/>
          <w:sz w:val="28"/>
          <w:szCs w:val="28"/>
          <w:u w:val="single"/>
          <w:shd w:val="clear" w:color="auto" w:fill="FFFFFF"/>
        </w:rPr>
        <w:t>Latvijas nostāja:</w:t>
      </w:r>
    </w:p>
    <w:p w14:paraId="14D706A1" w14:textId="11E48387" w:rsidR="00561387" w:rsidRPr="00765F30" w:rsidRDefault="00561387" w:rsidP="00561387">
      <w:pPr>
        <w:widowControl/>
        <w:shd w:val="clear" w:color="auto" w:fill="FFFFFF" w:themeFill="background1"/>
        <w:spacing w:after="120" w:line="240" w:lineRule="auto"/>
        <w:jc w:val="both"/>
        <w:rPr>
          <w:rStyle w:val="bumpedfont15"/>
          <w:i/>
          <w:sz w:val="28"/>
          <w:szCs w:val="28"/>
          <w:shd w:val="clear" w:color="auto" w:fill="FFFFFF"/>
        </w:rPr>
      </w:pPr>
      <w:r w:rsidRPr="00561387">
        <w:rPr>
          <w:rStyle w:val="bumpedfont15"/>
          <w:i/>
          <w:sz w:val="28"/>
          <w:szCs w:val="28"/>
          <w:shd w:val="clear" w:color="auto" w:fill="FFFFFF"/>
        </w:rPr>
        <w:t xml:space="preserve">Latvija pilnībā </w:t>
      </w:r>
      <w:r w:rsidRPr="00765F30">
        <w:rPr>
          <w:rStyle w:val="bumpedfont15"/>
          <w:i/>
          <w:sz w:val="28"/>
          <w:szCs w:val="28"/>
          <w:shd w:val="clear" w:color="auto" w:fill="FFFFFF"/>
        </w:rPr>
        <w:t>piekrīt, ka Šengenas zona bez iekšējām robežām patiesi ir viens no lielākajiem Eiropas integrācijas sasniegumiem</w:t>
      </w:r>
      <w:r w:rsidR="00F644CC">
        <w:rPr>
          <w:rStyle w:val="bumpedfont15"/>
          <w:i/>
          <w:sz w:val="28"/>
          <w:szCs w:val="28"/>
          <w:shd w:val="clear" w:color="auto" w:fill="FFFFFF"/>
        </w:rPr>
        <w:t xml:space="preserve"> un tam ir būtiska nozīme ES vienotā tirgus funkcionēšanā, ko pandēmija skaidri iezīmēja, jo brīva preču aprite sajuta katras izmaiņas un ierobežojumus</w:t>
      </w:r>
      <w:r w:rsidRPr="00765F30">
        <w:rPr>
          <w:rStyle w:val="bumpedfont15"/>
          <w:i/>
          <w:sz w:val="28"/>
          <w:szCs w:val="28"/>
          <w:shd w:val="clear" w:color="auto" w:fill="FFFFFF"/>
        </w:rPr>
        <w:t xml:space="preserve">. Atbalstām, ka  jādara viss iespējamais, lai to saglabātu un iekšējo robežu kontroles atjaunošana arī nākotnē tiktu uztverta vienīgi kā ārkārtas līdzeklis. </w:t>
      </w:r>
    </w:p>
    <w:p w14:paraId="4EE5BD97" w14:textId="1F0970B2" w:rsidR="00561387" w:rsidRPr="00561387" w:rsidRDefault="00561387" w:rsidP="00561387">
      <w:pPr>
        <w:widowControl/>
        <w:shd w:val="clear" w:color="auto" w:fill="FFFFFF" w:themeFill="background1"/>
        <w:spacing w:after="120" w:line="240" w:lineRule="auto"/>
        <w:jc w:val="both"/>
        <w:rPr>
          <w:rStyle w:val="bumpedfont15"/>
          <w:iCs/>
          <w:sz w:val="28"/>
          <w:szCs w:val="28"/>
          <w:shd w:val="clear" w:color="auto" w:fill="FFFFFF"/>
        </w:rPr>
      </w:pPr>
      <w:r w:rsidRPr="00765F30">
        <w:rPr>
          <w:rStyle w:val="bumpedfont15"/>
          <w:i/>
          <w:sz w:val="28"/>
          <w:szCs w:val="28"/>
          <w:shd w:val="clear" w:color="auto" w:fill="FFFFFF"/>
        </w:rPr>
        <w:t>Latvijas pieredze rāda, ka līdzvērtīgs rezultāts iepretim iekšējo robežu atjaunošanai var tikt sasniegts arī ar individuāli pielāgotiem alternatīviem pasākumiem</w:t>
      </w:r>
      <w:r w:rsidR="00F644CC">
        <w:rPr>
          <w:rStyle w:val="bumpedfont15"/>
          <w:i/>
          <w:sz w:val="28"/>
          <w:szCs w:val="28"/>
          <w:shd w:val="clear" w:color="auto" w:fill="FFFFFF"/>
        </w:rPr>
        <w:t xml:space="preserve">, tai skaitā </w:t>
      </w:r>
      <w:r w:rsidR="00F644CC" w:rsidRPr="00765F30">
        <w:rPr>
          <w:rStyle w:val="bumpedfont15"/>
          <w:i/>
          <w:sz w:val="28"/>
          <w:szCs w:val="28"/>
          <w:shd w:val="clear" w:color="auto" w:fill="FFFFFF"/>
        </w:rPr>
        <w:t>jaunāko tehnoloģiju sniegto iespēju izmantošan</w:t>
      </w:r>
      <w:r w:rsidR="00F644CC">
        <w:rPr>
          <w:rStyle w:val="bumpedfont15"/>
          <w:i/>
          <w:sz w:val="28"/>
          <w:szCs w:val="28"/>
          <w:shd w:val="clear" w:color="auto" w:fill="FFFFFF"/>
        </w:rPr>
        <w:t>u un pastiprinātu policijas sadarbību</w:t>
      </w:r>
      <w:r w:rsidRPr="00765F30">
        <w:rPr>
          <w:rStyle w:val="bumpedfont15"/>
          <w:i/>
          <w:sz w:val="28"/>
          <w:szCs w:val="28"/>
          <w:shd w:val="clear" w:color="auto" w:fill="FFFFFF"/>
        </w:rPr>
        <w:t xml:space="preserve">. Uzskatām, ka drošības saglabāšanai un stiprināšanai ir nepieciešama moderna, vienota un efektīva ārējo robežu pārvaldība, kā arī atbilstošu kompensējošo pasākumu esamība. </w:t>
      </w:r>
    </w:p>
    <w:p w14:paraId="3F4CE357" w14:textId="77777777" w:rsidR="00345E83" w:rsidRPr="00345E83" w:rsidRDefault="00345E83" w:rsidP="00345E83">
      <w:pPr>
        <w:spacing w:line="240" w:lineRule="auto"/>
        <w:jc w:val="both"/>
        <w:rPr>
          <w:b/>
          <w:sz w:val="28"/>
          <w:szCs w:val="28"/>
        </w:rPr>
      </w:pPr>
    </w:p>
    <w:p w14:paraId="076C3B13" w14:textId="77777777" w:rsidR="003D6D5A" w:rsidRDefault="003D6D5A" w:rsidP="004C0897">
      <w:pPr>
        <w:spacing w:line="240" w:lineRule="auto"/>
        <w:jc w:val="both"/>
        <w:rPr>
          <w:sz w:val="28"/>
          <w:szCs w:val="28"/>
        </w:rPr>
      </w:pPr>
    </w:p>
    <w:p w14:paraId="0999C26F" w14:textId="07B88B6E" w:rsidR="004C0897" w:rsidRDefault="004C0897" w:rsidP="004C0897">
      <w:pPr>
        <w:spacing w:line="240" w:lineRule="auto"/>
        <w:jc w:val="both"/>
        <w:rPr>
          <w:sz w:val="28"/>
          <w:szCs w:val="28"/>
        </w:rPr>
      </w:pPr>
      <w:r>
        <w:rPr>
          <w:sz w:val="28"/>
          <w:szCs w:val="28"/>
        </w:rPr>
        <w:t>Iekšlietu ministr</w:t>
      </w:r>
      <w:r w:rsidR="00561387">
        <w:rPr>
          <w:sz w:val="28"/>
          <w:szCs w:val="28"/>
        </w:rPr>
        <w: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61387">
        <w:rPr>
          <w:sz w:val="28"/>
          <w:szCs w:val="28"/>
        </w:rPr>
        <w:t>Marija Golubeva</w:t>
      </w:r>
    </w:p>
    <w:p w14:paraId="1C859070" w14:textId="77777777" w:rsidR="004304F2" w:rsidRDefault="004304F2" w:rsidP="004C0897">
      <w:pPr>
        <w:spacing w:line="240" w:lineRule="auto"/>
        <w:jc w:val="both"/>
        <w:rPr>
          <w:sz w:val="20"/>
        </w:rPr>
      </w:pPr>
    </w:p>
    <w:p w14:paraId="787B40B7" w14:textId="77777777" w:rsidR="00023B1F" w:rsidRDefault="00023B1F" w:rsidP="004C0897">
      <w:pPr>
        <w:spacing w:line="240" w:lineRule="auto"/>
        <w:jc w:val="both"/>
        <w:rPr>
          <w:sz w:val="20"/>
        </w:rPr>
      </w:pPr>
    </w:p>
    <w:p w14:paraId="2B6EAEC8" w14:textId="77777777" w:rsidR="00023B1F" w:rsidRDefault="00023B1F" w:rsidP="004C0897">
      <w:pPr>
        <w:spacing w:line="240" w:lineRule="auto"/>
        <w:jc w:val="both"/>
        <w:rPr>
          <w:sz w:val="20"/>
        </w:rPr>
      </w:pPr>
    </w:p>
    <w:p w14:paraId="21A7ECCD" w14:textId="6655B733" w:rsidR="00023B1F" w:rsidRPr="00023B1F" w:rsidRDefault="00023B1F" w:rsidP="00023B1F">
      <w:pPr>
        <w:spacing w:line="240" w:lineRule="auto"/>
        <w:jc w:val="center"/>
        <w:rPr>
          <w:sz w:val="28"/>
          <w:szCs w:val="28"/>
        </w:rPr>
      </w:pPr>
      <w:r w:rsidRPr="00023B1F">
        <w:rPr>
          <w:sz w:val="28"/>
          <w:szCs w:val="28"/>
        </w:rPr>
        <w:t xml:space="preserve">DOKUMENTS IR PARAKSTĪTS AR DROŠU ELEKTRONISKO </w:t>
      </w:r>
      <w:r w:rsidR="006A1425">
        <w:rPr>
          <w:sz w:val="28"/>
          <w:szCs w:val="28"/>
        </w:rPr>
        <w:t>P</w:t>
      </w:r>
      <w:r w:rsidRPr="00023B1F">
        <w:rPr>
          <w:sz w:val="28"/>
          <w:szCs w:val="28"/>
        </w:rPr>
        <w:t>ARAKSTU</w:t>
      </w:r>
      <w:r>
        <w:rPr>
          <w:sz w:val="28"/>
          <w:szCs w:val="28"/>
        </w:rPr>
        <w:t xml:space="preserve"> </w:t>
      </w:r>
      <w:r w:rsidRPr="00023B1F">
        <w:rPr>
          <w:sz w:val="28"/>
          <w:szCs w:val="28"/>
        </w:rPr>
        <w:t>UN SATUR LAIKA ZĪMOGU</w:t>
      </w:r>
    </w:p>
    <w:p w14:paraId="168BD08F" w14:textId="77777777" w:rsidR="00023B1F" w:rsidRDefault="00023B1F" w:rsidP="004C0897">
      <w:pPr>
        <w:spacing w:line="240" w:lineRule="auto"/>
        <w:jc w:val="both"/>
        <w:rPr>
          <w:sz w:val="20"/>
        </w:rPr>
      </w:pPr>
    </w:p>
    <w:p w14:paraId="503403B3" w14:textId="77777777" w:rsidR="00023B1F" w:rsidRDefault="00023B1F" w:rsidP="004C0897">
      <w:pPr>
        <w:spacing w:line="240" w:lineRule="auto"/>
        <w:jc w:val="both"/>
        <w:rPr>
          <w:sz w:val="20"/>
        </w:rPr>
      </w:pPr>
    </w:p>
    <w:p w14:paraId="767ECA15" w14:textId="77777777" w:rsidR="00023B1F" w:rsidRDefault="00023B1F" w:rsidP="004C0897">
      <w:pPr>
        <w:spacing w:line="240" w:lineRule="auto"/>
        <w:jc w:val="both"/>
        <w:rPr>
          <w:sz w:val="20"/>
        </w:rPr>
      </w:pPr>
    </w:p>
    <w:p w14:paraId="791B8295" w14:textId="77777777" w:rsidR="00023B1F" w:rsidRDefault="00023B1F" w:rsidP="004C0897">
      <w:pPr>
        <w:spacing w:line="240" w:lineRule="auto"/>
        <w:jc w:val="both"/>
        <w:rPr>
          <w:sz w:val="20"/>
        </w:rPr>
      </w:pPr>
      <w:bookmarkStart w:id="0" w:name="_GoBack"/>
      <w:bookmarkEnd w:id="0"/>
    </w:p>
    <w:p w14:paraId="22F03087" w14:textId="08C39B24" w:rsidR="004304F2" w:rsidRDefault="004304F2" w:rsidP="004304F2">
      <w:pPr>
        <w:spacing w:line="240" w:lineRule="auto"/>
        <w:rPr>
          <w:sz w:val="20"/>
        </w:rPr>
      </w:pPr>
      <w:r>
        <w:rPr>
          <w:sz w:val="20"/>
        </w:rPr>
        <w:fldChar w:fldCharType="begin"/>
      </w:r>
      <w:r>
        <w:rPr>
          <w:sz w:val="20"/>
        </w:rPr>
        <w:instrText xml:space="preserve"> DATE  \@ "dd.MM.yyyy. HH:mm"  \* MERGEFORMAT </w:instrText>
      </w:r>
      <w:r>
        <w:rPr>
          <w:sz w:val="20"/>
        </w:rPr>
        <w:fldChar w:fldCharType="separate"/>
      </w:r>
      <w:r w:rsidR="006A1425">
        <w:rPr>
          <w:noProof/>
          <w:sz w:val="20"/>
        </w:rPr>
        <w:t>02.07.2021. 08:38</w:t>
      </w:r>
      <w:r>
        <w:rPr>
          <w:sz w:val="20"/>
        </w:rPr>
        <w:fldChar w:fldCharType="end"/>
      </w:r>
    </w:p>
    <w:p w14:paraId="73826FE6" w14:textId="77777777" w:rsidR="004304F2" w:rsidRPr="00FB4F29" w:rsidRDefault="004304F2" w:rsidP="004304F2">
      <w:pPr>
        <w:spacing w:line="240" w:lineRule="auto"/>
        <w:rPr>
          <w:sz w:val="20"/>
        </w:rPr>
      </w:pPr>
      <w:r w:rsidRPr="00FB4F29">
        <w:rPr>
          <w:sz w:val="20"/>
        </w:rPr>
        <w:fldChar w:fldCharType="begin"/>
      </w:r>
      <w:r w:rsidRPr="00FB4F29">
        <w:rPr>
          <w:sz w:val="20"/>
        </w:rPr>
        <w:instrText xml:space="preserve"> NUMWORDS   \* MERGEFORMAT </w:instrText>
      </w:r>
      <w:r w:rsidRPr="00FB4F29">
        <w:rPr>
          <w:sz w:val="20"/>
        </w:rPr>
        <w:fldChar w:fldCharType="separate"/>
      </w:r>
      <w:r w:rsidR="00B9340F">
        <w:rPr>
          <w:noProof/>
          <w:sz w:val="20"/>
        </w:rPr>
        <w:t>967</w:t>
      </w:r>
      <w:r w:rsidRPr="00FB4F29">
        <w:rPr>
          <w:sz w:val="20"/>
        </w:rPr>
        <w:fldChar w:fldCharType="end"/>
      </w:r>
    </w:p>
    <w:p w14:paraId="6E0BC7FB" w14:textId="77777777" w:rsidR="004304F2" w:rsidRPr="00FB4F29" w:rsidRDefault="004304F2" w:rsidP="004304F2">
      <w:pPr>
        <w:pStyle w:val="NoSpacing"/>
        <w:rPr>
          <w:rFonts w:ascii="Times New Roman" w:hAnsi="Times New Roman"/>
          <w:sz w:val="20"/>
          <w:szCs w:val="20"/>
          <w:lang w:val="lv-LV"/>
        </w:rPr>
      </w:pPr>
      <w:r w:rsidRPr="00FB4F29">
        <w:rPr>
          <w:rFonts w:ascii="Times New Roman" w:hAnsi="Times New Roman"/>
          <w:sz w:val="20"/>
          <w:szCs w:val="20"/>
          <w:lang w:val="lv-LV"/>
        </w:rPr>
        <w:t xml:space="preserve">Eiropas </w:t>
      </w:r>
      <w:r>
        <w:rPr>
          <w:rFonts w:ascii="Times New Roman" w:hAnsi="Times New Roman"/>
          <w:sz w:val="20"/>
          <w:szCs w:val="20"/>
          <w:lang w:val="lv-LV"/>
        </w:rPr>
        <w:t>lietu un starptautiskās sadarbības departamenta</w:t>
      </w:r>
      <w:r>
        <w:rPr>
          <w:rFonts w:ascii="Times New Roman" w:hAnsi="Times New Roman"/>
          <w:sz w:val="20"/>
          <w:szCs w:val="20"/>
          <w:lang w:val="lv-LV"/>
        </w:rPr>
        <w:br/>
        <w:t>Eiropas lietu nodaļas vecākā referente</w:t>
      </w:r>
    </w:p>
    <w:p w14:paraId="5503EB15" w14:textId="77777777" w:rsidR="004304F2" w:rsidRPr="00FB4F29" w:rsidRDefault="004304F2" w:rsidP="004304F2">
      <w:pPr>
        <w:pStyle w:val="NoSpacing"/>
        <w:rPr>
          <w:rFonts w:ascii="Times New Roman" w:hAnsi="Times New Roman"/>
          <w:sz w:val="20"/>
          <w:szCs w:val="20"/>
          <w:lang w:val="sv-SE"/>
        </w:rPr>
      </w:pPr>
      <w:r>
        <w:rPr>
          <w:rFonts w:ascii="Times New Roman" w:hAnsi="Times New Roman"/>
          <w:sz w:val="20"/>
          <w:szCs w:val="20"/>
          <w:lang w:val="sv-SE"/>
        </w:rPr>
        <w:t>E.Priedniece, 67219254</w:t>
      </w:r>
    </w:p>
    <w:p w14:paraId="4457B49F" w14:textId="49F33D4C" w:rsidR="00380A37" w:rsidRDefault="005207AF" w:rsidP="00D30B40">
      <w:pPr>
        <w:spacing w:line="240" w:lineRule="auto"/>
        <w:rPr>
          <w:sz w:val="20"/>
        </w:rPr>
      </w:pPr>
      <w:hyperlink r:id="rId8" w:history="1">
        <w:r w:rsidR="004304F2" w:rsidRPr="00764C02">
          <w:rPr>
            <w:rStyle w:val="Hyperlink"/>
            <w:sz w:val="20"/>
          </w:rPr>
          <w:t>elina.priedniece@iem.gov.lv</w:t>
        </w:r>
      </w:hyperlink>
    </w:p>
    <w:sectPr w:rsidR="00380A37" w:rsidSect="0094143C">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3B5D1" w14:textId="77777777" w:rsidR="005207AF" w:rsidRDefault="005207AF" w:rsidP="004C0897">
      <w:pPr>
        <w:spacing w:line="240" w:lineRule="auto"/>
      </w:pPr>
      <w:r>
        <w:separator/>
      </w:r>
    </w:p>
  </w:endnote>
  <w:endnote w:type="continuationSeparator" w:id="0">
    <w:p w14:paraId="197CC038" w14:textId="77777777" w:rsidR="005207AF" w:rsidRDefault="005207AF" w:rsidP="004C0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AF362" w14:textId="784747C7" w:rsidR="00866B8E" w:rsidRPr="006F1016" w:rsidRDefault="00866B8E" w:rsidP="00866B8E">
    <w:pPr>
      <w:pStyle w:val="Footer"/>
      <w:jc w:val="both"/>
      <w:rPr>
        <w:i/>
        <w:sz w:val="20"/>
      </w:rPr>
    </w:pPr>
    <w:r w:rsidRPr="006F1016">
      <w:rPr>
        <w:i/>
        <w:sz w:val="20"/>
      </w:rPr>
      <w:fldChar w:fldCharType="begin"/>
    </w:r>
    <w:r w:rsidRPr="006F1016">
      <w:rPr>
        <w:i/>
        <w:sz w:val="20"/>
      </w:rPr>
      <w:instrText xml:space="preserve"> FILENAME   \* MERGEFORMAT </w:instrText>
    </w:r>
    <w:r w:rsidRPr="006F1016">
      <w:rPr>
        <w:i/>
        <w:sz w:val="20"/>
      </w:rPr>
      <w:fldChar w:fldCharType="separate"/>
    </w:r>
    <w:r w:rsidR="00F824CF">
      <w:rPr>
        <w:i/>
        <w:noProof/>
        <w:sz w:val="20"/>
      </w:rPr>
      <w:t>IEMzino_020721</w:t>
    </w:r>
    <w:r w:rsidRPr="006F1016">
      <w:rPr>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1"/>
  <w:bookmarkStart w:id="2" w:name="OLE_LINK2"/>
  <w:bookmarkStart w:id="3" w:name="_Hlk484078203"/>
  <w:p w14:paraId="7EFBB045" w14:textId="204972FB" w:rsidR="006F1016" w:rsidRPr="006F1016" w:rsidRDefault="006F1016" w:rsidP="006F1016">
    <w:pPr>
      <w:pStyle w:val="Footer"/>
      <w:jc w:val="both"/>
      <w:rPr>
        <w:i/>
        <w:sz w:val="20"/>
      </w:rPr>
    </w:pPr>
    <w:r w:rsidRPr="006F1016">
      <w:rPr>
        <w:i/>
        <w:sz w:val="20"/>
      </w:rPr>
      <w:fldChar w:fldCharType="begin"/>
    </w:r>
    <w:r w:rsidRPr="006F1016">
      <w:rPr>
        <w:i/>
        <w:sz w:val="20"/>
      </w:rPr>
      <w:instrText xml:space="preserve"> FILENAME   \* MERGEFORMAT </w:instrText>
    </w:r>
    <w:r w:rsidRPr="006F1016">
      <w:rPr>
        <w:i/>
        <w:sz w:val="20"/>
      </w:rPr>
      <w:fldChar w:fldCharType="separate"/>
    </w:r>
    <w:r w:rsidR="00F824CF">
      <w:rPr>
        <w:i/>
        <w:noProof/>
        <w:sz w:val="20"/>
      </w:rPr>
      <w:t>IEMzino_020721</w:t>
    </w:r>
    <w:r w:rsidRPr="006F1016">
      <w:rPr>
        <w:i/>
        <w:sz w:val="20"/>
      </w:rPr>
      <w:fldChar w:fldCharType="end"/>
    </w:r>
    <w:bookmarkEnd w:id="1"/>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1DB21" w14:textId="77777777" w:rsidR="005207AF" w:rsidRDefault="005207AF" w:rsidP="004C0897">
      <w:pPr>
        <w:spacing w:line="240" w:lineRule="auto"/>
      </w:pPr>
      <w:r>
        <w:separator/>
      </w:r>
    </w:p>
  </w:footnote>
  <w:footnote w:type="continuationSeparator" w:id="0">
    <w:p w14:paraId="7D36CC23" w14:textId="77777777" w:rsidR="005207AF" w:rsidRDefault="005207AF" w:rsidP="004C0897">
      <w:pPr>
        <w:spacing w:line="240" w:lineRule="auto"/>
      </w:pPr>
      <w:r>
        <w:continuationSeparator/>
      </w:r>
    </w:p>
  </w:footnote>
  <w:footnote w:id="1">
    <w:p w14:paraId="443E0444" w14:textId="6F31F9AE" w:rsidR="00561387" w:rsidRPr="00F972DE" w:rsidRDefault="00561387" w:rsidP="00561387">
      <w:pPr>
        <w:spacing w:line="240" w:lineRule="auto"/>
        <w:contextualSpacing/>
        <w:jc w:val="both"/>
        <w:rPr>
          <w:sz w:val="20"/>
        </w:rPr>
      </w:pPr>
      <w:r w:rsidRPr="007611E9">
        <w:rPr>
          <w:rStyle w:val="FootnoteReference"/>
          <w:sz w:val="20"/>
        </w:rPr>
        <w:footnoteRef/>
      </w:r>
      <w:r w:rsidRPr="007611E9">
        <w:rPr>
          <w:sz w:val="20"/>
        </w:rPr>
        <w:t xml:space="preserve"> </w:t>
      </w:r>
      <w:r w:rsidRPr="007611E9">
        <w:rPr>
          <w:sz w:val="20"/>
          <w:u w:val="single"/>
        </w:rPr>
        <w:t>Ārējā dimensija</w:t>
      </w:r>
      <w:r w:rsidRPr="007611E9">
        <w:rPr>
          <w:sz w:val="20"/>
        </w:rPr>
        <w:t xml:space="preserve"> (visaptveroša un ilgtspējīga pieeja sadarbības attīstīšanai ar migrantu izcelsmes un tranzīta valstīm, lai risinātu nelegālās migrācijas cēloņus);</w:t>
      </w:r>
      <w:r>
        <w:rPr>
          <w:sz w:val="20"/>
        </w:rPr>
        <w:t xml:space="preserve"> </w:t>
      </w:r>
      <w:r w:rsidRPr="007611E9">
        <w:rPr>
          <w:sz w:val="20"/>
          <w:u w:val="single"/>
        </w:rPr>
        <w:t>Ārējās robežas</w:t>
      </w:r>
      <w:r w:rsidRPr="007611E9">
        <w:rPr>
          <w:sz w:val="20"/>
        </w:rPr>
        <w:t xml:space="preserve"> (efektīva migrācijas plūsmu pārvaldība uz ES ārējām robežām, tai skaitā sniedzot papildus atbalstu pirmās līnijas </w:t>
      </w:r>
      <w:r w:rsidR="00254A0E">
        <w:rPr>
          <w:sz w:val="20"/>
        </w:rPr>
        <w:t>dalībvalstīm</w:t>
      </w:r>
      <w:r w:rsidRPr="00F972DE">
        <w:rPr>
          <w:sz w:val="20"/>
        </w:rPr>
        <w:t xml:space="preserve">); </w:t>
      </w:r>
      <w:r w:rsidRPr="00F972DE">
        <w:rPr>
          <w:sz w:val="20"/>
          <w:u w:val="single"/>
        </w:rPr>
        <w:t>Solidaritāte</w:t>
      </w:r>
      <w:r w:rsidRPr="00F972DE">
        <w:rPr>
          <w:sz w:val="20"/>
        </w:rPr>
        <w:t xml:space="preserve"> (visām </w:t>
      </w:r>
      <w:r w:rsidR="00254A0E">
        <w:rPr>
          <w:sz w:val="20"/>
        </w:rPr>
        <w:t>dalībvalstīm</w:t>
      </w:r>
      <w:r w:rsidR="00254A0E" w:rsidRPr="00F972DE">
        <w:rPr>
          <w:sz w:val="20"/>
        </w:rPr>
        <w:t xml:space="preserve"> </w:t>
      </w:r>
      <w:r w:rsidRPr="00F972DE">
        <w:rPr>
          <w:sz w:val="20"/>
        </w:rPr>
        <w:t xml:space="preserve">obligāts, bet </w:t>
      </w:r>
      <w:proofErr w:type="spellStart"/>
      <w:r w:rsidRPr="00F972DE">
        <w:rPr>
          <w:sz w:val="20"/>
        </w:rPr>
        <w:t>fleksibls</w:t>
      </w:r>
      <w:proofErr w:type="spellEnd"/>
      <w:r w:rsidRPr="00F972DE">
        <w:rPr>
          <w:sz w:val="20"/>
        </w:rPr>
        <w:t xml:space="preserve"> solidaritātes mehānisms, kas vienlaikus atbilst gan atbalstu sniedzošo </w:t>
      </w:r>
      <w:r w:rsidR="00254A0E">
        <w:rPr>
          <w:sz w:val="20"/>
        </w:rPr>
        <w:t>dalībvalstu</w:t>
      </w:r>
      <w:r w:rsidR="00254A0E" w:rsidRPr="00F972DE">
        <w:rPr>
          <w:sz w:val="20"/>
        </w:rPr>
        <w:t xml:space="preserve"> </w:t>
      </w:r>
      <w:r w:rsidRPr="00F972DE">
        <w:rPr>
          <w:sz w:val="20"/>
        </w:rPr>
        <w:t xml:space="preserve">iespējām, gan atbalstu saņemošo </w:t>
      </w:r>
      <w:r w:rsidR="00254A0E">
        <w:rPr>
          <w:sz w:val="20"/>
        </w:rPr>
        <w:t>dalībvalstu</w:t>
      </w:r>
      <w:r w:rsidR="00254A0E" w:rsidRPr="00F972DE">
        <w:rPr>
          <w:sz w:val="20"/>
        </w:rPr>
        <w:t xml:space="preserve"> </w:t>
      </w:r>
      <w:r w:rsidRPr="00F972DE">
        <w:rPr>
          <w:sz w:val="20"/>
        </w:rPr>
        <w:t>vajadzībām).</w:t>
      </w:r>
    </w:p>
  </w:footnote>
  <w:footnote w:id="2">
    <w:p w14:paraId="1A368F1B" w14:textId="3E3247D7" w:rsidR="00561387" w:rsidRPr="00F972DE" w:rsidRDefault="00561387" w:rsidP="00561387">
      <w:pPr>
        <w:widowControl/>
        <w:spacing w:line="240" w:lineRule="auto"/>
        <w:jc w:val="both"/>
        <w:rPr>
          <w:sz w:val="20"/>
        </w:rPr>
      </w:pPr>
      <w:r w:rsidRPr="00F972DE">
        <w:rPr>
          <w:rStyle w:val="FootnoteReference"/>
          <w:sz w:val="20"/>
        </w:rPr>
        <w:footnoteRef/>
      </w:r>
      <w:r w:rsidRPr="00F972DE">
        <w:rPr>
          <w:sz w:val="20"/>
        </w:rPr>
        <w:t xml:space="preserve"> Tā sauktās </w:t>
      </w:r>
      <w:r w:rsidRPr="00F972DE">
        <w:rPr>
          <w:b/>
          <w:sz w:val="20"/>
        </w:rPr>
        <w:t xml:space="preserve">robežvalstis jeb pirmās līnijas </w:t>
      </w:r>
      <w:r w:rsidR="00254A0E">
        <w:rPr>
          <w:b/>
          <w:sz w:val="20"/>
        </w:rPr>
        <w:t>dalībvalstis</w:t>
      </w:r>
      <w:r w:rsidR="00254A0E" w:rsidRPr="00F972DE">
        <w:rPr>
          <w:b/>
          <w:sz w:val="20"/>
        </w:rPr>
        <w:t xml:space="preserve"> </w:t>
      </w:r>
      <w:r w:rsidRPr="00F972DE">
        <w:rPr>
          <w:sz w:val="20"/>
        </w:rPr>
        <w:t>(Itālija, Bulgārija, Grieķija, Spānija, Malta, Portugāle, Kipra) turpina uzsvērt, ka ir jāparedz obligāti pārvietošanas pasākumi, jo tikai tādā gadījumā tiks panākts patiess līdzsvars starp šo valstu atbildību par ES ārējās dienvidu robežas efektīvu pārvaldību un atbilstošām solidaritātes garantijām pārlieku lielā migrācijas spiediena mazināšanā.</w:t>
      </w:r>
    </w:p>
    <w:p w14:paraId="3A1CAF96" w14:textId="0708D369" w:rsidR="00561387" w:rsidRDefault="00561387" w:rsidP="00561387">
      <w:pPr>
        <w:pStyle w:val="FootnoteText"/>
        <w:jc w:val="both"/>
      </w:pPr>
      <w:r w:rsidRPr="00F972DE">
        <w:rPr>
          <w:b/>
        </w:rPr>
        <w:t xml:space="preserve">Otra </w:t>
      </w:r>
      <w:r w:rsidR="00254A0E">
        <w:rPr>
          <w:b/>
        </w:rPr>
        <w:t>dalībvalstu</w:t>
      </w:r>
      <w:r w:rsidR="00254A0E" w:rsidRPr="00F972DE">
        <w:rPr>
          <w:b/>
        </w:rPr>
        <w:t xml:space="preserve"> </w:t>
      </w:r>
      <w:r w:rsidRPr="00F972DE">
        <w:rPr>
          <w:b/>
        </w:rPr>
        <w:t xml:space="preserve">grupa </w:t>
      </w:r>
      <w:r w:rsidRPr="00F972DE">
        <w:t xml:space="preserve">(Slovēnija, Slovākija, Horvātija, Dānija, Lietuva, Latvija, Igaunija, Čehija, Polija, Rumānija, Ungārija, Austrija) atbalsta elastīgāku solidaritāti, ietverot mehānismā daudz vairāk elementu (piemēram, centienus savu ārējo robežu pārvaldībā), no kuriem būtu iespējams brīvi izvēlēties, ņemot vērā atbalstu sniedzošās </w:t>
      </w:r>
      <w:r w:rsidR="00254A0E">
        <w:t>dalībvalsts</w:t>
      </w:r>
      <w:r w:rsidR="00254A0E" w:rsidRPr="00F972DE">
        <w:t xml:space="preserve"> </w:t>
      </w:r>
      <w:r w:rsidRPr="00F972DE">
        <w:t>kapacitāti un iespējas. Turklāt praktiski visas arī uzsver, ka dalībai pārvietošanas pasākumos ir jābalstās uz brīvprātības pamatiem, un pārvietotas var tikt tikai tās personas, kurām patiesi nepieciešama starptautiskā aizsardzība.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028720"/>
      <w:docPartObj>
        <w:docPartGallery w:val="Page Numbers (Top of Page)"/>
        <w:docPartUnique/>
      </w:docPartObj>
    </w:sdtPr>
    <w:sdtEndPr>
      <w:rPr>
        <w:noProof/>
      </w:rPr>
    </w:sdtEndPr>
    <w:sdtContent>
      <w:p w14:paraId="7C99B180" w14:textId="09CACE08" w:rsidR="0094143C" w:rsidRDefault="0094143C">
        <w:pPr>
          <w:pStyle w:val="Header"/>
          <w:jc w:val="center"/>
        </w:pPr>
        <w:r>
          <w:fldChar w:fldCharType="begin"/>
        </w:r>
        <w:r>
          <w:instrText xml:space="preserve"> PAGE   \* MERGEFORMAT </w:instrText>
        </w:r>
        <w:r>
          <w:fldChar w:fldCharType="separate"/>
        </w:r>
        <w:r w:rsidR="00B9340F">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318D"/>
    <w:multiLevelType w:val="hybridMultilevel"/>
    <w:tmpl w:val="C1BA70EC"/>
    <w:lvl w:ilvl="0" w:tplc="DCC02E7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DE7652"/>
    <w:multiLevelType w:val="hybridMultilevel"/>
    <w:tmpl w:val="DFB840AA"/>
    <w:lvl w:ilvl="0" w:tplc="FEC8CCB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495AAA"/>
    <w:multiLevelType w:val="hybridMultilevel"/>
    <w:tmpl w:val="92B83C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3D1170"/>
    <w:multiLevelType w:val="hybridMultilevel"/>
    <w:tmpl w:val="E07ED5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0A5232"/>
    <w:multiLevelType w:val="hybridMultilevel"/>
    <w:tmpl w:val="4DA07864"/>
    <w:lvl w:ilvl="0" w:tplc="E28A89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992AAA"/>
    <w:multiLevelType w:val="hybridMultilevel"/>
    <w:tmpl w:val="D75ED9FC"/>
    <w:lvl w:ilvl="0" w:tplc="0426000F">
      <w:start w:val="1"/>
      <w:numFmt w:val="decimal"/>
      <w:lvlText w:val="%1."/>
      <w:lvlJc w:val="left"/>
      <w:pPr>
        <w:ind w:left="1019" w:hanging="360"/>
      </w:pPr>
    </w:lvl>
    <w:lvl w:ilvl="1" w:tplc="04260019" w:tentative="1">
      <w:start w:val="1"/>
      <w:numFmt w:val="lowerLetter"/>
      <w:lvlText w:val="%2."/>
      <w:lvlJc w:val="left"/>
      <w:pPr>
        <w:ind w:left="1739" w:hanging="360"/>
      </w:pPr>
    </w:lvl>
    <w:lvl w:ilvl="2" w:tplc="0426001B" w:tentative="1">
      <w:start w:val="1"/>
      <w:numFmt w:val="lowerRoman"/>
      <w:lvlText w:val="%3."/>
      <w:lvlJc w:val="right"/>
      <w:pPr>
        <w:ind w:left="2459" w:hanging="180"/>
      </w:pPr>
    </w:lvl>
    <w:lvl w:ilvl="3" w:tplc="0426000F" w:tentative="1">
      <w:start w:val="1"/>
      <w:numFmt w:val="decimal"/>
      <w:lvlText w:val="%4."/>
      <w:lvlJc w:val="left"/>
      <w:pPr>
        <w:ind w:left="3179" w:hanging="360"/>
      </w:pPr>
    </w:lvl>
    <w:lvl w:ilvl="4" w:tplc="04260019" w:tentative="1">
      <w:start w:val="1"/>
      <w:numFmt w:val="lowerLetter"/>
      <w:lvlText w:val="%5."/>
      <w:lvlJc w:val="left"/>
      <w:pPr>
        <w:ind w:left="3899" w:hanging="360"/>
      </w:pPr>
    </w:lvl>
    <w:lvl w:ilvl="5" w:tplc="0426001B" w:tentative="1">
      <w:start w:val="1"/>
      <w:numFmt w:val="lowerRoman"/>
      <w:lvlText w:val="%6."/>
      <w:lvlJc w:val="right"/>
      <w:pPr>
        <w:ind w:left="4619" w:hanging="180"/>
      </w:pPr>
    </w:lvl>
    <w:lvl w:ilvl="6" w:tplc="0426000F" w:tentative="1">
      <w:start w:val="1"/>
      <w:numFmt w:val="decimal"/>
      <w:lvlText w:val="%7."/>
      <w:lvlJc w:val="left"/>
      <w:pPr>
        <w:ind w:left="5339" w:hanging="360"/>
      </w:pPr>
    </w:lvl>
    <w:lvl w:ilvl="7" w:tplc="04260019" w:tentative="1">
      <w:start w:val="1"/>
      <w:numFmt w:val="lowerLetter"/>
      <w:lvlText w:val="%8."/>
      <w:lvlJc w:val="left"/>
      <w:pPr>
        <w:ind w:left="6059" w:hanging="360"/>
      </w:pPr>
    </w:lvl>
    <w:lvl w:ilvl="8" w:tplc="0426001B" w:tentative="1">
      <w:start w:val="1"/>
      <w:numFmt w:val="lowerRoman"/>
      <w:lvlText w:val="%9."/>
      <w:lvlJc w:val="right"/>
      <w:pPr>
        <w:ind w:left="6779" w:hanging="180"/>
      </w:pPr>
    </w:lvl>
  </w:abstractNum>
  <w:abstractNum w:abstractNumId="6" w15:restartNumberingAfterBreak="0">
    <w:nsid w:val="2B7B5670"/>
    <w:multiLevelType w:val="hybridMultilevel"/>
    <w:tmpl w:val="44CCC0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E9946C9"/>
    <w:multiLevelType w:val="hybridMultilevel"/>
    <w:tmpl w:val="87FC529E"/>
    <w:lvl w:ilvl="0" w:tplc="ADFE5CFC">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84B19BB"/>
    <w:multiLevelType w:val="hybridMultilevel"/>
    <w:tmpl w:val="E5DA64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E22C08"/>
    <w:multiLevelType w:val="hybridMultilevel"/>
    <w:tmpl w:val="D6D685C0"/>
    <w:lvl w:ilvl="0" w:tplc="FEC8CCB6">
      <w:numFmt w:val="bullet"/>
      <w:lvlText w:val="-"/>
      <w:lvlJc w:val="left"/>
      <w:pPr>
        <w:ind w:left="720" w:hanging="360"/>
      </w:pPr>
      <w:rPr>
        <w:rFonts w:ascii="Calibri" w:eastAsiaTheme="minorHAnsi" w:hAnsi="Calibri" w:cs="Calibri" w:hint="default"/>
      </w:rPr>
    </w:lvl>
    <w:lvl w:ilvl="1" w:tplc="FEC8CCB6">
      <w:numFmt w:val="bullet"/>
      <w:lvlText w:val="-"/>
      <w:lvlJc w:val="left"/>
      <w:pPr>
        <w:ind w:left="1440" w:hanging="360"/>
      </w:pPr>
      <w:rPr>
        <w:rFonts w:ascii="Calibri" w:eastAsiaTheme="minorHAnsi" w:hAnsi="Calibri" w:cs="Calibr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2D75648"/>
    <w:multiLevelType w:val="hybridMultilevel"/>
    <w:tmpl w:val="E9AAD8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151891"/>
    <w:multiLevelType w:val="hybridMultilevel"/>
    <w:tmpl w:val="36105A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3E6CBF"/>
    <w:multiLevelType w:val="hybridMultilevel"/>
    <w:tmpl w:val="4FA82F9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83F6DFC"/>
    <w:multiLevelType w:val="hybridMultilevel"/>
    <w:tmpl w:val="63B8075C"/>
    <w:lvl w:ilvl="0" w:tplc="90BC057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D487D46"/>
    <w:multiLevelType w:val="hybridMultilevel"/>
    <w:tmpl w:val="606C95E4"/>
    <w:lvl w:ilvl="0" w:tplc="4504051C">
      <w:start w:val="20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DAF751F"/>
    <w:multiLevelType w:val="hybridMultilevel"/>
    <w:tmpl w:val="D132E8FA"/>
    <w:lvl w:ilvl="0" w:tplc="3AF65F1A">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7E0F6A02"/>
    <w:multiLevelType w:val="hybridMultilevel"/>
    <w:tmpl w:val="4ABC89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16"/>
  </w:num>
  <w:num w:numId="5">
    <w:abstractNumId w:val="12"/>
  </w:num>
  <w:num w:numId="6">
    <w:abstractNumId w:val="15"/>
  </w:num>
  <w:num w:numId="7">
    <w:abstractNumId w:val="5"/>
  </w:num>
  <w:num w:numId="8">
    <w:abstractNumId w:val="4"/>
  </w:num>
  <w:num w:numId="9">
    <w:abstractNumId w:val="7"/>
  </w:num>
  <w:num w:numId="10">
    <w:abstractNumId w:val="6"/>
  </w:num>
  <w:num w:numId="11">
    <w:abstractNumId w:val="10"/>
  </w:num>
  <w:num w:numId="12">
    <w:abstractNumId w:val="3"/>
  </w:num>
  <w:num w:numId="13">
    <w:abstractNumId w:val="2"/>
  </w:num>
  <w:num w:numId="14">
    <w:abstractNumId w:val="9"/>
  </w:num>
  <w:num w:numId="15">
    <w:abstractNumId w:val="14"/>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F0"/>
    <w:rsid w:val="000101DC"/>
    <w:rsid w:val="00020BDD"/>
    <w:rsid w:val="00023B1F"/>
    <w:rsid w:val="00026652"/>
    <w:rsid w:val="00040D53"/>
    <w:rsid w:val="000621C1"/>
    <w:rsid w:val="00070A66"/>
    <w:rsid w:val="000722C4"/>
    <w:rsid w:val="00073B24"/>
    <w:rsid w:val="00075C13"/>
    <w:rsid w:val="00082394"/>
    <w:rsid w:val="00085E06"/>
    <w:rsid w:val="00092FC1"/>
    <w:rsid w:val="00093EA9"/>
    <w:rsid w:val="00094ECA"/>
    <w:rsid w:val="000B3E60"/>
    <w:rsid w:val="000E4DC0"/>
    <w:rsid w:val="001110D2"/>
    <w:rsid w:val="00117FB6"/>
    <w:rsid w:val="00120E9C"/>
    <w:rsid w:val="001323CC"/>
    <w:rsid w:val="00141862"/>
    <w:rsid w:val="001554E0"/>
    <w:rsid w:val="00171F63"/>
    <w:rsid w:val="001843AA"/>
    <w:rsid w:val="001B700A"/>
    <w:rsid w:val="001B70AB"/>
    <w:rsid w:val="001B7595"/>
    <w:rsid w:val="001C30C7"/>
    <w:rsid w:val="001D5281"/>
    <w:rsid w:val="00212566"/>
    <w:rsid w:val="00217EF0"/>
    <w:rsid w:val="0024346F"/>
    <w:rsid w:val="00254A0E"/>
    <w:rsid w:val="00290222"/>
    <w:rsid w:val="002D160A"/>
    <w:rsid w:val="002E12A4"/>
    <w:rsid w:val="002E5FC3"/>
    <w:rsid w:val="00307673"/>
    <w:rsid w:val="003225E5"/>
    <w:rsid w:val="00327AE5"/>
    <w:rsid w:val="00345E83"/>
    <w:rsid w:val="00380A37"/>
    <w:rsid w:val="00396E58"/>
    <w:rsid w:val="003B6A6B"/>
    <w:rsid w:val="003C680D"/>
    <w:rsid w:val="003D6386"/>
    <w:rsid w:val="003D672E"/>
    <w:rsid w:val="003D6D5A"/>
    <w:rsid w:val="004304F2"/>
    <w:rsid w:val="004375D8"/>
    <w:rsid w:val="00450CDE"/>
    <w:rsid w:val="00473976"/>
    <w:rsid w:val="004858B7"/>
    <w:rsid w:val="0049497B"/>
    <w:rsid w:val="004A4E0C"/>
    <w:rsid w:val="004B5EDE"/>
    <w:rsid w:val="004C0897"/>
    <w:rsid w:val="004C769D"/>
    <w:rsid w:val="004C76A9"/>
    <w:rsid w:val="004E4F97"/>
    <w:rsid w:val="00511883"/>
    <w:rsid w:val="00516B6C"/>
    <w:rsid w:val="005207AF"/>
    <w:rsid w:val="005214A3"/>
    <w:rsid w:val="005552E3"/>
    <w:rsid w:val="00561387"/>
    <w:rsid w:val="00571A65"/>
    <w:rsid w:val="00591DCD"/>
    <w:rsid w:val="005B632F"/>
    <w:rsid w:val="005B6829"/>
    <w:rsid w:val="005D65ED"/>
    <w:rsid w:val="005E5997"/>
    <w:rsid w:val="006243E9"/>
    <w:rsid w:val="0063082B"/>
    <w:rsid w:val="00667533"/>
    <w:rsid w:val="006A1425"/>
    <w:rsid w:val="006E2E6E"/>
    <w:rsid w:val="006F1016"/>
    <w:rsid w:val="00714247"/>
    <w:rsid w:val="00726C3E"/>
    <w:rsid w:val="0073159E"/>
    <w:rsid w:val="00755BED"/>
    <w:rsid w:val="00765F30"/>
    <w:rsid w:val="00780408"/>
    <w:rsid w:val="00785F8B"/>
    <w:rsid w:val="007C0F10"/>
    <w:rsid w:val="007E3874"/>
    <w:rsid w:val="00805DD9"/>
    <w:rsid w:val="00811225"/>
    <w:rsid w:val="0082291E"/>
    <w:rsid w:val="00836577"/>
    <w:rsid w:val="008463FC"/>
    <w:rsid w:val="00866B8E"/>
    <w:rsid w:val="00882CE3"/>
    <w:rsid w:val="008B139E"/>
    <w:rsid w:val="008B7F97"/>
    <w:rsid w:val="008E2F92"/>
    <w:rsid w:val="00901F48"/>
    <w:rsid w:val="00903579"/>
    <w:rsid w:val="00905DBB"/>
    <w:rsid w:val="00922F93"/>
    <w:rsid w:val="0094143C"/>
    <w:rsid w:val="00952C1F"/>
    <w:rsid w:val="00981DA7"/>
    <w:rsid w:val="009821FD"/>
    <w:rsid w:val="009A12F2"/>
    <w:rsid w:val="009A6D7F"/>
    <w:rsid w:val="009B5C33"/>
    <w:rsid w:val="009B77EE"/>
    <w:rsid w:val="009D249A"/>
    <w:rsid w:val="009D7A57"/>
    <w:rsid w:val="00A02B6A"/>
    <w:rsid w:val="00A1584E"/>
    <w:rsid w:val="00A24400"/>
    <w:rsid w:val="00A431E7"/>
    <w:rsid w:val="00A56B9F"/>
    <w:rsid w:val="00A74CEE"/>
    <w:rsid w:val="00AA095A"/>
    <w:rsid w:val="00AB3069"/>
    <w:rsid w:val="00AE1CA0"/>
    <w:rsid w:val="00AE60B5"/>
    <w:rsid w:val="00B0176B"/>
    <w:rsid w:val="00B134B2"/>
    <w:rsid w:val="00B1565D"/>
    <w:rsid w:val="00B2514F"/>
    <w:rsid w:val="00B36B95"/>
    <w:rsid w:val="00B53527"/>
    <w:rsid w:val="00B76E84"/>
    <w:rsid w:val="00B82500"/>
    <w:rsid w:val="00B914F0"/>
    <w:rsid w:val="00B9340F"/>
    <w:rsid w:val="00BA7819"/>
    <w:rsid w:val="00BB2B02"/>
    <w:rsid w:val="00BD4E48"/>
    <w:rsid w:val="00BD6267"/>
    <w:rsid w:val="00BE0734"/>
    <w:rsid w:val="00C0210F"/>
    <w:rsid w:val="00C27E3E"/>
    <w:rsid w:val="00C82AF6"/>
    <w:rsid w:val="00C93866"/>
    <w:rsid w:val="00CD600B"/>
    <w:rsid w:val="00CF23CF"/>
    <w:rsid w:val="00CF2FD4"/>
    <w:rsid w:val="00D30B40"/>
    <w:rsid w:val="00D60E81"/>
    <w:rsid w:val="00D9664D"/>
    <w:rsid w:val="00DB2C54"/>
    <w:rsid w:val="00DC2C50"/>
    <w:rsid w:val="00DF47F0"/>
    <w:rsid w:val="00E03E67"/>
    <w:rsid w:val="00E05836"/>
    <w:rsid w:val="00E37CE5"/>
    <w:rsid w:val="00E968C5"/>
    <w:rsid w:val="00EA4988"/>
    <w:rsid w:val="00EB09FF"/>
    <w:rsid w:val="00EB625A"/>
    <w:rsid w:val="00ED02C1"/>
    <w:rsid w:val="00EF08B4"/>
    <w:rsid w:val="00EF110D"/>
    <w:rsid w:val="00EF4B0B"/>
    <w:rsid w:val="00EF7877"/>
    <w:rsid w:val="00F6257F"/>
    <w:rsid w:val="00F644CC"/>
    <w:rsid w:val="00F65876"/>
    <w:rsid w:val="00F824CF"/>
    <w:rsid w:val="00F91AD1"/>
    <w:rsid w:val="00F949B2"/>
    <w:rsid w:val="00FA427B"/>
    <w:rsid w:val="00FC1E14"/>
    <w:rsid w:val="00FC2E18"/>
    <w:rsid w:val="00FE50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6AB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595"/>
    <w:pPr>
      <w:widowControl w:val="0"/>
      <w:spacing w:after="0" w:line="360" w:lineRule="auto"/>
    </w:pPr>
    <w:rPr>
      <w:rFonts w:ascii="Times New Roman" w:eastAsia="Times New Roman" w:hAnsi="Times New Roman" w:cs="Times New Roman"/>
      <w:sz w:val="24"/>
      <w:szCs w:val="20"/>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DF47F0"/>
    <w:pPr>
      <w:ind w:left="720"/>
      <w:contextualSpacing/>
    </w:pPr>
  </w:style>
  <w:style w:type="paragraph" w:styleId="Header">
    <w:name w:val="header"/>
    <w:basedOn w:val="Normal"/>
    <w:link w:val="HeaderChar"/>
    <w:uiPriority w:val="99"/>
    <w:unhideWhenUsed/>
    <w:rsid w:val="004C0897"/>
    <w:pPr>
      <w:tabs>
        <w:tab w:val="center" w:pos="4153"/>
        <w:tab w:val="right" w:pos="8306"/>
      </w:tabs>
      <w:spacing w:line="240" w:lineRule="auto"/>
    </w:pPr>
  </w:style>
  <w:style w:type="character" w:customStyle="1" w:styleId="HeaderChar">
    <w:name w:val="Header Char"/>
    <w:basedOn w:val="DefaultParagraphFont"/>
    <w:link w:val="Header"/>
    <w:uiPriority w:val="99"/>
    <w:rsid w:val="004C0897"/>
    <w:rPr>
      <w:rFonts w:ascii="Times New Roman" w:eastAsia="Times New Roman" w:hAnsi="Times New Roman" w:cs="Times New Roman"/>
      <w:sz w:val="24"/>
      <w:szCs w:val="20"/>
      <w:lang w:eastAsia="fr-BE"/>
    </w:rPr>
  </w:style>
  <w:style w:type="paragraph" w:styleId="Footer">
    <w:name w:val="footer"/>
    <w:basedOn w:val="Normal"/>
    <w:link w:val="FooterChar"/>
    <w:uiPriority w:val="99"/>
    <w:unhideWhenUsed/>
    <w:rsid w:val="004C0897"/>
    <w:pPr>
      <w:tabs>
        <w:tab w:val="center" w:pos="4153"/>
        <w:tab w:val="right" w:pos="8306"/>
      </w:tabs>
      <w:spacing w:line="240" w:lineRule="auto"/>
    </w:pPr>
  </w:style>
  <w:style w:type="character" w:customStyle="1" w:styleId="FooterChar">
    <w:name w:val="Footer Char"/>
    <w:basedOn w:val="DefaultParagraphFont"/>
    <w:link w:val="Footer"/>
    <w:uiPriority w:val="99"/>
    <w:rsid w:val="004C0897"/>
    <w:rPr>
      <w:rFonts w:ascii="Times New Roman" w:eastAsia="Times New Roman" w:hAnsi="Times New Roman" w:cs="Times New Roman"/>
      <w:sz w:val="24"/>
      <w:szCs w:val="20"/>
      <w:lang w:eastAsia="fr-BE"/>
    </w:rPr>
  </w:style>
  <w:style w:type="character" w:styleId="Hyperlink">
    <w:name w:val="Hyperlink"/>
    <w:basedOn w:val="DefaultParagraphFont"/>
    <w:uiPriority w:val="99"/>
    <w:unhideWhenUsed/>
    <w:rsid w:val="004C0897"/>
    <w:rPr>
      <w:color w:val="0563C1" w:themeColor="hyperlink"/>
      <w:u w:val="single"/>
    </w:rPr>
  </w:style>
  <w:style w:type="paragraph" w:styleId="FootnoteText">
    <w:name w:val="footnote text"/>
    <w:aliases w:val=" Char,Footnote,Fußnote, Char1,Char1,Footnote Text Char1,Footnote Text Char2 Char,Footnote Text Char1 Char Char,Footnote Text Char2 Char Char Char,Footnote Text Char1 Char Char Char Char,Footnote Text Char2 Char Char Char Char Char,Cha,ft"/>
    <w:basedOn w:val="Normal"/>
    <w:link w:val="FootnoteTextChar"/>
    <w:uiPriority w:val="99"/>
    <w:unhideWhenUsed/>
    <w:qFormat/>
    <w:rsid w:val="00117FB6"/>
    <w:pPr>
      <w:spacing w:line="240" w:lineRule="auto"/>
    </w:pPr>
    <w:rPr>
      <w:sz w:val="20"/>
    </w:rPr>
  </w:style>
  <w:style w:type="character" w:customStyle="1" w:styleId="FootnoteTextChar">
    <w:name w:val="Footnote Text Char"/>
    <w:aliases w:val=" Char Char,Footnote Char,Fußnote Char, Char1 Char,Char1 Char,Footnote Text Char1 Char,Footnote Text Char2 Char Char,Footnote Text Char1 Char Char Char,Footnote Text Char2 Char Char Char Char,Cha Char,ft Char"/>
    <w:basedOn w:val="DefaultParagraphFont"/>
    <w:link w:val="FootnoteText"/>
    <w:uiPriority w:val="99"/>
    <w:qFormat/>
    <w:rsid w:val="00117FB6"/>
    <w:rPr>
      <w:rFonts w:ascii="Times New Roman" w:eastAsia="Times New Roman" w:hAnsi="Times New Roman" w:cs="Times New Roman"/>
      <w:sz w:val="20"/>
      <w:szCs w:val="20"/>
      <w:lang w:eastAsia="fr-BE"/>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117FB6"/>
    <w:rPr>
      <w:vertAlign w:val="superscript"/>
    </w:rPr>
  </w:style>
  <w:style w:type="character" w:styleId="CommentReference">
    <w:name w:val="annotation reference"/>
    <w:basedOn w:val="DefaultParagraphFont"/>
    <w:uiPriority w:val="99"/>
    <w:semiHidden/>
    <w:unhideWhenUsed/>
    <w:rsid w:val="00C93866"/>
    <w:rPr>
      <w:sz w:val="16"/>
      <w:szCs w:val="16"/>
    </w:rPr>
  </w:style>
  <w:style w:type="paragraph" w:styleId="CommentText">
    <w:name w:val="annotation text"/>
    <w:basedOn w:val="Normal"/>
    <w:link w:val="CommentTextChar"/>
    <w:uiPriority w:val="99"/>
    <w:semiHidden/>
    <w:unhideWhenUsed/>
    <w:rsid w:val="00C93866"/>
    <w:pPr>
      <w:spacing w:line="240" w:lineRule="auto"/>
    </w:pPr>
    <w:rPr>
      <w:sz w:val="20"/>
    </w:rPr>
  </w:style>
  <w:style w:type="character" w:customStyle="1" w:styleId="CommentTextChar">
    <w:name w:val="Comment Text Char"/>
    <w:basedOn w:val="DefaultParagraphFont"/>
    <w:link w:val="CommentText"/>
    <w:uiPriority w:val="99"/>
    <w:semiHidden/>
    <w:rsid w:val="00C93866"/>
    <w:rPr>
      <w:rFonts w:ascii="Times New Roman" w:eastAsia="Times New Roman" w:hAnsi="Times New Roman" w:cs="Times New Roman"/>
      <w:sz w:val="20"/>
      <w:szCs w:val="20"/>
      <w:lang w:eastAsia="fr-BE"/>
    </w:rPr>
  </w:style>
  <w:style w:type="paragraph" w:styleId="CommentSubject">
    <w:name w:val="annotation subject"/>
    <w:basedOn w:val="CommentText"/>
    <w:next w:val="CommentText"/>
    <w:link w:val="CommentSubjectChar"/>
    <w:uiPriority w:val="99"/>
    <w:semiHidden/>
    <w:unhideWhenUsed/>
    <w:rsid w:val="00C93866"/>
    <w:rPr>
      <w:b/>
      <w:bCs/>
    </w:rPr>
  </w:style>
  <w:style w:type="character" w:customStyle="1" w:styleId="CommentSubjectChar">
    <w:name w:val="Comment Subject Char"/>
    <w:basedOn w:val="CommentTextChar"/>
    <w:link w:val="CommentSubject"/>
    <w:uiPriority w:val="99"/>
    <w:semiHidden/>
    <w:rsid w:val="00C93866"/>
    <w:rPr>
      <w:rFonts w:ascii="Times New Roman" w:eastAsia="Times New Roman" w:hAnsi="Times New Roman" w:cs="Times New Roman"/>
      <w:b/>
      <w:bCs/>
      <w:sz w:val="20"/>
      <w:szCs w:val="20"/>
      <w:lang w:eastAsia="fr-BE"/>
    </w:rPr>
  </w:style>
  <w:style w:type="paragraph" w:styleId="BalloonText">
    <w:name w:val="Balloon Text"/>
    <w:basedOn w:val="Normal"/>
    <w:link w:val="BalloonTextChar"/>
    <w:uiPriority w:val="99"/>
    <w:semiHidden/>
    <w:unhideWhenUsed/>
    <w:rsid w:val="00C938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866"/>
    <w:rPr>
      <w:rFonts w:ascii="Segoe UI" w:eastAsia="Times New Roman" w:hAnsi="Segoe UI" w:cs="Segoe UI"/>
      <w:sz w:val="18"/>
      <w:szCs w:val="18"/>
      <w:lang w:eastAsia="fr-BE"/>
    </w:rPr>
  </w:style>
  <w:style w:type="paragraph" w:styleId="NormalWeb">
    <w:name w:val="Normal (Web)"/>
    <w:basedOn w:val="Normal"/>
    <w:uiPriority w:val="99"/>
    <w:unhideWhenUsed/>
    <w:rsid w:val="00922F93"/>
    <w:pPr>
      <w:widowControl/>
      <w:spacing w:before="100" w:beforeAutospacing="1" w:after="100" w:afterAutospacing="1" w:line="240" w:lineRule="auto"/>
    </w:pPr>
    <w:rPr>
      <w:szCs w:val="24"/>
      <w:lang w:eastAsia="lv-LV"/>
    </w:rPr>
  </w:style>
  <w:style w:type="paragraph" w:customStyle="1" w:styleId="mt-translation">
    <w:name w:val="mt-translation"/>
    <w:basedOn w:val="Normal"/>
    <w:rsid w:val="00EF110D"/>
    <w:pPr>
      <w:widowControl/>
      <w:spacing w:before="100" w:beforeAutospacing="1" w:after="100" w:afterAutospacing="1" w:line="240" w:lineRule="auto"/>
    </w:pPr>
    <w:rPr>
      <w:szCs w:val="24"/>
      <w:lang w:eastAsia="lv-LV"/>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EF110D"/>
    <w:pPr>
      <w:widowControl/>
      <w:spacing w:after="160" w:line="240" w:lineRule="exact"/>
    </w:pPr>
    <w:rPr>
      <w:rFonts w:asciiTheme="minorHAnsi" w:eastAsiaTheme="minorHAnsi" w:hAnsiTheme="minorHAnsi" w:cstheme="minorBidi"/>
      <w:sz w:val="22"/>
      <w:szCs w:val="22"/>
      <w:vertAlign w:val="superscript"/>
      <w:lang w:eastAsia="en-US"/>
    </w:rPr>
  </w:style>
  <w:style w:type="paragraph" w:styleId="NoSpacing">
    <w:name w:val="No Spacing"/>
    <w:uiPriority w:val="1"/>
    <w:qFormat/>
    <w:rsid w:val="004304F2"/>
    <w:pPr>
      <w:widowControl w:val="0"/>
      <w:spacing w:after="0" w:line="240" w:lineRule="auto"/>
    </w:pPr>
    <w:rPr>
      <w:rFonts w:ascii="Calibri" w:eastAsia="Calibri" w:hAnsi="Calibri" w:cs="Times New Roman"/>
      <w:lang w:val="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qFormat/>
    <w:locked/>
    <w:rsid w:val="00561387"/>
    <w:rPr>
      <w:rFonts w:ascii="Times New Roman" w:eastAsia="Times New Roman" w:hAnsi="Times New Roman" w:cs="Times New Roman"/>
      <w:sz w:val="24"/>
      <w:szCs w:val="20"/>
      <w:lang w:eastAsia="fr-BE"/>
    </w:rPr>
  </w:style>
  <w:style w:type="table" w:styleId="TableGrid">
    <w:name w:val="Table Grid"/>
    <w:basedOn w:val="TableNormal"/>
    <w:rsid w:val="00561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DefaultParagraphFont"/>
    <w:rsid w:val="00561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40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priedniece@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F1D82-09C1-4457-B8F5-8AE11175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7104</Characters>
  <Application>Microsoft Office Word</Application>
  <DocSecurity>0</DocSecurity>
  <Lines>157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2021-07-01T09:05:00Z</dcterms:created>
  <dcterms:modified xsi:type="dcterms:W3CDTF">2021-07-02T05:38:00Z</dcterms:modified>
</cp:coreProperties>
</file>