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77" w:rsidRDefault="00026477" w:rsidP="00026477">
      <w:pPr>
        <w:shd w:val="clear" w:color="auto" w:fill="FFFFFF"/>
        <w:jc w:val="center"/>
        <w:rPr>
          <w:b/>
          <w:bCs/>
          <w:sz w:val="26"/>
          <w:szCs w:val="26"/>
        </w:rPr>
      </w:pPr>
      <w:r w:rsidRPr="00026477">
        <w:rPr>
          <w:b/>
          <w:bCs/>
          <w:sz w:val="26"/>
          <w:szCs w:val="26"/>
        </w:rPr>
        <w:t>Mini</w:t>
      </w:r>
      <w:r>
        <w:rPr>
          <w:b/>
          <w:bCs/>
          <w:sz w:val="26"/>
          <w:szCs w:val="26"/>
        </w:rPr>
        <w:t>stru kabineta rīkojuma projekta</w:t>
      </w:r>
    </w:p>
    <w:p w:rsidR="00BD5588" w:rsidRPr="00026477" w:rsidRDefault="00026477" w:rsidP="00026477">
      <w:pPr>
        <w:shd w:val="clear" w:color="auto" w:fill="FFFFFF"/>
        <w:jc w:val="center"/>
        <w:rPr>
          <w:b/>
          <w:bCs/>
          <w:sz w:val="26"/>
          <w:szCs w:val="26"/>
        </w:rPr>
      </w:pPr>
      <w:r w:rsidRPr="00026477">
        <w:rPr>
          <w:b/>
          <w:bCs/>
          <w:sz w:val="26"/>
          <w:szCs w:val="26"/>
        </w:rPr>
        <w:t>“Par mērķdotāciju 2021. gadam sadalījumu Inčukalna novada</w:t>
      </w:r>
      <w:r w:rsidR="003C4DD3">
        <w:rPr>
          <w:b/>
          <w:bCs/>
          <w:sz w:val="26"/>
          <w:szCs w:val="26"/>
        </w:rPr>
        <w:t>m</w:t>
      </w:r>
      <w:r w:rsidRPr="00026477">
        <w:rPr>
          <w:b/>
          <w:bCs/>
          <w:sz w:val="26"/>
          <w:szCs w:val="26"/>
        </w:rPr>
        <w:t>, Ropažu novada</w:t>
      </w:r>
      <w:r w:rsidR="003C4DD3">
        <w:rPr>
          <w:b/>
          <w:bCs/>
          <w:sz w:val="26"/>
          <w:szCs w:val="26"/>
        </w:rPr>
        <w:t>m</w:t>
      </w:r>
      <w:r w:rsidRPr="00026477">
        <w:rPr>
          <w:b/>
          <w:bCs/>
          <w:sz w:val="26"/>
          <w:szCs w:val="26"/>
        </w:rPr>
        <w:t xml:space="preserve"> un Siguldas novada</w:t>
      </w:r>
      <w:r w:rsidR="003C4DD3">
        <w:rPr>
          <w:b/>
          <w:bCs/>
          <w:sz w:val="26"/>
          <w:szCs w:val="26"/>
        </w:rPr>
        <w:t>m</w:t>
      </w:r>
      <w:r>
        <w:rPr>
          <w:b/>
          <w:bCs/>
          <w:sz w:val="26"/>
          <w:szCs w:val="26"/>
        </w:rPr>
        <w:t>”</w:t>
      </w:r>
      <w:r w:rsidR="00153782">
        <w:rPr>
          <w:b/>
          <w:bCs/>
          <w:sz w:val="26"/>
          <w:szCs w:val="26"/>
        </w:rPr>
        <w:t xml:space="preserve"> </w:t>
      </w:r>
      <w:r w:rsidRPr="00026477">
        <w:rPr>
          <w:b/>
          <w:bCs/>
          <w:sz w:val="26"/>
          <w:szCs w:val="26"/>
        </w:rPr>
        <w:t>sākotnējās ietekmes novērtējuma ziņojums (anotācija)</w:t>
      </w:r>
    </w:p>
    <w:p w:rsidR="00BD5588" w:rsidRPr="002F423F"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BD5588" w:rsidRPr="004364A9" w:rsidTr="009E0502">
        <w:trPr>
          <w:cantSplit/>
        </w:trPr>
        <w:tc>
          <w:tcPr>
            <w:tcW w:w="9581" w:type="dxa"/>
            <w:gridSpan w:val="2"/>
            <w:shd w:val="clear" w:color="auto" w:fill="FFFFFF"/>
            <w:vAlign w:val="center"/>
            <w:hideMark/>
          </w:tcPr>
          <w:p w:rsidR="00BD5588" w:rsidRPr="004364A9" w:rsidRDefault="00BD5588" w:rsidP="009E0502">
            <w:pPr>
              <w:jc w:val="center"/>
              <w:rPr>
                <w:b/>
                <w:iCs/>
                <w:sz w:val="25"/>
                <w:szCs w:val="25"/>
                <w:lang w:eastAsia="en-US"/>
              </w:rPr>
            </w:pPr>
            <w:r w:rsidRPr="004364A9">
              <w:rPr>
                <w:b/>
                <w:iCs/>
                <w:sz w:val="25"/>
                <w:szCs w:val="25"/>
                <w:lang w:eastAsia="en-US"/>
              </w:rPr>
              <w:t>Tiesību akta projekta anotācijas kopsavilkums</w:t>
            </w:r>
          </w:p>
        </w:tc>
      </w:tr>
      <w:tr w:rsidR="00BD5588" w:rsidRPr="004364A9" w:rsidTr="009E0502">
        <w:trPr>
          <w:cantSplit/>
        </w:trPr>
        <w:tc>
          <w:tcPr>
            <w:tcW w:w="3430" w:type="dxa"/>
            <w:shd w:val="clear" w:color="auto" w:fill="FFFFFF"/>
            <w:hideMark/>
          </w:tcPr>
          <w:p w:rsidR="00BD5588" w:rsidRPr="004364A9" w:rsidRDefault="00BD5588" w:rsidP="009E0502">
            <w:pPr>
              <w:rPr>
                <w:iCs/>
                <w:sz w:val="25"/>
                <w:szCs w:val="25"/>
                <w:lang w:eastAsia="en-US"/>
              </w:rPr>
            </w:pPr>
            <w:r w:rsidRPr="004364A9">
              <w:rPr>
                <w:iCs/>
                <w:sz w:val="25"/>
                <w:szCs w:val="25"/>
                <w:lang w:eastAsia="en-US"/>
              </w:rPr>
              <w:t>Mērķis, risinājums un projekta spēkā stāšanās laiks (500 zīmes bez atstarpēm)</w:t>
            </w:r>
          </w:p>
        </w:tc>
        <w:tc>
          <w:tcPr>
            <w:tcW w:w="6151" w:type="dxa"/>
            <w:shd w:val="clear" w:color="auto" w:fill="FFFFFF"/>
            <w:hideMark/>
          </w:tcPr>
          <w:p w:rsidR="00026477" w:rsidRPr="004364A9" w:rsidRDefault="00026477" w:rsidP="002F0712">
            <w:pPr>
              <w:jc w:val="both"/>
              <w:rPr>
                <w:sz w:val="25"/>
                <w:szCs w:val="25"/>
                <w:lang w:eastAsia="en-US"/>
              </w:rPr>
            </w:pPr>
            <w:r w:rsidRPr="004364A9">
              <w:rPr>
                <w:sz w:val="25"/>
                <w:szCs w:val="25"/>
                <w:lang w:eastAsia="en-US"/>
              </w:rPr>
              <w:t>Projekta mērķis ir nodrošināt mērķdotāciju pedagogu darba samaksai un valsts sociālās apdrošināšanas obligātajām iemaksām (turpmāk – mērķdotācija) Inčukalna novadam, Ropažu novadam un Siguldas novadam 2021. gada jūnija, jūlija un augusta mēnešos, lai minēto novadu izglītības iestāžu pedagogi pirms un pēc administratīvi teritoriālās reformas varētu saņemt atalgojumu atbilstoši Darba likuma 69., 73. un 75. punktā noteiktajam.</w:t>
            </w:r>
          </w:p>
          <w:p w:rsidR="00BD5588" w:rsidRPr="004364A9" w:rsidRDefault="00026477" w:rsidP="002F0712">
            <w:pPr>
              <w:jc w:val="both"/>
              <w:rPr>
                <w:i/>
                <w:iCs/>
                <w:sz w:val="25"/>
                <w:szCs w:val="25"/>
                <w:lang w:eastAsia="en-US"/>
              </w:rPr>
            </w:pPr>
            <w:r w:rsidRPr="004364A9">
              <w:rPr>
                <w:sz w:val="25"/>
                <w:szCs w:val="25"/>
                <w:lang w:eastAsia="en-US"/>
              </w:rPr>
              <w:t>Projekta spēkā stāšanās laiks – 2021. gada 1. jūlijs.</w:t>
            </w:r>
          </w:p>
        </w:tc>
      </w:tr>
    </w:tbl>
    <w:p w:rsidR="00BD5588" w:rsidRPr="004364A9" w:rsidRDefault="00BD5588" w:rsidP="00BD5588">
      <w:pPr>
        <w:pStyle w:val="Title"/>
        <w:spacing w:before="130" w:line="260" w:lineRule="exact"/>
        <w:ind w:firstLine="539"/>
        <w:jc w:val="both"/>
        <w:rPr>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4364A9" w:rsidTr="009E0502">
        <w:trPr>
          <w:cantSplit/>
        </w:trPr>
        <w:tc>
          <w:tcPr>
            <w:tcW w:w="5000" w:type="pct"/>
            <w:gridSpan w:val="3"/>
            <w:vAlign w:val="center"/>
            <w:hideMark/>
          </w:tcPr>
          <w:p w:rsidR="00BD5588" w:rsidRPr="004364A9" w:rsidRDefault="00BD5588" w:rsidP="009E0502">
            <w:pPr>
              <w:jc w:val="center"/>
              <w:rPr>
                <w:b/>
                <w:bCs/>
                <w:sz w:val="25"/>
                <w:szCs w:val="25"/>
              </w:rPr>
            </w:pPr>
            <w:r w:rsidRPr="004364A9">
              <w:rPr>
                <w:b/>
                <w:bCs/>
                <w:sz w:val="25"/>
                <w:szCs w:val="25"/>
              </w:rPr>
              <w:t>I. Tiesību akta projekta izstrādes nepieciešamība</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1.</w:t>
            </w:r>
          </w:p>
        </w:tc>
        <w:tc>
          <w:tcPr>
            <w:tcW w:w="1479" w:type="pct"/>
            <w:hideMark/>
          </w:tcPr>
          <w:p w:rsidR="00BD5588" w:rsidRPr="004364A9" w:rsidRDefault="00BD5588" w:rsidP="009E0502">
            <w:pPr>
              <w:rPr>
                <w:sz w:val="25"/>
                <w:szCs w:val="25"/>
              </w:rPr>
            </w:pPr>
            <w:r w:rsidRPr="004364A9">
              <w:rPr>
                <w:sz w:val="25"/>
                <w:szCs w:val="25"/>
              </w:rPr>
              <w:t>Pamatojums</w:t>
            </w:r>
          </w:p>
        </w:tc>
        <w:tc>
          <w:tcPr>
            <w:tcW w:w="3210" w:type="pct"/>
            <w:hideMark/>
          </w:tcPr>
          <w:p w:rsidR="00704CA9" w:rsidRDefault="00026477" w:rsidP="00350D9B">
            <w:pPr>
              <w:jc w:val="both"/>
              <w:rPr>
                <w:sz w:val="25"/>
                <w:szCs w:val="25"/>
              </w:rPr>
            </w:pPr>
            <w:r w:rsidRPr="004364A9">
              <w:rPr>
                <w:sz w:val="25"/>
                <w:szCs w:val="25"/>
              </w:rPr>
              <w:t>Ministru kabineta rīkojuma proje</w:t>
            </w:r>
            <w:r w:rsidR="00350D9B">
              <w:rPr>
                <w:sz w:val="25"/>
                <w:szCs w:val="25"/>
              </w:rPr>
              <w:t>kts izstrādāts, pamatojoties uz</w:t>
            </w:r>
            <w:r w:rsidR="00704CA9">
              <w:rPr>
                <w:sz w:val="25"/>
                <w:szCs w:val="25"/>
              </w:rPr>
              <w:t>:</w:t>
            </w:r>
          </w:p>
          <w:p w:rsidR="00350D9B" w:rsidRPr="00350D9B" w:rsidRDefault="00704CA9" w:rsidP="00704CA9">
            <w:pPr>
              <w:ind w:left="123" w:hanging="123"/>
              <w:jc w:val="both"/>
              <w:rPr>
                <w:sz w:val="25"/>
                <w:szCs w:val="25"/>
              </w:rPr>
            </w:pPr>
            <w:r>
              <w:rPr>
                <w:sz w:val="25"/>
                <w:szCs w:val="25"/>
              </w:rPr>
              <w:t>- </w:t>
            </w:r>
            <w:r w:rsidR="00350D9B" w:rsidRPr="00350D9B">
              <w:rPr>
                <w:sz w:val="25"/>
                <w:szCs w:val="25"/>
              </w:rPr>
              <w:t>likuma „Par valsts budžetu 2021. gadam” 3. panta otro un piekto da</w:t>
            </w:r>
            <w:r>
              <w:rPr>
                <w:sz w:val="25"/>
                <w:szCs w:val="25"/>
              </w:rPr>
              <w:t>ļu;</w:t>
            </w:r>
          </w:p>
          <w:p w:rsidR="00BD5588" w:rsidRPr="00704CA9" w:rsidRDefault="00704CA9" w:rsidP="00704CA9">
            <w:pPr>
              <w:ind w:left="123" w:hanging="123"/>
              <w:jc w:val="both"/>
              <w:rPr>
                <w:sz w:val="25"/>
                <w:szCs w:val="25"/>
              </w:rPr>
            </w:pPr>
            <w:r>
              <w:rPr>
                <w:sz w:val="25"/>
                <w:szCs w:val="25"/>
              </w:rPr>
              <w:t>- </w:t>
            </w:r>
            <w:r w:rsidR="00026477" w:rsidRPr="00704CA9">
              <w:rPr>
                <w:sz w:val="25"/>
                <w:szCs w:val="25"/>
              </w:rPr>
              <w:t>Administratīvo teritoriju un apdzīvoto vietu likuma Pārejas noteikumu 14.</w:t>
            </w:r>
            <w:r>
              <w:rPr>
                <w:sz w:val="25"/>
                <w:szCs w:val="25"/>
              </w:rPr>
              <w:t>1. un 14.2. apakšpunktu</w:t>
            </w:r>
            <w:r w:rsidR="00026477" w:rsidRPr="00704CA9">
              <w:rPr>
                <w:sz w:val="25"/>
                <w:szCs w:val="25"/>
              </w:rPr>
              <w:t>.</w:t>
            </w:r>
          </w:p>
        </w:tc>
      </w:tr>
      <w:tr w:rsidR="008D2FCC" w:rsidRPr="004364A9" w:rsidTr="009E0502">
        <w:trPr>
          <w:cantSplit/>
        </w:trPr>
        <w:tc>
          <w:tcPr>
            <w:tcW w:w="311" w:type="pct"/>
            <w:vMerge w:val="restart"/>
          </w:tcPr>
          <w:p w:rsidR="008D2FCC" w:rsidRPr="004364A9" w:rsidRDefault="008D2FCC" w:rsidP="00BF0A4D">
            <w:pPr>
              <w:jc w:val="center"/>
              <w:rPr>
                <w:sz w:val="25"/>
                <w:szCs w:val="25"/>
              </w:rPr>
            </w:pPr>
            <w:r w:rsidRPr="004364A9">
              <w:rPr>
                <w:sz w:val="25"/>
                <w:szCs w:val="25"/>
              </w:rPr>
              <w:t>2.</w:t>
            </w:r>
          </w:p>
        </w:tc>
        <w:tc>
          <w:tcPr>
            <w:tcW w:w="1479" w:type="pct"/>
            <w:vMerge w:val="restart"/>
          </w:tcPr>
          <w:p w:rsidR="008D2FCC" w:rsidRPr="004364A9" w:rsidRDefault="008D2FCC" w:rsidP="00BF0A4D">
            <w:pPr>
              <w:rPr>
                <w:sz w:val="25"/>
                <w:szCs w:val="25"/>
              </w:rPr>
            </w:pPr>
            <w:r w:rsidRPr="004364A9">
              <w:rPr>
                <w:sz w:val="25"/>
                <w:szCs w:val="25"/>
              </w:rPr>
              <w:t>Pašreizējā situācija un problēmas, kuru risināšanai tiesību akta projekts izstrādāts, tiesiskā regulējuma mērķis un būtība</w:t>
            </w:r>
          </w:p>
        </w:tc>
        <w:tc>
          <w:tcPr>
            <w:tcW w:w="3210" w:type="pct"/>
          </w:tcPr>
          <w:p w:rsidR="008D2FCC" w:rsidRPr="004364A9" w:rsidRDefault="008D2FCC" w:rsidP="00BF0A4D">
            <w:pPr>
              <w:jc w:val="both"/>
              <w:rPr>
                <w:sz w:val="25"/>
                <w:szCs w:val="25"/>
              </w:rPr>
            </w:pPr>
            <w:r w:rsidRPr="004364A9">
              <w:rPr>
                <w:sz w:val="25"/>
                <w:szCs w:val="25"/>
              </w:rPr>
              <w:t>Administratīvo teritoriju un apdzīvoto vietu likums paredz, ka:</w:t>
            </w:r>
          </w:p>
          <w:p w:rsidR="008D2FCC" w:rsidRPr="004364A9" w:rsidRDefault="008D2FCC" w:rsidP="009B3F6A">
            <w:pPr>
              <w:pStyle w:val="ListParagraph"/>
              <w:numPr>
                <w:ilvl w:val="0"/>
                <w:numId w:val="2"/>
              </w:numPr>
              <w:ind w:left="265" w:hanging="265"/>
              <w:jc w:val="both"/>
              <w:rPr>
                <w:sz w:val="25"/>
                <w:szCs w:val="25"/>
              </w:rPr>
            </w:pPr>
            <w:r w:rsidRPr="004364A9">
              <w:rPr>
                <w:sz w:val="25"/>
                <w:szCs w:val="25"/>
              </w:rPr>
              <w:t>Aglonas novads, kurā ietilpst Aglonas pagasts, Grāveru pagasts, Kastuļinas pagasts un Šķeltovas pagasts, pēc administratīvi teritoriālās reformas (turpmāk – ATR) tiek sadalīts un, sākot ar 2021. gada 1. jūliju, Aglonas pagasts ietilpst Preiļu novadā, bet Grāveru, Kastuļinas un Šķeltovas pagasti - Krāslavas novadā;</w:t>
            </w:r>
          </w:p>
          <w:p w:rsidR="008D2FCC" w:rsidRPr="004364A9" w:rsidRDefault="008D2FCC" w:rsidP="00BF0A4D">
            <w:pPr>
              <w:pStyle w:val="ListParagraph"/>
              <w:numPr>
                <w:ilvl w:val="0"/>
                <w:numId w:val="2"/>
              </w:numPr>
              <w:ind w:left="265" w:hanging="265"/>
              <w:jc w:val="both"/>
              <w:rPr>
                <w:sz w:val="25"/>
                <w:szCs w:val="25"/>
              </w:rPr>
            </w:pPr>
            <w:r w:rsidRPr="004364A9">
              <w:rPr>
                <w:sz w:val="25"/>
                <w:szCs w:val="25"/>
              </w:rPr>
              <w:t>Inčukalna novads, kurā ietilpst Inčukalna pagasts un Vangažu pilsēta, pēc ATR tiek sadalīts un, sākot ar 2021. gada 1. jūliju, Vangažu pilsēta ietilpst Ropažu novadā, bet Inčukalna pagasts ietilpst Siguldas novadā.</w:t>
            </w:r>
          </w:p>
          <w:p w:rsidR="008D2FCC" w:rsidRPr="004364A9" w:rsidRDefault="008D2FCC" w:rsidP="00566B2C">
            <w:pPr>
              <w:jc w:val="both"/>
              <w:rPr>
                <w:sz w:val="25"/>
                <w:szCs w:val="25"/>
              </w:rPr>
            </w:pPr>
            <w:r w:rsidRPr="004364A9">
              <w:rPr>
                <w:sz w:val="25"/>
                <w:szCs w:val="25"/>
              </w:rPr>
              <w:t xml:space="preserve">Izglītības un zinātnes ministrija (turpmāk – ministrija), pamatojoties uz likuma „Par valsts budžetu 2021. gadam” 3. panta 5. daļā noteikto, šī gada 17. maijā nosūtīja Aglonas un Inčukalna novadiem vēstules, kurās lūdza aprēķināt un līdz šī gada 31. maijam iesniegt ministrijā informāciju par Aglonas un Inčukalna novadiem nepieciešamo finansējumu </w:t>
            </w:r>
            <w:r w:rsidR="002F0712" w:rsidRPr="004364A9">
              <w:rPr>
                <w:sz w:val="25"/>
                <w:szCs w:val="25"/>
              </w:rPr>
              <w:t xml:space="preserve">mērķdotācijām </w:t>
            </w:r>
            <w:r w:rsidRPr="004364A9">
              <w:rPr>
                <w:sz w:val="25"/>
                <w:szCs w:val="25"/>
              </w:rPr>
              <w:t>jūnija mēnesī - pirms ATR, lai nodrošinātu pedagogu algu izmaksas un atvaļinājumu naudu par laika periodu līdz 2021. gada 31. augustam, kā arī pēc ATR – jūlijam un augustam, lai jaunizveidotie novadi varētu veikt norēķinus izmaksājot pedagogiem atalgojumu un atvaļinājumu naudu</w:t>
            </w:r>
            <w:r w:rsidR="002F0712" w:rsidRPr="004364A9">
              <w:rPr>
                <w:sz w:val="25"/>
                <w:szCs w:val="25"/>
              </w:rPr>
              <w:t>.</w:t>
            </w:r>
          </w:p>
        </w:tc>
      </w:tr>
      <w:tr w:rsidR="008D2FCC" w:rsidRPr="004364A9" w:rsidTr="009E0502">
        <w:trPr>
          <w:cantSplit/>
        </w:trPr>
        <w:tc>
          <w:tcPr>
            <w:tcW w:w="311" w:type="pct"/>
            <w:vMerge/>
          </w:tcPr>
          <w:p w:rsidR="008D2FCC" w:rsidRPr="004364A9" w:rsidRDefault="008D2FCC" w:rsidP="00BF0A4D">
            <w:pPr>
              <w:jc w:val="center"/>
              <w:rPr>
                <w:sz w:val="25"/>
                <w:szCs w:val="25"/>
              </w:rPr>
            </w:pPr>
          </w:p>
        </w:tc>
        <w:tc>
          <w:tcPr>
            <w:tcW w:w="1479" w:type="pct"/>
            <w:vMerge/>
          </w:tcPr>
          <w:p w:rsidR="008D2FCC" w:rsidRPr="004364A9" w:rsidRDefault="008D2FCC" w:rsidP="00BF0A4D">
            <w:pPr>
              <w:rPr>
                <w:sz w:val="25"/>
                <w:szCs w:val="25"/>
              </w:rPr>
            </w:pPr>
          </w:p>
        </w:tc>
        <w:tc>
          <w:tcPr>
            <w:tcW w:w="3210" w:type="pct"/>
          </w:tcPr>
          <w:p w:rsidR="008D2FCC" w:rsidRPr="004364A9" w:rsidRDefault="008D2FCC" w:rsidP="008D2FCC">
            <w:pPr>
              <w:jc w:val="both"/>
              <w:rPr>
                <w:sz w:val="25"/>
                <w:szCs w:val="25"/>
              </w:rPr>
            </w:pPr>
            <w:r w:rsidRPr="004364A9">
              <w:rPr>
                <w:sz w:val="25"/>
                <w:szCs w:val="25"/>
              </w:rPr>
              <w:t xml:space="preserve">Ministrija saņēma vēstules no Aglonas un Inčukalna novada, kurās Aglonas novads informēja, ka pēc Valsts kases pārstāvju sniegtā skaidrojuma tiešsaistes seminārā Aglonas un Krāslavas novadam pēc 2021. gada 1. jūlija Aglonas novada pašvaldības budžets tiks konsolidēts Preiļu novada pašvaldības 2021. gada budžetā, un līdz 2021. gada 31. decembrim Preiļu novada pašvaldība veiks mērķdotācijas sadali starp Preiļu novadu un Krāslavas novadu. Pamatojoties uz to, Aglonas novada dome lūdza visu mērķdotācijas summu par jūniju, jūliju un augustu pārskaitīt Aglonas novada domei jūnija mēnesī. Ministrija, atbilstoši Aglonas novada vēstulē paustajam, finansējumu </w:t>
            </w:r>
            <w:r w:rsidR="002F0712" w:rsidRPr="004364A9">
              <w:rPr>
                <w:sz w:val="25"/>
                <w:szCs w:val="25"/>
              </w:rPr>
              <w:t xml:space="preserve">mērķdotācijām </w:t>
            </w:r>
            <w:r w:rsidRPr="004364A9">
              <w:rPr>
                <w:sz w:val="25"/>
                <w:szCs w:val="25"/>
              </w:rPr>
              <w:t>par šī gada jūniju, jūliju un augustu pārskaitīja Aglonas novadam. Savukārt Inčukalna novada dome sniedza informāciju, ka no finansējuma, kas nepieciešams jūnijam, jūlijam, augustam, kas kopumā ir 284 689 </w:t>
            </w:r>
            <w:r w:rsidRPr="004364A9">
              <w:rPr>
                <w:i/>
                <w:sz w:val="25"/>
                <w:szCs w:val="25"/>
              </w:rPr>
              <w:t>euro</w:t>
            </w:r>
            <w:r w:rsidRPr="004364A9">
              <w:rPr>
                <w:sz w:val="25"/>
                <w:szCs w:val="25"/>
              </w:rPr>
              <w:t>, Inčukalna novadam jūnijā nepieciešami 237 240 </w:t>
            </w:r>
            <w:r w:rsidRPr="004364A9">
              <w:rPr>
                <w:i/>
                <w:sz w:val="25"/>
                <w:szCs w:val="25"/>
              </w:rPr>
              <w:t>euro</w:t>
            </w:r>
            <w:r w:rsidRPr="004364A9">
              <w:rPr>
                <w:sz w:val="25"/>
                <w:szCs w:val="25"/>
              </w:rPr>
              <w:t>, bet, pēc ATR, jūlijā un augustā Ropažu novadam nepieciešami 27 951 </w:t>
            </w:r>
            <w:r w:rsidRPr="004364A9">
              <w:rPr>
                <w:i/>
                <w:sz w:val="25"/>
                <w:szCs w:val="25"/>
              </w:rPr>
              <w:t>euro</w:t>
            </w:r>
            <w:r w:rsidRPr="004364A9">
              <w:rPr>
                <w:sz w:val="25"/>
                <w:szCs w:val="25"/>
              </w:rPr>
              <w:t>, Siguldas novadam  - 19 498 </w:t>
            </w:r>
            <w:r w:rsidRPr="004364A9">
              <w:rPr>
                <w:i/>
                <w:sz w:val="25"/>
                <w:szCs w:val="25"/>
              </w:rPr>
              <w:t>euro</w:t>
            </w:r>
            <w:r w:rsidRPr="004364A9">
              <w:rPr>
                <w:sz w:val="25"/>
                <w:szCs w:val="25"/>
              </w:rPr>
              <w:t>.</w:t>
            </w:r>
          </w:p>
          <w:p w:rsidR="008D2FCC" w:rsidRPr="004364A9" w:rsidRDefault="008D2FCC" w:rsidP="00F247C9">
            <w:pPr>
              <w:jc w:val="both"/>
              <w:rPr>
                <w:sz w:val="25"/>
                <w:szCs w:val="25"/>
              </w:rPr>
            </w:pPr>
            <w:r w:rsidRPr="004364A9">
              <w:rPr>
                <w:sz w:val="25"/>
                <w:szCs w:val="25"/>
              </w:rPr>
              <w:t xml:space="preserve">Ņemot vērā minēto, ministrija sagatavojusi Ministru kabineta rīkojuma projektu, kas paredz grozīt  likuma „Par valsts budžetu 2021. gadam” 6., 7. un </w:t>
            </w:r>
            <w:r w:rsidR="00F247C9">
              <w:rPr>
                <w:sz w:val="25"/>
                <w:szCs w:val="25"/>
              </w:rPr>
              <w:t>9</w:t>
            </w:r>
            <w:bookmarkStart w:id="0" w:name="_GoBack"/>
            <w:bookmarkEnd w:id="0"/>
            <w:r w:rsidRPr="004364A9">
              <w:rPr>
                <w:sz w:val="25"/>
                <w:szCs w:val="25"/>
              </w:rPr>
              <w:t xml:space="preserve">.pielikumā apstiprināto </w:t>
            </w:r>
            <w:r w:rsidR="00B15BC6" w:rsidRPr="004364A9">
              <w:rPr>
                <w:sz w:val="25"/>
                <w:szCs w:val="25"/>
              </w:rPr>
              <w:t xml:space="preserve">mērķdotāciju </w:t>
            </w:r>
            <w:r w:rsidRPr="004364A9">
              <w:rPr>
                <w:sz w:val="25"/>
                <w:szCs w:val="25"/>
              </w:rPr>
              <w:t xml:space="preserve">Inčukalna novadam, kā arī noteikt, jaunizveidotajiem Ropažu un Siguldas novadiem finansējumu </w:t>
            </w:r>
            <w:r w:rsidR="00B15BC6" w:rsidRPr="004364A9">
              <w:rPr>
                <w:sz w:val="25"/>
                <w:szCs w:val="25"/>
              </w:rPr>
              <w:t xml:space="preserve">mērķdotācijām </w:t>
            </w:r>
            <w:r w:rsidRPr="004364A9">
              <w:rPr>
                <w:sz w:val="25"/>
                <w:szCs w:val="25"/>
              </w:rPr>
              <w:t>laikposmam no 2021. gada 1. jūlija līdz 2021. gada 31. augustam.</w:t>
            </w:r>
          </w:p>
        </w:tc>
      </w:tr>
      <w:tr w:rsidR="00BF0A4D" w:rsidRPr="004364A9" w:rsidTr="009E0502">
        <w:trPr>
          <w:cantSplit/>
        </w:trPr>
        <w:tc>
          <w:tcPr>
            <w:tcW w:w="311" w:type="pct"/>
            <w:hideMark/>
          </w:tcPr>
          <w:p w:rsidR="00BF0A4D" w:rsidRPr="004364A9" w:rsidRDefault="00BF0A4D" w:rsidP="00BF0A4D">
            <w:pPr>
              <w:jc w:val="center"/>
              <w:rPr>
                <w:sz w:val="25"/>
                <w:szCs w:val="25"/>
              </w:rPr>
            </w:pPr>
            <w:r w:rsidRPr="004364A9">
              <w:rPr>
                <w:sz w:val="25"/>
                <w:szCs w:val="25"/>
              </w:rPr>
              <w:t>3.</w:t>
            </w:r>
          </w:p>
        </w:tc>
        <w:tc>
          <w:tcPr>
            <w:tcW w:w="1479" w:type="pct"/>
            <w:hideMark/>
          </w:tcPr>
          <w:p w:rsidR="00BF0A4D" w:rsidRPr="004364A9" w:rsidRDefault="00BF0A4D" w:rsidP="00BF0A4D">
            <w:pPr>
              <w:rPr>
                <w:sz w:val="25"/>
                <w:szCs w:val="25"/>
              </w:rPr>
            </w:pPr>
            <w:r w:rsidRPr="004364A9">
              <w:rPr>
                <w:sz w:val="25"/>
                <w:szCs w:val="25"/>
              </w:rPr>
              <w:t>Projekta izstrādē iesaistītās institūcijas un publiskas personas kapitālsabiedrības</w:t>
            </w:r>
          </w:p>
        </w:tc>
        <w:tc>
          <w:tcPr>
            <w:tcW w:w="3210" w:type="pct"/>
            <w:hideMark/>
          </w:tcPr>
          <w:p w:rsidR="00BF0A4D" w:rsidRPr="004364A9" w:rsidRDefault="00566B2C" w:rsidP="00BF0A4D">
            <w:pPr>
              <w:rPr>
                <w:sz w:val="25"/>
                <w:szCs w:val="25"/>
              </w:rPr>
            </w:pPr>
            <w:r w:rsidRPr="004364A9">
              <w:rPr>
                <w:sz w:val="25"/>
                <w:szCs w:val="25"/>
              </w:rPr>
              <w:t>Izglītības un zinātnes ministrija.</w:t>
            </w:r>
          </w:p>
        </w:tc>
      </w:tr>
      <w:tr w:rsidR="00BF0A4D" w:rsidRPr="004364A9" w:rsidTr="009E0502">
        <w:trPr>
          <w:cantSplit/>
        </w:trPr>
        <w:tc>
          <w:tcPr>
            <w:tcW w:w="311" w:type="pct"/>
            <w:hideMark/>
          </w:tcPr>
          <w:p w:rsidR="00BF0A4D" w:rsidRPr="004364A9" w:rsidRDefault="00BF0A4D" w:rsidP="00BF0A4D">
            <w:pPr>
              <w:jc w:val="center"/>
              <w:rPr>
                <w:sz w:val="25"/>
                <w:szCs w:val="25"/>
              </w:rPr>
            </w:pPr>
            <w:r w:rsidRPr="004364A9">
              <w:rPr>
                <w:sz w:val="25"/>
                <w:szCs w:val="25"/>
              </w:rPr>
              <w:t>4.</w:t>
            </w:r>
          </w:p>
        </w:tc>
        <w:tc>
          <w:tcPr>
            <w:tcW w:w="1479" w:type="pct"/>
            <w:hideMark/>
          </w:tcPr>
          <w:p w:rsidR="00BF0A4D" w:rsidRPr="004364A9" w:rsidRDefault="00BF0A4D" w:rsidP="00BF0A4D">
            <w:pPr>
              <w:rPr>
                <w:sz w:val="25"/>
                <w:szCs w:val="25"/>
              </w:rPr>
            </w:pPr>
            <w:r w:rsidRPr="004364A9">
              <w:rPr>
                <w:sz w:val="25"/>
                <w:szCs w:val="25"/>
              </w:rPr>
              <w:t>Cita informācija</w:t>
            </w:r>
          </w:p>
        </w:tc>
        <w:tc>
          <w:tcPr>
            <w:tcW w:w="3210" w:type="pct"/>
            <w:hideMark/>
          </w:tcPr>
          <w:p w:rsidR="00BF0A4D" w:rsidRPr="004364A9" w:rsidRDefault="00566B2C" w:rsidP="00BF0A4D">
            <w:pPr>
              <w:rPr>
                <w:sz w:val="25"/>
                <w:szCs w:val="25"/>
              </w:rPr>
            </w:pPr>
            <w:r w:rsidRPr="004364A9">
              <w:rPr>
                <w:sz w:val="25"/>
                <w:szCs w:val="25"/>
              </w:rPr>
              <w:t>Nav.</w:t>
            </w:r>
          </w:p>
        </w:tc>
      </w:tr>
    </w:tbl>
    <w:p w:rsidR="00BD5588" w:rsidRPr="004364A9" w:rsidRDefault="00BD5588" w:rsidP="00BD5588">
      <w:pPr>
        <w:pStyle w:val="Title"/>
        <w:spacing w:before="130" w:line="260" w:lineRule="exact"/>
        <w:ind w:firstLine="539"/>
        <w:jc w:val="both"/>
        <w:rPr>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4364A9" w:rsidTr="00B15BC6">
        <w:trPr>
          <w:cantSplit/>
        </w:trPr>
        <w:tc>
          <w:tcPr>
            <w:tcW w:w="5000" w:type="pct"/>
            <w:gridSpan w:val="3"/>
            <w:vAlign w:val="center"/>
            <w:hideMark/>
          </w:tcPr>
          <w:p w:rsidR="00BD5588" w:rsidRPr="004364A9" w:rsidRDefault="00BD5588" w:rsidP="009E0502">
            <w:pPr>
              <w:jc w:val="center"/>
              <w:rPr>
                <w:b/>
                <w:bCs/>
                <w:sz w:val="25"/>
                <w:szCs w:val="25"/>
              </w:rPr>
            </w:pPr>
            <w:r w:rsidRPr="004364A9">
              <w:rPr>
                <w:b/>
                <w:bCs/>
                <w:sz w:val="25"/>
                <w:szCs w:val="25"/>
              </w:rPr>
              <w:t>II. Tiesību akta projekta ietekme uz sabiedrību, tautsaimniecības attīstību un administratīvo slogu</w:t>
            </w:r>
          </w:p>
        </w:tc>
      </w:tr>
      <w:tr w:rsidR="00BD5588" w:rsidRPr="004364A9" w:rsidTr="00B15BC6">
        <w:trPr>
          <w:cantSplit/>
        </w:trPr>
        <w:tc>
          <w:tcPr>
            <w:tcW w:w="311" w:type="pct"/>
            <w:hideMark/>
          </w:tcPr>
          <w:p w:rsidR="00BD5588" w:rsidRPr="004364A9" w:rsidRDefault="00BD5588" w:rsidP="009E0502">
            <w:pPr>
              <w:jc w:val="center"/>
              <w:rPr>
                <w:sz w:val="25"/>
                <w:szCs w:val="25"/>
              </w:rPr>
            </w:pPr>
            <w:r w:rsidRPr="004364A9">
              <w:rPr>
                <w:sz w:val="25"/>
                <w:szCs w:val="25"/>
              </w:rPr>
              <w:t>1.</w:t>
            </w:r>
          </w:p>
        </w:tc>
        <w:tc>
          <w:tcPr>
            <w:tcW w:w="1479" w:type="pct"/>
            <w:hideMark/>
          </w:tcPr>
          <w:p w:rsidR="00BD5588" w:rsidRPr="004364A9" w:rsidRDefault="00BD5588" w:rsidP="009E0502">
            <w:pPr>
              <w:rPr>
                <w:sz w:val="25"/>
                <w:szCs w:val="25"/>
              </w:rPr>
            </w:pPr>
            <w:r w:rsidRPr="004364A9">
              <w:rPr>
                <w:sz w:val="25"/>
                <w:szCs w:val="25"/>
              </w:rPr>
              <w:t xml:space="preserve">Sabiedrības </w:t>
            </w:r>
            <w:proofErr w:type="spellStart"/>
            <w:r w:rsidRPr="004364A9">
              <w:rPr>
                <w:sz w:val="25"/>
                <w:szCs w:val="25"/>
              </w:rPr>
              <w:t>mērķgrupas</w:t>
            </w:r>
            <w:proofErr w:type="spellEnd"/>
            <w:r w:rsidRPr="004364A9">
              <w:rPr>
                <w:sz w:val="25"/>
                <w:szCs w:val="25"/>
              </w:rPr>
              <w:t>, kuras tiesiskais regulējums ietekmē vai varētu ietekmēt</w:t>
            </w:r>
          </w:p>
        </w:tc>
        <w:tc>
          <w:tcPr>
            <w:tcW w:w="3210" w:type="pct"/>
            <w:hideMark/>
          </w:tcPr>
          <w:p w:rsidR="00BD5588" w:rsidRPr="004364A9" w:rsidRDefault="002A7A98" w:rsidP="002A7A98">
            <w:pPr>
              <w:jc w:val="both"/>
              <w:rPr>
                <w:sz w:val="25"/>
                <w:szCs w:val="25"/>
              </w:rPr>
            </w:pPr>
            <w:r w:rsidRPr="004364A9">
              <w:rPr>
                <w:sz w:val="25"/>
                <w:szCs w:val="25"/>
              </w:rPr>
              <w:t>Inčukalna novada, Ropažu novada un Siguldas novada vispārējās pamatizglītības un vispārējās vidējās izglītības iestāžu, interešu izglītības iestāžu un bērnu no piecu gadu vecuma izglītošanā nodarbinātie pedagogi.</w:t>
            </w:r>
          </w:p>
        </w:tc>
      </w:tr>
      <w:tr w:rsidR="00BD5588" w:rsidRPr="004364A9" w:rsidTr="00B15BC6">
        <w:trPr>
          <w:cantSplit/>
        </w:trPr>
        <w:tc>
          <w:tcPr>
            <w:tcW w:w="311" w:type="pct"/>
            <w:hideMark/>
          </w:tcPr>
          <w:p w:rsidR="00BD5588" w:rsidRPr="004364A9" w:rsidRDefault="00BD5588" w:rsidP="009E0502">
            <w:pPr>
              <w:jc w:val="center"/>
              <w:rPr>
                <w:sz w:val="25"/>
                <w:szCs w:val="25"/>
              </w:rPr>
            </w:pPr>
            <w:r w:rsidRPr="004364A9">
              <w:rPr>
                <w:sz w:val="25"/>
                <w:szCs w:val="25"/>
              </w:rPr>
              <w:t>2.</w:t>
            </w:r>
          </w:p>
        </w:tc>
        <w:tc>
          <w:tcPr>
            <w:tcW w:w="1479" w:type="pct"/>
            <w:hideMark/>
          </w:tcPr>
          <w:p w:rsidR="00BD5588" w:rsidRPr="004364A9" w:rsidRDefault="00BD5588" w:rsidP="009E0502">
            <w:pPr>
              <w:rPr>
                <w:sz w:val="25"/>
                <w:szCs w:val="25"/>
              </w:rPr>
            </w:pPr>
            <w:r w:rsidRPr="004364A9">
              <w:rPr>
                <w:sz w:val="25"/>
                <w:szCs w:val="25"/>
              </w:rPr>
              <w:t>Tiesiskā regulējuma ietekme uz tautsaimniecību un administratīvo slogu</w:t>
            </w:r>
          </w:p>
        </w:tc>
        <w:tc>
          <w:tcPr>
            <w:tcW w:w="3210" w:type="pct"/>
            <w:hideMark/>
          </w:tcPr>
          <w:p w:rsidR="00BD5588" w:rsidRPr="004364A9" w:rsidRDefault="002A7A98" w:rsidP="009B3F6A">
            <w:pPr>
              <w:jc w:val="both"/>
              <w:rPr>
                <w:sz w:val="25"/>
                <w:szCs w:val="25"/>
              </w:rPr>
            </w:pPr>
            <w:r w:rsidRPr="004364A9">
              <w:rPr>
                <w:sz w:val="25"/>
                <w:szCs w:val="25"/>
              </w:rPr>
              <w:t>Ņemot vērā to, ka pēc ATR jaunizveidotie novadi ir finanšu, mantas, tiesību un saistību pārņēmēji, sabiedrības grupām un institūcijām projekta tiesiskais regulējums nemaina tiesības un pienākumus, kā arī veicamās darbības.</w:t>
            </w:r>
          </w:p>
        </w:tc>
      </w:tr>
      <w:tr w:rsidR="00BD5588" w:rsidRPr="004364A9" w:rsidTr="00B15BC6">
        <w:trPr>
          <w:cantSplit/>
        </w:trPr>
        <w:tc>
          <w:tcPr>
            <w:tcW w:w="311" w:type="pct"/>
            <w:hideMark/>
          </w:tcPr>
          <w:p w:rsidR="00BD5588" w:rsidRPr="004364A9" w:rsidRDefault="00BD5588" w:rsidP="009E0502">
            <w:pPr>
              <w:jc w:val="center"/>
              <w:rPr>
                <w:sz w:val="25"/>
                <w:szCs w:val="25"/>
              </w:rPr>
            </w:pPr>
            <w:r w:rsidRPr="004364A9">
              <w:rPr>
                <w:sz w:val="25"/>
                <w:szCs w:val="25"/>
              </w:rPr>
              <w:t>3.</w:t>
            </w:r>
          </w:p>
        </w:tc>
        <w:tc>
          <w:tcPr>
            <w:tcW w:w="1479" w:type="pct"/>
            <w:hideMark/>
          </w:tcPr>
          <w:p w:rsidR="00BD5588" w:rsidRPr="004364A9" w:rsidRDefault="00BD5588" w:rsidP="009E0502">
            <w:pPr>
              <w:rPr>
                <w:sz w:val="25"/>
                <w:szCs w:val="25"/>
              </w:rPr>
            </w:pPr>
            <w:r w:rsidRPr="004364A9">
              <w:rPr>
                <w:sz w:val="25"/>
                <w:szCs w:val="25"/>
              </w:rPr>
              <w:t>Administratīvo izmaksu monetārs novērtējums</w:t>
            </w:r>
          </w:p>
        </w:tc>
        <w:tc>
          <w:tcPr>
            <w:tcW w:w="3210" w:type="pct"/>
            <w:hideMark/>
          </w:tcPr>
          <w:p w:rsidR="00BD5588" w:rsidRPr="004364A9" w:rsidRDefault="002A7A98" w:rsidP="009E0502">
            <w:pPr>
              <w:rPr>
                <w:sz w:val="25"/>
                <w:szCs w:val="25"/>
              </w:rPr>
            </w:pPr>
            <w:r w:rsidRPr="004364A9">
              <w:rPr>
                <w:sz w:val="25"/>
                <w:szCs w:val="25"/>
              </w:rPr>
              <w:t>Projekts šo jomu neskar.</w:t>
            </w:r>
          </w:p>
        </w:tc>
      </w:tr>
      <w:tr w:rsidR="00BD5588" w:rsidRPr="004364A9" w:rsidTr="00B15BC6">
        <w:trPr>
          <w:cantSplit/>
        </w:trPr>
        <w:tc>
          <w:tcPr>
            <w:tcW w:w="311" w:type="pct"/>
            <w:hideMark/>
          </w:tcPr>
          <w:p w:rsidR="00BD5588" w:rsidRPr="004364A9" w:rsidRDefault="00BD5588" w:rsidP="009E0502">
            <w:pPr>
              <w:jc w:val="center"/>
              <w:rPr>
                <w:sz w:val="25"/>
                <w:szCs w:val="25"/>
              </w:rPr>
            </w:pPr>
            <w:r w:rsidRPr="004364A9">
              <w:rPr>
                <w:sz w:val="25"/>
                <w:szCs w:val="25"/>
              </w:rPr>
              <w:lastRenderedPageBreak/>
              <w:t>4.</w:t>
            </w:r>
          </w:p>
        </w:tc>
        <w:tc>
          <w:tcPr>
            <w:tcW w:w="1479" w:type="pct"/>
            <w:hideMark/>
          </w:tcPr>
          <w:p w:rsidR="00BD5588" w:rsidRPr="004364A9" w:rsidRDefault="00BD5588" w:rsidP="009E0502">
            <w:pPr>
              <w:rPr>
                <w:sz w:val="25"/>
                <w:szCs w:val="25"/>
              </w:rPr>
            </w:pPr>
            <w:r w:rsidRPr="004364A9">
              <w:rPr>
                <w:sz w:val="25"/>
                <w:szCs w:val="25"/>
              </w:rPr>
              <w:t>Atbilstības izmaksu monetārs novērtējums</w:t>
            </w:r>
          </w:p>
        </w:tc>
        <w:tc>
          <w:tcPr>
            <w:tcW w:w="3210" w:type="pct"/>
            <w:hideMark/>
          </w:tcPr>
          <w:p w:rsidR="00BD5588" w:rsidRPr="004364A9" w:rsidRDefault="002A7A98" w:rsidP="009E0502">
            <w:pPr>
              <w:rPr>
                <w:sz w:val="25"/>
                <w:szCs w:val="25"/>
              </w:rPr>
            </w:pPr>
            <w:r w:rsidRPr="004364A9">
              <w:rPr>
                <w:sz w:val="25"/>
                <w:szCs w:val="25"/>
              </w:rPr>
              <w:t>Projekts šo jomu neskar.</w:t>
            </w:r>
          </w:p>
        </w:tc>
      </w:tr>
      <w:tr w:rsidR="00BD5588" w:rsidRPr="004364A9" w:rsidTr="00B15BC6">
        <w:trPr>
          <w:cantSplit/>
        </w:trPr>
        <w:tc>
          <w:tcPr>
            <w:tcW w:w="311" w:type="pct"/>
            <w:hideMark/>
          </w:tcPr>
          <w:p w:rsidR="00BD5588" w:rsidRPr="004364A9" w:rsidRDefault="00BD5588" w:rsidP="009E0502">
            <w:pPr>
              <w:jc w:val="center"/>
              <w:rPr>
                <w:sz w:val="25"/>
                <w:szCs w:val="25"/>
              </w:rPr>
            </w:pPr>
            <w:r w:rsidRPr="004364A9">
              <w:rPr>
                <w:sz w:val="25"/>
                <w:szCs w:val="25"/>
              </w:rPr>
              <w:t>5.</w:t>
            </w:r>
          </w:p>
        </w:tc>
        <w:tc>
          <w:tcPr>
            <w:tcW w:w="1479" w:type="pct"/>
            <w:hideMark/>
          </w:tcPr>
          <w:p w:rsidR="00BD5588" w:rsidRPr="004364A9" w:rsidRDefault="00BD5588" w:rsidP="009E0502">
            <w:pPr>
              <w:rPr>
                <w:sz w:val="25"/>
                <w:szCs w:val="25"/>
              </w:rPr>
            </w:pPr>
            <w:r w:rsidRPr="004364A9">
              <w:rPr>
                <w:sz w:val="25"/>
                <w:szCs w:val="25"/>
              </w:rPr>
              <w:t>Cita informācija</w:t>
            </w:r>
          </w:p>
        </w:tc>
        <w:tc>
          <w:tcPr>
            <w:tcW w:w="3210" w:type="pct"/>
            <w:hideMark/>
          </w:tcPr>
          <w:p w:rsidR="00BD5588" w:rsidRPr="004364A9" w:rsidRDefault="00BD5588" w:rsidP="002A7A98">
            <w:pPr>
              <w:rPr>
                <w:sz w:val="25"/>
                <w:szCs w:val="25"/>
              </w:rPr>
            </w:pPr>
            <w:r w:rsidRPr="004364A9">
              <w:rPr>
                <w:sz w:val="25"/>
                <w:szCs w:val="25"/>
              </w:rPr>
              <w:t>Nav</w:t>
            </w:r>
            <w:r w:rsidR="002A7A98" w:rsidRPr="004364A9">
              <w:rPr>
                <w:sz w:val="25"/>
                <w:szCs w:val="25"/>
              </w:rPr>
              <w:t>.</w:t>
            </w:r>
          </w:p>
        </w:tc>
      </w:tr>
    </w:tbl>
    <w:p w:rsidR="008D2FCC" w:rsidRPr="004364A9" w:rsidRDefault="008D2FCC" w:rsidP="00BD5588">
      <w:pPr>
        <w:pStyle w:val="Title"/>
        <w:spacing w:before="130" w:line="260" w:lineRule="exact"/>
        <w:ind w:firstLine="539"/>
        <w:jc w:val="both"/>
        <w:rPr>
          <w:sz w:val="25"/>
          <w:szCs w:val="25"/>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4364A9" w:rsidTr="002A7A98">
        <w:trPr>
          <w:cantSplit/>
        </w:trPr>
        <w:tc>
          <w:tcPr>
            <w:tcW w:w="9065" w:type="dxa"/>
            <w:shd w:val="clear" w:color="auto" w:fill="auto"/>
            <w:vAlign w:val="center"/>
            <w:hideMark/>
          </w:tcPr>
          <w:p w:rsidR="00BD5588" w:rsidRPr="004364A9" w:rsidRDefault="00BD5588" w:rsidP="009E0502">
            <w:pPr>
              <w:jc w:val="center"/>
              <w:rPr>
                <w:b/>
                <w:bCs/>
                <w:sz w:val="25"/>
                <w:szCs w:val="25"/>
                <w:lang w:eastAsia="en-US"/>
              </w:rPr>
            </w:pPr>
            <w:r w:rsidRPr="004364A9">
              <w:rPr>
                <w:b/>
                <w:bCs/>
                <w:sz w:val="25"/>
                <w:szCs w:val="25"/>
                <w:lang w:eastAsia="en-US"/>
              </w:rPr>
              <w:t>III. Tiesību akta projekta ietekme uz valsts budžetu un pašvaldību budžetiem</w:t>
            </w:r>
          </w:p>
        </w:tc>
      </w:tr>
      <w:tr w:rsidR="003D015B" w:rsidRPr="004364A9" w:rsidTr="002A7A98">
        <w:trPr>
          <w:cantSplit/>
        </w:trPr>
        <w:tc>
          <w:tcPr>
            <w:tcW w:w="9065" w:type="dxa"/>
            <w:shd w:val="clear" w:color="auto" w:fill="auto"/>
            <w:vAlign w:val="center"/>
          </w:tcPr>
          <w:p w:rsidR="003D015B" w:rsidRPr="004364A9" w:rsidRDefault="003D015B" w:rsidP="009E0502">
            <w:pPr>
              <w:jc w:val="center"/>
              <w:rPr>
                <w:bCs/>
                <w:sz w:val="25"/>
                <w:szCs w:val="25"/>
                <w:lang w:eastAsia="en-US"/>
              </w:rPr>
            </w:pPr>
            <w:r w:rsidRPr="004364A9">
              <w:rPr>
                <w:bCs/>
                <w:sz w:val="25"/>
                <w:szCs w:val="25"/>
                <w:lang w:eastAsia="en-US"/>
              </w:rPr>
              <w:t>Projekts šo jomu neskar.</w:t>
            </w:r>
          </w:p>
        </w:tc>
      </w:tr>
    </w:tbl>
    <w:p w:rsidR="003D015B" w:rsidRPr="004364A9" w:rsidRDefault="003D015B">
      <w:pPr>
        <w:rPr>
          <w:sz w:val="25"/>
          <w:szCs w:val="25"/>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0"/>
        <w:gridCol w:w="2666"/>
        <w:gridCol w:w="5829"/>
      </w:tblGrid>
      <w:tr w:rsidR="00BD5588" w:rsidRPr="004364A9" w:rsidTr="002A7A98">
        <w:trPr>
          <w:cantSplit/>
        </w:trPr>
        <w:tc>
          <w:tcPr>
            <w:tcW w:w="9065" w:type="dxa"/>
            <w:gridSpan w:val="3"/>
            <w:vAlign w:val="center"/>
            <w:hideMark/>
          </w:tcPr>
          <w:p w:rsidR="00BD5588" w:rsidRPr="004364A9" w:rsidRDefault="00BD5588" w:rsidP="009E0502">
            <w:pPr>
              <w:jc w:val="center"/>
              <w:rPr>
                <w:b/>
                <w:bCs/>
                <w:sz w:val="25"/>
                <w:szCs w:val="25"/>
              </w:rPr>
            </w:pPr>
            <w:r w:rsidRPr="004364A9">
              <w:rPr>
                <w:b/>
                <w:bCs/>
                <w:sz w:val="25"/>
                <w:szCs w:val="25"/>
              </w:rPr>
              <w:t>IV. Tiesību akta projekta ietekme uz spēkā esošo tiesību normu sistēmu</w:t>
            </w:r>
          </w:p>
        </w:tc>
      </w:tr>
      <w:tr w:rsidR="00BD5588" w:rsidRPr="004364A9" w:rsidTr="002A7A98">
        <w:trPr>
          <w:cantSplit/>
        </w:trPr>
        <w:tc>
          <w:tcPr>
            <w:tcW w:w="570" w:type="dxa"/>
            <w:hideMark/>
          </w:tcPr>
          <w:p w:rsidR="00BD5588" w:rsidRPr="004364A9" w:rsidRDefault="00BD5588" w:rsidP="009E0502">
            <w:pPr>
              <w:jc w:val="center"/>
              <w:rPr>
                <w:sz w:val="25"/>
                <w:szCs w:val="25"/>
              </w:rPr>
            </w:pPr>
            <w:r w:rsidRPr="004364A9">
              <w:rPr>
                <w:sz w:val="25"/>
                <w:szCs w:val="25"/>
              </w:rPr>
              <w:t>1.</w:t>
            </w:r>
          </w:p>
        </w:tc>
        <w:tc>
          <w:tcPr>
            <w:tcW w:w="2666" w:type="dxa"/>
            <w:hideMark/>
          </w:tcPr>
          <w:p w:rsidR="00BD5588" w:rsidRPr="004364A9" w:rsidRDefault="00BD5588" w:rsidP="009E0502">
            <w:pPr>
              <w:rPr>
                <w:sz w:val="25"/>
                <w:szCs w:val="25"/>
              </w:rPr>
            </w:pPr>
            <w:r w:rsidRPr="004364A9">
              <w:rPr>
                <w:sz w:val="25"/>
                <w:szCs w:val="25"/>
              </w:rPr>
              <w:t>Saistītie tiesību aktu projekti</w:t>
            </w:r>
          </w:p>
        </w:tc>
        <w:tc>
          <w:tcPr>
            <w:tcW w:w="5829" w:type="dxa"/>
            <w:hideMark/>
          </w:tcPr>
          <w:p w:rsidR="00BD5588" w:rsidRPr="004364A9" w:rsidRDefault="001754C6" w:rsidP="009E0502">
            <w:pPr>
              <w:rPr>
                <w:sz w:val="25"/>
                <w:szCs w:val="25"/>
              </w:rPr>
            </w:pPr>
            <w:r w:rsidRPr="004364A9">
              <w:rPr>
                <w:sz w:val="25"/>
                <w:szCs w:val="25"/>
              </w:rPr>
              <w:t>Nav.</w:t>
            </w:r>
          </w:p>
        </w:tc>
      </w:tr>
      <w:tr w:rsidR="00BD5588" w:rsidRPr="004364A9" w:rsidTr="002A7A98">
        <w:trPr>
          <w:cantSplit/>
        </w:trPr>
        <w:tc>
          <w:tcPr>
            <w:tcW w:w="570" w:type="dxa"/>
            <w:hideMark/>
          </w:tcPr>
          <w:p w:rsidR="00BD5588" w:rsidRPr="004364A9" w:rsidRDefault="00BD5588" w:rsidP="009E0502">
            <w:pPr>
              <w:jc w:val="center"/>
              <w:rPr>
                <w:sz w:val="25"/>
                <w:szCs w:val="25"/>
              </w:rPr>
            </w:pPr>
            <w:r w:rsidRPr="004364A9">
              <w:rPr>
                <w:sz w:val="25"/>
                <w:szCs w:val="25"/>
              </w:rPr>
              <w:t>2.</w:t>
            </w:r>
          </w:p>
        </w:tc>
        <w:tc>
          <w:tcPr>
            <w:tcW w:w="2666" w:type="dxa"/>
            <w:hideMark/>
          </w:tcPr>
          <w:p w:rsidR="00BD5588" w:rsidRPr="004364A9" w:rsidRDefault="00BD5588" w:rsidP="009E0502">
            <w:pPr>
              <w:rPr>
                <w:sz w:val="25"/>
                <w:szCs w:val="25"/>
              </w:rPr>
            </w:pPr>
            <w:r w:rsidRPr="004364A9">
              <w:rPr>
                <w:sz w:val="25"/>
                <w:szCs w:val="25"/>
              </w:rPr>
              <w:t>Atbildīgā institūcija</w:t>
            </w:r>
          </w:p>
        </w:tc>
        <w:tc>
          <w:tcPr>
            <w:tcW w:w="5829" w:type="dxa"/>
            <w:hideMark/>
          </w:tcPr>
          <w:p w:rsidR="00BD5588" w:rsidRPr="004364A9" w:rsidRDefault="00BD5588" w:rsidP="001754C6">
            <w:pPr>
              <w:rPr>
                <w:sz w:val="25"/>
                <w:szCs w:val="25"/>
              </w:rPr>
            </w:pPr>
            <w:r w:rsidRPr="004364A9">
              <w:rPr>
                <w:sz w:val="25"/>
                <w:szCs w:val="25"/>
              </w:rPr>
              <w:t>I</w:t>
            </w:r>
            <w:r w:rsidR="001754C6" w:rsidRPr="004364A9">
              <w:rPr>
                <w:sz w:val="25"/>
                <w:szCs w:val="25"/>
              </w:rPr>
              <w:t>zglītības un zinātnes ministrija.</w:t>
            </w:r>
          </w:p>
        </w:tc>
      </w:tr>
      <w:tr w:rsidR="00BD5588" w:rsidRPr="004364A9" w:rsidTr="002A7A98">
        <w:trPr>
          <w:cantSplit/>
        </w:trPr>
        <w:tc>
          <w:tcPr>
            <w:tcW w:w="570" w:type="dxa"/>
            <w:hideMark/>
          </w:tcPr>
          <w:p w:rsidR="00BD5588" w:rsidRPr="004364A9" w:rsidRDefault="00BD5588" w:rsidP="009E0502">
            <w:pPr>
              <w:jc w:val="center"/>
              <w:rPr>
                <w:sz w:val="25"/>
                <w:szCs w:val="25"/>
              </w:rPr>
            </w:pPr>
            <w:r w:rsidRPr="004364A9">
              <w:rPr>
                <w:sz w:val="25"/>
                <w:szCs w:val="25"/>
              </w:rPr>
              <w:t>3.</w:t>
            </w:r>
          </w:p>
        </w:tc>
        <w:tc>
          <w:tcPr>
            <w:tcW w:w="2666" w:type="dxa"/>
            <w:hideMark/>
          </w:tcPr>
          <w:p w:rsidR="00BD5588" w:rsidRPr="004364A9" w:rsidRDefault="00BD5588" w:rsidP="009E0502">
            <w:pPr>
              <w:rPr>
                <w:sz w:val="25"/>
                <w:szCs w:val="25"/>
              </w:rPr>
            </w:pPr>
            <w:r w:rsidRPr="004364A9">
              <w:rPr>
                <w:sz w:val="25"/>
                <w:szCs w:val="25"/>
              </w:rPr>
              <w:t>Cita informācija</w:t>
            </w:r>
          </w:p>
        </w:tc>
        <w:tc>
          <w:tcPr>
            <w:tcW w:w="5829" w:type="dxa"/>
            <w:hideMark/>
          </w:tcPr>
          <w:p w:rsidR="00BD5588" w:rsidRPr="004364A9" w:rsidRDefault="00BD5588" w:rsidP="001754C6">
            <w:pPr>
              <w:rPr>
                <w:sz w:val="25"/>
                <w:szCs w:val="25"/>
              </w:rPr>
            </w:pPr>
            <w:r w:rsidRPr="004364A9">
              <w:rPr>
                <w:sz w:val="25"/>
                <w:szCs w:val="25"/>
              </w:rPr>
              <w:t>Nav</w:t>
            </w:r>
            <w:r w:rsidR="001754C6" w:rsidRPr="004364A9">
              <w:rPr>
                <w:sz w:val="25"/>
                <w:szCs w:val="25"/>
              </w:rPr>
              <w:t>.</w:t>
            </w:r>
          </w:p>
        </w:tc>
      </w:tr>
    </w:tbl>
    <w:p w:rsidR="00BD5588" w:rsidRPr="004364A9" w:rsidRDefault="00BD5588" w:rsidP="00BD5588">
      <w:pPr>
        <w:pStyle w:val="Title"/>
        <w:spacing w:before="130" w:line="260" w:lineRule="exact"/>
        <w:ind w:firstLine="539"/>
        <w:jc w:val="both"/>
        <w:rPr>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4364A9" w:rsidTr="009E0502">
        <w:trPr>
          <w:cantSplit/>
        </w:trPr>
        <w:tc>
          <w:tcPr>
            <w:tcW w:w="5000" w:type="pct"/>
            <w:vAlign w:val="center"/>
            <w:hideMark/>
          </w:tcPr>
          <w:p w:rsidR="00BD5588" w:rsidRPr="004364A9" w:rsidRDefault="00BD5588" w:rsidP="009E0502">
            <w:pPr>
              <w:jc w:val="center"/>
              <w:rPr>
                <w:b/>
                <w:bCs/>
                <w:sz w:val="25"/>
                <w:szCs w:val="25"/>
              </w:rPr>
            </w:pPr>
            <w:r w:rsidRPr="004364A9">
              <w:rPr>
                <w:b/>
                <w:bCs/>
                <w:sz w:val="25"/>
                <w:szCs w:val="25"/>
              </w:rPr>
              <w:t>V. Tiesību akta projekta atbilstība Latvijas Republikas starptautiskajām saistībām</w:t>
            </w:r>
          </w:p>
        </w:tc>
      </w:tr>
      <w:tr w:rsidR="001754C6" w:rsidRPr="004364A9" w:rsidTr="009E0502">
        <w:trPr>
          <w:cantSplit/>
        </w:trPr>
        <w:tc>
          <w:tcPr>
            <w:tcW w:w="5000" w:type="pct"/>
            <w:vAlign w:val="center"/>
          </w:tcPr>
          <w:p w:rsidR="001754C6" w:rsidRPr="004364A9" w:rsidRDefault="001754C6" w:rsidP="009E0502">
            <w:pPr>
              <w:jc w:val="center"/>
              <w:rPr>
                <w:b/>
                <w:bCs/>
                <w:sz w:val="25"/>
                <w:szCs w:val="25"/>
              </w:rPr>
            </w:pPr>
            <w:r w:rsidRPr="004364A9">
              <w:rPr>
                <w:bCs/>
                <w:sz w:val="25"/>
                <w:szCs w:val="25"/>
                <w:lang w:eastAsia="en-US"/>
              </w:rPr>
              <w:t>Projekts šo jomu neskar.</w:t>
            </w:r>
          </w:p>
        </w:tc>
      </w:tr>
    </w:tbl>
    <w:p w:rsidR="001754C6" w:rsidRPr="004364A9" w:rsidRDefault="001754C6" w:rsidP="00BD5588">
      <w:pPr>
        <w:pStyle w:val="Title"/>
        <w:spacing w:before="130" w:line="260" w:lineRule="exact"/>
        <w:ind w:firstLine="539"/>
        <w:jc w:val="both"/>
        <w:rPr>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4364A9" w:rsidTr="009E0502">
        <w:trPr>
          <w:cantSplit/>
        </w:trPr>
        <w:tc>
          <w:tcPr>
            <w:tcW w:w="5000" w:type="pct"/>
            <w:gridSpan w:val="3"/>
            <w:vAlign w:val="center"/>
            <w:hideMark/>
          </w:tcPr>
          <w:p w:rsidR="00BD5588" w:rsidRPr="004364A9" w:rsidRDefault="00BD5588" w:rsidP="009E0502">
            <w:pPr>
              <w:jc w:val="center"/>
              <w:rPr>
                <w:b/>
                <w:bCs/>
                <w:sz w:val="25"/>
                <w:szCs w:val="25"/>
              </w:rPr>
            </w:pPr>
            <w:r w:rsidRPr="004364A9">
              <w:rPr>
                <w:b/>
                <w:bCs/>
                <w:sz w:val="25"/>
                <w:szCs w:val="25"/>
              </w:rPr>
              <w:t>VI. Sabiedrības līdzdalība un komunikācijas aktivitātes</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1.</w:t>
            </w:r>
          </w:p>
        </w:tc>
        <w:tc>
          <w:tcPr>
            <w:tcW w:w="1479" w:type="pct"/>
            <w:hideMark/>
          </w:tcPr>
          <w:p w:rsidR="00BD5588" w:rsidRPr="004364A9" w:rsidRDefault="00BD5588" w:rsidP="009E0502">
            <w:pPr>
              <w:rPr>
                <w:sz w:val="25"/>
                <w:szCs w:val="25"/>
              </w:rPr>
            </w:pPr>
            <w:r w:rsidRPr="004364A9">
              <w:rPr>
                <w:sz w:val="25"/>
                <w:szCs w:val="25"/>
              </w:rPr>
              <w:t>Plānotās sabiedrības līdzdalības un komunikācijas aktivitātes saistībā ar projektu</w:t>
            </w:r>
          </w:p>
        </w:tc>
        <w:tc>
          <w:tcPr>
            <w:tcW w:w="3210" w:type="pct"/>
            <w:hideMark/>
          </w:tcPr>
          <w:p w:rsidR="00BD5588" w:rsidRPr="004364A9" w:rsidRDefault="002F423F" w:rsidP="009E0502">
            <w:pPr>
              <w:rPr>
                <w:sz w:val="25"/>
                <w:szCs w:val="25"/>
              </w:rPr>
            </w:pPr>
            <w:r w:rsidRPr="004364A9">
              <w:rPr>
                <w:sz w:val="25"/>
                <w:szCs w:val="25"/>
              </w:rPr>
              <w:t>Nav.</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2.</w:t>
            </w:r>
          </w:p>
        </w:tc>
        <w:tc>
          <w:tcPr>
            <w:tcW w:w="1479" w:type="pct"/>
            <w:hideMark/>
          </w:tcPr>
          <w:p w:rsidR="00BD5588" w:rsidRPr="004364A9" w:rsidRDefault="00BD5588" w:rsidP="009E0502">
            <w:pPr>
              <w:rPr>
                <w:sz w:val="25"/>
                <w:szCs w:val="25"/>
              </w:rPr>
            </w:pPr>
            <w:r w:rsidRPr="004364A9">
              <w:rPr>
                <w:sz w:val="25"/>
                <w:szCs w:val="25"/>
              </w:rPr>
              <w:t>Sabiedrības līdzdalība projekta izstrādē</w:t>
            </w:r>
          </w:p>
        </w:tc>
        <w:tc>
          <w:tcPr>
            <w:tcW w:w="3210" w:type="pct"/>
            <w:hideMark/>
          </w:tcPr>
          <w:p w:rsidR="00BD5588" w:rsidRPr="004364A9" w:rsidRDefault="002F423F" w:rsidP="002F423F">
            <w:pPr>
              <w:rPr>
                <w:sz w:val="25"/>
                <w:szCs w:val="25"/>
              </w:rPr>
            </w:pPr>
            <w:r w:rsidRPr="004364A9">
              <w:rPr>
                <w:sz w:val="25"/>
                <w:szCs w:val="25"/>
              </w:rPr>
              <w:t>2021. gada 17. maijā nosūtītas vēstules Aglonas un Inčukalna novadiem.</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3.</w:t>
            </w:r>
          </w:p>
        </w:tc>
        <w:tc>
          <w:tcPr>
            <w:tcW w:w="1479" w:type="pct"/>
            <w:hideMark/>
          </w:tcPr>
          <w:p w:rsidR="00BD5588" w:rsidRPr="004364A9" w:rsidRDefault="00BD5588" w:rsidP="009E0502">
            <w:pPr>
              <w:rPr>
                <w:sz w:val="25"/>
                <w:szCs w:val="25"/>
              </w:rPr>
            </w:pPr>
            <w:r w:rsidRPr="004364A9">
              <w:rPr>
                <w:sz w:val="25"/>
                <w:szCs w:val="25"/>
              </w:rPr>
              <w:t>Sabiedrības līdzdalības rezultāti</w:t>
            </w:r>
          </w:p>
        </w:tc>
        <w:tc>
          <w:tcPr>
            <w:tcW w:w="3210" w:type="pct"/>
            <w:hideMark/>
          </w:tcPr>
          <w:p w:rsidR="002F423F" w:rsidRPr="004364A9" w:rsidRDefault="002F423F" w:rsidP="002F423F">
            <w:pPr>
              <w:rPr>
                <w:sz w:val="25"/>
                <w:szCs w:val="25"/>
              </w:rPr>
            </w:pPr>
            <w:r w:rsidRPr="004364A9">
              <w:rPr>
                <w:sz w:val="25"/>
                <w:szCs w:val="25"/>
              </w:rPr>
              <w:t>2021. gada 21. maijā saņemta atbilde</w:t>
            </w:r>
            <w:r w:rsidR="009B3F6A" w:rsidRPr="004364A9">
              <w:rPr>
                <w:sz w:val="25"/>
                <w:szCs w:val="25"/>
              </w:rPr>
              <w:t>s</w:t>
            </w:r>
            <w:r w:rsidRPr="004364A9">
              <w:rPr>
                <w:sz w:val="25"/>
                <w:szCs w:val="25"/>
              </w:rPr>
              <w:t xml:space="preserve"> vēstule no Aglonas</w:t>
            </w:r>
            <w:r w:rsidR="009B3F6A" w:rsidRPr="004364A9">
              <w:rPr>
                <w:sz w:val="25"/>
                <w:szCs w:val="25"/>
              </w:rPr>
              <w:t xml:space="preserve"> novada</w:t>
            </w:r>
            <w:r w:rsidRPr="004364A9">
              <w:rPr>
                <w:sz w:val="25"/>
                <w:szCs w:val="25"/>
              </w:rPr>
              <w:t>.</w:t>
            </w:r>
          </w:p>
          <w:p w:rsidR="00BD5588" w:rsidRPr="004364A9" w:rsidRDefault="002F423F" w:rsidP="009B3F6A">
            <w:pPr>
              <w:rPr>
                <w:sz w:val="25"/>
                <w:szCs w:val="25"/>
              </w:rPr>
            </w:pPr>
            <w:r w:rsidRPr="004364A9">
              <w:rPr>
                <w:sz w:val="25"/>
                <w:szCs w:val="25"/>
              </w:rPr>
              <w:t>2021. gada 2. jūnijā saņemta atbilde</w:t>
            </w:r>
            <w:r w:rsidR="009B3F6A" w:rsidRPr="004364A9">
              <w:rPr>
                <w:sz w:val="25"/>
                <w:szCs w:val="25"/>
              </w:rPr>
              <w:t>s</w:t>
            </w:r>
            <w:r w:rsidRPr="004364A9">
              <w:rPr>
                <w:sz w:val="25"/>
                <w:szCs w:val="25"/>
              </w:rPr>
              <w:t xml:space="preserve"> vēstule no Inčukalna novada.</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4.</w:t>
            </w:r>
          </w:p>
        </w:tc>
        <w:tc>
          <w:tcPr>
            <w:tcW w:w="1479" w:type="pct"/>
            <w:hideMark/>
          </w:tcPr>
          <w:p w:rsidR="00BD5588" w:rsidRPr="004364A9" w:rsidRDefault="00BD5588" w:rsidP="009E0502">
            <w:pPr>
              <w:rPr>
                <w:sz w:val="25"/>
                <w:szCs w:val="25"/>
              </w:rPr>
            </w:pPr>
            <w:r w:rsidRPr="004364A9">
              <w:rPr>
                <w:sz w:val="25"/>
                <w:szCs w:val="25"/>
              </w:rPr>
              <w:t>Cita informācija</w:t>
            </w:r>
          </w:p>
        </w:tc>
        <w:tc>
          <w:tcPr>
            <w:tcW w:w="3210" w:type="pct"/>
            <w:hideMark/>
          </w:tcPr>
          <w:p w:rsidR="00BD5588" w:rsidRPr="004364A9" w:rsidRDefault="002F423F" w:rsidP="009E0502">
            <w:pPr>
              <w:rPr>
                <w:sz w:val="25"/>
                <w:szCs w:val="25"/>
              </w:rPr>
            </w:pPr>
            <w:r w:rsidRPr="004364A9">
              <w:rPr>
                <w:sz w:val="25"/>
                <w:szCs w:val="25"/>
              </w:rPr>
              <w:t>Nav.</w:t>
            </w:r>
          </w:p>
        </w:tc>
      </w:tr>
    </w:tbl>
    <w:p w:rsidR="00BD5588" w:rsidRPr="004364A9" w:rsidRDefault="00BD5588" w:rsidP="00BD5588">
      <w:pPr>
        <w:pStyle w:val="Title"/>
        <w:spacing w:before="130" w:line="260" w:lineRule="exact"/>
        <w:ind w:firstLine="539"/>
        <w:jc w:val="both"/>
        <w:rPr>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4364A9" w:rsidTr="009E0502">
        <w:trPr>
          <w:cantSplit/>
        </w:trPr>
        <w:tc>
          <w:tcPr>
            <w:tcW w:w="5000" w:type="pct"/>
            <w:gridSpan w:val="3"/>
            <w:vAlign w:val="center"/>
            <w:hideMark/>
          </w:tcPr>
          <w:p w:rsidR="00BD5588" w:rsidRPr="004364A9" w:rsidRDefault="00BD5588" w:rsidP="009E0502">
            <w:pPr>
              <w:jc w:val="center"/>
              <w:rPr>
                <w:b/>
                <w:bCs/>
                <w:sz w:val="25"/>
                <w:szCs w:val="25"/>
              </w:rPr>
            </w:pPr>
            <w:r w:rsidRPr="004364A9">
              <w:rPr>
                <w:b/>
                <w:bCs/>
                <w:sz w:val="25"/>
                <w:szCs w:val="25"/>
              </w:rPr>
              <w:t>VII. Tiesību akta projekta izpildes nodrošināšana un tās ietekme uz institūcijām</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1.</w:t>
            </w:r>
          </w:p>
        </w:tc>
        <w:tc>
          <w:tcPr>
            <w:tcW w:w="1479" w:type="pct"/>
            <w:hideMark/>
          </w:tcPr>
          <w:p w:rsidR="00BD5588" w:rsidRPr="004364A9" w:rsidRDefault="00BD5588" w:rsidP="009E0502">
            <w:pPr>
              <w:rPr>
                <w:sz w:val="25"/>
                <w:szCs w:val="25"/>
              </w:rPr>
            </w:pPr>
            <w:r w:rsidRPr="004364A9">
              <w:rPr>
                <w:sz w:val="25"/>
                <w:szCs w:val="25"/>
              </w:rPr>
              <w:t>Projekta izpildē iesaistītās institūcijas</w:t>
            </w:r>
          </w:p>
        </w:tc>
        <w:tc>
          <w:tcPr>
            <w:tcW w:w="3210" w:type="pct"/>
            <w:hideMark/>
          </w:tcPr>
          <w:p w:rsidR="00BD5588" w:rsidRPr="004364A9" w:rsidRDefault="00BD5588" w:rsidP="002F423F">
            <w:pPr>
              <w:rPr>
                <w:sz w:val="25"/>
                <w:szCs w:val="25"/>
              </w:rPr>
            </w:pPr>
            <w:r w:rsidRPr="004364A9">
              <w:rPr>
                <w:sz w:val="25"/>
                <w:szCs w:val="25"/>
              </w:rPr>
              <w:t>I</w:t>
            </w:r>
            <w:r w:rsidR="002F423F" w:rsidRPr="004364A9">
              <w:rPr>
                <w:sz w:val="25"/>
                <w:szCs w:val="25"/>
              </w:rPr>
              <w:t>zglītības un zinātnes ministrija.</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2.</w:t>
            </w:r>
          </w:p>
        </w:tc>
        <w:tc>
          <w:tcPr>
            <w:tcW w:w="1479" w:type="pct"/>
            <w:hideMark/>
          </w:tcPr>
          <w:p w:rsidR="00BD5588" w:rsidRPr="004364A9" w:rsidRDefault="00BD5588" w:rsidP="009E0502">
            <w:pPr>
              <w:rPr>
                <w:sz w:val="25"/>
                <w:szCs w:val="25"/>
              </w:rPr>
            </w:pPr>
            <w:r w:rsidRPr="004364A9">
              <w:rPr>
                <w:sz w:val="25"/>
                <w:szCs w:val="25"/>
              </w:rPr>
              <w:t>Projekta izpildes ietekme uz pārvaldes funkcijām un institucionālo struktūru.</w:t>
            </w:r>
            <w:r w:rsidRPr="004364A9">
              <w:rPr>
                <w:sz w:val="25"/>
                <w:szCs w:val="25"/>
              </w:rPr>
              <w:br/>
              <w:t>Jaunu institūciju izveide, esošu institūciju likvidācija vai reorganizācija, to ietekme uz institūcijas cilvēkresursiem</w:t>
            </w:r>
          </w:p>
        </w:tc>
        <w:tc>
          <w:tcPr>
            <w:tcW w:w="3210" w:type="pct"/>
            <w:hideMark/>
          </w:tcPr>
          <w:p w:rsidR="00BD5588" w:rsidRPr="004364A9" w:rsidRDefault="002F423F" w:rsidP="009E0502">
            <w:pPr>
              <w:rPr>
                <w:sz w:val="25"/>
                <w:szCs w:val="25"/>
              </w:rPr>
            </w:pPr>
            <w:r w:rsidRPr="004364A9">
              <w:rPr>
                <w:sz w:val="25"/>
                <w:szCs w:val="25"/>
              </w:rPr>
              <w:t>Projekts šo jomu neskar.</w:t>
            </w:r>
          </w:p>
        </w:tc>
      </w:tr>
      <w:tr w:rsidR="00BD5588" w:rsidRPr="004364A9" w:rsidTr="009E0502">
        <w:trPr>
          <w:cantSplit/>
        </w:trPr>
        <w:tc>
          <w:tcPr>
            <w:tcW w:w="311" w:type="pct"/>
            <w:hideMark/>
          </w:tcPr>
          <w:p w:rsidR="00BD5588" w:rsidRPr="004364A9" w:rsidRDefault="00BD5588" w:rsidP="009E0502">
            <w:pPr>
              <w:jc w:val="center"/>
              <w:rPr>
                <w:sz w:val="25"/>
                <w:szCs w:val="25"/>
              </w:rPr>
            </w:pPr>
            <w:r w:rsidRPr="004364A9">
              <w:rPr>
                <w:sz w:val="25"/>
                <w:szCs w:val="25"/>
              </w:rPr>
              <w:t>3.</w:t>
            </w:r>
          </w:p>
        </w:tc>
        <w:tc>
          <w:tcPr>
            <w:tcW w:w="1479" w:type="pct"/>
            <w:hideMark/>
          </w:tcPr>
          <w:p w:rsidR="00BD5588" w:rsidRPr="004364A9" w:rsidRDefault="00BD5588" w:rsidP="009E0502">
            <w:pPr>
              <w:rPr>
                <w:sz w:val="25"/>
                <w:szCs w:val="25"/>
              </w:rPr>
            </w:pPr>
            <w:r w:rsidRPr="004364A9">
              <w:rPr>
                <w:sz w:val="25"/>
                <w:szCs w:val="25"/>
              </w:rPr>
              <w:t>Cita informācija</w:t>
            </w:r>
          </w:p>
        </w:tc>
        <w:tc>
          <w:tcPr>
            <w:tcW w:w="3210" w:type="pct"/>
            <w:hideMark/>
          </w:tcPr>
          <w:p w:rsidR="00BD5588" w:rsidRPr="004364A9" w:rsidRDefault="00BD5588" w:rsidP="002F423F">
            <w:pPr>
              <w:rPr>
                <w:sz w:val="25"/>
                <w:szCs w:val="25"/>
              </w:rPr>
            </w:pPr>
            <w:r w:rsidRPr="004364A9">
              <w:rPr>
                <w:sz w:val="25"/>
                <w:szCs w:val="25"/>
              </w:rPr>
              <w:t>Nav</w:t>
            </w:r>
            <w:r w:rsidR="002F423F" w:rsidRPr="004364A9">
              <w:rPr>
                <w:sz w:val="25"/>
                <w:szCs w:val="25"/>
              </w:rPr>
              <w:t>.</w:t>
            </w:r>
          </w:p>
        </w:tc>
      </w:tr>
    </w:tbl>
    <w:p w:rsidR="002F423F" w:rsidRPr="004364A9" w:rsidRDefault="002F423F" w:rsidP="00B15BC6">
      <w:pPr>
        <w:rPr>
          <w:sz w:val="25"/>
          <w:szCs w:val="25"/>
        </w:rPr>
      </w:pPr>
    </w:p>
    <w:p w:rsidR="002F423F" w:rsidRPr="004364A9" w:rsidRDefault="002F423F" w:rsidP="00B15BC6">
      <w:pPr>
        <w:rPr>
          <w:sz w:val="25"/>
          <w:szCs w:val="25"/>
        </w:rPr>
      </w:pPr>
    </w:p>
    <w:p w:rsidR="004364A9" w:rsidRPr="004364A9" w:rsidRDefault="004364A9" w:rsidP="00B15BC6">
      <w:pPr>
        <w:rPr>
          <w:sz w:val="25"/>
          <w:szCs w:val="25"/>
        </w:rPr>
      </w:pPr>
    </w:p>
    <w:p w:rsidR="002F423F" w:rsidRPr="004364A9" w:rsidRDefault="002F423F" w:rsidP="00B15BC6">
      <w:pPr>
        <w:tabs>
          <w:tab w:val="right" w:pos="9071"/>
        </w:tabs>
        <w:ind w:firstLine="567"/>
        <w:jc w:val="both"/>
        <w:rPr>
          <w:sz w:val="25"/>
          <w:szCs w:val="25"/>
        </w:rPr>
      </w:pPr>
      <w:r w:rsidRPr="004364A9">
        <w:rPr>
          <w:sz w:val="25"/>
          <w:szCs w:val="25"/>
        </w:rPr>
        <w:t>Ministru prezidents</w:t>
      </w:r>
      <w:r w:rsidRPr="004364A9">
        <w:rPr>
          <w:sz w:val="25"/>
          <w:szCs w:val="25"/>
        </w:rPr>
        <w:tab/>
        <w:t>Arturs Krišjānis Kariņš</w:t>
      </w:r>
    </w:p>
    <w:p w:rsidR="002F423F" w:rsidRPr="004364A9" w:rsidRDefault="002F423F" w:rsidP="00B15BC6">
      <w:pPr>
        <w:tabs>
          <w:tab w:val="right" w:pos="9071"/>
        </w:tabs>
        <w:ind w:firstLine="567"/>
        <w:jc w:val="both"/>
        <w:rPr>
          <w:sz w:val="25"/>
          <w:szCs w:val="25"/>
        </w:rPr>
      </w:pPr>
    </w:p>
    <w:p w:rsidR="002F423F" w:rsidRPr="004364A9" w:rsidRDefault="002F423F" w:rsidP="00B15BC6">
      <w:pPr>
        <w:tabs>
          <w:tab w:val="right" w:pos="9071"/>
        </w:tabs>
        <w:ind w:firstLine="567"/>
        <w:jc w:val="both"/>
        <w:rPr>
          <w:sz w:val="25"/>
          <w:szCs w:val="25"/>
        </w:rPr>
      </w:pPr>
      <w:r w:rsidRPr="004364A9">
        <w:rPr>
          <w:sz w:val="25"/>
          <w:szCs w:val="25"/>
        </w:rPr>
        <w:t>Valsts kancelejas direktors</w:t>
      </w:r>
      <w:r w:rsidRPr="004364A9">
        <w:rPr>
          <w:sz w:val="25"/>
          <w:szCs w:val="25"/>
        </w:rPr>
        <w:tab/>
        <w:t xml:space="preserve">Jānis </w:t>
      </w:r>
      <w:proofErr w:type="spellStart"/>
      <w:r w:rsidRPr="004364A9">
        <w:rPr>
          <w:sz w:val="25"/>
          <w:szCs w:val="25"/>
        </w:rPr>
        <w:t>Citskovskis</w:t>
      </w:r>
      <w:proofErr w:type="spellEnd"/>
    </w:p>
    <w:p w:rsidR="002F423F" w:rsidRPr="004364A9" w:rsidRDefault="002F423F" w:rsidP="00B15BC6">
      <w:pPr>
        <w:tabs>
          <w:tab w:val="right" w:pos="9071"/>
        </w:tabs>
        <w:ind w:firstLine="567"/>
        <w:jc w:val="both"/>
        <w:rPr>
          <w:sz w:val="25"/>
          <w:szCs w:val="25"/>
        </w:rPr>
      </w:pPr>
    </w:p>
    <w:p w:rsidR="002F423F" w:rsidRPr="004364A9" w:rsidRDefault="002F423F" w:rsidP="00B15BC6">
      <w:pPr>
        <w:tabs>
          <w:tab w:val="right" w:pos="9071"/>
        </w:tabs>
        <w:ind w:firstLine="567"/>
        <w:jc w:val="both"/>
        <w:rPr>
          <w:sz w:val="25"/>
          <w:szCs w:val="25"/>
        </w:rPr>
      </w:pPr>
      <w:r w:rsidRPr="004364A9">
        <w:rPr>
          <w:sz w:val="25"/>
          <w:szCs w:val="25"/>
        </w:rPr>
        <w:t>Iesniedzējs:</w:t>
      </w:r>
    </w:p>
    <w:p w:rsidR="002F423F" w:rsidRPr="004364A9" w:rsidRDefault="002F423F" w:rsidP="00B15BC6">
      <w:pPr>
        <w:tabs>
          <w:tab w:val="right" w:pos="9071"/>
        </w:tabs>
        <w:ind w:firstLine="567"/>
        <w:jc w:val="both"/>
        <w:rPr>
          <w:sz w:val="25"/>
          <w:szCs w:val="25"/>
        </w:rPr>
      </w:pPr>
      <w:r w:rsidRPr="004364A9">
        <w:rPr>
          <w:sz w:val="25"/>
          <w:szCs w:val="25"/>
        </w:rPr>
        <w:t>Izglītības un zinātnes ministre</w:t>
      </w:r>
      <w:r w:rsidRPr="004364A9">
        <w:rPr>
          <w:sz w:val="25"/>
          <w:szCs w:val="25"/>
        </w:rPr>
        <w:tab/>
      </w:r>
      <w:r w:rsidR="007663EA">
        <w:rPr>
          <w:sz w:val="26"/>
          <w:szCs w:val="26"/>
          <w:lang w:val="de-DE"/>
        </w:rPr>
        <w:t>Anita</w:t>
      </w:r>
      <w:r w:rsidR="008D2FCC" w:rsidRPr="004364A9">
        <w:rPr>
          <w:sz w:val="25"/>
          <w:szCs w:val="25"/>
        </w:rPr>
        <w:t xml:space="preserve"> Muižniece</w:t>
      </w:r>
    </w:p>
    <w:p w:rsidR="002F423F" w:rsidRPr="004364A9" w:rsidRDefault="002F423F" w:rsidP="00B15BC6">
      <w:pPr>
        <w:tabs>
          <w:tab w:val="right" w:pos="9071"/>
        </w:tabs>
        <w:ind w:firstLine="567"/>
        <w:jc w:val="both"/>
        <w:rPr>
          <w:sz w:val="25"/>
          <w:szCs w:val="25"/>
        </w:rPr>
      </w:pPr>
    </w:p>
    <w:p w:rsidR="002F423F" w:rsidRPr="004364A9" w:rsidRDefault="002F423F" w:rsidP="00B15BC6">
      <w:pPr>
        <w:tabs>
          <w:tab w:val="right" w:pos="9071"/>
        </w:tabs>
        <w:ind w:firstLine="567"/>
        <w:jc w:val="both"/>
        <w:rPr>
          <w:sz w:val="25"/>
          <w:szCs w:val="25"/>
        </w:rPr>
      </w:pPr>
      <w:r w:rsidRPr="004364A9">
        <w:rPr>
          <w:sz w:val="25"/>
          <w:szCs w:val="25"/>
        </w:rPr>
        <w:t>Vizē:</w:t>
      </w:r>
      <w:bookmarkStart w:id="1" w:name="str06"/>
      <w:bookmarkEnd w:id="1"/>
    </w:p>
    <w:p w:rsidR="002F423F" w:rsidRPr="004364A9" w:rsidRDefault="002F423F" w:rsidP="00B15BC6">
      <w:pPr>
        <w:tabs>
          <w:tab w:val="right" w:pos="9071"/>
        </w:tabs>
        <w:ind w:firstLine="567"/>
        <w:jc w:val="both"/>
        <w:rPr>
          <w:sz w:val="25"/>
          <w:szCs w:val="25"/>
        </w:rPr>
      </w:pPr>
      <w:r w:rsidRPr="004364A9">
        <w:rPr>
          <w:sz w:val="25"/>
          <w:szCs w:val="25"/>
        </w:rPr>
        <w:t>Valsts sekretārs</w:t>
      </w:r>
      <w:r w:rsidRPr="004364A9">
        <w:rPr>
          <w:sz w:val="25"/>
          <w:szCs w:val="25"/>
        </w:rPr>
        <w:tab/>
        <w:t xml:space="preserve">Jānis </w:t>
      </w:r>
      <w:proofErr w:type="spellStart"/>
      <w:r w:rsidRPr="004364A9">
        <w:rPr>
          <w:sz w:val="25"/>
          <w:szCs w:val="25"/>
        </w:rPr>
        <w:t>Volberts</w:t>
      </w:r>
      <w:proofErr w:type="spellEnd"/>
    </w:p>
    <w:p w:rsidR="002F423F" w:rsidRPr="004364A9" w:rsidRDefault="002F423F" w:rsidP="00B15BC6">
      <w:pPr>
        <w:ind w:firstLine="567"/>
        <w:rPr>
          <w:sz w:val="25"/>
          <w:szCs w:val="25"/>
        </w:rPr>
      </w:pPr>
    </w:p>
    <w:p w:rsidR="002F423F" w:rsidRDefault="002F423F" w:rsidP="00B15BC6">
      <w:pPr>
        <w:ind w:firstLine="567"/>
        <w:rPr>
          <w:sz w:val="25"/>
          <w:szCs w:val="25"/>
        </w:rPr>
      </w:pPr>
    </w:p>
    <w:p w:rsidR="007663EA" w:rsidRDefault="007663EA" w:rsidP="00B15BC6">
      <w:pPr>
        <w:ind w:firstLine="567"/>
        <w:rPr>
          <w:sz w:val="25"/>
          <w:szCs w:val="25"/>
        </w:rPr>
      </w:pPr>
    </w:p>
    <w:p w:rsidR="007663EA" w:rsidRDefault="007663EA" w:rsidP="00B15BC6">
      <w:pPr>
        <w:ind w:firstLine="567"/>
        <w:rPr>
          <w:sz w:val="25"/>
          <w:szCs w:val="25"/>
        </w:rPr>
      </w:pPr>
    </w:p>
    <w:p w:rsidR="007663EA" w:rsidRDefault="007663EA" w:rsidP="00B15BC6">
      <w:pPr>
        <w:ind w:firstLine="567"/>
        <w:rPr>
          <w:sz w:val="25"/>
          <w:szCs w:val="25"/>
        </w:rPr>
      </w:pPr>
    </w:p>
    <w:p w:rsidR="007663EA" w:rsidRDefault="007663EA" w:rsidP="00B15BC6">
      <w:pPr>
        <w:ind w:firstLine="567"/>
        <w:rPr>
          <w:sz w:val="25"/>
          <w:szCs w:val="25"/>
        </w:rPr>
      </w:pPr>
    </w:p>
    <w:p w:rsidR="007663EA" w:rsidRDefault="007663EA" w:rsidP="00B15BC6">
      <w:pPr>
        <w:ind w:firstLine="567"/>
        <w:rPr>
          <w:sz w:val="25"/>
          <w:szCs w:val="25"/>
        </w:rPr>
      </w:pPr>
    </w:p>
    <w:p w:rsidR="007663EA" w:rsidRDefault="007663EA" w:rsidP="00B15BC6">
      <w:pPr>
        <w:ind w:firstLine="567"/>
        <w:rPr>
          <w:sz w:val="25"/>
          <w:szCs w:val="25"/>
        </w:rPr>
      </w:pPr>
    </w:p>
    <w:p w:rsidR="007663EA" w:rsidRDefault="007663EA" w:rsidP="00B15BC6">
      <w:pPr>
        <w:ind w:firstLine="567"/>
        <w:rPr>
          <w:sz w:val="25"/>
          <w:szCs w:val="25"/>
        </w:rPr>
      </w:pPr>
    </w:p>
    <w:p w:rsidR="007663EA" w:rsidRDefault="007663EA" w:rsidP="00B15BC6">
      <w:pPr>
        <w:ind w:firstLine="567"/>
        <w:rPr>
          <w:sz w:val="25"/>
          <w:szCs w:val="25"/>
        </w:rPr>
      </w:pPr>
    </w:p>
    <w:p w:rsidR="007663EA" w:rsidRPr="004364A9" w:rsidRDefault="007663EA" w:rsidP="00B15BC6">
      <w:pPr>
        <w:ind w:firstLine="567"/>
        <w:rPr>
          <w:sz w:val="25"/>
          <w:szCs w:val="25"/>
        </w:rPr>
      </w:pPr>
    </w:p>
    <w:p w:rsidR="002F423F" w:rsidRPr="004364A9" w:rsidRDefault="002F423F" w:rsidP="00B15BC6">
      <w:pPr>
        <w:ind w:firstLine="567"/>
        <w:rPr>
          <w:sz w:val="25"/>
          <w:szCs w:val="25"/>
        </w:rPr>
      </w:pPr>
    </w:p>
    <w:p w:rsidR="002F423F" w:rsidRPr="004364A9" w:rsidRDefault="002F423F" w:rsidP="00B15BC6">
      <w:pPr>
        <w:ind w:left="567"/>
        <w:rPr>
          <w:sz w:val="25"/>
          <w:szCs w:val="25"/>
        </w:rPr>
      </w:pPr>
    </w:p>
    <w:p w:rsidR="002F423F" w:rsidRPr="007A48EF" w:rsidRDefault="002F423F" w:rsidP="00B15BC6">
      <w:pPr>
        <w:ind w:left="567"/>
        <w:rPr>
          <w:rStyle w:val="Hyperlink"/>
          <w:color w:val="auto"/>
          <w:sz w:val="20"/>
          <w:szCs w:val="20"/>
          <w:u w:val="none"/>
          <w:lang w:eastAsia="ar-SA"/>
        </w:rPr>
      </w:pPr>
      <w:r w:rsidRPr="007A48EF">
        <w:rPr>
          <w:rStyle w:val="Hyperlink"/>
          <w:color w:val="auto"/>
          <w:sz w:val="20"/>
          <w:szCs w:val="20"/>
          <w:u w:val="none"/>
        </w:rPr>
        <w:t xml:space="preserve">Initra Pavloviča, </w:t>
      </w:r>
      <w:r w:rsidRPr="007A48EF">
        <w:rPr>
          <w:rStyle w:val="Hyperlink"/>
          <w:color w:val="auto"/>
          <w:sz w:val="20"/>
          <w:szCs w:val="20"/>
          <w:u w:val="none"/>
          <w:lang w:eastAsia="ar-SA"/>
        </w:rPr>
        <w:t>67047860,</w:t>
      </w:r>
    </w:p>
    <w:p w:rsidR="002F423F" w:rsidRPr="002F423F" w:rsidRDefault="00D807BC" w:rsidP="00B15BC6">
      <w:pPr>
        <w:suppressAutoHyphens/>
        <w:ind w:left="567"/>
        <w:jc w:val="both"/>
      </w:pPr>
      <w:hyperlink r:id="rId8" w:history="1">
        <w:r w:rsidR="002F423F" w:rsidRPr="00530E1F">
          <w:rPr>
            <w:rStyle w:val="Hyperlink"/>
            <w:sz w:val="20"/>
            <w:szCs w:val="20"/>
            <w:lang w:eastAsia="ar-SA"/>
          </w:rPr>
          <w:t>initra.pavlovica@izm.gov.lv</w:t>
        </w:r>
      </w:hyperlink>
    </w:p>
    <w:sectPr w:rsidR="002F423F" w:rsidRPr="002F423F" w:rsidSect="004364A9">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BC" w:rsidRDefault="00D807BC" w:rsidP="00E86A19">
      <w:r>
        <w:separator/>
      </w:r>
    </w:p>
  </w:endnote>
  <w:endnote w:type="continuationSeparator" w:id="0">
    <w:p w:rsidR="00D807BC" w:rsidRDefault="00D807BC" w:rsidP="00E8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19" w:rsidRPr="00E86A19" w:rsidRDefault="00415C2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IZMAnot_030621_ATR_Incukalns, Ropazi, Sigulda</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BC" w:rsidRDefault="00D807BC" w:rsidP="00E86A19">
      <w:r>
        <w:separator/>
      </w:r>
    </w:p>
  </w:footnote>
  <w:footnote w:type="continuationSeparator" w:id="0">
    <w:p w:rsidR="00D807BC" w:rsidRDefault="00D807BC" w:rsidP="00E8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3062"/>
      <w:docPartObj>
        <w:docPartGallery w:val="Page Numbers (Top of Page)"/>
        <w:docPartUnique/>
      </w:docPartObj>
    </w:sdtPr>
    <w:sdtEndPr>
      <w:rPr>
        <w:noProof/>
      </w:rPr>
    </w:sdtEndPr>
    <w:sdtContent>
      <w:p w:rsidR="004364A9" w:rsidRDefault="004364A9">
        <w:pPr>
          <w:pStyle w:val="Header"/>
          <w:jc w:val="center"/>
        </w:pPr>
        <w:r w:rsidRPr="004364A9">
          <w:fldChar w:fldCharType="begin"/>
        </w:r>
        <w:r w:rsidRPr="004364A9">
          <w:instrText xml:space="preserve"> PAGE   \* MERGEFORMAT </w:instrText>
        </w:r>
        <w:r w:rsidRPr="004364A9">
          <w:fldChar w:fldCharType="separate"/>
        </w:r>
        <w:r w:rsidR="00F247C9">
          <w:rPr>
            <w:noProof/>
          </w:rPr>
          <w:t>4</w:t>
        </w:r>
        <w:r w:rsidRPr="004364A9">
          <w:rPr>
            <w:noProof/>
          </w:rPr>
          <w:fldChar w:fldCharType="end"/>
        </w:r>
      </w:p>
    </w:sdtContent>
  </w:sdt>
  <w:p w:rsidR="004364A9" w:rsidRDefault="00436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02F90"/>
    <w:multiLevelType w:val="hybridMultilevel"/>
    <w:tmpl w:val="B67899AA"/>
    <w:lvl w:ilvl="0" w:tplc="C8F60C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66E2C86"/>
    <w:multiLevelType w:val="hybridMultilevel"/>
    <w:tmpl w:val="69CC1DD8"/>
    <w:lvl w:ilvl="0" w:tplc="C8F60C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26477"/>
    <w:rsid w:val="00071957"/>
    <w:rsid w:val="00082CAF"/>
    <w:rsid w:val="00153782"/>
    <w:rsid w:val="001754C6"/>
    <w:rsid w:val="002A7A98"/>
    <w:rsid w:val="002F0712"/>
    <w:rsid w:val="002F423F"/>
    <w:rsid w:val="00350D9B"/>
    <w:rsid w:val="003C4DD3"/>
    <w:rsid w:val="003D015B"/>
    <w:rsid w:val="00415C2D"/>
    <w:rsid w:val="004364A9"/>
    <w:rsid w:val="00477D50"/>
    <w:rsid w:val="004D0F34"/>
    <w:rsid w:val="00546F0B"/>
    <w:rsid w:val="00566B2C"/>
    <w:rsid w:val="006F2EB5"/>
    <w:rsid w:val="00704CA9"/>
    <w:rsid w:val="007663EA"/>
    <w:rsid w:val="00784461"/>
    <w:rsid w:val="0087050E"/>
    <w:rsid w:val="0089630A"/>
    <w:rsid w:val="008D2FCC"/>
    <w:rsid w:val="00984F45"/>
    <w:rsid w:val="009B3F6A"/>
    <w:rsid w:val="009C6590"/>
    <w:rsid w:val="00B15BC6"/>
    <w:rsid w:val="00B25FE9"/>
    <w:rsid w:val="00B816F2"/>
    <w:rsid w:val="00B94112"/>
    <w:rsid w:val="00BD5588"/>
    <w:rsid w:val="00BF0A4D"/>
    <w:rsid w:val="00D807BC"/>
    <w:rsid w:val="00D82D55"/>
    <w:rsid w:val="00E44472"/>
    <w:rsid w:val="00E86A19"/>
    <w:rsid w:val="00F17441"/>
    <w:rsid w:val="00F247C9"/>
    <w:rsid w:val="00F80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FCB0C-566C-47E9-9CB7-8BF38DCC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BF0A4D"/>
    <w:pPr>
      <w:ind w:left="720"/>
      <w:contextualSpacing/>
    </w:pPr>
  </w:style>
  <w:style w:type="paragraph" w:styleId="Header">
    <w:name w:val="header"/>
    <w:basedOn w:val="Normal"/>
    <w:link w:val="HeaderChar"/>
    <w:uiPriority w:val="99"/>
    <w:unhideWhenUsed/>
    <w:rsid w:val="00E86A19"/>
    <w:pPr>
      <w:tabs>
        <w:tab w:val="center" w:pos="4153"/>
        <w:tab w:val="right" w:pos="8306"/>
      </w:tabs>
    </w:pPr>
  </w:style>
  <w:style w:type="character" w:customStyle="1" w:styleId="HeaderChar">
    <w:name w:val="Header Char"/>
    <w:basedOn w:val="DefaultParagraphFont"/>
    <w:link w:val="Header"/>
    <w:uiPriority w:val="99"/>
    <w:rsid w:val="00E86A1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86A19"/>
    <w:pPr>
      <w:tabs>
        <w:tab w:val="center" w:pos="4153"/>
        <w:tab w:val="right" w:pos="8306"/>
      </w:tabs>
    </w:pPr>
  </w:style>
  <w:style w:type="character" w:customStyle="1" w:styleId="FooterChar">
    <w:name w:val="Footer Char"/>
    <w:basedOn w:val="DefaultParagraphFont"/>
    <w:link w:val="Footer"/>
    <w:uiPriority w:val="99"/>
    <w:rsid w:val="00E86A1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FA4D-C550-4E6C-AEE2-F1773C10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4133</Words>
  <Characters>2356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Initra Pavloviča</cp:lastModifiedBy>
  <cp:revision>4</cp:revision>
  <dcterms:created xsi:type="dcterms:W3CDTF">2021-06-10T06:26:00Z</dcterms:created>
  <dcterms:modified xsi:type="dcterms:W3CDTF">2021-06-10T06:29:00Z</dcterms:modified>
</cp:coreProperties>
</file>