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E73F5" w14:textId="77777777" w:rsidR="000375C6" w:rsidRPr="00BE1F39" w:rsidRDefault="000375C6" w:rsidP="00667AB2">
      <w:pPr>
        <w:jc w:val="center"/>
        <w:rPr>
          <w:b/>
        </w:rPr>
      </w:pPr>
      <w:bookmarkStart w:id="0" w:name="_Hlk514660510"/>
      <w:bookmarkStart w:id="1" w:name="_GoBack"/>
      <w:bookmarkEnd w:id="1"/>
    </w:p>
    <w:p w14:paraId="4573488F" w14:textId="5E676174" w:rsidR="00667AB2" w:rsidRPr="00BE1F39" w:rsidRDefault="00667AB2" w:rsidP="00667AB2">
      <w:pPr>
        <w:jc w:val="center"/>
        <w:rPr>
          <w:b/>
        </w:rPr>
      </w:pPr>
      <w:r w:rsidRPr="00BE1F39">
        <w:rPr>
          <w:b/>
        </w:rPr>
        <w:t>Ministru kabineta noteikumu projekta “</w:t>
      </w:r>
      <w:r w:rsidR="00E72E11" w:rsidRPr="00BE1F39">
        <w:rPr>
          <w:b/>
        </w:rPr>
        <w:t>Grozījumi Ministru kabineta 2020. gada 2</w:t>
      </w:r>
      <w:r w:rsidRPr="00BE1F39">
        <w:rPr>
          <w:b/>
        </w:rPr>
        <w:t>. </w:t>
      </w:r>
      <w:r w:rsidR="00E72E11" w:rsidRPr="00BE1F39">
        <w:rPr>
          <w:b/>
        </w:rPr>
        <w:t>jūnija</w:t>
      </w:r>
      <w:r w:rsidR="00705AFD">
        <w:rPr>
          <w:b/>
        </w:rPr>
        <w:t xml:space="preserve"> noteikumos Nr. </w:t>
      </w:r>
      <w:r w:rsidR="00E72E11" w:rsidRPr="00BE1F39">
        <w:rPr>
          <w:b/>
        </w:rPr>
        <w:t>333</w:t>
      </w:r>
      <w:r w:rsidRPr="00BE1F39">
        <w:rPr>
          <w:b/>
        </w:rPr>
        <w:t xml:space="preserve"> “</w:t>
      </w:r>
      <w:r w:rsidR="00E72E11" w:rsidRPr="00BE1F39">
        <w:rPr>
          <w:b/>
        </w:rPr>
        <w:t xml:space="preserve">Eiropas Ekonomikas zonas finanšu instrumenta un Norvēģijas finanšu instrumenta 2014.–2021. gada perioda programmas </w:t>
      </w:r>
      <w:r w:rsidR="00BE1F39" w:rsidRPr="00BE1F39">
        <w:rPr>
          <w:b/>
        </w:rPr>
        <w:t>“</w:t>
      </w:r>
      <w:r w:rsidR="00E72E11" w:rsidRPr="00BE1F39">
        <w:rPr>
          <w:b/>
        </w:rPr>
        <w:t>Pētniecība un izglītība</w:t>
      </w:r>
      <w:r w:rsidR="00BE1F39">
        <w:rPr>
          <w:b/>
        </w:rPr>
        <w:t>”</w:t>
      </w:r>
      <w:r w:rsidR="00E72E11" w:rsidRPr="00BE1F39">
        <w:rPr>
          <w:b/>
        </w:rPr>
        <w:t xml:space="preserve"> aktivitātes </w:t>
      </w:r>
      <w:r w:rsidR="00BE1F39" w:rsidRPr="00BE1F39">
        <w:rPr>
          <w:b/>
        </w:rPr>
        <w:t>“</w:t>
      </w:r>
      <w:r w:rsidR="00E72E11" w:rsidRPr="00BE1F39">
        <w:rPr>
          <w:b/>
        </w:rPr>
        <w:t>Baltijas pētniecības programma</w:t>
      </w:r>
      <w:r w:rsidR="00BE1F39">
        <w:rPr>
          <w:b/>
        </w:rPr>
        <w:t>”</w:t>
      </w:r>
      <w:r w:rsidR="00E72E11" w:rsidRPr="00BE1F39">
        <w:rPr>
          <w:b/>
        </w:rPr>
        <w:t xml:space="preserve"> un aktivitātes </w:t>
      </w:r>
      <w:r w:rsidR="00BE1F39" w:rsidRPr="00BE1F39">
        <w:rPr>
          <w:b/>
        </w:rPr>
        <w:t>“</w:t>
      </w:r>
      <w:r w:rsidR="00E72E11" w:rsidRPr="00BE1F39">
        <w:rPr>
          <w:b/>
        </w:rPr>
        <w:t>Stipendijas</w:t>
      </w:r>
      <w:r w:rsidR="00BE1F39">
        <w:rPr>
          <w:b/>
        </w:rPr>
        <w:t>”</w:t>
      </w:r>
      <w:r w:rsidR="00E72E11" w:rsidRPr="00BE1F39">
        <w:rPr>
          <w:b/>
        </w:rPr>
        <w:t xml:space="preserve"> īstenošanas noteikumi</w:t>
      </w:r>
      <w:r w:rsidR="00EC34DF" w:rsidRPr="00BE1F39">
        <w:rPr>
          <w:b/>
        </w:rPr>
        <w:t>”</w:t>
      </w:r>
    </w:p>
    <w:p w14:paraId="72B36585" w14:textId="77777777" w:rsidR="00667AB2" w:rsidRPr="00BE1F39" w:rsidRDefault="00667AB2" w:rsidP="00667AB2">
      <w:pPr>
        <w:jc w:val="center"/>
        <w:outlineLvl w:val="2"/>
        <w:rPr>
          <w:b/>
          <w:bCs/>
          <w:lang w:eastAsia="zh-CN"/>
        </w:rPr>
      </w:pPr>
      <w:r w:rsidRPr="00BE1F39">
        <w:rPr>
          <w:b/>
          <w:bCs/>
          <w:lang w:eastAsia="zh-CN"/>
        </w:rPr>
        <w:t>sākotnējās ietekmes novērtējuma ziņojums (anotācija)</w:t>
      </w:r>
    </w:p>
    <w:p w14:paraId="3446C988" w14:textId="77777777" w:rsidR="00667AB2" w:rsidRPr="00BE1F39" w:rsidRDefault="00667AB2" w:rsidP="00BE1F39">
      <w:pPr>
        <w:jc w:val="both"/>
        <w:outlineLvl w:val="2"/>
        <w:rPr>
          <w:bCs/>
          <w:lang w:eastAsia="zh-CN"/>
        </w:rPr>
      </w:pPr>
    </w:p>
    <w:tbl>
      <w:tblPr>
        <w:tblpPr w:leftFromText="180" w:rightFromText="180" w:vertAnchor="text" w:tblpX="-256" w:tblpY="1"/>
        <w:tblOverlap w:val="neve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81"/>
        <w:gridCol w:w="1933"/>
        <w:gridCol w:w="6974"/>
      </w:tblGrid>
      <w:tr w:rsidR="00667AB2" w:rsidRPr="00BE1F39" w14:paraId="274000F4" w14:textId="77777777" w:rsidTr="00257FE4">
        <w:trPr>
          <w:cantSplit/>
        </w:trPr>
        <w:tc>
          <w:tcPr>
            <w:tcW w:w="9356" w:type="dxa"/>
            <w:gridSpan w:val="3"/>
            <w:tcBorders>
              <w:bottom w:val="single" w:sz="4" w:space="0" w:color="auto"/>
            </w:tcBorders>
            <w:shd w:val="clear" w:color="auto" w:fill="FFFFFF"/>
            <w:vAlign w:val="center"/>
            <w:hideMark/>
          </w:tcPr>
          <w:p w14:paraId="1AAE2EA4" w14:textId="77777777" w:rsidR="00667AB2" w:rsidRPr="00BE1F39" w:rsidRDefault="00667AB2" w:rsidP="00257FE4">
            <w:pPr>
              <w:ind w:right="140"/>
              <w:jc w:val="center"/>
              <w:rPr>
                <w:b/>
                <w:iCs/>
                <w:lang w:eastAsia="en-US"/>
              </w:rPr>
            </w:pPr>
            <w:r w:rsidRPr="00BE1F39">
              <w:rPr>
                <w:b/>
                <w:iCs/>
                <w:lang w:eastAsia="en-US"/>
              </w:rPr>
              <w:t>Tiesību akta projekta anotācijas kopsavilkums</w:t>
            </w:r>
          </w:p>
        </w:tc>
      </w:tr>
      <w:tr w:rsidR="00667AB2" w:rsidRPr="00BE1F39" w14:paraId="73B91A2C" w14:textId="77777777" w:rsidTr="00257FE4">
        <w:trPr>
          <w:cantSplit/>
          <w:trHeight w:val="1068"/>
        </w:trPr>
        <w:tc>
          <w:tcPr>
            <w:tcW w:w="2314" w:type="dxa"/>
            <w:gridSpan w:val="2"/>
            <w:tcBorders>
              <w:bottom w:val="single" w:sz="4" w:space="0" w:color="auto"/>
            </w:tcBorders>
            <w:shd w:val="clear" w:color="auto" w:fill="FFFFFF"/>
            <w:hideMark/>
          </w:tcPr>
          <w:p w14:paraId="5D714D08" w14:textId="77777777" w:rsidR="00667AB2" w:rsidRPr="00BE1F39" w:rsidRDefault="00667AB2" w:rsidP="00257FE4">
            <w:pPr>
              <w:ind w:right="140"/>
              <w:rPr>
                <w:iCs/>
                <w:lang w:eastAsia="en-US"/>
              </w:rPr>
            </w:pPr>
            <w:r w:rsidRPr="00BE1F39">
              <w:rPr>
                <w:iCs/>
                <w:lang w:eastAsia="en-US"/>
              </w:rPr>
              <w:t>Mērķis, risinājums un projekta spēkā stāšanās laiks (500 zīmes bez atstarpēm)</w:t>
            </w:r>
          </w:p>
        </w:tc>
        <w:tc>
          <w:tcPr>
            <w:tcW w:w="7042" w:type="dxa"/>
            <w:tcBorders>
              <w:bottom w:val="single" w:sz="4" w:space="0" w:color="auto"/>
            </w:tcBorders>
            <w:shd w:val="clear" w:color="auto" w:fill="FFFFFF"/>
            <w:hideMark/>
          </w:tcPr>
          <w:p w14:paraId="79DADD8A" w14:textId="1FC1D9F6" w:rsidR="00731E71" w:rsidRDefault="00BE579D" w:rsidP="00257FE4">
            <w:pPr>
              <w:ind w:right="140"/>
              <w:jc w:val="both"/>
              <w:rPr>
                <w:color w:val="000000" w:themeColor="text1"/>
                <w:lang w:eastAsia="en-US"/>
              </w:rPr>
            </w:pPr>
            <w:r w:rsidRPr="00BE579D">
              <w:rPr>
                <w:color w:val="000000" w:themeColor="text1"/>
                <w:lang w:eastAsia="en-US"/>
              </w:rPr>
              <w:t xml:space="preserve">Noteikt </w:t>
            </w:r>
            <w:r w:rsidR="00731E71" w:rsidRPr="00731E71">
              <w:rPr>
                <w:color w:val="000000" w:themeColor="text1"/>
                <w:lang w:eastAsia="en-US"/>
              </w:rPr>
              <w:t xml:space="preserve">Eiropas Ekonomikas zonas finanšu instrumenta un Norvēģijas finanšu instrumenta </w:t>
            </w:r>
            <w:r w:rsidR="005B5499">
              <w:rPr>
                <w:color w:val="000000" w:themeColor="text1"/>
                <w:lang w:eastAsia="en-US"/>
              </w:rPr>
              <w:t>2014.–2021. </w:t>
            </w:r>
            <w:r w:rsidR="00731E71" w:rsidRPr="00731E71">
              <w:rPr>
                <w:color w:val="000000" w:themeColor="text1"/>
                <w:lang w:eastAsia="en-US"/>
              </w:rPr>
              <w:t>gada perioda programmas "Pētniecība un izglītība" aktivitātes "Baltijas pētniecības programma" un aktivitātes "Stipendijas" (turpmāk – Programma)</w:t>
            </w:r>
            <w:r w:rsidR="00731E71">
              <w:rPr>
                <w:color w:val="000000" w:themeColor="text1"/>
                <w:lang w:eastAsia="en-US"/>
              </w:rPr>
              <w:t xml:space="preserve"> Programmas ieviešanas aģentūras funkciju pārņemšanas datuma maiņu, efektīvu Programmas finansējuma</w:t>
            </w:r>
            <w:r w:rsidR="00731E71" w:rsidRPr="00731E71">
              <w:rPr>
                <w:color w:val="000000" w:themeColor="text1"/>
                <w:lang w:eastAsia="en-US"/>
              </w:rPr>
              <w:t xml:space="preserve"> izmantošanu un </w:t>
            </w:r>
            <w:r w:rsidR="00731E71">
              <w:rPr>
                <w:color w:val="000000" w:themeColor="text1"/>
                <w:lang w:eastAsia="en-US"/>
              </w:rPr>
              <w:t>izvirzītā mērķa un iznākumu</w:t>
            </w:r>
            <w:r w:rsidR="00731E71" w:rsidRPr="00731E71">
              <w:rPr>
                <w:color w:val="000000" w:themeColor="text1"/>
                <w:lang w:eastAsia="en-US"/>
              </w:rPr>
              <w:t xml:space="preserve"> sasniegšanu.</w:t>
            </w:r>
          </w:p>
          <w:p w14:paraId="3BCE4851" w14:textId="1F0D731C" w:rsidR="000A22C6" w:rsidRPr="00BE1F39" w:rsidRDefault="004D1411" w:rsidP="008809AE">
            <w:pPr>
              <w:ind w:right="140"/>
              <w:jc w:val="both"/>
              <w:rPr>
                <w:lang w:eastAsia="en-US"/>
              </w:rPr>
            </w:pPr>
            <w:r>
              <w:rPr>
                <w:lang w:eastAsia="en-US"/>
              </w:rPr>
              <w:t xml:space="preserve">Noteikumu projekts </w:t>
            </w:r>
            <w:r w:rsidR="00B86731" w:rsidRPr="00B86731">
              <w:rPr>
                <w:lang w:eastAsia="en-US"/>
              </w:rPr>
              <w:t>stāsies spēkā Oficiālo publikāciju un tiesiskās informācijas likumā noteiktajā kārtībā</w:t>
            </w:r>
            <w:r w:rsidR="000A22C6">
              <w:rPr>
                <w:lang w:eastAsia="en-US"/>
              </w:rPr>
              <w:t xml:space="preserve"> (7.</w:t>
            </w:r>
            <w:r w:rsidR="000010AD">
              <w:rPr>
                <w:lang w:eastAsia="en-US"/>
              </w:rPr>
              <w:t> </w:t>
            </w:r>
            <w:r w:rsidR="000A22C6">
              <w:rPr>
                <w:lang w:eastAsia="en-US"/>
              </w:rPr>
              <w:t xml:space="preserve">panta (2) daļa), izņemot noteikumu projekta </w:t>
            </w:r>
            <w:r w:rsidR="008809AE">
              <w:rPr>
                <w:rFonts w:eastAsiaTheme="minorEastAsia"/>
              </w:rPr>
              <w:t>12.1., 12.2. </w:t>
            </w:r>
            <w:r w:rsidR="000A22C6" w:rsidRPr="00587AD1">
              <w:rPr>
                <w:rFonts w:eastAsiaTheme="minorEastAsia"/>
              </w:rPr>
              <w:t xml:space="preserve">apakšpunkta izteikšanu jaunā redakcijā, </w:t>
            </w:r>
            <w:r w:rsidR="000A22C6">
              <w:rPr>
                <w:rFonts w:eastAsiaTheme="minorEastAsia"/>
              </w:rPr>
              <w:t xml:space="preserve">papildināšanu ar </w:t>
            </w:r>
            <w:r w:rsidR="000A22C6" w:rsidRPr="008F4379">
              <w:rPr>
                <w:rFonts w:eastAsiaTheme="minorEastAsia"/>
                <w:lang w:eastAsia="en-US"/>
              </w:rPr>
              <w:t>14.</w:t>
            </w:r>
            <w:r w:rsidR="000A22C6" w:rsidRPr="008F4379">
              <w:rPr>
                <w:rFonts w:eastAsiaTheme="minorEastAsia"/>
                <w:vertAlign w:val="superscript"/>
                <w:lang w:eastAsia="en-US"/>
              </w:rPr>
              <w:t>1</w:t>
            </w:r>
            <w:r w:rsidR="008809AE">
              <w:rPr>
                <w:rFonts w:eastAsiaTheme="minorEastAsia"/>
                <w:lang w:eastAsia="en-US"/>
              </w:rPr>
              <w:t> </w:t>
            </w:r>
            <w:r w:rsidR="000A22C6" w:rsidRPr="00587AD1">
              <w:rPr>
                <w:rFonts w:eastAsiaTheme="minorEastAsia"/>
              </w:rPr>
              <w:t>punktu,</w:t>
            </w:r>
            <w:r w:rsidR="000A22C6">
              <w:rPr>
                <w:rFonts w:eastAsiaTheme="minorEastAsia"/>
              </w:rPr>
              <w:t xml:space="preserve"> </w:t>
            </w:r>
            <w:r w:rsidR="000A22C6" w:rsidRPr="00587AD1">
              <w:rPr>
                <w:rFonts w:eastAsiaTheme="minorEastAsia"/>
              </w:rPr>
              <w:t>24.</w:t>
            </w:r>
            <w:r w:rsidR="008809AE">
              <w:rPr>
                <w:rFonts w:eastAsiaTheme="minorEastAsia"/>
              </w:rPr>
              <w:t> </w:t>
            </w:r>
            <w:r w:rsidR="000A22C6" w:rsidRPr="00587AD1">
              <w:rPr>
                <w:rFonts w:eastAsiaTheme="minorEastAsia"/>
              </w:rPr>
              <w:t>punk</w:t>
            </w:r>
            <w:r w:rsidR="000A22C6">
              <w:rPr>
                <w:rFonts w:eastAsiaTheme="minorEastAsia"/>
              </w:rPr>
              <w:t xml:space="preserve">ta, </w:t>
            </w:r>
            <w:r w:rsidR="000A22C6" w:rsidRPr="00AB62EC">
              <w:rPr>
                <w:rFonts w:eastAsiaTheme="minorEastAsia"/>
              </w:rPr>
              <w:t>26.2.1. un 26.2.2.  apakšpunkta</w:t>
            </w:r>
            <w:r w:rsidR="000A22C6" w:rsidRPr="00587AD1">
              <w:rPr>
                <w:rFonts w:eastAsiaTheme="minorEastAsia"/>
              </w:rPr>
              <w:t xml:space="preserve"> izteikšanu jaunā redakcijā</w:t>
            </w:r>
            <w:r w:rsidR="00AB59E2">
              <w:rPr>
                <w:rFonts w:eastAsiaTheme="minorEastAsia"/>
              </w:rPr>
              <w:t>, kas minēti noteikumu projekta 10.</w:t>
            </w:r>
            <w:r w:rsidR="00E20DFE">
              <w:rPr>
                <w:rFonts w:eastAsiaTheme="minorEastAsia"/>
              </w:rPr>
              <w:t> </w:t>
            </w:r>
            <w:r w:rsidR="00AB59E2">
              <w:rPr>
                <w:rFonts w:eastAsiaTheme="minorEastAsia"/>
              </w:rPr>
              <w:t>punktā</w:t>
            </w:r>
            <w:r w:rsidR="00B336D7">
              <w:rPr>
                <w:rFonts w:eastAsiaTheme="minorEastAsia"/>
              </w:rPr>
              <w:t xml:space="preserve">, ar ko </w:t>
            </w:r>
            <w:hyperlink r:id="rId11" w:history="1">
              <w:r w:rsidR="00AB59E2">
                <w:rPr>
                  <w:rStyle w:val="Hyperlink"/>
                  <w:rFonts w:eastAsiaTheme="minorEastAsia"/>
                </w:rPr>
                <w:t>Noteikumi</w:t>
              </w:r>
            </w:hyperlink>
            <w:r w:rsidR="00AB59E2">
              <w:rPr>
                <w:rFonts w:eastAsiaTheme="minorEastAsia"/>
              </w:rPr>
              <w:t xml:space="preserve"> p</w:t>
            </w:r>
            <w:r w:rsidR="00B336D7">
              <w:rPr>
                <w:rFonts w:eastAsiaTheme="minorEastAsia"/>
              </w:rPr>
              <w:t>apildināti ar 36.</w:t>
            </w:r>
            <w:r w:rsidR="00E20DFE">
              <w:rPr>
                <w:rFonts w:eastAsiaTheme="minorEastAsia"/>
              </w:rPr>
              <w:t> </w:t>
            </w:r>
            <w:r w:rsidR="00B336D7">
              <w:rPr>
                <w:rFonts w:eastAsiaTheme="minorEastAsia"/>
              </w:rPr>
              <w:t>punktu</w:t>
            </w:r>
            <w:r w:rsidR="000A22C6">
              <w:rPr>
                <w:rFonts w:eastAsiaTheme="minorEastAsia"/>
              </w:rPr>
              <w:t>)</w:t>
            </w:r>
            <w:r w:rsidR="000A22C6">
              <w:rPr>
                <w:lang w:eastAsia="en-US"/>
              </w:rPr>
              <w:t>.</w:t>
            </w:r>
          </w:p>
        </w:tc>
      </w:tr>
      <w:tr w:rsidR="00BE1F39" w:rsidRPr="00BE1F39" w14:paraId="3E93F284" w14:textId="77777777" w:rsidTr="00257FE4">
        <w:tblPrEx>
          <w:shd w:val="clear" w:color="auto" w:fill="auto"/>
          <w:tblCellMar>
            <w:top w:w="30" w:type="dxa"/>
            <w:left w:w="30" w:type="dxa"/>
            <w:bottom w:w="30" w:type="dxa"/>
            <w:right w:w="30" w:type="dxa"/>
          </w:tblCellMar>
        </w:tblPrEx>
        <w:trPr>
          <w:cantSplit/>
        </w:trPr>
        <w:tc>
          <w:tcPr>
            <w:tcW w:w="9356" w:type="dxa"/>
            <w:gridSpan w:val="3"/>
            <w:tcBorders>
              <w:top w:val="single" w:sz="4" w:space="0" w:color="auto"/>
              <w:left w:val="nil"/>
              <w:bottom w:val="single" w:sz="4" w:space="0" w:color="auto"/>
              <w:right w:val="nil"/>
            </w:tcBorders>
            <w:vAlign w:val="center"/>
          </w:tcPr>
          <w:p w14:paraId="6A2C3FAE" w14:textId="77777777" w:rsidR="00BE1F39" w:rsidRPr="00BE1F39" w:rsidRDefault="00BE1F39" w:rsidP="00257FE4">
            <w:pPr>
              <w:ind w:right="140"/>
              <w:jc w:val="center"/>
              <w:rPr>
                <w:b/>
                <w:bCs/>
              </w:rPr>
            </w:pPr>
          </w:p>
        </w:tc>
      </w:tr>
      <w:tr w:rsidR="00667AB2" w:rsidRPr="00BE1F39" w14:paraId="43BCCB99" w14:textId="77777777" w:rsidTr="00257FE4">
        <w:tblPrEx>
          <w:shd w:val="clear" w:color="auto" w:fill="auto"/>
          <w:tblCellMar>
            <w:top w:w="30" w:type="dxa"/>
            <w:left w:w="30" w:type="dxa"/>
            <w:bottom w:w="30" w:type="dxa"/>
            <w:right w:w="30" w:type="dxa"/>
          </w:tblCellMar>
        </w:tblPrEx>
        <w:trPr>
          <w:cantSplit/>
        </w:trPr>
        <w:tc>
          <w:tcPr>
            <w:tcW w:w="9356" w:type="dxa"/>
            <w:gridSpan w:val="3"/>
            <w:tcBorders>
              <w:top w:val="single" w:sz="4" w:space="0" w:color="auto"/>
            </w:tcBorders>
            <w:vAlign w:val="center"/>
            <w:hideMark/>
          </w:tcPr>
          <w:p w14:paraId="1F2E0684" w14:textId="77777777" w:rsidR="00667AB2" w:rsidRPr="00BE1F39" w:rsidRDefault="00667AB2" w:rsidP="00257FE4">
            <w:pPr>
              <w:ind w:right="140"/>
              <w:jc w:val="center"/>
            </w:pPr>
            <w:r w:rsidRPr="00BE1F39">
              <w:rPr>
                <w:b/>
                <w:bCs/>
              </w:rPr>
              <w:t>I. Tiesību akta projekta izstrādes nepieciešamība</w:t>
            </w:r>
          </w:p>
        </w:tc>
      </w:tr>
      <w:tr w:rsidR="00667AB2" w:rsidRPr="00BE1F39" w14:paraId="555D766A" w14:textId="77777777" w:rsidTr="00257FE4">
        <w:tblPrEx>
          <w:shd w:val="clear" w:color="auto" w:fill="auto"/>
          <w:tblCellMar>
            <w:top w:w="30" w:type="dxa"/>
            <w:left w:w="30" w:type="dxa"/>
            <w:bottom w:w="30" w:type="dxa"/>
            <w:right w:w="30" w:type="dxa"/>
          </w:tblCellMar>
        </w:tblPrEx>
        <w:tc>
          <w:tcPr>
            <w:tcW w:w="381" w:type="dxa"/>
            <w:hideMark/>
          </w:tcPr>
          <w:p w14:paraId="3CDB77A9" w14:textId="77777777" w:rsidR="00667AB2" w:rsidRPr="00BE1F39" w:rsidRDefault="00667AB2" w:rsidP="00257FE4">
            <w:pPr>
              <w:ind w:right="140"/>
              <w:jc w:val="center"/>
            </w:pPr>
            <w:r w:rsidRPr="00BE1F39">
              <w:t>1.</w:t>
            </w:r>
          </w:p>
        </w:tc>
        <w:tc>
          <w:tcPr>
            <w:tcW w:w="1933" w:type="dxa"/>
            <w:hideMark/>
          </w:tcPr>
          <w:p w14:paraId="4A8A6862" w14:textId="77777777" w:rsidR="00667AB2" w:rsidRPr="00BE1F39" w:rsidRDefault="00667AB2" w:rsidP="00257FE4">
            <w:pPr>
              <w:ind w:right="140"/>
            </w:pPr>
            <w:r w:rsidRPr="00BE1F39">
              <w:t>Pamatojums</w:t>
            </w:r>
          </w:p>
          <w:p w14:paraId="3AD35736" w14:textId="77777777" w:rsidR="00667AB2" w:rsidRPr="00BE1F39" w:rsidRDefault="00667AB2" w:rsidP="00257FE4"/>
        </w:tc>
        <w:tc>
          <w:tcPr>
            <w:tcW w:w="7042" w:type="dxa"/>
            <w:hideMark/>
          </w:tcPr>
          <w:p w14:paraId="322AAE55" w14:textId="42D6CE4E" w:rsidR="00237179" w:rsidRPr="00BE1F39" w:rsidRDefault="005B14BC" w:rsidP="00257FE4">
            <w:pPr>
              <w:pStyle w:val="ListParagraph"/>
              <w:spacing w:after="0" w:line="240" w:lineRule="auto"/>
              <w:ind w:left="0"/>
              <w:contextualSpacing w:val="0"/>
              <w:jc w:val="both"/>
              <w:rPr>
                <w:rFonts w:ascii="Times New Roman" w:hAnsi="Times New Roman"/>
                <w:sz w:val="24"/>
                <w:szCs w:val="24"/>
                <w:highlight w:val="yellow"/>
              </w:rPr>
            </w:pPr>
            <w:r w:rsidRPr="00BE1F39">
              <w:rPr>
                <w:rFonts w:ascii="Times New Roman" w:hAnsi="Times New Roman"/>
                <w:sz w:val="24"/>
                <w:szCs w:val="24"/>
              </w:rPr>
              <w:t>Izglītības uz zinātnes ministrija (t</w:t>
            </w:r>
            <w:r w:rsidR="008B0366" w:rsidRPr="00BE1F39">
              <w:rPr>
                <w:rFonts w:ascii="Times New Roman" w:hAnsi="Times New Roman"/>
                <w:sz w:val="24"/>
                <w:szCs w:val="24"/>
              </w:rPr>
              <w:t>urpmāk – Ministrija), ievērojot</w:t>
            </w:r>
            <w:r w:rsidRPr="00BE1F39">
              <w:rPr>
                <w:rFonts w:ascii="Times New Roman" w:hAnsi="Times New Roman"/>
                <w:sz w:val="24"/>
                <w:szCs w:val="24"/>
              </w:rPr>
              <w:t xml:space="preserve"> Eiropas Ekonomikas zonas finanšu instrumenta un Norvēģijas </w:t>
            </w:r>
            <w:r w:rsidR="00595E32" w:rsidRPr="00BE1F39">
              <w:rPr>
                <w:rFonts w:ascii="Times New Roman" w:hAnsi="Times New Roman"/>
                <w:sz w:val="24"/>
                <w:szCs w:val="24"/>
              </w:rPr>
              <w:t>finanšu instrumenta 2014.–2021. </w:t>
            </w:r>
            <w:r w:rsidR="00C96A9F" w:rsidRPr="00BE1F39">
              <w:rPr>
                <w:rFonts w:ascii="Times New Roman" w:hAnsi="Times New Roman"/>
                <w:sz w:val="24"/>
                <w:szCs w:val="24"/>
              </w:rPr>
              <w:t>gada perioda vadības likuma 15. panta 12. </w:t>
            </w:r>
            <w:r w:rsidRPr="00BE1F39">
              <w:rPr>
                <w:rFonts w:ascii="Times New Roman" w:hAnsi="Times New Roman"/>
                <w:sz w:val="24"/>
                <w:szCs w:val="24"/>
              </w:rPr>
              <w:t>punktā noteikto deleģējumu, ir izstrādājusi Ministru kabineta noteikumu projektu “Gr</w:t>
            </w:r>
            <w:r w:rsidR="00595E32" w:rsidRPr="00BE1F39">
              <w:rPr>
                <w:rFonts w:ascii="Times New Roman" w:hAnsi="Times New Roman"/>
                <w:sz w:val="24"/>
                <w:szCs w:val="24"/>
              </w:rPr>
              <w:t>ozījumi Ministru kabineta 2020. gada 2. jūnija noteikumos Nr. </w:t>
            </w:r>
            <w:r w:rsidRPr="00BE1F39">
              <w:rPr>
                <w:rFonts w:ascii="Times New Roman" w:hAnsi="Times New Roman"/>
                <w:sz w:val="24"/>
                <w:szCs w:val="24"/>
              </w:rPr>
              <w:t xml:space="preserve">333 “Eiropas Ekonomikas zonas finanšu instrumenta un Norvēģijas </w:t>
            </w:r>
            <w:r w:rsidR="00595E32" w:rsidRPr="00BE1F39">
              <w:rPr>
                <w:rFonts w:ascii="Times New Roman" w:hAnsi="Times New Roman"/>
                <w:sz w:val="24"/>
                <w:szCs w:val="24"/>
              </w:rPr>
              <w:t>finanšu instrumenta 2014.–2021. </w:t>
            </w:r>
            <w:r w:rsidRPr="00BE1F39">
              <w:rPr>
                <w:rFonts w:ascii="Times New Roman" w:hAnsi="Times New Roman"/>
                <w:sz w:val="24"/>
                <w:szCs w:val="24"/>
              </w:rPr>
              <w:t xml:space="preserve">gada perioda programmas </w:t>
            </w:r>
            <w:r w:rsidR="00BE1F39" w:rsidRPr="00BE1F39">
              <w:rPr>
                <w:rFonts w:ascii="Times New Roman" w:hAnsi="Times New Roman"/>
                <w:sz w:val="24"/>
                <w:szCs w:val="24"/>
              </w:rPr>
              <w:t>“</w:t>
            </w:r>
            <w:r w:rsidRPr="00BE1F39">
              <w:rPr>
                <w:rFonts w:ascii="Times New Roman" w:hAnsi="Times New Roman"/>
                <w:sz w:val="24"/>
                <w:szCs w:val="24"/>
              </w:rPr>
              <w:t>Pētniecība un izglītība</w:t>
            </w:r>
            <w:r w:rsidR="00BE1F39">
              <w:rPr>
                <w:rFonts w:ascii="Times New Roman" w:hAnsi="Times New Roman"/>
                <w:sz w:val="24"/>
                <w:szCs w:val="24"/>
              </w:rPr>
              <w:t>”</w:t>
            </w:r>
            <w:r w:rsidRPr="00BE1F39">
              <w:rPr>
                <w:rFonts w:ascii="Times New Roman" w:hAnsi="Times New Roman"/>
                <w:sz w:val="24"/>
                <w:szCs w:val="24"/>
              </w:rPr>
              <w:t xml:space="preserve"> aktivitātes </w:t>
            </w:r>
            <w:r w:rsidR="00BE1F39" w:rsidRPr="00BE1F39">
              <w:rPr>
                <w:rFonts w:ascii="Times New Roman" w:hAnsi="Times New Roman"/>
                <w:sz w:val="24"/>
                <w:szCs w:val="24"/>
              </w:rPr>
              <w:t>“</w:t>
            </w:r>
            <w:r w:rsidRPr="00BE1F39">
              <w:rPr>
                <w:rFonts w:ascii="Times New Roman" w:hAnsi="Times New Roman"/>
                <w:sz w:val="24"/>
                <w:szCs w:val="24"/>
              </w:rPr>
              <w:t>Baltijas pētniecības programma</w:t>
            </w:r>
            <w:r w:rsidR="00BE1F39">
              <w:rPr>
                <w:rFonts w:ascii="Times New Roman" w:hAnsi="Times New Roman"/>
                <w:sz w:val="24"/>
                <w:szCs w:val="24"/>
              </w:rPr>
              <w:t>”</w:t>
            </w:r>
            <w:r w:rsidRPr="00BE1F39">
              <w:rPr>
                <w:rFonts w:ascii="Times New Roman" w:hAnsi="Times New Roman"/>
                <w:sz w:val="24"/>
                <w:szCs w:val="24"/>
              </w:rPr>
              <w:t xml:space="preserve"> un aktivitātes </w:t>
            </w:r>
            <w:r w:rsidR="00BE1F39" w:rsidRPr="00BE1F39">
              <w:rPr>
                <w:rFonts w:ascii="Times New Roman" w:hAnsi="Times New Roman"/>
                <w:sz w:val="24"/>
                <w:szCs w:val="24"/>
              </w:rPr>
              <w:t>“</w:t>
            </w:r>
            <w:r w:rsidRPr="00BE1F39">
              <w:rPr>
                <w:rFonts w:ascii="Times New Roman" w:hAnsi="Times New Roman"/>
                <w:sz w:val="24"/>
                <w:szCs w:val="24"/>
              </w:rPr>
              <w:t>Stipendijas</w:t>
            </w:r>
            <w:r w:rsidR="00BE1F39">
              <w:rPr>
                <w:rFonts w:ascii="Times New Roman" w:hAnsi="Times New Roman"/>
                <w:sz w:val="24"/>
                <w:szCs w:val="24"/>
              </w:rPr>
              <w:t>”</w:t>
            </w:r>
            <w:r w:rsidRPr="00BE1F39">
              <w:rPr>
                <w:rFonts w:ascii="Times New Roman" w:hAnsi="Times New Roman"/>
                <w:sz w:val="24"/>
                <w:szCs w:val="24"/>
              </w:rPr>
              <w:t xml:space="preserve"> īstenošanas noteikumi”” (turpmāk – noteikumu projekts), lai nodrošinātu atbilstību</w:t>
            </w:r>
            <w:r w:rsidR="004226F9" w:rsidRPr="00BE1F39">
              <w:rPr>
                <w:rFonts w:ascii="Times New Roman" w:hAnsi="Times New Roman"/>
                <w:sz w:val="24"/>
                <w:szCs w:val="24"/>
              </w:rPr>
              <w:t xml:space="preserve"> Ministru kabineta 20</w:t>
            </w:r>
            <w:r w:rsidR="00DE1169" w:rsidRPr="00BE1F39">
              <w:rPr>
                <w:rFonts w:ascii="Times New Roman" w:hAnsi="Times New Roman"/>
                <w:sz w:val="24"/>
                <w:szCs w:val="24"/>
              </w:rPr>
              <w:t>20. </w:t>
            </w:r>
            <w:r w:rsidR="004226F9" w:rsidRPr="00BE1F39">
              <w:rPr>
                <w:rFonts w:ascii="Times New Roman" w:hAnsi="Times New Roman"/>
                <w:sz w:val="24"/>
                <w:szCs w:val="24"/>
              </w:rPr>
              <w:t>gada 1.</w:t>
            </w:r>
            <w:r w:rsidR="00DE1169" w:rsidRPr="00BE1F39">
              <w:rPr>
                <w:rFonts w:ascii="Times New Roman" w:hAnsi="Times New Roman"/>
                <w:sz w:val="24"/>
                <w:szCs w:val="24"/>
              </w:rPr>
              <w:t> </w:t>
            </w:r>
            <w:r w:rsidR="004226F9" w:rsidRPr="00BE1F39">
              <w:rPr>
                <w:rFonts w:ascii="Times New Roman" w:hAnsi="Times New Roman"/>
                <w:sz w:val="24"/>
                <w:szCs w:val="24"/>
              </w:rPr>
              <w:t>aprīļa rīkojum</w:t>
            </w:r>
            <w:r w:rsidR="005B7BC1">
              <w:rPr>
                <w:rFonts w:ascii="Times New Roman" w:hAnsi="Times New Roman"/>
                <w:sz w:val="24"/>
                <w:szCs w:val="24"/>
              </w:rPr>
              <w:t>a</w:t>
            </w:r>
            <w:r w:rsidR="004226F9" w:rsidRPr="00BE1F39">
              <w:rPr>
                <w:rFonts w:ascii="Times New Roman" w:hAnsi="Times New Roman"/>
                <w:sz w:val="24"/>
                <w:szCs w:val="24"/>
              </w:rPr>
              <w:t xml:space="preserve"> Nr. 151 </w:t>
            </w:r>
            <w:r w:rsidR="00BE1F39" w:rsidRPr="00BE1F39">
              <w:rPr>
                <w:rFonts w:ascii="Times New Roman" w:hAnsi="Times New Roman"/>
                <w:sz w:val="24"/>
                <w:szCs w:val="24"/>
              </w:rPr>
              <w:t>“</w:t>
            </w:r>
            <w:r w:rsidR="004226F9" w:rsidRPr="00BE1F39">
              <w:rPr>
                <w:rFonts w:ascii="Times New Roman" w:hAnsi="Times New Roman"/>
                <w:sz w:val="24"/>
                <w:szCs w:val="24"/>
              </w:rPr>
              <w:t>Par Izglītības un zinātnes ministrijas padotībā esošo valsts pārvaldes iestāžu reorganizāciju un likvidāciju</w:t>
            </w:r>
            <w:r w:rsidR="00BE1F39">
              <w:rPr>
                <w:rFonts w:ascii="Times New Roman" w:hAnsi="Times New Roman"/>
                <w:sz w:val="24"/>
                <w:szCs w:val="24"/>
              </w:rPr>
              <w:t>”</w:t>
            </w:r>
            <w:r w:rsidR="004226F9" w:rsidRPr="00BE1F39">
              <w:rPr>
                <w:rFonts w:ascii="Times New Roman" w:hAnsi="Times New Roman"/>
                <w:sz w:val="24"/>
                <w:szCs w:val="24"/>
              </w:rPr>
              <w:t xml:space="preserve"> </w:t>
            </w:r>
            <w:r w:rsidR="00AA5B41">
              <w:rPr>
                <w:rFonts w:ascii="Times New Roman" w:hAnsi="Times New Roman"/>
                <w:sz w:val="24"/>
                <w:szCs w:val="24"/>
              </w:rPr>
              <w:t xml:space="preserve">(turpmāk – Rīkojums Nr. 151) </w:t>
            </w:r>
            <w:r w:rsidR="00C00211" w:rsidRPr="00BE1F39">
              <w:rPr>
                <w:rFonts w:ascii="Times New Roman" w:hAnsi="Times New Roman"/>
                <w:sz w:val="24"/>
                <w:szCs w:val="24"/>
              </w:rPr>
              <w:t>1.</w:t>
            </w:r>
            <w:r w:rsidR="005B7BC1">
              <w:rPr>
                <w:rFonts w:ascii="Times New Roman" w:hAnsi="Times New Roman"/>
                <w:sz w:val="24"/>
                <w:szCs w:val="24"/>
              </w:rPr>
              <w:t>1.</w:t>
            </w:r>
            <w:r w:rsidR="00C00211" w:rsidRPr="00BE1F39">
              <w:rPr>
                <w:rFonts w:ascii="Times New Roman" w:hAnsi="Times New Roman"/>
                <w:sz w:val="24"/>
                <w:szCs w:val="24"/>
              </w:rPr>
              <w:t> </w:t>
            </w:r>
            <w:r w:rsidR="005B7BC1">
              <w:rPr>
                <w:rFonts w:ascii="Times New Roman" w:hAnsi="Times New Roman"/>
                <w:sz w:val="24"/>
                <w:szCs w:val="24"/>
              </w:rPr>
              <w:t>apakš</w:t>
            </w:r>
            <w:r w:rsidR="00C00211" w:rsidRPr="00BE1F39">
              <w:rPr>
                <w:rFonts w:ascii="Times New Roman" w:hAnsi="Times New Roman"/>
                <w:sz w:val="24"/>
                <w:szCs w:val="24"/>
              </w:rPr>
              <w:t>punktam.</w:t>
            </w:r>
          </w:p>
          <w:p w14:paraId="299F0A5E" w14:textId="7B3B479E" w:rsidR="009E36F7" w:rsidRPr="00BE1F39" w:rsidRDefault="00237179" w:rsidP="00257FE4">
            <w:pPr>
              <w:pStyle w:val="ListParagraph"/>
              <w:spacing w:after="0" w:line="240" w:lineRule="auto"/>
              <w:ind w:left="0"/>
              <w:contextualSpacing w:val="0"/>
              <w:jc w:val="both"/>
            </w:pPr>
            <w:r w:rsidRPr="00BE1F39">
              <w:rPr>
                <w:rFonts w:ascii="Times New Roman" w:hAnsi="Times New Roman"/>
                <w:sz w:val="24"/>
                <w:szCs w:val="24"/>
              </w:rPr>
              <w:t xml:space="preserve">Vienlaikus noteikumu projekts izstrādāts, </w:t>
            </w:r>
            <w:r w:rsidR="002C639F" w:rsidRPr="00BE1F39">
              <w:rPr>
                <w:rFonts w:ascii="Times New Roman" w:hAnsi="Times New Roman"/>
                <w:sz w:val="24"/>
                <w:szCs w:val="24"/>
              </w:rPr>
              <w:t xml:space="preserve">pamatojoties uz </w:t>
            </w:r>
            <w:r w:rsidR="00CE4F90" w:rsidRPr="00BE1F39">
              <w:rPr>
                <w:rFonts w:ascii="Times New Roman" w:hAnsi="Times New Roman"/>
                <w:sz w:val="24"/>
                <w:szCs w:val="24"/>
              </w:rPr>
              <w:t xml:space="preserve">Eiropas Ekonomikas </w:t>
            </w:r>
            <w:r w:rsidR="005B7BC1">
              <w:rPr>
                <w:rFonts w:ascii="Times New Roman" w:hAnsi="Times New Roman"/>
                <w:sz w:val="24"/>
                <w:szCs w:val="24"/>
              </w:rPr>
              <w:t>z</w:t>
            </w:r>
            <w:r w:rsidR="00CE4F90" w:rsidRPr="00BE1F39">
              <w:rPr>
                <w:rFonts w:ascii="Times New Roman" w:hAnsi="Times New Roman"/>
                <w:sz w:val="24"/>
                <w:szCs w:val="24"/>
              </w:rPr>
              <w:t xml:space="preserve">onas </w:t>
            </w:r>
            <w:r w:rsidR="00AA5B41">
              <w:rPr>
                <w:rFonts w:ascii="Times New Roman" w:hAnsi="Times New Roman"/>
                <w:sz w:val="24"/>
                <w:szCs w:val="24"/>
              </w:rPr>
              <w:t xml:space="preserve">finanšu instrumenta </w:t>
            </w:r>
            <w:r w:rsidR="00CE4F90" w:rsidRPr="00BE1F39">
              <w:rPr>
                <w:rFonts w:ascii="Times New Roman" w:hAnsi="Times New Roman"/>
                <w:sz w:val="24"/>
                <w:szCs w:val="24"/>
              </w:rPr>
              <w:t xml:space="preserve">un Norvēģijas </w:t>
            </w:r>
            <w:r w:rsidR="00AA5B41">
              <w:rPr>
                <w:rFonts w:ascii="Times New Roman" w:hAnsi="Times New Roman"/>
                <w:sz w:val="24"/>
                <w:szCs w:val="24"/>
              </w:rPr>
              <w:t>f</w:t>
            </w:r>
            <w:r w:rsidR="0076150E" w:rsidRPr="00BE1F39">
              <w:rPr>
                <w:rFonts w:ascii="Times New Roman" w:hAnsi="Times New Roman"/>
                <w:sz w:val="24"/>
                <w:szCs w:val="24"/>
              </w:rPr>
              <w:t xml:space="preserve">inanšu </w:t>
            </w:r>
            <w:r w:rsidR="00F874A1">
              <w:rPr>
                <w:rFonts w:ascii="Times New Roman" w:hAnsi="Times New Roman"/>
                <w:sz w:val="24"/>
                <w:szCs w:val="24"/>
              </w:rPr>
              <w:t>i</w:t>
            </w:r>
            <w:r w:rsidR="0076150E" w:rsidRPr="00BE1F39">
              <w:rPr>
                <w:rFonts w:ascii="Times New Roman" w:hAnsi="Times New Roman"/>
                <w:sz w:val="24"/>
                <w:szCs w:val="24"/>
              </w:rPr>
              <w:t>nstrumenta biroja</w:t>
            </w:r>
            <w:r w:rsidR="005A6EBE" w:rsidRPr="00BE1F39">
              <w:rPr>
                <w:rFonts w:ascii="Times New Roman" w:hAnsi="Times New Roman"/>
                <w:sz w:val="24"/>
                <w:szCs w:val="24"/>
              </w:rPr>
              <w:t xml:space="preserve"> </w:t>
            </w:r>
            <w:r w:rsidR="00EE5C77" w:rsidRPr="00BE1F39">
              <w:rPr>
                <w:rFonts w:ascii="Times New Roman" w:hAnsi="Times New Roman"/>
                <w:sz w:val="24"/>
                <w:szCs w:val="24"/>
              </w:rPr>
              <w:t xml:space="preserve">(turpmāk – Finanšu </w:t>
            </w:r>
            <w:r w:rsidR="00F874A1">
              <w:rPr>
                <w:rFonts w:ascii="Times New Roman" w:hAnsi="Times New Roman"/>
                <w:sz w:val="24"/>
                <w:szCs w:val="24"/>
              </w:rPr>
              <w:t>i</w:t>
            </w:r>
            <w:r w:rsidR="00EE5C77" w:rsidRPr="00BE1F39">
              <w:rPr>
                <w:rFonts w:ascii="Times New Roman" w:hAnsi="Times New Roman"/>
                <w:sz w:val="24"/>
                <w:szCs w:val="24"/>
              </w:rPr>
              <w:t xml:space="preserve">nstrumenta birojs) </w:t>
            </w:r>
            <w:r w:rsidR="002C639F" w:rsidRPr="00BE1F39">
              <w:rPr>
                <w:rFonts w:ascii="Times New Roman" w:hAnsi="Times New Roman"/>
                <w:sz w:val="24"/>
                <w:szCs w:val="24"/>
              </w:rPr>
              <w:t>2020. gada 6.</w:t>
            </w:r>
            <w:r w:rsidR="005A6EBE" w:rsidRPr="00BE1F39">
              <w:rPr>
                <w:rFonts w:ascii="Times New Roman" w:hAnsi="Times New Roman"/>
                <w:sz w:val="24"/>
                <w:szCs w:val="24"/>
              </w:rPr>
              <w:t> </w:t>
            </w:r>
            <w:r w:rsidR="002C639F" w:rsidRPr="00BE1F39">
              <w:rPr>
                <w:rFonts w:ascii="Times New Roman" w:hAnsi="Times New Roman"/>
                <w:sz w:val="24"/>
                <w:szCs w:val="24"/>
              </w:rPr>
              <w:t xml:space="preserve">oktobrī veiktajām izmaiņām </w:t>
            </w:r>
            <w:r w:rsidRPr="00BE1F39">
              <w:rPr>
                <w:rFonts w:ascii="Times New Roman" w:hAnsi="Times New Roman"/>
                <w:sz w:val="24"/>
                <w:szCs w:val="24"/>
              </w:rPr>
              <w:t xml:space="preserve">Eiropas Ekonomikas zonas finanšu instrumenta un Norvēģijas </w:t>
            </w:r>
            <w:r w:rsidR="00285586" w:rsidRPr="00BE1F39">
              <w:rPr>
                <w:rFonts w:ascii="Times New Roman" w:hAnsi="Times New Roman"/>
                <w:sz w:val="24"/>
                <w:szCs w:val="24"/>
              </w:rPr>
              <w:t>finanšu instrumenta 2014.–2021. </w:t>
            </w:r>
            <w:r w:rsidRPr="00BE1F39">
              <w:rPr>
                <w:rFonts w:ascii="Times New Roman" w:hAnsi="Times New Roman"/>
                <w:sz w:val="24"/>
                <w:szCs w:val="24"/>
              </w:rPr>
              <w:t xml:space="preserve">gada periodam </w:t>
            </w:r>
            <w:r w:rsidR="002C639F" w:rsidRPr="00BE1F39">
              <w:rPr>
                <w:rFonts w:ascii="Times New Roman" w:hAnsi="Times New Roman"/>
                <w:sz w:val="24"/>
                <w:szCs w:val="24"/>
              </w:rPr>
              <w:t xml:space="preserve">Pamatrādītāju </w:t>
            </w:r>
            <w:r w:rsidRPr="00BE1F39">
              <w:rPr>
                <w:rFonts w:ascii="Times New Roman" w:hAnsi="Times New Roman"/>
                <w:sz w:val="24"/>
                <w:szCs w:val="24"/>
              </w:rPr>
              <w:t>vadlī</w:t>
            </w:r>
            <w:r w:rsidR="002C639F" w:rsidRPr="00BE1F39">
              <w:rPr>
                <w:rFonts w:ascii="Times New Roman" w:hAnsi="Times New Roman"/>
                <w:sz w:val="24"/>
                <w:szCs w:val="24"/>
              </w:rPr>
              <w:t>nijās</w:t>
            </w:r>
            <w:r w:rsidR="00D068BE" w:rsidRPr="00BE1F39">
              <w:rPr>
                <w:rStyle w:val="FootnoteReference"/>
                <w:rFonts w:ascii="Times New Roman" w:hAnsi="Times New Roman"/>
                <w:sz w:val="24"/>
                <w:szCs w:val="24"/>
              </w:rPr>
              <w:footnoteReference w:id="2"/>
            </w:r>
            <w:r w:rsidR="00BB5884" w:rsidRPr="00BE1F39">
              <w:rPr>
                <w:rFonts w:ascii="Times New Roman" w:hAnsi="Times New Roman"/>
                <w:sz w:val="24"/>
                <w:szCs w:val="24"/>
              </w:rPr>
              <w:t xml:space="preserve"> (turpmāk – Pamatrādītāju vadlīnijas)</w:t>
            </w:r>
            <w:r w:rsidR="002C639F" w:rsidRPr="00BE1F39">
              <w:rPr>
                <w:rFonts w:ascii="Times New Roman" w:hAnsi="Times New Roman"/>
                <w:sz w:val="24"/>
                <w:szCs w:val="24"/>
              </w:rPr>
              <w:t xml:space="preserve"> attiecībā uz </w:t>
            </w:r>
            <w:r w:rsidR="00F874A1">
              <w:rPr>
                <w:rFonts w:ascii="Times New Roman" w:hAnsi="Times New Roman"/>
                <w:sz w:val="24"/>
                <w:szCs w:val="24"/>
              </w:rPr>
              <w:t>P</w:t>
            </w:r>
            <w:r w:rsidR="00D02BA3" w:rsidRPr="00BE1F39">
              <w:rPr>
                <w:rFonts w:ascii="Times New Roman" w:hAnsi="Times New Roman"/>
                <w:sz w:val="24"/>
                <w:szCs w:val="24"/>
              </w:rPr>
              <w:t xml:space="preserve">rogrammas </w:t>
            </w:r>
            <w:r w:rsidR="002C639F" w:rsidRPr="00BE1F39">
              <w:rPr>
                <w:rFonts w:ascii="Times New Roman" w:hAnsi="Times New Roman"/>
                <w:sz w:val="24"/>
                <w:szCs w:val="24"/>
              </w:rPr>
              <w:t>aktivitā</w:t>
            </w:r>
            <w:r w:rsidR="00D02BA3" w:rsidRPr="00BE1F39">
              <w:rPr>
                <w:rFonts w:ascii="Times New Roman" w:hAnsi="Times New Roman"/>
                <w:sz w:val="24"/>
                <w:szCs w:val="24"/>
              </w:rPr>
              <w:t>šu</w:t>
            </w:r>
            <w:r w:rsidR="002C639F" w:rsidRPr="00BE1F39">
              <w:rPr>
                <w:rFonts w:ascii="Times New Roman" w:hAnsi="Times New Roman"/>
                <w:sz w:val="24"/>
                <w:szCs w:val="24"/>
              </w:rPr>
              <w:t xml:space="preserve"> sasniedzam</w:t>
            </w:r>
            <w:r w:rsidR="006034C7" w:rsidRPr="00BE1F39">
              <w:rPr>
                <w:rFonts w:ascii="Times New Roman" w:hAnsi="Times New Roman"/>
                <w:sz w:val="24"/>
                <w:szCs w:val="24"/>
              </w:rPr>
              <w:t>ajiem rezultātiem un iznākumiem un</w:t>
            </w:r>
            <w:r w:rsidR="002C639F" w:rsidRPr="00BE1F39">
              <w:rPr>
                <w:rFonts w:ascii="Times New Roman" w:hAnsi="Times New Roman"/>
                <w:sz w:val="24"/>
                <w:szCs w:val="24"/>
              </w:rPr>
              <w:t xml:space="preserve"> to rādītājiem.</w:t>
            </w:r>
          </w:p>
        </w:tc>
      </w:tr>
      <w:tr w:rsidR="00667AB2" w:rsidRPr="00945FA0" w14:paraId="2143E0E5" w14:textId="77777777" w:rsidTr="00257FE4">
        <w:tblPrEx>
          <w:shd w:val="clear" w:color="auto" w:fill="auto"/>
          <w:tblCellMar>
            <w:top w:w="30" w:type="dxa"/>
            <w:left w:w="30" w:type="dxa"/>
            <w:bottom w:w="30" w:type="dxa"/>
            <w:right w:w="30" w:type="dxa"/>
          </w:tblCellMar>
        </w:tblPrEx>
        <w:tc>
          <w:tcPr>
            <w:tcW w:w="381" w:type="dxa"/>
            <w:hideMark/>
          </w:tcPr>
          <w:p w14:paraId="7D94982C" w14:textId="3727F694" w:rsidR="00667AB2" w:rsidRPr="00BE1F39" w:rsidRDefault="00667AB2" w:rsidP="00257FE4">
            <w:pPr>
              <w:ind w:right="140"/>
              <w:jc w:val="center"/>
            </w:pPr>
            <w:r w:rsidRPr="00BE1F39">
              <w:t>2.</w:t>
            </w:r>
          </w:p>
        </w:tc>
        <w:tc>
          <w:tcPr>
            <w:tcW w:w="1933" w:type="dxa"/>
            <w:hideMark/>
          </w:tcPr>
          <w:p w14:paraId="489EBDC1" w14:textId="77777777" w:rsidR="00667AB2" w:rsidRPr="00BE1F39" w:rsidRDefault="00667AB2" w:rsidP="00257FE4">
            <w:pPr>
              <w:ind w:right="140"/>
            </w:pPr>
            <w:r w:rsidRPr="00BE1F39">
              <w:t xml:space="preserve">Pašreizējā situācija un </w:t>
            </w:r>
            <w:r w:rsidRPr="00BE1F39">
              <w:lastRenderedPageBreak/>
              <w:t>problēmas, kuru risināšanai tiesību akta projekts izstrādāts, tiesiskā regulējuma mērķis un būtība</w:t>
            </w:r>
          </w:p>
        </w:tc>
        <w:tc>
          <w:tcPr>
            <w:tcW w:w="7042" w:type="dxa"/>
            <w:hideMark/>
          </w:tcPr>
          <w:p w14:paraId="0568FA5F" w14:textId="16938908" w:rsidR="008B0366" w:rsidRPr="00945FA0" w:rsidRDefault="008B0366" w:rsidP="00257FE4">
            <w:pPr>
              <w:pStyle w:val="ListParagraph"/>
              <w:spacing w:after="0" w:line="240" w:lineRule="auto"/>
              <w:ind w:left="0"/>
              <w:contextualSpacing w:val="0"/>
              <w:jc w:val="both"/>
              <w:rPr>
                <w:rFonts w:ascii="Times New Roman" w:hAnsi="Times New Roman"/>
                <w:sz w:val="24"/>
                <w:szCs w:val="24"/>
              </w:rPr>
            </w:pPr>
            <w:r w:rsidRPr="00945FA0">
              <w:rPr>
                <w:rFonts w:ascii="Times New Roman" w:hAnsi="Times New Roman"/>
                <w:sz w:val="24"/>
                <w:szCs w:val="24"/>
              </w:rPr>
              <w:lastRenderedPageBreak/>
              <w:t>Ministru kabineta 2020</w:t>
            </w:r>
            <w:r w:rsidR="006034C7" w:rsidRPr="00945FA0">
              <w:rPr>
                <w:rFonts w:ascii="Times New Roman" w:hAnsi="Times New Roman"/>
                <w:sz w:val="24"/>
                <w:szCs w:val="24"/>
              </w:rPr>
              <w:t>. gada 2. jūnija noteikumi</w:t>
            </w:r>
            <w:r w:rsidR="00DE1169" w:rsidRPr="00945FA0">
              <w:rPr>
                <w:rFonts w:ascii="Times New Roman" w:hAnsi="Times New Roman"/>
                <w:sz w:val="24"/>
                <w:szCs w:val="24"/>
              </w:rPr>
              <w:t xml:space="preserve"> Nr. </w:t>
            </w:r>
            <w:r w:rsidRPr="00945FA0">
              <w:rPr>
                <w:rFonts w:ascii="Times New Roman" w:hAnsi="Times New Roman"/>
                <w:sz w:val="24"/>
                <w:szCs w:val="24"/>
              </w:rPr>
              <w:t xml:space="preserve">333 “Eiropas Ekonomikas zonas finanšu instrumenta un Norvēģijas </w:t>
            </w:r>
            <w:r w:rsidR="00DE1169" w:rsidRPr="00945FA0">
              <w:rPr>
                <w:rFonts w:ascii="Times New Roman" w:hAnsi="Times New Roman"/>
                <w:sz w:val="24"/>
                <w:szCs w:val="24"/>
              </w:rPr>
              <w:t xml:space="preserve">finanšu </w:t>
            </w:r>
            <w:r w:rsidR="00DE1169" w:rsidRPr="00945FA0">
              <w:rPr>
                <w:rFonts w:ascii="Times New Roman" w:hAnsi="Times New Roman"/>
                <w:sz w:val="24"/>
                <w:szCs w:val="24"/>
              </w:rPr>
              <w:lastRenderedPageBreak/>
              <w:t>instrumenta 2014.–2021. </w:t>
            </w:r>
            <w:r w:rsidRPr="00945FA0">
              <w:rPr>
                <w:rFonts w:ascii="Times New Roman" w:hAnsi="Times New Roman"/>
                <w:sz w:val="24"/>
                <w:szCs w:val="24"/>
              </w:rPr>
              <w:t xml:space="preserve">gada perioda programmas </w:t>
            </w:r>
            <w:r w:rsidR="00BE1F39" w:rsidRPr="00945FA0">
              <w:rPr>
                <w:rFonts w:ascii="Times New Roman" w:hAnsi="Times New Roman"/>
                <w:sz w:val="24"/>
                <w:szCs w:val="24"/>
              </w:rPr>
              <w:t>“</w:t>
            </w:r>
            <w:r w:rsidRPr="00945FA0">
              <w:rPr>
                <w:rFonts w:ascii="Times New Roman" w:hAnsi="Times New Roman"/>
                <w:sz w:val="24"/>
                <w:szCs w:val="24"/>
              </w:rPr>
              <w:t>Pētniecība un izglītība</w:t>
            </w:r>
            <w:r w:rsidR="00BE1F39" w:rsidRPr="00945FA0">
              <w:rPr>
                <w:rFonts w:ascii="Times New Roman" w:hAnsi="Times New Roman"/>
                <w:sz w:val="24"/>
                <w:szCs w:val="24"/>
              </w:rPr>
              <w:t>”</w:t>
            </w:r>
            <w:r w:rsidRPr="00945FA0">
              <w:rPr>
                <w:rFonts w:ascii="Times New Roman" w:hAnsi="Times New Roman"/>
                <w:sz w:val="24"/>
                <w:szCs w:val="24"/>
              </w:rPr>
              <w:t xml:space="preserve"> aktivitātes </w:t>
            </w:r>
            <w:r w:rsidR="00BE1F39" w:rsidRPr="00945FA0">
              <w:rPr>
                <w:rFonts w:ascii="Times New Roman" w:hAnsi="Times New Roman"/>
                <w:sz w:val="24"/>
                <w:szCs w:val="24"/>
              </w:rPr>
              <w:t>“</w:t>
            </w:r>
            <w:r w:rsidRPr="00945FA0">
              <w:rPr>
                <w:rFonts w:ascii="Times New Roman" w:hAnsi="Times New Roman"/>
                <w:sz w:val="24"/>
                <w:szCs w:val="24"/>
              </w:rPr>
              <w:t>Baltijas pētniecības programma</w:t>
            </w:r>
            <w:r w:rsidR="00BE1F39" w:rsidRPr="00945FA0">
              <w:rPr>
                <w:rFonts w:ascii="Times New Roman" w:hAnsi="Times New Roman"/>
                <w:sz w:val="24"/>
                <w:szCs w:val="24"/>
              </w:rPr>
              <w:t>”</w:t>
            </w:r>
            <w:r w:rsidRPr="00945FA0">
              <w:rPr>
                <w:rFonts w:ascii="Times New Roman" w:hAnsi="Times New Roman"/>
                <w:sz w:val="24"/>
                <w:szCs w:val="24"/>
              </w:rPr>
              <w:t xml:space="preserve"> un aktivitātes </w:t>
            </w:r>
            <w:r w:rsidR="00BE1F39" w:rsidRPr="00945FA0">
              <w:rPr>
                <w:rFonts w:ascii="Times New Roman" w:hAnsi="Times New Roman"/>
                <w:sz w:val="24"/>
                <w:szCs w:val="24"/>
              </w:rPr>
              <w:t>“</w:t>
            </w:r>
            <w:r w:rsidRPr="00945FA0">
              <w:rPr>
                <w:rFonts w:ascii="Times New Roman" w:hAnsi="Times New Roman"/>
                <w:sz w:val="24"/>
                <w:szCs w:val="24"/>
              </w:rPr>
              <w:t>Stipendijas</w:t>
            </w:r>
            <w:r w:rsidR="00BE1F39" w:rsidRPr="00945FA0">
              <w:rPr>
                <w:rFonts w:ascii="Times New Roman" w:hAnsi="Times New Roman"/>
                <w:sz w:val="24"/>
                <w:szCs w:val="24"/>
              </w:rPr>
              <w:t>”</w:t>
            </w:r>
            <w:r w:rsidRPr="00945FA0">
              <w:rPr>
                <w:rFonts w:ascii="Times New Roman" w:hAnsi="Times New Roman"/>
                <w:sz w:val="24"/>
                <w:szCs w:val="24"/>
              </w:rPr>
              <w:t xml:space="preserve"> īstenošanas noteikumi” (turpmāk – </w:t>
            </w:r>
            <w:r w:rsidR="00D030BE" w:rsidRPr="00945FA0">
              <w:rPr>
                <w:rFonts w:ascii="Times New Roman" w:hAnsi="Times New Roman"/>
                <w:sz w:val="24"/>
                <w:szCs w:val="24"/>
              </w:rPr>
              <w:t>N</w:t>
            </w:r>
            <w:r w:rsidRPr="00945FA0">
              <w:rPr>
                <w:rFonts w:ascii="Times New Roman" w:hAnsi="Times New Roman"/>
                <w:sz w:val="24"/>
                <w:szCs w:val="24"/>
              </w:rPr>
              <w:t xml:space="preserve">oteikumi Nr. 333) nosaka </w:t>
            </w:r>
            <w:r w:rsidR="00AA5B41" w:rsidRPr="00945FA0">
              <w:rPr>
                <w:rFonts w:ascii="Times New Roman" w:hAnsi="Times New Roman"/>
                <w:sz w:val="24"/>
                <w:szCs w:val="24"/>
              </w:rPr>
              <w:t>datumu</w:t>
            </w:r>
            <w:r w:rsidRPr="00945FA0">
              <w:rPr>
                <w:rFonts w:ascii="Times New Roman" w:hAnsi="Times New Roman"/>
                <w:sz w:val="24"/>
                <w:szCs w:val="24"/>
              </w:rPr>
              <w:t xml:space="preserve">, </w:t>
            </w:r>
            <w:r w:rsidR="00AA5B41" w:rsidRPr="00945FA0">
              <w:rPr>
                <w:rFonts w:ascii="Times New Roman" w:hAnsi="Times New Roman"/>
                <w:sz w:val="24"/>
                <w:szCs w:val="24"/>
              </w:rPr>
              <w:t>no kura</w:t>
            </w:r>
            <w:r w:rsidRPr="00945FA0">
              <w:rPr>
                <w:rFonts w:ascii="Times New Roman" w:hAnsi="Times New Roman"/>
                <w:sz w:val="24"/>
                <w:szCs w:val="24"/>
              </w:rPr>
              <w:t xml:space="preserve"> </w:t>
            </w:r>
            <w:r w:rsidR="00B86731" w:rsidRPr="00945FA0">
              <w:rPr>
                <w:rFonts w:ascii="Times New Roman" w:hAnsi="Times New Roman"/>
                <w:sz w:val="24"/>
                <w:szCs w:val="24"/>
              </w:rPr>
              <w:t>Programmas ieviešanas aģentūras (turpmāk – aģentūra)</w:t>
            </w:r>
            <w:r w:rsidRPr="00945FA0">
              <w:rPr>
                <w:rFonts w:ascii="Times New Roman" w:hAnsi="Times New Roman"/>
                <w:sz w:val="24"/>
                <w:szCs w:val="24"/>
              </w:rPr>
              <w:t xml:space="preserve"> funkcijas, kuras šobrīd pilda Valsts izglītības attīstības aģentūra, sāk</w:t>
            </w:r>
            <w:r w:rsidR="00AA5B41" w:rsidRPr="00945FA0">
              <w:rPr>
                <w:rFonts w:ascii="Times New Roman" w:hAnsi="Times New Roman"/>
                <w:sz w:val="24"/>
                <w:szCs w:val="24"/>
              </w:rPr>
              <w:t>s</w:t>
            </w:r>
            <w:r w:rsidRPr="00945FA0">
              <w:rPr>
                <w:rFonts w:ascii="Times New Roman" w:hAnsi="Times New Roman"/>
                <w:sz w:val="24"/>
                <w:szCs w:val="24"/>
              </w:rPr>
              <w:t xml:space="preserve"> pildīt Latvijas Zinātnes padome. </w:t>
            </w:r>
            <w:r w:rsidR="00197B80" w:rsidRPr="00945FA0">
              <w:rPr>
                <w:rFonts w:ascii="Times New Roman" w:hAnsi="Times New Roman"/>
                <w:sz w:val="24"/>
                <w:szCs w:val="24"/>
              </w:rPr>
              <w:t xml:space="preserve">Ministrija izstrādājusi </w:t>
            </w:r>
            <w:r w:rsidR="001B531C" w:rsidRPr="00945FA0">
              <w:rPr>
                <w:rFonts w:ascii="Times New Roman" w:hAnsi="Times New Roman"/>
                <w:sz w:val="24"/>
                <w:szCs w:val="24"/>
              </w:rPr>
              <w:t>n</w:t>
            </w:r>
            <w:r w:rsidR="00197B80" w:rsidRPr="00945FA0">
              <w:rPr>
                <w:rFonts w:ascii="Times New Roman" w:hAnsi="Times New Roman"/>
                <w:sz w:val="24"/>
                <w:szCs w:val="24"/>
              </w:rPr>
              <w:t>oteikumu projektu, lai</w:t>
            </w:r>
            <w:r w:rsidR="00D030BE" w:rsidRPr="00945FA0">
              <w:rPr>
                <w:rFonts w:ascii="Times New Roman" w:hAnsi="Times New Roman"/>
                <w:sz w:val="24"/>
                <w:szCs w:val="24"/>
              </w:rPr>
              <w:t xml:space="preserve"> </w:t>
            </w:r>
            <w:r w:rsidR="001B531C" w:rsidRPr="00945FA0">
              <w:rPr>
                <w:rFonts w:ascii="Times New Roman" w:hAnsi="Times New Roman"/>
                <w:sz w:val="24"/>
                <w:szCs w:val="24"/>
              </w:rPr>
              <w:t xml:space="preserve">Baltijas pētniecības programmas aģentūras </w:t>
            </w:r>
            <w:r w:rsidR="006034C7" w:rsidRPr="00945FA0">
              <w:rPr>
                <w:rFonts w:ascii="Times New Roman" w:hAnsi="Times New Roman"/>
                <w:sz w:val="24"/>
                <w:szCs w:val="24"/>
              </w:rPr>
              <w:t>funkciju pārņemšana norit</w:t>
            </w:r>
            <w:r w:rsidR="00AA5B41" w:rsidRPr="00945FA0">
              <w:rPr>
                <w:rFonts w:ascii="Times New Roman" w:hAnsi="Times New Roman"/>
                <w:sz w:val="24"/>
                <w:szCs w:val="24"/>
              </w:rPr>
              <w:t>ētu</w:t>
            </w:r>
            <w:r w:rsidR="006034C7" w:rsidRPr="00945FA0">
              <w:rPr>
                <w:rFonts w:ascii="Times New Roman" w:hAnsi="Times New Roman"/>
                <w:sz w:val="24"/>
                <w:szCs w:val="24"/>
              </w:rPr>
              <w:t xml:space="preserve"> saskaņā</w:t>
            </w:r>
            <w:r w:rsidR="00D030BE" w:rsidRPr="00945FA0">
              <w:rPr>
                <w:rFonts w:ascii="Times New Roman" w:hAnsi="Times New Roman"/>
                <w:sz w:val="24"/>
                <w:szCs w:val="24"/>
              </w:rPr>
              <w:t xml:space="preserve"> ar </w:t>
            </w:r>
            <w:r w:rsidR="00AA5B41" w:rsidRPr="00945FA0">
              <w:rPr>
                <w:rFonts w:ascii="Times New Roman" w:hAnsi="Times New Roman"/>
                <w:sz w:val="24"/>
                <w:szCs w:val="24"/>
              </w:rPr>
              <w:t>R</w:t>
            </w:r>
            <w:r w:rsidR="00D030BE" w:rsidRPr="00945FA0">
              <w:rPr>
                <w:rFonts w:ascii="Times New Roman" w:hAnsi="Times New Roman"/>
                <w:sz w:val="24"/>
                <w:szCs w:val="24"/>
              </w:rPr>
              <w:t>īkojum</w:t>
            </w:r>
            <w:r w:rsidR="00AA5B41" w:rsidRPr="00945FA0">
              <w:rPr>
                <w:rFonts w:ascii="Times New Roman" w:hAnsi="Times New Roman"/>
                <w:sz w:val="24"/>
                <w:szCs w:val="24"/>
              </w:rPr>
              <w:t>a</w:t>
            </w:r>
            <w:r w:rsidR="00D030BE" w:rsidRPr="00945FA0">
              <w:rPr>
                <w:rFonts w:ascii="Times New Roman" w:hAnsi="Times New Roman"/>
                <w:sz w:val="24"/>
                <w:szCs w:val="24"/>
              </w:rPr>
              <w:t xml:space="preserve"> Nr. 151</w:t>
            </w:r>
            <w:r w:rsidR="008205FB" w:rsidRPr="00945FA0">
              <w:rPr>
                <w:rFonts w:ascii="Times New Roman" w:hAnsi="Times New Roman"/>
                <w:sz w:val="24"/>
                <w:szCs w:val="24"/>
              </w:rPr>
              <w:t xml:space="preserve"> 1.</w:t>
            </w:r>
            <w:r w:rsidR="00AA5B41" w:rsidRPr="00945FA0">
              <w:rPr>
                <w:rFonts w:ascii="Times New Roman" w:hAnsi="Times New Roman"/>
                <w:sz w:val="24"/>
                <w:szCs w:val="24"/>
              </w:rPr>
              <w:t>1.</w:t>
            </w:r>
            <w:r w:rsidR="008205FB" w:rsidRPr="00945FA0">
              <w:rPr>
                <w:rFonts w:ascii="Times New Roman" w:hAnsi="Times New Roman"/>
                <w:sz w:val="24"/>
                <w:szCs w:val="24"/>
              </w:rPr>
              <w:t> </w:t>
            </w:r>
            <w:r w:rsidR="00AA5B41" w:rsidRPr="00945FA0">
              <w:rPr>
                <w:rFonts w:ascii="Times New Roman" w:hAnsi="Times New Roman"/>
                <w:sz w:val="24"/>
                <w:szCs w:val="24"/>
              </w:rPr>
              <w:t>apakš</w:t>
            </w:r>
            <w:r w:rsidR="00D030BE" w:rsidRPr="00945FA0">
              <w:rPr>
                <w:rFonts w:ascii="Times New Roman" w:hAnsi="Times New Roman"/>
                <w:sz w:val="24"/>
                <w:szCs w:val="24"/>
              </w:rPr>
              <w:t xml:space="preserve">punktu, </w:t>
            </w:r>
            <w:r w:rsidR="00F1485D" w:rsidRPr="00945FA0">
              <w:rPr>
                <w:rFonts w:ascii="Times New Roman" w:hAnsi="Times New Roman"/>
                <w:sz w:val="24"/>
                <w:szCs w:val="24"/>
              </w:rPr>
              <w:t xml:space="preserve">ar kuru dots uzdevums: </w:t>
            </w:r>
            <w:r w:rsidR="001B531C" w:rsidRPr="00945FA0">
              <w:rPr>
                <w:rFonts w:ascii="Times New Roman" w:hAnsi="Times New Roman"/>
                <w:sz w:val="24"/>
                <w:szCs w:val="24"/>
              </w:rPr>
              <w:t xml:space="preserve">ar </w:t>
            </w:r>
            <w:r w:rsidR="00F1485D" w:rsidRPr="00945FA0">
              <w:rPr>
                <w:rFonts w:ascii="Times New Roman" w:hAnsi="Times New Roman"/>
                <w:sz w:val="24"/>
                <w:szCs w:val="24"/>
              </w:rPr>
              <w:t>2022. gada 1. janvāri reorganizēt</w:t>
            </w:r>
            <w:r w:rsidR="001B531C" w:rsidRPr="00945FA0">
              <w:rPr>
                <w:rFonts w:ascii="Times New Roman" w:hAnsi="Times New Roman"/>
                <w:sz w:val="24"/>
                <w:szCs w:val="24"/>
              </w:rPr>
              <w:t xml:space="preserve"> izglītības un zinātnes ministra pakļautībā esoš</w:t>
            </w:r>
            <w:r w:rsidR="00F1485D" w:rsidRPr="00945FA0">
              <w:rPr>
                <w:rFonts w:ascii="Times New Roman" w:hAnsi="Times New Roman"/>
                <w:sz w:val="24"/>
                <w:szCs w:val="24"/>
              </w:rPr>
              <w:t>o</w:t>
            </w:r>
            <w:r w:rsidR="001B531C" w:rsidRPr="00945FA0">
              <w:rPr>
                <w:rFonts w:ascii="Times New Roman" w:hAnsi="Times New Roman"/>
                <w:sz w:val="24"/>
                <w:szCs w:val="24"/>
              </w:rPr>
              <w:t xml:space="preserve"> </w:t>
            </w:r>
            <w:r w:rsidR="00F1485D" w:rsidRPr="00945FA0">
              <w:rPr>
                <w:rFonts w:ascii="Times New Roman" w:hAnsi="Times New Roman"/>
                <w:sz w:val="24"/>
                <w:szCs w:val="24"/>
              </w:rPr>
              <w:t xml:space="preserve">tiešās pārvaldes iestādi – </w:t>
            </w:r>
            <w:r w:rsidR="001B531C" w:rsidRPr="00945FA0">
              <w:rPr>
                <w:rFonts w:ascii="Times New Roman" w:hAnsi="Times New Roman"/>
                <w:sz w:val="24"/>
                <w:szCs w:val="24"/>
              </w:rPr>
              <w:t>Valsts izglītības attīstības aģentūr</w:t>
            </w:r>
            <w:r w:rsidR="00F1485D" w:rsidRPr="00945FA0">
              <w:rPr>
                <w:rFonts w:ascii="Times New Roman" w:hAnsi="Times New Roman"/>
                <w:sz w:val="24"/>
                <w:szCs w:val="24"/>
              </w:rPr>
              <w:t>u</w:t>
            </w:r>
            <w:r w:rsidR="00AA5B41" w:rsidRPr="00945FA0">
              <w:rPr>
                <w:rFonts w:ascii="Times New Roman" w:hAnsi="Times New Roman"/>
                <w:sz w:val="24"/>
                <w:szCs w:val="24"/>
              </w:rPr>
              <w:t xml:space="preserve">, cita starpā nododot </w:t>
            </w:r>
            <w:r w:rsidR="001B531C" w:rsidRPr="00945FA0">
              <w:rPr>
                <w:rFonts w:ascii="Times New Roman" w:hAnsi="Times New Roman"/>
                <w:sz w:val="24"/>
                <w:szCs w:val="24"/>
              </w:rPr>
              <w:t xml:space="preserve">funkciju </w:t>
            </w:r>
            <w:r w:rsidR="00F1485D" w:rsidRPr="00945FA0">
              <w:rPr>
                <w:rFonts w:ascii="Times New Roman" w:hAnsi="Times New Roman"/>
                <w:sz w:val="24"/>
                <w:szCs w:val="24"/>
              </w:rPr>
              <w:t xml:space="preserve">– </w:t>
            </w:r>
            <w:r w:rsidR="001B531C" w:rsidRPr="00945FA0">
              <w:rPr>
                <w:rFonts w:ascii="Times New Roman" w:hAnsi="Times New Roman"/>
                <w:sz w:val="24"/>
                <w:szCs w:val="24"/>
              </w:rPr>
              <w:t xml:space="preserve">nodrošināt aģentūras funkciju izpildi attiecībā </w:t>
            </w:r>
            <w:r w:rsidR="006F7159" w:rsidRPr="00945FA0">
              <w:rPr>
                <w:rFonts w:ascii="Times New Roman" w:hAnsi="Times New Roman"/>
                <w:sz w:val="24"/>
                <w:szCs w:val="24"/>
              </w:rPr>
              <w:t>uz Baltijas pētniecības programmu</w:t>
            </w:r>
            <w:r w:rsidR="001B531C" w:rsidRPr="00945FA0">
              <w:rPr>
                <w:rFonts w:ascii="Times New Roman" w:hAnsi="Times New Roman"/>
                <w:sz w:val="24"/>
                <w:szCs w:val="24"/>
              </w:rPr>
              <w:t xml:space="preserve"> </w:t>
            </w:r>
            <w:r w:rsidR="00F1485D" w:rsidRPr="00945FA0">
              <w:rPr>
                <w:rFonts w:ascii="Times New Roman" w:hAnsi="Times New Roman"/>
                <w:sz w:val="24"/>
                <w:szCs w:val="24"/>
              </w:rPr>
              <w:t xml:space="preserve">– </w:t>
            </w:r>
            <w:r w:rsidR="001B531C" w:rsidRPr="00945FA0">
              <w:rPr>
                <w:rFonts w:ascii="Times New Roman" w:hAnsi="Times New Roman"/>
                <w:sz w:val="24"/>
                <w:szCs w:val="24"/>
              </w:rPr>
              <w:t xml:space="preserve">Latvijas </w:t>
            </w:r>
            <w:r w:rsidR="006F7159" w:rsidRPr="00945FA0">
              <w:rPr>
                <w:rFonts w:ascii="Times New Roman" w:hAnsi="Times New Roman"/>
                <w:sz w:val="24"/>
                <w:szCs w:val="24"/>
              </w:rPr>
              <w:t>Zinātnes padomei</w:t>
            </w:r>
            <w:r w:rsidR="00522703" w:rsidRPr="00945FA0">
              <w:rPr>
                <w:rFonts w:ascii="Times New Roman" w:hAnsi="Times New Roman"/>
                <w:sz w:val="24"/>
                <w:szCs w:val="24"/>
              </w:rPr>
              <w:t>.</w:t>
            </w:r>
          </w:p>
          <w:p w14:paraId="1A6A91DA" w14:textId="39A31041" w:rsidR="00B85939" w:rsidRPr="00945FA0" w:rsidRDefault="00B85939" w:rsidP="00257FE4">
            <w:pPr>
              <w:pStyle w:val="ListParagraph"/>
              <w:spacing w:after="0" w:line="240" w:lineRule="auto"/>
              <w:ind w:left="0"/>
              <w:contextualSpacing w:val="0"/>
              <w:jc w:val="both"/>
              <w:rPr>
                <w:rFonts w:ascii="Times New Roman" w:hAnsi="Times New Roman"/>
                <w:sz w:val="24"/>
                <w:szCs w:val="24"/>
              </w:rPr>
            </w:pPr>
            <w:r w:rsidRPr="00945FA0">
              <w:rPr>
                <w:rFonts w:ascii="Times New Roman" w:hAnsi="Times New Roman"/>
                <w:sz w:val="24"/>
                <w:szCs w:val="24"/>
              </w:rPr>
              <w:t>Baltijas Pētniecības programmas projektu līgumos</w:t>
            </w:r>
            <w:r w:rsidR="002D3664" w:rsidRPr="00945FA0">
              <w:rPr>
                <w:rFonts w:ascii="Times New Roman" w:hAnsi="Times New Roman"/>
                <w:sz w:val="24"/>
                <w:szCs w:val="24"/>
              </w:rPr>
              <w:t>, kas</w:t>
            </w:r>
            <w:r w:rsidRPr="00945FA0">
              <w:rPr>
                <w:rFonts w:ascii="Times New Roman" w:hAnsi="Times New Roman"/>
                <w:sz w:val="24"/>
                <w:szCs w:val="24"/>
              </w:rPr>
              <w:t xml:space="preserve"> būs noslēgti pirms 2022.</w:t>
            </w:r>
            <w:r w:rsidR="00714CF1" w:rsidRPr="00945FA0">
              <w:rPr>
                <w:rFonts w:ascii="Times New Roman" w:hAnsi="Times New Roman"/>
                <w:sz w:val="24"/>
                <w:szCs w:val="24"/>
              </w:rPr>
              <w:t> </w:t>
            </w:r>
            <w:r w:rsidRPr="00945FA0">
              <w:rPr>
                <w:rFonts w:ascii="Times New Roman" w:hAnsi="Times New Roman"/>
                <w:sz w:val="24"/>
                <w:szCs w:val="24"/>
              </w:rPr>
              <w:t>gada 1.</w:t>
            </w:r>
            <w:r w:rsidR="00714CF1" w:rsidRPr="00945FA0">
              <w:rPr>
                <w:rFonts w:ascii="Times New Roman" w:hAnsi="Times New Roman"/>
                <w:sz w:val="24"/>
                <w:szCs w:val="24"/>
              </w:rPr>
              <w:t> </w:t>
            </w:r>
            <w:r w:rsidRPr="00945FA0">
              <w:rPr>
                <w:rFonts w:ascii="Times New Roman" w:hAnsi="Times New Roman"/>
                <w:sz w:val="24"/>
                <w:szCs w:val="24"/>
              </w:rPr>
              <w:t>janvāra, tiks veikti grozījumi</w:t>
            </w:r>
            <w:r w:rsidR="005844C2" w:rsidRPr="00945FA0">
              <w:rPr>
                <w:rFonts w:ascii="Times New Roman" w:hAnsi="Times New Roman"/>
                <w:sz w:val="24"/>
                <w:szCs w:val="24"/>
              </w:rPr>
              <w:t>, mainot līgumslēdzēja pusi no Valsts izglītības attīstības aģentūras uz Latvijas Zinātnes padomi</w:t>
            </w:r>
            <w:r w:rsidR="001C08EE" w:rsidRPr="00945FA0">
              <w:rPr>
                <w:rFonts w:ascii="Times New Roman" w:hAnsi="Times New Roman"/>
                <w:sz w:val="24"/>
                <w:szCs w:val="24"/>
              </w:rPr>
              <w:t>, nemainot pārējos līguma nosacījumus</w:t>
            </w:r>
            <w:r w:rsidR="005844C2" w:rsidRPr="00945FA0">
              <w:rPr>
                <w:rFonts w:ascii="Times New Roman" w:hAnsi="Times New Roman"/>
                <w:sz w:val="24"/>
                <w:szCs w:val="24"/>
              </w:rPr>
              <w:t>.</w:t>
            </w:r>
          </w:p>
          <w:p w14:paraId="39C8023D" w14:textId="060E3CB9" w:rsidR="005844C2" w:rsidRPr="00945FA0" w:rsidRDefault="005844C2" w:rsidP="00257FE4">
            <w:pPr>
              <w:pStyle w:val="ListParagraph"/>
              <w:spacing w:after="0" w:line="240" w:lineRule="auto"/>
              <w:ind w:left="0"/>
              <w:contextualSpacing w:val="0"/>
              <w:jc w:val="both"/>
              <w:rPr>
                <w:rFonts w:ascii="Times New Roman" w:hAnsi="Times New Roman"/>
                <w:sz w:val="24"/>
                <w:szCs w:val="24"/>
              </w:rPr>
            </w:pPr>
            <w:r w:rsidRPr="00945FA0">
              <w:rPr>
                <w:rFonts w:ascii="Times New Roman" w:hAnsi="Times New Roman"/>
                <w:sz w:val="24"/>
                <w:szCs w:val="24"/>
              </w:rPr>
              <w:t>Programmas aktivitātes “Stipendijas” projektu līgumos grozījumi nebūs nepieciešami, jo Valsts izglītības attīstības aģentūra pild</w:t>
            </w:r>
            <w:r w:rsidR="002D3664" w:rsidRPr="00945FA0">
              <w:rPr>
                <w:rFonts w:ascii="Times New Roman" w:hAnsi="Times New Roman"/>
                <w:sz w:val="24"/>
                <w:szCs w:val="24"/>
              </w:rPr>
              <w:t>īs</w:t>
            </w:r>
            <w:r w:rsidRPr="00945FA0">
              <w:rPr>
                <w:rFonts w:ascii="Times New Roman" w:hAnsi="Times New Roman"/>
                <w:sz w:val="24"/>
                <w:szCs w:val="24"/>
              </w:rPr>
              <w:t xml:space="preserve"> aģentūras funkcijas attiecībā uz šo aktivitāti</w:t>
            </w:r>
            <w:r w:rsidR="002D3664" w:rsidRPr="00945FA0">
              <w:rPr>
                <w:rFonts w:ascii="Times New Roman" w:hAnsi="Times New Roman"/>
                <w:sz w:val="24"/>
                <w:szCs w:val="24"/>
              </w:rPr>
              <w:t xml:space="preserve"> līdz Programmas beigām.</w:t>
            </w:r>
          </w:p>
          <w:p w14:paraId="16FED469" w14:textId="77777777" w:rsidR="00C96A9F" w:rsidRPr="00945FA0" w:rsidRDefault="00C96A9F" w:rsidP="00257FE4">
            <w:pPr>
              <w:jc w:val="both"/>
            </w:pPr>
          </w:p>
          <w:p w14:paraId="116B0493" w14:textId="34593AF9" w:rsidR="006C21A1" w:rsidRPr="00945FA0" w:rsidRDefault="00C96A9F" w:rsidP="00257FE4">
            <w:pPr>
              <w:jc w:val="both"/>
            </w:pPr>
            <w:r w:rsidRPr="00945FA0">
              <w:t>Noteikum</w:t>
            </w:r>
            <w:r w:rsidR="00F874A1" w:rsidRPr="00945FA0">
              <w:t>u</w:t>
            </w:r>
            <w:r w:rsidRPr="00945FA0">
              <w:t xml:space="preserve"> </w:t>
            </w:r>
            <w:r w:rsidR="006C21A1" w:rsidRPr="00945FA0">
              <w:t>projekta 2</w:t>
            </w:r>
            <w:r w:rsidRPr="00945FA0">
              <w:t>.</w:t>
            </w:r>
            <w:r w:rsidR="00D44227" w:rsidRPr="00945FA0">
              <w:t> punkts</w:t>
            </w:r>
            <w:r w:rsidR="00F35354" w:rsidRPr="00945FA0">
              <w:t xml:space="preserve"> paredz finansējuma pārdali no</w:t>
            </w:r>
            <w:r w:rsidR="00B346C1" w:rsidRPr="00945FA0">
              <w:t xml:space="preserve"> Programmas aktivitātes “Stipendijas” uz</w:t>
            </w:r>
            <w:r w:rsidR="00F35354" w:rsidRPr="00945FA0">
              <w:t xml:space="preserve"> Baltijas pētniecības programm</w:t>
            </w:r>
            <w:r w:rsidR="00B32C2A" w:rsidRPr="00945FA0">
              <w:t>u</w:t>
            </w:r>
            <w:r w:rsidR="00F35354" w:rsidRPr="00945FA0">
              <w:t>, kur</w:t>
            </w:r>
            <w:r w:rsidR="00B32C2A" w:rsidRPr="00945FA0">
              <w:t>as</w:t>
            </w:r>
            <w:r w:rsidR="007C374C" w:rsidRPr="00945FA0">
              <w:t xml:space="preserve"> atklātā</w:t>
            </w:r>
            <w:r w:rsidR="00F35354" w:rsidRPr="00945FA0">
              <w:t xml:space="preserve"> konkursā</w:t>
            </w:r>
            <w:r w:rsidR="00602911" w:rsidRPr="00945FA0">
              <w:t xml:space="preserve"> (konkursa izsludināšanas datums: 2020. gada 19. augusts, projektu pieteikumu iesniegšanas datums: 2020. gada 19. oktobris)</w:t>
            </w:r>
            <w:r w:rsidR="00F35354" w:rsidRPr="00945FA0">
              <w:t xml:space="preserve"> </w:t>
            </w:r>
            <w:r w:rsidR="00B32C2A" w:rsidRPr="00945FA0">
              <w:t xml:space="preserve">iesniegto </w:t>
            </w:r>
            <w:r w:rsidR="00F35354" w:rsidRPr="00945FA0">
              <w:t xml:space="preserve">projektu iesniegumu skaits un </w:t>
            </w:r>
            <w:r w:rsidR="00655A6D" w:rsidRPr="00945FA0">
              <w:t xml:space="preserve">finansējuma </w:t>
            </w:r>
            <w:r w:rsidR="00F35354" w:rsidRPr="00945FA0">
              <w:t>kopsumma, salīdzinot ar aktivitāti “Stipendijas”</w:t>
            </w:r>
            <w:r w:rsidR="00B32C2A" w:rsidRPr="00945FA0">
              <w:t>,</w:t>
            </w:r>
            <w:r w:rsidR="00F35354" w:rsidRPr="00945FA0">
              <w:t xml:space="preserve"> bija daudzreiz augstāk</w:t>
            </w:r>
            <w:r w:rsidR="00B32C2A" w:rsidRPr="00945FA0">
              <w:t>a</w:t>
            </w:r>
            <w:r w:rsidR="00F35354" w:rsidRPr="00945FA0">
              <w:t xml:space="preserve"> (saņemts 81 projekta pieteikums ar iesniegto projektu </w:t>
            </w:r>
            <w:r w:rsidR="00655A6D" w:rsidRPr="00945FA0">
              <w:t xml:space="preserve">finansējuma </w:t>
            </w:r>
            <w:r w:rsidR="00F35354" w:rsidRPr="00945FA0">
              <w:t>kopsumm</w:t>
            </w:r>
            <w:r w:rsidR="00363AD6" w:rsidRPr="00945FA0">
              <w:t>u 75 954 705 </w:t>
            </w:r>
            <w:r w:rsidR="009F36D3" w:rsidRPr="00945FA0">
              <w:rPr>
                <w:i/>
              </w:rPr>
              <w:t>euro</w:t>
            </w:r>
            <w:r w:rsidR="00F35354" w:rsidRPr="00945FA0">
              <w:t xml:space="preserve"> apmērā</w:t>
            </w:r>
            <w:r w:rsidR="00B32C2A" w:rsidRPr="00945FA0">
              <w:t xml:space="preserve"> pie pieejamā finansējuma 7 541 272 </w:t>
            </w:r>
            <w:r w:rsidR="00B32C2A" w:rsidRPr="00945FA0">
              <w:rPr>
                <w:i/>
              </w:rPr>
              <w:t>euro</w:t>
            </w:r>
            <w:r w:rsidR="00FD62CF" w:rsidRPr="00945FA0">
              <w:t>, turpretī aktivitātes</w:t>
            </w:r>
            <w:r w:rsidR="00F35354" w:rsidRPr="00945FA0">
              <w:t xml:space="preserve"> “Stipendijas” </w:t>
            </w:r>
            <w:r w:rsidR="00FD62CF" w:rsidRPr="00945FA0">
              <w:t xml:space="preserve">atklātā konkursā </w:t>
            </w:r>
            <w:r w:rsidR="00602911" w:rsidRPr="00945FA0">
              <w:t xml:space="preserve">(konkursa izsludināšanas datums: 2021. gada 10. februāris, projektu pieteikumu iesniegšanas datums: 2021. gada 12. aprīlis) </w:t>
            </w:r>
            <w:r w:rsidR="00F35354" w:rsidRPr="00945FA0">
              <w:t xml:space="preserve">saņemti </w:t>
            </w:r>
            <w:r w:rsidR="00B32C2A" w:rsidRPr="00945FA0">
              <w:t xml:space="preserve">tikai </w:t>
            </w:r>
            <w:r w:rsidR="00F35354" w:rsidRPr="00945FA0">
              <w:t xml:space="preserve">pieci projekta </w:t>
            </w:r>
            <w:r w:rsidR="007C374C" w:rsidRPr="00945FA0">
              <w:t>iesniegumi</w:t>
            </w:r>
            <w:r w:rsidR="00F35354" w:rsidRPr="00945FA0">
              <w:t xml:space="preserve"> ar iesniegto projektu</w:t>
            </w:r>
            <w:r w:rsidR="00FD62CF" w:rsidRPr="00945FA0">
              <w:t xml:space="preserve"> finansējuma</w:t>
            </w:r>
            <w:r w:rsidR="00F35354" w:rsidRPr="00945FA0">
              <w:t xml:space="preserve"> kopsummu 296</w:t>
            </w:r>
            <w:r w:rsidR="00363AD6" w:rsidRPr="00945FA0">
              <w:t> 225 </w:t>
            </w:r>
            <w:r w:rsidR="009F36D3" w:rsidRPr="00945FA0">
              <w:rPr>
                <w:i/>
              </w:rPr>
              <w:t>euro</w:t>
            </w:r>
            <w:r w:rsidR="00F35354" w:rsidRPr="00945FA0">
              <w:t xml:space="preserve"> apmērā</w:t>
            </w:r>
            <w:r w:rsidR="00B32C2A" w:rsidRPr="00945FA0">
              <w:t xml:space="preserve"> pie pieejamā finansējuma 1 582 866 </w:t>
            </w:r>
            <w:r w:rsidR="00B32C2A" w:rsidRPr="00945FA0">
              <w:rPr>
                <w:i/>
              </w:rPr>
              <w:t>euro</w:t>
            </w:r>
            <w:r w:rsidR="00F35354" w:rsidRPr="00945FA0">
              <w:t>)</w:t>
            </w:r>
            <w:r w:rsidR="001D17F0" w:rsidRPr="00945FA0">
              <w:t xml:space="preserve">. </w:t>
            </w:r>
            <w:r w:rsidR="000C5A6F" w:rsidRPr="00945FA0">
              <w:t>V</w:t>
            </w:r>
            <w:r w:rsidR="00B6490A" w:rsidRPr="00945FA0">
              <w:t>iens no ierobežojošiem aktivitātes “Stipendijas” faktoriem ir Covid-19 infekcijas uzliesmojumi, kas rezultē</w:t>
            </w:r>
            <w:r w:rsidR="000C5A6F" w:rsidRPr="00945FA0">
              <w:t>juš</w:t>
            </w:r>
            <w:r w:rsidR="00B6490A" w:rsidRPr="00945FA0">
              <w:t xml:space="preserve">ies </w:t>
            </w:r>
            <w:r w:rsidR="000C5A6F" w:rsidRPr="00945FA0">
              <w:t>globālā</w:t>
            </w:r>
            <w:r w:rsidR="006F22BF" w:rsidRPr="00945FA0">
              <w:t xml:space="preserve"> pandēmijā, </w:t>
            </w:r>
            <w:r w:rsidR="000F7DFA" w:rsidRPr="00945FA0">
              <w:t xml:space="preserve">būtiski </w:t>
            </w:r>
            <w:r w:rsidR="006F22BF" w:rsidRPr="00945FA0">
              <w:t>ierobežojot</w:t>
            </w:r>
            <w:r w:rsidR="00B6490A" w:rsidRPr="00945FA0">
              <w:t xml:space="preserve"> mobilitātes iespējas studējošaj</w:t>
            </w:r>
            <w:r w:rsidR="006F22BF" w:rsidRPr="00945FA0">
              <w:t>iem</w:t>
            </w:r>
            <w:r w:rsidR="00944AA3" w:rsidRPr="00945FA0">
              <w:t>,</w:t>
            </w:r>
            <w:r w:rsidR="006F22BF" w:rsidRPr="00945FA0">
              <w:t xml:space="preserve">  akadēmiskajam </w:t>
            </w:r>
            <w:r w:rsidR="00944AA3" w:rsidRPr="00945FA0">
              <w:t xml:space="preserve">un administratīvajam </w:t>
            </w:r>
            <w:r w:rsidR="006F22BF" w:rsidRPr="00945FA0">
              <w:t>personālam</w:t>
            </w:r>
            <w:r w:rsidR="00487851" w:rsidRPr="00945FA0">
              <w:t>, mazinot potenciālo</w:t>
            </w:r>
            <w:r w:rsidR="000C5A6F" w:rsidRPr="00945FA0">
              <w:t xml:space="preserve"> projekta iesnieguma iesniedzē</w:t>
            </w:r>
            <w:r w:rsidR="00EC3DEA" w:rsidRPr="00945FA0">
              <w:t>ju</w:t>
            </w:r>
            <w:r w:rsidR="00487851" w:rsidRPr="00945FA0">
              <w:t xml:space="preserve"> </w:t>
            </w:r>
            <w:r w:rsidR="009F0D8F" w:rsidRPr="00945FA0">
              <w:t>–</w:t>
            </w:r>
            <w:r w:rsidR="00B32C2A" w:rsidRPr="00945FA0">
              <w:t xml:space="preserve"> </w:t>
            </w:r>
            <w:r w:rsidR="005C7579" w:rsidRPr="00945FA0">
              <w:t xml:space="preserve">Latvijas </w:t>
            </w:r>
            <w:r w:rsidR="00487851" w:rsidRPr="00945FA0">
              <w:t>augstskolu</w:t>
            </w:r>
            <w:r w:rsidR="00B32C2A" w:rsidRPr="00945FA0">
              <w:t xml:space="preserve">, un to partneru – Islandes, Lihtenšteinas </w:t>
            </w:r>
            <w:r w:rsidR="007E752E" w:rsidRPr="00945FA0">
              <w:t xml:space="preserve">Firstistes </w:t>
            </w:r>
            <w:r w:rsidR="00B32C2A" w:rsidRPr="00945FA0">
              <w:t xml:space="preserve">un Norvēģijas </w:t>
            </w:r>
            <w:r w:rsidR="007E752E" w:rsidRPr="00945FA0">
              <w:t xml:space="preserve">Karalistes </w:t>
            </w:r>
            <w:r w:rsidR="00B32C2A" w:rsidRPr="00945FA0">
              <w:t>augstskolu</w:t>
            </w:r>
            <w:r w:rsidR="00DC745A" w:rsidRPr="00945FA0">
              <w:t>,</w:t>
            </w:r>
            <w:r w:rsidR="000C5A6F" w:rsidRPr="00945FA0">
              <w:t xml:space="preserve"> atsaucību atklātam konkursam, kas paredz fizisku mobilitāti</w:t>
            </w:r>
            <w:r w:rsidR="00B212CB" w:rsidRPr="00945FA0">
              <w:t xml:space="preserve">. </w:t>
            </w:r>
            <w:r w:rsidR="00A93352" w:rsidRPr="00945FA0">
              <w:t>Līdz ar ko rodas risks neapgūt aktivitātes “Stipendijas” kopējo pieejamo finansējumu pilnā apmērā</w:t>
            </w:r>
            <w:r w:rsidR="00723FE7" w:rsidRPr="00945FA0">
              <w:t xml:space="preserve">, nesasniedzot daļu </w:t>
            </w:r>
            <w:r w:rsidR="007E752E" w:rsidRPr="00945FA0">
              <w:t>P</w:t>
            </w:r>
            <w:r w:rsidR="00723FE7" w:rsidRPr="00945FA0">
              <w:t xml:space="preserve">rogrammas </w:t>
            </w:r>
            <w:r w:rsidR="007E752E" w:rsidRPr="00945FA0">
              <w:t xml:space="preserve">sasniedzamo </w:t>
            </w:r>
            <w:r w:rsidR="00723FE7" w:rsidRPr="00945FA0">
              <w:t>iznākum</w:t>
            </w:r>
            <w:r w:rsidR="007E752E" w:rsidRPr="00945FA0">
              <w:t>u</w:t>
            </w:r>
            <w:r w:rsidR="00723FE7" w:rsidRPr="00945FA0">
              <w:t xml:space="preserve"> un rezultātu rādītājus</w:t>
            </w:r>
            <w:r w:rsidR="00A93352" w:rsidRPr="00945FA0">
              <w:t xml:space="preserve">. </w:t>
            </w:r>
            <w:r w:rsidR="008F57E5" w:rsidRPr="00945FA0">
              <w:t xml:space="preserve">Lai nodrošinātu Programmas mērķu un </w:t>
            </w:r>
            <w:r w:rsidR="00CF2FDD" w:rsidRPr="00945FA0">
              <w:t>rezultātu sasniegšanu,</w:t>
            </w:r>
            <w:r w:rsidR="003D79F1" w:rsidRPr="00945FA0">
              <w:t xml:space="preserve"> </w:t>
            </w:r>
            <w:r w:rsidR="00B212CB" w:rsidRPr="00945FA0">
              <w:t>M</w:t>
            </w:r>
            <w:r w:rsidR="003D79F1" w:rsidRPr="00945FA0">
              <w:t xml:space="preserve">inistrija rosina aktivitātes “Stipendijas” </w:t>
            </w:r>
            <w:r w:rsidR="00A93352" w:rsidRPr="00945FA0">
              <w:t>kopējā</w:t>
            </w:r>
            <w:r w:rsidR="003D79F1" w:rsidRPr="00945FA0">
              <w:t xml:space="preserve"> </w:t>
            </w:r>
            <w:r w:rsidR="00A93352" w:rsidRPr="00945FA0">
              <w:t xml:space="preserve">pieejamā </w:t>
            </w:r>
            <w:r w:rsidR="003D79F1" w:rsidRPr="00945FA0">
              <w:t>finansējuma</w:t>
            </w:r>
            <w:r w:rsidR="00A93352" w:rsidRPr="00945FA0">
              <w:t xml:space="preserve"> </w:t>
            </w:r>
            <w:r w:rsidR="003D79F1" w:rsidRPr="00945FA0">
              <w:t xml:space="preserve">– 1 582 866 </w:t>
            </w:r>
            <w:r w:rsidR="009F36D3" w:rsidRPr="00945FA0">
              <w:rPr>
                <w:i/>
              </w:rPr>
              <w:t>euro</w:t>
            </w:r>
            <w:r w:rsidR="00A93352" w:rsidRPr="00945FA0">
              <w:rPr>
                <w:i/>
              </w:rPr>
              <w:t xml:space="preserve"> –</w:t>
            </w:r>
            <w:r w:rsidR="003D79F1" w:rsidRPr="00945FA0">
              <w:t xml:space="preserve"> pārdali 1 000 000 </w:t>
            </w:r>
            <w:r w:rsidR="009F36D3" w:rsidRPr="00945FA0">
              <w:rPr>
                <w:i/>
              </w:rPr>
              <w:t>euro</w:t>
            </w:r>
            <w:r w:rsidR="003D79F1" w:rsidRPr="00945FA0">
              <w:t xml:space="preserve"> apmērā uz Baltijas pētniecības programm</w:t>
            </w:r>
            <w:r w:rsidR="00DC745A" w:rsidRPr="00945FA0">
              <w:t>u</w:t>
            </w:r>
            <w:r w:rsidR="00A93352" w:rsidRPr="00945FA0">
              <w:t>,</w:t>
            </w:r>
            <w:r w:rsidR="00024C26" w:rsidRPr="00945FA0">
              <w:t xml:space="preserve"> </w:t>
            </w:r>
            <w:r w:rsidR="00A93352" w:rsidRPr="00945FA0">
              <w:t>kā</w:t>
            </w:r>
            <w:r w:rsidR="003D79F1" w:rsidRPr="00945FA0">
              <w:t xml:space="preserve"> rezultātā </w:t>
            </w:r>
            <w:r w:rsidR="007E752E" w:rsidRPr="00945FA0">
              <w:t>Baltijas pētniecības programmas</w:t>
            </w:r>
            <w:r w:rsidR="003D79F1" w:rsidRPr="00945FA0">
              <w:t xml:space="preserve"> kopējais </w:t>
            </w:r>
            <w:r w:rsidR="007E752E" w:rsidRPr="00945FA0">
              <w:t xml:space="preserve">pieejamais </w:t>
            </w:r>
            <w:r w:rsidR="003D79F1" w:rsidRPr="00945FA0">
              <w:t xml:space="preserve">finansējums pieaugs no 7 541 272 </w:t>
            </w:r>
            <w:r w:rsidR="009F36D3" w:rsidRPr="00945FA0">
              <w:rPr>
                <w:i/>
              </w:rPr>
              <w:t>euro</w:t>
            </w:r>
            <w:r w:rsidR="003D79F1" w:rsidRPr="00945FA0">
              <w:t xml:space="preserve"> uz 8 541 272</w:t>
            </w:r>
            <w:r w:rsidR="003D79F1" w:rsidRPr="00945FA0">
              <w:rPr>
                <w:i/>
              </w:rPr>
              <w:t xml:space="preserve"> </w:t>
            </w:r>
            <w:r w:rsidR="009F36D3" w:rsidRPr="00945FA0">
              <w:rPr>
                <w:i/>
              </w:rPr>
              <w:t>euro</w:t>
            </w:r>
            <w:r w:rsidR="003D79F1" w:rsidRPr="00945FA0">
              <w:t>.</w:t>
            </w:r>
            <w:r w:rsidR="00647EAC" w:rsidRPr="00945FA0">
              <w:t xml:space="preserve"> P</w:t>
            </w:r>
            <w:r w:rsidR="007E752E" w:rsidRPr="00945FA0">
              <w:t>aredzēts, ka p</w:t>
            </w:r>
            <w:r w:rsidR="00FC2AE7" w:rsidRPr="00945FA0">
              <w:t>apildus iegūto</w:t>
            </w:r>
            <w:r w:rsidR="00887BB3" w:rsidRPr="00945FA0">
              <w:t xml:space="preserve"> finansējumu </w:t>
            </w:r>
            <w:r w:rsidR="007E752E" w:rsidRPr="00945FA0">
              <w:t>P</w:t>
            </w:r>
            <w:r w:rsidR="00887BB3" w:rsidRPr="00945FA0">
              <w:t xml:space="preserve">rogrammas komiteja </w:t>
            </w:r>
            <w:r w:rsidR="00FC2AE7" w:rsidRPr="00945FA0">
              <w:t xml:space="preserve">piešķir </w:t>
            </w:r>
            <w:r w:rsidR="00647EAC" w:rsidRPr="00945FA0">
              <w:t xml:space="preserve">Baltijas </w:t>
            </w:r>
            <w:r w:rsidR="00F874A1" w:rsidRPr="00945FA0">
              <w:t>p</w:t>
            </w:r>
            <w:r w:rsidR="00647EAC" w:rsidRPr="00945FA0">
              <w:t>ētniecības programmas konkursa</w:t>
            </w:r>
            <w:r w:rsidR="00704177" w:rsidRPr="00945FA0">
              <w:t xml:space="preserve"> (konkur</w:t>
            </w:r>
            <w:r w:rsidR="00D90502" w:rsidRPr="00945FA0">
              <w:t>sa izsludināšanas datums: 2020. gada 19. </w:t>
            </w:r>
            <w:r w:rsidR="00704177" w:rsidRPr="00945FA0">
              <w:t xml:space="preserve">augusts, projektu </w:t>
            </w:r>
            <w:r w:rsidR="00704177" w:rsidRPr="00945FA0">
              <w:lastRenderedPageBreak/>
              <w:t xml:space="preserve">pieteikumu </w:t>
            </w:r>
            <w:r w:rsidR="00D90502" w:rsidRPr="00945FA0">
              <w:t>iesniegšanas datums: 2020. gada 19. </w:t>
            </w:r>
            <w:r w:rsidR="00704177" w:rsidRPr="00945FA0">
              <w:t>oktobris)</w:t>
            </w:r>
            <w:r w:rsidR="00647EAC" w:rsidRPr="00945FA0">
              <w:t xml:space="preserve"> rezerves saraksta projekta</w:t>
            </w:r>
            <w:r w:rsidR="00723FE7" w:rsidRPr="00945FA0">
              <w:t>,</w:t>
            </w:r>
            <w:r w:rsidR="00887BB3" w:rsidRPr="00945FA0">
              <w:t xml:space="preserve"> ar augstāko atklātā konkursa projektu iesniegumu vērtēšanā piešķirto kopējo punktu skaitu</w:t>
            </w:r>
            <w:r w:rsidR="00723FE7" w:rsidRPr="00945FA0">
              <w:t>,</w:t>
            </w:r>
            <w:r w:rsidR="00887BB3" w:rsidRPr="00945FA0">
              <w:t xml:space="preserve"> </w:t>
            </w:r>
            <w:r w:rsidR="00647EAC" w:rsidRPr="00945FA0">
              <w:t>īstenošanai.</w:t>
            </w:r>
            <w:r w:rsidR="00887BB3" w:rsidRPr="00945FA0">
              <w:t xml:space="preserve"> </w:t>
            </w:r>
          </w:p>
          <w:p w14:paraId="1630B716" w14:textId="495F5FE0" w:rsidR="00DF7DAD" w:rsidRPr="00945FA0" w:rsidRDefault="007E752E" w:rsidP="00257FE4">
            <w:pPr>
              <w:jc w:val="both"/>
            </w:pPr>
            <w:r w:rsidRPr="00945FA0">
              <w:t>Minētā f</w:t>
            </w:r>
            <w:r w:rsidR="009F0D8F" w:rsidRPr="00945FA0">
              <w:t>inansējuma pārdale ar elektroniskā pasta starpniecību</w:t>
            </w:r>
            <w:r w:rsidR="00C05AE4" w:rsidRPr="00945FA0">
              <w:t xml:space="preserve"> 2021.</w:t>
            </w:r>
            <w:r w:rsidR="009F0D8F" w:rsidRPr="00945FA0">
              <w:t> </w:t>
            </w:r>
            <w:r w:rsidR="00C05AE4" w:rsidRPr="00945FA0">
              <w:t>gada 22.</w:t>
            </w:r>
            <w:r w:rsidR="009F0D8F" w:rsidRPr="00945FA0">
              <w:t> </w:t>
            </w:r>
            <w:r w:rsidR="00C05AE4" w:rsidRPr="00945FA0">
              <w:t>aprīlī saskaņota ar Finanšu instrument</w:t>
            </w:r>
            <w:r w:rsidRPr="00945FA0">
              <w:t>a</w:t>
            </w:r>
            <w:r w:rsidR="00C05AE4" w:rsidRPr="00945FA0">
              <w:t xml:space="preserve"> biroju,</w:t>
            </w:r>
            <w:r w:rsidR="008E6824" w:rsidRPr="00945FA0">
              <w:t xml:space="preserve"> </w:t>
            </w:r>
            <w:r w:rsidR="00832670" w:rsidRPr="00945FA0">
              <w:t>2021.</w:t>
            </w:r>
            <w:r w:rsidR="00E9330E" w:rsidRPr="00945FA0">
              <w:t> </w:t>
            </w:r>
            <w:r w:rsidR="00832670" w:rsidRPr="00945FA0">
              <w:t xml:space="preserve">gada 23.aprīlī </w:t>
            </w:r>
            <w:r w:rsidR="008E6824" w:rsidRPr="00945FA0">
              <w:t>ar programmas donorvalsts partneri</w:t>
            </w:r>
            <w:r w:rsidR="00832670" w:rsidRPr="00945FA0">
              <w:t xml:space="preserve"> – Norvēģijas pētniecības padomi un 2021.</w:t>
            </w:r>
            <w:r w:rsidR="00D90502" w:rsidRPr="00945FA0">
              <w:t> </w:t>
            </w:r>
            <w:r w:rsidR="00832670" w:rsidRPr="00945FA0">
              <w:t>gada 19.</w:t>
            </w:r>
            <w:r w:rsidR="00D90502" w:rsidRPr="00945FA0">
              <w:t> </w:t>
            </w:r>
            <w:r w:rsidR="00832670" w:rsidRPr="00945FA0">
              <w:t xml:space="preserve">maijā – ar </w:t>
            </w:r>
            <w:r w:rsidR="00E20304" w:rsidRPr="00945FA0">
              <w:t>P</w:t>
            </w:r>
            <w:r w:rsidR="00832670" w:rsidRPr="00945FA0">
              <w:t>rogrammas komiteju un sadarbības komiteju.</w:t>
            </w:r>
            <w:r w:rsidR="00E9330E" w:rsidRPr="00945FA0">
              <w:t xml:space="preserve"> </w:t>
            </w:r>
            <w:r w:rsidR="00832670" w:rsidRPr="00945FA0">
              <w:t>V</w:t>
            </w:r>
            <w:r w:rsidR="008E6824" w:rsidRPr="00945FA0">
              <w:t>ienlaikus</w:t>
            </w:r>
            <w:r w:rsidR="00C05AE4" w:rsidRPr="00945FA0">
              <w:t xml:space="preserve"> </w:t>
            </w:r>
            <w:r w:rsidR="002D585A" w:rsidRPr="00945FA0">
              <w:t xml:space="preserve">ir sagatavoti priekšlikumi </w:t>
            </w:r>
            <w:r w:rsidR="00C05AE4" w:rsidRPr="00945FA0">
              <w:t>Programmas līguma grozījum</w:t>
            </w:r>
            <w:r w:rsidR="002D585A" w:rsidRPr="00945FA0">
              <w:t>iem</w:t>
            </w:r>
            <w:r w:rsidR="00C05AE4" w:rsidRPr="00945FA0">
              <w:t>.</w:t>
            </w:r>
          </w:p>
          <w:p w14:paraId="220E8090" w14:textId="0BD7C804" w:rsidR="00C05AE4" w:rsidRPr="00945FA0" w:rsidRDefault="008F57E5" w:rsidP="00257FE4">
            <w:pPr>
              <w:jc w:val="both"/>
            </w:pPr>
            <w:r w:rsidRPr="00945FA0">
              <w:t xml:space="preserve">Precizējumi </w:t>
            </w:r>
            <w:r w:rsidR="00DF7DAD" w:rsidRPr="00945FA0">
              <w:t xml:space="preserve">Latvijas Republikas un </w:t>
            </w:r>
            <w:r w:rsidR="009C2BF5" w:rsidRPr="00945FA0">
              <w:t>Ī</w:t>
            </w:r>
            <w:r w:rsidR="001E40EB" w:rsidRPr="00945FA0">
              <w:t>slandes</w:t>
            </w:r>
            <w:r w:rsidR="00DF7DAD" w:rsidRPr="00945FA0">
              <w:t>, Lihtenšteinas Firstistes un Norvēģijas Karalistes saprašanās memorand</w:t>
            </w:r>
            <w:r w:rsidR="00C84765" w:rsidRPr="00945FA0">
              <w:t>a</w:t>
            </w:r>
            <w:r w:rsidR="00DF7DAD" w:rsidRPr="00945FA0">
              <w:t xml:space="preserve"> par Eiropas Ekonomikas zonas finanšu instrumenta ieviešanu 2014.</w:t>
            </w:r>
            <w:r w:rsidR="0060795A" w:rsidRPr="00945FA0">
              <w:t>–2021. </w:t>
            </w:r>
            <w:r w:rsidR="00DF7DAD" w:rsidRPr="00945FA0">
              <w:t>gadā</w:t>
            </w:r>
            <w:r w:rsidR="00C84765" w:rsidRPr="00945FA0">
              <w:t xml:space="preserve"> B</w:t>
            </w:r>
            <w:r w:rsidR="003E55B8" w:rsidRPr="00945FA0">
              <w:t xml:space="preserve"> </w:t>
            </w:r>
            <w:r w:rsidR="00C84765" w:rsidRPr="00945FA0">
              <w:t>pielikumā</w:t>
            </w:r>
            <w:r w:rsidR="00DF7DAD" w:rsidRPr="00945FA0">
              <w:t xml:space="preserve"> (pieņemts un apstiprināts ar </w:t>
            </w:r>
            <w:r w:rsidR="00DF7DAD" w:rsidRPr="00945FA0">
              <w:rPr>
                <w:bCs/>
              </w:rPr>
              <w:t xml:space="preserve">Ministru kabineta </w:t>
            </w:r>
            <w:r w:rsidR="0060795A" w:rsidRPr="00945FA0">
              <w:t>2017. gada 5. </w:t>
            </w:r>
            <w:r w:rsidR="00DF7DAD" w:rsidRPr="00945FA0">
              <w:t xml:space="preserve">decembra </w:t>
            </w:r>
            <w:r w:rsidR="0060795A" w:rsidRPr="00945FA0">
              <w:rPr>
                <w:bCs/>
              </w:rPr>
              <w:t>noteikumiem Nr. </w:t>
            </w:r>
            <w:r w:rsidR="00DF7DAD" w:rsidRPr="00945FA0">
              <w:rPr>
                <w:bCs/>
              </w:rPr>
              <w:t xml:space="preserve">712 </w:t>
            </w:r>
            <w:r w:rsidR="00DF7DAD" w:rsidRPr="00945FA0">
              <w:t xml:space="preserve">“Par Latvijas Republikas un </w:t>
            </w:r>
            <w:r w:rsidR="009C2BF5" w:rsidRPr="00945FA0">
              <w:t>Ī</w:t>
            </w:r>
            <w:r w:rsidR="001E40EB" w:rsidRPr="00945FA0">
              <w:t>slandes</w:t>
            </w:r>
            <w:r w:rsidR="00DF7DAD" w:rsidRPr="00945FA0">
              <w:t>, Lihtenšteinas Firstistes un Norvēģijas Karalistes saprašanās memorand</w:t>
            </w:r>
            <w:r w:rsidR="009C2BF5" w:rsidRPr="00945FA0">
              <w:t>u</w:t>
            </w:r>
            <w:r w:rsidR="00DF7DAD" w:rsidRPr="00945FA0">
              <w:t xml:space="preserve"> par Eiropas Ekonomikas zonas instrumenta ieviešanu 2014.</w:t>
            </w:r>
            <w:r w:rsidR="0060795A" w:rsidRPr="00945FA0">
              <w:t>–2021. </w:t>
            </w:r>
            <w:r w:rsidR="00DF7DAD" w:rsidRPr="00945FA0">
              <w:t xml:space="preserve">gadā”) </w:t>
            </w:r>
            <w:r w:rsidRPr="00945FA0">
              <w:t>tiks veikti, Finanšu ministrijai un Finanšu instrument</w:t>
            </w:r>
            <w:r w:rsidR="009C2BF5" w:rsidRPr="00945FA0">
              <w:t>a</w:t>
            </w:r>
            <w:r w:rsidRPr="00945FA0">
              <w:t xml:space="preserve"> birojam apmainoties ar oficiālām vēstulēm.</w:t>
            </w:r>
          </w:p>
          <w:p w14:paraId="4A06180A" w14:textId="77777777" w:rsidR="006C21A1" w:rsidRPr="00945FA0" w:rsidRDefault="006C21A1" w:rsidP="00257FE4">
            <w:pPr>
              <w:jc w:val="both"/>
            </w:pPr>
          </w:p>
          <w:p w14:paraId="5CC8E994" w14:textId="491C5E43" w:rsidR="00945FA0" w:rsidRPr="00945FA0" w:rsidRDefault="006C21A1" w:rsidP="00945FA0">
            <w:pPr>
              <w:jc w:val="both"/>
            </w:pPr>
            <w:r w:rsidRPr="00945FA0">
              <w:t>Noteikumu projekta</w:t>
            </w:r>
            <w:r w:rsidR="00A0483F" w:rsidRPr="00945FA0">
              <w:t xml:space="preserve"> </w:t>
            </w:r>
            <w:r w:rsidR="00F31379" w:rsidRPr="00945FA0">
              <w:t>3</w:t>
            </w:r>
            <w:r w:rsidR="001F3D9E" w:rsidRPr="00945FA0">
              <w:t>. punkts paredz procedūru</w:t>
            </w:r>
            <w:r w:rsidR="005D0744">
              <w:t xml:space="preserve"> gadījumā,</w:t>
            </w:r>
            <w:r w:rsidR="001F3D9E" w:rsidRPr="00945FA0">
              <w:t xml:space="preserve"> </w:t>
            </w:r>
            <w:r w:rsidR="00945FA0" w:rsidRPr="00945FA0">
              <w:t>kad 1 milj.</w:t>
            </w:r>
            <w:r w:rsidR="001F3D9E" w:rsidRPr="00945FA0">
              <w:t xml:space="preserve"> eiro liels finansējums</w:t>
            </w:r>
            <w:r w:rsidR="003C4DAD">
              <w:t xml:space="preserve"> (noteikumu</w:t>
            </w:r>
            <w:r w:rsidR="00945FA0" w:rsidRPr="00945FA0">
              <w:t xml:space="preserve"> projekta 2.</w:t>
            </w:r>
            <w:r w:rsidR="005D0744">
              <w:t> </w:t>
            </w:r>
            <w:r w:rsidR="00945FA0" w:rsidRPr="00945FA0">
              <w:t>punkts)</w:t>
            </w:r>
            <w:r w:rsidR="001F3D9E" w:rsidRPr="00945FA0">
              <w:t xml:space="preserve"> ir pārdalīts no Programmas aktivitātes “Stipendijas” uz Baltijas pētniecības programmu</w:t>
            </w:r>
            <w:r w:rsidR="00945FA0" w:rsidRPr="00945FA0">
              <w:t>.</w:t>
            </w:r>
            <w:r w:rsidR="001F3D9E" w:rsidRPr="00945FA0">
              <w:t xml:space="preserve"> </w:t>
            </w:r>
            <w:r w:rsidR="005C4DE6">
              <w:t>Š</w:t>
            </w:r>
            <w:r w:rsidR="001F3D9E" w:rsidRPr="00945FA0">
              <w:rPr>
                <w:rFonts w:eastAsiaTheme="minorEastAsia"/>
              </w:rPr>
              <w:t>o finansējuma palielin</w:t>
            </w:r>
            <w:r w:rsidR="001972F7">
              <w:rPr>
                <w:rFonts w:eastAsiaTheme="minorEastAsia"/>
              </w:rPr>
              <w:t>ājumu</w:t>
            </w:r>
            <w:r w:rsidR="001F3D9E" w:rsidRPr="00945FA0">
              <w:rPr>
                <w:rFonts w:eastAsiaTheme="minorEastAsia"/>
              </w:rPr>
              <w:t xml:space="preserve"> piešķir Baltijas pētniecības programmas atklā</w:t>
            </w:r>
            <w:r w:rsidR="001972F7">
              <w:rPr>
                <w:rFonts w:eastAsiaTheme="minorEastAsia"/>
              </w:rPr>
              <w:t>tā projektu iesniegumu konkursa</w:t>
            </w:r>
            <w:r w:rsidR="001F3D9E" w:rsidRPr="00945FA0">
              <w:rPr>
                <w:rFonts w:eastAsiaTheme="minorEastAsia"/>
              </w:rPr>
              <w:t xml:space="preserve"> projekta iesnieguma iesniedzējam, kura projekta iesniegums ir iekļauts projektu iesniegumu rezerves sarakstā</w:t>
            </w:r>
            <w:r w:rsidR="001972F7">
              <w:rPr>
                <w:rFonts w:eastAsiaTheme="minorEastAsia"/>
              </w:rPr>
              <w:t>.</w:t>
            </w:r>
            <w:r w:rsidR="00945FA0" w:rsidRPr="00945FA0">
              <w:t xml:space="preserve"> Skaidrojam, ka </w:t>
            </w:r>
            <w:hyperlink r:id="rId12" w:history="1">
              <w:r w:rsidR="00945FA0" w:rsidRPr="00945FA0">
                <w:rPr>
                  <w:color w:val="0000FF"/>
                  <w:u w:val="single"/>
                </w:rPr>
                <w:t>Baltijas pētniecības programmas konkursa nolikuma</w:t>
              </w:r>
            </w:hyperlink>
            <w:r w:rsidR="00945FA0" w:rsidRPr="00945FA0">
              <w:rPr>
                <w:color w:val="1F497D"/>
              </w:rPr>
              <w:t xml:space="preserve"> </w:t>
            </w:r>
            <w:r w:rsidR="00945FA0" w:rsidRPr="00945FA0">
              <w:t>(turpmāk – nolikums) 46.</w:t>
            </w:r>
            <w:r w:rsidR="003C4DAD">
              <w:t> </w:t>
            </w:r>
            <w:r w:rsidR="00945FA0" w:rsidRPr="00945FA0">
              <w:t xml:space="preserve">punkts (“Ja projekta iesniegums ir noraidāms finansējuma nepietiekamības dēļ, aģentūra to iekļauj rezerves sarakstā”) norāda, ka apstiprinātie projektu iesniegumi ir tikai tie projekti, kuriem pietika programmas aktivitātē “Baltijas pētniecības programma” pieejamais finansējums, bet rezerves sarakstā ir iekļauti kvalitatīvi projektu iesniegumi, kurus </w:t>
            </w:r>
            <w:r w:rsidR="003C4DAD">
              <w:t>varētu īstenot, ja būtu papildu</w:t>
            </w:r>
            <w:r w:rsidR="00945FA0" w:rsidRPr="00945FA0">
              <w:t xml:space="preserve"> finansējums. Esošajā situācijā, kad pēc programmas līgumu grozījumu apstiprināšanas Baltijas pētniecība</w:t>
            </w:r>
            <w:r w:rsidR="003C4DAD">
              <w:t>s programmā ir pieejams papildu</w:t>
            </w:r>
            <w:r w:rsidR="00945FA0" w:rsidRPr="00945FA0">
              <w:t xml:space="preserve"> 1 milj. eiro finansējums, tad atbilstoši nolikumam tas piešķirams rezerves projekta īstenošanai.</w:t>
            </w:r>
          </w:p>
          <w:p w14:paraId="73DEF8DD" w14:textId="77777777" w:rsidR="00254CF2" w:rsidRDefault="00254CF2" w:rsidP="00945FA0">
            <w:pPr>
              <w:jc w:val="both"/>
            </w:pPr>
          </w:p>
          <w:p w14:paraId="32620F90" w14:textId="60591292" w:rsidR="001F3D9E" w:rsidRPr="00945FA0" w:rsidRDefault="00945FA0" w:rsidP="00945FA0">
            <w:pPr>
              <w:jc w:val="both"/>
            </w:pPr>
            <w:r w:rsidRPr="00945FA0">
              <w:t>Veids, kā tiek izvēlēts projekta iesniegums no rezerves saraksta, noteikts nolikuma 47.</w:t>
            </w:r>
            <w:r w:rsidR="003C4DAD">
              <w:t> </w:t>
            </w:r>
            <w:r w:rsidRPr="00945FA0">
              <w:t>punktā, kurā norādīts, ka gadījumā, ja finansējums kļūst pieejams, “programmas komiteja no rezerves saraksta izvēlas to projekta iesniegumu, kurš ir ieguvis lielāko punktu skaitu un izvirza priekšlikumu par tā apstiprināšanu”.</w:t>
            </w:r>
          </w:p>
          <w:p w14:paraId="371EF0AB" w14:textId="77777777" w:rsidR="001F3D9E" w:rsidRPr="00945FA0" w:rsidRDefault="001F3D9E" w:rsidP="00257FE4">
            <w:pPr>
              <w:jc w:val="both"/>
            </w:pPr>
          </w:p>
          <w:p w14:paraId="73C4A42C" w14:textId="452B7535" w:rsidR="001509E5" w:rsidRPr="00945FA0" w:rsidRDefault="00B0713C" w:rsidP="00257FE4">
            <w:pPr>
              <w:jc w:val="both"/>
            </w:pPr>
            <w:r w:rsidRPr="00945FA0">
              <w:rPr>
                <w:rFonts w:eastAsiaTheme="minorHAnsi"/>
                <w:lang w:eastAsia="en-US"/>
              </w:rPr>
              <w:t xml:space="preserve">Programmas komitejas funkcijas un uzdevumi ir noteikti </w:t>
            </w:r>
            <w:r w:rsidRPr="00945FA0">
              <w:rPr>
                <w:rFonts w:eastAsiaTheme="minorHAnsi"/>
                <w:color w:val="0000FF"/>
                <w:u w:val="single"/>
                <w:lang w:eastAsia="en-US"/>
              </w:rPr>
              <w:t>Pētniecības programmu vadlīniju</w:t>
            </w:r>
            <w:r w:rsidRPr="00945FA0">
              <w:rPr>
                <w:rFonts w:eastAsiaTheme="minorHAnsi"/>
                <w:lang w:eastAsia="en-US"/>
              </w:rPr>
              <w:t xml:space="preserve"> (Pētniecības programmu izveidošanas un ieviešanas noteikumi Eiropas Ekonomiskās zonas finanšu instrumenta un Norvēģijas finanšu instrumenta 2014.–2021. gadam</w:t>
            </w:r>
            <w:r w:rsidR="003C4DAD">
              <w:rPr>
                <w:rFonts w:eastAsiaTheme="minorHAnsi"/>
                <w:lang w:eastAsia="en-US"/>
              </w:rPr>
              <w:t>) ietvaros</w:t>
            </w:r>
            <w:r w:rsidRPr="00945FA0">
              <w:rPr>
                <w:rFonts w:eastAsiaTheme="minorHAnsi"/>
                <w:lang w:eastAsia="en-US"/>
              </w:rPr>
              <w:t xml:space="preserve"> IV. sadaļā, kas atbilstoši Saprašanās memorandam ir obligātas pētniecības programmu izveidē un ieviešanā. Šajās vadlīnijās, cita starpā, kā viens no programmas komitejas uzdevumiem ir minēta rekomendāciju sniegšana programmas apsaimniekotājam, kuram </w:t>
            </w:r>
            <w:r w:rsidRPr="00945FA0">
              <w:rPr>
                <w:rFonts w:eastAsiaTheme="minorHAnsi"/>
                <w:lang w:eastAsia="en-US"/>
              </w:rPr>
              <w:lastRenderedPageBreak/>
              <w:t>projekta iesniegumam ir piešķirams finansējums, līdz ar to programmas komitejai šāds pilnvarojums dots jau Saprašanās memorandā.</w:t>
            </w:r>
          </w:p>
          <w:p w14:paraId="59DB1B54" w14:textId="77777777" w:rsidR="001509E5" w:rsidRPr="00945FA0" w:rsidRDefault="001509E5" w:rsidP="00257FE4">
            <w:pPr>
              <w:jc w:val="both"/>
            </w:pPr>
          </w:p>
          <w:p w14:paraId="45B43C5C" w14:textId="39B31C72" w:rsidR="001509E5" w:rsidRPr="00945FA0" w:rsidRDefault="00CE1524" w:rsidP="00257FE4">
            <w:pPr>
              <w:jc w:val="both"/>
            </w:pPr>
            <w:r w:rsidRPr="00945FA0">
              <w:t>Noteikumu projekta</w:t>
            </w:r>
            <w:r w:rsidR="00DF42FA" w:rsidRPr="00945FA0">
              <w:t xml:space="preserve"> </w:t>
            </w:r>
            <w:r w:rsidR="00DF42FA" w:rsidRPr="00945FA0">
              <w:rPr>
                <w:rFonts w:eastAsiaTheme="minorEastAsia"/>
              </w:rPr>
              <w:t>4. punkts paredz papildināt Noteikumus Nr.</w:t>
            </w:r>
            <w:r w:rsidR="00F31AE5" w:rsidRPr="00945FA0">
              <w:rPr>
                <w:rFonts w:eastAsiaTheme="minorEastAsia"/>
              </w:rPr>
              <w:t> </w:t>
            </w:r>
            <w:r w:rsidR="00DF42FA" w:rsidRPr="00945FA0">
              <w:rPr>
                <w:rFonts w:eastAsiaTheme="minorEastAsia"/>
              </w:rPr>
              <w:t>333 ar 16.</w:t>
            </w:r>
            <w:r w:rsidR="00DF42FA" w:rsidRPr="00945FA0">
              <w:rPr>
                <w:rFonts w:eastAsiaTheme="minorEastAsia"/>
                <w:vertAlign w:val="superscript"/>
              </w:rPr>
              <w:t>1</w:t>
            </w:r>
            <w:r w:rsidR="00F31AE5" w:rsidRPr="00945FA0">
              <w:rPr>
                <w:rFonts w:eastAsiaTheme="minorEastAsia"/>
              </w:rPr>
              <w:t> </w:t>
            </w:r>
            <w:r w:rsidR="00DF42FA" w:rsidRPr="00945FA0">
              <w:rPr>
                <w:rFonts w:eastAsiaTheme="minorEastAsia"/>
              </w:rPr>
              <w:t>punktu, nosakot pienākumus aģentūrai un līdzfinansējuma</w:t>
            </w:r>
            <w:r w:rsidR="00C329A3">
              <w:rPr>
                <w:rFonts w:eastAsiaTheme="minorEastAsia"/>
              </w:rPr>
              <w:t xml:space="preserve"> saņēmējam</w:t>
            </w:r>
            <w:r w:rsidR="00DF42FA" w:rsidRPr="00945FA0">
              <w:rPr>
                <w:rFonts w:eastAsiaTheme="minorEastAsia"/>
              </w:rPr>
              <w:t>, ja projektā tiek konstatēts</w:t>
            </w:r>
            <w:r w:rsidR="00DF42FA" w:rsidRPr="00945FA0">
              <w:t xml:space="preserve"> nelikumīgs komercdarbības atbalsts.</w:t>
            </w:r>
          </w:p>
          <w:p w14:paraId="1E3736AB" w14:textId="3BA41F02" w:rsidR="00A9287C" w:rsidRPr="00945FA0" w:rsidRDefault="00A9287C" w:rsidP="00947437">
            <w:pPr>
              <w:ind w:left="34"/>
              <w:contextualSpacing/>
              <w:jc w:val="both"/>
              <w:rPr>
                <w:rFonts w:eastAsia="Calibri"/>
                <w:lang w:eastAsia="en-US"/>
              </w:rPr>
            </w:pPr>
          </w:p>
          <w:p w14:paraId="6E8A8731" w14:textId="70CE518A" w:rsidR="00947437" w:rsidRDefault="00635745" w:rsidP="00947437">
            <w:pPr>
              <w:spacing w:before="60" w:after="60"/>
              <w:jc w:val="both"/>
              <w:rPr>
                <w:rFonts w:eastAsiaTheme="minorEastAsia"/>
              </w:rPr>
            </w:pPr>
            <w:r w:rsidRPr="0050420E">
              <w:rPr>
                <w:rFonts w:eastAsiaTheme="minorEastAsia"/>
              </w:rPr>
              <w:t xml:space="preserve">Nelikumīgu komercdarbības atbalstu aģentūra atgūst saskaņā ar Komercdarbības atbalsta kontroles likumā noteikto kārtību. </w:t>
            </w:r>
            <w:r w:rsidR="00947437" w:rsidRPr="00945FA0">
              <w:rPr>
                <w:rFonts w:eastAsiaTheme="minorEastAsia"/>
              </w:rPr>
              <w:t>Noteikumu Nr. 333 16.</w:t>
            </w:r>
            <w:r w:rsidR="00947437" w:rsidRPr="0050420E">
              <w:rPr>
                <w:rFonts w:eastAsiaTheme="minorEastAsia"/>
              </w:rPr>
              <w:t>1</w:t>
            </w:r>
            <w:r w:rsidR="00947437" w:rsidRPr="00945FA0">
              <w:rPr>
                <w:rFonts w:eastAsiaTheme="minorEastAsia"/>
              </w:rPr>
              <w:t> punkts nodrošina, ka</w:t>
            </w:r>
            <w:r w:rsidR="00947437" w:rsidRPr="0050420E">
              <w:rPr>
                <w:rFonts w:eastAsiaTheme="minorEastAsia"/>
              </w:rPr>
              <w:t xml:space="preserve"> </w:t>
            </w:r>
            <w:r w:rsidRPr="0050420E">
              <w:rPr>
                <w:rFonts w:eastAsiaTheme="minorEastAsia"/>
              </w:rPr>
              <w:t xml:space="preserve">līdzfinansējuma saņēmējs </w:t>
            </w:r>
            <w:r w:rsidR="00947437" w:rsidRPr="0050420E">
              <w:rPr>
                <w:rFonts w:eastAsiaTheme="minorEastAsia"/>
              </w:rPr>
              <w:t>gūs</w:t>
            </w:r>
            <w:r w:rsidR="00943134" w:rsidRPr="0050420E">
              <w:rPr>
                <w:rFonts w:eastAsiaTheme="minorEastAsia"/>
              </w:rPr>
              <w:t>t</w:t>
            </w:r>
            <w:r w:rsidR="00947437" w:rsidRPr="0050420E">
              <w:rPr>
                <w:rFonts w:eastAsiaTheme="minorEastAsia"/>
              </w:rPr>
              <w:t xml:space="preserve"> nepārprotamu priekšstatu par sankcijām, kas tiks tam piemērotas, ja pienākumi attiecībā komercdar</w:t>
            </w:r>
            <w:r w:rsidR="0050420E" w:rsidRPr="0050420E">
              <w:rPr>
                <w:rFonts w:eastAsiaTheme="minorEastAsia"/>
              </w:rPr>
              <w:t>bības atbalstu netiks ievēroti.</w:t>
            </w:r>
          </w:p>
          <w:p w14:paraId="4AB75B33" w14:textId="77777777" w:rsidR="0050420E" w:rsidRPr="0050420E" w:rsidRDefault="0050420E" w:rsidP="00947437">
            <w:pPr>
              <w:spacing w:before="60" w:after="60"/>
              <w:jc w:val="both"/>
              <w:rPr>
                <w:rFonts w:eastAsiaTheme="minorEastAsia"/>
              </w:rPr>
            </w:pPr>
          </w:p>
          <w:p w14:paraId="09BE18FE" w14:textId="68692C33" w:rsidR="00635745" w:rsidRPr="00945FA0" w:rsidRDefault="00635745" w:rsidP="0050420E">
            <w:pPr>
              <w:jc w:val="both"/>
              <w:rPr>
                <w:rFonts w:eastAsiaTheme="minorHAnsi"/>
                <w:iCs/>
                <w:lang w:val="en-US" w:eastAsia="en-US"/>
              </w:rPr>
            </w:pPr>
            <w:r w:rsidRPr="0050420E">
              <w:rPr>
                <w:rFonts w:eastAsiaTheme="minorEastAsia"/>
              </w:rPr>
              <w:t>Termins “nelikumīgs komercdarbības atbalsts” ir attiecināms arī tad, ja netiek izpildīts Noteikumu Nr.333 16.</w:t>
            </w:r>
            <w:r w:rsidR="00055277" w:rsidRPr="0050420E">
              <w:rPr>
                <w:rFonts w:eastAsiaTheme="minorEastAsia"/>
              </w:rPr>
              <w:t> punkts par</w:t>
            </w:r>
            <w:r w:rsidRPr="0050420E">
              <w:rPr>
                <w:rFonts w:eastAsiaTheme="minorEastAsia"/>
              </w:rPr>
              <w:t xml:space="preserve"> saimnieciskas darbības nesaistīta projekta īstenošanu, jo minētais termins nosaka, ka par nelikumīgu komercdarbības atbalstu uzskata arī nepamatoti izlietotu komercdarbības atbalstu, tas ir, tādu komercdarbības atbalstu, kuru tā saņēmējs izmanto, pārkāpjot tā tiesību akta nosacījumus, ar kuru komercdarbības atbalsta saņēmējam</w:t>
            </w:r>
            <w:r w:rsidR="0050420E">
              <w:rPr>
                <w:rFonts w:eastAsiaTheme="minorEastAsia"/>
              </w:rPr>
              <w:t>,</w:t>
            </w:r>
            <w:r w:rsidRPr="0050420E">
              <w:rPr>
                <w:rFonts w:eastAsiaTheme="minorEastAsia"/>
              </w:rPr>
              <w:t xml:space="preserve"> saskaņā ar tiesību aktos noteikto</w:t>
            </w:r>
            <w:r w:rsidR="0050420E">
              <w:rPr>
                <w:rFonts w:eastAsiaTheme="minorEastAsia"/>
              </w:rPr>
              <w:t>,</w:t>
            </w:r>
            <w:r w:rsidRPr="0050420E">
              <w:rPr>
                <w:rFonts w:eastAsiaTheme="minorEastAsia"/>
              </w:rPr>
              <w:t xml:space="preserve"> tika piešķirtas tiesības saņemt komercdarbības</w:t>
            </w:r>
            <w:r w:rsidRPr="00945FA0">
              <w:rPr>
                <w:rFonts w:eastAsiaTheme="minorHAnsi"/>
                <w:iCs/>
                <w:shd w:val="clear" w:color="auto" w:fill="FFFFFF"/>
                <w:lang w:eastAsia="en-US"/>
              </w:rPr>
              <w:t xml:space="preserve"> atbalstu, vai pārkāpjot tāda Eiropas Komisijas lēmuma nosacījumus, kurš pieņemts atbilstoši Padomes regulas Nr. </w:t>
            </w:r>
            <w:hyperlink r:id="rId13" w:tgtFrame="_blank" w:history="1">
              <w:r w:rsidRPr="00945FA0">
                <w:rPr>
                  <w:rFonts w:eastAsiaTheme="minorHAnsi"/>
                  <w:iCs/>
                  <w:u w:val="single"/>
                  <w:shd w:val="clear" w:color="auto" w:fill="FFFFFF"/>
                  <w:lang w:eastAsia="en-US"/>
                </w:rPr>
                <w:t>2015/1589</w:t>
              </w:r>
            </w:hyperlink>
            <w:r w:rsidR="00055277" w:rsidRPr="00945FA0">
              <w:rPr>
                <w:rFonts w:eastAsiaTheme="minorHAnsi"/>
                <w:iCs/>
                <w:shd w:val="clear" w:color="auto" w:fill="FFFFFF"/>
                <w:lang w:eastAsia="en-US"/>
              </w:rPr>
              <w:t> 4. panta 2. un 3. </w:t>
            </w:r>
            <w:r w:rsidRPr="00945FA0">
              <w:rPr>
                <w:rFonts w:eastAsiaTheme="minorHAnsi"/>
                <w:iCs/>
                <w:shd w:val="clear" w:color="auto" w:fill="FFFFFF"/>
                <w:lang w:eastAsia="en-US"/>
              </w:rPr>
              <w:t>punktam vai 9</w:t>
            </w:r>
            <w:r w:rsidR="00055277" w:rsidRPr="00945FA0">
              <w:rPr>
                <w:rFonts w:eastAsiaTheme="minorHAnsi"/>
                <w:iCs/>
                <w:shd w:val="clear" w:color="auto" w:fill="FFFFFF"/>
                <w:lang w:eastAsia="en-US"/>
              </w:rPr>
              <w:t>. panta 2., 3. vai 4. </w:t>
            </w:r>
            <w:r w:rsidRPr="00945FA0">
              <w:rPr>
                <w:rFonts w:eastAsiaTheme="minorHAnsi"/>
                <w:iCs/>
                <w:shd w:val="clear" w:color="auto" w:fill="FFFFFF"/>
                <w:lang w:eastAsia="en-US"/>
              </w:rPr>
              <w:t>punktam.</w:t>
            </w:r>
          </w:p>
          <w:p w14:paraId="66D4D8FC" w14:textId="77777777" w:rsidR="00635745" w:rsidRPr="00945FA0" w:rsidRDefault="00635745" w:rsidP="00257FE4">
            <w:pPr>
              <w:jc w:val="both"/>
            </w:pPr>
          </w:p>
          <w:p w14:paraId="3005C514" w14:textId="191CF398" w:rsidR="005325C4" w:rsidRPr="00945FA0" w:rsidRDefault="00272E44" w:rsidP="00257FE4">
            <w:pPr>
              <w:jc w:val="both"/>
            </w:pPr>
            <w:r w:rsidRPr="00945FA0">
              <w:t xml:space="preserve">Pielāgojoties Covid-19 </w:t>
            </w:r>
            <w:r w:rsidR="00053646" w:rsidRPr="00945FA0">
              <w:t xml:space="preserve">infekcijas </w:t>
            </w:r>
            <w:r w:rsidRPr="00945FA0">
              <w:t xml:space="preserve">izraisītās globālās pandēmijas radītajām sekām, kas būtiski ierobežo fizisku </w:t>
            </w:r>
            <w:r w:rsidR="0099354C" w:rsidRPr="00945FA0">
              <w:t xml:space="preserve">starptautisko </w:t>
            </w:r>
            <w:r w:rsidRPr="00945FA0">
              <w:t xml:space="preserve">mobilitāti, noteikumu projekta </w:t>
            </w:r>
            <w:r w:rsidR="000E0800" w:rsidRPr="00945FA0">
              <w:t>5</w:t>
            </w:r>
            <w:r w:rsidRPr="00945FA0">
              <w:t>.</w:t>
            </w:r>
            <w:r w:rsidR="0099354C" w:rsidRPr="00945FA0">
              <w:t> </w:t>
            </w:r>
            <w:r w:rsidRPr="00945FA0">
              <w:t>punkts paredz vēl bez iepriekš noteiktās trīs līdz 11 mēnešu ilgās mobilitātes arī saīsināto mobilitāti: studējošajiem</w:t>
            </w:r>
            <w:r w:rsidR="00701C44" w:rsidRPr="00945FA0">
              <w:t xml:space="preserve"> </w:t>
            </w:r>
            <w:r w:rsidR="00583687" w:rsidRPr="00945FA0">
              <w:t>–</w:t>
            </w:r>
            <w:r w:rsidR="00701C44" w:rsidRPr="00945FA0">
              <w:t xml:space="preserve"> </w:t>
            </w:r>
            <w:r w:rsidRPr="00945FA0">
              <w:t>piec</w:t>
            </w:r>
            <w:r w:rsidR="00701C44" w:rsidRPr="00945FA0">
              <w:t>as</w:t>
            </w:r>
            <w:r w:rsidRPr="00945FA0">
              <w:t xml:space="preserve"> dar</w:t>
            </w:r>
            <w:r w:rsidR="00CE5FD3" w:rsidRPr="00945FA0">
              <w:t>b</w:t>
            </w:r>
            <w:r w:rsidRPr="00945FA0">
              <w:t>dien</w:t>
            </w:r>
            <w:r w:rsidR="00701C44" w:rsidRPr="00945FA0">
              <w:t>as</w:t>
            </w:r>
            <w:r w:rsidR="00053646" w:rsidRPr="00945FA0">
              <w:t>,</w:t>
            </w:r>
            <w:r w:rsidRPr="00945FA0">
              <w:t xml:space="preserve"> un akadēmiskajam vai administratīvajam personālam</w:t>
            </w:r>
            <w:r w:rsidR="00714CF1" w:rsidRPr="00945FA0">
              <w:t xml:space="preserve"> – </w:t>
            </w:r>
            <w:r w:rsidRPr="00945FA0">
              <w:t>div</w:t>
            </w:r>
            <w:r w:rsidR="00701C44" w:rsidRPr="00945FA0">
              <w:t>as</w:t>
            </w:r>
            <w:r w:rsidR="00CE5FD3" w:rsidRPr="00945FA0">
              <w:t xml:space="preserve"> darb</w:t>
            </w:r>
            <w:r w:rsidRPr="00945FA0">
              <w:t>dien</w:t>
            </w:r>
            <w:r w:rsidR="00701C44" w:rsidRPr="00945FA0">
              <w:t>as</w:t>
            </w:r>
            <w:r w:rsidRPr="00945FA0">
              <w:t xml:space="preserve">. </w:t>
            </w:r>
            <w:r w:rsidR="00F50548" w:rsidRPr="00945FA0">
              <w:t>Vienlaikus</w:t>
            </w:r>
            <w:r w:rsidRPr="00945FA0">
              <w:t xml:space="preserve"> </w:t>
            </w:r>
            <w:r w:rsidR="00C62D86" w:rsidRPr="00945FA0">
              <w:t>noteikumu projektā</w:t>
            </w:r>
            <w:r w:rsidR="00053646" w:rsidRPr="00945FA0">
              <w:t xml:space="preserve"> </w:t>
            </w:r>
            <w:r w:rsidR="00C62D86" w:rsidRPr="00945FA0">
              <w:t>ietverts</w:t>
            </w:r>
            <w:r w:rsidR="00053646" w:rsidRPr="00945FA0">
              <w:t xml:space="preserve"> tiesisk</w:t>
            </w:r>
            <w:r w:rsidR="00C62D86" w:rsidRPr="00945FA0">
              <w:t>ais</w:t>
            </w:r>
            <w:r w:rsidR="00053646" w:rsidRPr="00945FA0">
              <w:t xml:space="preserve"> regulējumu par </w:t>
            </w:r>
            <w:r w:rsidRPr="00945FA0">
              <w:t>tiešsaistes mobilitāt</w:t>
            </w:r>
            <w:r w:rsidR="00053646" w:rsidRPr="00945FA0">
              <w:t>i</w:t>
            </w:r>
            <w:r w:rsidRPr="00945FA0">
              <w:t>, nosakot tās minimālo ilgumu: studējošajiem 20 stund</w:t>
            </w:r>
            <w:r w:rsidR="00053646" w:rsidRPr="00945FA0">
              <w:t>as</w:t>
            </w:r>
            <w:r w:rsidRPr="00945FA0">
              <w:t xml:space="preserve">, savukārt akadēmiskajam vai administratīvajam personālam </w:t>
            </w:r>
            <w:r w:rsidR="00C62D86" w:rsidRPr="00945FA0">
              <w:t xml:space="preserve">– </w:t>
            </w:r>
            <w:r w:rsidR="0057525B" w:rsidRPr="00945FA0">
              <w:t>8 </w:t>
            </w:r>
            <w:r w:rsidRPr="00945FA0">
              <w:t xml:space="preserve">stundas. Noteikumu projekta </w:t>
            </w:r>
            <w:r w:rsidR="00C62D86" w:rsidRPr="00945FA0">
              <w:t>5</w:t>
            </w:r>
            <w:r w:rsidR="00723FE7" w:rsidRPr="00945FA0">
              <w:t>.</w:t>
            </w:r>
            <w:r w:rsidR="00BE1F39" w:rsidRPr="00945FA0">
              <w:t> </w:t>
            </w:r>
            <w:r w:rsidR="00723FE7" w:rsidRPr="00945FA0">
              <w:t xml:space="preserve">punkts </w:t>
            </w:r>
            <w:r w:rsidRPr="00945FA0">
              <w:t>izstrādāt</w:t>
            </w:r>
            <w:r w:rsidR="00723FE7" w:rsidRPr="00945FA0">
              <w:t>s</w:t>
            </w:r>
            <w:r w:rsidRPr="00945FA0">
              <w:t xml:space="preserve"> saskaņā ar Finanšu </w:t>
            </w:r>
            <w:r w:rsidR="00F874A1" w:rsidRPr="00945FA0">
              <w:t>i</w:t>
            </w:r>
            <w:r w:rsidRPr="00945FA0">
              <w:t>nstrumenta biroja 2020.</w:t>
            </w:r>
            <w:r w:rsidR="0099354C" w:rsidRPr="00945FA0">
              <w:t> </w:t>
            </w:r>
            <w:r w:rsidRPr="00945FA0">
              <w:t>gada 6.</w:t>
            </w:r>
            <w:r w:rsidR="0099354C" w:rsidRPr="00945FA0">
              <w:t> </w:t>
            </w:r>
            <w:r w:rsidRPr="00945FA0">
              <w:t>oktobrī veiktajām izmaiņām Pamatrādītāju vadlīnijās</w:t>
            </w:r>
            <w:r w:rsidR="005325C4" w:rsidRPr="00945FA0">
              <w:t>,</w:t>
            </w:r>
            <w:r w:rsidR="00701C44" w:rsidRPr="00945FA0">
              <w:t xml:space="preserve"> kuras papildinātas ar tiešsaistes un saīsināto mobilitāti.</w:t>
            </w:r>
          </w:p>
          <w:p w14:paraId="3A43D387" w14:textId="72DF9C55" w:rsidR="005325C4" w:rsidRPr="00945FA0" w:rsidRDefault="00701C44" w:rsidP="00257FE4">
            <w:pPr>
              <w:jc w:val="both"/>
            </w:pPr>
            <w:r w:rsidRPr="00945FA0">
              <w:t xml:space="preserve">Saīsinātā mobilitāte </w:t>
            </w:r>
            <w:r w:rsidR="00CE5FD3" w:rsidRPr="00945FA0">
              <w:t>(piecas darb</w:t>
            </w:r>
            <w:r w:rsidR="008D0B0B" w:rsidRPr="00945FA0">
              <w:t xml:space="preserve">dienas) </w:t>
            </w:r>
            <w:r w:rsidR="00491EA7" w:rsidRPr="00945FA0">
              <w:t xml:space="preserve">Programmā </w:t>
            </w:r>
            <w:r w:rsidRPr="00945FA0">
              <w:t>ieviesta</w:t>
            </w:r>
            <w:r w:rsidR="00714CF1" w:rsidRPr="00945FA0">
              <w:t>, jo</w:t>
            </w:r>
            <w:r w:rsidR="0050420E">
              <w:t xml:space="preserve"> Covid</w:t>
            </w:r>
            <w:r w:rsidRPr="00945FA0">
              <w:t xml:space="preserve">-19 pandēmijas apstākļos </w:t>
            </w:r>
            <w:r w:rsidR="00714CF1" w:rsidRPr="00945FA0">
              <w:t>nav iespējams paredzēt</w:t>
            </w:r>
            <w:r w:rsidRPr="00945FA0">
              <w:t xml:space="preserve"> saslimušo skaitu konkrētā valstī ilgākā periodā un </w:t>
            </w:r>
            <w:r w:rsidR="008D0B0B" w:rsidRPr="00945FA0">
              <w:t xml:space="preserve">ar to </w:t>
            </w:r>
            <w:r w:rsidR="00714CF1" w:rsidRPr="00945FA0">
              <w:t>saistītos</w:t>
            </w:r>
            <w:r w:rsidR="008D0B0B" w:rsidRPr="00945FA0">
              <w:t xml:space="preserve"> </w:t>
            </w:r>
            <w:r w:rsidRPr="00945FA0">
              <w:t xml:space="preserve">valstu ieviestos ceļošanas un mācību ierobežojumus. </w:t>
            </w:r>
            <w:r w:rsidR="00714CF1" w:rsidRPr="00945FA0">
              <w:t xml:space="preserve">Nosakot piecu </w:t>
            </w:r>
            <w:r w:rsidR="00245C6F" w:rsidRPr="00945FA0">
              <w:t>darb</w:t>
            </w:r>
            <w:r w:rsidR="00714CF1" w:rsidRPr="00945FA0">
              <w:t xml:space="preserve">dienu saīsinātu mobilitātes periodu </w:t>
            </w:r>
            <w:r w:rsidRPr="00945FA0">
              <w:t>(piem., studējošo dalībai vasaras skolās)</w:t>
            </w:r>
            <w:r w:rsidR="00F653ED" w:rsidRPr="00945FA0">
              <w:t xml:space="preserve">, projekta iesnieguma iesniedzējiem </w:t>
            </w:r>
            <w:r w:rsidR="00714CF1" w:rsidRPr="00945FA0">
              <w:t>tiek nodrošināta</w:t>
            </w:r>
            <w:r w:rsidR="008D0B0B" w:rsidRPr="00945FA0">
              <w:t xml:space="preserve"> </w:t>
            </w:r>
            <w:r w:rsidR="005E55C2" w:rsidRPr="00945FA0">
              <w:t>lielāk</w:t>
            </w:r>
            <w:r w:rsidR="00714CF1" w:rsidRPr="00945FA0">
              <w:t>a</w:t>
            </w:r>
            <w:r w:rsidR="005E55C2" w:rsidRPr="00945FA0">
              <w:t xml:space="preserve"> </w:t>
            </w:r>
            <w:r w:rsidR="008D0B0B" w:rsidRPr="00945FA0">
              <w:t>elast</w:t>
            </w:r>
            <w:r w:rsidR="005E55C2" w:rsidRPr="00945FA0">
              <w:t>īb</w:t>
            </w:r>
            <w:r w:rsidR="00714CF1" w:rsidRPr="00945FA0">
              <w:t>a</w:t>
            </w:r>
            <w:r w:rsidR="005E55C2" w:rsidRPr="00945FA0">
              <w:t xml:space="preserve"> mobilitātes plānošanai.</w:t>
            </w:r>
          </w:p>
          <w:p w14:paraId="53F7752E" w14:textId="77777777" w:rsidR="0057525B" w:rsidRPr="00945FA0" w:rsidRDefault="0057525B" w:rsidP="00257FE4">
            <w:pPr>
              <w:jc w:val="both"/>
            </w:pPr>
          </w:p>
          <w:p w14:paraId="2A6FBC95" w14:textId="6E4F7DBD" w:rsidR="000F3082" w:rsidRPr="00945FA0" w:rsidRDefault="00723FE7" w:rsidP="00257FE4">
            <w:pPr>
              <w:jc w:val="both"/>
            </w:pPr>
            <w:r w:rsidRPr="00945FA0">
              <w:t xml:space="preserve">Noteikumu projekta </w:t>
            </w:r>
            <w:r w:rsidR="000E0800" w:rsidRPr="00945FA0">
              <w:t>6</w:t>
            </w:r>
            <w:r w:rsidRPr="00945FA0">
              <w:t>.</w:t>
            </w:r>
            <w:r w:rsidR="000E54B9" w:rsidRPr="00945FA0">
              <w:t> </w:t>
            </w:r>
            <w:r w:rsidRPr="00945FA0">
              <w:t>punkt</w:t>
            </w:r>
            <w:r w:rsidR="00053646" w:rsidRPr="00945FA0">
              <w:t>s</w:t>
            </w:r>
            <w:r w:rsidR="00DF4CE8" w:rsidRPr="00945FA0">
              <w:t xml:space="preserve"> </w:t>
            </w:r>
            <w:r w:rsidR="00053646" w:rsidRPr="00945FA0">
              <w:t>paredz</w:t>
            </w:r>
            <w:r w:rsidRPr="00945FA0">
              <w:t xml:space="preserve"> </w:t>
            </w:r>
            <w:r w:rsidR="00053646" w:rsidRPr="00945FA0">
              <w:t xml:space="preserve">precizēt regulējumu attiecībā uz </w:t>
            </w:r>
            <w:r w:rsidR="00DF4CE8" w:rsidRPr="00945FA0">
              <w:t>attiecinām</w:t>
            </w:r>
            <w:r w:rsidR="00053646" w:rsidRPr="00945FA0">
              <w:t>ajām</w:t>
            </w:r>
            <w:r w:rsidR="00DF4CE8" w:rsidRPr="00945FA0">
              <w:t xml:space="preserve"> vienas vienības standarta likm</w:t>
            </w:r>
            <w:r w:rsidR="00053646" w:rsidRPr="00945FA0">
              <w:t>ēm</w:t>
            </w:r>
            <w:r w:rsidR="00DF4CE8" w:rsidRPr="00945FA0">
              <w:t xml:space="preserve">. </w:t>
            </w:r>
            <w:r w:rsidR="00767953" w:rsidRPr="00945FA0">
              <w:t>S</w:t>
            </w:r>
            <w:r w:rsidR="00001C6B" w:rsidRPr="00945FA0">
              <w:t>aīsinā</w:t>
            </w:r>
            <w:r w:rsidR="00767953" w:rsidRPr="00945FA0">
              <w:t>tā mobilitāte ir</w:t>
            </w:r>
            <w:r w:rsidR="00714CF1" w:rsidRPr="00945FA0">
              <w:t xml:space="preserve"> piecu </w:t>
            </w:r>
            <w:r w:rsidR="00CE5FD3" w:rsidRPr="00945FA0">
              <w:t>darb</w:t>
            </w:r>
            <w:r w:rsidR="00714CF1" w:rsidRPr="00945FA0">
              <w:t>dienu</w:t>
            </w:r>
            <w:r w:rsidR="00767953" w:rsidRPr="00945FA0">
              <w:t xml:space="preserve"> </w:t>
            </w:r>
            <w:r w:rsidR="00D8536C" w:rsidRPr="00945FA0">
              <w:t>mācību</w:t>
            </w:r>
            <w:r w:rsidR="00767953" w:rsidRPr="00945FA0">
              <w:t xml:space="preserve"> mobilitāte</w:t>
            </w:r>
            <w:r w:rsidR="00D8536C" w:rsidRPr="00945FA0">
              <w:t xml:space="preserve"> augstākās izglītības jomā studējošajiem no Latvijas uz donorvalsti vai no donorvalsts uz Latviju</w:t>
            </w:r>
            <w:r w:rsidR="00001C6B" w:rsidRPr="00945FA0">
              <w:t>.</w:t>
            </w:r>
            <w:r w:rsidR="00767953" w:rsidRPr="00945FA0">
              <w:t xml:space="preserve"> </w:t>
            </w:r>
            <w:r w:rsidR="00272E44" w:rsidRPr="00945FA0">
              <w:lastRenderedPageBreak/>
              <w:t>Nosakot saīsināto mobilitāti, Ministrija ir aprēķinājusi piecu darb</w:t>
            </w:r>
            <w:r w:rsidR="002A114C" w:rsidRPr="00945FA0">
              <w:t>dienu</w:t>
            </w:r>
            <w:r w:rsidR="00272E44" w:rsidRPr="00945FA0">
              <w:rPr>
                <w:color w:val="FF0000"/>
              </w:rPr>
              <w:t xml:space="preserve"> </w:t>
            </w:r>
            <w:r w:rsidR="00272E44" w:rsidRPr="00945FA0">
              <w:t>uzturēšanās</w:t>
            </w:r>
            <w:r w:rsidR="003F34CE" w:rsidRPr="00945FA0">
              <w:t xml:space="preserve"> atbalsta summu</w:t>
            </w:r>
            <w:r w:rsidR="00272E44" w:rsidRPr="00945FA0">
              <w:t>, kas aprēķināta pēc līdzīga principa kā programmā “ERASMUS+”</w:t>
            </w:r>
            <w:r w:rsidR="00272E44" w:rsidRPr="00945FA0">
              <w:rPr>
                <w:rStyle w:val="FootnoteReference"/>
              </w:rPr>
              <w:footnoteReference w:id="3"/>
            </w:r>
            <w:r w:rsidR="00D56092" w:rsidRPr="00945FA0">
              <w:t>, lai nodrošinātu, ka Programmas ietvaros</w:t>
            </w:r>
            <w:r w:rsidR="00D14722" w:rsidRPr="00945FA0">
              <w:t xml:space="preserve"> īstenotās mācību</w:t>
            </w:r>
            <w:r w:rsidR="00D56092" w:rsidRPr="00945FA0">
              <w:t xml:space="preserve"> mobilitātes nosacījumi ir vismaz tikpat izdevīgi cik </w:t>
            </w:r>
            <w:r w:rsidR="00C62D86" w:rsidRPr="00945FA0">
              <w:t xml:space="preserve">programmā </w:t>
            </w:r>
            <w:r w:rsidR="00D56092" w:rsidRPr="00945FA0">
              <w:t>“ERSASMUS+”</w:t>
            </w:r>
            <w:r w:rsidR="00C62D86" w:rsidRPr="00945FA0">
              <w:t>, tādējādi veicinot studējošo iesaisti mobilitātes aktivitātēs (tostarp saīsinātā mobilitātē) starp donorvalsti un Latviju</w:t>
            </w:r>
            <w:r w:rsidR="003F34CE" w:rsidRPr="00945FA0">
              <w:t>.</w:t>
            </w:r>
            <w:r w:rsidR="00C62D86" w:rsidRPr="00945FA0">
              <w:t xml:space="preserve"> Mobilitātei, kas ilgst trīs līdz 11 mēnešus, noteiktā atbalsta summa no donorvalsts uz Latviju un no Latvijas uz donorvalsti atbilst</w:t>
            </w:r>
            <w:r w:rsidR="00D14722" w:rsidRPr="00945FA0">
              <w:t xml:space="preserve"> Eiropas Ekonomikas zonas finanšu instrumenta un Norvēģijas finanšu instrumenta 2014.–2021. gada periodam Izglītības programmu vadlīnijās</w:t>
            </w:r>
            <w:r w:rsidR="00D14722" w:rsidRPr="00945FA0">
              <w:rPr>
                <w:rStyle w:val="FootnoteReference"/>
              </w:rPr>
              <w:footnoteReference w:id="4"/>
            </w:r>
            <w:r w:rsidR="00C62D86" w:rsidRPr="00945FA0">
              <w:t xml:space="preserve"> </w:t>
            </w:r>
            <w:r w:rsidR="00D14722" w:rsidRPr="00945FA0">
              <w:t>noteiktajam.</w:t>
            </w:r>
            <w:r w:rsidR="003F34CE" w:rsidRPr="00945FA0">
              <w:t xml:space="preserve"> Īsākai mobilitātei tiek piemērots lielāks</w:t>
            </w:r>
            <w:r w:rsidR="00272E44" w:rsidRPr="00945FA0">
              <w:t xml:space="preserve"> vienas dienas </w:t>
            </w:r>
            <w:r w:rsidR="003F34CE" w:rsidRPr="00945FA0">
              <w:t xml:space="preserve">uzturēšanās </w:t>
            </w:r>
            <w:r w:rsidR="00272E44" w:rsidRPr="00945FA0">
              <w:t>atbalsta finansējum</w:t>
            </w:r>
            <w:r w:rsidR="00F50548" w:rsidRPr="00945FA0">
              <w:t>a</w:t>
            </w:r>
            <w:r w:rsidR="00272E44" w:rsidRPr="00945FA0">
              <w:t xml:space="preserve"> </w:t>
            </w:r>
            <w:r w:rsidR="00F50548" w:rsidRPr="00945FA0">
              <w:t xml:space="preserve">apmērs </w:t>
            </w:r>
            <w:r w:rsidR="00272E44" w:rsidRPr="00945FA0">
              <w:t>nekā gar</w:t>
            </w:r>
            <w:r w:rsidR="003F34CE" w:rsidRPr="00945FA0">
              <w:t xml:space="preserve">ākas mobilitātes gadījumos. </w:t>
            </w:r>
            <w:r w:rsidR="000F3082" w:rsidRPr="00945FA0">
              <w:t>A</w:t>
            </w:r>
            <w:r w:rsidR="00272E44" w:rsidRPr="00945FA0">
              <w:t>prēķins veikts</w:t>
            </w:r>
            <w:r w:rsidR="00926FC4" w:rsidRPr="00945FA0">
              <w:t>,</w:t>
            </w:r>
            <w:r w:rsidR="00272E44" w:rsidRPr="00945FA0">
              <w:t xml:space="preserve"> vadoties pēc šādiem principiem (</w:t>
            </w:r>
            <w:r w:rsidR="00F50548" w:rsidRPr="00945FA0">
              <w:t xml:space="preserve">mobilitātei </w:t>
            </w:r>
            <w:r w:rsidR="00272E44" w:rsidRPr="00945FA0">
              <w:t>no Latvijas uz donorvalsti</w:t>
            </w:r>
            <w:r w:rsidR="00F42289" w:rsidRPr="00945FA0">
              <w:t xml:space="preserve">) </w:t>
            </w:r>
            <w:r w:rsidR="00CE5FD3" w:rsidRPr="00945FA0">
              <w:t>–</w:t>
            </w:r>
            <w:r w:rsidR="00F42289" w:rsidRPr="00945FA0">
              <w:t xml:space="preserve"> </w:t>
            </w:r>
            <w:r w:rsidR="00351E3C" w:rsidRPr="00945FA0">
              <w:t>vienai dienai noteikta</w:t>
            </w:r>
            <w:r w:rsidR="000F3082" w:rsidRPr="00945FA0">
              <w:t xml:space="preserve"> individuālā uzturēšanās atbalsta summa 70 </w:t>
            </w:r>
            <w:r w:rsidR="000F3082" w:rsidRPr="00945FA0">
              <w:rPr>
                <w:i/>
              </w:rPr>
              <w:t>euro</w:t>
            </w:r>
            <w:r w:rsidR="000F3082" w:rsidRPr="00945FA0">
              <w:t xml:space="preserve"> </w:t>
            </w:r>
            <w:r w:rsidR="00351E3C" w:rsidRPr="00945FA0">
              <w:t>apmērā</w:t>
            </w:r>
            <w:r w:rsidR="00F42289" w:rsidRPr="00945FA0">
              <w:t>,</w:t>
            </w:r>
            <w:r w:rsidR="00351E3C" w:rsidRPr="00945FA0">
              <w:t xml:space="preserve"> </w:t>
            </w:r>
            <w:r w:rsidR="00F42289" w:rsidRPr="00945FA0">
              <w:t>atbilstoši</w:t>
            </w:r>
            <w:r w:rsidR="000F3082" w:rsidRPr="00945FA0">
              <w:t xml:space="preserve"> </w:t>
            </w:r>
            <w:r w:rsidR="00F42289" w:rsidRPr="00945FA0">
              <w:t>programmas donorvalstu pa</w:t>
            </w:r>
            <w:r w:rsidR="0050420E">
              <w:t>r</w:t>
            </w:r>
            <w:r w:rsidR="00F42289" w:rsidRPr="00945FA0">
              <w:t xml:space="preserve">tnera </w:t>
            </w:r>
            <w:r w:rsidR="00D14722" w:rsidRPr="00945FA0">
              <w:t xml:space="preserve">– </w:t>
            </w:r>
            <w:r w:rsidR="000F3082" w:rsidRPr="00945FA0">
              <w:t>Norvēģijas Starptautiskās sadarbības un kvalitātes uzlabošanas aģen</w:t>
            </w:r>
            <w:r w:rsidR="00F42289" w:rsidRPr="00945FA0">
              <w:t>tūras augstākās izglītības jomā, norādījumam, ka</w:t>
            </w:r>
            <w:r w:rsidR="000F3082" w:rsidRPr="00945FA0">
              <w:t xml:space="preserve"> finansējuma apmērs nav mazāks par programmā “ERASMUS+” noteiktās individuālā uzturēšanās atbalsta dienā summas, kas reizināta ar īstermiņa mobilitātes ilgumu </w:t>
            </w:r>
            <w:r w:rsidR="00F42289" w:rsidRPr="00945FA0">
              <w:t xml:space="preserve">- </w:t>
            </w:r>
            <w:r w:rsidR="000F3082" w:rsidRPr="00945FA0">
              <w:t>piecām dienām.</w:t>
            </w:r>
          </w:p>
          <w:p w14:paraId="00BD80BE" w14:textId="562E42BF" w:rsidR="00272E44" w:rsidRPr="00945FA0" w:rsidRDefault="00272E44" w:rsidP="00257FE4">
            <w:pPr>
              <w:jc w:val="both"/>
            </w:pPr>
            <w:r w:rsidRPr="00945FA0">
              <w:t>Pielietojot tādu pašu metodiku</w:t>
            </w:r>
            <w:r w:rsidR="00DF4CE8" w:rsidRPr="00945FA0">
              <w:t>,</w:t>
            </w:r>
            <w:r w:rsidRPr="00945FA0">
              <w:t xml:space="preserve"> aprēķins veikts arī mobilitātei no donorvalsts uz Latviju, balst</w:t>
            </w:r>
            <w:r w:rsidR="00AA632E" w:rsidRPr="00945FA0">
              <w:t xml:space="preserve">oties </w:t>
            </w:r>
            <w:r w:rsidR="00F42289" w:rsidRPr="00945FA0">
              <w:t xml:space="preserve">uz </w:t>
            </w:r>
            <w:r w:rsidR="000F3082" w:rsidRPr="00945FA0">
              <w:t>programmas “ERASMUS+” izmantotajiem individuālā uzturēšanās atbalsta summas apmēriem</w:t>
            </w:r>
            <w:r w:rsidRPr="00945FA0">
              <w:t>.</w:t>
            </w:r>
            <w:r w:rsidR="00001C6B" w:rsidRPr="00945FA0">
              <w:t xml:space="preserve">  Saīsinātās mobilitātes ietvaros </w:t>
            </w:r>
            <w:r w:rsidR="00CD30F6" w:rsidRPr="00945FA0">
              <w:t>var</w:t>
            </w:r>
            <w:r w:rsidR="00001C6B" w:rsidRPr="00945FA0">
              <w:t xml:space="preserve"> nodrošin</w:t>
            </w:r>
            <w:r w:rsidR="00CD30F6" w:rsidRPr="00945FA0">
              <w:t>āt</w:t>
            </w:r>
            <w:r w:rsidR="00001C6B" w:rsidRPr="00945FA0">
              <w:t xml:space="preserve"> individuālās uzturēšan</w:t>
            </w:r>
            <w:r w:rsidR="00D8536C" w:rsidRPr="00945FA0">
              <w:t>ās atbalsta finansējums</w:t>
            </w:r>
            <w:r w:rsidR="00001C6B" w:rsidRPr="00945FA0">
              <w:t xml:space="preserve"> </w:t>
            </w:r>
            <w:r w:rsidR="00D8536C" w:rsidRPr="00945FA0">
              <w:t>70 </w:t>
            </w:r>
            <w:r w:rsidR="00D8536C" w:rsidRPr="00945FA0">
              <w:rPr>
                <w:i/>
              </w:rPr>
              <w:t>euro</w:t>
            </w:r>
            <w:r w:rsidR="00D8536C" w:rsidRPr="00945FA0">
              <w:t xml:space="preserve"> apmērā </w:t>
            </w:r>
            <w:r w:rsidR="00001C6B" w:rsidRPr="00945FA0">
              <w:t>arī vienu dienu pirms un pēc</w:t>
            </w:r>
            <w:r w:rsidR="002A114C" w:rsidRPr="00945FA0">
              <w:t xml:space="preserve"> saīsinātās</w:t>
            </w:r>
            <w:r w:rsidR="00CD30F6" w:rsidRPr="00945FA0">
              <w:t xml:space="preserve"> mācību mobilitātes noteikt</w:t>
            </w:r>
            <w:r w:rsidR="00D70DFD" w:rsidRPr="00945FA0">
              <w:t>ā ilguma.</w:t>
            </w:r>
            <w:r w:rsidR="00D56092" w:rsidRPr="00945FA0">
              <w:rPr>
                <w:color w:val="FF0000"/>
              </w:rPr>
              <w:t xml:space="preserve"> </w:t>
            </w:r>
            <w:r w:rsidR="00424C50" w:rsidRPr="00945FA0">
              <w:t xml:space="preserve">Noteikumu projekta </w:t>
            </w:r>
            <w:r w:rsidR="00CE5FD3" w:rsidRPr="00945FA0">
              <w:t>6</w:t>
            </w:r>
            <w:r w:rsidR="00424C50" w:rsidRPr="00945FA0">
              <w:t>. punktā precizēt</w:t>
            </w:r>
            <w:r w:rsidR="00340060" w:rsidRPr="00945FA0">
              <w:t>ā</w:t>
            </w:r>
            <w:r w:rsidR="00424C50" w:rsidRPr="00945FA0">
              <w:t xml:space="preserve"> regulējum</w:t>
            </w:r>
            <w:r w:rsidR="00340060" w:rsidRPr="00945FA0">
              <w:t>a</w:t>
            </w:r>
            <w:r w:rsidR="00424C50" w:rsidRPr="00945FA0">
              <w:t xml:space="preserve"> attiecībā uz attiecināmajām vienas vienības standarta likmēm </w:t>
            </w:r>
            <w:r w:rsidR="00340060" w:rsidRPr="00945FA0">
              <w:t>pamatā ir 2021.</w:t>
            </w:r>
            <w:r w:rsidR="002A114C" w:rsidRPr="00945FA0">
              <w:t> </w:t>
            </w:r>
            <w:r w:rsidR="00340060" w:rsidRPr="00945FA0">
              <w:t>gada 11.</w:t>
            </w:r>
            <w:r w:rsidR="002A114C" w:rsidRPr="00945FA0">
              <w:t> </w:t>
            </w:r>
            <w:r w:rsidR="00340060" w:rsidRPr="00945FA0">
              <w:t>maijā no programmas donorvalstu pa</w:t>
            </w:r>
            <w:r w:rsidR="00CE5FD3" w:rsidRPr="00945FA0">
              <w:t>r</w:t>
            </w:r>
            <w:r w:rsidR="00340060" w:rsidRPr="00945FA0">
              <w:t xml:space="preserve">tnera </w:t>
            </w:r>
            <w:r w:rsidR="00E73B61" w:rsidRPr="00945FA0">
              <w:t>–</w:t>
            </w:r>
            <w:r w:rsidR="00340060" w:rsidRPr="00945FA0">
              <w:t xml:space="preserve"> Norvēģijas Starptautiskās sadarbības un kvalitātes uzlabošanas aģentūras augstākās izglītības jomā</w:t>
            </w:r>
            <w:r w:rsidR="00CE5FD3" w:rsidRPr="00945FA0">
              <w:t>, saņemtais ieteikums.</w:t>
            </w:r>
          </w:p>
          <w:p w14:paraId="2785B3B4" w14:textId="77777777" w:rsidR="00ED36D5" w:rsidRPr="00945FA0" w:rsidRDefault="00ED36D5" w:rsidP="00257FE4">
            <w:pPr>
              <w:jc w:val="both"/>
            </w:pPr>
          </w:p>
          <w:p w14:paraId="263D850A" w14:textId="51197659" w:rsidR="00DD3897" w:rsidRPr="00945FA0" w:rsidRDefault="00E917B8" w:rsidP="00DD3897">
            <w:pPr>
              <w:jc w:val="both"/>
            </w:pPr>
            <w:r w:rsidRPr="00945FA0">
              <w:t xml:space="preserve">Saīsinātā un tiešsaistes mobilitāte nav attiecināma uz Programmas aktivitātes “Stipendijas” </w:t>
            </w:r>
            <w:r w:rsidR="0031032E" w:rsidRPr="00945FA0">
              <w:t xml:space="preserve">tiem pieciem </w:t>
            </w:r>
            <w:r w:rsidRPr="00945FA0">
              <w:t>projekta iesniegumiem, kas tika iesniegti līdz 2021.</w:t>
            </w:r>
            <w:r w:rsidR="002A114C" w:rsidRPr="00945FA0">
              <w:t> </w:t>
            </w:r>
            <w:r w:rsidRPr="00945FA0">
              <w:t>gada 12.</w:t>
            </w:r>
            <w:r w:rsidR="002A114C" w:rsidRPr="00945FA0">
              <w:t> </w:t>
            </w:r>
            <w:r w:rsidRPr="00945FA0">
              <w:t>aprīlim pirmā atklātā stipendiju konkursa ietvaros.</w:t>
            </w:r>
            <w:r w:rsidR="0031032E" w:rsidRPr="00945FA0">
              <w:t xml:space="preserve"> To apstiprināšanas gadījumā tiks noslēgti projekta līgumi par iesniegto projekta iesniegumu īstenošanu </w:t>
            </w:r>
            <w:r w:rsidR="00CD0F14" w:rsidRPr="00945FA0">
              <w:t xml:space="preserve">plānotajos </w:t>
            </w:r>
            <w:r w:rsidR="000838CF" w:rsidRPr="00945FA0">
              <w:t>termiņos un apjomā, kas atbilst pirmā atklātā stipendiju konkursa nolikumam.</w:t>
            </w:r>
          </w:p>
          <w:p w14:paraId="67FCF558" w14:textId="367BF2D3" w:rsidR="000838CF" w:rsidRPr="00945FA0" w:rsidRDefault="00D2536D" w:rsidP="00DD3897">
            <w:pPr>
              <w:jc w:val="both"/>
              <w:rPr>
                <w:lang w:eastAsia="x-none"/>
              </w:rPr>
            </w:pPr>
            <w:r w:rsidRPr="00945FA0">
              <w:rPr>
                <w:lang w:eastAsia="x-none"/>
              </w:rPr>
              <w:t>Noteikumu projekts neietekmē tiesības, ar kurām</w:t>
            </w:r>
            <w:r w:rsidR="00DD3897" w:rsidRPr="00945FA0">
              <w:rPr>
                <w:lang w:eastAsia="x-none"/>
              </w:rPr>
              <w:t xml:space="preserve"> stipendiju </w:t>
            </w:r>
            <w:r w:rsidR="0050420E">
              <w:rPr>
                <w:lang w:eastAsia="x-none"/>
              </w:rPr>
              <w:t>projekta iesnieguma iesniedzēji</w:t>
            </w:r>
            <w:r w:rsidRPr="00945FA0">
              <w:rPr>
                <w:lang w:eastAsia="x-none"/>
              </w:rPr>
              <w:t xml:space="preserve"> varēja rēķināties, iesniedzot iesniegumu pirma</w:t>
            </w:r>
            <w:r w:rsidR="0050420E">
              <w:rPr>
                <w:lang w:eastAsia="x-none"/>
              </w:rPr>
              <w:t>jā atklātajā konkursā. Noteikumu</w:t>
            </w:r>
            <w:r w:rsidRPr="00945FA0">
              <w:rPr>
                <w:lang w:eastAsia="x-none"/>
              </w:rPr>
              <w:t xml:space="preserve"> grozījumi </w:t>
            </w:r>
            <w:r w:rsidR="00DD3897" w:rsidRPr="00945FA0">
              <w:rPr>
                <w:lang w:eastAsia="x-none"/>
              </w:rPr>
              <w:t>i</w:t>
            </w:r>
            <w:r w:rsidRPr="00945FA0">
              <w:rPr>
                <w:lang w:eastAsia="x-none"/>
              </w:rPr>
              <w:t>r</w:t>
            </w:r>
            <w:r w:rsidR="00DD3897" w:rsidRPr="00945FA0">
              <w:rPr>
                <w:lang w:eastAsia="x-none"/>
              </w:rPr>
              <w:t xml:space="preserve"> attiecināmi</w:t>
            </w:r>
            <w:r w:rsidRPr="00945FA0">
              <w:rPr>
                <w:lang w:eastAsia="x-none"/>
              </w:rPr>
              <w:t xml:space="preserve"> tikai uz </w:t>
            </w:r>
            <w:r w:rsidR="00DD3897" w:rsidRPr="00945FA0">
              <w:rPr>
                <w:lang w:eastAsia="x-none"/>
              </w:rPr>
              <w:t>projektiem, kas tiks iesniegti nākamajos konkursos.</w:t>
            </w:r>
          </w:p>
          <w:p w14:paraId="34150A04" w14:textId="158DE150" w:rsidR="00E917B8" w:rsidRPr="00945FA0" w:rsidRDefault="0031032E" w:rsidP="00257FE4">
            <w:pPr>
              <w:jc w:val="both"/>
            </w:pPr>
            <w:r w:rsidRPr="00945FA0">
              <w:t>P</w:t>
            </w:r>
            <w:r w:rsidR="00E917B8" w:rsidRPr="00945FA0">
              <w:t xml:space="preserve">rojekta iesnieguma iesniedzējiem, kas iesniedza projektu iesniegumus pirmajā </w:t>
            </w:r>
            <w:r w:rsidR="00D94F92" w:rsidRPr="00945FA0">
              <w:t>stipendiju konkursā</w:t>
            </w:r>
            <w:r w:rsidR="000620DB" w:rsidRPr="00945FA0">
              <w:t xml:space="preserve"> (tai skaitā, arī tiem, kuri </w:t>
            </w:r>
            <w:r w:rsidR="00984AE6" w:rsidRPr="00945FA0">
              <w:t>noslēgs līgumus par projektu īstenošanu</w:t>
            </w:r>
            <w:r w:rsidR="000620DB" w:rsidRPr="00945FA0">
              <w:t>)</w:t>
            </w:r>
            <w:r w:rsidR="00984AE6" w:rsidRPr="00945FA0">
              <w:t xml:space="preserve">, </w:t>
            </w:r>
            <w:r w:rsidR="00D94F92" w:rsidRPr="00945FA0">
              <w:t xml:space="preserve">ir tiesības iesniegt projektu iesniegumus arī otrajā atklātā stipendiju konkursā, tai skaitā </w:t>
            </w:r>
            <w:r w:rsidR="000620DB" w:rsidRPr="00945FA0">
              <w:t xml:space="preserve">par </w:t>
            </w:r>
            <w:r w:rsidR="00D94F92" w:rsidRPr="00945FA0">
              <w:t>tām pašām izglītības programmām kā pirmajā konkursā</w:t>
            </w:r>
            <w:r w:rsidR="00984AE6" w:rsidRPr="00945FA0">
              <w:t xml:space="preserve">, piesakoties uz tiešsaistes un </w:t>
            </w:r>
            <w:r w:rsidR="00984AE6" w:rsidRPr="00945FA0">
              <w:lastRenderedPageBreak/>
              <w:t>īstermiņa mobilitāti</w:t>
            </w:r>
            <w:r w:rsidR="0005501D" w:rsidRPr="00945FA0">
              <w:t>. T</w:t>
            </w:r>
            <w:r w:rsidR="00D94F92" w:rsidRPr="00945FA0">
              <w:t xml:space="preserve">ādējādi </w:t>
            </w:r>
            <w:r w:rsidR="0005501D" w:rsidRPr="00945FA0">
              <w:t xml:space="preserve">tiek </w:t>
            </w:r>
            <w:r w:rsidR="00D94F92" w:rsidRPr="00945FA0">
              <w:t>nodro</w:t>
            </w:r>
            <w:r w:rsidR="0005501D" w:rsidRPr="00945FA0">
              <w:t>šinātas</w:t>
            </w:r>
            <w:r w:rsidR="00D94F92" w:rsidRPr="00945FA0">
              <w:t xml:space="preserve"> vienādas iespējas visām </w:t>
            </w:r>
            <w:r w:rsidR="007C3D60" w:rsidRPr="00945FA0">
              <w:t>Latvijas augstskolām</w:t>
            </w:r>
            <w:r w:rsidR="0005501D" w:rsidRPr="00945FA0">
              <w:t xml:space="preserve"> pieteikties uz visiem trim mobilit</w:t>
            </w:r>
            <w:r w:rsidR="00984AE6" w:rsidRPr="00945FA0">
              <w:t>ātes veidiem, kā arī netiek aizskarta</w:t>
            </w:r>
            <w:r w:rsidR="000838CF" w:rsidRPr="00945FA0">
              <w:t xml:space="preserve"> pirm</w:t>
            </w:r>
            <w:r w:rsidR="00984AE6" w:rsidRPr="00945FA0">
              <w:t>ā atkl</w:t>
            </w:r>
            <w:r w:rsidR="000838CF" w:rsidRPr="00945FA0">
              <w:t>āt</w:t>
            </w:r>
            <w:r w:rsidR="00984AE6" w:rsidRPr="00945FA0">
              <w:t xml:space="preserve">ā konkursa projektu iesniegumu iesniedzēju </w:t>
            </w:r>
            <w:bookmarkStart w:id="2" w:name="_Hlk72343290"/>
            <w:r w:rsidR="00984AE6" w:rsidRPr="00945FA0">
              <w:t>tiesiskā paļāvība un tiesiskā noteiktība</w:t>
            </w:r>
            <w:bookmarkEnd w:id="2"/>
            <w:r w:rsidR="00984AE6" w:rsidRPr="00945FA0">
              <w:t>.</w:t>
            </w:r>
          </w:p>
          <w:p w14:paraId="51C6C5DB" w14:textId="77777777" w:rsidR="00E917B8" w:rsidRPr="00945FA0" w:rsidRDefault="00E917B8" w:rsidP="00257FE4">
            <w:pPr>
              <w:jc w:val="both"/>
            </w:pPr>
          </w:p>
          <w:p w14:paraId="2935217D" w14:textId="40CA4D93" w:rsidR="00267BAB" w:rsidRPr="00945FA0" w:rsidRDefault="00267BAB" w:rsidP="00257FE4">
            <w:pPr>
              <w:jc w:val="both"/>
            </w:pPr>
            <w:r w:rsidRPr="00945FA0">
              <w:t>Noteikumu projekt</w:t>
            </w:r>
            <w:r w:rsidR="00173916" w:rsidRPr="00945FA0">
              <w:t xml:space="preserve">a </w:t>
            </w:r>
            <w:r w:rsidR="000E0800" w:rsidRPr="00945FA0">
              <w:t>7</w:t>
            </w:r>
            <w:r w:rsidR="00173916" w:rsidRPr="00945FA0">
              <w:t xml:space="preserve">. punkts paredz </w:t>
            </w:r>
            <w:r w:rsidR="004C1926" w:rsidRPr="00945FA0">
              <w:t>d</w:t>
            </w:r>
            <w:r w:rsidR="00173916" w:rsidRPr="00945FA0">
              <w:t xml:space="preserve">ivpusējās sadarbības fonda </w:t>
            </w:r>
            <w:r w:rsidR="00325AE6" w:rsidRPr="00945FA0">
              <w:t>iniciatīvu</w:t>
            </w:r>
            <w:r w:rsidR="00173916" w:rsidRPr="00945FA0">
              <w:t xml:space="preserve"> klāsta </w:t>
            </w:r>
            <w:r w:rsidR="002B06D9" w:rsidRPr="00945FA0">
              <w:t>precizēšanu</w:t>
            </w:r>
            <w:r w:rsidR="00173916" w:rsidRPr="00945FA0">
              <w:t xml:space="preserve">, </w:t>
            </w:r>
            <w:r w:rsidR="002B06D9" w:rsidRPr="00945FA0">
              <w:t xml:space="preserve">nepārprotami norādot, ka </w:t>
            </w:r>
            <w:r w:rsidR="00173916" w:rsidRPr="00945FA0">
              <w:t>kopī</w:t>
            </w:r>
            <w:r w:rsidR="00325AE6" w:rsidRPr="00945FA0">
              <w:t>gu</w:t>
            </w:r>
            <w:r w:rsidR="000D19EE" w:rsidRPr="00945FA0">
              <w:t xml:space="preserve"> Latvijas un donorvalstu pētniecības organizāciju</w:t>
            </w:r>
            <w:r w:rsidR="00325AE6" w:rsidRPr="00945FA0">
              <w:t xml:space="preserve"> projekta iesniegumu </w:t>
            </w:r>
            <w:r w:rsidR="00DF4CE8" w:rsidRPr="00945FA0">
              <w:t xml:space="preserve">sagatavošana </w:t>
            </w:r>
            <w:r w:rsidR="000D19EE" w:rsidRPr="00945FA0">
              <w:t>veicina</w:t>
            </w:r>
            <w:r w:rsidR="00325AE6" w:rsidRPr="00945FA0">
              <w:t xml:space="preserve"> </w:t>
            </w:r>
            <w:r w:rsidR="000D19EE" w:rsidRPr="00945FA0">
              <w:t xml:space="preserve">ilgtspējīgu Latvijas un donorvalstu pētniecības organizāciju </w:t>
            </w:r>
            <w:r w:rsidR="00F4002E" w:rsidRPr="00945FA0">
              <w:t>sadarbību</w:t>
            </w:r>
            <w:r w:rsidR="00211E1B" w:rsidRPr="00945FA0">
              <w:t xml:space="preserve"> pētniecības jomā,</w:t>
            </w:r>
            <w:r w:rsidR="000D19EE" w:rsidRPr="00945FA0">
              <w:t xml:space="preserve"> tādējādi </w:t>
            </w:r>
            <w:r w:rsidR="0094154C" w:rsidRPr="00945FA0">
              <w:t>stiprinot Latvijas un donorvalstu divpusējās attiecības.</w:t>
            </w:r>
            <w:r w:rsidR="000D19EE" w:rsidRPr="00945FA0">
              <w:t xml:space="preserve"> </w:t>
            </w:r>
            <w:r w:rsidR="0054268F" w:rsidRPr="00945FA0">
              <w:t>Precizējums</w:t>
            </w:r>
            <w:r w:rsidR="00811588" w:rsidRPr="00945FA0">
              <w:t xml:space="preserve"> 32.3.</w:t>
            </w:r>
            <w:r w:rsidR="002A114C" w:rsidRPr="00945FA0">
              <w:t> </w:t>
            </w:r>
            <w:r w:rsidR="00811588" w:rsidRPr="00945FA0">
              <w:t>apakšpunktā</w:t>
            </w:r>
            <w:r w:rsidR="0054268F" w:rsidRPr="00945FA0">
              <w:t xml:space="preserve"> nepieciešams, lai noteiktu, ka Noteikumu Nr.</w:t>
            </w:r>
            <w:r w:rsidR="002A114C" w:rsidRPr="00945FA0">
              <w:t> </w:t>
            </w:r>
            <w:r w:rsidR="0054268F" w:rsidRPr="00945FA0">
              <w:t>333 3.</w:t>
            </w:r>
            <w:r w:rsidR="002A114C" w:rsidRPr="00945FA0">
              <w:t> </w:t>
            </w:r>
            <w:r w:rsidR="0054268F" w:rsidRPr="00945FA0">
              <w:t>pielikumā norādītais rezultātu/iznākumu rādītājs “Kopīgo projekta iesniegumu skaits turpmākajam finansējumam” ir akceptējams</w:t>
            </w:r>
            <w:r w:rsidR="00BD3152" w:rsidRPr="00945FA0">
              <w:t xml:space="preserve"> divpusējās sadarbības fonda iznākumu rādītājs</w:t>
            </w:r>
            <w:r w:rsidR="0054268F" w:rsidRPr="00945FA0">
              <w:t xml:space="preserve">, kas </w:t>
            </w:r>
            <w:r w:rsidR="009873EC" w:rsidRPr="00945FA0">
              <w:t>stiprina divpusējās attiecības starp Latviju un donorvalstīm.</w:t>
            </w:r>
          </w:p>
          <w:p w14:paraId="3136FB84" w14:textId="77F2752D" w:rsidR="00811588" w:rsidRPr="00945FA0" w:rsidRDefault="00811588" w:rsidP="00257FE4">
            <w:pPr>
              <w:jc w:val="both"/>
            </w:pPr>
            <w:r w:rsidRPr="00945FA0">
              <w:t>32.3.</w:t>
            </w:r>
            <w:r w:rsidR="002A114C" w:rsidRPr="00945FA0">
              <w:t> </w:t>
            </w:r>
            <w:r w:rsidRPr="00945FA0">
              <w:t>apakšpunkts papildināts ar vārdiem “projekta partneriem”, lai nodrošinātu, ka arī divpusējās sadarbības iniciatīvas partneri – Baltijas pētniecības programmas projekta partneri no Igaunijas un Lietuvas</w:t>
            </w:r>
            <w:r w:rsidR="002A114C" w:rsidRPr="00945FA0">
              <w:t xml:space="preserve"> –</w:t>
            </w:r>
            <w:r w:rsidRPr="00945FA0">
              <w:t xml:space="preserve"> ir tiesīgi segt savus izdevumus iniciatīvas ietvaros </w:t>
            </w:r>
            <w:r w:rsidR="00D25FE7" w:rsidRPr="00945FA0">
              <w:t xml:space="preserve">no Latvijai piešķirtā divpusējās sadarbības fonda. </w:t>
            </w:r>
            <w:r w:rsidR="003D71E8" w:rsidRPr="00945FA0">
              <w:t>Tādēj</w:t>
            </w:r>
            <w:r w:rsidR="00103529" w:rsidRPr="00945FA0">
              <w:t>ādi</w:t>
            </w:r>
            <w:r w:rsidR="003D71E8" w:rsidRPr="00945FA0">
              <w:t xml:space="preserve"> </w:t>
            </w:r>
            <w:r w:rsidR="00103529" w:rsidRPr="00945FA0">
              <w:t>tiek nodrošināts Noteikumu N</w:t>
            </w:r>
            <w:r w:rsidR="006D0BB8" w:rsidRPr="00945FA0">
              <w:t>r</w:t>
            </w:r>
            <w:r w:rsidR="00103529" w:rsidRPr="00945FA0">
              <w:t>.</w:t>
            </w:r>
            <w:r w:rsidR="002A114C" w:rsidRPr="00945FA0">
              <w:t> </w:t>
            </w:r>
            <w:r w:rsidR="00103529" w:rsidRPr="00945FA0">
              <w:t>333 3.1.</w:t>
            </w:r>
            <w:r w:rsidR="002A114C" w:rsidRPr="00945FA0">
              <w:t> </w:t>
            </w:r>
            <w:r w:rsidR="00103529" w:rsidRPr="00945FA0">
              <w:t xml:space="preserve">apakšpunktā noteiktais apakšmērķis </w:t>
            </w:r>
            <w:r w:rsidR="009024BF" w:rsidRPr="00945FA0">
              <w:t>–</w:t>
            </w:r>
            <w:r w:rsidR="00103529" w:rsidRPr="00945FA0">
              <w:t xml:space="preserve"> </w:t>
            </w:r>
            <w:r w:rsidR="003D71E8" w:rsidRPr="00945FA0">
              <w:t>veicin</w:t>
            </w:r>
            <w:r w:rsidR="00103529" w:rsidRPr="00945FA0">
              <w:t xml:space="preserve">āt </w:t>
            </w:r>
            <w:r w:rsidR="003D71E8" w:rsidRPr="00945FA0">
              <w:t>Balt</w:t>
            </w:r>
            <w:r w:rsidR="008429EE">
              <w:t>ijas valstu pētniecības sniegumu</w:t>
            </w:r>
            <w:r w:rsidR="003D71E8" w:rsidRPr="00945FA0">
              <w:t xml:space="preserve"> starptautiskā līmenī, </w:t>
            </w:r>
            <w:r w:rsidR="00103529" w:rsidRPr="00945FA0">
              <w:t xml:space="preserve">sadarbojoties </w:t>
            </w:r>
            <w:r w:rsidR="003D71E8" w:rsidRPr="00945FA0">
              <w:t>Latvijas, donorvalstu, Igaunijas un Lietuvas pētniecības organizācijām</w:t>
            </w:r>
            <w:r w:rsidR="00103529" w:rsidRPr="00945FA0">
              <w:t xml:space="preserve">. </w:t>
            </w:r>
          </w:p>
          <w:p w14:paraId="34ED8773" w14:textId="77777777" w:rsidR="00173916" w:rsidRPr="00945FA0" w:rsidRDefault="00173916" w:rsidP="00257FE4">
            <w:pPr>
              <w:jc w:val="both"/>
            </w:pPr>
          </w:p>
          <w:p w14:paraId="4375E80F" w14:textId="7FBCCCF1" w:rsidR="00A22351" w:rsidRPr="00945FA0" w:rsidRDefault="00A22351" w:rsidP="00257FE4">
            <w:pPr>
              <w:jc w:val="both"/>
            </w:pPr>
            <w:r w:rsidRPr="00945FA0">
              <w:t xml:space="preserve">Noteikumu projekta </w:t>
            </w:r>
            <w:r w:rsidR="000E0800" w:rsidRPr="00945FA0">
              <w:t>8</w:t>
            </w:r>
            <w:r w:rsidRPr="00945FA0">
              <w:t xml:space="preserve">. punktā </w:t>
            </w:r>
            <w:r w:rsidR="009024BF" w:rsidRPr="00945FA0">
              <w:t>noteikta līdzfinansējuma saņēmēja pārskata par īstenotajiem pasākumiem, sasniegtajiem rezultātiem un to izdevumiem kopā ar izdevumus pamatojošo dokumentācijas sagatavošanas un iesniegšanas aģentūrai kārtība, kā arī termiņš, kādā aģentūra atmaksā līdzfinansēja saņēmējam minētā fonda iniciatīvas īstenošanas apstiprinātos izdevumus, papildus nosakot avansa, kuru izmaksā aģentūra, izmaksas apjomu un termiņu. Vēršam uzmanību, ka</w:t>
            </w:r>
            <w:r w:rsidR="003507D4" w:rsidRPr="00945FA0">
              <w:t xml:space="preserve"> avansa izlietošanas kārtību atbilstoši Ministru kabineta 2018. gada 13. novembra noteikumu Nr. 683 “Eiropas Ekonomikas zonas finanšu instrumenta un Norvēģijas finanšu instrumenta 2014.–2021. gada perioda vadības noteikumi” 16.10. apakšpunktam nosaka divpusējā sadarbības fonda iniciatīvas (projekta) īstenošanas līgumā.</w:t>
            </w:r>
          </w:p>
          <w:p w14:paraId="6A283391" w14:textId="77777777" w:rsidR="00F71FB4" w:rsidRPr="00945FA0" w:rsidRDefault="00F71FB4" w:rsidP="00257FE4">
            <w:pPr>
              <w:jc w:val="both"/>
            </w:pPr>
          </w:p>
          <w:p w14:paraId="2EB61D1D" w14:textId="77777777" w:rsidR="00BB12DA" w:rsidRPr="00945FA0" w:rsidRDefault="001F12D7" w:rsidP="00257FE4">
            <w:pPr>
              <w:jc w:val="both"/>
            </w:pPr>
            <w:r w:rsidRPr="00945FA0">
              <w:t>Noteikumu projekta</w:t>
            </w:r>
            <w:r w:rsidR="0099354C" w:rsidRPr="00945FA0">
              <w:t xml:space="preserve"> </w:t>
            </w:r>
            <w:r w:rsidR="000E0800" w:rsidRPr="00945FA0">
              <w:t>9</w:t>
            </w:r>
            <w:r w:rsidR="00C24355" w:rsidRPr="00945FA0">
              <w:t>.</w:t>
            </w:r>
            <w:r w:rsidR="009540A8" w:rsidRPr="00945FA0">
              <w:t> punkts</w:t>
            </w:r>
            <w:r w:rsidR="007613A2" w:rsidRPr="00945FA0">
              <w:t xml:space="preserve">, </w:t>
            </w:r>
            <w:r w:rsidR="000E54B9" w:rsidRPr="00945FA0">
              <w:t>kas paredz</w:t>
            </w:r>
            <w:r w:rsidR="003641F5" w:rsidRPr="00945FA0">
              <w:t xml:space="preserve"> </w:t>
            </w:r>
            <w:r w:rsidR="005213E1" w:rsidRPr="00945FA0">
              <w:t xml:space="preserve">izmaiņas </w:t>
            </w:r>
            <w:r w:rsidR="000E54B9" w:rsidRPr="00945FA0">
              <w:t>N</w:t>
            </w:r>
            <w:r w:rsidR="005213E1" w:rsidRPr="00945FA0">
              <w:t xml:space="preserve">oteikumu </w:t>
            </w:r>
            <w:r w:rsidR="000E54B9" w:rsidRPr="00945FA0">
              <w:t>N</w:t>
            </w:r>
            <w:r w:rsidR="005213E1" w:rsidRPr="00945FA0">
              <w:t xml:space="preserve">r. 333 3. pielikumā, </w:t>
            </w:r>
            <w:r w:rsidR="00DF4CE8" w:rsidRPr="00945FA0">
              <w:t>izstrādāt</w:t>
            </w:r>
            <w:r w:rsidR="00C24355" w:rsidRPr="00945FA0">
              <w:t>s</w:t>
            </w:r>
            <w:r w:rsidR="00DF4CE8" w:rsidRPr="00945FA0">
              <w:t xml:space="preserve">, </w:t>
            </w:r>
            <w:r w:rsidR="005213E1" w:rsidRPr="00945FA0">
              <w:t>balstoties</w:t>
            </w:r>
            <w:r w:rsidR="00944AA3" w:rsidRPr="00945FA0">
              <w:t xml:space="preserve"> uz</w:t>
            </w:r>
            <w:r w:rsidR="005213E1" w:rsidRPr="00945FA0">
              <w:t xml:space="preserve"> F</w:t>
            </w:r>
            <w:r w:rsidR="00151A80" w:rsidRPr="00945FA0">
              <w:t xml:space="preserve">inanšu </w:t>
            </w:r>
            <w:r w:rsidR="00F874A1" w:rsidRPr="00945FA0">
              <w:t>i</w:t>
            </w:r>
            <w:r w:rsidR="00151A80" w:rsidRPr="00945FA0">
              <w:t>nstrumenta biroja 2020. gada 6. </w:t>
            </w:r>
            <w:r w:rsidR="005213E1" w:rsidRPr="00945FA0">
              <w:t xml:space="preserve">oktobrī veiktajām izmaiņām Pamatrādītāju vadlīnijās attiecībā uz </w:t>
            </w:r>
            <w:r w:rsidR="00C24355" w:rsidRPr="00945FA0">
              <w:t>P</w:t>
            </w:r>
            <w:r w:rsidR="005213E1" w:rsidRPr="00945FA0">
              <w:t>rogrammas aktivitāšu sasniedzamajiem rezultātiem un iznākumiem, to rādītājiem</w:t>
            </w:r>
            <w:r w:rsidR="00285F1A" w:rsidRPr="00945FA0">
              <w:t>.</w:t>
            </w:r>
            <w:r w:rsidR="005213E1" w:rsidRPr="00945FA0">
              <w:t xml:space="preserve"> </w:t>
            </w:r>
            <w:r w:rsidR="00285F1A" w:rsidRPr="00945FA0">
              <w:t>Minētās izmaiņas paredz</w:t>
            </w:r>
            <w:r w:rsidR="005213E1" w:rsidRPr="00945FA0">
              <w:t xml:space="preserve">, ka </w:t>
            </w:r>
            <w:r w:rsidR="00E63881" w:rsidRPr="00945FA0">
              <w:t>Programmas aktivitāt</w:t>
            </w:r>
            <w:r w:rsidR="00285F1A" w:rsidRPr="00945FA0">
              <w:t>ē</w:t>
            </w:r>
            <w:r w:rsidR="00E63881" w:rsidRPr="00945FA0">
              <w:t xml:space="preserve"> “</w:t>
            </w:r>
            <w:r w:rsidR="005213E1" w:rsidRPr="00945FA0">
              <w:t>Stipendij</w:t>
            </w:r>
            <w:r w:rsidR="00E63881" w:rsidRPr="00945FA0">
              <w:t>as”</w:t>
            </w:r>
            <w:r w:rsidR="005213E1" w:rsidRPr="00945FA0">
              <w:t xml:space="preserve"> programmas</w:t>
            </w:r>
            <w:r w:rsidR="00211EC0" w:rsidRPr="00945FA0">
              <w:t xml:space="preserve"> iznākuma</w:t>
            </w:r>
            <w:r w:rsidR="005213E1" w:rsidRPr="00945FA0">
              <w:t xml:space="preserve"> “Veicināta mācību mobilitāte augstākās izglītības jomā (studējošie un akadēmiskais un administratīvais personāls) starp saņēmējvalsti un donorvalstīm” mobilitāti uzskaita</w:t>
            </w:r>
            <w:r w:rsidR="002850E6" w:rsidRPr="00945FA0">
              <w:t>, norādot to</w:t>
            </w:r>
            <w:r w:rsidR="005213E1" w:rsidRPr="00945FA0">
              <w:t xml:space="preserve"> arī pēc tiešsaistes vai klātienes formāta.</w:t>
            </w:r>
            <w:r w:rsidR="009540A8" w:rsidRPr="00945FA0">
              <w:t xml:space="preserve"> Papildus noteikuma projekta 9. punktā </w:t>
            </w:r>
            <w:r w:rsidR="001B6647" w:rsidRPr="00945FA0">
              <w:t xml:space="preserve">precizēti programmas  sasniedzamo rezultātu un iznākumu rādītāju “Apmierinātības līmenis ar partnerību (sadalījumā pa valstu tipiem)” </w:t>
            </w:r>
            <w:r w:rsidR="00DE2340" w:rsidRPr="00945FA0">
              <w:t xml:space="preserve">un “Uzticības līmenis starp sadarbībā iesaistītajām saņēmējvalstu un donorvalstu organizācijām </w:t>
            </w:r>
            <w:r w:rsidR="00DE2340" w:rsidRPr="00945FA0">
              <w:lastRenderedPageBreak/>
              <w:t xml:space="preserve">(sadalījumā pa valstu tipiem)”  sākuma stadijas vērtība un sākuma gads, jo līdzšinējā MK noteikumu Nr. 333 redakcijā noteikts, ka šīs vērtības tiks precizētas. </w:t>
            </w:r>
            <w:r w:rsidR="003E656C" w:rsidRPr="00945FA0">
              <w:t>P</w:t>
            </w:r>
            <w:r w:rsidR="00C07AEC" w:rsidRPr="00945FA0">
              <w:t>recizējumus Programmas līgumā attiecībā uz šiem rādītājiem veicis Finanšu instrumenta birojs Finanšu instrumenta biroja informācijas sistēmā GrACE.</w:t>
            </w:r>
            <w:r w:rsidR="003E656C" w:rsidRPr="00945FA0">
              <w:t xml:space="preserve"> </w:t>
            </w:r>
          </w:p>
          <w:p w14:paraId="58B2DCA7" w14:textId="042050C1" w:rsidR="008015D3" w:rsidRPr="008429EE" w:rsidRDefault="00EB37C5" w:rsidP="00257FE4">
            <w:pPr>
              <w:jc w:val="both"/>
            </w:pPr>
            <w:r>
              <w:t>N</w:t>
            </w:r>
            <w:r w:rsidR="00037A65" w:rsidRPr="003A6147">
              <w:t>oteikuma projekta 9. punktā</w:t>
            </w:r>
            <w:r w:rsidR="00212BDA" w:rsidRPr="003A6147">
              <w:t xml:space="preserve"> ir </w:t>
            </w:r>
            <w:r>
              <w:t xml:space="preserve">arī </w:t>
            </w:r>
            <w:r w:rsidR="00212BDA" w:rsidRPr="003A6147">
              <w:t>precizētas plānoto rezultātu un iznākumu rādītāju mērķa vērtības</w:t>
            </w:r>
            <w:r w:rsidR="00CF0172">
              <w:t xml:space="preserve">, proporcionāli </w:t>
            </w:r>
            <w:r>
              <w:t xml:space="preserve">tās </w:t>
            </w:r>
            <w:r w:rsidR="00CF0172">
              <w:t xml:space="preserve">samazinot </w:t>
            </w:r>
            <w:r w:rsidR="00CF0172" w:rsidRPr="003A6147">
              <w:t xml:space="preserve"> </w:t>
            </w:r>
            <w:r w:rsidR="00CF0172" w:rsidRPr="008429EE">
              <w:t>Programmas aktivitātē “Stipendijas” un palielinot Baltijas pētniecības programmā</w:t>
            </w:r>
            <w:r w:rsidR="003A6147" w:rsidRPr="008429EE">
              <w:t>, ņemot vērā</w:t>
            </w:r>
            <w:r w:rsidRPr="008429EE">
              <w:t>, ka</w:t>
            </w:r>
            <w:r w:rsidR="00037A65" w:rsidRPr="008429EE">
              <w:t xml:space="preserve"> 1 milj. eiro </w:t>
            </w:r>
            <w:r w:rsidR="00D756CF" w:rsidRPr="008429EE">
              <w:t xml:space="preserve">liels </w:t>
            </w:r>
            <w:r w:rsidR="00037A65" w:rsidRPr="008429EE">
              <w:t>finansējum</w:t>
            </w:r>
            <w:r w:rsidR="00D756CF" w:rsidRPr="008429EE">
              <w:t>s</w:t>
            </w:r>
            <w:r w:rsidR="00037A65" w:rsidRPr="008429EE">
              <w:t xml:space="preserve"> </w:t>
            </w:r>
            <w:r w:rsidRPr="008429EE">
              <w:t xml:space="preserve">tiek </w:t>
            </w:r>
            <w:r w:rsidR="003A6147" w:rsidRPr="008429EE">
              <w:t>p</w:t>
            </w:r>
            <w:r w:rsidRPr="008429EE">
              <w:t>ārdalīts</w:t>
            </w:r>
            <w:r w:rsidR="003A6147" w:rsidRPr="008429EE">
              <w:t xml:space="preserve"> </w:t>
            </w:r>
            <w:r w:rsidR="00037A65" w:rsidRPr="008429EE">
              <w:t>no Programmas aktivitātes “Stipendijas” uz Baltijas pētniecības programmu</w:t>
            </w:r>
            <w:r w:rsidR="00D756CF" w:rsidRPr="008429EE">
              <w:t xml:space="preserve"> (noteikuma projekta 2.</w:t>
            </w:r>
            <w:r w:rsidR="008429EE">
              <w:t> </w:t>
            </w:r>
            <w:r w:rsidR="00D756CF" w:rsidRPr="008429EE">
              <w:t>punkts)</w:t>
            </w:r>
            <w:r w:rsidR="003A6147" w:rsidRPr="008429EE">
              <w:t>.</w:t>
            </w:r>
          </w:p>
          <w:p w14:paraId="60C7E96D" w14:textId="77777777" w:rsidR="008015D3" w:rsidRPr="008429EE" w:rsidRDefault="008015D3" w:rsidP="00257FE4">
            <w:pPr>
              <w:jc w:val="both"/>
            </w:pPr>
          </w:p>
          <w:p w14:paraId="7642C5E8" w14:textId="21C789FC" w:rsidR="00C76EDC" w:rsidRPr="008429EE" w:rsidRDefault="00037C31" w:rsidP="007374F3">
            <w:pPr>
              <w:pStyle w:val="Default"/>
              <w:tabs>
                <w:tab w:val="left" w:pos="426"/>
                <w:tab w:val="left" w:pos="851"/>
                <w:tab w:val="left" w:pos="993"/>
              </w:tabs>
              <w:jc w:val="both"/>
              <w:rPr>
                <w:color w:val="auto"/>
              </w:rPr>
            </w:pPr>
            <w:r w:rsidRPr="008429EE">
              <w:rPr>
                <w:color w:val="auto"/>
              </w:rPr>
              <w:t>Noteikumu projekta 10.</w:t>
            </w:r>
            <w:r w:rsidR="008429EE">
              <w:rPr>
                <w:color w:val="auto"/>
              </w:rPr>
              <w:t> </w:t>
            </w:r>
            <w:r w:rsidRPr="008429EE">
              <w:rPr>
                <w:color w:val="auto"/>
              </w:rPr>
              <w:t xml:space="preserve">punktā noteikti </w:t>
            </w:r>
            <w:r w:rsidR="00033C5E" w:rsidRPr="008429EE">
              <w:rPr>
                <w:color w:val="auto"/>
              </w:rPr>
              <w:t xml:space="preserve">tie noteikuma projekta </w:t>
            </w:r>
            <w:r w:rsidRPr="008429EE">
              <w:rPr>
                <w:color w:val="auto"/>
              </w:rPr>
              <w:t xml:space="preserve">punkti un apakšpunkti, kas stājas spēkā līdz ar programmas līguma grozījumu </w:t>
            </w:r>
            <w:r w:rsidR="00033C5E" w:rsidRPr="008429EE">
              <w:rPr>
                <w:color w:val="auto"/>
              </w:rPr>
              <w:t xml:space="preserve">stāšanos spēkā. </w:t>
            </w:r>
            <w:r w:rsidR="007374F3" w:rsidRPr="008429EE">
              <w:rPr>
                <w:color w:val="auto"/>
              </w:rPr>
              <w:t>Plānots, ka attiecīgie programmas lī</w:t>
            </w:r>
            <w:r w:rsidR="008429EE">
              <w:rPr>
                <w:color w:val="auto"/>
              </w:rPr>
              <w:t xml:space="preserve">guma grozījumi stāsies spēkā </w:t>
            </w:r>
            <w:r w:rsidR="008429EE" w:rsidRPr="008429EE">
              <w:rPr>
                <w:color w:val="auto"/>
              </w:rPr>
              <w:t>līdz ar grozījumu Līgumā par Eiropas Ekonomikas zonas finanšu instrumenta un Norvēģijas finanšu instrumenta 2014.–2021. gada perioda programmas īstenošanu (turpmāk – programmas līgums) stāšanos</w:t>
            </w:r>
            <w:r w:rsidR="008429EE">
              <w:rPr>
                <w:color w:val="auto"/>
              </w:rPr>
              <w:t xml:space="preserve"> </w:t>
            </w:r>
            <w:r w:rsidR="008429EE" w:rsidRPr="005A7F2C">
              <w:rPr>
                <w:color w:val="auto"/>
              </w:rPr>
              <w:t>spēkā, nosakot, ka programmas apsaimniekotājs, pēc grozījumu</w:t>
            </w:r>
            <w:r w:rsidR="005A7F2C" w:rsidRPr="005A7F2C">
              <w:rPr>
                <w:rFonts w:eastAsiaTheme="minorEastAsia"/>
                <w:lang w:eastAsia="lv-LV"/>
              </w:rPr>
              <w:t xml:space="preserve"> programmas līgumā </w:t>
            </w:r>
            <w:r w:rsidR="005A7F2C">
              <w:rPr>
                <w:rFonts w:eastAsiaTheme="minorEastAsia"/>
                <w:lang w:eastAsia="lv-LV"/>
              </w:rPr>
              <w:t>saņemšanas no vadošās iestādes sagatavo paziņojumu, kuru publicē oficiālajā izdevumā “Latvijas Vēstnesis”.</w:t>
            </w:r>
          </w:p>
          <w:p w14:paraId="72EB6ADC" w14:textId="69AE7308" w:rsidR="007374F3" w:rsidRPr="008429EE" w:rsidRDefault="007374F3" w:rsidP="007374F3">
            <w:pPr>
              <w:spacing w:before="60" w:after="60"/>
              <w:jc w:val="both"/>
            </w:pPr>
            <w:r w:rsidRPr="008429EE">
              <w:t>I</w:t>
            </w:r>
            <w:r w:rsidR="00CE3717" w:rsidRPr="008429EE">
              <w:t xml:space="preserve">nformācija par programmas līguma grozījumu parakstīšanu </w:t>
            </w:r>
            <w:r w:rsidRPr="008429EE">
              <w:t xml:space="preserve">kopā ar grozīto programmas līgumu tiks publicēta kopējā finanšu instrumentu tīmekļa vietnē </w:t>
            </w:r>
            <w:hyperlink r:id="rId14" w:history="1">
              <w:r w:rsidRPr="008429EE">
                <w:rPr>
                  <w:u w:val="single"/>
                </w:rPr>
                <w:t>www.eeagrants.lv</w:t>
              </w:r>
            </w:hyperlink>
            <w:r w:rsidRPr="008429EE">
              <w:t xml:space="preserve"> un sociāl</w:t>
            </w:r>
            <w:r w:rsidR="005A7F2C">
              <w:t>aj</w:t>
            </w:r>
            <w:r w:rsidRPr="008429EE">
              <w:t>os tīklos</w:t>
            </w:r>
            <w:r w:rsidR="005A7F2C">
              <w:t xml:space="preserve">, tādējādi nodrošinot, ka </w:t>
            </w:r>
            <w:r w:rsidRPr="008429EE">
              <w:t>tiesību normas piemērotājiem ir aktuāla un savlaicīga informācija.</w:t>
            </w:r>
          </w:p>
          <w:p w14:paraId="4C6F7421" w14:textId="38F5F89B" w:rsidR="007374F3" w:rsidRPr="008429EE" w:rsidRDefault="00603B60" w:rsidP="007374F3">
            <w:pPr>
              <w:spacing w:before="60" w:after="60"/>
              <w:jc w:val="both"/>
            </w:pPr>
            <w:r>
              <w:t xml:space="preserve">Informācija </w:t>
            </w:r>
            <w:r w:rsidR="007374F3" w:rsidRPr="008429EE">
              <w:t>par programmas līguma grozījumu parakstīšanu vai neparakstīšanu tiks nosūtīta programmas komitejai un sadarbības komitejai, saskaņojot programmas apsaimniekotāja tālāko rīcību.</w:t>
            </w:r>
          </w:p>
          <w:p w14:paraId="22F4E804" w14:textId="6522C010" w:rsidR="00BB116A" w:rsidRPr="008429EE" w:rsidRDefault="00BB116A" w:rsidP="007374F3">
            <w:pPr>
              <w:spacing w:before="60" w:after="60"/>
              <w:jc w:val="both"/>
            </w:pPr>
            <w:r w:rsidRPr="008429EE">
              <w:t>Ja programmas līguma grozījumi netiks parakstīti, tad noteikumu projekta 10.</w:t>
            </w:r>
            <w:r w:rsidR="008429EE" w:rsidRPr="008429EE">
              <w:t> </w:t>
            </w:r>
            <w:r w:rsidRPr="008429EE">
              <w:t>punktā minētie noteikuma projekta punkti nestāsies spēkā, un Noteikumu Nr.</w:t>
            </w:r>
            <w:r w:rsidR="008429EE" w:rsidRPr="008429EE">
              <w:t> </w:t>
            </w:r>
            <w:r w:rsidRPr="008429EE">
              <w:t>333 minētie punkti paliks līdzšinējā redakcijā.</w:t>
            </w:r>
            <w:r w:rsidR="00254CF2">
              <w:t xml:space="preserve"> Noteiktumos Nr.333</w:t>
            </w:r>
            <w:r w:rsidR="00C55A8C" w:rsidRPr="008429EE">
              <w:t xml:space="preserve"> tiks veikti grozījumi, dzēšot tos punktus, par kuriem grozījumi Programmas līgumā nav veikti.</w:t>
            </w:r>
          </w:p>
          <w:p w14:paraId="2B863B35" w14:textId="77777777" w:rsidR="008429EE" w:rsidRPr="00CE3717" w:rsidRDefault="008429EE" w:rsidP="007374F3">
            <w:pPr>
              <w:spacing w:before="60" w:after="60"/>
              <w:jc w:val="both"/>
            </w:pPr>
          </w:p>
          <w:p w14:paraId="1B261921" w14:textId="69CD1DE9" w:rsidR="00620271" w:rsidRPr="00945FA0" w:rsidRDefault="00033C5E" w:rsidP="008429EE">
            <w:pPr>
              <w:pStyle w:val="Default"/>
              <w:tabs>
                <w:tab w:val="left" w:pos="426"/>
                <w:tab w:val="left" w:pos="851"/>
                <w:tab w:val="left" w:pos="993"/>
              </w:tabs>
              <w:jc w:val="both"/>
              <w:rPr>
                <w:color w:val="auto"/>
              </w:rPr>
            </w:pPr>
            <w:r w:rsidRPr="00945FA0">
              <w:t>Protokollēmumā</w:t>
            </w:r>
            <w:r w:rsidR="00C76EDC" w:rsidRPr="00945FA0">
              <w:t>,</w:t>
            </w:r>
            <w:r w:rsidRPr="00945FA0">
              <w:t xml:space="preserve"> </w:t>
            </w:r>
            <w:r w:rsidR="00C76EDC" w:rsidRPr="00945FA0">
              <w:t xml:space="preserve">savukārt, </w:t>
            </w:r>
            <w:r w:rsidRPr="00945FA0">
              <w:t xml:space="preserve">norādīts, ka </w:t>
            </w:r>
            <w:r w:rsidR="00C76EDC" w:rsidRPr="00945FA0">
              <w:t xml:space="preserve">Programmas apsaimniekotājs var uzņemties no noteikumu projekta izrietošās saistības attiecībā uz finanšu līdzekļu pārdali no programmas aktivitātes “Stipendijas” uz  programmas aktivitāti “Baltijas pētniecības programma”, programmas aktivitātes “Baltijas pētniecības programma” </w:t>
            </w:r>
            <w:r w:rsidR="00C41091">
              <w:t xml:space="preserve">papildus finansējuma </w:t>
            </w:r>
            <w:r w:rsidR="00C76EDC" w:rsidRPr="00945FA0">
              <w:t>piešķiršanu un programmas aktivitātes “Stipendijas” īstermiņa un tiešsaistes mobilitāti tikai pēc programmas līguma grozījumu parakstīšanas.</w:t>
            </w:r>
          </w:p>
        </w:tc>
      </w:tr>
      <w:tr w:rsidR="00667AB2" w:rsidRPr="00BE1F39" w14:paraId="08643D59" w14:textId="77777777" w:rsidTr="00257FE4">
        <w:tblPrEx>
          <w:shd w:val="clear" w:color="auto" w:fill="auto"/>
          <w:tblCellMar>
            <w:top w:w="30" w:type="dxa"/>
            <w:left w:w="30" w:type="dxa"/>
            <w:bottom w:w="30" w:type="dxa"/>
            <w:right w:w="30" w:type="dxa"/>
          </w:tblCellMar>
        </w:tblPrEx>
        <w:trPr>
          <w:cantSplit/>
        </w:trPr>
        <w:tc>
          <w:tcPr>
            <w:tcW w:w="381" w:type="dxa"/>
            <w:hideMark/>
          </w:tcPr>
          <w:p w14:paraId="44177D78" w14:textId="6E5D1658" w:rsidR="00667AB2" w:rsidRPr="00BE1F39" w:rsidRDefault="00667AB2" w:rsidP="00C927BA">
            <w:pPr>
              <w:ind w:right="140"/>
              <w:jc w:val="center"/>
            </w:pPr>
            <w:r w:rsidRPr="00BE1F39">
              <w:lastRenderedPageBreak/>
              <w:t>3.</w:t>
            </w:r>
          </w:p>
        </w:tc>
        <w:tc>
          <w:tcPr>
            <w:tcW w:w="1933" w:type="dxa"/>
            <w:hideMark/>
          </w:tcPr>
          <w:p w14:paraId="54353AFC" w14:textId="77777777" w:rsidR="00667AB2" w:rsidRPr="00BE1F39" w:rsidRDefault="00667AB2" w:rsidP="00C927BA">
            <w:pPr>
              <w:ind w:right="140"/>
            </w:pPr>
            <w:r w:rsidRPr="00BE1F39">
              <w:t>Projekta izstrādē iesaistītās institūcijas un publiskas personas kapitālsabiedrības</w:t>
            </w:r>
          </w:p>
        </w:tc>
        <w:tc>
          <w:tcPr>
            <w:tcW w:w="7042" w:type="dxa"/>
            <w:hideMark/>
          </w:tcPr>
          <w:p w14:paraId="31E47E0F" w14:textId="70F36278" w:rsidR="00667AB2" w:rsidRPr="00BE1F39" w:rsidRDefault="00667AB2" w:rsidP="00C927BA">
            <w:pPr>
              <w:ind w:right="140"/>
              <w:jc w:val="both"/>
            </w:pPr>
            <w:r w:rsidRPr="00BE1F39">
              <w:t>M</w:t>
            </w:r>
            <w:r w:rsidR="00BB12DA" w:rsidRPr="00BE1F39">
              <w:t>inistrija,</w:t>
            </w:r>
            <w:r w:rsidRPr="00BE1F39">
              <w:t xml:space="preserve"> </w:t>
            </w:r>
            <w:r w:rsidR="005C7579" w:rsidRPr="00BE1F39">
              <w:t>Valsts izglītības attīstības a</w:t>
            </w:r>
            <w:r w:rsidR="00BB12DA" w:rsidRPr="00BE1F39">
              <w:t xml:space="preserve">ģentūra, </w:t>
            </w:r>
            <w:r w:rsidR="005C7579" w:rsidRPr="00BE1F39">
              <w:t>Latvijas Zinātnes p</w:t>
            </w:r>
            <w:r w:rsidR="00BF04EA" w:rsidRPr="00BE1F39">
              <w:t>adome.</w:t>
            </w:r>
          </w:p>
          <w:p w14:paraId="25C4C271" w14:textId="77777777" w:rsidR="00667AB2" w:rsidRPr="00BE1F39" w:rsidRDefault="00667AB2" w:rsidP="00C927BA">
            <w:pPr>
              <w:ind w:right="140"/>
              <w:jc w:val="both"/>
            </w:pPr>
          </w:p>
        </w:tc>
      </w:tr>
      <w:tr w:rsidR="00667AB2" w:rsidRPr="00BE1F39" w14:paraId="151A65B0" w14:textId="77777777" w:rsidTr="00257FE4">
        <w:tblPrEx>
          <w:shd w:val="clear" w:color="auto" w:fill="auto"/>
          <w:tblCellMar>
            <w:top w:w="30" w:type="dxa"/>
            <w:left w:w="30" w:type="dxa"/>
            <w:bottom w:w="30" w:type="dxa"/>
            <w:right w:w="30" w:type="dxa"/>
          </w:tblCellMar>
        </w:tblPrEx>
        <w:trPr>
          <w:cantSplit/>
        </w:trPr>
        <w:tc>
          <w:tcPr>
            <w:tcW w:w="381" w:type="dxa"/>
            <w:hideMark/>
          </w:tcPr>
          <w:p w14:paraId="08924013" w14:textId="77777777" w:rsidR="00667AB2" w:rsidRPr="00BE1F39" w:rsidRDefault="00667AB2" w:rsidP="00C927BA">
            <w:pPr>
              <w:ind w:right="140"/>
              <w:jc w:val="center"/>
            </w:pPr>
            <w:r w:rsidRPr="00BE1F39">
              <w:lastRenderedPageBreak/>
              <w:t>4.</w:t>
            </w:r>
          </w:p>
        </w:tc>
        <w:tc>
          <w:tcPr>
            <w:tcW w:w="1933" w:type="dxa"/>
            <w:hideMark/>
          </w:tcPr>
          <w:p w14:paraId="6DB0C9FA" w14:textId="77777777" w:rsidR="00667AB2" w:rsidRPr="00BE1F39" w:rsidRDefault="00667AB2" w:rsidP="00C927BA">
            <w:pPr>
              <w:ind w:right="140"/>
            </w:pPr>
            <w:r w:rsidRPr="00BE1F39">
              <w:t>Cita informācija</w:t>
            </w:r>
          </w:p>
        </w:tc>
        <w:tc>
          <w:tcPr>
            <w:tcW w:w="7042" w:type="dxa"/>
            <w:hideMark/>
          </w:tcPr>
          <w:p w14:paraId="32417B0D" w14:textId="77777777" w:rsidR="00667AB2" w:rsidRPr="00BE1F39" w:rsidRDefault="00667AB2" w:rsidP="00C927BA">
            <w:pPr>
              <w:ind w:right="140"/>
              <w:jc w:val="both"/>
            </w:pPr>
            <w:r w:rsidRPr="00BE1F39">
              <w:t xml:space="preserve">Nav. </w:t>
            </w:r>
          </w:p>
        </w:tc>
      </w:tr>
    </w:tbl>
    <w:p w14:paraId="30BBBAC0" w14:textId="6241642A" w:rsidR="00667AB2" w:rsidRPr="00BE1F39" w:rsidRDefault="001B6647" w:rsidP="00667AB2">
      <w:pPr>
        <w:pStyle w:val="Title"/>
        <w:ind w:right="140" w:firstLine="539"/>
        <w:jc w:val="both"/>
        <w:rPr>
          <w:sz w:val="24"/>
          <w:szCs w:val="24"/>
        </w:rPr>
      </w:pPr>
      <w:r>
        <w:rPr>
          <w:sz w:val="24"/>
          <w:szCs w:val="24"/>
        </w:rPr>
        <w:br w:type="textWrapping" w:clear="all"/>
      </w: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4"/>
        <w:gridCol w:w="2109"/>
        <w:gridCol w:w="6471"/>
      </w:tblGrid>
      <w:tr w:rsidR="00667AB2" w:rsidRPr="00BE1F39" w14:paraId="44DEAA34" w14:textId="77777777" w:rsidTr="00B716F3">
        <w:trPr>
          <w:cantSplit/>
        </w:trPr>
        <w:tc>
          <w:tcPr>
            <w:tcW w:w="5000" w:type="pct"/>
            <w:gridSpan w:val="3"/>
            <w:vAlign w:val="center"/>
            <w:hideMark/>
          </w:tcPr>
          <w:p w14:paraId="2CF818DD" w14:textId="77777777" w:rsidR="00667AB2" w:rsidRPr="00BE1F39" w:rsidRDefault="00667AB2" w:rsidP="00B716F3">
            <w:pPr>
              <w:ind w:right="140"/>
              <w:jc w:val="center"/>
            </w:pPr>
            <w:r w:rsidRPr="00BE1F39">
              <w:rPr>
                <w:b/>
                <w:bCs/>
              </w:rPr>
              <w:t>II. Tiesību akta projekta ietekme uz sabiedrību, tautsaimniecības attīstību un administratīvo slogu</w:t>
            </w:r>
          </w:p>
        </w:tc>
      </w:tr>
      <w:tr w:rsidR="00667AB2" w:rsidRPr="00BE1F39" w14:paraId="7B5C82AB" w14:textId="77777777" w:rsidTr="00667AB2">
        <w:trPr>
          <w:cantSplit/>
        </w:trPr>
        <w:tc>
          <w:tcPr>
            <w:tcW w:w="379" w:type="pct"/>
            <w:vAlign w:val="center"/>
          </w:tcPr>
          <w:p w14:paraId="2D347784" w14:textId="77777777" w:rsidR="00667AB2" w:rsidRPr="00BE1F39" w:rsidRDefault="00667AB2" w:rsidP="00B716F3">
            <w:pPr>
              <w:ind w:right="140"/>
              <w:jc w:val="center"/>
              <w:rPr>
                <w:bCs/>
              </w:rPr>
            </w:pPr>
            <w:r w:rsidRPr="00BE1F39">
              <w:rPr>
                <w:bCs/>
              </w:rPr>
              <w:t>1.</w:t>
            </w:r>
          </w:p>
        </w:tc>
        <w:tc>
          <w:tcPr>
            <w:tcW w:w="1136" w:type="pct"/>
            <w:vAlign w:val="center"/>
          </w:tcPr>
          <w:p w14:paraId="50D9C8A3" w14:textId="0F0F01E8" w:rsidR="00667AB2" w:rsidRPr="00BE1F39" w:rsidRDefault="00667AB2" w:rsidP="00B716F3">
            <w:pPr>
              <w:ind w:right="140"/>
              <w:jc w:val="both"/>
              <w:rPr>
                <w:bCs/>
              </w:rPr>
            </w:pPr>
            <w:r w:rsidRPr="00BE1F39">
              <w:rPr>
                <w:bCs/>
              </w:rPr>
              <w:t>Sabiedrības mērķgrupas, kuras tiesiskais regulējums ietekmē vai varētu ietekmēt</w:t>
            </w:r>
          </w:p>
        </w:tc>
        <w:tc>
          <w:tcPr>
            <w:tcW w:w="3484" w:type="pct"/>
            <w:vAlign w:val="center"/>
          </w:tcPr>
          <w:p w14:paraId="69514467" w14:textId="7F86E887" w:rsidR="005C7579" w:rsidRPr="00BE1F39" w:rsidRDefault="005C7579" w:rsidP="00D72433">
            <w:pPr>
              <w:ind w:right="140"/>
              <w:jc w:val="both"/>
              <w:rPr>
                <w:bCs/>
              </w:rPr>
            </w:pPr>
            <w:r w:rsidRPr="00BE1F39">
              <w:rPr>
                <w:bCs/>
              </w:rPr>
              <w:t>1) Valsts izglītības attīstības aģentūra;</w:t>
            </w:r>
          </w:p>
          <w:p w14:paraId="0A7678A0" w14:textId="194AEAC7" w:rsidR="005C7579" w:rsidRPr="00BE1F39" w:rsidRDefault="005C7579" w:rsidP="00D72433">
            <w:pPr>
              <w:ind w:right="140"/>
              <w:jc w:val="both"/>
              <w:rPr>
                <w:bCs/>
              </w:rPr>
            </w:pPr>
            <w:r w:rsidRPr="00BE1F39">
              <w:rPr>
                <w:bCs/>
              </w:rPr>
              <w:t xml:space="preserve">2) Latvijas </w:t>
            </w:r>
            <w:r w:rsidR="00944AA3" w:rsidRPr="00BE1F39">
              <w:rPr>
                <w:bCs/>
              </w:rPr>
              <w:t>Z</w:t>
            </w:r>
            <w:r w:rsidRPr="00BE1F39">
              <w:rPr>
                <w:bCs/>
              </w:rPr>
              <w:t>inātnes padome;</w:t>
            </w:r>
          </w:p>
          <w:p w14:paraId="43632266" w14:textId="7574708F" w:rsidR="005C7579" w:rsidRPr="00BE1F39" w:rsidRDefault="005C7579" w:rsidP="00D72433">
            <w:pPr>
              <w:ind w:right="140"/>
              <w:jc w:val="both"/>
              <w:rPr>
                <w:bCs/>
              </w:rPr>
            </w:pPr>
            <w:r w:rsidRPr="00BE1F39">
              <w:rPr>
                <w:bCs/>
              </w:rPr>
              <w:t xml:space="preserve">3) Latvijas augstskolas – </w:t>
            </w:r>
            <w:r w:rsidR="00B03FE6" w:rsidRPr="00BE1F39">
              <w:rPr>
                <w:bCs/>
              </w:rPr>
              <w:t>Programmas aktivitātes “Stipendijas” projekt</w:t>
            </w:r>
            <w:r w:rsidR="00285F1A">
              <w:rPr>
                <w:bCs/>
              </w:rPr>
              <w:t>a</w:t>
            </w:r>
            <w:r w:rsidRPr="00BE1F39">
              <w:rPr>
                <w:bCs/>
              </w:rPr>
              <w:t xml:space="preserve"> iesnieguma iesniedzēji;</w:t>
            </w:r>
          </w:p>
          <w:p w14:paraId="4DF2EC35" w14:textId="4DC8E0BF" w:rsidR="00667AB2" w:rsidRPr="00BE1F39" w:rsidRDefault="005C7579" w:rsidP="00B03FE6">
            <w:pPr>
              <w:ind w:right="140"/>
              <w:jc w:val="both"/>
              <w:rPr>
                <w:bCs/>
              </w:rPr>
            </w:pPr>
            <w:r w:rsidRPr="00BE1F39">
              <w:rPr>
                <w:bCs/>
              </w:rPr>
              <w:t>4) </w:t>
            </w:r>
            <w:r w:rsidR="00DF4CE8" w:rsidRPr="00BE1F39">
              <w:rPr>
                <w:bCs/>
              </w:rPr>
              <w:t>Latvij</w:t>
            </w:r>
            <w:r w:rsidR="00285F1A">
              <w:rPr>
                <w:bCs/>
              </w:rPr>
              <w:t>ā</w:t>
            </w:r>
            <w:r w:rsidR="00DF4CE8" w:rsidRPr="00BE1F39">
              <w:rPr>
                <w:bCs/>
              </w:rPr>
              <w:t xml:space="preserve"> </w:t>
            </w:r>
            <w:r w:rsidR="00285F1A">
              <w:rPr>
                <w:bCs/>
              </w:rPr>
              <w:t xml:space="preserve">reģistrētas zinātniskās institūcijas, kas atbilst </w:t>
            </w:r>
            <w:r w:rsidR="00DF4CE8" w:rsidRPr="00BE1F39">
              <w:rPr>
                <w:bCs/>
              </w:rPr>
              <w:t xml:space="preserve">pētniecības organizācijas </w:t>
            </w:r>
            <w:r w:rsidR="00285F1A">
              <w:rPr>
                <w:bCs/>
              </w:rPr>
              <w:t xml:space="preserve">statusam </w:t>
            </w:r>
            <w:r w:rsidR="000E54B9">
              <w:rPr>
                <w:bCs/>
              </w:rPr>
              <w:t>–</w:t>
            </w:r>
            <w:r w:rsidR="00DF4CE8" w:rsidRPr="00BE1F39">
              <w:rPr>
                <w:bCs/>
              </w:rPr>
              <w:t xml:space="preserve"> </w:t>
            </w:r>
            <w:r w:rsidRPr="00BE1F39">
              <w:rPr>
                <w:bCs/>
              </w:rPr>
              <w:t>Baltijas pētniecības programmas projekta iesnieguma iesniedzēji</w:t>
            </w:r>
            <w:r w:rsidR="00B03FE6" w:rsidRPr="00BE1F39">
              <w:rPr>
                <w:bCs/>
              </w:rPr>
              <w:t>.</w:t>
            </w:r>
          </w:p>
        </w:tc>
      </w:tr>
      <w:tr w:rsidR="00667AB2" w:rsidRPr="00BE1F39" w14:paraId="276E086A" w14:textId="77777777" w:rsidTr="00667AB2">
        <w:trPr>
          <w:cantSplit/>
        </w:trPr>
        <w:tc>
          <w:tcPr>
            <w:tcW w:w="379" w:type="pct"/>
            <w:vAlign w:val="center"/>
          </w:tcPr>
          <w:p w14:paraId="270DDD06" w14:textId="797401E2" w:rsidR="00667AB2" w:rsidRPr="00BE1F39" w:rsidRDefault="00667AB2" w:rsidP="00B716F3">
            <w:pPr>
              <w:ind w:right="140"/>
              <w:jc w:val="center"/>
              <w:rPr>
                <w:bCs/>
              </w:rPr>
            </w:pPr>
            <w:r w:rsidRPr="00BE1F39">
              <w:rPr>
                <w:bCs/>
              </w:rPr>
              <w:t>2.</w:t>
            </w:r>
          </w:p>
        </w:tc>
        <w:tc>
          <w:tcPr>
            <w:tcW w:w="1136" w:type="pct"/>
            <w:vAlign w:val="center"/>
          </w:tcPr>
          <w:p w14:paraId="59E4EF3E" w14:textId="77777777" w:rsidR="00667AB2" w:rsidRPr="00BE1F39" w:rsidRDefault="00667AB2" w:rsidP="00B716F3">
            <w:pPr>
              <w:ind w:right="140"/>
              <w:jc w:val="both"/>
              <w:rPr>
                <w:bCs/>
              </w:rPr>
            </w:pPr>
            <w:r w:rsidRPr="00BE1F39">
              <w:rPr>
                <w:bCs/>
              </w:rPr>
              <w:t>Tiesiskā regulējuma ietekme uz tautsaimniecību un administratīvo slogu</w:t>
            </w:r>
          </w:p>
        </w:tc>
        <w:tc>
          <w:tcPr>
            <w:tcW w:w="3484" w:type="pct"/>
            <w:vAlign w:val="center"/>
          </w:tcPr>
          <w:p w14:paraId="3EBB02FA" w14:textId="7B6DB740" w:rsidR="00667AB2" w:rsidRPr="00BE1F39" w:rsidRDefault="000E54B9" w:rsidP="008C0887">
            <w:pPr>
              <w:ind w:right="140"/>
              <w:jc w:val="both"/>
              <w:rPr>
                <w:bCs/>
              </w:rPr>
            </w:pPr>
            <w:r>
              <w:rPr>
                <w:bCs/>
              </w:rPr>
              <w:t>Noteikumu p</w:t>
            </w:r>
            <w:r w:rsidR="00D72433" w:rsidRPr="00BE1F39">
              <w:rPr>
                <w:bCs/>
              </w:rPr>
              <w:t>rojekta tiesiska</w:t>
            </w:r>
            <w:r w:rsidR="00454DD0">
              <w:rPr>
                <w:bCs/>
              </w:rPr>
              <w:t>jam</w:t>
            </w:r>
            <w:r w:rsidR="00D72433" w:rsidRPr="00BE1F39">
              <w:rPr>
                <w:bCs/>
              </w:rPr>
              <w:t xml:space="preserve"> regulējumam nav ietekmes uz tautsaimniecību un administratīvo slogu, jo </w:t>
            </w:r>
            <w:r w:rsidR="00454DD0">
              <w:rPr>
                <w:bCs/>
              </w:rPr>
              <w:t xml:space="preserve">tas </w:t>
            </w:r>
            <w:r w:rsidR="00D72433" w:rsidRPr="00BE1F39">
              <w:rPr>
                <w:bCs/>
              </w:rPr>
              <w:t xml:space="preserve">paredz </w:t>
            </w:r>
            <w:r w:rsidR="00961136" w:rsidRPr="00BE1F39">
              <w:rPr>
                <w:bCs/>
              </w:rPr>
              <w:t>datuma</w:t>
            </w:r>
            <w:r w:rsidR="00F63D8E">
              <w:rPr>
                <w:bCs/>
              </w:rPr>
              <w:t xml:space="preserve">, </w:t>
            </w:r>
            <w:r w:rsidR="00BD219A">
              <w:rPr>
                <w:bCs/>
              </w:rPr>
              <w:t>sākot no</w:t>
            </w:r>
            <w:r w:rsidR="00F63D8E">
              <w:rPr>
                <w:bCs/>
              </w:rPr>
              <w:t xml:space="preserve"> kur</w:t>
            </w:r>
            <w:r w:rsidR="00BD219A">
              <w:rPr>
                <w:bCs/>
              </w:rPr>
              <w:t>a</w:t>
            </w:r>
            <w:r w:rsidR="00F63D8E">
              <w:rPr>
                <w:bCs/>
              </w:rPr>
              <w:t xml:space="preserve"> Baltijas pētniecības programmas aģentūras funkcijas </w:t>
            </w:r>
            <w:r w:rsidR="00BD219A">
              <w:rPr>
                <w:bCs/>
              </w:rPr>
              <w:t>pilda</w:t>
            </w:r>
            <w:r w:rsidR="00F63D8E">
              <w:rPr>
                <w:bCs/>
              </w:rPr>
              <w:t xml:space="preserve"> Latvijas Zinātnes padome,</w:t>
            </w:r>
            <w:r w:rsidR="00961136" w:rsidRPr="00BE1F39">
              <w:rPr>
                <w:bCs/>
              </w:rPr>
              <w:t xml:space="preserve"> maiņu </w:t>
            </w:r>
            <w:r w:rsidR="00BD219A">
              <w:rPr>
                <w:bCs/>
              </w:rPr>
              <w:t xml:space="preserve">atbilstoši </w:t>
            </w:r>
            <w:r w:rsidR="00BD219A">
              <w:t xml:space="preserve">Rīkojumā Nr. 151 noteiktajai </w:t>
            </w:r>
            <w:r w:rsidR="008C0887">
              <w:t>Ministrijas</w:t>
            </w:r>
            <w:r w:rsidR="00BD219A">
              <w:t xml:space="preserve"> padotībā esošo valsts pārvaldes iestāžu </w:t>
            </w:r>
            <w:r w:rsidR="00331B4E" w:rsidRPr="00BE1F39">
              <w:rPr>
                <w:bCs/>
              </w:rPr>
              <w:t>reorganizācija</w:t>
            </w:r>
            <w:r w:rsidR="00BD219A">
              <w:rPr>
                <w:bCs/>
              </w:rPr>
              <w:t>i</w:t>
            </w:r>
            <w:r w:rsidR="00D72433" w:rsidRPr="00BE1F39">
              <w:rPr>
                <w:bCs/>
              </w:rPr>
              <w:t>, nemainot to būtību.</w:t>
            </w:r>
          </w:p>
        </w:tc>
      </w:tr>
      <w:tr w:rsidR="00667AB2" w:rsidRPr="00BE1F39" w14:paraId="523BC49A" w14:textId="77777777" w:rsidTr="00667AB2">
        <w:trPr>
          <w:cantSplit/>
        </w:trPr>
        <w:tc>
          <w:tcPr>
            <w:tcW w:w="379" w:type="pct"/>
            <w:vAlign w:val="center"/>
          </w:tcPr>
          <w:p w14:paraId="43458AF2" w14:textId="77777777" w:rsidR="00667AB2" w:rsidRPr="00BE1F39" w:rsidRDefault="00667AB2" w:rsidP="00B716F3">
            <w:pPr>
              <w:ind w:right="140"/>
              <w:jc w:val="center"/>
              <w:rPr>
                <w:bCs/>
              </w:rPr>
            </w:pPr>
            <w:r w:rsidRPr="00BE1F39">
              <w:rPr>
                <w:bCs/>
              </w:rPr>
              <w:t>3.</w:t>
            </w:r>
          </w:p>
        </w:tc>
        <w:tc>
          <w:tcPr>
            <w:tcW w:w="1136" w:type="pct"/>
            <w:vAlign w:val="center"/>
          </w:tcPr>
          <w:p w14:paraId="5DF047D8" w14:textId="77777777" w:rsidR="00667AB2" w:rsidRPr="00BE1F39" w:rsidRDefault="00667AB2" w:rsidP="00B716F3">
            <w:pPr>
              <w:ind w:right="140"/>
              <w:jc w:val="both"/>
              <w:rPr>
                <w:bCs/>
              </w:rPr>
            </w:pPr>
            <w:r w:rsidRPr="00BE1F39">
              <w:rPr>
                <w:bCs/>
              </w:rPr>
              <w:t>Administratīvo izmaksu monetārs novērtējums</w:t>
            </w:r>
          </w:p>
        </w:tc>
        <w:tc>
          <w:tcPr>
            <w:tcW w:w="3484" w:type="pct"/>
            <w:vAlign w:val="center"/>
          </w:tcPr>
          <w:p w14:paraId="660112D1" w14:textId="37875BCE" w:rsidR="00667AB2" w:rsidRPr="00BE1F39" w:rsidRDefault="003710E7" w:rsidP="00B716F3">
            <w:pPr>
              <w:ind w:right="140"/>
              <w:jc w:val="both"/>
              <w:rPr>
                <w:bCs/>
              </w:rPr>
            </w:pPr>
            <w:r w:rsidRPr="00BE1F39">
              <w:t>Noteikumu projekts šo jomu neskar</w:t>
            </w:r>
            <w:r w:rsidR="002A5D42" w:rsidRPr="00BE1F39">
              <w:t>.</w:t>
            </w:r>
          </w:p>
        </w:tc>
      </w:tr>
      <w:tr w:rsidR="00667AB2" w:rsidRPr="00BE1F39" w14:paraId="641C22C6" w14:textId="77777777" w:rsidTr="00667AB2">
        <w:trPr>
          <w:cantSplit/>
        </w:trPr>
        <w:tc>
          <w:tcPr>
            <w:tcW w:w="379" w:type="pct"/>
            <w:vAlign w:val="center"/>
          </w:tcPr>
          <w:p w14:paraId="59F21844" w14:textId="77777777" w:rsidR="00667AB2" w:rsidRPr="00BE1F39" w:rsidRDefault="00667AB2" w:rsidP="00B716F3">
            <w:pPr>
              <w:ind w:right="140"/>
              <w:jc w:val="center"/>
              <w:rPr>
                <w:bCs/>
              </w:rPr>
            </w:pPr>
            <w:r w:rsidRPr="00BE1F39">
              <w:rPr>
                <w:bCs/>
              </w:rPr>
              <w:t>4.</w:t>
            </w:r>
          </w:p>
        </w:tc>
        <w:tc>
          <w:tcPr>
            <w:tcW w:w="1136" w:type="pct"/>
            <w:vAlign w:val="center"/>
          </w:tcPr>
          <w:p w14:paraId="3799DE1E" w14:textId="77777777" w:rsidR="00667AB2" w:rsidRPr="00BE1F39" w:rsidRDefault="00667AB2" w:rsidP="00B716F3">
            <w:pPr>
              <w:ind w:right="140"/>
              <w:jc w:val="both"/>
              <w:rPr>
                <w:bCs/>
              </w:rPr>
            </w:pPr>
            <w:r w:rsidRPr="00BE1F39">
              <w:rPr>
                <w:bCs/>
              </w:rPr>
              <w:t>Atbilstības izmaksu monetārs novērtējums</w:t>
            </w:r>
          </w:p>
        </w:tc>
        <w:tc>
          <w:tcPr>
            <w:tcW w:w="3484" w:type="pct"/>
            <w:vAlign w:val="center"/>
          </w:tcPr>
          <w:p w14:paraId="24EAF094" w14:textId="44E913D5" w:rsidR="00667AB2" w:rsidRPr="00BE1F39" w:rsidRDefault="000E54B9" w:rsidP="00B716F3">
            <w:pPr>
              <w:ind w:right="140"/>
              <w:jc w:val="both"/>
              <w:rPr>
                <w:bCs/>
              </w:rPr>
            </w:pPr>
            <w:r>
              <w:rPr>
                <w:bCs/>
              </w:rPr>
              <w:t>Noteikumu p</w:t>
            </w:r>
            <w:r w:rsidR="00667AB2" w:rsidRPr="00BE1F39">
              <w:rPr>
                <w:bCs/>
              </w:rPr>
              <w:t>rojekts neparedz atbilstības izmaksas.</w:t>
            </w:r>
          </w:p>
        </w:tc>
      </w:tr>
      <w:tr w:rsidR="00667AB2" w:rsidRPr="00BE1F39" w14:paraId="4BF330A9" w14:textId="77777777" w:rsidTr="00667AB2">
        <w:trPr>
          <w:cantSplit/>
        </w:trPr>
        <w:tc>
          <w:tcPr>
            <w:tcW w:w="379" w:type="pct"/>
            <w:vAlign w:val="center"/>
          </w:tcPr>
          <w:p w14:paraId="266EEAEF" w14:textId="77777777" w:rsidR="00667AB2" w:rsidRPr="00BE1F39" w:rsidRDefault="00667AB2" w:rsidP="00B716F3">
            <w:pPr>
              <w:ind w:right="140"/>
              <w:jc w:val="center"/>
              <w:rPr>
                <w:bCs/>
              </w:rPr>
            </w:pPr>
            <w:r w:rsidRPr="00BE1F39">
              <w:rPr>
                <w:bCs/>
              </w:rPr>
              <w:t>5.</w:t>
            </w:r>
          </w:p>
        </w:tc>
        <w:tc>
          <w:tcPr>
            <w:tcW w:w="1136" w:type="pct"/>
            <w:vAlign w:val="center"/>
          </w:tcPr>
          <w:p w14:paraId="0837A6F9" w14:textId="77777777" w:rsidR="00667AB2" w:rsidRPr="00BE1F39" w:rsidRDefault="00667AB2" w:rsidP="00B716F3">
            <w:pPr>
              <w:ind w:right="140"/>
              <w:jc w:val="both"/>
              <w:rPr>
                <w:bCs/>
              </w:rPr>
            </w:pPr>
            <w:r w:rsidRPr="00BE1F39">
              <w:rPr>
                <w:bCs/>
              </w:rPr>
              <w:t>Cita informācija</w:t>
            </w:r>
          </w:p>
        </w:tc>
        <w:tc>
          <w:tcPr>
            <w:tcW w:w="3484" w:type="pct"/>
            <w:vAlign w:val="center"/>
          </w:tcPr>
          <w:p w14:paraId="5A0D5142" w14:textId="77777777" w:rsidR="00667AB2" w:rsidRPr="00BE1F39" w:rsidRDefault="00667AB2" w:rsidP="00B716F3">
            <w:pPr>
              <w:ind w:right="140"/>
              <w:jc w:val="both"/>
              <w:rPr>
                <w:bCs/>
              </w:rPr>
            </w:pPr>
            <w:r w:rsidRPr="00BE1F39">
              <w:rPr>
                <w:bCs/>
              </w:rPr>
              <w:t>Nav.</w:t>
            </w:r>
          </w:p>
        </w:tc>
      </w:tr>
    </w:tbl>
    <w:p w14:paraId="4B9E9B83" w14:textId="27007D3B" w:rsidR="00667AB2" w:rsidRPr="00BE1F39" w:rsidRDefault="00667AB2" w:rsidP="00667AB2">
      <w:pPr>
        <w:ind w:right="140"/>
      </w:pPr>
      <w:bookmarkStart w:id="3" w:name="_Hlk514177966"/>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8"/>
      </w:tblGrid>
      <w:tr w:rsidR="00667AB2" w:rsidRPr="00BE1F39" w14:paraId="62E3C97F" w14:textId="77777777" w:rsidTr="00B716F3">
        <w:tc>
          <w:tcPr>
            <w:tcW w:w="9356" w:type="dxa"/>
            <w:hideMark/>
          </w:tcPr>
          <w:p w14:paraId="1EC0BB72" w14:textId="77777777" w:rsidR="00667AB2" w:rsidRPr="00BE1F39" w:rsidRDefault="00667AB2" w:rsidP="00B716F3">
            <w:pPr>
              <w:jc w:val="center"/>
              <w:rPr>
                <w:b/>
                <w:bCs/>
                <w:iCs/>
              </w:rPr>
            </w:pPr>
            <w:r w:rsidRPr="00BE1F39">
              <w:rPr>
                <w:b/>
                <w:bCs/>
                <w:iCs/>
              </w:rPr>
              <w:t>III. Tiesību akta projekta ietekme uz valsts budžetu un pašvaldību budžetiem</w:t>
            </w:r>
          </w:p>
        </w:tc>
      </w:tr>
      <w:tr w:rsidR="00667AB2" w:rsidRPr="00BE1F39" w14:paraId="7B227731" w14:textId="77777777" w:rsidTr="00B716F3">
        <w:tc>
          <w:tcPr>
            <w:tcW w:w="9356" w:type="dxa"/>
          </w:tcPr>
          <w:p w14:paraId="57B5F91B" w14:textId="77777777" w:rsidR="00667AB2" w:rsidRPr="00BE1F39" w:rsidRDefault="00667AB2" w:rsidP="00B716F3">
            <w:pPr>
              <w:jc w:val="center"/>
              <w:rPr>
                <w:b/>
                <w:bCs/>
                <w:iCs/>
              </w:rPr>
            </w:pPr>
            <w:r w:rsidRPr="00BE1F39">
              <w:rPr>
                <w:bCs/>
                <w:iCs/>
              </w:rPr>
              <w:t>Noteikumu projekts šo jomu neskar.</w:t>
            </w:r>
          </w:p>
        </w:tc>
      </w:tr>
    </w:tbl>
    <w:p w14:paraId="744392B3" w14:textId="77777777" w:rsidR="00667AB2" w:rsidRPr="00BE1F39" w:rsidRDefault="00667AB2" w:rsidP="00667AB2">
      <w:pPr>
        <w:ind w:right="140"/>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4"/>
      </w:tblGrid>
      <w:tr w:rsidR="00667AB2" w:rsidRPr="00BE1F39" w14:paraId="7C12EE0A" w14:textId="77777777" w:rsidTr="00B716F3">
        <w:trPr>
          <w:cantSplit/>
        </w:trPr>
        <w:tc>
          <w:tcPr>
            <w:tcW w:w="9356" w:type="dxa"/>
            <w:tcBorders>
              <w:top w:val="single" w:sz="4" w:space="0" w:color="auto"/>
              <w:left w:val="single" w:sz="4" w:space="0" w:color="auto"/>
              <w:bottom w:val="single" w:sz="4" w:space="0" w:color="auto"/>
              <w:right w:val="single" w:sz="4" w:space="0" w:color="auto"/>
            </w:tcBorders>
            <w:vAlign w:val="center"/>
            <w:hideMark/>
          </w:tcPr>
          <w:p w14:paraId="5F5FDFA0" w14:textId="77777777" w:rsidR="00667AB2" w:rsidRPr="00BE1F39" w:rsidRDefault="00667AB2" w:rsidP="00B716F3">
            <w:pPr>
              <w:ind w:right="140"/>
              <w:jc w:val="center"/>
              <w:rPr>
                <w:b/>
                <w:bCs/>
              </w:rPr>
            </w:pPr>
            <w:r w:rsidRPr="00BE1F39">
              <w:rPr>
                <w:b/>
                <w:bCs/>
              </w:rPr>
              <w:t>IV. Tiesību akta projekta ietekme uz spēkā esošo tiesību normu sistēmu</w:t>
            </w:r>
          </w:p>
        </w:tc>
      </w:tr>
      <w:tr w:rsidR="00667AB2" w:rsidRPr="00BE1F39" w14:paraId="0B541649" w14:textId="77777777" w:rsidTr="00B716F3">
        <w:trPr>
          <w:cantSplit/>
        </w:trPr>
        <w:tc>
          <w:tcPr>
            <w:tcW w:w="9356" w:type="dxa"/>
            <w:tcBorders>
              <w:top w:val="single" w:sz="4" w:space="0" w:color="auto"/>
              <w:left w:val="single" w:sz="4" w:space="0" w:color="auto"/>
              <w:bottom w:val="single" w:sz="4" w:space="0" w:color="auto"/>
              <w:right w:val="single" w:sz="4" w:space="0" w:color="auto"/>
            </w:tcBorders>
            <w:vAlign w:val="center"/>
          </w:tcPr>
          <w:p w14:paraId="7D42EB91" w14:textId="77777777" w:rsidR="00667AB2" w:rsidRPr="00BE1F39" w:rsidRDefault="00667AB2" w:rsidP="00B716F3">
            <w:pPr>
              <w:ind w:right="140"/>
              <w:jc w:val="center"/>
              <w:rPr>
                <w:b/>
                <w:bCs/>
              </w:rPr>
            </w:pPr>
            <w:r w:rsidRPr="00BE1F39">
              <w:rPr>
                <w:bCs/>
                <w:iCs/>
              </w:rPr>
              <w:t>Noteikumu projekts šo jomu neskar.</w:t>
            </w:r>
          </w:p>
        </w:tc>
      </w:tr>
      <w:bookmarkEnd w:id="3"/>
    </w:tbl>
    <w:p w14:paraId="58A600A7" w14:textId="77777777" w:rsidR="00667AB2" w:rsidRPr="00BE1F39" w:rsidRDefault="00667AB2" w:rsidP="00667AB2">
      <w:pPr>
        <w:ind w:right="140"/>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4"/>
      </w:tblGrid>
      <w:tr w:rsidR="00667AB2" w:rsidRPr="00BE1F39" w14:paraId="402AE4E1" w14:textId="77777777" w:rsidTr="002A5D42">
        <w:trPr>
          <w:cantSplit/>
        </w:trPr>
        <w:tc>
          <w:tcPr>
            <w:tcW w:w="9284" w:type="dxa"/>
            <w:vAlign w:val="center"/>
            <w:hideMark/>
          </w:tcPr>
          <w:p w14:paraId="7373E526" w14:textId="77777777" w:rsidR="00667AB2" w:rsidRPr="00BE1F39" w:rsidRDefault="00667AB2" w:rsidP="00B716F3">
            <w:pPr>
              <w:ind w:right="140"/>
              <w:jc w:val="center"/>
              <w:rPr>
                <w:b/>
                <w:bCs/>
              </w:rPr>
            </w:pPr>
            <w:r w:rsidRPr="00BE1F39">
              <w:br w:type="page"/>
            </w:r>
            <w:r w:rsidRPr="00BE1F39">
              <w:rPr>
                <w:b/>
                <w:bCs/>
              </w:rPr>
              <w:t>V. Tiesību akta projekta atbilstība Latvijas Republikas starptautiskajām saistībām</w:t>
            </w:r>
          </w:p>
        </w:tc>
      </w:tr>
      <w:tr w:rsidR="002A5D42" w:rsidRPr="00BE1F39" w14:paraId="18077450" w14:textId="77777777" w:rsidTr="002A5D42">
        <w:trPr>
          <w:cantSplit/>
        </w:trPr>
        <w:tc>
          <w:tcPr>
            <w:tcW w:w="9284" w:type="dxa"/>
            <w:vAlign w:val="center"/>
          </w:tcPr>
          <w:p w14:paraId="61FF3E57" w14:textId="37E2C861" w:rsidR="002A5D42" w:rsidRPr="00BE1F39" w:rsidRDefault="002A5D42" w:rsidP="00B716F3">
            <w:pPr>
              <w:ind w:right="140"/>
              <w:jc w:val="center"/>
            </w:pPr>
            <w:r w:rsidRPr="00BE1F39">
              <w:rPr>
                <w:bCs/>
                <w:iCs/>
              </w:rPr>
              <w:t>Noteikumu projekts šo jomu neskar.</w:t>
            </w:r>
          </w:p>
        </w:tc>
      </w:tr>
    </w:tbl>
    <w:p w14:paraId="663B840A" w14:textId="77777777" w:rsidR="00667AB2" w:rsidRPr="00BE1F39" w:rsidRDefault="00667AB2" w:rsidP="00667AB2">
      <w:pPr>
        <w:ind w:right="140"/>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4"/>
      </w:tblGrid>
      <w:tr w:rsidR="00667AB2" w:rsidRPr="00BE1F39" w14:paraId="442110F4" w14:textId="77777777" w:rsidTr="00B716F3">
        <w:tc>
          <w:tcPr>
            <w:tcW w:w="9356" w:type="dxa"/>
            <w:vAlign w:val="center"/>
            <w:hideMark/>
          </w:tcPr>
          <w:p w14:paraId="14455D82" w14:textId="77777777" w:rsidR="00667AB2" w:rsidRPr="00BE1F39" w:rsidRDefault="00667AB2" w:rsidP="00B716F3">
            <w:pPr>
              <w:ind w:right="140"/>
              <w:jc w:val="center"/>
              <w:rPr>
                <w:b/>
                <w:bCs/>
              </w:rPr>
            </w:pPr>
            <w:r w:rsidRPr="00BE1F39">
              <w:rPr>
                <w:b/>
                <w:bCs/>
              </w:rPr>
              <w:t>VI. Sabiedrības līdzdalība un komunikācijas aktivitātes</w:t>
            </w:r>
          </w:p>
        </w:tc>
      </w:tr>
      <w:tr w:rsidR="00667AB2" w:rsidRPr="00BE1F39" w14:paraId="2894525B" w14:textId="77777777" w:rsidTr="00B716F3">
        <w:tc>
          <w:tcPr>
            <w:tcW w:w="9356" w:type="dxa"/>
            <w:vAlign w:val="center"/>
          </w:tcPr>
          <w:p w14:paraId="43943A7B" w14:textId="3584B8D1" w:rsidR="00667AB2" w:rsidRPr="00BE1F39" w:rsidRDefault="00106D17" w:rsidP="00DF7D33">
            <w:pPr>
              <w:ind w:right="140"/>
              <w:jc w:val="both"/>
              <w:rPr>
                <w:b/>
                <w:bCs/>
              </w:rPr>
            </w:pPr>
            <w:r>
              <w:t xml:space="preserve"> 2020.</w:t>
            </w:r>
            <w:r w:rsidR="00C62D86">
              <w:t> </w:t>
            </w:r>
            <w:r>
              <w:t>gada 3.</w:t>
            </w:r>
            <w:r w:rsidR="00C62D86">
              <w:t> </w:t>
            </w:r>
            <w:r>
              <w:t>februārī Noteikumi Nr.</w:t>
            </w:r>
            <w:r w:rsidR="00C62D86">
              <w:t> </w:t>
            </w:r>
            <w:r>
              <w:t>333 tika publicēti Izglītības un zinātnes ministrijas tīmekļvietnē un Valsts kancelejas tīmekļvietnē sabiedrības līdzdalībai ar termiņu līdz 2020.</w:t>
            </w:r>
            <w:r w:rsidR="00C62D86">
              <w:t> </w:t>
            </w:r>
            <w:r>
              <w:t>gada 17.</w:t>
            </w:r>
            <w:r w:rsidR="00C62D86">
              <w:t> </w:t>
            </w:r>
            <w:r>
              <w:t xml:space="preserve">februārim. Noteikumu projekts </w:t>
            </w:r>
            <w:r w:rsidR="00DF7D33">
              <w:t>nemaina projekta iesniegumu iesniedzēju, gala saņēmēju loku, kā arī iznākumu un rezultātu rādītājus, tādēļ noteikumu projekts atkārtoti publicēts netika.</w:t>
            </w:r>
          </w:p>
        </w:tc>
      </w:tr>
    </w:tbl>
    <w:p w14:paraId="5D284672" w14:textId="77777777" w:rsidR="00667AB2" w:rsidRPr="00BE1F39" w:rsidRDefault="00667AB2" w:rsidP="00667AB2">
      <w:pPr>
        <w:pStyle w:val="Title"/>
        <w:ind w:right="140" w:firstLine="539"/>
        <w:jc w:val="both"/>
        <w:rPr>
          <w:sz w:val="24"/>
          <w:szCs w:val="24"/>
        </w:rPr>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87"/>
        <w:gridCol w:w="2059"/>
        <w:gridCol w:w="6538"/>
      </w:tblGrid>
      <w:tr w:rsidR="00667AB2" w:rsidRPr="00BE1F39" w14:paraId="04BF8A1F" w14:textId="77777777" w:rsidTr="00B716F3">
        <w:tc>
          <w:tcPr>
            <w:tcW w:w="5000" w:type="pct"/>
            <w:gridSpan w:val="3"/>
            <w:vAlign w:val="center"/>
            <w:hideMark/>
          </w:tcPr>
          <w:p w14:paraId="6D237800" w14:textId="77777777" w:rsidR="00667AB2" w:rsidRPr="00BE1F39" w:rsidRDefault="00667AB2" w:rsidP="00B716F3">
            <w:pPr>
              <w:ind w:right="140"/>
              <w:jc w:val="center"/>
              <w:rPr>
                <w:b/>
                <w:bCs/>
              </w:rPr>
            </w:pPr>
            <w:r w:rsidRPr="00BE1F39">
              <w:rPr>
                <w:b/>
                <w:bCs/>
              </w:rPr>
              <w:t>VII. Tiesību akta projekta izpildes nodrošināšana un tās ietekme uz institūcijām</w:t>
            </w:r>
          </w:p>
        </w:tc>
      </w:tr>
      <w:tr w:rsidR="00667AB2" w:rsidRPr="00BE1F39" w14:paraId="2D03DAA1" w14:textId="77777777" w:rsidTr="00B716F3">
        <w:tc>
          <w:tcPr>
            <w:tcW w:w="370" w:type="pct"/>
            <w:hideMark/>
          </w:tcPr>
          <w:p w14:paraId="43226CF3" w14:textId="77777777" w:rsidR="00667AB2" w:rsidRPr="00BE1F39" w:rsidRDefault="00667AB2" w:rsidP="00B716F3">
            <w:pPr>
              <w:ind w:right="140"/>
              <w:jc w:val="center"/>
            </w:pPr>
            <w:r w:rsidRPr="00BE1F39">
              <w:t>1.</w:t>
            </w:r>
          </w:p>
        </w:tc>
        <w:tc>
          <w:tcPr>
            <w:tcW w:w="1109" w:type="pct"/>
            <w:hideMark/>
          </w:tcPr>
          <w:p w14:paraId="1ABA8E21" w14:textId="77777777" w:rsidR="00667AB2" w:rsidRPr="00BE1F39" w:rsidRDefault="00667AB2" w:rsidP="00B716F3">
            <w:pPr>
              <w:ind w:right="140"/>
            </w:pPr>
            <w:r w:rsidRPr="00BE1F39">
              <w:t>Projekta izpildē iesaistītās institūcijas</w:t>
            </w:r>
          </w:p>
        </w:tc>
        <w:tc>
          <w:tcPr>
            <w:tcW w:w="3521" w:type="pct"/>
            <w:hideMark/>
          </w:tcPr>
          <w:p w14:paraId="01EB5864" w14:textId="77777777" w:rsidR="00667AB2" w:rsidRPr="00BE1F39" w:rsidRDefault="00667AB2" w:rsidP="00B716F3">
            <w:pPr>
              <w:ind w:right="140"/>
              <w:jc w:val="both"/>
              <w:rPr>
                <w:iCs/>
              </w:rPr>
            </w:pPr>
            <w:r w:rsidRPr="00BE1F39">
              <w:t>Noteikumu p</w:t>
            </w:r>
            <w:r w:rsidRPr="00BE1F39">
              <w:rPr>
                <w:iCs/>
              </w:rPr>
              <w:t>rojekta izpildi nodrošinās šādas institūcijas:</w:t>
            </w:r>
          </w:p>
          <w:p w14:paraId="3CAAA3FC" w14:textId="77777777" w:rsidR="00667AB2" w:rsidRPr="00BE1F39" w:rsidRDefault="00667AB2" w:rsidP="00B716F3">
            <w:pPr>
              <w:ind w:right="140"/>
              <w:jc w:val="both"/>
            </w:pPr>
            <w:r w:rsidRPr="00BE1F39">
              <w:t>1) Ministrija;</w:t>
            </w:r>
          </w:p>
          <w:p w14:paraId="7961C21A" w14:textId="5E10CFC3" w:rsidR="00667AB2" w:rsidRPr="00BE1F39" w:rsidRDefault="00667AB2" w:rsidP="00B716F3">
            <w:pPr>
              <w:ind w:right="140"/>
              <w:jc w:val="both"/>
            </w:pPr>
            <w:r w:rsidRPr="00BE1F39">
              <w:t>2) </w:t>
            </w:r>
            <w:r w:rsidR="005C7579" w:rsidRPr="00BE1F39">
              <w:t>Valsts izglītības attīstības a</w:t>
            </w:r>
            <w:r w:rsidRPr="00BE1F39">
              <w:t>ģentūra;</w:t>
            </w:r>
          </w:p>
          <w:p w14:paraId="0F209A9E" w14:textId="7162FE6A" w:rsidR="002C4C31" w:rsidRPr="00BE1F39" w:rsidRDefault="006A4E1C" w:rsidP="00B716F3">
            <w:pPr>
              <w:ind w:right="140"/>
              <w:jc w:val="both"/>
            </w:pPr>
            <w:r w:rsidRPr="00BE1F39">
              <w:t>3) </w:t>
            </w:r>
            <w:r w:rsidR="0082546F" w:rsidRPr="00BE1F39">
              <w:t xml:space="preserve">Latvijas </w:t>
            </w:r>
            <w:r w:rsidR="002C4C31" w:rsidRPr="00BE1F39">
              <w:t>Zinātnes padome;</w:t>
            </w:r>
          </w:p>
          <w:p w14:paraId="6E54245C" w14:textId="674BD3B9" w:rsidR="00667AB2" w:rsidRPr="00BE1F39" w:rsidRDefault="000E54B9" w:rsidP="002C4C31">
            <w:pPr>
              <w:ind w:right="140"/>
              <w:jc w:val="both"/>
            </w:pPr>
            <w:r>
              <w:lastRenderedPageBreak/>
              <w:t>4</w:t>
            </w:r>
            <w:r w:rsidR="00667AB2" w:rsidRPr="00BE1F39">
              <w:t>) Finanšu ministrija kā vadošā iestāde</w:t>
            </w:r>
            <w:r w:rsidR="00F874A1">
              <w:t>.</w:t>
            </w:r>
          </w:p>
        </w:tc>
      </w:tr>
      <w:tr w:rsidR="00667AB2" w:rsidRPr="00BE1F39" w14:paraId="5A18053D" w14:textId="77777777" w:rsidTr="00B716F3">
        <w:tc>
          <w:tcPr>
            <w:tcW w:w="370" w:type="pct"/>
            <w:hideMark/>
          </w:tcPr>
          <w:p w14:paraId="07E71A0C" w14:textId="77777777" w:rsidR="00667AB2" w:rsidRPr="00BE1F39" w:rsidRDefault="00667AB2" w:rsidP="00B716F3">
            <w:pPr>
              <w:ind w:right="140"/>
              <w:jc w:val="center"/>
            </w:pPr>
            <w:r w:rsidRPr="00BE1F39">
              <w:lastRenderedPageBreak/>
              <w:t>2.</w:t>
            </w:r>
          </w:p>
        </w:tc>
        <w:tc>
          <w:tcPr>
            <w:tcW w:w="1109" w:type="pct"/>
            <w:hideMark/>
          </w:tcPr>
          <w:p w14:paraId="47DF03BE" w14:textId="77777777" w:rsidR="00667AB2" w:rsidRPr="00BE1F39" w:rsidRDefault="00667AB2" w:rsidP="00B716F3">
            <w:pPr>
              <w:ind w:right="140"/>
            </w:pPr>
            <w:r w:rsidRPr="00BE1F39">
              <w:t>Projekta izpildes ietekme uz pārvaldes funkcijām un institucionālo struktūru.</w:t>
            </w:r>
            <w:r w:rsidRPr="00BE1F39">
              <w:br/>
              <w:t>Jaunu institūciju izveide, esošu institūciju likvidācija vai reorganizācija, to ietekme uz institūcijas cilvēkresursiem</w:t>
            </w:r>
          </w:p>
        </w:tc>
        <w:tc>
          <w:tcPr>
            <w:tcW w:w="3521" w:type="pct"/>
            <w:hideMark/>
          </w:tcPr>
          <w:p w14:paraId="6CD247C3" w14:textId="6FF44EA8" w:rsidR="00667AB2" w:rsidRPr="00BE1F39" w:rsidRDefault="00331B4E" w:rsidP="008C0887">
            <w:pPr>
              <w:jc w:val="both"/>
            </w:pPr>
            <w:r w:rsidRPr="00BE1F39">
              <w:t xml:space="preserve">Noteikumu projekts </w:t>
            </w:r>
            <w:r w:rsidR="00667AB2" w:rsidRPr="00BE1F39">
              <w:t xml:space="preserve">ietekmē </w:t>
            </w:r>
            <w:r w:rsidR="0082546F" w:rsidRPr="00BE1F39">
              <w:t xml:space="preserve">Valsts izglītības attīstības aģentūras </w:t>
            </w:r>
            <w:r w:rsidR="006A4E1C" w:rsidRPr="00BE1F39">
              <w:t xml:space="preserve">un </w:t>
            </w:r>
            <w:r w:rsidR="00865587" w:rsidRPr="00BE1F39">
              <w:t xml:space="preserve">Latvijas </w:t>
            </w:r>
            <w:r w:rsidRPr="00BE1F39">
              <w:t>Zinātnes padomes funkcijas</w:t>
            </w:r>
            <w:r w:rsidR="00F11589" w:rsidRPr="00BE1F39">
              <w:t xml:space="preserve">, </w:t>
            </w:r>
            <w:r w:rsidR="00DF4CE8" w:rsidRPr="00BE1F39">
              <w:t xml:space="preserve">nosakot </w:t>
            </w:r>
            <w:r w:rsidR="00F11589" w:rsidRPr="00BE1F39">
              <w:t xml:space="preserve">vēlāku datumu </w:t>
            </w:r>
            <w:r w:rsidR="00865587" w:rsidRPr="00BE1F39">
              <w:t xml:space="preserve">Baltijas pētniecības programmas aģentūras </w:t>
            </w:r>
            <w:r w:rsidR="00F11589" w:rsidRPr="00BE1F39">
              <w:t>funkciju nodošana</w:t>
            </w:r>
            <w:r w:rsidR="00865587" w:rsidRPr="00BE1F39">
              <w:t>i</w:t>
            </w:r>
            <w:r w:rsidR="00F63D8E">
              <w:t xml:space="preserve">, kas saistīts ar </w:t>
            </w:r>
            <w:r w:rsidR="008C0887">
              <w:t>Ministrijas padotībā esošo valsts pārvaldes iestāžu reorganizāciju, kas noteikta ar Rīkojumu</w:t>
            </w:r>
            <w:r w:rsidR="008C0887" w:rsidRPr="008C0887">
              <w:t xml:space="preserve"> Nr. 151</w:t>
            </w:r>
            <w:r w:rsidRPr="00BE1F39">
              <w:t>.</w:t>
            </w:r>
            <w:r w:rsidR="007772EB">
              <w:t xml:space="preserve"> </w:t>
            </w:r>
            <w:r w:rsidR="00667AB2" w:rsidRPr="00BE1F39">
              <w:t>Noteikumu projekta izpilde neprasa jaunu institūciju izveidi</w:t>
            </w:r>
            <w:r w:rsidR="00F11589" w:rsidRPr="00BE1F39">
              <w:t>, esošu institūciju likvidāciju.</w:t>
            </w:r>
            <w:r w:rsidR="00226029" w:rsidRPr="00BE1F39">
              <w:t xml:space="preserve"> </w:t>
            </w:r>
            <w:r w:rsidR="00226029" w:rsidRPr="00BE1F39">
              <w:rPr>
                <w:iCs/>
              </w:rPr>
              <w:t>Noteikumu projekta izpilde nodrošināma pieejamo cilvēkresursu ietvaros.</w:t>
            </w:r>
          </w:p>
        </w:tc>
      </w:tr>
      <w:tr w:rsidR="00667AB2" w:rsidRPr="00BE1F39" w14:paraId="53C9CEDC" w14:textId="77777777" w:rsidTr="00B716F3">
        <w:trPr>
          <w:cantSplit/>
        </w:trPr>
        <w:tc>
          <w:tcPr>
            <w:tcW w:w="370" w:type="pct"/>
            <w:hideMark/>
          </w:tcPr>
          <w:p w14:paraId="668DE9AC" w14:textId="77777777" w:rsidR="00667AB2" w:rsidRPr="00BE1F39" w:rsidRDefault="00667AB2" w:rsidP="00B716F3">
            <w:pPr>
              <w:ind w:right="140"/>
              <w:jc w:val="center"/>
            </w:pPr>
            <w:r w:rsidRPr="00BE1F39">
              <w:t>3.</w:t>
            </w:r>
          </w:p>
        </w:tc>
        <w:tc>
          <w:tcPr>
            <w:tcW w:w="1109" w:type="pct"/>
            <w:hideMark/>
          </w:tcPr>
          <w:p w14:paraId="6D4A56A1" w14:textId="77777777" w:rsidR="00667AB2" w:rsidRPr="00BE1F39" w:rsidRDefault="00667AB2" w:rsidP="00B716F3">
            <w:pPr>
              <w:ind w:right="140"/>
            </w:pPr>
            <w:r w:rsidRPr="00BE1F39">
              <w:t>Cita informācija</w:t>
            </w:r>
          </w:p>
        </w:tc>
        <w:tc>
          <w:tcPr>
            <w:tcW w:w="3521" w:type="pct"/>
            <w:hideMark/>
          </w:tcPr>
          <w:p w14:paraId="57EA54F3" w14:textId="77777777" w:rsidR="00667AB2" w:rsidRPr="00BE1F39" w:rsidRDefault="00667AB2" w:rsidP="00B716F3">
            <w:pPr>
              <w:ind w:right="140"/>
              <w:jc w:val="both"/>
            </w:pPr>
            <w:r w:rsidRPr="00BE1F39">
              <w:t xml:space="preserve">Nav. </w:t>
            </w:r>
          </w:p>
        </w:tc>
      </w:tr>
    </w:tbl>
    <w:p w14:paraId="0011ACEF" w14:textId="77777777" w:rsidR="00667AB2" w:rsidRPr="00BE1F39" w:rsidRDefault="00667AB2" w:rsidP="00667AB2">
      <w:pPr>
        <w:ind w:right="140"/>
      </w:pPr>
    </w:p>
    <w:p w14:paraId="41240C97" w14:textId="196FF5BD" w:rsidR="00667AB2" w:rsidRPr="00BE1F39" w:rsidRDefault="00667AB2" w:rsidP="00667AB2">
      <w:pPr>
        <w:pStyle w:val="StyleRight"/>
        <w:spacing w:after="0"/>
        <w:ind w:right="140"/>
        <w:jc w:val="both"/>
        <w:rPr>
          <w:sz w:val="24"/>
          <w:szCs w:val="24"/>
        </w:rPr>
      </w:pPr>
      <w:r w:rsidRPr="00BE1F39">
        <w:rPr>
          <w:sz w:val="24"/>
          <w:szCs w:val="24"/>
        </w:rPr>
        <w:t>Izglītības un zinātnes ministre</w:t>
      </w:r>
      <w:r w:rsidRPr="00BE1F39">
        <w:rPr>
          <w:sz w:val="24"/>
          <w:szCs w:val="24"/>
        </w:rPr>
        <w:tab/>
      </w:r>
      <w:r w:rsidRPr="00BE1F39">
        <w:rPr>
          <w:sz w:val="24"/>
          <w:szCs w:val="24"/>
        </w:rPr>
        <w:tab/>
      </w:r>
      <w:r w:rsidRPr="00BE1F39">
        <w:rPr>
          <w:sz w:val="24"/>
          <w:szCs w:val="24"/>
        </w:rPr>
        <w:tab/>
      </w:r>
      <w:r w:rsidRPr="00BE1F39">
        <w:rPr>
          <w:sz w:val="24"/>
          <w:szCs w:val="24"/>
        </w:rPr>
        <w:tab/>
      </w:r>
      <w:r w:rsidRPr="00BE1F39">
        <w:rPr>
          <w:sz w:val="24"/>
          <w:szCs w:val="24"/>
        </w:rPr>
        <w:tab/>
      </w:r>
      <w:r w:rsidR="00E90114" w:rsidRPr="00E90114">
        <w:rPr>
          <w:sz w:val="24"/>
          <w:szCs w:val="24"/>
          <w:lang w:eastAsia="lv-LV"/>
        </w:rPr>
        <w:t>A.Muižniece</w:t>
      </w:r>
    </w:p>
    <w:p w14:paraId="1F03C670" w14:textId="77777777" w:rsidR="00667AB2" w:rsidRPr="00BE1F39" w:rsidRDefault="00667AB2" w:rsidP="00667AB2">
      <w:pPr>
        <w:pStyle w:val="StyleRight"/>
        <w:spacing w:after="0"/>
        <w:ind w:right="140"/>
        <w:jc w:val="both"/>
        <w:rPr>
          <w:sz w:val="24"/>
          <w:szCs w:val="24"/>
        </w:rPr>
      </w:pPr>
    </w:p>
    <w:p w14:paraId="6EE08609" w14:textId="77777777" w:rsidR="00667AB2" w:rsidRPr="00BE1F39" w:rsidRDefault="00667AB2" w:rsidP="00667AB2">
      <w:pPr>
        <w:pStyle w:val="StyleRight"/>
        <w:spacing w:after="0"/>
        <w:ind w:right="140"/>
        <w:jc w:val="both"/>
        <w:rPr>
          <w:sz w:val="24"/>
          <w:szCs w:val="24"/>
        </w:rPr>
      </w:pPr>
      <w:r w:rsidRPr="00BE1F39">
        <w:rPr>
          <w:sz w:val="24"/>
          <w:szCs w:val="24"/>
        </w:rPr>
        <w:t>Vizē:</w:t>
      </w:r>
    </w:p>
    <w:p w14:paraId="3682EED2" w14:textId="5C0B4C4C" w:rsidR="00667AB2" w:rsidRPr="00BE1F39" w:rsidRDefault="00963560" w:rsidP="00667AB2">
      <w:pPr>
        <w:pStyle w:val="StyleRight"/>
        <w:spacing w:after="0"/>
        <w:ind w:right="140"/>
        <w:jc w:val="both"/>
        <w:rPr>
          <w:sz w:val="24"/>
          <w:szCs w:val="24"/>
        </w:rPr>
      </w:pPr>
      <w:r w:rsidRPr="00BE1F39">
        <w:rPr>
          <w:sz w:val="24"/>
          <w:szCs w:val="24"/>
        </w:rPr>
        <w:t>Valsts sekretārs</w:t>
      </w:r>
      <w:r w:rsidR="00667AB2" w:rsidRPr="00BE1F39">
        <w:rPr>
          <w:sz w:val="24"/>
          <w:szCs w:val="24"/>
        </w:rPr>
        <w:tab/>
      </w:r>
      <w:r w:rsidR="00667AB2" w:rsidRPr="00BE1F39">
        <w:rPr>
          <w:sz w:val="24"/>
          <w:szCs w:val="24"/>
        </w:rPr>
        <w:tab/>
      </w:r>
      <w:r w:rsidR="00667AB2" w:rsidRPr="00BE1F39">
        <w:rPr>
          <w:sz w:val="24"/>
          <w:szCs w:val="24"/>
        </w:rPr>
        <w:tab/>
      </w:r>
      <w:r w:rsidR="00B343D5" w:rsidRPr="00BE1F39">
        <w:rPr>
          <w:sz w:val="24"/>
          <w:szCs w:val="24"/>
        </w:rPr>
        <w:tab/>
      </w:r>
      <w:r w:rsidR="00B343D5" w:rsidRPr="00BE1F39">
        <w:rPr>
          <w:sz w:val="24"/>
          <w:szCs w:val="24"/>
        </w:rPr>
        <w:tab/>
      </w:r>
      <w:r w:rsidR="00B343D5" w:rsidRPr="00BE1F39">
        <w:rPr>
          <w:sz w:val="24"/>
          <w:szCs w:val="24"/>
        </w:rPr>
        <w:tab/>
      </w:r>
      <w:r w:rsidR="00667AB2" w:rsidRPr="00BE1F39">
        <w:rPr>
          <w:sz w:val="24"/>
          <w:szCs w:val="24"/>
        </w:rPr>
        <w:tab/>
        <w:t>J. Volberts</w:t>
      </w:r>
    </w:p>
    <w:p w14:paraId="5810C953" w14:textId="3011B47F" w:rsidR="00667AB2" w:rsidRPr="00BE1F39" w:rsidRDefault="00667AB2" w:rsidP="00667AB2">
      <w:pPr>
        <w:ind w:right="140"/>
      </w:pPr>
    </w:p>
    <w:p w14:paraId="17086998" w14:textId="77777777" w:rsidR="00667AB2" w:rsidRPr="00BE1F39" w:rsidRDefault="00667AB2" w:rsidP="00667AB2">
      <w:pPr>
        <w:ind w:right="140"/>
      </w:pPr>
    </w:p>
    <w:p w14:paraId="38C7AA09" w14:textId="77777777" w:rsidR="00667AB2" w:rsidRPr="00BE1F39" w:rsidRDefault="00667AB2" w:rsidP="00667AB2">
      <w:pPr>
        <w:ind w:right="140"/>
      </w:pPr>
    </w:p>
    <w:bookmarkEnd w:id="0"/>
    <w:p w14:paraId="25AFA60F" w14:textId="77777777" w:rsidR="00667AB2" w:rsidRPr="00BE1F39" w:rsidRDefault="00667AB2" w:rsidP="00667AB2">
      <w:pPr>
        <w:ind w:right="140"/>
        <w:rPr>
          <w:rStyle w:val="Hyperlink"/>
          <w:color w:val="auto"/>
          <w:sz w:val="20"/>
          <w:szCs w:val="20"/>
          <w:u w:val="none"/>
        </w:rPr>
      </w:pPr>
      <w:r w:rsidRPr="00BE1F39">
        <w:rPr>
          <w:rStyle w:val="Hyperlink"/>
          <w:color w:val="auto"/>
          <w:sz w:val="20"/>
          <w:szCs w:val="20"/>
          <w:u w:val="none"/>
        </w:rPr>
        <w:t>Leiškalne 67047909</w:t>
      </w:r>
    </w:p>
    <w:p w14:paraId="5E8265F0" w14:textId="77777777" w:rsidR="00916771" w:rsidRPr="00BE1F39" w:rsidRDefault="00667AB2" w:rsidP="00F85097">
      <w:pPr>
        <w:ind w:right="140"/>
        <w:rPr>
          <w:sz w:val="20"/>
          <w:szCs w:val="20"/>
        </w:rPr>
      </w:pPr>
      <w:r w:rsidRPr="00BE1F39">
        <w:rPr>
          <w:rStyle w:val="Hyperlink"/>
          <w:color w:val="auto"/>
          <w:sz w:val="20"/>
          <w:szCs w:val="20"/>
          <w:u w:val="none"/>
        </w:rPr>
        <w:t>Anna.Leiskalne@izm.gov.lv</w:t>
      </w:r>
    </w:p>
    <w:sectPr w:rsidR="00916771" w:rsidRPr="00BE1F39" w:rsidSect="00E55B63">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2D5A" w16cex:dateUtc="2021-04-20T07:37:00Z"/>
  <w16cex:commentExtensible w16cex:durableId="24297FB3" w16cex:dateUtc="2021-04-20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AF0B33" w16cid:durableId="24292D5A"/>
  <w16cid:commentId w16cid:paraId="654AB128" w16cid:durableId="24297F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FA9E5" w14:textId="77777777" w:rsidR="00250E9A" w:rsidRDefault="00250E9A" w:rsidP="00D4137B">
      <w:r>
        <w:separator/>
      </w:r>
    </w:p>
  </w:endnote>
  <w:endnote w:type="continuationSeparator" w:id="0">
    <w:p w14:paraId="0230A039" w14:textId="77777777" w:rsidR="00250E9A" w:rsidRDefault="00250E9A" w:rsidP="00D4137B">
      <w:r>
        <w:continuationSeparator/>
      </w:r>
    </w:p>
  </w:endnote>
  <w:endnote w:type="continuationNotice" w:id="1">
    <w:p w14:paraId="15531983" w14:textId="77777777" w:rsidR="00250E9A" w:rsidRDefault="00250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9A37" w14:textId="4B65B862" w:rsidR="009C2BF5" w:rsidRPr="00BA12B9" w:rsidRDefault="009C2BF5" w:rsidP="00BA12B9">
    <w:pPr>
      <w:pStyle w:val="Footer"/>
    </w:pPr>
    <w:r w:rsidRPr="00527721">
      <w:rPr>
        <w:sz w:val="20"/>
        <w:szCs w:val="22"/>
      </w:rPr>
      <w:t>IZManot_</w:t>
    </w:r>
    <w:r w:rsidR="006F17B5">
      <w:rPr>
        <w:sz w:val="20"/>
        <w:szCs w:val="22"/>
      </w:rPr>
      <w:t>14</w:t>
    </w:r>
    <w:r w:rsidR="00A9287C">
      <w:rPr>
        <w:sz w:val="20"/>
        <w:szCs w:val="22"/>
      </w:rPr>
      <w:t>06</w:t>
    </w:r>
    <w:r w:rsidRPr="00527721">
      <w:rPr>
        <w:sz w:val="20"/>
        <w:szCs w:val="22"/>
      </w:rPr>
      <w:t>21_PIgroz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ACE9" w14:textId="26AEFBFD" w:rsidR="009C2BF5" w:rsidRPr="00032119" w:rsidRDefault="009C2BF5" w:rsidP="00032119">
    <w:pPr>
      <w:pStyle w:val="Footer"/>
    </w:pPr>
    <w:r>
      <w:rPr>
        <w:sz w:val="20"/>
        <w:szCs w:val="22"/>
      </w:rPr>
      <w:t>IZMa</w:t>
    </w:r>
    <w:r w:rsidRPr="00BA12B9">
      <w:rPr>
        <w:sz w:val="20"/>
        <w:szCs w:val="22"/>
      </w:rPr>
      <w:t>not_</w:t>
    </w:r>
    <w:r w:rsidR="006F17B5">
      <w:rPr>
        <w:sz w:val="20"/>
        <w:szCs w:val="22"/>
      </w:rPr>
      <w:t>14</w:t>
    </w:r>
    <w:r w:rsidR="00A9287C">
      <w:rPr>
        <w:sz w:val="20"/>
        <w:szCs w:val="22"/>
      </w:rPr>
      <w:t>06</w:t>
    </w:r>
    <w:r>
      <w:rPr>
        <w:sz w:val="20"/>
        <w:szCs w:val="22"/>
      </w:rPr>
      <w:t>21</w:t>
    </w:r>
    <w:r w:rsidRPr="00BA12B9">
      <w:rPr>
        <w:sz w:val="20"/>
        <w:szCs w:val="22"/>
      </w:rPr>
      <w:t>_</w:t>
    </w:r>
    <w:r>
      <w:rPr>
        <w:sz w:val="20"/>
        <w:szCs w:val="22"/>
      </w:rPr>
      <w:t>PIgroz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3015" w14:textId="77777777" w:rsidR="00250E9A" w:rsidRDefault="00250E9A" w:rsidP="00D4137B">
      <w:r>
        <w:separator/>
      </w:r>
    </w:p>
  </w:footnote>
  <w:footnote w:type="continuationSeparator" w:id="0">
    <w:p w14:paraId="6A3B3421" w14:textId="77777777" w:rsidR="00250E9A" w:rsidRDefault="00250E9A" w:rsidP="00D4137B">
      <w:r>
        <w:continuationSeparator/>
      </w:r>
    </w:p>
  </w:footnote>
  <w:footnote w:type="continuationNotice" w:id="1">
    <w:p w14:paraId="7F7CBFFC" w14:textId="77777777" w:rsidR="00250E9A" w:rsidRDefault="00250E9A"/>
  </w:footnote>
  <w:footnote w:id="2">
    <w:p w14:paraId="08FE4958" w14:textId="5DDDCA0D" w:rsidR="009C2BF5" w:rsidRPr="00BE1F39" w:rsidRDefault="009C2BF5" w:rsidP="00BE1F39">
      <w:pPr>
        <w:pStyle w:val="FootnoteText"/>
        <w:rPr>
          <w:rFonts w:ascii="Times New Roman" w:hAnsi="Times New Roman"/>
          <w:lang w:val="lv-LV"/>
        </w:rPr>
      </w:pPr>
      <w:r w:rsidRPr="00BE1F39">
        <w:rPr>
          <w:rStyle w:val="FootnoteReference"/>
          <w:rFonts w:ascii="Times New Roman" w:hAnsi="Times New Roman"/>
        </w:rPr>
        <w:footnoteRef/>
      </w:r>
      <w:r w:rsidRPr="00BE1F39">
        <w:rPr>
          <w:rFonts w:ascii="Times New Roman" w:hAnsi="Times New Roman"/>
        </w:rPr>
        <w:t xml:space="preserve"> </w:t>
      </w:r>
      <w:hyperlink r:id="rId1" w:history="1">
        <w:r w:rsidRPr="00BE1F39">
          <w:rPr>
            <w:rStyle w:val="Hyperlink"/>
            <w:rFonts w:ascii="Times New Roman" w:hAnsi="Times New Roman"/>
            <w:color w:val="auto"/>
          </w:rPr>
          <w:t>https://eeagrants.org/resources/eea-and-norway-grants-2014-2021-core-indicator-guidance</w:t>
        </w:r>
      </w:hyperlink>
      <w:r w:rsidRPr="00BE1F39">
        <w:rPr>
          <w:rFonts w:ascii="Times New Roman" w:hAnsi="Times New Roman"/>
        </w:rPr>
        <w:t xml:space="preserve"> </w:t>
      </w:r>
    </w:p>
  </w:footnote>
  <w:footnote w:id="3">
    <w:p w14:paraId="0100A5C3" w14:textId="778E45BC" w:rsidR="009C2BF5" w:rsidRPr="00BE1F39" w:rsidRDefault="009C2BF5" w:rsidP="00DC084F">
      <w:pPr>
        <w:pStyle w:val="FootnoteText"/>
        <w:spacing w:after="0"/>
        <w:rPr>
          <w:rFonts w:ascii="Times New Roman" w:hAnsi="Times New Roman"/>
          <w:lang w:val="lv-LV"/>
        </w:rPr>
      </w:pPr>
      <w:r w:rsidRPr="00BE1F39">
        <w:rPr>
          <w:rStyle w:val="FootnoteReference"/>
          <w:rFonts w:ascii="Times New Roman" w:hAnsi="Times New Roman"/>
        </w:rPr>
        <w:footnoteRef/>
      </w:r>
      <w:r w:rsidRPr="00BE1F39">
        <w:rPr>
          <w:rFonts w:ascii="Times New Roman" w:hAnsi="Times New Roman"/>
        </w:rPr>
        <w:t xml:space="preserve"> </w:t>
      </w:r>
      <w:hyperlink r:id="rId2" w:history="1">
        <w:r w:rsidR="00F31AE5" w:rsidRPr="00064E49">
          <w:rPr>
            <w:rStyle w:val="Hyperlink"/>
            <w:rFonts w:ascii="Times New Roman" w:hAnsi="Times New Roman"/>
          </w:rPr>
          <w:t>https://ec.europa.eu/programmes/erasmus-plus/programme-guide/part-b/key-action-1/mobility-higher-education-students-staff_en</w:t>
        </w:r>
      </w:hyperlink>
    </w:p>
  </w:footnote>
  <w:footnote w:id="4">
    <w:p w14:paraId="527CD7E0" w14:textId="4D17FEAF" w:rsidR="00D14722" w:rsidRPr="00DC084F" w:rsidRDefault="00D14722">
      <w:pPr>
        <w:pStyle w:val="FootnoteText"/>
        <w:rPr>
          <w:lang w:val="lv-LV"/>
        </w:rPr>
      </w:pPr>
      <w:r>
        <w:rPr>
          <w:rStyle w:val="FootnoteReference"/>
        </w:rPr>
        <w:footnoteRef/>
      </w:r>
      <w:r>
        <w:t xml:space="preserve"> </w:t>
      </w:r>
      <w:hyperlink r:id="rId3" w:history="1">
        <w:r w:rsidR="00F31AE5" w:rsidRPr="00064E49">
          <w:rPr>
            <w:rStyle w:val="Hyperlink"/>
          </w:rPr>
          <w:t>https://eeagrants.org/resources/2014-2021-guideline-educational-programmes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965F" w14:textId="77777777" w:rsidR="009C2BF5" w:rsidRDefault="009C2BF5">
    <w:pPr>
      <w:pStyle w:val="Header"/>
      <w:jc w:val="center"/>
    </w:pPr>
    <w:r>
      <w:fldChar w:fldCharType="begin"/>
    </w:r>
    <w:r>
      <w:instrText>PAGE   \* MERGEFORMAT</w:instrText>
    </w:r>
    <w:r>
      <w:fldChar w:fldCharType="separate"/>
    </w:r>
    <w:r w:rsidR="00FC564E">
      <w:rPr>
        <w:noProof/>
      </w:rPr>
      <w:t>9</w:t>
    </w:r>
    <w:r>
      <w:fldChar w:fldCharType="end"/>
    </w:r>
  </w:p>
  <w:p w14:paraId="4A57787A" w14:textId="77777777" w:rsidR="009C2BF5" w:rsidRDefault="009C2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664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27ED"/>
    <w:multiLevelType w:val="hybridMultilevel"/>
    <w:tmpl w:val="04A44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32F71"/>
    <w:multiLevelType w:val="hybridMultilevel"/>
    <w:tmpl w:val="421EE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3822"/>
    <w:multiLevelType w:val="hybridMultilevel"/>
    <w:tmpl w:val="6EE82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D8723B"/>
    <w:multiLevelType w:val="hybridMultilevel"/>
    <w:tmpl w:val="3EFA5902"/>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8646395"/>
    <w:multiLevelType w:val="hybridMultilevel"/>
    <w:tmpl w:val="2562A966"/>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30FE7"/>
    <w:multiLevelType w:val="multilevel"/>
    <w:tmpl w:val="A012534C"/>
    <w:lvl w:ilvl="0">
      <w:start w:val="1"/>
      <w:numFmt w:val="decimal"/>
      <w:lvlText w:val="%1."/>
      <w:lvlJc w:val="left"/>
      <w:pPr>
        <w:ind w:left="3763" w:hanging="360"/>
      </w:pPr>
      <w:rPr>
        <w:rFonts w:ascii="Times New Roman" w:eastAsia="Times New Roman" w:hAnsi="Times New Roman" w:cs="Times New Roman"/>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26135872"/>
    <w:multiLevelType w:val="hybridMultilevel"/>
    <w:tmpl w:val="26283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E151F5"/>
    <w:multiLevelType w:val="hybridMultilevel"/>
    <w:tmpl w:val="4A8C4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E7DE6"/>
    <w:multiLevelType w:val="hybridMultilevel"/>
    <w:tmpl w:val="86B43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608D6"/>
    <w:multiLevelType w:val="hybridMultilevel"/>
    <w:tmpl w:val="29D2E7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C446A"/>
    <w:multiLevelType w:val="hybridMultilevel"/>
    <w:tmpl w:val="594C3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533C6"/>
    <w:multiLevelType w:val="hybridMultilevel"/>
    <w:tmpl w:val="7F824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73F8A"/>
    <w:multiLevelType w:val="hybridMultilevel"/>
    <w:tmpl w:val="8F1E0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4974F4"/>
    <w:multiLevelType w:val="hybridMultilevel"/>
    <w:tmpl w:val="F5D2F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228D6"/>
    <w:multiLevelType w:val="hybridMultilevel"/>
    <w:tmpl w:val="8F3097DA"/>
    <w:lvl w:ilvl="0" w:tplc="E32473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4BCE667F"/>
    <w:multiLevelType w:val="hybridMultilevel"/>
    <w:tmpl w:val="819CE0E2"/>
    <w:lvl w:ilvl="0" w:tplc="1EDC5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F41355"/>
    <w:multiLevelType w:val="hybridMultilevel"/>
    <w:tmpl w:val="A2D6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E16A1"/>
    <w:multiLevelType w:val="hybridMultilevel"/>
    <w:tmpl w:val="2D3CD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1252A7"/>
    <w:multiLevelType w:val="hybridMultilevel"/>
    <w:tmpl w:val="4502B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3D5819"/>
    <w:multiLevelType w:val="hybridMultilevel"/>
    <w:tmpl w:val="F1226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393BB8"/>
    <w:multiLevelType w:val="hybridMultilevel"/>
    <w:tmpl w:val="9AF2B766"/>
    <w:lvl w:ilvl="0" w:tplc="A138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7229DE"/>
    <w:multiLevelType w:val="hybridMultilevel"/>
    <w:tmpl w:val="2592C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B7C58"/>
    <w:multiLevelType w:val="hybridMultilevel"/>
    <w:tmpl w:val="EA22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76FCD"/>
    <w:multiLevelType w:val="hybridMultilevel"/>
    <w:tmpl w:val="A1BAF0DC"/>
    <w:lvl w:ilvl="0" w:tplc="F1BC412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6543A4"/>
    <w:multiLevelType w:val="hybridMultilevel"/>
    <w:tmpl w:val="7A962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22C45"/>
    <w:multiLevelType w:val="hybridMultilevel"/>
    <w:tmpl w:val="9598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5FCA"/>
    <w:multiLevelType w:val="hybridMultilevel"/>
    <w:tmpl w:val="A7B201BE"/>
    <w:lvl w:ilvl="0" w:tplc="B086943E">
      <w:start w:val="1"/>
      <w:numFmt w:val="decimal"/>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04C4A"/>
    <w:multiLevelType w:val="hybridMultilevel"/>
    <w:tmpl w:val="CE52BE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A3F3BEF"/>
    <w:multiLevelType w:val="hybridMultilevel"/>
    <w:tmpl w:val="9A2E8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522B0"/>
    <w:multiLevelType w:val="multilevel"/>
    <w:tmpl w:val="9AFA04DE"/>
    <w:lvl w:ilvl="0">
      <w:start w:val="1"/>
      <w:numFmt w:val="decimal"/>
      <w:lvlText w:val="%1."/>
      <w:lvlJc w:val="left"/>
      <w:pPr>
        <w:ind w:left="3763" w:hanging="360"/>
      </w:pPr>
      <w:rPr>
        <w:rFonts w:ascii="Times New Roman" w:eastAsia="Times New Roman" w:hAnsi="Times New Roman"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1" w15:restartNumberingAfterBreak="0">
    <w:nsid w:val="70B7676C"/>
    <w:multiLevelType w:val="hybridMultilevel"/>
    <w:tmpl w:val="D26AB4D6"/>
    <w:lvl w:ilvl="0" w:tplc="04090011">
      <w:start w:val="1"/>
      <w:numFmt w:val="decimal"/>
      <w:lvlText w:val="%1)"/>
      <w:lvlJc w:val="left"/>
      <w:pPr>
        <w:ind w:left="2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662E"/>
    <w:multiLevelType w:val="hybridMultilevel"/>
    <w:tmpl w:val="138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13752"/>
    <w:multiLevelType w:val="hybridMultilevel"/>
    <w:tmpl w:val="6464E05C"/>
    <w:lvl w:ilvl="0" w:tplc="2EA273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8"/>
  </w:num>
  <w:num w:numId="3">
    <w:abstractNumId w:val="7"/>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30"/>
  </w:num>
  <w:num w:numId="9">
    <w:abstractNumId w:val="6"/>
  </w:num>
  <w:num w:numId="10">
    <w:abstractNumId w:val="0"/>
  </w:num>
  <w:num w:numId="11">
    <w:abstractNumId w:val="26"/>
  </w:num>
  <w:num w:numId="12">
    <w:abstractNumId w:val="21"/>
  </w:num>
  <w:num w:numId="13">
    <w:abstractNumId w:val="12"/>
  </w:num>
  <w:num w:numId="14">
    <w:abstractNumId w:val="32"/>
  </w:num>
  <w:num w:numId="15">
    <w:abstractNumId w:val="20"/>
  </w:num>
  <w:num w:numId="16">
    <w:abstractNumId w:val="19"/>
  </w:num>
  <w:num w:numId="17">
    <w:abstractNumId w:val="4"/>
  </w:num>
  <w:num w:numId="18">
    <w:abstractNumId w:val="13"/>
  </w:num>
  <w:num w:numId="19">
    <w:abstractNumId w:val="8"/>
  </w:num>
  <w:num w:numId="20">
    <w:abstractNumId w:val="1"/>
  </w:num>
  <w:num w:numId="21">
    <w:abstractNumId w:val="10"/>
  </w:num>
  <w:num w:numId="22">
    <w:abstractNumId w:val="27"/>
  </w:num>
  <w:num w:numId="23">
    <w:abstractNumId w:val="22"/>
  </w:num>
  <w:num w:numId="24">
    <w:abstractNumId w:val="5"/>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31"/>
  </w:num>
  <w:num w:numId="29">
    <w:abstractNumId w:val="16"/>
  </w:num>
  <w:num w:numId="30">
    <w:abstractNumId w:val="3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9"/>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nb-NO"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Q3szAxNzY2NjJW0lEKTi0uzszPAykwqgUAFsSNqSwAAAA="/>
  </w:docVars>
  <w:rsids>
    <w:rsidRoot w:val="00BD5588"/>
    <w:rsid w:val="000010AD"/>
    <w:rsid w:val="00001410"/>
    <w:rsid w:val="00001C6B"/>
    <w:rsid w:val="00002098"/>
    <w:rsid w:val="0000571E"/>
    <w:rsid w:val="00007749"/>
    <w:rsid w:val="00010BFE"/>
    <w:rsid w:val="000126F7"/>
    <w:rsid w:val="00013843"/>
    <w:rsid w:val="00013BB6"/>
    <w:rsid w:val="000151C7"/>
    <w:rsid w:val="00015BEF"/>
    <w:rsid w:val="00017E6E"/>
    <w:rsid w:val="00024C26"/>
    <w:rsid w:val="00024E95"/>
    <w:rsid w:val="00025E04"/>
    <w:rsid w:val="000261F9"/>
    <w:rsid w:val="00027764"/>
    <w:rsid w:val="000277FC"/>
    <w:rsid w:val="00030C58"/>
    <w:rsid w:val="00031170"/>
    <w:rsid w:val="00032119"/>
    <w:rsid w:val="00033C5E"/>
    <w:rsid w:val="0003529F"/>
    <w:rsid w:val="000371A3"/>
    <w:rsid w:val="000372DF"/>
    <w:rsid w:val="000375C6"/>
    <w:rsid w:val="00037A65"/>
    <w:rsid w:val="00037C31"/>
    <w:rsid w:val="000410A4"/>
    <w:rsid w:val="00042059"/>
    <w:rsid w:val="00042E65"/>
    <w:rsid w:val="00042F05"/>
    <w:rsid w:val="00044F83"/>
    <w:rsid w:val="0004504B"/>
    <w:rsid w:val="00045270"/>
    <w:rsid w:val="00045B76"/>
    <w:rsid w:val="00046E43"/>
    <w:rsid w:val="00051032"/>
    <w:rsid w:val="00053168"/>
    <w:rsid w:val="00053646"/>
    <w:rsid w:val="000544F7"/>
    <w:rsid w:val="0005501D"/>
    <w:rsid w:val="00055277"/>
    <w:rsid w:val="00056519"/>
    <w:rsid w:val="00056C99"/>
    <w:rsid w:val="00057890"/>
    <w:rsid w:val="0006159C"/>
    <w:rsid w:val="000620DB"/>
    <w:rsid w:val="00062964"/>
    <w:rsid w:val="0006419C"/>
    <w:rsid w:val="00064EE5"/>
    <w:rsid w:val="0006584C"/>
    <w:rsid w:val="00066630"/>
    <w:rsid w:val="00070259"/>
    <w:rsid w:val="00070D7E"/>
    <w:rsid w:val="00076D93"/>
    <w:rsid w:val="0007704D"/>
    <w:rsid w:val="000770B0"/>
    <w:rsid w:val="00080445"/>
    <w:rsid w:val="00080B0F"/>
    <w:rsid w:val="00082976"/>
    <w:rsid w:val="000838CF"/>
    <w:rsid w:val="00084743"/>
    <w:rsid w:val="00085981"/>
    <w:rsid w:val="00085B47"/>
    <w:rsid w:val="00086012"/>
    <w:rsid w:val="00086DE6"/>
    <w:rsid w:val="00090D8D"/>
    <w:rsid w:val="00091329"/>
    <w:rsid w:val="00092995"/>
    <w:rsid w:val="000937E7"/>
    <w:rsid w:val="0009425D"/>
    <w:rsid w:val="0009507D"/>
    <w:rsid w:val="000955F9"/>
    <w:rsid w:val="00097012"/>
    <w:rsid w:val="000975E1"/>
    <w:rsid w:val="000A0522"/>
    <w:rsid w:val="000A18CF"/>
    <w:rsid w:val="000A21F2"/>
    <w:rsid w:val="000A22C6"/>
    <w:rsid w:val="000A5363"/>
    <w:rsid w:val="000A53DD"/>
    <w:rsid w:val="000A6089"/>
    <w:rsid w:val="000A71C7"/>
    <w:rsid w:val="000B18A4"/>
    <w:rsid w:val="000B2DD8"/>
    <w:rsid w:val="000B2F93"/>
    <w:rsid w:val="000B3262"/>
    <w:rsid w:val="000B50AF"/>
    <w:rsid w:val="000B7293"/>
    <w:rsid w:val="000C2400"/>
    <w:rsid w:val="000C26CF"/>
    <w:rsid w:val="000C2716"/>
    <w:rsid w:val="000C5A6F"/>
    <w:rsid w:val="000C6AEE"/>
    <w:rsid w:val="000C7DAA"/>
    <w:rsid w:val="000C7F4F"/>
    <w:rsid w:val="000D05A7"/>
    <w:rsid w:val="000D0976"/>
    <w:rsid w:val="000D19EE"/>
    <w:rsid w:val="000D1B3A"/>
    <w:rsid w:val="000D2075"/>
    <w:rsid w:val="000D2F13"/>
    <w:rsid w:val="000D3461"/>
    <w:rsid w:val="000D4E24"/>
    <w:rsid w:val="000D63F3"/>
    <w:rsid w:val="000E0800"/>
    <w:rsid w:val="000E13CB"/>
    <w:rsid w:val="000E1C0E"/>
    <w:rsid w:val="000E2012"/>
    <w:rsid w:val="000E54B9"/>
    <w:rsid w:val="000E57D6"/>
    <w:rsid w:val="000E6360"/>
    <w:rsid w:val="000E747F"/>
    <w:rsid w:val="000E7A8E"/>
    <w:rsid w:val="000F1163"/>
    <w:rsid w:val="000F288E"/>
    <w:rsid w:val="000F3082"/>
    <w:rsid w:val="000F4DA6"/>
    <w:rsid w:val="000F7DFA"/>
    <w:rsid w:val="00102C0E"/>
    <w:rsid w:val="00103529"/>
    <w:rsid w:val="001052C2"/>
    <w:rsid w:val="00106D17"/>
    <w:rsid w:val="00106D3A"/>
    <w:rsid w:val="00110171"/>
    <w:rsid w:val="0011038D"/>
    <w:rsid w:val="00110BE3"/>
    <w:rsid w:val="0011119A"/>
    <w:rsid w:val="00111708"/>
    <w:rsid w:val="00111E68"/>
    <w:rsid w:val="00112858"/>
    <w:rsid w:val="00112CC8"/>
    <w:rsid w:val="00113AEB"/>
    <w:rsid w:val="00115BCD"/>
    <w:rsid w:val="001169E3"/>
    <w:rsid w:val="00122124"/>
    <w:rsid w:val="00122DDC"/>
    <w:rsid w:val="00123138"/>
    <w:rsid w:val="00123600"/>
    <w:rsid w:val="001268D5"/>
    <w:rsid w:val="00127B12"/>
    <w:rsid w:val="00127C9F"/>
    <w:rsid w:val="001329DF"/>
    <w:rsid w:val="00135131"/>
    <w:rsid w:val="001352CB"/>
    <w:rsid w:val="001357D0"/>
    <w:rsid w:val="001362E4"/>
    <w:rsid w:val="00136EC7"/>
    <w:rsid w:val="001374C8"/>
    <w:rsid w:val="00137D2E"/>
    <w:rsid w:val="00141772"/>
    <w:rsid w:val="0014446B"/>
    <w:rsid w:val="00144AA1"/>
    <w:rsid w:val="00144F61"/>
    <w:rsid w:val="001453E4"/>
    <w:rsid w:val="00145570"/>
    <w:rsid w:val="00145CEE"/>
    <w:rsid w:val="00146F34"/>
    <w:rsid w:val="001509E5"/>
    <w:rsid w:val="00151717"/>
    <w:rsid w:val="00151A80"/>
    <w:rsid w:val="0015260B"/>
    <w:rsid w:val="00153262"/>
    <w:rsid w:val="001540F4"/>
    <w:rsid w:val="00154160"/>
    <w:rsid w:val="00154FDA"/>
    <w:rsid w:val="001555DB"/>
    <w:rsid w:val="00155D1B"/>
    <w:rsid w:val="0015619A"/>
    <w:rsid w:val="001603F4"/>
    <w:rsid w:val="00162A11"/>
    <w:rsid w:val="00164BA2"/>
    <w:rsid w:val="00165EFB"/>
    <w:rsid w:val="00166261"/>
    <w:rsid w:val="001665FF"/>
    <w:rsid w:val="0016722E"/>
    <w:rsid w:val="0016779B"/>
    <w:rsid w:val="0017035D"/>
    <w:rsid w:val="00170782"/>
    <w:rsid w:val="00171A34"/>
    <w:rsid w:val="00172B7E"/>
    <w:rsid w:val="00173916"/>
    <w:rsid w:val="00173C2E"/>
    <w:rsid w:val="00173D83"/>
    <w:rsid w:val="00173FAC"/>
    <w:rsid w:val="001769E0"/>
    <w:rsid w:val="00182940"/>
    <w:rsid w:val="00182A30"/>
    <w:rsid w:val="00184EEF"/>
    <w:rsid w:val="00185006"/>
    <w:rsid w:val="00185C26"/>
    <w:rsid w:val="00186725"/>
    <w:rsid w:val="0018728B"/>
    <w:rsid w:val="001879C8"/>
    <w:rsid w:val="001905CE"/>
    <w:rsid w:val="001909EE"/>
    <w:rsid w:val="001914E0"/>
    <w:rsid w:val="0019476F"/>
    <w:rsid w:val="0019627D"/>
    <w:rsid w:val="001965B3"/>
    <w:rsid w:val="001972F7"/>
    <w:rsid w:val="00197B80"/>
    <w:rsid w:val="001A0858"/>
    <w:rsid w:val="001A1E77"/>
    <w:rsid w:val="001A3EF7"/>
    <w:rsid w:val="001A539F"/>
    <w:rsid w:val="001A5556"/>
    <w:rsid w:val="001A5932"/>
    <w:rsid w:val="001B033A"/>
    <w:rsid w:val="001B0E94"/>
    <w:rsid w:val="001B1B87"/>
    <w:rsid w:val="001B473E"/>
    <w:rsid w:val="001B5117"/>
    <w:rsid w:val="001B5313"/>
    <w:rsid w:val="001B531C"/>
    <w:rsid w:val="001B6647"/>
    <w:rsid w:val="001B6A8E"/>
    <w:rsid w:val="001C08EE"/>
    <w:rsid w:val="001C0E30"/>
    <w:rsid w:val="001C11A2"/>
    <w:rsid w:val="001C2776"/>
    <w:rsid w:val="001C2C52"/>
    <w:rsid w:val="001C401A"/>
    <w:rsid w:val="001C5006"/>
    <w:rsid w:val="001C5B4E"/>
    <w:rsid w:val="001C5DA0"/>
    <w:rsid w:val="001D03D2"/>
    <w:rsid w:val="001D0E0F"/>
    <w:rsid w:val="001D17F0"/>
    <w:rsid w:val="001D2E9D"/>
    <w:rsid w:val="001D37C9"/>
    <w:rsid w:val="001D7D88"/>
    <w:rsid w:val="001E1ABB"/>
    <w:rsid w:val="001E40EB"/>
    <w:rsid w:val="001E64FC"/>
    <w:rsid w:val="001E7270"/>
    <w:rsid w:val="001E7EF7"/>
    <w:rsid w:val="001F0D43"/>
    <w:rsid w:val="001F12D7"/>
    <w:rsid w:val="001F13DB"/>
    <w:rsid w:val="001F14FB"/>
    <w:rsid w:val="001F1857"/>
    <w:rsid w:val="001F3D9E"/>
    <w:rsid w:val="001F3FBF"/>
    <w:rsid w:val="001F5BD9"/>
    <w:rsid w:val="0020009B"/>
    <w:rsid w:val="002018AB"/>
    <w:rsid w:val="00203A0A"/>
    <w:rsid w:val="00204B23"/>
    <w:rsid w:val="00204FAD"/>
    <w:rsid w:val="0020585B"/>
    <w:rsid w:val="00205C56"/>
    <w:rsid w:val="002066A4"/>
    <w:rsid w:val="00206EF0"/>
    <w:rsid w:val="00210C71"/>
    <w:rsid w:val="00211E1B"/>
    <w:rsid w:val="00211EC0"/>
    <w:rsid w:val="00212BDA"/>
    <w:rsid w:val="00217759"/>
    <w:rsid w:val="00221982"/>
    <w:rsid w:val="00222DC3"/>
    <w:rsid w:val="0022325C"/>
    <w:rsid w:val="0022465E"/>
    <w:rsid w:val="0022473F"/>
    <w:rsid w:val="002253AA"/>
    <w:rsid w:val="00226029"/>
    <w:rsid w:val="00227B6A"/>
    <w:rsid w:val="00227FEA"/>
    <w:rsid w:val="00231AA8"/>
    <w:rsid w:val="00231C4A"/>
    <w:rsid w:val="00233A9B"/>
    <w:rsid w:val="00234232"/>
    <w:rsid w:val="00237179"/>
    <w:rsid w:val="002409DE"/>
    <w:rsid w:val="00241D57"/>
    <w:rsid w:val="002438C9"/>
    <w:rsid w:val="00245C6F"/>
    <w:rsid w:val="00250E9A"/>
    <w:rsid w:val="002510DB"/>
    <w:rsid w:val="0025148A"/>
    <w:rsid w:val="0025238B"/>
    <w:rsid w:val="0025352F"/>
    <w:rsid w:val="0025485F"/>
    <w:rsid w:val="00254CF2"/>
    <w:rsid w:val="00256877"/>
    <w:rsid w:val="00256884"/>
    <w:rsid w:val="002579A6"/>
    <w:rsid w:val="00257FE4"/>
    <w:rsid w:val="00261C5F"/>
    <w:rsid w:val="00262690"/>
    <w:rsid w:val="002627C9"/>
    <w:rsid w:val="002636BE"/>
    <w:rsid w:val="002639F9"/>
    <w:rsid w:val="00264877"/>
    <w:rsid w:val="0026566B"/>
    <w:rsid w:val="0026606C"/>
    <w:rsid w:val="00266877"/>
    <w:rsid w:val="0026710A"/>
    <w:rsid w:val="00267A02"/>
    <w:rsid w:val="00267BAB"/>
    <w:rsid w:val="00267DE9"/>
    <w:rsid w:val="002709D9"/>
    <w:rsid w:val="00270C7C"/>
    <w:rsid w:val="00271D2C"/>
    <w:rsid w:val="00272E44"/>
    <w:rsid w:val="002735D7"/>
    <w:rsid w:val="002752C5"/>
    <w:rsid w:val="00275D3A"/>
    <w:rsid w:val="002809AA"/>
    <w:rsid w:val="00281106"/>
    <w:rsid w:val="00281E72"/>
    <w:rsid w:val="002838BB"/>
    <w:rsid w:val="00284E15"/>
    <w:rsid w:val="002850E6"/>
    <w:rsid w:val="002852FA"/>
    <w:rsid w:val="00285586"/>
    <w:rsid w:val="00285DF2"/>
    <w:rsid w:val="00285F1A"/>
    <w:rsid w:val="00286A72"/>
    <w:rsid w:val="00286CA9"/>
    <w:rsid w:val="00291B7D"/>
    <w:rsid w:val="00295338"/>
    <w:rsid w:val="002954E2"/>
    <w:rsid w:val="002A055D"/>
    <w:rsid w:val="002A0DC1"/>
    <w:rsid w:val="002A114C"/>
    <w:rsid w:val="002A2289"/>
    <w:rsid w:val="002A236D"/>
    <w:rsid w:val="002A23BF"/>
    <w:rsid w:val="002A2C1A"/>
    <w:rsid w:val="002A2F60"/>
    <w:rsid w:val="002A39FF"/>
    <w:rsid w:val="002A5D42"/>
    <w:rsid w:val="002A649B"/>
    <w:rsid w:val="002A70E6"/>
    <w:rsid w:val="002B062E"/>
    <w:rsid w:val="002B06D9"/>
    <w:rsid w:val="002B3407"/>
    <w:rsid w:val="002B44D6"/>
    <w:rsid w:val="002B460E"/>
    <w:rsid w:val="002B59FD"/>
    <w:rsid w:val="002B5FA4"/>
    <w:rsid w:val="002B6C8C"/>
    <w:rsid w:val="002B777F"/>
    <w:rsid w:val="002C0C92"/>
    <w:rsid w:val="002C1B83"/>
    <w:rsid w:val="002C47E4"/>
    <w:rsid w:val="002C4C31"/>
    <w:rsid w:val="002C4F2E"/>
    <w:rsid w:val="002C639F"/>
    <w:rsid w:val="002C7687"/>
    <w:rsid w:val="002D0121"/>
    <w:rsid w:val="002D0ADF"/>
    <w:rsid w:val="002D3664"/>
    <w:rsid w:val="002D3A4C"/>
    <w:rsid w:val="002D3F53"/>
    <w:rsid w:val="002D415B"/>
    <w:rsid w:val="002D585A"/>
    <w:rsid w:val="002D5E5A"/>
    <w:rsid w:val="002D6CC0"/>
    <w:rsid w:val="002E29CE"/>
    <w:rsid w:val="002E4813"/>
    <w:rsid w:val="002E4B83"/>
    <w:rsid w:val="002E4D6B"/>
    <w:rsid w:val="002E530C"/>
    <w:rsid w:val="002E6363"/>
    <w:rsid w:val="002E75E4"/>
    <w:rsid w:val="002F06AF"/>
    <w:rsid w:val="002F0865"/>
    <w:rsid w:val="002F2942"/>
    <w:rsid w:val="002F40EE"/>
    <w:rsid w:val="002F6CBC"/>
    <w:rsid w:val="002F7C3A"/>
    <w:rsid w:val="00300647"/>
    <w:rsid w:val="00300C78"/>
    <w:rsid w:val="00302480"/>
    <w:rsid w:val="00303165"/>
    <w:rsid w:val="00304AFE"/>
    <w:rsid w:val="003054CC"/>
    <w:rsid w:val="00307924"/>
    <w:rsid w:val="00307CC9"/>
    <w:rsid w:val="003100DB"/>
    <w:rsid w:val="0031032E"/>
    <w:rsid w:val="00310D3A"/>
    <w:rsid w:val="00311143"/>
    <w:rsid w:val="00311EB1"/>
    <w:rsid w:val="003128BC"/>
    <w:rsid w:val="00312ADC"/>
    <w:rsid w:val="0031345F"/>
    <w:rsid w:val="003150ED"/>
    <w:rsid w:val="003206DE"/>
    <w:rsid w:val="0032136B"/>
    <w:rsid w:val="00321411"/>
    <w:rsid w:val="00323753"/>
    <w:rsid w:val="003239A8"/>
    <w:rsid w:val="00323A3F"/>
    <w:rsid w:val="003241A9"/>
    <w:rsid w:val="00324E2F"/>
    <w:rsid w:val="00325AE6"/>
    <w:rsid w:val="00326682"/>
    <w:rsid w:val="00331B4E"/>
    <w:rsid w:val="00332550"/>
    <w:rsid w:val="003339AD"/>
    <w:rsid w:val="00333D6F"/>
    <w:rsid w:val="003366CA"/>
    <w:rsid w:val="003369D6"/>
    <w:rsid w:val="00340060"/>
    <w:rsid w:val="00340530"/>
    <w:rsid w:val="00345CD7"/>
    <w:rsid w:val="003470DD"/>
    <w:rsid w:val="00347824"/>
    <w:rsid w:val="003507D4"/>
    <w:rsid w:val="00351E3C"/>
    <w:rsid w:val="00352B87"/>
    <w:rsid w:val="00352FA0"/>
    <w:rsid w:val="0035314E"/>
    <w:rsid w:val="00353F9C"/>
    <w:rsid w:val="00354686"/>
    <w:rsid w:val="0035662B"/>
    <w:rsid w:val="00357E86"/>
    <w:rsid w:val="003612F5"/>
    <w:rsid w:val="00362DA4"/>
    <w:rsid w:val="00363693"/>
    <w:rsid w:val="00363AD6"/>
    <w:rsid w:val="003641F5"/>
    <w:rsid w:val="003665C4"/>
    <w:rsid w:val="00366BA2"/>
    <w:rsid w:val="0036708F"/>
    <w:rsid w:val="00367886"/>
    <w:rsid w:val="0037049C"/>
    <w:rsid w:val="003710E7"/>
    <w:rsid w:val="00371D9F"/>
    <w:rsid w:val="003735B3"/>
    <w:rsid w:val="00373BA6"/>
    <w:rsid w:val="003759E0"/>
    <w:rsid w:val="00376274"/>
    <w:rsid w:val="003808DF"/>
    <w:rsid w:val="003815A8"/>
    <w:rsid w:val="003816E9"/>
    <w:rsid w:val="003830D5"/>
    <w:rsid w:val="003852B2"/>
    <w:rsid w:val="00393208"/>
    <w:rsid w:val="00394844"/>
    <w:rsid w:val="00396212"/>
    <w:rsid w:val="00396950"/>
    <w:rsid w:val="003A0606"/>
    <w:rsid w:val="003A07F7"/>
    <w:rsid w:val="003A24FA"/>
    <w:rsid w:val="003A6147"/>
    <w:rsid w:val="003A6BEF"/>
    <w:rsid w:val="003A7A1A"/>
    <w:rsid w:val="003B0370"/>
    <w:rsid w:val="003B301D"/>
    <w:rsid w:val="003B52BA"/>
    <w:rsid w:val="003B6F02"/>
    <w:rsid w:val="003C0CA3"/>
    <w:rsid w:val="003C1690"/>
    <w:rsid w:val="003C231A"/>
    <w:rsid w:val="003C26B4"/>
    <w:rsid w:val="003C4A23"/>
    <w:rsid w:val="003C4B57"/>
    <w:rsid w:val="003C4DAD"/>
    <w:rsid w:val="003D35D4"/>
    <w:rsid w:val="003D53C9"/>
    <w:rsid w:val="003D5D20"/>
    <w:rsid w:val="003D67A7"/>
    <w:rsid w:val="003D71E8"/>
    <w:rsid w:val="003D7447"/>
    <w:rsid w:val="003D79F1"/>
    <w:rsid w:val="003E01B8"/>
    <w:rsid w:val="003E1197"/>
    <w:rsid w:val="003E163C"/>
    <w:rsid w:val="003E1A54"/>
    <w:rsid w:val="003E3FA9"/>
    <w:rsid w:val="003E465E"/>
    <w:rsid w:val="003E55B8"/>
    <w:rsid w:val="003E5C4D"/>
    <w:rsid w:val="003E5D09"/>
    <w:rsid w:val="003E656C"/>
    <w:rsid w:val="003F062A"/>
    <w:rsid w:val="003F34CE"/>
    <w:rsid w:val="003F4C00"/>
    <w:rsid w:val="003F4EB3"/>
    <w:rsid w:val="003F6C7B"/>
    <w:rsid w:val="00401F7C"/>
    <w:rsid w:val="004020C1"/>
    <w:rsid w:val="004050F0"/>
    <w:rsid w:val="004055A8"/>
    <w:rsid w:val="004067CF"/>
    <w:rsid w:val="004077AC"/>
    <w:rsid w:val="004125F4"/>
    <w:rsid w:val="004132C8"/>
    <w:rsid w:val="004132E5"/>
    <w:rsid w:val="00414757"/>
    <w:rsid w:val="00414901"/>
    <w:rsid w:val="00414B2F"/>
    <w:rsid w:val="004175CE"/>
    <w:rsid w:val="004177A2"/>
    <w:rsid w:val="00417892"/>
    <w:rsid w:val="00417A8A"/>
    <w:rsid w:val="00421BBB"/>
    <w:rsid w:val="004226F9"/>
    <w:rsid w:val="00423632"/>
    <w:rsid w:val="00423F81"/>
    <w:rsid w:val="00424C50"/>
    <w:rsid w:val="004254E8"/>
    <w:rsid w:val="00426DDD"/>
    <w:rsid w:val="004271E7"/>
    <w:rsid w:val="0042721C"/>
    <w:rsid w:val="00431739"/>
    <w:rsid w:val="0043539E"/>
    <w:rsid w:val="00435838"/>
    <w:rsid w:val="00436C5A"/>
    <w:rsid w:val="00437A2A"/>
    <w:rsid w:val="00441837"/>
    <w:rsid w:val="004433DB"/>
    <w:rsid w:val="00447638"/>
    <w:rsid w:val="00447AE0"/>
    <w:rsid w:val="00450326"/>
    <w:rsid w:val="00451695"/>
    <w:rsid w:val="00451B95"/>
    <w:rsid w:val="00453428"/>
    <w:rsid w:val="00454DD0"/>
    <w:rsid w:val="00455A0B"/>
    <w:rsid w:val="00456CFB"/>
    <w:rsid w:val="00460EA9"/>
    <w:rsid w:val="00461F7B"/>
    <w:rsid w:val="00462D71"/>
    <w:rsid w:val="004630F1"/>
    <w:rsid w:val="00463E52"/>
    <w:rsid w:val="00464669"/>
    <w:rsid w:val="004651EF"/>
    <w:rsid w:val="004672D9"/>
    <w:rsid w:val="00470342"/>
    <w:rsid w:val="00470F9E"/>
    <w:rsid w:val="00471BBB"/>
    <w:rsid w:val="004750F2"/>
    <w:rsid w:val="0047762C"/>
    <w:rsid w:val="0048032B"/>
    <w:rsid w:val="00480DDA"/>
    <w:rsid w:val="00481337"/>
    <w:rsid w:val="00481ABF"/>
    <w:rsid w:val="00482E91"/>
    <w:rsid w:val="00482F32"/>
    <w:rsid w:val="00484948"/>
    <w:rsid w:val="0048549C"/>
    <w:rsid w:val="00486173"/>
    <w:rsid w:val="00486C28"/>
    <w:rsid w:val="0048704E"/>
    <w:rsid w:val="00487851"/>
    <w:rsid w:val="004909FB"/>
    <w:rsid w:val="00490F3F"/>
    <w:rsid w:val="00490F6E"/>
    <w:rsid w:val="004912DB"/>
    <w:rsid w:val="00491C5F"/>
    <w:rsid w:val="00491EA7"/>
    <w:rsid w:val="004926A4"/>
    <w:rsid w:val="004933C5"/>
    <w:rsid w:val="00495400"/>
    <w:rsid w:val="00495B51"/>
    <w:rsid w:val="00497013"/>
    <w:rsid w:val="00497E0A"/>
    <w:rsid w:val="004A182C"/>
    <w:rsid w:val="004A2CEF"/>
    <w:rsid w:val="004A3393"/>
    <w:rsid w:val="004A3D86"/>
    <w:rsid w:val="004A5771"/>
    <w:rsid w:val="004A63FB"/>
    <w:rsid w:val="004A7C8D"/>
    <w:rsid w:val="004B0AA3"/>
    <w:rsid w:val="004B2BBF"/>
    <w:rsid w:val="004B2CC7"/>
    <w:rsid w:val="004B4E32"/>
    <w:rsid w:val="004B6150"/>
    <w:rsid w:val="004C0B86"/>
    <w:rsid w:val="004C1926"/>
    <w:rsid w:val="004C1A01"/>
    <w:rsid w:val="004C2969"/>
    <w:rsid w:val="004C7F4E"/>
    <w:rsid w:val="004D1411"/>
    <w:rsid w:val="004D2F46"/>
    <w:rsid w:val="004D3232"/>
    <w:rsid w:val="004D42E7"/>
    <w:rsid w:val="004D46DE"/>
    <w:rsid w:val="004E198B"/>
    <w:rsid w:val="004E2E7E"/>
    <w:rsid w:val="004E4003"/>
    <w:rsid w:val="004E5896"/>
    <w:rsid w:val="004E59C6"/>
    <w:rsid w:val="004E6983"/>
    <w:rsid w:val="004E72AC"/>
    <w:rsid w:val="004F10A5"/>
    <w:rsid w:val="004F1724"/>
    <w:rsid w:val="004F2A66"/>
    <w:rsid w:val="004F2F88"/>
    <w:rsid w:val="004F6392"/>
    <w:rsid w:val="004F7E28"/>
    <w:rsid w:val="00500184"/>
    <w:rsid w:val="00500A30"/>
    <w:rsid w:val="00500C31"/>
    <w:rsid w:val="00501D2C"/>
    <w:rsid w:val="00502A33"/>
    <w:rsid w:val="0050420E"/>
    <w:rsid w:val="0050583F"/>
    <w:rsid w:val="00506B8F"/>
    <w:rsid w:val="005109DA"/>
    <w:rsid w:val="00511466"/>
    <w:rsid w:val="00513A4B"/>
    <w:rsid w:val="005146C6"/>
    <w:rsid w:val="00516370"/>
    <w:rsid w:val="00516664"/>
    <w:rsid w:val="00516E0C"/>
    <w:rsid w:val="0052081A"/>
    <w:rsid w:val="005213E1"/>
    <w:rsid w:val="00522703"/>
    <w:rsid w:val="00522E4C"/>
    <w:rsid w:val="00522EEF"/>
    <w:rsid w:val="00523EB0"/>
    <w:rsid w:val="00527604"/>
    <w:rsid w:val="00527721"/>
    <w:rsid w:val="00530280"/>
    <w:rsid w:val="00531761"/>
    <w:rsid w:val="00532121"/>
    <w:rsid w:val="005325C4"/>
    <w:rsid w:val="00536708"/>
    <w:rsid w:val="00537679"/>
    <w:rsid w:val="0054268F"/>
    <w:rsid w:val="00542AE7"/>
    <w:rsid w:val="005447A6"/>
    <w:rsid w:val="00546930"/>
    <w:rsid w:val="00550028"/>
    <w:rsid w:val="00552533"/>
    <w:rsid w:val="00553C84"/>
    <w:rsid w:val="00557021"/>
    <w:rsid w:val="00557701"/>
    <w:rsid w:val="005579C4"/>
    <w:rsid w:val="005605C3"/>
    <w:rsid w:val="00562397"/>
    <w:rsid w:val="005623B8"/>
    <w:rsid w:val="0056273F"/>
    <w:rsid w:val="00563134"/>
    <w:rsid w:val="00563D24"/>
    <w:rsid w:val="00565222"/>
    <w:rsid w:val="00565E19"/>
    <w:rsid w:val="00566913"/>
    <w:rsid w:val="005706A1"/>
    <w:rsid w:val="00571BD1"/>
    <w:rsid w:val="00572D5A"/>
    <w:rsid w:val="00573144"/>
    <w:rsid w:val="005731F0"/>
    <w:rsid w:val="0057525B"/>
    <w:rsid w:val="00576D74"/>
    <w:rsid w:val="00577178"/>
    <w:rsid w:val="00577732"/>
    <w:rsid w:val="00577F16"/>
    <w:rsid w:val="00580F2C"/>
    <w:rsid w:val="005812A7"/>
    <w:rsid w:val="00582694"/>
    <w:rsid w:val="0058281E"/>
    <w:rsid w:val="00583367"/>
    <w:rsid w:val="00583687"/>
    <w:rsid w:val="00583A9B"/>
    <w:rsid w:val="00583CEE"/>
    <w:rsid w:val="005844C2"/>
    <w:rsid w:val="005848B6"/>
    <w:rsid w:val="00584C94"/>
    <w:rsid w:val="00584DF0"/>
    <w:rsid w:val="00585A17"/>
    <w:rsid w:val="005876F8"/>
    <w:rsid w:val="0058789C"/>
    <w:rsid w:val="0059116C"/>
    <w:rsid w:val="005932F5"/>
    <w:rsid w:val="00593B08"/>
    <w:rsid w:val="00594AC8"/>
    <w:rsid w:val="005953B8"/>
    <w:rsid w:val="00595E32"/>
    <w:rsid w:val="00597457"/>
    <w:rsid w:val="005A1400"/>
    <w:rsid w:val="005A2BA1"/>
    <w:rsid w:val="005A4805"/>
    <w:rsid w:val="005A51E1"/>
    <w:rsid w:val="005A5E4E"/>
    <w:rsid w:val="005A64D0"/>
    <w:rsid w:val="005A6EBE"/>
    <w:rsid w:val="005A7613"/>
    <w:rsid w:val="005A7F2C"/>
    <w:rsid w:val="005B14BC"/>
    <w:rsid w:val="005B26BB"/>
    <w:rsid w:val="005B34EA"/>
    <w:rsid w:val="005B379B"/>
    <w:rsid w:val="005B3B4F"/>
    <w:rsid w:val="005B5499"/>
    <w:rsid w:val="005B7BC1"/>
    <w:rsid w:val="005B7D0A"/>
    <w:rsid w:val="005C1D0F"/>
    <w:rsid w:val="005C1F20"/>
    <w:rsid w:val="005C24C7"/>
    <w:rsid w:val="005C2797"/>
    <w:rsid w:val="005C4396"/>
    <w:rsid w:val="005C4DE6"/>
    <w:rsid w:val="005C71E2"/>
    <w:rsid w:val="005C7579"/>
    <w:rsid w:val="005D0175"/>
    <w:rsid w:val="005D0744"/>
    <w:rsid w:val="005D1793"/>
    <w:rsid w:val="005D23E2"/>
    <w:rsid w:val="005D6112"/>
    <w:rsid w:val="005D6D06"/>
    <w:rsid w:val="005D70BF"/>
    <w:rsid w:val="005E065C"/>
    <w:rsid w:val="005E2C7C"/>
    <w:rsid w:val="005E2FFC"/>
    <w:rsid w:val="005E3592"/>
    <w:rsid w:val="005E39C6"/>
    <w:rsid w:val="005E476B"/>
    <w:rsid w:val="005E55C2"/>
    <w:rsid w:val="005E5881"/>
    <w:rsid w:val="005E6B9F"/>
    <w:rsid w:val="005E7CE5"/>
    <w:rsid w:val="005F03C6"/>
    <w:rsid w:val="005F1C2E"/>
    <w:rsid w:val="005F3657"/>
    <w:rsid w:val="005F547E"/>
    <w:rsid w:val="005F5718"/>
    <w:rsid w:val="005F6E25"/>
    <w:rsid w:val="00600527"/>
    <w:rsid w:val="0060168A"/>
    <w:rsid w:val="00601D11"/>
    <w:rsid w:val="00602911"/>
    <w:rsid w:val="00603249"/>
    <w:rsid w:val="006034C7"/>
    <w:rsid w:val="00603B60"/>
    <w:rsid w:val="00603CCD"/>
    <w:rsid w:val="00605D03"/>
    <w:rsid w:val="00606A74"/>
    <w:rsid w:val="006073D5"/>
    <w:rsid w:val="0060795A"/>
    <w:rsid w:val="0061246B"/>
    <w:rsid w:val="0061392E"/>
    <w:rsid w:val="00613F09"/>
    <w:rsid w:val="00615A58"/>
    <w:rsid w:val="00620271"/>
    <w:rsid w:val="00621832"/>
    <w:rsid w:val="0062250F"/>
    <w:rsid w:val="00624279"/>
    <w:rsid w:val="00626256"/>
    <w:rsid w:val="006307AD"/>
    <w:rsid w:val="006326E6"/>
    <w:rsid w:val="006341A9"/>
    <w:rsid w:val="00634631"/>
    <w:rsid w:val="006346A1"/>
    <w:rsid w:val="006354F1"/>
    <w:rsid w:val="00635745"/>
    <w:rsid w:val="00636393"/>
    <w:rsid w:val="00637373"/>
    <w:rsid w:val="00640380"/>
    <w:rsid w:val="006409B3"/>
    <w:rsid w:val="00643539"/>
    <w:rsid w:val="00645259"/>
    <w:rsid w:val="00647EAC"/>
    <w:rsid w:val="00650B59"/>
    <w:rsid w:val="00650D77"/>
    <w:rsid w:val="006511F4"/>
    <w:rsid w:val="006516A2"/>
    <w:rsid w:val="00651FC8"/>
    <w:rsid w:val="00653021"/>
    <w:rsid w:val="00653A9A"/>
    <w:rsid w:val="00653B07"/>
    <w:rsid w:val="00655A6D"/>
    <w:rsid w:val="00655BF1"/>
    <w:rsid w:val="00656139"/>
    <w:rsid w:val="0065643E"/>
    <w:rsid w:val="00660586"/>
    <w:rsid w:val="00660C63"/>
    <w:rsid w:val="00660EA3"/>
    <w:rsid w:val="00662AE7"/>
    <w:rsid w:val="00662D97"/>
    <w:rsid w:val="0066343D"/>
    <w:rsid w:val="006661C5"/>
    <w:rsid w:val="0066656E"/>
    <w:rsid w:val="006671BE"/>
    <w:rsid w:val="00667AB2"/>
    <w:rsid w:val="006710F4"/>
    <w:rsid w:val="006719C6"/>
    <w:rsid w:val="00671A27"/>
    <w:rsid w:val="00673F82"/>
    <w:rsid w:val="006750E6"/>
    <w:rsid w:val="00676CA6"/>
    <w:rsid w:val="00677896"/>
    <w:rsid w:val="00680C03"/>
    <w:rsid w:val="006825F9"/>
    <w:rsid w:val="00682F1F"/>
    <w:rsid w:val="006831B2"/>
    <w:rsid w:val="006831C8"/>
    <w:rsid w:val="00685362"/>
    <w:rsid w:val="006863BD"/>
    <w:rsid w:val="00690F60"/>
    <w:rsid w:val="00691B40"/>
    <w:rsid w:val="00694C5B"/>
    <w:rsid w:val="00696980"/>
    <w:rsid w:val="006975FC"/>
    <w:rsid w:val="00697C40"/>
    <w:rsid w:val="006A142A"/>
    <w:rsid w:val="006A149F"/>
    <w:rsid w:val="006A2A40"/>
    <w:rsid w:val="006A456B"/>
    <w:rsid w:val="006A4ADF"/>
    <w:rsid w:val="006A4E1C"/>
    <w:rsid w:val="006A4F1E"/>
    <w:rsid w:val="006A55F8"/>
    <w:rsid w:val="006A7623"/>
    <w:rsid w:val="006B0276"/>
    <w:rsid w:val="006B1601"/>
    <w:rsid w:val="006B1A1B"/>
    <w:rsid w:val="006B27FB"/>
    <w:rsid w:val="006B40E0"/>
    <w:rsid w:val="006B4F8E"/>
    <w:rsid w:val="006B6DF8"/>
    <w:rsid w:val="006B7ECA"/>
    <w:rsid w:val="006C21A1"/>
    <w:rsid w:val="006C280C"/>
    <w:rsid w:val="006C3F78"/>
    <w:rsid w:val="006C4FE5"/>
    <w:rsid w:val="006C55CD"/>
    <w:rsid w:val="006C5B42"/>
    <w:rsid w:val="006C6A74"/>
    <w:rsid w:val="006D0BB8"/>
    <w:rsid w:val="006D11AF"/>
    <w:rsid w:val="006D13C0"/>
    <w:rsid w:val="006D4F2F"/>
    <w:rsid w:val="006D753A"/>
    <w:rsid w:val="006E0805"/>
    <w:rsid w:val="006E099B"/>
    <w:rsid w:val="006E4081"/>
    <w:rsid w:val="006E49FE"/>
    <w:rsid w:val="006E4AA5"/>
    <w:rsid w:val="006E5217"/>
    <w:rsid w:val="006E6DAE"/>
    <w:rsid w:val="006E6FE3"/>
    <w:rsid w:val="006F0C30"/>
    <w:rsid w:val="006F1066"/>
    <w:rsid w:val="006F1751"/>
    <w:rsid w:val="006F17B5"/>
    <w:rsid w:val="006F22BF"/>
    <w:rsid w:val="006F4B08"/>
    <w:rsid w:val="006F59F0"/>
    <w:rsid w:val="006F5D4D"/>
    <w:rsid w:val="006F6C6F"/>
    <w:rsid w:val="006F6E3B"/>
    <w:rsid w:val="006F7159"/>
    <w:rsid w:val="006F71E9"/>
    <w:rsid w:val="007014E7"/>
    <w:rsid w:val="00701C44"/>
    <w:rsid w:val="00703296"/>
    <w:rsid w:val="00703592"/>
    <w:rsid w:val="0070408B"/>
    <w:rsid w:val="00704177"/>
    <w:rsid w:val="00704434"/>
    <w:rsid w:val="007047CE"/>
    <w:rsid w:val="0070494E"/>
    <w:rsid w:val="00705591"/>
    <w:rsid w:val="00705AFD"/>
    <w:rsid w:val="00706225"/>
    <w:rsid w:val="007073CA"/>
    <w:rsid w:val="00710608"/>
    <w:rsid w:val="00710C63"/>
    <w:rsid w:val="00710DE4"/>
    <w:rsid w:val="007114F6"/>
    <w:rsid w:val="00712B5A"/>
    <w:rsid w:val="00713ECC"/>
    <w:rsid w:val="0071488F"/>
    <w:rsid w:val="00714CF1"/>
    <w:rsid w:val="00715060"/>
    <w:rsid w:val="00717157"/>
    <w:rsid w:val="00717AD0"/>
    <w:rsid w:val="00721068"/>
    <w:rsid w:val="00721678"/>
    <w:rsid w:val="00722C78"/>
    <w:rsid w:val="00723FE7"/>
    <w:rsid w:val="0072434B"/>
    <w:rsid w:val="00725360"/>
    <w:rsid w:val="00726E62"/>
    <w:rsid w:val="00730014"/>
    <w:rsid w:val="00730769"/>
    <w:rsid w:val="00731E71"/>
    <w:rsid w:val="00732D0D"/>
    <w:rsid w:val="00734E6B"/>
    <w:rsid w:val="0073527A"/>
    <w:rsid w:val="00736D67"/>
    <w:rsid w:val="007374F3"/>
    <w:rsid w:val="00737CB2"/>
    <w:rsid w:val="00740CD7"/>
    <w:rsid w:val="00740E28"/>
    <w:rsid w:val="00740F34"/>
    <w:rsid w:val="007418C8"/>
    <w:rsid w:val="00741BFC"/>
    <w:rsid w:val="00744396"/>
    <w:rsid w:val="0074483C"/>
    <w:rsid w:val="00752909"/>
    <w:rsid w:val="00752C7F"/>
    <w:rsid w:val="00753154"/>
    <w:rsid w:val="00753F41"/>
    <w:rsid w:val="00753FB3"/>
    <w:rsid w:val="0076101F"/>
    <w:rsid w:val="007613A2"/>
    <w:rsid w:val="0076150E"/>
    <w:rsid w:val="00762493"/>
    <w:rsid w:val="00763616"/>
    <w:rsid w:val="007643A6"/>
    <w:rsid w:val="007661C2"/>
    <w:rsid w:val="00767953"/>
    <w:rsid w:val="007706CD"/>
    <w:rsid w:val="007716D3"/>
    <w:rsid w:val="007719EA"/>
    <w:rsid w:val="007724C5"/>
    <w:rsid w:val="00776431"/>
    <w:rsid w:val="007772EB"/>
    <w:rsid w:val="007802EB"/>
    <w:rsid w:val="00780B18"/>
    <w:rsid w:val="00780B7D"/>
    <w:rsid w:val="00780D8F"/>
    <w:rsid w:val="00781952"/>
    <w:rsid w:val="0078197B"/>
    <w:rsid w:val="007832F4"/>
    <w:rsid w:val="0078364F"/>
    <w:rsid w:val="0078378A"/>
    <w:rsid w:val="007840FC"/>
    <w:rsid w:val="00784219"/>
    <w:rsid w:val="007844ED"/>
    <w:rsid w:val="00786BE6"/>
    <w:rsid w:val="00791C35"/>
    <w:rsid w:val="0079364F"/>
    <w:rsid w:val="00793918"/>
    <w:rsid w:val="00794E5B"/>
    <w:rsid w:val="007955BE"/>
    <w:rsid w:val="00796575"/>
    <w:rsid w:val="007A06AF"/>
    <w:rsid w:val="007A1810"/>
    <w:rsid w:val="007A3960"/>
    <w:rsid w:val="007A4DD6"/>
    <w:rsid w:val="007A5C8D"/>
    <w:rsid w:val="007A7724"/>
    <w:rsid w:val="007A7AF6"/>
    <w:rsid w:val="007B32EB"/>
    <w:rsid w:val="007B4720"/>
    <w:rsid w:val="007B7A54"/>
    <w:rsid w:val="007B7B43"/>
    <w:rsid w:val="007C0268"/>
    <w:rsid w:val="007C2D53"/>
    <w:rsid w:val="007C374C"/>
    <w:rsid w:val="007C3D60"/>
    <w:rsid w:val="007C3D82"/>
    <w:rsid w:val="007C40A4"/>
    <w:rsid w:val="007C49D7"/>
    <w:rsid w:val="007C576D"/>
    <w:rsid w:val="007D0B4D"/>
    <w:rsid w:val="007D0B90"/>
    <w:rsid w:val="007D201A"/>
    <w:rsid w:val="007D2C68"/>
    <w:rsid w:val="007D30AE"/>
    <w:rsid w:val="007D3B0D"/>
    <w:rsid w:val="007D6C5F"/>
    <w:rsid w:val="007D6D84"/>
    <w:rsid w:val="007D6F73"/>
    <w:rsid w:val="007D789C"/>
    <w:rsid w:val="007E026F"/>
    <w:rsid w:val="007E0F96"/>
    <w:rsid w:val="007E1084"/>
    <w:rsid w:val="007E49CF"/>
    <w:rsid w:val="007E5066"/>
    <w:rsid w:val="007E5FF4"/>
    <w:rsid w:val="007E752E"/>
    <w:rsid w:val="007E7799"/>
    <w:rsid w:val="007E7F2A"/>
    <w:rsid w:val="007F03CA"/>
    <w:rsid w:val="007F04C4"/>
    <w:rsid w:val="007F1179"/>
    <w:rsid w:val="007F29A6"/>
    <w:rsid w:val="007F29C0"/>
    <w:rsid w:val="007F2D55"/>
    <w:rsid w:val="007F51C9"/>
    <w:rsid w:val="007F56A8"/>
    <w:rsid w:val="007F60EC"/>
    <w:rsid w:val="007F6A72"/>
    <w:rsid w:val="007F74DA"/>
    <w:rsid w:val="007F7BE2"/>
    <w:rsid w:val="008002EF"/>
    <w:rsid w:val="0080068A"/>
    <w:rsid w:val="008015D3"/>
    <w:rsid w:val="00801D21"/>
    <w:rsid w:val="0080202A"/>
    <w:rsid w:val="008027A6"/>
    <w:rsid w:val="008029DE"/>
    <w:rsid w:val="0080492F"/>
    <w:rsid w:val="0080599C"/>
    <w:rsid w:val="0080642E"/>
    <w:rsid w:val="00806E99"/>
    <w:rsid w:val="008110DC"/>
    <w:rsid w:val="008111AB"/>
    <w:rsid w:val="00811588"/>
    <w:rsid w:val="00811B0D"/>
    <w:rsid w:val="00812297"/>
    <w:rsid w:val="00812312"/>
    <w:rsid w:val="00814358"/>
    <w:rsid w:val="0082028F"/>
    <w:rsid w:val="008205FB"/>
    <w:rsid w:val="0082064A"/>
    <w:rsid w:val="0082101F"/>
    <w:rsid w:val="0082169A"/>
    <w:rsid w:val="00822440"/>
    <w:rsid w:val="00823702"/>
    <w:rsid w:val="0082546F"/>
    <w:rsid w:val="00825D35"/>
    <w:rsid w:val="00832670"/>
    <w:rsid w:val="00832B20"/>
    <w:rsid w:val="00836040"/>
    <w:rsid w:val="008429EE"/>
    <w:rsid w:val="00844494"/>
    <w:rsid w:val="00845A69"/>
    <w:rsid w:val="00845E81"/>
    <w:rsid w:val="008474D5"/>
    <w:rsid w:val="0084768F"/>
    <w:rsid w:val="008517FD"/>
    <w:rsid w:val="00851E18"/>
    <w:rsid w:val="00851E4F"/>
    <w:rsid w:val="0085231A"/>
    <w:rsid w:val="00852672"/>
    <w:rsid w:val="00853EF7"/>
    <w:rsid w:val="00853F4F"/>
    <w:rsid w:val="008543CA"/>
    <w:rsid w:val="0085584F"/>
    <w:rsid w:val="00856D7C"/>
    <w:rsid w:val="00861379"/>
    <w:rsid w:val="00863657"/>
    <w:rsid w:val="0086414C"/>
    <w:rsid w:val="00865587"/>
    <w:rsid w:val="00865685"/>
    <w:rsid w:val="008659CD"/>
    <w:rsid w:val="00865BF1"/>
    <w:rsid w:val="008663AD"/>
    <w:rsid w:val="008679B3"/>
    <w:rsid w:val="0087092D"/>
    <w:rsid w:val="008734F1"/>
    <w:rsid w:val="0087516B"/>
    <w:rsid w:val="00876DA7"/>
    <w:rsid w:val="008777E2"/>
    <w:rsid w:val="008807D5"/>
    <w:rsid w:val="008809AE"/>
    <w:rsid w:val="00880D24"/>
    <w:rsid w:val="00881D06"/>
    <w:rsid w:val="00882E00"/>
    <w:rsid w:val="00883897"/>
    <w:rsid w:val="00883E7B"/>
    <w:rsid w:val="008850E4"/>
    <w:rsid w:val="00885934"/>
    <w:rsid w:val="00885993"/>
    <w:rsid w:val="008862BF"/>
    <w:rsid w:val="00887BB3"/>
    <w:rsid w:val="00891EB7"/>
    <w:rsid w:val="00892442"/>
    <w:rsid w:val="0089344E"/>
    <w:rsid w:val="0089508E"/>
    <w:rsid w:val="00896B83"/>
    <w:rsid w:val="00897A22"/>
    <w:rsid w:val="008A3011"/>
    <w:rsid w:val="008A5522"/>
    <w:rsid w:val="008A7B39"/>
    <w:rsid w:val="008B0026"/>
    <w:rsid w:val="008B0366"/>
    <w:rsid w:val="008B2161"/>
    <w:rsid w:val="008B240F"/>
    <w:rsid w:val="008B2A8A"/>
    <w:rsid w:val="008B3AC5"/>
    <w:rsid w:val="008B3D23"/>
    <w:rsid w:val="008B41DC"/>
    <w:rsid w:val="008B4388"/>
    <w:rsid w:val="008B49A4"/>
    <w:rsid w:val="008B6184"/>
    <w:rsid w:val="008B72B4"/>
    <w:rsid w:val="008C0887"/>
    <w:rsid w:val="008C3139"/>
    <w:rsid w:val="008C5BF2"/>
    <w:rsid w:val="008C608B"/>
    <w:rsid w:val="008C6640"/>
    <w:rsid w:val="008C71D8"/>
    <w:rsid w:val="008C7F1F"/>
    <w:rsid w:val="008D0A0E"/>
    <w:rsid w:val="008D0B0B"/>
    <w:rsid w:val="008D2576"/>
    <w:rsid w:val="008D2EBE"/>
    <w:rsid w:val="008D4010"/>
    <w:rsid w:val="008D539E"/>
    <w:rsid w:val="008D67E9"/>
    <w:rsid w:val="008D7BA1"/>
    <w:rsid w:val="008E33CB"/>
    <w:rsid w:val="008E4572"/>
    <w:rsid w:val="008E4F2D"/>
    <w:rsid w:val="008E5EA8"/>
    <w:rsid w:val="008E6824"/>
    <w:rsid w:val="008E7C64"/>
    <w:rsid w:val="008F013A"/>
    <w:rsid w:val="008F1211"/>
    <w:rsid w:val="008F1918"/>
    <w:rsid w:val="008F2421"/>
    <w:rsid w:val="008F4F23"/>
    <w:rsid w:val="008F5441"/>
    <w:rsid w:val="008F55FD"/>
    <w:rsid w:val="008F57E5"/>
    <w:rsid w:val="008F6BCE"/>
    <w:rsid w:val="008F7216"/>
    <w:rsid w:val="008F74CC"/>
    <w:rsid w:val="008F75F2"/>
    <w:rsid w:val="008F7893"/>
    <w:rsid w:val="00900D9B"/>
    <w:rsid w:val="00900F49"/>
    <w:rsid w:val="00901FA0"/>
    <w:rsid w:val="009024BF"/>
    <w:rsid w:val="00903853"/>
    <w:rsid w:val="00903F49"/>
    <w:rsid w:val="00906423"/>
    <w:rsid w:val="009078FB"/>
    <w:rsid w:val="009103A5"/>
    <w:rsid w:val="00910CD2"/>
    <w:rsid w:val="00911A6D"/>
    <w:rsid w:val="00913780"/>
    <w:rsid w:val="00913D1A"/>
    <w:rsid w:val="00914DFD"/>
    <w:rsid w:val="009154C7"/>
    <w:rsid w:val="00915B81"/>
    <w:rsid w:val="00916771"/>
    <w:rsid w:val="00917E45"/>
    <w:rsid w:val="009211F9"/>
    <w:rsid w:val="00922B30"/>
    <w:rsid w:val="00922BDC"/>
    <w:rsid w:val="00922C91"/>
    <w:rsid w:val="009248E9"/>
    <w:rsid w:val="00924DA6"/>
    <w:rsid w:val="00924EF4"/>
    <w:rsid w:val="0092575E"/>
    <w:rsid w:val="00926FC4"/>
    <w:rsid w:val="00927F85"/>
    <w:rsid w:val="009313A7"/>
    <w:rsid w:val="00932001"/>
    <w:rsid w:val="00932179"/>
    <w:rsid w:val="0093338A"/>
    <w:rsid w:val="0093391A"/>
    <w:rsid w:val="00933E75"/>
    <w:rsid w:val="00934F7B"/>
    <w:rsid w:val="00935A59"/>
    <w:rsid w:val="0093668D"/>
    <w:rsid w:val="00940ED6"/>
    <w:rsid w:val="0094154C"/>
    <w:rsid w:val="009421BC"/>
    <w:rsid w:val="00942B7C"/>
    <w:rsid w:val="00943134"/>
    <w:rsid w:val="00943441"/>
    <w:rsid w:val="00943550"/>
    <w:rsid w:val="00944039"/>
    <w:rsid w:val="00944906"/>
    <w:rsid w:val="00944AA3"/>
    <w:rsid w:val="00944C12"/>
    <w:rsid w:val="009458C5"/>
    <w:rsid w:val="00945A1D"/>
    <w:rsid w:val="00945FA0"/>
    <w:rsid w:val="00946673"/>
    <w:rsid w:val="009469E9"/>
    <w:rsid w:val="00946A6A"/>
    <w:rsid w:val="00946E5C"/>
    <w:rsid w:val="00946EC0"/>
    <w:rsid w:val="00947437"/>
    <w:rsid w:val="0095039E"/>
    <w:rsid w:val="009509B7"/>
    <w:rsid w:val="0095195F"/>
    <w:rsid w:val="00953813"/>
    <w:rsid w:val="009540A8"/>
    <w:rsid w:val="00956682"/>
    <w:rsid w:val="00956ED7"/>
    <w:rsid w:val="00961136"/>
    <w:rsid w:val="009617A2"/>
    <w:rsid w:val="0096223A"/>
    <w:rsid w:val="00963560"/>
    <w:rsid w:val="00964E5D"/>
    <w:rsid w:val="00965A92"/>
    <w:rsid w:val="0096630A"/>
    <w:rsid w:val="0096638C"/>
    <w:rsid w:val="009665B9"/>
    <w:rsid w:val="00966F94"/>
    <w:rsid w:val="00967B32"/>
    <w:rsid w:val="00971274"/>
    <w:rsid w:val="009732E5"/>
    <w:rsid w:val="00974679"/>
    <w:rsid w:val="00974E36"/>
    <w:rsid w:val="00975058"/>
    <w:rsid w:val="00975326"/>
    <w:rsid w:val="009754FB"/>
    <w:rsid w:val="00984809"/>
    <w:rsid w:val="00984AE6"/>
    <w:rsid w:val="0098571A"/>
    <w:rsid w:val="009872D8"/>
    <w:rsid w:val="009873EC"/>
    <w:rsid w:val="00987FF6"/>
    <w:rsid w:val="009908CF"/>
    <w:rsid w:val="00991421"/>
    <w:rsid w:val="00991950"/>
    <w:rsid w:val="00991DFB"/>
    <w:rsid w:val="009928C7"/>
    <w:rsid w:val="00992DE5"/>
    <w:rsid w:val="0099354C"/>
    <w:rsid w:val="00993B97"/>
    <w:rsid w:val="00993F77"/>
    <w:rsid w:val="009943B5"/>
    <w:rsid w:val="0099762D"/>
    <w:rsid w:val="00997919"/>
    <w:rsid w:val="00997C6C"/>
    <w:rsid w:val="009A0E6E"/>
    <w:rsid w:val="009A333D"/>
    <w:rsid w:val="009A3C22"/>
    <w:rsid w:val="009A435B"/>
    <w:rsid w:val="009A4F3C"/>
    <w:rsid w:val="009A55AA"/>
    <w:rsid w:val="009A5F96"/>
    <w:rsid w:val="009A75D4"/>
    <w:rsid w:val="009A778C"/>
    <w:rsid w:val="009B0649"/>
    <w:rsid w:val="009B1543"/>
    <w:rsid w:val="009B206D"/>
    <w:rsid w:val="009B2BE5"/>
    <w:rsid w:val="009B3F2C"/>
    <w:rsid w:val="009B463F"/>
    <w:rsid w:val="009B7223"/>
    <w:rsid w:val="009B7B37"/>
    <w:rsid w:val="009C05F5"/>
    <w:rsid w:val="009C290C"/>
    <w:rsid w:val="009C2BF5"/>
    <w:rsid w:val="009C2D9F"/>
    <w:rsid w:val="009C3665"/>
    <w:rsid w:val="009C424D"/>
    <w:rsid w:val="009C7C19"/>
    <w:rsid w:val="009C7D95"/>
    <w:rsid w:val="009C7E45"/>
    <w:rsid w:val="009D02D2"/>
    <w:rsid w:val="009D048C"/>
    <w:rsid w:val="009D33C6"/>
    <w:rsid w:val="009D5C50"/>
    <w:rsid w:val="009D7667"/>
    <w:rsid w:val="009E0022"/>
    <w:rsid w:val="009E36F7"/>
    <w:rsid w:val="009E3B6D"/>
    <w:rsid w:val="009E4140"/>
    <w:rsid w:val="009E6BE6"/>
    <w:rsid w:val="009E736D"/>
    <w:rsid w:val="009E7378"/>
    <w:rsid w:val="009F07FA"/>
    <w:rsid w:val="009F0D58"/>
    <w:rsid w:val="009F0D8F"/>
    <w:rsid w:val="009F1D10"/>
    <w:rsid w:val="009F2635"/>
    <w:rsid w:val="009F318D"/>
    <w:rsid w:val="009F36D3"/>
    <w:rsid w:val="009F39E2"/>
    <w:rsid w:val="009F6388"/>
    <w:rsid w:val="009F6A43"/>
    <w:rsid w:val="009F6FB7"/>
    <w:rsid w:val="00A01446"/>
    <w:rsid w:val="00A026AE"/>
    <w:rsid w:val="00A0311F"/>
    <w:rsid w:val="00A0483F"/>
    <w:rsid w:val="00A06D53"/>
    <w:rsid w:val="00A076A8"/>
    <w:rsid w:val="00A077A6"/>
    <w:rsid w:val="00A079C0"/>
    <w:rsid w:val="00A07FA7"/>
    <w:rsid w:val="00A10DB1"/>
    <w:rsid w:val="00A1274D"/>
    <w:rsid w:val="00A12893"/>
    <w:rsid w:val="00A12AEA"/>
    <w:rsid w:val="00A12DDA"/>
    <w:rsid w:val="00A14C20"/>
    <w:rsid w:val="00A22351"/>
    <w:rsid w:val="00A242CB"/>
    <w:rsid w:val="00A24308"/>
    <w:rsid w:val="00A24C82"/>
    <w:rsid w:val="00A2517F"/>
    <w:rsid w:val="00A251A5"/>
    <w:rsid w:val="00A2554A"/>
    <w:rsid w:val="00A3082C"/>
    <w:rsid w:val="00A31587"/>
    <w:rsid w:val="00A316C5"/>
    <w:rsid w:val="00A31A65"/>
    <w:rsid w:val="00A31BE6"/>
    <w:rsid w:val="00A32C2F"/>
    <w:rsid w:val="00A32F38"/>
    <w:rsid w:val="00A335AD"/>
    <w:rsid w:val="00A352AA"/>
    <w:rsid w:val="00A355F9"/>
    <w:rsid w:val="00A361C1"/>
    <w:rsid w:val="00A3691E"/>
    <w:rsid w:val="00A3775F"/>
    <w:rsid w:val="00A41876"/>
    <w:rsid w:val="00A4314B"/>
    <w:rsid w:val="00A43DBE"/>
    <w:rsid w:val="00A44DFB"/>
    <w:rsid w:val="00A45F4C"/>
    <w:rsid w:val="00A47869"/>
    <w:rsid w:val="00A5117A"/>
    <w:rsid w:val="00A51E41"/>
    <w:rsid w:val="00A53360"/>
    <w:rsid w:val="00A5366C"/>
    <w:rsid w:val="00A53839"/>
    <w:rsid w:val="00A53A47"/>
    <w:rsid w:val="00A55F95"/>
    <w:rsid w:val="00A561C8"/>
    <w:rsid w:val="00A56E12"/>
    <w:rsid w:val="00A5779E"/>
    <w:rsid w:val="00A57B8B"/>
    <w:rsid w:val="00A613D5"/>
    <w:rsid w:val="00A6520A"/>
    <w:rsid w:val="00A65956"/>
    <w:rsid w:val="00A70C8A"/>
    <w:rsid w:val="00A71EA9"/>
    <w:rsid w:val="00A7470F"/>
    <w:rsid w:val="00A77399"/>
    <w:rsid w:val="00A80418"/>
    <w:rsid w:val="00A80B9F"/>
    <w:rsid w:val="00A811E1"/>
    <w:rsid w:val="00A81581"/>
    <w:rsid w:val="00A83297"/>
    <w:rsid w:val="00A841D2"/>
    <w:rsid w:val="00A866C0"/>
    <w:rsid w:val="00A87532"/>
    <w:rsid w:val="00A87C83"/>
    <w:rsid w:val="00A91299"/>
    <w:rsid w:val="00A9208D"/>
    <w:rsid w:val="00A9287C"/>
    <w:rsid w:val="00A93210"/>
    <w:rsid w:val="00A93352"/>
    <w:rsid w:val="00A93355"/>
    <w:rsid w:val="00A936BC"/>
    <w:rsid w:val="00A93E7D"/>
    <w:rsid w:val="00A951F8"/>
    <w:rsid w:val="00A96F84"/>
    <w:rsid w:val="00AA0289"/>
    <w:rsid w:val="00AA0590"/>
    <w:rsid w:val="00AA05DC"/>
    <w:rsid w:val="00AA0ABA"/>
    <w:rsid w:val="00AA0EE8"/>
    <w:rsid w:val="00AA0FC0"/>
    <w:rsid w:val="00AA1B07"/>
    <w:rsid w:val="00AA2216"/>
    <w:rsid w:val="00AA223F"/>
    <w:rsid w:val="00AA230B"/>
    <w:rsid w:val="00AA3D66"/>
    <w:rsid w:val="00AA3F26"/>
    <w:rsid w:val="00AA45D1"/>
    <w:rsid w:val="00AA461F"/>
    <w:rsid w:val="00AA53DD"/>
    <w:rsid w:val="00AA5B41"/>
    <w:rsid w:val="00AA5B6D"/>
    <w:rsid w:val="00AA5ED2"/>
    <w:rsid w:val="00AA6021"/>
    <w:rsid w:val="00AA632E"/>
    <w:rsid w:val="00AA6A30"/>
    <w:rsid w:val="00AB1A9C"/>
    <w:rsid w:val="00AB1C59"/>
    <w:rsid w:val="00AB29C1"/>
    <w:rsid w:val="00AB59E2"/>
    <w:rsid w:val="00AB7082"/>
    <w:rsid w:val="00AB7086"/>
    <w:rsid w:val="00AC2E06"/>
    <w:rsid w:val="00AC2F2C"/>
    <w:rsid w:val="00AC37A9"/>
    <w:rsid w:val="00AC397F"/>
    <w:rsid w:val="00AC4E5D"/>
    <w:rsid w:val="00AC70C1"/>
    <w:rsid w:val="00AD02CE"/>
    <w:rsid w:val="00AD1A69"/>
    <w:rsid w:val="00AD1F65"/>
    <w:rsid w:val="00AD36B9"/>
    <w:rsid w:val="00AD3BBE"/>
    <w:rsid w:val="00AD4460"/>
    <w:rsid w:val="00AD5F28"/>
    <w:rsid w:val="00AD63EC"/>
    <w:rsid w:val="00AD72D8"/>
    <w:rsid w:val="00AD732A"/>
    <w:rsid w:val="00AE136C"/>
    <w:rsid w:val="00AF0553"/>
    <w:rsid w:val="00AF0C47"/>
    <w:rsid w:val="00AF0DAE"/>
    <w:rsid w:val="00AF11E4"/>
    <w:rsid w:val="00AF1A5B"/>
    <w:rsid w:val="00AF3191"/>
    <w:rsid w:val="00AF3683"/>
    <w:rsid w:val="00AF45B6"/>
    <w:rsid w:val="00AF6915"/>
    <w:rsid w:val="00AF6EBD"/>
    <w:rsid w:val="00AF7DAB"/>
    <w:rsid w:val="00AF7E6A"/>
    <w:rsid w:val="00B00433"/>
    <w:rsid w:val="00B037C1"/>
    <w:rsid w:val="00B03FE6"/>
    <w:rsid w:val="00B06034"/>
    <w:rsid w:val="00B063AA"/>
    <w:rsid w:val="00B064DE"/>
    <w:rsid w:val="00B06594"/>
    <w:rsid w:val="00B068BE"/>
    <w:rsid w:val="00B06F79"/>
    <w:rsid w:val="00B0713C"/>
    <w:rsid w:val="00B07C24"/>
    <w:rsid w:val="00B146A9"/>
    <w:rsid w:val="00B147DC"/>
    <w:rsid w:val="00B15117"/>
    <w:rsid w:val="00B16EBB"/>
    <w:rsid w:val="00B170E2"/>
    <w:rsid w:val="00B173C3"/>
    <w:rsid w:val="00B174B2"/>
    <w:rsid w:val="00B205EC"/>
    <w:rsid w:val="00B212CB"/>
    <w:rsid w:val="00B21813"/>
    <w:rsid w:val="00B23BA0"/>
    <w:rsid w:val="00B24B70"/>
    <w:rsid w:val="00B252C5"/>
    <w:rsid w:val="00B26AE4"/>
    <w:rsid w:val="00B32C2A"/>
    <w:rsid w:val="00B336D7"/>
    <w:rsid w:val="00B343D5"/>
    <w:rsid w:val="00B345C4"/>
    <w:rsid w:val="00B346C1"/>
    <w:rsid w:val="00B35C83"/>
    <w:rsid w:val="00B37E66"/>
    <w:rsid w:val="00B407D2"/>
    <w:rsid w:val="00B42DD3"/>
    <w:rsid w:val="00B43FF3"/>
    <w:rsid w:val="00B45114"/>
    <w:rsid w:val="00B460D8"/>
    <w:rsid w:val="00B46467"/>
    <w:rsid w:val="00B5012F"/>
    <w:rsid w:val="00B50503"/>
    <w:rsid w:val="00B50649"/>
    <w:rsid w:val="00B53B6A"/>
    <w:rsid w:val="00B5402A"/>
    <w:rsid w:val="00B54275"/>
    <w:rsid w:val="00B5622A"/>
    <w:rsid w:val="00B57279"/>
    <w:rsid w:val="00B5738F"/>
    <w:rsid w:val="00B607BF"/>
    <w:rsid w:val="00B6107C"/>
    <w:rsid w:val="00B6334D"/>
    <w:rsid w:val="00B6348A"/>
    <w:rsid w:val="00B6490A"/>
    <w:rsid w:val="00B64FC2"/>
    <w:rsid w:val="00B6532E"/>
    <w:rsid w:val="00B70465"/>
    <w:rsid w:val="00B70668"/>
    <w:rsid w:val="00B70992"/>
    <w:rsid w:val="00B70FC2"/>
    <w:rsid w:val="00B716F3"/>
    <w:rsid w:val="00B724FC"/>
    <w:rsid w:val="00B7396B"/>
    <w:rsid w:val="00B73AA6"/>
    <w:rsid w:val="00B8056F"/>
    <w:rsid w:val="00B8246E"/>
    <w:rsid w:val="00B83981"/>
    <w:rsid w:val="00B84C23"/>
    <w:rsid w:val="00B85939"/>
    <w:rsid w:val="00B85EC8"/>
    <w:rsid w:val="00B86731"/>
    <w:rsid w:val="00B87CBC"/>
    <w:rsid w:val="00B904BF"/>
    <w:rsid w:val="00B913AC"/>
    <w:rsid w:val="00B91500"/>
    <w:rsid w:val="00B92AD8"/>
    <w:rsid w:val="00B94112"/>
    <w:rsid w:val="00B947CA"/>
    <w:rsid w:val="00BA0B66"/>
    <w:rsid w:val="00BA12B9"/>
    <w:rsid w:val="00BA5526"/>
    <w:rsid w:val="00BA6E15"/>
    <w:rsid w:val="00BB116A"/>
    <w:rsid w:val="00BB12DA"/>
    <w:rsid w:val="00BB2933"/>
    <w:rsid w:val="00BB5884"/>
    <w:rsid w:val="00BB6DBD"/>
    <w:rsid w:val="00BB7DD2"/>
    <w:rsid w:val="00BB7F1C"/>
    <w:rsid w:val="00BC08C7"/>
    <w:rsid w:val="00BC161A"/>
    <w:rsid w:val="00BC1998"/>
    <w:rsid w:val="00BC2AD9"/>
    <w:rsid w:val="00BC5750"/>
    <w:rsid w:val="00BC7294"/>
    <w:rsid w:val="00BD0D6F"/>
    <w:rsid w:val="00BD0E54"/>
    <w:rsid w:val="00BD219A"/>
    <w:rsid w:val="00BD3152"/>
    <w:rsid w:val="00BD3DA1"/>
    <w:rsid w:val="00BD524D"/>
    <w:rsid w:val="00BD5588"/>
    <w:rsid w:val="00BD6F38"/>
    <w:rsid w:val="00BD70D3"/>
    <w:rsid w:val="00BE021A"/>
    <w:rsid w:val="00BE110D"/>
    <w:rsid w:val="00BE1F39"/>
    <w:rsid w:val="00BE3539"/>
    <w:rsid w:val="00BE450C"/>
    <w:rsid w:val="00BE55BA"/>
    <w:rsid w:val="00BE579D"/>
    <w:rsid w:val="00BE585F"/>
    <w:rsid w:val="00BE5E43"/>
    <w:rsid w:val="00BE5EAE"/>
    <w:rsid w:val="00BE6F37"/>
    <w:rsid w:val="00BE71B5"/>
    <w:rsid w:val="00BF04EA"/>
    <w:rsid w:val="00BF460E"/>
    <w:rsid w:val="00BF5760"/>
    <w:rsid w:val="00BF5B85"/>
    <w:rsid w:val="00BF63E3"/>
    <w:rsid w:val="00BF6427"/>
    <w:rsid w:val="00BF6CBE"/>
    <w:rsid w:val="00BF7232"/>
    <w:rsid w:val="00BF72AB"/>
    <w:rsid w:val="00C00211"/>
    <w:rsid w:val="00C013A3"/>
    <w:rsid w:val="00C05429"/>
    <w:rsid w:val="00C0582F"/>
    <w:rsid w:val="00C05AE4"/>
    <w:rsid w:val="00C0656D"/>
    <w:rsid w:val="00C073F0"/>
    <w:rsid w:val="00C07656"/>
    <w:rsid w:val="00C07AEC"/>
    <w:rsid w:val="00C11CCE"/>
    <w:rsid w:val="00C11CF7"/>
    <w:rsid w:val="00C127EF"/>
    <w:rsid w:val="00C13684"/>
    <w:rsid w:val="00C13C12"/>
    <w:rsid w:val="00C14092"/>
    <w:rsid w:val="00C145A1"/>
    <w:rsid w:val="00C14FEA"/>
    <w:rsid w:val="00C15AE5"/>
    <w:rsid w:val="00C16634"/>
    <w:rsid w:val="00C17547"/>
    <w:rsid w:val="00C17C96"/>
    <w:rsid w:val="00C220DE"/>
    <w:rsid w:val="00C237D9"/>
    <w:rsid w:val="00C24355"/>
    <w:rsid w:val="00C24A07"/>
    <w:rsid w:val="00C24C30"/>
    <w:rsid w:val="00C262F1"/>
    <w:rsid w:val="00C27A7E"/>
    <w:rsid w:val="00C27B9A"/>
    <w:rsid w:val="00C3049C"/>
    <w:rsid w:val="00C3116A"/>
    <w:rsid w:val="00C31874"/>
    <w:rsid w:val="00C31FFE"/>
    <w:rsid w:val="00C329A3"/>
    <w:rsid w:val="00C32A3B"/>
    <w:rsid w:val="00C344B5"/>
    <w:rsid w:val="00C34935"/>
    <w:rsid w:val="00C351CD"/>
    <w:rsid w:val="00C358F2"/>
    <w:rsid w:val="00C35950"/>
    <w:rsid w:val="00C36AE5"/>
    <w:rsid w:val="00C401BE"/>
    <w:rsid w:val="00C40E14"/>
    <w:rsid w:val="00C41091"/>
    <w:rsid w:val="00C410B9"/>
    <w:rsid w:val="00C42CE8"/>
    <w:rsid w:val="00C4448B"/>
    <w:rsid w:val="00C45190"/>
    <w:rsid w:val="00C45A72"/>
    <w:rsid w:val="00C5255F"/>
    <w:rsid w:val="00C525EB"/>
    <w:rsid w:val="00C53B9F"/>
    <w:rsid w:val="00C545C9"/>
    <w:rsid w:val="00C557CB"/>
    <w:rsid w:val="00C55A8C"/>
    <w:rsid w:val="00C55F7A"/>
    <w:rsid w:val="00C56318"/>
    <w:rsid w:val="00C5667D"/>
    <w:rsid w:val="00C56CC6"/>
    <w:rsid w:val="00C60219"/>
    <w:rsid w:val="00C60D13"/>
    <w:rsid w:val="00C617C4"/>
    <w:rsid w:val="00C62D86"/>
    <w:rsid w:val="00C63575"/>
    <w:rsid w:val="00C64715"/>
    <w:rsid w:val="00C6572A"/>
    <w:rsid w:val="00C65A88"/>
    <w:rsid w:val="00C66D2E"/>
    <w:rsid w:val="00C704BD"/>
    <w:rsid w:val="00C72067"/>
    <w:rsid w:val="00C7259D"/>
    <w:rsid w:val="00C73975"/>
    <w:rsid w:val="00C740D6"/>
    <w:rsid w:val="00C75578"/>
    <w:rsid w:val="00C76999"/>
    <w:rsid w:val="00C76EDC"/>
    <w:rsid w:val="00C7790A"/>
    <w:rsid w:val="00C80AB4"/>
    <w:rsid w:val="00C80C46"/>
    <w:rsid w:val="00C814EB"/>
    <w:rsid w:val="00C82E48"/>
    <w:rsid w:val="00C83D7D"/>
    <w:rsid w:val="00C841AA"/>
    <w:rsid w:val="00C84765"/>
    <w:rsid w:val="00C87696"/>
    <w:rsid w:val="00C878A6"/>
    <w:rsid w:val="00C9049B"/>
    <w:rsid w:val="00C907AF"/>
    <w:rsid w:val="00C91265"/>
    <w:rsid w:val="00C91390"/>
    <w:rsid w:val="00C927BA"/>
    <w:rsid w:val="00C96A9F"/>
    <w:rsid w:val="00C97669"/>
    <w:rsid w:val="00CA01B1"/>
    <w:rsid w:val="00CA0E41"/>
    <w:rsid w:val="00CA1C11"/>
    <w:rsid w:val="00CA3D58"/>
    <w:rsid w:val="00CA4372"/>
    <w:rsid w:val="00CA79D2"/>
    <w:rsid w:val="00CB03DD"/>
    <w:rsid w:val="00CB0B19"/>
    <w:rsid w:val="00CB0D5E"/>
    <w:rsid w:val="00CB1CBF"/>
    <w:rsid w:val="00CB2942"/>
    <w:rsid w:val="00CB31A1"/>
    <w:rsid w:val="00CB45C5"/>
    <w:rsid w:val="00CB4D1B"/>
    <w:rsid w:val="00CB51CE"/>
    <w:rsid w:val="00CB5A8D"/>
    <w:rsid w:val="00CB5E11"/>
    <w:rsid w:val="00CB60CD"/>
    <w:rsid w:val="00CB6DBD"/>
    <w:rsid w:val="00CC12FA"/>
    <w:rsid w:val="00CC1A8A"/>
    <w:rsid w:val="00CC221A"/>
    <w:rsid w:val="00CC28F6"/>
    <w:rsid w:val="00CC3DED"/>
    <w:rsid w:val="00CC472E"/>
    <w:rsid w:val="00CC5230"/>
    <w:rsid w:val="00CC5D89"/>
    <w:rsid w:val="00CC7B1A"/>
    <w:rsid w:val="00CD06A8"/>
    <w:rsid w:val="00CD0F14"/>
    <w:rsid w:val="00CD14D7"/>
    <w:rsid w:val="00CD21C3"/>
    <w:rsid w:val="00CD2EC0"/>
    <w:rsid w:val="00CD30F6"/>
    <w:rsid w:val="00CD511E"/>
    <w:rsid w:val="00CD6640"/>
    <w:rsid w:val="00CD67D0"/>
    <w:rsid w:val="00CE07C7"/>
    <w:rsid w:val="00CE1524"/>
    <w:rsid w:val="00CE3717"/>
    <w:rsid w:val="00CE3E51"/>
    <w:rsid w:val="00CE4F90"/>
    <w:rsid w:val="00CE5224"/>
    <w:rsid w:val="00CE52E0"/>
    <w:rsid w:val="00CE5C9D"/>
    <w:rsid w:val="00CE5FD3"/>
    <w:rsid w:val="00CE704A"/>
    <w:rsid w:val="00CE74EB"/>
    <w:rsid w:val="00CE7EA5"/>
    <w:rsid w:val="00CF0172"/>
    <w:rsid w:val="00CF03F5"/>
    <w:rsid w:val="00CF2F6F"/>
    <w:rsid w:val="00CF2FDD"/>
    <w:rsid w:val="00CF42C5"/>
    <w:rsid w:val="00CF4B66"/>
    <w:rsid w:val="00CF5904"/>
    <w:rsid w:val="00D00923"/>
    <w:rsid w:val="00D00F70"/>
    <w:rsid w:val="00D020C9"/>
    <w:rsid w:val="00D02BA3"/>
    <w:rsid w:val="00D030BE"/>
    <w:rsid w:val="00D03EAF"/>
    <w:rsid w:val="00D05DCB"/>
    <w:rsid w:val="00D06494"/>
    <w:rsid w:val="00D068BE"/>
    <w:rsid w:val="00D10B8C"/>
    <w:rsid w:val="00D11988"/>
    <w:rsid w:val="00D12BB2"/>
    <w:rsid w:val="00D12DAE"/>
    <w:rsid w:val="00D135C0"/>
    <w:rsid w:val="00D14296"/>
    <w:rsid w:val="00D14722"/>
    <w:rsid w:val="00D14748"/>
    <w:rsid w:val="00D166AB"/>
    <w:rsid w:val="00D20A17"/>
    <w:rsid w:val="00D22BBE"/>
    <w:rsid w:val="00D23E40"/>
    <w:rsid w:val="00D24065"/>
    <w:rsid w:val="00D2536D"/>
    <w:rsid w:val="00D25FE7"/>
    <w:rsid w:val="00D26C52"/>
    <w:rsid w:val="00D26E78"/>
    <w:rsid w:val="00D27770"/>
    <w:rsid w:val="00D279BD"/>
    <w:rsid w:val="00D30B18"/>
    <w:rsid w:val="00D317B7"/>
    <w:rsid w:val="00D31EE2"/>
    <w:rsid w:val="00D32333"/>
    <w:rsid w:val="00D3332E"/>
    <w:rsid w:val="00D3342D"/>
    <w:rsid w:val="00D33E27"/>
    <w:rsid w:val="00D357B9"/>
    <w:rsid w:val="00D365B6"/>
    <w:rsid w:val="00D368AA"/>
    <w:rsid w:val="00D3722F"/>
    <w:rsid w:val="00D40147"/>
    <w:rsid w:val="00D4032D"/>
    <w:rsid w:val="00D40E49"/>
    <w:rsid w:val="00D4137B"/>
    <w:rsid w:val="00D427D5"/>
    <w:rsid w:val="00D43FD6"/>
    <w:rsid w:val="00D44227"/>
    <w:rsid w:val="00D442CC"/>
    <w:rsid w:val="00D45277"/>
    <w:rsid w:val="00D46987"/>
    <w:rsid w:val="00D470C2"/>
    <w:rsid w:val="00D5010E"/>
    <w:rsid w:val="00D514C8"/>
    <w:rsid w:val="00D5293A"/>
    <w:rsid w:val="00D52A18"/>
    <w:rsid w:val="00D53FEC"/>
    <w:rsid w:val="00D54B99"/>
    <w:rsid w:val="00D550AB"/>
    <w:rsid w:val="00D558C4"/>
    <w:rsid w:val="00D55FA5"/>
    <w:rsid w:val="00D56092"/>
    <w:rsid w:val="00D561EC"/>
    <w:rsid w:val="00D5664C"/>
    <w:rsid w:val="00D60D5D"/>
    <w:rsid w:val="00D60EA0"/>
    <w:rsid w:val="00D61F6E"/>
    <w:rsid w:val="00D628B8"/>
    <w:rsid w:val="00D6346F"/>
    <w:rsid w:val="00D638EA"/>
    <w:rsid w:val="00D64B25"/>
    <w:rsid w:val="00D6598F"/>
    <w:rsid w:val="00D7008F"/>
    <w:rsid w:val="00D70242"/>
    <w:rsid w:val="00D70DC7"/>
    <w:rsid w:val="00D70DFD"/>
    <w:rsid w:val="00D70EF3"/>
    <w:rsid w:val="00D70F47"/>
    <w:rsid w:val="00D72232"/>
    <w:rsid w:val="00D72433"/>
    <w:rsid w:val="00D72AA4"/>
    <w:rsid w:val="00D744CE"/>
    <w:rsid w:val="00D7489A"/>
    <w:rsid w:val="00D74C5A"/>
    <w:rsid w:val="00D756CF"/>
    <w:rsid w:val="00D75C54"/>
    <w:rsid w:val="00D76A4C"/>
    <w:rsid w:val="00D76C1F"/>
    <w:rsid w:val="00D76EE0"/>
    <w:rsid w:val="00D77FCE"/>
    <w:rsid w:val="00D80380"/>
    <w:rsid w:val="00D815FF"/>
    <w:rsid w:val="00D8536C"/>
    <w:rsid w:val="00D87C0B"/>
    <w:rsid w:val="00D87DA7"/>
    <w:rsid w:val="00D90502"/>
    <w:rsid w:val="00D9160B"/>
    <w:rsid w:val="00D91A35"/>
    <w:rsid w:val="00D91D06"/>
    <w:rsid w:val="00D92021"/>
    <w:rsid w:val="00D924F1"/>
    <w:rsid w:val="00D928C6"/>
    <w:rsid w:val="00D94977"/>
    <w:rsid w:val="00D94AA4"/>
    <w:rsid w:val="00D94EBE"/>
    <w:rsid w:val="00D94F92"/>
    <w:rsid w:val="00D95067"/>
    <w:rsid w:val="00D96E97"/>
    <w:rsid w:val="00DA0EBA"/>
    <w:rsid w:val="00DA23F9"/>
    <w:rsid w:val="00DA4421"/>
    <w:rsid w:val="00DA47CE"/>
    <w:rsid w:val="00DA4F37"/>
    <w:rsid w:val="00DA59E8"/>
    <w:rsid w:val="00DB0617"/>
    <w:rsid w:val="00DB1F44"/>
    <w:rsid w:val="00DB2471"/>
    <w:rsid w:val="00DB2963"/>
    <w:rsid w:val="00DB571B"/>
    <w:rsid w:val="00DB6B92"/>
    <w:rsid w:val="00DB6F17"/>
    <w:rsid w:val="00DC084F"/>
    <w:rsid w:val="00DC2751"/>
    <w:rsid w:val="00DC4A80"/>
    <w:rsid w:val="00DC5242"/>
    <w:rsid w:val="00DC7039"/>
    <w:rsid w:val="00DC745A"/>
    <w:rsid w:val="00DD2103"/>
    <w:rsid w:val="00DD3897"/>
    <w:rsid w:val="00DD3C5B"/>
    <w:rsid w:val="00DD50BF"/>
    <w:rsid w:val="00DD531F"/>
    <w:rsid w:val="00DD7073"/>
    <w:rsid w:val="00DD76F2"/>
    <w:rsid w:val="00DD7B5B"/>
    <w:rsid w:val="00DE08E2"/>
    <w:rsid w:val="00DE09C0"/>
    <w:rsid w:val="00DE1169"/>
    <w:rsid w:val="00DE1343"/>
    <w:rsid w:val="00DE2340"/>
    <w:rsid w:val="00DE2861"/>
    <w:rsid w:val="00DE2CC3"/>
    <w:rsid w:val="00DE2DD9"/>
    <w:rsid w:val="00DE4275"/>
    <w:rsid w:val="00DE6DD1"/>
    <w:rsid w:val="00DE707D"/>
    <w:rsid w:val="00DE7A57"/>
    <w:rsid w:val="00DF13B7"/>
    <w:rsid w:val="00DF1E2F"/>
    <w:rsid w:val="00DF3E54"/>
    <w:rsid w:val="00DF42FA"/>
    <w:rsid w:val="00DF4CE8"/>
    <w:rsid w:val="00DF58FB"/>
    <w:rsid w:val="00DF7454"/>
    <w:rsid w:val="00DF75EC"/>
    <w:rsid w:val="00DF7D33"/>
    <w:rsid w:val="00DF7DAD"/>
    <w:rsid w:val="00DF7E0F"/>
    <w:rsid w:val="00E03B20"/>
    <w:rsid w:val="00E0413A"/>
    <w:rsid w:val="00E07795"/>
    <w:rsid w:val="00E11307"/>
    <w:rsid w:val="00E11A06"/>
    <w:rsid w:val="00E1228B"/>
    <w:rsid w:val="00E20304"/>
    <w:rsid w:val="00E20DFE"/>
    <w:rsid w:val="00E20EF3"/>
    <w:rsid w:val="00E214F0"/>
    <w:rsid w:val="00E229C2"/>
    <w:rsid w:val="00E249BA"/>
    <w:rsid w:val="00E25BA7"/>
    <w:rsid w:val="00E260BB"/>
    <w:rsid w:val="00E30C9A"/>
    <w:rsid w:val="00E30F3E"/>
    <w:rsid w:val="00E34B11"/>
    <w:rsid w:val="00E36B44"/>
    <w:rsid w:val="00E371F6"/>
    <w:rsid w:val="00E372CC"/>
    <w:rsid w:val="00E37755"/>
    <w:rsid w:val="00E41A75"/>
    <w:rsid w:val="00E420F1"/>
    <w:rsid w:val="00E4277E"/>
    <w:rsid w:val="00E42809"/>
    <w:rsid w:val="00E42A28"/>
    <w:rsid w:val="00E44472"/>
    <w:rsid w:val="00E46C09"/>
    <w:rsid w:val="00E46FC2"/>
    <w:rsid w:val="00E47C18"/>
    <w:rsid w:val="00E5369B"/>
    <w:rsid w:val="00E54608"/>
    <w:rsid w:val="00E549AF"/>
    <w:rsid w:val="00E55B63"/>
    <w:rsid w:val="00E574C2"/>
    <w:rsid w:val="00E577B1"/>
    <w:rsid w:val="00E62EDE"/>
    <w:rsid w:val="00E6314A"/>
    <w:rsid w:val="00E6387F"/>
    <w:rsid w:val="00E63881"/>
    <w:rsid w:val="00E63F62"/>
    <w:rsid w:val="00E64864"/>
    <w:rsid w:val="00E64B97"/>
    <w:rsid w:val="00E64FE3"/>
    <w:rsid w:val="00E668DD"/>
    <w:rsid w:val="00E66D4D"/>
    <w:rsid w:val="00E72E11"/>
    <w:rsid w:val="00E73B61"/>
    <w:rsid w:val="00E75A61"/>
    <w:rsid w:val="00E76889"/>
    <w:rsid w:val="00E77D6B"/>
    <w:rsid w:val="00E819F3"/>
    <w:rsid w:val="00E81EBA"/>
    <w:rsid w:val="00E822E5"/>
    <w:rsid w:val="00E82685"/>
    <w:rsid w:val="00E8299E"/>
    <w:rsid w:val="00E835A3"/>
    <w:rsid w:val="00E84426"/>
    <w:rsid w:val="00E86108"/>
    <w:rsid w:val="00E874FB"/>
    <w:rsid w:val="00E87E27"/>
    <w:rsid w:val="00E90114"/>
    <w:rsid w:val="00E9040E"/>
    <w:rsid w:val="00E90F4B"/>
    <w:rsid w:val="00E917B8"/>
    <w:rsid w:val="00E9330E"/>
    <w:rsid w:val="00E94075"/>
    <w:rsid w:val="00E94483"/>
    <w:rsid w:val="00E95EE3"/>
    <w:rsid w:val="00E97F65"/>
    <w:rsid w:val="00EA5064"/>
    <w:rsid w:val="00EB1CF6"/>
    <w:rsid w:val="00EB2472"/>
    <w:rsid w:val="00EB32BA"/>
    <w:rsid w:val="00EB37C5"/>
    <w:rsid w:val="00EB4026"/>
    <w:rsid w:val="00EB4B80"/>
    <w:rsid w:val="00EB642E"/>
    <w:rsid w:val="00EC08CF"/>
    <w:rsid w:val="00EC10BF"/>
    <w:rsid w:val="00EC1352"/>
    <w:rsid w:val="00EC1C99"/>
    <w:rsid w:val="00EC2514"/>
    <w:rsid w:val="00EC2C1A"/>
    <w:rsid w:val="00EC3104"/>
    <w:rsid w:val="00EC34DF"/>
    <w:rsid w:val="00EC3DEA"/>
    <w:rsid w:val="00EC3E5D"/>
    <w:rsid w:val="00EC4472"/>
    <w:rsid w:val="00EC6F35"/>
    <w:rsid w:val="00ED0A14"/>
    <w:rsid w:val="00ED1DBB"/>
    <w:rsid w:val="00ED343F"/>
    <w:rsid w:val="00ED36D5"/>
    <w:rsid w:val="00ED36D7"/>
    <w:rsid w:val="00ED6417"/>
    <w:rsid w:val="00ED6C18"/>
    <w:rsid w:val="00EE0EF9"/>
    <w:rsid w:val="00EE3EA2"/>
    <w:rsid w:val="00EE524F"/>
    <w:rsid w:val="00EE5393"/>
    <w:rsid w:val="00EE5C77"/>
    <w:rsid w:val="00EE5CF6"/>
    <w:rsid w:val="00EE6033"/>
    <w:rsid w:val="00EE6320"/>
    <w:rsid w:val="00EE726E"/>
    <w:rsid w:val="00EE762C"/>
    <w:rsid w:val="00EE7B4A"/>
    <w:rsid w:val="00EF0A4F"/>
    <w:rsid w:val="00EF205B"/>
    <w:rsid w:val="00EF2D23"/>
    <w:rsid w:val="00EF4727"/>
    <w:rsid w:val="00EF491A"/>
    <w:rsid w:val="00EF5002"/>
    <w:rsid w:val="00EF53C9"/>
    <w:rsid w:val="00EF6388"/>
    <w:rsid w:val="00EF7B4B"/>
    <w:rsid w:val="00F06A27"/>
    <w:rsid w:val="00F10242"/>
    <w:rsid w:val="00F104C8"/>
    <w:rsid w:val="00F105B4"/>
    <w:rsid w:val="00F10D7A"/>
    <w:rsid w:val="00F11589"/>
    <w:rsid w:val="00F12FBD"/>
    <w:rsid w:val="00F13C5E"/>
    <w:rsid w:val="00F1485D"/>
    <w:rsid w:val="00F15400"/>
    <w:rsid w:val="00F15823"/>
    <w:rsid w:val="00F171DF"/>
    <w:rsid w:val="00F20678"/>
    <w:rsid w:val="00F20E00"/>
    <w:rsid w:val="00F23EF1"/>
    <w:rsid w:val="00F25296"/>
    <w:rsid w:val="00F256E8"/>
    <w:rsid w:val="00F30829"/>
    <w:rsid w:val="00F31379"/>
    <w:rsid w:val="00F31AE5"/>
    <w:rsid w:val="00F31BA4"/>
    <w:rsid w:val="00F32A02"/>
    <w:rsid w:val="00F32B57"/>
    <w:rsid w:val="00F32B91"/>
    <w:rsid w:val="00F32F66"/>
    <w:rsid w:val="00F34834"/>
    <w:rsid w:val="00F35354"/>
    <w:rsid w:val="00F378DA"/>
    <w:rsid w:val="00F4002E"/>
    <w:rsid w:val="00F408C7"/>
    <w:rsid w:val="00F40A28"/>
    <w:rsid w:val="00F415AC"/>
    <w:rsid w:val="00F42289"/>
    <w:rsid w:val="00F438B1"/>
    <w:rsid w:val="00F45147"/>
    <w:rsid w:val="00F45651"/>
    <w:rsid w:val="00F45978"/>
    <w:rsid w:val="00F464F4"/>
    <w:rsid w:val="00F46DE0"/>
    <w:rsid w:val="00F47E60"/>
    <w:rsid w:val="00F50223"/>
    <w:rsid w:val="00F50548"/>
    <w:rsid w:val="00F51025"/>
    <w:rsid w:val="00F54338"/>
    <w:rsid w:val="00F5531A"/>
    <w:rsid w:val="00F5634A"/>
    <w:rsid w:val="00F565AA"/>
    <w:rsid w:val="00F572BA"/>
    <w:rsid w:val="00F577C7"/>
    <w:rsid w:val="00F57AD0"/>
    <w:rsid w:val="00F61967"/>
    <w:rsid w:val="00F62E64"/>
    <w:rsid w:val="00F6334B"/>
    <w:rsid w:val="00F63D8E"/>
    <w:rsid w:val="00F653ED"/>
    <w:rsid w:val="00F65C84"/>
    <w:rsid w:val="00F71FB4"/>
    <w:rsid w:val="00F73018"/>
    <w:rsid w:val="00F74368"/>
    <w:rsid w:val="00F74E38"/>
    <w:rsid w:val="00F75368"/>
    <w:rsid w:val="00F76C3D"/>
    <w:rsid w:val="00F76F01"/>
    <w:rsid w:val="00F772FC"/>
    <w:rsid w:val="00F779E1"/>
    <w:rsid w:val="00F77C74"/>
    <w:rsid w:val="00F77CFB"/>
    <w:rsid w:val="00F8112D"/>
    <w:rsid w:val="00F83AA7"/>
    <w:rsid w:val="00F83AD1"/>
    <w:rsid w:val="00F840A0"/>
    <w:rsid w:val="00F846FC"/>
    <w:rsid w:val="00F85097"/>
    <w:rsid w:val="00F865AD"/>
    <w:rsid w:val="00F874A1"/>
    <w:rsid w:val="00F91D03"/>
    <w:rsid w:val="00F91E0E"/>
    <w:rsid w:val="00F91E22"/>
    <w:rsid w:val="00F92275"/>
    <w:rsid w:val="00F93036"/>
    <w:rsid w:val="00F9309A"/>
    <w:rsid w:val="00F953C3"/>
    <w:rsid w:val="00F9550B"/>
    <w:rsid w:val="00F97A6E"/>
    <w:rsid w:val="00F97BFC"/>
    <w:rsid w:val="00FA1D92"/>
    <w:rsid w:val="00FA25FA"/>
    <w:rsid w:val="00FA2FBB"/>
    <w:rsid w:val="00FA3E80"/>
    <w:rsid w:val="00FA536E"/>
    <w:rsid w:val="00FA58A7"/>
    <w:rsid w:val="00FA5ABD"/>
    <w:rsid w:val="00FA677C"/>
    <w:rsid w:val="00FA6E55"/>
    <w:rsid w:val="00FA7A22"/>
    <w:rsid w:val="00FB27C9"/>
    <w:rsid w:val="00FB3B2B"/>
    <w:rsid w:val="00FB4052"/>
    <w:rsid w:val="00FB5714"/>
    <w:rsid w:val="00FB613F"/>
    <w:rsid w:val="00FB7616"/>
    <w:rsid w:val="00FC1219"/>
    <w:rsid w:val="00FC2031"/>
    <w:rsid w:val="00FC2AE7"/>
    <w:rsid w:val="00FC2C04"/>
    <w:rsid w:val="00FC4F0E"/>
    <w:rsid w:val="00FC4F14"/>
    <w:rsid w:val="00FC5118"/>
    <w:rsid w:val="00FC564E"/>
    <w:rsid w:val="00FC57B7"/>
    <w:rsid w:val="00FC7997"/>
    <w:rsid w:val="00FD010D"/>
    <w:rsid w:val="00FD1C27"/>
    <w:rsid w:val="00FD2B00"/>
    <w:rsid w:val="00FD2F77"/>
    <w:rsid w:val="00FD3BEA"/>
    <w:rsid w:val="00FD46B4"/>
    <w:rsid w:val="00FD4DCD"/>
    <w:rsid w:val="00FD4F48"/>
    <w:rsid w:val="00FD561F"/>
    <w:rsid w:val="00FD62CF"/>
    <w:rsid w:val="00FE1E13"/>
    <w:rsid w:val="00FE30D9"/>
    <w:rsid w:val="00FE3BB1"/>
    <w:rsid w:val="00FE3F65"/>
    <w:rsid w:val="00FE5123"/>
    <w:rsid w:val="00FE5EF5"/>
    <w:rsid w:val="00FF0E7B"/>
    <w:rsid w:val="00FF0F91"/>
    <w:rsid w:val="00FF2692"/>
    <w:rsid w:val="00FF4EA5"/>
    <w:rsid w:val="00FF64AD"/>
    <w:rsid w:val="00FF64F5"/>
    <w:rsid w:val="00FF650F"/>
    <w:rsid w:val="00FF7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591D5"/>
  <w15:chartTrackingRefBased/>
  <w15:docId w15:val="{0EC21F68-589C-4C8C-BE79-9237E48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link w:val="Title"/>
    <w:rsid w:val="00BD5588"/>
    <w:rPr>
      <w:rFonts w:ascii="Times New Roman" w:eastAsia="Times New Roman" w:hAnsi="Times New Roman" w:cs="Times New Roman"/>
      <w:sz w:val="28"/>
      <w:szCs w:val="20"/>
    </w:rPr>
  </w:style>
  <w:style w:type="character" w:styleId="Hyperlink">
    <w:name w:val="Hyperlink"/>
    <w:uiPriority w:val="99"/>
    <w:unhideWhenUsed/>
    <w:rsid w:val="00BD5588"/>
    <w:rPr>
      <w:color w:val="0000FF"/>
      <w:u w:val="single"/>
    </w:rPr>
  </w:style>
  <w:style w:type="paragraph" w:styleId="BalloonText">
    <w:name w:val="Balloon Text"/>
    <w:basedOn w:val="Normal"/>
    <w:link w:val="BalloonTextChar"/>
    <w:uiPriority w:val="99"/>
    <w:semiHidden/>
    <w:unhideWhenUsed/>
    <w:rsid w:val="0059116C"/>
    <w:rPr>
      <w:rFonts w:ascii="Segoe UI" w:hAnsi="Segoe UI" w:cs="Segoe UI"/>
      <w:sz w:val="18"/>
      <w:szCs w:val="18"/>
    </w:rPr>
  </w:style>
  <w:style w:type="character" w:customStyle="1" w:styleId="BalloonTextChar">
    <w:name w:val="Balloon Text Char"/>
    <w:link w:val="BalloonText"/>
    <w:uiPriority w:val="99"/>
    <w:semiHidden/>
    <w:rsid w:val="0059116C"/>
    <w:rPr>
      <w:rFonts w:ascii="Segoe UI" w:eastAsia="Times New Roman" w:hAnsi="Segoe UI" w:cs="Segoe UI"/>
      <w:sz w:val="18"/>
      <w:szCs w:val="18"/>
      <w:lang w:eastAsia="lv-LV"/>
    </w:rPr>
  </w:style>
  <w:style w:type="paragraph" w:customStyle="1" w:styleId="ColorfulList-Accent11">
    <w:name w:val="Colorful List - Accent 11"/>
    <w:aliases w:val="H&amp;P List Paragraph,2,Strip"/>
    <w:basedOn w:val="Normal"/>
    <w:link w:val="ColorfulList-Accent1Char"/>
    <w:uiPriority w:val="34"/>
    <w:qFormat/>
    <w:rsid w:val="00C13684"/>
    <w:pPr>
      <w:ind w:left="720"/>
      <w:contextualSpacing/>
    </w:pPr>
  </w:style>
  <w:style w:type="character" w:styleId="CommentReference">
    <w:name w:val="annotation reference"/>
    <w:unhideWhenUsed/>
    <w:rsid w:val="00204FAD"/>
    <w:rPr>
      <w:sz w:val="16"/>
      <w:szCs w:val="16"/>
    </w:rPr>
  </w:style>
  <w:style w:type="paragraph" w:styleId="CommentText">
    <w:name w:val="annotation text"/>
    <w:basedOn w:val="Normal"/>
    <w:link w:val="CommentTextChar"/>
    <w:uiPriority w:val="99"/>
    <w:unhideWhenUsed/>
    <w:rsid w:val="00204FAD"/>
    <w:rPr>
      <w:sz w:val="20"/>
      <w:szCs w:val="20"/>
    </w:rPr>
  </w:style>
  <w:style w:type="character" w:customStyle="1" w:styleId="CommentTextChar">
    <w:name w:val="Comment Text Char"/>
    <w:link w:val="CommentText"/>
    <w:uiPriority w:val="99"/>
    <w:rsid w:val="00204FA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4FAD"/>
    <w:rPr>
      <w:b/>
      <w:bCs/>
    </w:rPr>
  </w:style>
  <w:style w:type="character" w:customStyle="1" w:styleId="CommentSubjectChar">
    <w:name w:val="Comment Subject Char"/>
    <w:link w:val="CommentSubject"/>
    <w:uiPriority w:val="99"/>
    <w:semiHidden/>
    <w:rsid w:val="00204FAD"/>
    <w:rPr>
      <w:rFonts w:ascii="Times New Roman" w:eastAsia="Times New Roman" w:hAnsi="Times New Roman" w:cs="Times New Roman"/>
      <w:b/>
      <w:bCs/>
      <w:sz w:val="20"/>
      <w:szCs w:val="20"/>
      <w:lang w:eastAsia="lv-LV"/>
    </w:rPr>
  </w:style>
  <w:style w:type="paragraph" w:customStyle="1" w:styleId="StyleRight">
    <w:name w:val="Style Right"/>
    <w:basedOn w:val="Normal"/>
    <w:rsid w:val="00015BEF"/>
    <w:pPr>
      <w:spacing w:after="120"/>
      <w:ind w:firstLine="720"/>
      <w:jc w:val="right"/>
    </w:pPr>
    <w:rPr>
      <w:sz w:val="28"/>
      <w:szCs w:val="28"/>
      <w:lang w:eastAsia="en-US"/>
    </w:rPr>
  </w:style>
  <w:style w:type="paragraph" w:styleId="Header">
    <w:name w:val="header"/>
    <w:basedOn w:val="Normal"/>
    <w:link w:val="HeaderChar"/>
    <w:uiPriority w:val="99"/>
    <w:unhideWhenUsed/>
    <w:rsid w:val="00D4137B"/>
    <w:pPr>
      <w:tabs>
        <w:tab w:val="center" w:pos="4153"/>
        <w:tab w:val="right" w:pos="8306"/>
      </w:tabs>
    </w:pPr>
  </w:style>
  <w:style w:type="character" w:customStyle="1" w:styleId="HeaderChar">
    <w:name w:val="Header Char"/>
    <w:link w:val="Header"/>
    <w:uiPriority w:val="99"/>
    <w:rsid w:val="00D413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137B"/>
    <w:pPr>
      <w:tabs>
        <w:tab w:val="center" w:pos="4153"/>
        <w:tab w:val="right" w:pos="8306"/>
      </w:tabs>
    </w:pPr>
  </w:style>
  <w:style w:type="character" w:customStyle="1" w:styleId="FooterChar">
    <w:name w:val="Footer Char"/>
    <w:link w:val="Footer"/>
    <w:uiPriority w:val="99"/>
    <w:rsid w:val="00D4137B"/>
    <w:rPr>
      <w:rFonts w:ascii="Times New Roman" w:eastAsia="Times New Roman" w:hAnsi="Times New Roman" w:cs="Times New Roman"/>
      <w:sz w:val="24"/>
      <w:szCs w:val="24"/>
      <w:lang w:eastAsia="lv-LV"/>
    </w:rPr>
  </w:style>
  <w:style w:type="paragraph" w:customStyle="1" w:styleId="naisf">
    <w:name w:val="naisf"/>
    <w:basedOn w:val="Normal"/>
    <w:rsid w:val="00AD5F28"/>
    <w:pPr>
      <w:spacing w:before="100" w:beforeAutospacing="1" w:after="100" w:afterAutospacing="1"/>
    </w:pPr>
  </w:style>
  <w:style w:type="character" w:customStyle="1" w:styleId="Neatrisintapieminana">
    <w:name w:val="Neatrisināta pieminēšana"/>
    <w:uiPriority w:val="99"/>
    <w:semiHidden/>
    <w:unhideWhenUsed/>
    <w:rsid w:val="001B1B87"/>
    <w:rPr>
      <w:color w:val="808080"/>
      <w:shd w:val="clear" w:color="auto" w:fill="E6E6E6"/>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qFormat/>
    <w:rsid w:val="006F1751"/>
    <w:pPr>
      <w:spacing w:after="120"/>
    </w:pPr>
    <w:rPr>
      <w:rFonts w:ascii="Calibri" w:hAnsi="Calibri"/>
      <w:sz w:val="20"/>
      <w:szCs w:val="20"/>
      <w:lang w:val="nb-NO" w:eastAsia="en-US"/>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link w:val="FootnoteText"/>
    <w:uiPriority w:val="99"/>
    <w:rsid w:val="006F1751"/>
    <w:rPr>
      <w:rFonts w:ascii="Calibri" w:eastAsia="Times New Roman" w:hAnsi="Calibri" w:cs="Times New Roman"/>
      <w:sz w:val="20"/>
      <w:szCs w:val="20"/>
      <w:lang w:val="nb-NO"/>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qFormat/>
    <w:rsid w:val="006F1751"/>
    <w:rPr>
      <w:vertAlign w:val="superscript"/>
    </w:rPr>
  </w:style>
  <w:style w:type="paragraph" w:styleId="PlainText">
    <w:name w:val="Plain Text"/>
    <w:basedOn w:val="Normal"/>
    <w:link w:val="PlainTextChar"/>
    <w:uiPriority w:val="99"/>
    <w:semiHidden/>
    <w:unhideWhenUsed/>
    <w:rsid w:val="00645259"/>
    <w:rPr>
      <w:rFonts w:ascii="Calibri" w:eastAsia="Calibri" w:hAnsi="Calibri"/>
      <w:sz w:val="22"/>
      <w:szCs w:val="21"/>
      <w:lang w:eastAsia="en-US"/>
    </w:rPr>
  </w:style>
  <w:style w:type="character" w:customStyle="1" w:styleId="PlainTextChar">
    <w:name w:val="Plain Text Char"/>
    <w:link w:val="PlainText"/>
    <w:uiPriority w:val="99"/>
    <w:semiHidden/>
    <w:rsid w:val="00645259"/>
    <w:rPr>
      <w:rFonts w:ascii="Calibri" w:hAnsi="Calibri"/>
      <w:szCs w:val="21"/>
    </w:rPr>
  </w:style>
  <w:style w:type="character" w:styleId="FollowedHyperlink">
    <w:name w:val="FollowedHyperlink"/>
    <w:uiPriority w:val="99"/>
    <w:semiHidden/>
    <w:unhideWhenUsed/>
    <w:rsid w:val="00FA7A22"/>
    <w:rPr>
      <w:color w:val="800080"/>
      <w:u w:val="single"/>
    </w:rPr>
  </w:style>
  <w:style w:type="character" w:styleId="Strong">
    <w:name w:val="Strong"/>
    <w:qFormat/>
    <w:rsid w:val="00217759"/>
    <w:rPr>
      <w:b/>
      <w:bCs/>
    </w:rPr>
  </w:style>
  <w:style w:type="paragraph" w:customStyle="1" w:styleId="tv2132">
    <w:name w:val="tv2132"/>
    <w:basedOn w:val="Normal"/>
    <w:rsid w:val="002C0C92"/>
    <w:pPr>
      <w:spacing w:line="360" w:lineRule="auto"/>
      <w:ind w:firstLine="300"/>
    </w:pPr>
    <w:rPr>
      <w:color w:val="414142"/>
      <w:sz w:val="20"/>
      <w:szCs w:val="20"/>
    </w:rPr>
  </w:style>
  <w:style w:type="paragraph" w:customStyle="1" w:styleId="Char2">
    <w:name w:val="Char2"/>
    <w:basedOn w:val="Normal"/>
    <w:link w:val="FootnoteReference"/>
    <w:uiPriority w:val="99"/>
    <w:rsid w:val="00CB0B19"/>
    <w:pPr>
      <w:spacing w:after="160" w:line="240" w:lineRule="exact"/>
    </w:pPr>
    <w:rPr>
      <w:rFonts w:ascii="Calibri" w:eastAsia="Calibri" w:hAnsi="Calibri"/>
      <w:sz w:val="20"/>
      <w:szCs w:val="20"/>
      <w:vertAlign w:val="superscript"/>
      <w:lang w:val="en-US" w:eastAsia="en-US"/>
    </w:rPr>
  </w:style>
  <w:style w:type="character" w:customStyle="1" w:styleId="ColorfulList-Accent1Char">
    <w:name w:val="Colorful List - Accent 1 Char"/>
    <w:aliases w:val="H&amp;P List Paragraph Char,2 Char,Strip Char"/>
    <w:link w:val="ColorfulList-Accent11"/>
    <w:uiPriority w:val="34"/>
    <w:qFormat/>
    <w:locked/>
    <w:rsid w:val="006F0C30"/>
    <w:rPr>
      <w:rFonts w:ascii="Times New Roman" w:eastAsia="Times New Roman" w:hAnsi="Times New Roman"/>
      <w:sz w:val="24"/>
      <w:szCs w:val="24"/>
      <w:lang w:val="lv-LV" w:eastAsia="lv-LV"/>
    </w:rPr>
  </w:style>
  <w:style w:type="paragraph" w:styleId="BodyText">
    <w:name w:val="Body Text"/>
    <w:basedOn w:val="Normal"/>
    <w:link w:val="BodyTextChar"/>
    <w:unhideWhenUsed/>
    <w:rsid w:val="008862BF"/>
    <w:pPr>
      <w:spacing w:after="120"/>
    </w:pPr>
    <w:rPr>
      <w:rFonts w:ascii="Calibri" w:hAnsi="Calibri"/>
      <w:sz w:val="22"/>
      <w:szCs w:val="22"/>
      <w:lang w:eastAsia="en-US"/>
    </w:rPr>
  </w:style>
  <w:style w:type="character" w:customStyle="1" w:styleId="BodyTextChar">
    <w:name w:val="Body Text Char"/>
    <w:link w:val="BodyText"/>
    <w:rsid w:val="008862BF"/>
    <w:rPr>
      <w:rFonts w:eastAsia="Times New Roman"/>
      <w:sz w:val="22"/>
      <w:szCs w:val="22"/>
      <w:lang w:val="lv-LV"/>
    </w:rPr>
  </w:style>
  <w:style w:type="paragraph" w:customStyle="1" w:styleId="tvhtml">
    <w:name w:val="tv_html"/>
    <w:basedOn w:val="Normal"/>
    <w:rsid w:val="00571BD1"/>
    <w:pPr>
      <w:spacing w:before="100" w:beforeAutospacing="1" w:after="100" w:afterAutospacing="1"/>
    </w:pPr>
    <w:rPr>
      <w:lang w:val="en-US" w:eastAsia="en-US"/>
    </w:rPr>
  </w:style>
  <w:style w:type="paragraph" w:customStyle="1" w:styleId="naisc">
    <w:name w:val="naisc"/>
    <w:basedOn w:val="Normal"/>
    <w:rsid w:val="006B40E0"/>
    <w:pPr>
      <w:spacing w:before="75" w:after="75"/>
      <w:jc w:val="center"/>
    </w:pPr>
  </w:style>
  <w:style w:type="paragraph" w:customStyle="1" w:styleId="tv213">
    <w:name w:val="tv213"/>
    <w:basedOn w:val="Normal"/>
    <w:rsid w:val="00F32B57"/>
    <w:pPr>
      <w:spacing w:before="100" w:beforeAutospacing="1" w:after="100" w:afterAutospacing="1"/>
    </w:pPr>
    <w:rPr>
      <w:lang w:val="en-US" w:eastAsia="en-US"/>
    </w:rPr>
  </w:style>
  <w:style w:type="paragraph" w:styleId="ListParagraph">
    <w:name w:val="List Paragraph"/>
    <w:basedOn w:val="Normal"/>
    <w:uiPriority w:val="34"/>
    <w:qFormat/>
    <w:rsid w:val="00D91A3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204B23"/>
    <w:rPr>
      <w:rFonts w:eastAsia="Calibri"/>
      <w:lang w:val="en-US" w:eastAsia="en-US"/>
    </w:rPr>
  </w:style>
  <w:style w:type="paragraph" w:customStyle="1" w:styleId="tv2131">
    <w:name w:val="tv2131"/>
    <w:basedOn w:val="Normal"/>
    <w:rsid w:val="00A55F95"/>
    <w:pPr>
      <w:spacing w:line="360" w:lineRule="auto"/>
      <w:ind w:firstLine="300"/>
    </w:pPr>
    <w:rPr>
      <w:color w:val="414142"/>
      <w:sz w:val="20"/>
      <w:szCs w:val="20"/>
      <w:lang w:bidi="lo-LA"/>
    </w:rPr>
  </w:style>
  <w:style w:type="paragraph" w:styleId="Revision">
    <w:name w:val="Revision"/>
    <w:hidden/>
    <w:uiPriority w:val="99"/>
    <w:semiHidden/>
    <w:rsid w:val="00667AB2"/>
    <w:rPr>
      <w:rFonts w:ascii="Times New Roman" w:eastAsia="Times New Roman" w:hAnsi="Times New Roman"/>
      <w:sz w:val="24"/>
      <w:szCs w:val="24"/>
    </w:rPr>
  </w:style>
  <w:style w:type="paragraph" w:customStyle="1" w:styleId="Default">
    <w:name w:val="Default"/>
    <w:rsid w:val="00C76ED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135">
      <w:bodyDiv w:val="1"/>
      <w:marLeft w:val="0"/>
      <w:marRight w:val="0"/>
      <w:marTop w:val="0"/>
      <w:marBottom w:val="0"/>
      <w:divBdr>
        <w:top w:val="none" w:sz="0" w:space="0" w:color="auto"/>
        <w:left w:val="none" w:sz="0" w:space="0" w:color="auto"/>
        <w:bottom w:val="none" w:sz="0" w:space="0" w:color="auto"/>
        <w:right w:val="none" w:sz="0" w:space="0" w:color="auto"/>
      </w:divBdr>
    </w:div>
    <w:div w:id="395128848">
      <w:bodyDiv w:val="1"/>
      <w:marLeft w:val="0"/>
      <w:marRight w:val="0"/>
      <w:marTop w:val="0"/>
      <w:marBottom w:val="0"/>
      <w:divBdr>
        <w:top w:val="none" w:sz="0" w:space="0" w:color="auto"/>
        <w:left w:val="none" w:sz="0" w:space="0" w:color="auto"/>
        <w:bottom w:val="none" w:sz="0" w:space="0" w:color="auto"/>
        <w:right w:val="none" w:sz="0" w:space="0" w:color="auto"/>
      </w:divBdr>
      <w:divsChild>
        <w:div w:id="725877657">
          <w:marLeft w:val="0"/>
          <w:marRight w:val="0"/>
          <w:marTop w:val="0"/>
          <w:marBottom w:val="0"/>
          <w:divBdr>
            <w:top w:val="none" w:sz="0" w:space="0" w:color="auto"/>
            <w:left w:val="none" w:sz="0" w:space="0" w:color="auto"/>
            <w:bottom w:val="none" w:sz="0" w:space="0" w:color="auto"/>
            <w:right w:val="none" w:sz="0" w:space="0" w:color="auto"/>
          </w:divBdr>
          <w:divsChild>
            <w:div w:id="647855714">
              <w:marLeft w:val="0"/>
              <w:marRight w:val="0"/>
              <w:marTop w:val="0"/>
              <w:marBottom w:val="0"/>
              <w:divBdr>
                <w:top w:val="none" w:sz="0" w:space="0" w:color="auto"/>
                <w:left w:val="none" w:sz="0" w:space="0" w:color="auto"/>
                <w:bottom w:val="none" w:sz="0" w:space="0" w:color="auto"/>
                <w:right w:val="none" w:sz="0" w:space="0" w:color="auto"/>
              </w:divBdr>
              <w:divsChild>
                <w:div w:id="106386822">
                  <w:marLeft w:val="0"/>
                  <w:marRight w:val="0"/>
                  <w:marTop w:val="0"/>
                  <w:marBottom w:val="0"/>
                  <w:divBdr>
                    <w:top w:val="none" w:sz="0" w:space="0" w:color="auto"/>
                    <w:left w:val="none" w:sz="0" w:space="0" w:color="auto"/>
                    <w:bottom w:val="none" w:sz="0" w:space="0" w:color="auto"/>
                    <w:right w:val="none" w:sz="0" w:space="0" w:color="auto"/>
                  </w:divBdr>
                  <w:divsChild>
                    <w:div w:id="21105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9218">
      <w:bodyDiv w:val="1"/>
      <w:marLeft w:val="0"/>
      <w:marRight w:val="0"/>
      <w:marTop w:val="0"/>
      <w:marBottom w:val="0"/>
      <w:divBdr>
        <w:top w:val="none" w:sz="0" w:space="0" w:color="auto"/>
        <w:left w:val="none" w:sz="0" w:space="0" w:color="auto"/>
        <w:bottom w:val="none" w:sz="0" w:space="0" w:color="auto"/>
        <w:right w:val="none" w:sz="0" w:space="0" w:color="auto"/>
      </w:divBdr>
      <w:divsChild>
        <w:div w:id="232156619">
          <w:marLeft w:val="0"/>
          <w:marRight w:val="0"/>
          <w:marTop w:val="0"/>
          <w:marBottom w:val="0"/>
          <w:divBdr>
            <w:top w:val="none" w:sz="0" w:space="0" w:color="auto"/>
            <w:left w:val="none" w:sz="0" w:space="0" w:color="auto"/>
            <w:bottom w:val="none" w:sz="0" w:space="0" w:color="auto"/>
            <w:right w:val="none" w:sz="0" w:space="0" w:color="auto"/>
          </w:divBdr>
          <w:divsChild>
            <w:div w:id="671687769">
              <w:marLeft w:val="0"/>
              <w:marRight w:val="0"/>
              <w:marTop w:val="0"/>
              <w:marBottom w:val="0"/>
              <w:divBdr>
                <w:top w:val="none" w:sz="0" w:space="0" w:color="auto"/>
                <w:left w:val="none" w:sz="0" w:space="0" w:color="auto"/>
                <w:bottom w:val="none" w:sz="0" w:space="0" w:color="auto"/>
                <w:right w:val="none" w:sz="0" w:space="0" w:color="auto"/>
              </w:divBdr>
              <w:divsChild>
                <w:div w:id="565142689">
                  <w:marLeft w:val="0"/>
                  <w:marRight w:val="0"/>
                  <w:marTop w:val="0"/>
                  <w:marBottom w:val="0"/>
                  <w:divBdr>
                    <w:top w:val="none" w:sz="0" w:space="0" w:color="auto"/>
                    <w:left w:val="none" w:sz="0" w:space="0" w:color="auto"/>
                    <w:bottom w:val="none" w:sz="0" w:space="0" w:color="auto"/>
                    <w:right w:val="none" w:sz="0" w:space="0" w:color="auto"/>
                  </w:divBdr>
                  <w:divsChild>
                    <w:div w:id="1504778566">
                      <w:marLeft w:val="0"/>
                      <w:marRight w:val="0"/>
                      <w:marTop w:val="0"/>
                      <w:marBottom w:val="0"/>
                      <w:divBdr>
                        <w:top w:val="none" w:sz="0" w:space="0" w:color="auto"/>
                        <w:left w:val="none" w:sz="0" w:space="0" w:color="auto"/>
                        <w:bottom w:val="none" w:sz="0" w:space="0" w:color="auto"/>
                        <w:right w:val="none" w:sz="0" w:space="0" w:color="auto"/>
                      </w:divBdr>
                      <w:divsChild>
                        <w:div w:id="2118060695">
                          <w:marLeft w:val="0"/>
                          <w:marRight w:val="0"/>
                          <w:marTop w:val="0"/>
                          <w:marBottom w:val="0"/>
                          <w:divBdr>
                            <w:top w:val="none" w:sz="0" w:space="0" w:color="auto"/>
                            <w:left w:val="none" w:sz="0" w:space="0" w:color="auto"/>
                            <w:bottom w:val="none" w:sz="0" w:space="0" w:color="auto"/>
                            <w:right w:val="none" w:sz="0" w:space="0" w:color="auto"/>
                          </w:divBdr>
                          <w:divsChild>
                            <w:div w:id="1255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5140">
      <w:bodyDiv w:val="1"/>
      <w:marLeft w:val="0"/>
      <w:marRight w:val="0"/>
      <w:marTop w:val="0"/>
      <w:marBottom w:val="0"/>
      <w:divBdr>
        <w:top w:val="none" w:sz="0" w:space="0" w:color="auto"/>
        <w:left w:val="none" w:sz="0" w:space="0" w:color="auto"/>
        <w:bottom w:val="none" w:sz="0" w:space="0" w:color="auto"/>
        <w:right w:val="none" w:sz="0" w:space="0" w:color="auto"/>
      </w:divBdr>
      <w:divsChild>
        <w:div w:id="1126659134">
          <w:marLeft w:val="0"/>
          <w:marRight w:val="0"/>
          <w:marTop w:val="0"/>
          <w:marBottom w:val="0"/>
          <w:divBdr>
            <w:top w:val="none" w:sz="0" w:space="0" w:color="auto"/>
            <w:left w:val="none" w:sz="0" w:space="0" w:color="auto"/>
            <w:bottom w:val="none" w:sz="0" w:space="0" w:color="auto"/>
            <w:right w:val="none" w:sz="0" w:space="0" w:color="auto"/>
          </w:divBdr>
          <w:divsChild>
            <w:div w:id="1884245269">
              <w:marLeft w:val="0"/>
              <w:marRight w:val="0"/>
              <w:marTop w:val="0"/>
              <w:marBottom w:val="0"/>
              <w:divBdr>
                <w:top w:val="none" w:sz="0" w:space="0" w:color="auto"/>
                <w:left w:val="none" w:sz="0" w:space="0" w:color="auto"/>
                <w:bottom w:val="none" w:sz="0" w:space="0" w:color="auto"/>
                <w:right w:val="none" w:sz="0" w:space="0" w:color="auto"/>
              </w:divBdr>
              <w:divsChild>
                <w:div w:id="1512910464">
                  <w:marLeft w:val="0"/>
                  <w:marRight w:val="0"/>
                  <w:marTop w:val="0"/>
                  <w:marBottom w:val="0"/>
                  <w:divBdr>
                    <w:top w:val="none" w:sz="0" w:space="0" w:color="auto"/>
                    <w:left w:val="none" w:sz="0" w:space="0" w:color="auto"/>
                    <w:bottom w:val="none" w:sz="0" w:space="0" w:color="auto"/>
                    <w:right w:val="none" w:sz="0" w:space="0" w:color="auto"/>
                  </w:divBdr>
                  <w:divsChild>
                    <w:div w:id="1828521213">
                      <w:marLeft w:val="0"/>
                      <w:marRight w:val="0"/>
                      <w:marTop w:val="0"/>
                      <w:marBottom w:val="567"/>
                      <w:divBdr>
                        <w:top w:val="none" w:sz="0" w:space="0" w:color="auto"/>
                        <w:left w:val="none" w:sz="0" w:space="0" w:color="auto"/>
                        <w:bottom w:val="none" w:sz="0" w:space="0" w:color="auto"/>
                        <w:right w:val="none" w:sz="0" w:space="0" w:color="auto"/>
                      </w:divBdr>
                    </w:div>
                    <w:div w:id="184774872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47785494">
      <w:bodyDiv w:val="1"/>
      <w:marLeft w:val="0"/>
      <w:marRight w:val="0"/>
      <w:marTop w:val="0"/>
      <w:marBottom w:val="0"/>
      <w:divBdr>
        <w:top w:val="none" w:sz="0" w:space="0" w:color="auto"/>
        <w:left w:val="none" w:sz="0" w:space="0" w:color="auto"/>
        <w:bottom w:val="none" w:sz="0" w:space="0" w:color="auto"/>
        <w:right w:val="none" w:sz="0" w:space="0" w:color="auto"/>
      </w:divBdr>
      <w:divsChild>
        <w:div w:id="679821838">
          <w:marLeft w:val="0"/>
          <w:marRight w:val="0"/>
          <w:marTop w:val="0"/>
          <w:marBottom w:val="0"/>
          <w:divBdr>
            <w:top w:val="none" w:sz="0" w:space="0" w:color="auto"/>
            <w:left w:val="none" w:sz="0" w:space="0" w:color="auto"/>
            <w:bottom w:val="none" w:sz="0" w:space="0" w:color="auto"/>
            <w:right w:val="none" w:sz="0" w:space="0" w:color="auto"/>
          </w:divBdr>
          <w:divsChild>
            <w:div w:id="1509636378">
              <w:marLeft w:val="0"/>
              <w:marRight w:val="0"/>
              <w:marTop w:val="0"/>
              <w:marBottom w:val="0"/>
              <w:divBdr>
                <w:top w:val="none" w:sz="0" w:space="0" w:color="auto"/>
                <w:left w:val="none" w:sz="0" w:space="0" w:color="auto"/>
                <w:bottom w:val="none" w:sz="0" w:space="0" w:color="auto"/>
                <w:right w:val="none" w:sz="0" w:space="0" w:color="auto"/>
              </w:divBdr>
              <w:divsChild>
                <w:div w:id="1651786595">
                  <w:marLeft w:val="0"/>
                  <w:marRight w:val="0"/>
                  <w:marTop w:val="0"/>
                  <w:marBottom w:val="0"/>
                  <w:divBdr>
                    <w:top w:val="none" w:sz="0" w:space="0" w:color="auto"/>
                    <w:left w:val="none" w:sz="0" w:space="0" w:color="auto"/>
                    <w:bottom w:val="none" w:sz="0" w:space="0" w:color="auto"/>
                    <w:right w:val="none" w:sz="0" w:space="0" w:color="auto"/>
                  </w:divBdr>
                  <w:divsChild>
                    <w:div w:id="618071216">
                      <w:marLeft w:val="0"/>
                      <w:marRight w:val="0"/>
                      <w:marTop w:val="0"/>
                      <w:marBottom w:val="0"/>
                      <w:divBdr>
                        <w:top w:val="none" w:sz="0" w:space="0" w:color="auto"/>
                        <w:left w:val="none" w:sz="0" w:space="0" w:color="auto"/>
                        <w:bottom w:val="none" w:sz="0" w:space="0" w:color="auto"/>
                        <w:right w:val="none" w:sz="0" w:space="0" w:color="auto"/>
                      </w:divBdr>
                      <w:divsChild>
                        <w:div w:id="1200704634">
                          <w:marLeft w:val="0"/>
                          <w:marRight w:val="0"/>
                          <w:marTop w:val="0"/>
                          <w:marBottom w:val="0"/>
                          <w:divBdr>
                            <w:top w:val="none" w:sz="0" w:space="0" w:color="auto"/>
                            <w:left w:val="none" w:sz="0" w:space="0" w:color="auto"/>
                            <w:bottom w:val="none" w:sz="0" w:space="0" w:color="auto"/>
                            <w:right w:val="none" w:sz="0" w:space="0" w:color="auto"/>
                          </w:divBdr>
                          <w:divsChild>
                            <w:div w:id="431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93724">
      <w:bodyDiv w:val="1"/>
      <w:marLeft w:val="0"/>
      <w:marRight w:val="0"/>
      <w:marTop w:val="0"/>
      <w:marBottom w:val="0"/>
      <w:divBdr>
        <w:top w:val="none" w:sz="0" w:space="0" w:color="auto"/>
        <w:left w:val="none" w:sz="0" w:space="0" w:color="auto"/>
        <w:bottom w:val="none" w:sz="0" w:space="0" w:color="auto"/>
        <w:right w:val="none" w:sz="0" w:space="0" w:color="auto"/>
      </w:divBdr>
    </w:div>
    <w:div w:id="737173548">
      <w:bodyDiv w:val="1"/>
      <w:marLeft w:val="0"/>
      <w:marRight w:val="0"/>
      <w:marTop w:val="0"/>
      <w:marBottom w:val="0"/>
      <w:divBdr>
        <w:top w:val="none" w:sz="0" w:space="0" w:color="auto"/>
        <w:left w:val="none" w:sz="0" w:space="0" w:color="auto"/>
        <w:bottom w:val="none" w:sz="0" w:space="0" w:color="auto"/>
        <w:right w:val="none" w:sz="0" w:space="0" w:color="auto"/>
      </w:divBdr>
    </w:div>
    <w:div w:id="795025998">
      <w:bodyDiv w:val="1"/>
      <w:marLeft w:val="0"/>
      <w:marRight w:val="0"/>
      <w:marTop w:val="0"/>
      <w:marBottom w:val="0"/>
      <w:divBdr>
        <w:top w:val="none" w:sz="0" w:space="0" w:color="auto"/>
        <w:left w:val="none" w:sz="0" w:space="0" w:color="auto"/>
        <w:bottom w:val="none" w:sz="0" w:space="0" w:color="auto"/>
        <w:right w:val="none" w:sz="0" w:space="0" w:color="auto"/>
      </w:divBdr>
    </w:div>
    <w:div w:id="977343605">
      <w:bodyDiv w:val="1"/>
      <w:marLeft w:val="0"/>
      <w:marRight w:val="0"/>
      <w:marTop w:val="0"/>
      <w:marBottom w:val="0"/>
      <w:divBdr>
        <w:top w:val="none" w:sz="0" w:space="0" w:color="auto"/>
        <w:left w:val="none" w:sz="0" w:space="0" w:color="auto"/>
        <w:bottom w:val="none" w:sz="0" w:space="0" w:color="auto"/>
        <w:right w:val="none" w:sz="0" w:space="0" w:color="auto"/>
      </w:divBdr>
      <w:divsChild>
        <w:div w:id="1674333261">
          <w:marLeft w:val="0"/>
          <w:marRight w:val="0"/>
          <w:marTop w:val="0"/>
          <w:marBottom w:val="0"/>
          <w:divBdr>
            <w:top w:val="none" w:sz="0" w:space="0" w:color="auto"/>
            <w:left w:val="none" w:sz="0" w:space="0" w:color="auto"/>
            <w:bottom w:val="none" w:sz="0" w:space="0" w:color="auto"/>
            <w:right w:val="none" w:sz="0" w:space="0" w:color="auto"/>
          </w:divBdr>
          <w:divsChild>
            <w:div w:id="1749381621">
              <w:marLeft w:val="0"/>
              <w:marRight w:val="0"/>
              <w:marTop w:val="0"/>
              <w:marBottom w:val="0"/>
              <w:divBdr>
                <w:top w:val="none" w:sz="0" w:space="0" w:color="auto"/>
                <w:left w:val="none" w:sz="0" w:space="0" w:color="auto"/>
                <w:bottom w:val="none" w:sz="0" w:space="0" w:color="auto"/>
                <w:right w:val="none" w:sz="0" w:space="0" w:color="auto"/>
              </w:divBdr>
              <w:divsChild>
                <w:div w:id="754547440">
                  <w:marLeft w:val="0"/>
                  <w:marRight w:val="0"/>
                  <w:marTop w:val="0"/>
                  <w:marBottom w:val="0"/>
                  <w:divBdr>
                    <w:top w:val="none" w:sz="0" w:space="0" w:color="auto"/>
                    <w:left w:val="none" w:sz="0" w:space="0" w:color="auto"/>
                    <w:bottom w:val="none" w:sz="0" w:space="0" w:color="auto"/>
                    <w:right w:val="none" w:sz="0" w:space="0" w:color="auto"/>
                  </w:divBdr>
                  <w:divsChild>
                    <w:div w:id="1619600468">
                      <w:marLeft w:val="0"/>
                      <w:marRight w:val="0"/>
                      <w:marTop w:val="0"/>
                      <w:marBottom w:val="0"/>
                      <w:divBdr>
                        <w:top w:val="none" w:sz="0" w:space="0" w:color="auto"/>
                        <w:left w:val="none" w:sz="0" w:space="0" w:color="auto"/>
                        <w:bottom w:val="none" w:sz="0" w:space="0" w:color="auto"/>
                        <w:right w:val="none" w:sz="0" w:space="0" w:color="auto"/>
                      </w:divBdr>
                      <w:divsChild>
                        <w:div w:id="1767189615">
                          <w:marLeft w:val="0"/>
                          <w:marRight w:val="0"/>
                          <w:marTop w:val="0"/>
                          <w:marBottom w:val="0"/>
                          <w:divBdr>
                            <w:top w:val="none" w:sz="0" w:space="0" w:color="auto"/>
                            <w:left w:val="none" w:sz="0" w:space="0" w:color="auto"/>
                            <w:bottom w:val="none" w:sz="0" w:space="0" w:color="auto"/>
                            <w:right w:val="none" w:sz="0" w:space="0" w:color="auto"/>
                          </w:divBdr>
                          <w:divsChild>
                            <w:div w:id="4638931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50495">
      <w:bodyDiv w:val="1"/>
      <w:marLeft w:val="0"/>
      <w:marRight w:val="0"/>
      <w:marTop w:val="0"/>
      <w:marBottom w:val="0"/>
      <w:divBdr>
        <w:top w:val="none" w:sz="0" w:space="0" w:color="auto"/>
        <w:left w:val="none" w:sz="0" w:space="0" w:color="auto"/>
        <w:bottom w:val="none" w:sz="0" w:space="0" w:color="auto"/>
        <w:right w:val="none" w:sz="0" w:space="0" w:color="auto"/>
      </w:divBdr>
    </w:div>
    <w:div w:id="1114207544">
      <w:bodyDiv w:val="1"/>
      <w:marLeft w:val="0"/>
      <w:marRight w:val="0"/>
      <w:marTop w:val="0"/>
      <w:marBottom w:val="0"/>
      <w:divBdr>
        <w:top w:val="none" w:sz="0" w:space="0" w:color="auto"/>
        <w:left w:val="none" w:sz="0" w:space="0" w:color="auto"/>
        <w:bottom w:val="none" w:sz="0" w:space="0" w:color="auto"/>
        <w:right w:val="none" w:sz="0" w:space="0" w:color="auto"/>
      </w:divBdr>
    </w:div>
    <w:div w:id="111478720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29">
          <w:marLeft w:val="0"/>
          <w:marRight w:val="0"/>
          <w:marTop w:val="0"/>
          <w:marBottom w:val="0"/>
          <w:divBdr>
            <w:top w:val="none" w:sz="0" w:space="0" w:color="auto"/>
            <w:left w:val="none" w:sz="0" w:space="0" w:color="auto"/>
            <w:bottom w:val="none" w:sz="0" w:space="0" w:color="auto"/>
            <w:right w:val="none" w:sz="0" w:space="0" w:color="auto"/>
          </w:divBdr>
          <w:divsChild>
            <w:div w:id="1046836367">
              <w:marLeft w:val="0"/>
              <w:marRight w:val="0"/>
              <w:marTop w:val="0"/>
              <w:marBottom w:val="0"/>
              <w:divBdr>
                <w:top w:val="none" w:sz="0" w:space="0" w:color="auto"/>
                <w:left w:val="none" w:sz="0" w:space="0" w:color="auto"/>
                <w:bottom w:val="none" w:sz="0" w:space="0" w:color="auto"/>
                <w:right w:val="none" w:sz="0" w:space="0" w:color="auto"/>
              </w:divBdr>
              <w:divsChild>
                <w:div w:id="1252816465">
                  <w:marLeft w:val="0"/>
                  <w:marRight w:val="0"/>
                  <w:marTop w:val="0"/>
                  <w:marBottom w:val="0"/>
                  <w:divBdr>
                    <w:top w:val="none" w:sz="0" w:space="0" w:color="auto"/>
                    <w:left w:val="none" w:sz="0" w:space="0" w:color="auto"/>
                    <w:bottom w:val="none" w:sz="0" w:space="0" w:color="auto"/>
                    <w:right w:val="none" w:sz="0" w:space="0" w:color="auto"/>
                  </w:divBdr>
                  <w:divsChild>
                    <w:div w:id="4691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38398">
      <w:bodyDiv w:val="1"/>
      <w:marLeft w:val="0"/>
      <w:marRight w:val="0"/>
      <w:marTop w:val="0"/>
      <w:marBottom w:val="0"/>
      <w:divBdr>
        <w:top w:val="none" w:sz="0" w:space="0" w:color="auto"/>
        <w:left w:val="none" w:sz="0" w:space="0" w:color="auto"/>
        <w:bottom w:val="none" w:sz="0" w:space="0" w:color="auto"/>
        <w:right w:val="none" w:sz="0" w:space="0" w:color="auto"/>
      </w:divBdr>
    </w:div>
    <w:div w:id="1150828130">
      <w:bodyDiv w:val="1"/>
      <w:marLeft w:val="0"/>
      <w:marRight w:val="0"/>
      <w:marTop w:val="0"/>
      <w:marBottom w:val="0"/>
      <w:divBdr>
        <w:top w:val="none" w:sz="0" w:space="0" w:color="auto"/>
        <w:left w:val="none" w:sz="0" w:space="0" w:color="auto"/>
        <w:bottom w:val="none" w:sz="0" w:space="0" w:color="auto"/>
        <w:right w:val="none" w:sz="0" w:space="0" w:color="auto"/>
      </w:divBdr>
    </w:div>
    <w:div w:id="1184393848">
      <w:bodyDiv w:val="1"/>
      <w:marLeft w:val="0"/>
      <w:marRight w:val="0"/>
      <w:marTop w:val="0"/>
      <w:marBottom w:val="0"/>
      <w:divBdr>
        <w:top w:val="none" w:sz="0" w:space="0" w:color="auto"/>
        <w:left w:val="none" w:sz="0" w:space="0" w:color="auto"/>
        <w:bottom w:val="none" w:sz="0" w:space="0" w:color="auto"/>
        <w:right w:val="none" w:sz="0" w:space="0" w:color="auto"/>
      </w:divBdr>
    </w:div>
    <w:div w:id="1475610452">
      <w:bodyDiv w:val="1"/>
      <w:marLeft w:val="0"/>
      <w:marRight w:val="0"/>
      <w:marTop w:val="0"/>
      <w:marBottom w:val="0"/>
      <w:divBdr>
        <w:top w:val="none" w:sz="0" w:space="0" w:color="auto"/>
        <w:left w:val="none" w:sz="0" w:space="0" w:color="auto"/>
        <w:bottom w:val="none" w:sz="0" w:space="0" w:color="auto"/>
        <w:right w:val="none" w:sz="0" w:space="0" w:color="auto"/>
      </w:divBdr>
    </w:div>
    <w:div w:id="1650861587">
      <w:bodyDiv w:val="1"/>
      <w:marLeft w:val="0"/>
      <w:marRight w:val="0"/>
      <w:marTop w:val="0"/>
      <w:marBottom w:val="0"/>
      <w:divBdr>
        <w:top w:val="none" w:sz="0" w:space="0" w:color="auto"/>
        <w:left w:val="none" w:sz="0" w:space="0" w:color="auto"/>
        <w:bottom w:val="none" w:sz="0" w:space="0" w:color="auto"/>
        <w:right w:val="none" w:sz="0" w:space="0" w:color="auto"/>
      </w:divBdr>
    </w:div>
    <w:div w:id="1656375048">
      <w:bodyDiv w:val="1"/>
      <w:marLeft w:val="0"/>
      <w:marRight w:val="0"/>
      <w:marTop w:val="0"/>
      <w:marBottom w:val="0"/>
      <w:divBdr>
        <w:top w:val="none" w:sz="0" w:space="0" w:color="auto"/>
        <w:left w:val="none" w:sz="0" w:space="0" w:color="auto"/>
        <w:bottom w:val="none" w:sz="0" w:space="0" w:color="auto"/>
        <w:right w:val="none" w:sz="0" w:space="0" w:color="auto"/>
      </w:divBdr>
    </w:div>
    <w:div w:id="1663316365">
      <w:bodyDiv w:val="1"/>
      <w:marLeft w:val="0"/>
      <w:marRight w:val="0"/>
      <w:marTop w:val="0"/>
      <w:marBottom w:val="0"/>
      <w:divBdr>
        <w:top w:val="none" w:sz="0" w:space="0" w:color="auto"/>
        <w:left w:val="none" w:sz="0" w:space="0" w:color="auto"/>
        <w:bottom w:val="none" w:sz="0" w:space="0" w:color="auto"/>
        <w:right w:val="none" w:sz="0" w:space="0" w:color="auto"/>
      </w:divBdr>
    </w:div>
    <w:div w:id="1778602657">
      <w:bodyDiv w:val="1"/>
      <w:marLeft w:val="0"/>
      <w:marRight w:val="0"/>
      <w:marTop w:val="0"/>
      <w:marBottom w:val="0"/>
      <w:divBdr>
        <w:top w:val="none" w:sz="0" w:space="0" w:color="auto"/>
        <w:left w:val="none" w:sz="0" w:space="0" w:color="auto"/>
        <w:bottom w:val="none" w:sz="0" w:space="0" w:color="auto"/>
        <w:right w:val="none" w:sz="0" w:space="0" w:color="auto"/>
      </w:divBdr>
      <w:divsChild>
        <w:div w:id="578945904">
          <w:marLeft w:val="0"/>
          <w:marRight w:val="0"/>
          <w:marTop w:val="0"/>
          <w:marBottom w:val="0"/>
          <w:divBdr>
            <w:top w:val="none" w:sz="0" w:space="0" w:color="auto"/>
            <w:left w:val="none" w:sz="0" w:space="0" w:color="auto"/>
            <w:bottom w:val="none" w:sz="0" w:space="0" w:color="auto"/>
            <w:right w:val="none" w:sz="0" w:space="0" w:color="auto"/>
          </w:divBdr>
          <w:divsChild>
            <w:div w:id="1600211404">
              <w:marLeft w:val="0"/>
              <w:marRight w:val="0"/>
              <w:marTop w:val="0"/>
              <w:marBottom w:val="0"/>
              <w:divBdr>
                <w:top w:val="none" w:sz="0" w:space="0" w:color="auto"/>
                <w:left w:val="none" w:sz="0" w:space="0" w:color="auto"/>
                <w:bottom w:val="none" w:sz="0" w:space="0" w:color="auto"/>
                <w:right w:val="none" w:sz="0" w:space="0" w:color="auto"/>
              </w:divBdr>
              <w:divsChild>
                <w:div w:id="697779110">
                  <w:marLeft w:val="0"/>
                  <w:marRight w:val="0"/>
                  <w:marTop w:val="0"/>
                  <w:marBottom w:val="0"/>
                  <w:divBdr>
                    <w:top w:val="none" w:sz="0" w:space="0" w:color="auto"/>
                    <w:left w:val="none" w:sz="0" w:space="0" w:color="auto"/>
                    <w:bottom w:val="none" w:sz="0" w:space="0" w:color="auto"/>
                    <w:right w:val="none" w:sz="0" w:space="0" w:color="auto"/>
                  </w:divBdr>
                  <w:divsChild>
                    <w:div w:id="2037265609">
                      <w:marLeft w:val="0"/>
                      <w:marRight w:val="0"/>
                      <w:marTop w:val="0"/>
                      <w:marBottom w:val="0"/>
                      <w:divBdr>
                        <w:top w:val="none" w:sz="0" w:space="0" w:color="auto"/>
                        <w:left w:val="none" w:sz="0" w:space="0" w:color="auto"/>
                        <w:bottom w:val="none" w:sz="0" w:space="0" w:color="auto"/>
                        <w:right w:val="none" w:sz="0" w:space="0" w:color="auto"/>
                      </w:divBdr>
                      <w:divsChild>
                        <w:div w:id="932317857">
                          <w:marLeft w:val="0"/>
                          <w:marRight w:val="0"/>
                          <w:marTop w:val="0"/>
                          <w:marBottom w:val="0"/>
                          <w:divBdr>
                            <w:top w:val="none" w:sz="0" w:space="0" w:color="auto"/>
                            <w:left w:val="none" w:sz="0" w:space="0" w:color="auto"/>
                            <w:bottom w:val="none" w:sz="0" w:space="0" w:color="auto"/>
                            <w:right w:val="none" w:sz="0" w:space="0" w:color="auto"/>
                          </w:divBdr>
                          <w:divsChild>
                            <w:div w:id="15460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81743">
      <w:bodyDiv w:val="1"/>
      <w:marLeft w:val="0"/>
      <w:marRight w:val="0"/>
      <w:marTop w:val="0"/>
      <w:marBottom w:val="0"/>
      <w:divBdr>
        <w:top w:val="none" w:sz="0" w:space="0" w:color="auto"/>
        <w:left w:val="none" w:sz="0" w:space="0" w:color="auto"/>
        <w:bottom w:val="none" w:sz="0" w:space="0" w:color="auto"/>
        <w:right w:val="none" w:sz="0" w:space="0" w:color="auto"/>
      </w:divBdr>
    </w:div>
    <w:div w:id="1841508796">
      <w:bodyDiv w:val="1"/>
      <w:marLeft w:val="0"/>
      <w:marRight w:val="0"/>
      <w:marTop w:val="0"/>
      <w:marBottom w:val="0"/>
      <w:divBdr>
        <w:top w:val="none" w:sz="0" w:space="0" w:color="auto"/>
        <w:left w:val="none" w:sz="0" w:space="0" w:color="auto"/>
        <w:bottom w:val="none" w:sz="0" w:space="0" w:color="auto"/>
        <w:right w:val="none" w:sz="0" w:space="0" w:color="auto"/>
      </w:divBdr>
    </w:div>
    <w:div w:id="1848397390">
      <w:bodyDiv w:val="1"/>
      <w:marLeft w:val="0"/>
      <w:marRight w:val="0"/>
      <w:marTop w:val="0"/>
      <w:marBottom w:val="0"/>
      <w:divBdr>
        <w:top w:val="none" w:sz="0" w:space="0" w:color="auto"/>
        <w:left w:val="none" w:sz="0" w:space="0" w:color="auto"/>
        <w:bottom w:val="none" w:sz="0" w:space="0" w:color="auto"/>
        <w:right w:val="none" w:sz="0" w:space="0" w:color="auto"/>
      </w:divBdr>
    </w:div>
    <w:div w:id="1876575789">
      <w:bodyDiv w:val="1"/>
      <w:marLeft w:val="0"/>
      <w:marRight w:val="0"/>
      <w:marTop w:val="0"/>
      <w:marBottom w:val="0"/>
      <w:divBdr>
        <w:top w:val="none" w:sz="0" w:space="0" w:color="auto"/>
        <w:left w:val="none" w:sz="0" w:space="0" w:color="auto"/>
        <w:bottom w:val="none" w:sz="0" w:space="0" w:color="auto"/>
        <w:right w:val="none" w:sz="0" w:space="0" w:color="auto"/>
      </w:divBdr>
    </w:div>
    <w:div w:id="1929117731">
      <w:bodyDiv w:val="1"/>
      <w:marLeft w:val="0"/>
      <w:marRight w:val="0"/>
      <w:marTop w:val="0"/>
      <w:marBottom w:val="0"/>
      <w:divBdr>
        <w:top w:val="none" w:sz="0" w:space="0" w:color="auto"/>
        <w:left w:val="none" w:sz="0" w:space="0" w:color="auto"/>
        <w:bottom w:val="none" w:sz="0" w:space="0" w:color="auto"/>
        <w:right w:val="none" w:sz="0" w:space="0" w:color="auto"/>
      </w:divBdr>
    </w:div>
    <w:div w:id="1957832484">
      <w:bodyDiv w:val="1"/>
      <w:marLeft w:val="0"/>
      <w:marRight w:val="0"/>
      <w:marTop w:val="0"/>
      <w:marBottom w:val="0"/>
      <w:divBdr>
        <w:top w:val="none" w:sz="0" w:space="0" w:color="auto"/>
        <w:left w:val="none" w:sz="0" w:space="0" w:color="auto"/>
        <w:bottom w:val="none" w:sz="0" w:space="0" w:color="auto"/>
        <w:right w:val="none" w:sz="0" w:space="0" w:color="auto"/>
      </w:divBdr>
    </w:div>
    <w:div w:id="20094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5/1589/oj/?locale=L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eeagrants.lv/petnieciba-un-izglitiba/dokumenti/baltijas-petniecibas-programmas-2020-gada-konkursa-dokumenti-un-vadlinij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147-eiropas-ekonomikas-zonas-finansu-instrumenta-un-norvegijas-finansu-instrumenta-2014-2021-nbspgada-perioda-programmas-petnieci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agrant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eagrants.org/resources/2014-2021-guideline-educational-programmes" TargetMode="External"/><Relationship Id="rId2" Type="http://schemas.openxmlformats.org/officeDocument/2006/relationships/hyperlink" Target="https://ec.europa.eu/programmes/erasmus-plus/programme-guide/part-b/key-action-1/mobility-higher-education-students-staff_en" TargetMode="External"/><Relationship Id="rId1" Type="http://schemas.openxmlformats.org/officeDocument/2006/relationships/hyperlink" Target="https://eeagrants.org/resources/eea-and-norway-grants-2014-2021-core-indicato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2542-19FB-442C-84E6-0091E917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CD3F6B-3CFD-4295-896B-D107AB29C932}">
  <ds:schemaRefs>
    <ds:schemaRef ds:uri="http://schemas.microsoft.com/sharepoint/v3/contenttype/forms"/>
  </ds:schemaRefs>
</ds:datastoreItem>
</file>

<file path=customXml/itemProps3.xml><?xml version="1.0" encoding="utf-8"?>
<ds:datastoreItem xmlns:ds="http://schemas.openxmlformats.org/officeDocument/2006/customXml" ds:itemID="{47719336-ADD4-41C7-86E3-A406FB5AC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78C859-D7C7-4AF5-BA21-6F5DFE6A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15755</Words>
  <Characters>8981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noteikumu projekta "Norvēģijas finanšu instrumenta 2014.–2021. gada perioda programmas "Korekcijas dienesti" īstenošanas noteikumi" sākotnējās ietekmes novērtējuma ziņojums (anotācija)</vt:lpstr>
    </vt:vector>
  </TitlesOfParts>
  <Company>Izglītības un zinātnes ministrija</Company>
  <LinksUpToDate>false</LinksUpToDate>
  <CharactersWithSpaces>24687</CharactersWithSpaces>
  <SharedDoc>false</SharedDoc>
  <HLinks>
    <vt:vector size="12" baseType="variant">
      <vt:variant>
        <vt:i4>6357073</vt:i4>
      </vt:variant>
      <vt:variant>
        <vt:i4>0</vt:i4>
      </vt:variant>
      <vt:variant>
        <vt:i4>0</vt:i4>
      </vt:variant>
      <vt:variant>
        <vt:i4>5</vt:i4>
      </vt:variant>
      <vt:variant>
        <vt:lpwstr>mailto:Antra.Jansone@izm.gov.lv</vt:lpwstr>
      </vt:variant>
      <vt:variant>
        <vt:lpwstr/>
      </vt:variant>
      <vt:variant>
        <vt:i4>5242957</vt:i4>
      </vt:variant>
      <vt:variant>
        <vt:i4>0</vt:i4>
      </vt:variant>
      <vt:variant>
        <vt:i4>0</vt:i4>
      </vt:variant>
      <vt:variant>
        <vt:i4>5</vt:i4>
      </vt:variant>
      <vt:variant>
        <vt:lpwstr>https://eeagrants.org/resources/regulation-implementation-norway-grants-2014-2021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"Norvēģijas finanšu instrumenta 2014.–2021. gada perioda programmas "Korekcijas dienesti" īstenošanas noteikumi" sākotnējās ietekmes novērtējuma ziņojums (anotācija)</dc:title>
  <dc:subject>Anotācija</dc:subject>
  <dc:creator>Anna.Leiskalne@izm.gov.lv</dc:creator>
  <cp:keywords/>
  <dc:description>67047909; anna.leiskalne@izm.gov.lv</dc:description>
  <cp:lastModifiedBy>Sandra Obodova</cp:lastModifiedBy>
  <cp:revision>2</cp:revision>
  <cp:lastPrinted>2019-10-28T11:46:00Z</cp:lastPrinted>
  <dcterms:created xsi:type="dcterms:W3CDTF">2021-06-15T12:39:00Z</dcterms:created>
  <dcterms:modified xsi:type="dcterms:W3CDTF">2021-06-15T12:39:00Z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