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3F89" w:rsidR="00316E8B" w:rsidP="00DB7395" w:rsidRDefault="00316E8B" w14:paraId="41CBEA20" w14:textId="77777777">
      <w:pPr>
        <w:pStyle w:val="naislab"/>
        <w:spacing w:before="0" w:after="0"/>
        <w:ind w:firstLine="720"/>
        <w:rPr>
          <w:sz w:val="28"/>
          <w:szCs w:val="28"/>
        </w:rPr>
      </w:pPr>
    </w:p>
    <w:p w:rsidRPr="00BE3F89" w:rsidR="00316E8B" w:rsidP="005F6D18" w:rsidRDefault="00316E8B" w14:paraId="46E1B866" w14:textId="6738E3A9">
      <w:pPr>
        <w:pStyle w:val="naislab"/>
        <w:spacing w:before="0" w:after="0"/>
        <w:jc w:val="left"/>
        <w:rPr>
          <w:sz w:val="28"/>
          <w:szCs w:val="28"/>
        </w:rPr>
      </w:pPr>
      <w:r w:rsidRPr="00BE3F89">
        <w:rPr>
          <w:sz w:val="28"/>
          <w:szCs w:val="28"/>
        </w:rPr>
        <w:t> </w:t>
      </w:r>
    </w:p>
    <w:p w:rsidRPr="00BE3F89" w:rsidR="00316E8B" w:rsidP="005F6D18" w:rsidRDefault="00316E8B" w14:paraId="34965F99" w14:textId="62353E32">
      <w:pPr>
        <w:pStyle w:val="naisnod"/>
        <w:spacing w:before="0" w:after="0"/>
        <w:ind w:firstLine="720"/>
        <w:rPr>
          <w:sz w:val="28"/>
          <w:szCs w:val="28"/>
        </w:rPr>
      </w:pPr>
      <w:r w:rsidRPr="00BE3F89">
        <w:rPr>
          <w:sz w:val="28"/>
          <w:szCs w:val="28"/>
        </w:rPr>
        <w:t>Izziņa par atzinumos sniegtajiem iebildumiem</w:t>
      </w:r>
    </w:p>
    <w:tbl>
      <w:tblPr>
        <w:tblW w:w="0" w:type="auto"/>
        <w:jc w:val="center"/>
        <w:tblLook w:val="00A0" w:firstRow="1" w:lastRow="0" w:firstColumn="1" w:lastColumn="0" w:noHBand="0" w:noVBand="0"/>
      </w:tblPr>
      <w:tblGrid>
        <w:gridCol w:w="10632"/>
      </w:tblGrid>
      <w:tr w:rsidRPr="00BE3F89" w:rsidR="00316E8B" w14:paraId="27687308" w14:textId="77777777">
        <w:trPr>
          <w:jc w:val="center"/>
        </w:trPr>
        <w:tc>
          <w:tcPr>
            <w:tcW w:w="10632" w:type="dxa"/>
            <w:tcBorders>
              <w:bottom w:val="single" w:color="000000" w:sz="6" w:space="0"/>
            </w:tcBorders>
          </w:tcPr>
          <w:p w:rsidRPr="00BE3F89" w:rsidR="00316E8B" w:rsidP="00831A9A" w:rsidRDefault="00316E8B" w14:paraId="07DE46C1" w14:textId="136B819B">
            <w:pPr>
              <w:jc w:val="center"/>
              <w:rPr>
                <w:b/>
                <w:bCs/>
                <w:sz w:val="28"/>
                <w:szCs w:val="28"/>
              </w:rPr>
            </w:pPr>
            <w:r w:rsidRPr="00BE3F89">
              <w:rPr>
                <w:b/>
                <w:bCs/>
                <w:sz w:val="28"/>
                <w:szCs w:val="28"/>
              </w:rPr>
              <w:t xml:space="preserve">Ministru kabineta </w:t>
            </w:r>
            <w:r w:rsidRPr="00BE3F89" w:rsidR="003D25F7">
              <w:rPr>
                <w:b/>
                <w:bCs/>
                <w:sz w:val="28"/>
                <w:szCs w:val="28"/>
              </w:rPr>
              <w:t>rīkojuma</w:t>
            </w:r>
            <w:r w:rsidRPr="00BE3F89">
              <w:rPr>
                <w:b/>
                <w:bCs/>
                <w:sz w:val="28"/>
                <w:szCs w:val="28"/>
              </w:rPr>
              <w:t xml:space="preserve"> projekt</w:t>
            </w:r>
            <w:r w:rsidRPr="00BE3F89" w:rsidR="009620AE">
              <w:rPr>
                <w:b/>
                <w:bCs/>
                <w:sz w:val="28"/>
                <w:szCs w:val="28"/>
              </w:rPr>
              <w:t>am</w:t>
            </w:r>
          </w:p>
          <w:p w:rsidRPr="00BE3F89" w:rsidR="00316E8B" w:rsidP="00681C44" w:rsidRDefault="008E7ADA" w14:paraId="754D093E" w14:textId="5DDE972C">
            <w:pPr>
              <w:jc w:val="center"/>
              <w:rPr>
                <w:b/>
                <w:sz w:val="28"/>
                <w:szCs w:val="28"/>
                <w:lang w:eastAsia="en-US"/>
              </w:rPr>
            </w:pPr>
            <w:r w:rsidRPr="00BE3F89">
              <w:rPr>
                <w:b/>
                <w:sz w:val="28"/>
                <w:szCs w:val="28"/>
                <w:lang w:eastAsia="en-US"/>
              </w:rPr>
              <w:t>“</w:t>
            </w:r>
            <w:r w:rsidRPr="00BE3F89" w:rsidR="003D25F7">
              <w:rPr>
                <w:b/>
                <w:sz w:val="28"/>
                <w:szCs w:val="28"/>
                <w:lang w:eastAsia="en-US"/>
              </w:rPr>
              <w:t>Par sliežu ceļa posma Liepāja-Ventspils slēgšanu</w:t>
            </w:r>
            <w:r w:rsidRPr="00BE3F89">
              <w:rPr>
                <w:b/>
                <w:sz w:val="28"/>
                <w:szCs w:val="28"/>
                <w:lang w:eastAsia="en-US"/>
              </w:rPr>
              <w:t>”</w:t>
            </w:r>
          </w:p>
        </w:tc>
      </w:tr>
    </w:tbl>
    <w:p w:rsidRPr="00BE3F89" w:rsidR="00316E8B" w:rsidP="00DB7395" w:rsidRDefault="00316E8B" w14:paraId="6D11B5C6" w14:textId="77777777">
      <w:pPr>
        <w:pStyle w:val="naisf"/>
        <w:spacing w:before="0" w:after="0"/>
        <w:ind w:firstLine="720"/>
        <w:rPr>
          <w:highlight w:val="yellow"/>
        </w:rPr>
      </w:pPr>
    </w:p>
    <w:p w:rsidRPr="00BE3F89" w:rsidR="00316E8B" w:rsidP="00184479" w:rsidRDefault="00316E8B" w14:paraId="5B774BCA" w14:textId="77777777">
      <w:pPr>
        <w:pStyle w:val="naisf"/>
        <w:spacing w:before="0" w:after="0"/>
        <w:ind w:firstLine="0"/>
        <w:jc w:val="center"/>
        <w:rPr>
          <w:b/>
          <w:bCs/>
        </w:rPr>
      </w:pPr>
      <w:r w:rsidRPr="00BE3F89">
        <w:rPr>
          <w:b/>
          <w:bCs/>
        </w:rPr>
        <w:t>I. Jautājumi, par kuriem saskaņošanā vienošanās nav panākta</w:t>
      </w:r>
    </w:p>
    <w:p w:rsidRPr="00BE3F89" w:rsidR="00316E8B" w:rsidP="00DB7395" w:rsidRDefault="00316E8B" w14:paraId="0AA35CBA"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BE3F89" w:rsidR="00BE3F89" w14:paraId="03B0FCA0"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BE3F89" w:rsidR="00316E8B" w:rsidP="008A30D5" w:rsidRDefault="00316E8B" w14:paraId="382904F7" w14:textId="77777777">
            <w:pPr>
              <w:pStyle w:val="naisc"/>
              <w:spacing w:before="0" w:after="0"/>
            </w:pPr>
            <w:r w:rsidRPr="00BE3F89">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BE3F89" w:rsidR="00316E8B" w:rsidP="00364BB6" w:rsidRDefault="00316E8B" w14:paraId="18B056D1" w14:textId="77777777">
            <w:pPr>
              <w:pStyle w:val="naisc"/>
              <w:spacing w:before="0" w:after="0"/>
              <w:ind w:firstLine="12"/>
            </w:pPr>
            <w:r w:rsidRPr="00BE3F89">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BE3F89" w:rsidR="00316E8B" w:rsidP="00364BB6" w:rsidRDefault="00316E8B" w14:paraId="3FFF56A9" w14:textId="77777777">
            <w:pPr>
              <w:pStyle w:val="naisc"/>
              <w:spacing w:before="0" w:after="0"/>
              <w:ind w:right="3"/>
            </w:pPr>
            <w:r w:rsidRPr="00BE3F89">
              <w:t>Atzinumā norādītais ministrijas (citas institūcijas) iebildums, kā arī saskaņošanā papildus izteiktais iebildums par projekta konkrēto punktu (pantu)</w:t>
            </w:r>
          </w:p>
        </w:tc>
        <w:tc>
          <w:tcPr>
            <w:tcW w:w="2469" w:type="dxa"/>
            <w:tcBorders>
              <w:top w:val="single" w:color="000000" w:sz="6" w:space="0"/>
              <w:left w:val="single" w:color="000000" w:sz="6" w:space="0"/>
              <w:bottom w:val="single" w:color="000000" w:sz="6" w:space="0"/>
              <w:right w:val="single" w:color="000000" w:sz="6" w:space="0"/>
            </w:tcBorders>
            <w:vAlign w:val="center"/>
          </w:tcPr>
          <w:p w:rsidRPr="00BE3F89" w:rsidR="00316E8B" w:rsidP="00D231C2" w:rsidRDefault="00316E8B" w14:paraId="41AC56DA" w14:textId="77777777">
            <w:pPr>
              <w:pStyle w:val="naisc"/>
              <w:spacing w:before="0" w:after="0"/>
              <w:ind w:firstLine="21"/>
            </w:pPr>
            <w:r w:rsidRPr="00BE3F89">
              <w:t>Atbildīgās ministrijas pamatojums iebilduma noraidījumam</w:t>
            </w:r>
          </w:p>
        </w:tc>
        <w:tc>
          <w:tcPr>
            <w:tcW w:w="2301" w:type="dxa"/>
            <w:tcBorders>
              <w:top w:val="single" w:color="auto" w:sz="4" w:space="0"/>
              <w:left w:val="single" w:color="auto" w:sz="4" w:space="0"/>
              <w:bottom w:val="single" w:color="auto" w:sz="4" w:space="0"/>
              <w:right w:val="single" w:color="auto" w:sz="4" w:space="0"/>
            </w:tcBorders>
            <w:vAlign w:val="center"/>
          </w:tcPr>
          <w:p w:rsidRPr="00BE3F89" w:rsidR="00316E8B" w:rsidP="00364BB6" w:rsidRDefault="00316E8B" w14:paraId="0B8CD1A6" w14:textId="77777777">
            <w:pPr>
              <w:jc w:val="center"/>
            </w:pPr>
            <w:r w:rsidRPr="00BE3F89">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vAlign w:val="center"/>
          </w:tcPr>
          <w:p w:rsidRPr="00BE3F89" w:rsidR="00316E8B" w:rsidP="00364BB6" w:rsidRDefault="00316E8B" w14:paraId="345388B9" w14:textId="77777777">
            <w:pPr>
              <w:jc w:val="center"/>
            </w:pPr>
            <w:r w:rsidRPr="00BE3F89">
              <w:t>Projekta attiecīgā punkta (panta) galīgā redakcija</w:t>
            </w:r>
          </w:p>
        </w:tc>
      </w:tr>
      <w:tr w:rsidRPr="00BE3F89" w:rsidR="00316E8B" w14:paraId="50CC42BD" w14:textId="77777777">
        <w:tc>
          <w:tcPr>
            <w:tcW w:w="817" w:type="dxa"/>
            <w:tcBorders>
              <w:top w:val="single" w:color="000000" w:sz="6" w:space="0"/>
              <w:left w:val="single" w:color="000000" w:sz="6" w:space="0"/>
              <w:bottom w:val="single" w:color="auto" w:sz="4" w:space="0"/>
              <w:right w:val="single" w:color="000000" w:sz="6" w:space="0"/>
            </w:tcBorders>
          </w:tcPr>
          <w:p w:rsidRPr="00BE3F89" w:rsidR="00316E8B" w:rsidP="008A30D5" w:rsidRDefault="00316E8B" w14:paraId="37D82A51" w14:textId="77777777">
            <w:pPr>
              <w:pStyle w:val="naisc"/>
              <w:spacing w:before="0" w:after="0"/>
              <w:rPr>
                <w:sz w:val="20"/>
                <w:szCs w:val="20"/>
              </w:rPr>
            </w:pPr>
            <w:r w:rsidRPr="00BE3F89">
              <w:rPr>
                <w:sz w:val="20"/>
                <w:szCs w:val="20"/>
              </w:rPr>
              <w:t>1</w:t>
            </w:r>
          </w:p>
        </w:tc>
        <w:tc>
          <w:tcPr>
            <w:tcW w:w="3086" w:type="dxa"/>
            <w:tcBorders>
              <w:top w:val="single" w:color="000000" w:sz="6" w:space="0"/>
              <w:left w:val="single" w:color="000000" w:sz="6" w:space="0"/>
              <w:bottom w:val="single" w:color="auto" w:sz="4" w:space="0"/>
              <w:right w:val="single" w:color="000000" w:sz="6" w:space="0"/>
            </w:tcBorders>
          </w:tcPr>
          <w:p w:rsidRPr="00BE3F89" w:rsidR="00316E8B" w:rsidP="008A36C9" w:rsidRDefault="00316E8B" w14:paraId="7ADC34FF" w14:textId="77777777">
            <w:pPr>
              <w:pStyle w:val="naisc"/>
              <w:spacing w:before="0" w:after="0"/>
              <w:ind w:firstLine="720"/>
              <w:rPr>
                <w:sz w:val="20"/>
                <w:szCs w:val="20"/>
              </w:rPr>
            </w:pPr>
            <w:r w:rsidRPr="00BE3F89">
              <w:rPr>
                <w:sz w:val="20"/>
                <w:szCs w:val="20"/>
              </w:rPr>
              <w:t>2</w:t>
            </w:r>
          </w:p>
        </w:tc>
        <w:tc>
          <w:tcPr>
            <w:tcW w:w="3118" w:type="dxa"/>
            <w:tcBorders>
              <w:top w:val="single" w:color="000000" w:sz="6" w:space="0"/>
              <w:left w:val="single" w:color="000000" w:sz="6" w:space="0"/>
              <w:bottom w:val="single" w:color="auto" w:sz="4" w:space="0"/>
              <w:right w:val="single" w:color="000000" w:sz="6" w:space="0"/>
            </w:tcBorders>
          </w:tcPr>
          <w:p w:rsidRPr="00BE3F89" w:rsidR="00316E8B" w:rsidP="008A36C9" w:rsidRDefault="00316E8B" w14:paraId="6CEA1717" w14:textId="77777777">
            <w:pPr>
              <w:pStyle w:val="naisc"/>
              <w:spacing w:before="0" w:after="0"/>
              <w:ind w:firstLine="720"/>
              <w:rPr>
                <w:sz w:val="20"/>
                <w:szCs w:val="20"/>
              </w:rPr>
            </w:pPr>
            <w:r w:rsidRPr="00BE3F89">
              <w:rPr>
                <w:sz w:val="20"/>
                <w:szCs w:val="20"/>
              </w:rPr>
              <w:t>3</w:t>
            </w:r>
          </w:p>
        </w:tc>
        <w:tc>
          <w:tcPr>
            <w:tcW w:w="2469" w:type="dxa"/>
            <w:tcBorders>
              <w:top w:val="single" w:color="000000" w:sz="6" w:space="0"/>
              <w:left w:val="single" w:color="000000" w:sz="6" w:space="0"/>
              <w:bottom w:val="single" w:color="auto" w:sz="4" w:space="0"/>
              <w:right w:val="single" w:color="000000" w:sz="6" w:space="0"/>
            </w:tcBorders>
          </w:tcPr>
          <w:p w:rsidRPr="00BE3F89" w:rsidR="00316E8B" w:rsidP="00D231C2" w:rsidRDefault="00316E8B" w14:paraId="6B84C251" w14:textId="77777777">
            <w:pPr>
              <w:pStyle w:val="naisc"/>
              <w:spacing w:before="0" w:after="0"/>
              <w:ind w:firstLine="21"/>
              <w:rPr>
                <w:sz w:val="20"/>
                <w:szCs w:val="20"/>
              </w:rPr>
            </w:pPr>
            <w:r w:rsidRPr="00BE3F89">
              <w:rPr>
                <w:sz w:val="20"/>
                <w:szCs w:val="20"/>
              </w:rPr>
              <w:t>4</w:t>
            </w:r>
          </w:p>
        </w:tc>
        <w:tc>
          <w:tcPr>
            <w:tcW w:w="2301" w:type="dxa"/>
            <w:tcBorders>
              <w:top w:val="single" w:color="auto" w:sz="4" w:space="0"/>
              <w:left w:val="single" w:color="auto" w:sz="4" w:space="0"/>
              <w:bottom w:val="single" w:color="auto" w:sz="4" w:space="0"/>
              <w:right w:val="single" w:color="auto" w:sz="4" w:space="0"/>
            </w:tcBorders>
          </w:tcPr>
          <w:p w:rsidRPr="00BE3F89" w:rsidR="00316E8B" w:rsidP="008A36C9" w:rsidRDefault="00316E8B" w14:paraId="5F1F8C18" w14:textId="77777777">
            <w:pPr>
              <w:jc w:val="center"/>
              <w:rPr>
                <w:sz w:val="20"/>
                <w:szCs w:val="20"/>
              </w:rPr>
            </w:pPr>
            <w:r w:rsidRPr="00BE3F89">
              <w:rPr>
                <w:sz w:val="20"/>
                <w:szCs w:val="20"/>
              </w:rPr>
              <w:t>5</w:t>
            </w:r>
          </w:p>
        </w:tc>
        <w:tc>
          <w:tcPr>
            <w:tcW w:w="2660" w:type="dxa"/>
            <w:tcBorders>
              <w:top w:val="single" w:color="auto" w:sz="4" w:space="0"/>
              <w:left w:val="single" w:color="auto" w:sz="4" w:space="0"/>
              <w:bottom w:val="single" w:color="auto" w:sz="4" w:space="0"/>
            </w:tcBorders>
          </w:tcPr>
          <w:p w:rsidRPr="00BE3F89" w:rsidR="00316E8B" w:rsidP="008A36C9" w:rsidRDefault="00316E8B" w14:paraId="584E597F" w14:textId="77777777">
            <w:pPr>
              <w:jc w:val="center"/>
              <w:rPr>
                <w:sz w:val="20"/>
                <w:szCs w:val="20"/>
              </w:rPr>
            </w:pPr>
            <w:r w:rsidRPr="00BE3F89">
              <w:rPr>
                <w:sz w:val="20"/>
                <w:szCs w:val="20"/>
              </w:rPr>
              <w:t>6</w:t>
            </w:r>
          </w:p>
        </w:tc>
      </w:tr>
    </w:tbl>
    <w:p w:rsidRPr="00BE3F89" w:rsidR="00316E8B" w:rsidP="007B4C0F" w:rsidRDefault="00316E8B" w14:paraId="47293230" w14:textId="77777777">
      <w:pPr>
        <w:pStyle w:val="naisf"/>
        <w:spacing w:before="0" w:after="0"/>
        <w:ind w:firstLine="0"/>
      </w:pPr>
    </w:p>
    <w:p w:rsidRPr="00BE3F89" w:rsidR="00316E8B" w:rsidP="005D67F7" w:rsidRDefault="00316E8B" w14:paraId="12773A00" w14:textId="77777777">
      <w:pPr>
        <w:pStyle w:val="naisf"/>
        <w:spacing w:before="0" w:after="0"/>
        <w:ind w:firstLine="0"/>
        <w:rPr>
          <w:b/>
          <w:bCs/>
        </w:rPr>
      </w:pPr>
    </w:p>
    <w:p w:rsidRPr="00BE3F89" w:rsidR="00316E8B" w:rsidP="005D67F7" w:rsidRDefault="00316E8B" w14:paraId="02F8CE52" w14:textId="77777777">
      <w:pPr>
        <w:pStyle w:val="naisf"/>
        <w:spacing w:before="0" w:after="0"/>
        <w:ind w:firstLine="0"/>
        <w:rPr>
          <w:b/>
          <w:bCs/>
        </w:rPr>
      </w:pPr>
      <w:r w:rsidRPr="00BE3F89">
        <w:rPr>
          <w:b/>
          <w:bCs/>
        </w:rPr>
        <w:t>Informācija par elektronisko saskaņošanu</w:t>
      </w:r>
    </w:p>
    <w:p w:rsidRPr="00BE3F89" w:rsidR="00316E8B" w:rsidP="005D67F7" w:rsidRDefault="00316E8B" w14:paraId="1E0FDBBC" w14:textId="77777777">
      <w:pPr>
        <w:pStyle w:val="naisf"/>
        <w:spacing w:before="0" w:after="0"/>
        <w:ind w:firstLine="0"/>
        <w:rPr>
          <w:b/>
          <w:bCs/>
        </w:rPr>
      </w:pPr>
    </w:p>
    <w:p w:rsidRPr="00BE3F89" w:rsidR="00316E8B" w:rsidP="005D67F7" w:rsidRDefault="00316E8B" w14:paraId="616D7AC3" w14:textId="77777777">
      <w:pPr>
        <w:pStyle w:val="naisf"/>
        <w:spacing w:before="0" w:after="0"/>
        <w:ind w:firstLine="0"/>
        <w:rPr>
          <w:b/>
          <w:bCs/>
        </w:rPr>
      </w:pPr>
    </w:p>
    <w:tbl>
      <w:tblPr>
        <w:tblW w:w="14508" w:type="dxa"/>
        <w:tblLook w:val="00A0" w:firstRow="1" w:lastRow="0" w:firstColumn="1" w:lastColumn="0" w:noHBand="0" w:noVBand="0"/>
      </w:tblPr>
      <w:tblGrid>
        <w:gridCol w:w="6340"/>
        <w:gridCol w:w="363"/>
        <w:gridCol w:w="839"/>
        <w:gridCol w:w="6966"/>
      </w:tblGrid>
      <w:tr w:rsidRPr="00BE3F89" w:rsidR="00BE3F89" w:rsidTr="32A2E772" w14:paraId="1F303259" w14:textId="77777777">
        <w:trPr>
          <w:trHeight w:val="272"/>
        </w:trPr>
        <w:tc>
          <w:tcPr>
            <w:tcW w:w="6340" w:type="dxa"/>
          </w:tcPr>
          <w:p w:rsidRPr="00BE3F89" w:rsidR="00316E8B" w:rsidP="0061004F" w:rsidRDefault="00316E8B" w14:paraId="400B75EA" w14:textId="77777777">
            <w:pPr>
              <w:pStyle w:val="naisf"/>
              <w:spacing w:before="0" w:after="0"/>
              <w:ind w:firstLine="0"/>
            </w:pPr>
            <w:r w:rsidRPr="00BE3F89">
              <w:t>Datums</w:t>
            </w:r>
          </w:p>
        </w:tc>
        <w:tc>
          <w:tcPr>
            <w:tcW w:w="8168" w:type="dxa"/>
            <w:gridSpan w:val="3"/>
            <w:tcBorders>
              <w:bottom w:val="single" w:color="auto" w:sz="4" w:space="0"/>
            </w:tcBorders>
          </w:tcPr>
          <w:p w:rsidRPr="00BE3F89" w:rsidR="00954098" w:rsidP="3B1EB143" w:rsidRDefault="00954098" w14:paraId="12B75B24" w14:textId="1E57CA30">
            <w:pPr>
              <w:pStyle w:val="NormalWeb"/>
              <w:spacing w:before="0" w:beforeAutospacing="0" w:after="0" w:afterAutospacing="0"/>
              <w:ind w:firstLine="720"/>
              <w:jc w:val="both"/>
            </w:pPr>
          </w:p>
        </w:tc>
      </w:tr>
      <w:tr w:rsidRPr="00BE3F89" w:rsidR="00BE3F89" w:rsidTr="32A2E772" w14:paraId="39C7E0C3" w14:textId="77777777">
        <w:trPr>
          <w:trHeight w:val="1402"/>
        </w:trPr>
        <w:tc>
          <w:tcPr>
            <w:tcW w:w="6340" w:type="dxa"/>
          </w:tcPr>
          <w:p w:rsidRPr="00BE3F89" w:rsidR="00316E8B" w:rsidP="00F435C8" w:rsidRDefault="00316E8B" w14:paraId="170831A3" w14:textId="77777777">
            <w:pPr>
              <w:pStyle w:val="naiskr"/>
              <w:spacing w:before="0" w:after="0"/>
              <w:jc w:val="both"/>
            </w:pPr>
            <w:r w:rsidRPr="00BE3F89">
              <w:t>Saskaņošanas dalībnieki</w:t>
            </w:r>
          </w:p>
          <w:p w:rsidRPr="00BE3F89" w:rsidR="00316E8B" w:rsidP="00F435C8" w:rsidRDefault="00316E8B" w14:paraId="3065019F" w14:textId="77777777">
            <w:pPr>
              <w:tabs>
                <w:tab w:val="left" w:pos="1440"/>
              </w:tabs>
              <w:jc w:val="both"/>
            </w:pPr>
          </w:p>
        </w:tc>
        <w:tc>
          <w:tcPr>
            <w:tcW w:w="8168" w:type="dxa"/>
            <w:gridSpan w:val="3"/>
          </w:tcPr>
          <w:p w:rsidRPr="00BE3F89" w:rsidR="00316E8B" w:rsidP="007C25AF" w:rsidRDefault="00316E8B" w14:paraId="2DFC0E93" w14:textId="0838487A">
            <w:pPr>
              <w:pStyle w:val="NormalWeb"/>
              <w:jc w:val="both"/>
            </w:pPr>
            <w:r w:rsidRPr="00BE3F89">
              <w:t>Finanšu ministrija, Tieslietu ministrija</w:t>
            </w:r>
            <w:r w:rsidRPr="00BE3F89" w:rsidR="003D25F7">
              <w:t>, Zemkopības ministrija</w:t>
            </w:r>
            <w:r w:rsidRPr="00BE3F89" w:rsidR="0009405D">
              <w:t>,</w:t>
            </w:r>
            <w:r w:rsidRPr="00BE3F89">
              <w:t xml:space="preserve"> </w:t>
            </w:r>
            <w:r w:rsidRPr="00BE3F89" w:rsidR="008E7ADA">
              <w:t xml:space="preserve"> Vides aizsardzības un reģionālās attīstības ministriju</w:t>
            </w:r>
            <w:r w:rsidRPr="00BE3F89" w:rsidR="0009405D">
              <w:t xml:space="preserve"> un Latvijas Pašvaldību savienību</w:t>
            </w:r>
          </w:p>
        </w:tc>
      </w:tr>
      <w:tr w:rsidRPr="00BE3F89" w:rsidR="00BE3F89" w:rsidTr="32A2E772" w14:paraId="5352B79E" w14:textId="77777777">
        <w:trPr>
          <w:trHeight w:val="278"/>
        </w:trPr>
        <w:tc>
          <w:tcPr>
            <w:tcW w:w="6340" w:type="dxa"/>
          </w:tcPr>
          <w:p w:rsidRPr="00BE3F89" w:rsidR="00316E8B" w:rsidP="00F435C8" w:rsidRDefault="00316E8B" w14:paraId="44067DFE" w14:textId="77777777">
            <w:pPr>
              <w:pStyle w:val="naiskr"/>
              <w:spacing w:before="0" w:after="0"/>
              <w:jc w:val="both"/>
            </w:pPr>
            <w:r w:rsidRPr="00BE3F89">
              <w:t>Saskaņošanas dalībnieki izskatīja šādu ministriju (citu institūciju) iebildumus un priekšlikumus</w:t>
            </w:r>
          </w:p>
        </w:tc>
        <w:tc>
          <w:tcPr>
            <w:tcW w:w="1202" w:type="dxa"/>
            <w:gridSpan w:val="2"/>
          </w:tcPr>
          <w:p w:rsidRPr="00BE3F89" w:rsidR="00316E8B" w:rsidP="00F435C8" w:rsidRDefault="00316E8B" w14:paraId="481C5B5B" w14:textId="77777777">
            <w:pPr>
              <w:pStyle w:val="naiskr"/>
              <w:spacing w:before="0" w:after="0"/>
              <w:ind w:firstLine="720"/>
              <w:jc w:val="both"/>
            </w:pPr>
          </w:p>
        </w:tc>
        <w:tc>
          <w:tcPr>
            <w:tcW w:w="6966" w:type="dxa"/>
          </w:tcPr>
          <w:p w:rsidRPr="00BE3F89" w:rsidR="00316E8B" w:rsidP="00F435C8" w:rsidRDefault="00316E8B" w14:paraId="02E982FC" w14:textId="77777777">
            <w:pPr>
              <w:pStyle w:val="naiskr"/>
              <w:spacing w:before="0" w:after="0"/>
              <w:ind w:firstLine="12"/>
              <w:jc w:val="both"/>
            </w:pPr>
          </w:p>
        </w:tc>
      </w:tr>
      <w:tr w:rsidRPr="00BE3F89" w:rsidR="00BE3F89" w:rsidTr="32A2E772" w14:paraId="66B76ADB" w14:textId="77777777">
        <w:trPr>
          <w:trHeight w:val="454"/>
        </w:trPr>
        <w:tc>
          <w:tcPr>
            <w:tcW w:w="6340" w:type="dxa"/>
          </w:tcPr>
          <w:p w:rsidRPr="00BE3F89" w:rsidR="00316E8B" w:rsidP="00F435C8" w:rsidRDefault="00316E8B" w14:paraId="275AF97A" w14:textId="77777777">
            <w:pPr>
              <w:pStyle w:val="naiskr"/>
              <w:spacing w:before="0" w:after="0"/>
              <w:ind w:firstLine="720"/>
              <w:jc w:val="both"/>
            </w:pPr>
            <w:r w:rsidRPr="00BE3F89">
              <w:t>  </w:t>
            </w:r>
          </w:p>
        </w:tc>
        <w:tc>
          <w:tcPr>
            <w:tcW w:w="8168" w:type="dxa"/>
            <w:gridSpan w:val="3"/>
            <w:tcBorders>
              <w:top w:val="single" w:color="000000" w:themeColor="text1" w:sz="6" w:space="0"/>
              <w:bottom w:val="single" w:color="000000" w:themeColor="text1" w:sz="6" w:space="0"/>
            </w:tcBorders>
          </w:tcPr>
          <w:p w:rsidRPr="00BE3F89" w:rsidR="008E7ADA" w:rsidP="0061004F" w:rsidRDefault="003D25F7" w14:paraId="682175F7" w14:textId="251B22AF">
            <w:pPr>
              <w:pStyle w:val="NormalWeb"/>
              <w:spacing w:before="0" w:beforeAutospacing="0" w:after="0" w:afterAutospacing="0"/>
              <w:jc w:val="both"/>
            </w:pPr>
            <w:r w:rsidRPr="00BE3F89">
              <w:t>Finanšu ministrijas</w:t>
            </w:r>
            <w:r w:rsidRPr="00BE3F89" w:rsidR="0009405D">
              <w:t xml:space="preserve"> un</w:t>
            </w:r>
            <w:r w:rsidRPr="00BE3F89">
              <w:t xml:space="preserve"> Tieslietu ministrijas</w:t>
            </w:r>
            <w:r w:rsidRPr="00BE3F89" w:rsidR="00A64242">
              <w:t xml:space="preserve"> iebildumus un Zemkopības ministrijas priekšlikumu.</w:t>
            </w:r>
          </w:p>
        </w:tc>
      </w:tr>
      <w:tr w:rsidRPr="00BE3F89" w:rsidR="00BE3F89" w:rsidTr="32A2E772" w14:paraId="6AA96D93" w14:textId="77777777">
        <w:trPr>
          <w:trHeight w:val="454"/>
        </w:trPr>
        <w:tc>
          <w:tcPr>
            <w:tcW w:w="14508" w:type="dxa"/>
            <w:gridSpan w:val="4"/>
          </w:tcPr>
          <w:p w:rsidRPr="00BE3F89" w:rsidR="00316E8B" w:rsidP="00F435C8" w:rsidRDefault="00316E8B" w14:paraId="258B4381" w14:textId="77777777">
            <w:pPr>
              <w:pStyle w:val="naisc"/>
              <w:spacing w:before="0" w:after="0"/>
              <w:jc w:val="both"/>
            </w:pPr>
          </w:p>
        </w:tc>
      </w:tr>
      <w:tr w:rsidRPr="00BE3F89" w:rsidR="00BE3F89" w:rsidTr="32A2E772" w14:paraId="595096D3" w14:textId="77777777">
        <w:trPr>
          <w:trHeight w:val="807"/>
        </w:trPr>
        <w:tc>
          <w:tcPr>
            <w:tcW w:w="6703" w:type="dxa"/>
            <w:gridSpan w:val="2"/>
          </w:tcPr>
          <w:p w:rsidRPr="00BE3F89" w:rsidR="00316E8B" w:rsidP="00F435C8" w:rsidRDefault="00316E8B" w14:paraId="00DD85B6" w14:textId="77777777">
            <w:pPr>
              <w:pStyle w:val="naiskr"/>
              <w:spacing w:before="0" w:after="0"/>
              <w:jc w:val="both"/>
            </w:pPr>
            <w:r w:rsidRPr="00BE3F89">
              <w:t>Ministrijas (citas institūcijas), kuras nav ieradušās uz sanāksmi vai kuras nav atbildējušas uz uzaicinājumu piedalīties elektroniskajā saskaņošanā</w:t>
            </w:r>
          </w:p>
        </w:tc>
        <w:tc>
          <w:tcPr>
            <w:tcW w:w="7805" w:type="dxa"/>
            <w:gridSpan w:val="2"/>
          </w:tcPr>
          <w:p w:rsidRPr="00BE3F89" w:rsidR="00316E8B" w:rsidP="00F435C8" w:rsidRDefault="00316E8B" w14:paraId="4D5F3A68" w14:textId="77777777">
            <w:pPr>
              <w:pStyle w:val="naiskr"/>
              <w:spacing w:before="0" w:after="0"/>
              <w:jc w:val="both"/>
            </w:pPr>
          </w:p>
        </w:tc>
      </w:tr>
      <w:tr w:rsidRPr="00BE3F89" w:rsidR="00BE3F89" w:rsidTr="32A2E772" w14:paraId="5182EE5C" w14:textId="77777777">
        <w:trPr>
          <w:trHeight w:val="262"/>
        </w:trPr>
        <w:tc>
          <w:tcPr>
            <w:tcW w:w="6703" w:type="dxa"/>
            <w:gridSpan w:val="2"/>
          </w:tcPr>
          <w:p w:rsidRPr="00BE3F89" w:rsidR="00316E8B" w:rsidP="00F435C8" w:rsidRDefault="00316E8B" w14:paraId="03B7094D" w14:textId="77777777">
            <w:pPr>
              <w:pStyle w:val="naiskr"/>
              <w:spacing w:before="0" w:after="0"/>
              <w:ind w:firstLine="720"/>
              <w:jc w:val="both"/>
            </w:pPr>
            <w:r w:rsidRPr="00BE3F89">
              <w:t>  </w:t>
            </w:r>
          </w:p>
        </w:tc>
        <w:tc>
          <w:tcPr>
            <w:tcW w:w="7805" w:type="dxa"/>
            <w:gridSpan w:val="2"/>
            <w:tcBorders>
              <w:top w:val="single" w:color="000000" w:themeColor="text1" w:sz="6" w:space="0"/>
              <w:bottom w:val="single" w:color="000000" w:themeColor="text1" w:sz="6" w:space="0"/>
            </w:tcBorders>
          </w:tcPr>
          <w:p w:rsidRPr="00BE3F89" w:rsidR="00316E8B" w:rsidP="0061004F" w:rsidRDefault="00316E8B" w14:paraId="1FEC90FD" w14:textId="77777777">
            <w:pPr>
              <w:pStyle w:val="naiskr"/>
              <w:spacing w:before="0" w:after="0"/>
              <w:jc w:val="both"/>
            </w:pPr>
          </w:p>
        </w:tc>
      </w:tr>
      <w:tr w:rsidRPr="00BE3F89" w:rsidR="00316E8B" w:rsidTr="32A2E772" w14:paraId="2453672F" w14:textId="77777777">
        <w:trPr>
          <w:gridAfter w:val="2"/>
          <w:wAfter w:w="7805" w:type="dxa"/>
          <w:trHeight w:val="262"/>
        </w:trPr>
        <w:tc>
          <w:tcPr>
            <w:tcW w:w="6703" w:type="dxa"/>
            <w:gridSpan w:val="2"/>
          </w:tcPr>
          <w:p w:rsidRPr="00BE3F89" w:rsidR="00316E8B" w:rsidP="00F435C8" w:rsidRDefault="00316E8B" w14:paraId="26FF1EF5" w14:textId="77777777">
            <w:pPr>
              <w:pStyle w:val="naiskr"/>
              <w:spacing w:before="0" w:after="0"/>
              <w:ind w:firstLine="720"/>
              <w:jc w:val="both"/>
            </w:pPr>
            <w:r w:rsidRPr="00BE3F89">
              <w:t>  </w:t>
            </w:r>
          </w:p>
        </w:tc>
      </w:tr>
    </w:tbl>
    <w:p w:rsidRPr="00BE3F89" w:rsidR="00316E8B" w:rsidP="0061004F" w:rsidRDefault="00316E8B" w14:paraId="2EAA492C" w14:textId="77777777">
      <w:pPr>
        <w:pStyle w:val="naisf"/>
        <w:spacing w:before="0" w:after="0"/>
        <w:ind w:firstLine="720"/>
      </w:pPr>
    </w:p>
    <w:p w:rsidRPr="00BE3F89" w:rsidR="001E499F" w:rsidP="0061004F" w:rsidRDefault="001E499F" w14:paraId="4AB8EF1E" w14:textId="77777777">
      <w:pPr>
        <w:pStyle w:val="naisf"/>
        <w:spacing w:before="0" w:after="0"/>
        <w:ind w:firstLine="720"/>
      </w:pPr>
    </w:p>
    <w:p w:rsidRPr="00BE3F89" w:rsidR="001E499F" w:rsidP="0061004F" w:rsidRDefault="001E499F" w14:paraId="33BA1D47" w14:textId="77777777">
      <w:pPr>
        <w:pStyle w:val="naisf"/>
        <w:spacing w:before="0" w:after="0"/>
        <w:ind w:firstLine="720"/>
      </w:pPr>
    </w:p>
    <w:p w:rsidRPr="00BE3F89" w:rsidR="00316E8B" w:rsidP="009011C4" w:rsidRDefault="00316E8B" w14:paraId="55C5E151" w14:textId="2EF53CAE">
      <w:pPr>
        <w:pStyle w:val="naisf"/>
        <w:spacing w:before="0" w:after="0"/>
        <w:ind w:firstLine="0"/>
        <w:jc w:val="center"/>
        <w:rPr>
          <w:b/>
          <w:bCs/>
        </w:rPr>
      </w:pPr>
      <w:r w:rsidRPr="00BE3F89">
        <w:rPr>
          <w:b/>
          <w:bCs/>
        </w:rPr>
        <w:lastRenderedPageBreak/>
        <w:t>II. Jautājumi, par kuriem saskaņošanā vienošanās ir panākta</w:t>
      </w:r>
    </w:p>
    <w:tbl>
      <w:tblPr>
        <w:tblW w:w="14658"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68"/>
        <w:gridCol w:w="2551"/>
        <w:gridCol w:w="4111"/>
        <w:gridCol w:w="3685"/>
        <w:gridCol w:w="3743"/>
      </w:tblGrid>
      <w:tr w:rsidRPr="00BE3F89" w:rsidR="00BE3F89" w:rsidTr="002018DC" w14:paraId="3655906A" w14:textId="77777777">
        <w:tc>
          <w:tcPr>
            <w:tcW w:w="568"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BE3F89" w:rsidR="00316E8B" w:rsidP="00F435C8" w:rsidRDefault="00316E8B" w14:paraId="2361D371" w14:textId="77777777">
            <w:pPr>
              <w:pStyle w:val="naisc"/>
              <w:spacing w:before="0" w:after="0"/>
              <w:jc w:val="both"/>
            </w:pPr>
            <w:r w:rsidRPr="00BE3F89">
              <w:t>Nr. p.k.</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BE3F89" w:rsidR="00316E8B" w:rsidP="00F435C8" w:rsidRDefault="00316E8B" w14:paraId="7AF968EB" w14:textId="77777777">
            <w:pPr>
              <w:pStyle w:val="naisc"/>
              <w:spacing w:before="0" w:after="0"/>
              <w:ind w:firstLine="12"/>
              <w:jc w:val="both"/>
            </w:pPr>
            <w:r w:rsidRPr="00BE3F89">
              <w:t>Saskaņošanai nosūtītā projekta redakcija (konkrēta punkta (panta) redakcija)</w:t>
            </w:r>
          </w:p>
        </w:tc>
        <w:tc>
          <w:tcPr>
            <w:tcW w:w="4111"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BE3F89" w:rsidR="00316E8B" w:rsidP="00F435C8" w:rsidRDefault="00316E8B" w14:paraId="4D3AFB87" w14:textId="77777777">
            <w:pPr>
              <w:pStyle w:val="naisc"/>
              <w:spacing w:before="0" w:after="0"/>
              <w:ind w:right="3"/>
              <w:jc w:val="both"/>
            </w:pPr>
            <w:r w:rsidRPr="00BE3F89">
              <w:t>Atzinumā norādītais ministrijas (citas institūcijas) iebildums, kā arī saskaņošanā papildus izteiktais iebildums par projekta konkrēto punktu (pantu)</w:t>
            </w:r>
          </w:p>
        </w:tc>
        <w:tc>
          <w:tcPr>
            <w:tcW w:w="368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BE3F89" w:rsidR="00316E8B" w:rsidP="00F435C8" w:rsidRDefault="00316E8B" w14:paraId="6AD04321" w14:textId="77777777">
            <w:pPr>
              <w:pStyle w:val="naisc"/>
              <w:spacing w:before="0" w:after="0"/>
              <w:ind w:firstLine="21"/>
              <w:jc w:val="both"/>
            </w:pPr>
            <w:r w:rsidRPr="00BE3F89">
              <w:t>Atbildīgās ministrijas norāde par to, ka iebildums ir ņemts vērā, vai informācija par saskaņošanā panākto alternatīvo risinājumu</w:t>
            </w:r>
          </w:p>
        </w:tc>
        <w:tc>
          <w:tcPr>
            <w:tcW w:w="3743" w:type="dxa"/>
            <w:tcBorders>
              <w:top w:val="single" w:color="auto" w:sz="4" w:space="0"/>
              <w:left w:val="single" w:color="auto" w:sz="4" w:space="0"/>
              <w:bottom w:val="single" w:color="auto" w:sz="4" w:space="0"/>
            </w:tcBorders>
            <w:vAlign w:val="center"/>
          </w:tcPr>
          <w:p w:rsidRPr="00BE3F89" w:rsidR="00316E8B" w:rsidP="00F435C8" w:rsidRDefault="00316E8B" w14:paraId="52AC4811" w14:textId="77777777">
            <w:pPr>
              <w:jc w:val="both"/>
            </w:pPr>
            <w:r w:rsidRPr="00BE3F89">
              <w:t>Projekta attiecīgā punkta (panta) galīgā redakcija</w:t>
            </w:r>
          </w:p>
        </w:tc>
      </w:tr>
      <w:tr w:rsidRPr="00BE3F89" w:rsidR="00BE3F89" w:rsidTr="002018DC" w14:paraId="583D2B94" w14:textId="77777777">
        <w:trPr>
          <w:trHeight w:val="191"/>
        </w:trPr>
        <w:tc>
          <w:tcPr>
            <w:tcW w:w="56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BE3F89" w:rsidR="00316E8B" w:rsidP="00A174C7" w:rsidRDefault="00316E8B" w14:paraId="0B91FCFD" w14:textId="77777777">
            <w:pPr>
              <w:pStyle w:val="naisc"/>
              <w:spacing w:before="0" w:after="0"/>
            </w:pPr>
            <w:r w:rsidRPr="00BE3F89">
              <w:t>1</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BE3F89" w:rsidR="00316E8B" w:rsidP="00A174C7" w:rsidRDefault="00316E8B" w14:paraId="7AA33E83" w14:textId="77777777">
            <w:pPr>
              <w:pStyle w:val="naisc"/>
              <w:spacing w:before="0" w:after="0"/>
            </w:pPr>
            <w:r w:rsidRPr="00BE3F89">
              <w:t>2</w:t>
            </w:r>
          </w:p>
        </w:tc>
        <w:tc>
          <w:tcPr>
            <w:tcW w:w="4111"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BE3F89" w:rsidR="00316E8B" w:rsidP="00A174C7" w:rsidRDefault="00316E8B" w14:paraId="63A2282A" w14:textId="77777777">
            <w:pPr>
              <w:pStyle w:val="naisc"/>
              <w:spacing w:before="0" w:after="0"/>
            </w:pPr>
            <w:r w:rsidRPr="00BE3F89">
              <w:t>3</w:t>
            </w:r>
          </w:p>
        </w:tc>
        <w:tc>
          <w:tcPr>
            <w:tcW w:w="36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BE3F89" w:rsidR="00316E8B" w:rsidP="00A174C7" w:rsidRDefault="00316E8B" w14:paraId="5EEBC7C5" w14:textId="77777777">
            <w:pPr>
              <w:pStyle w:val="naisc"/>
              <w:spacing w:before="0" w:after="0"/>
              <w:ind w:firstLine="34"/>
            </w:pPr>
            <w:r w:rsidRPr="00BE3F89">
              <w:t>4</w:t>
            </w:r>
          </w:p>
        </w:tc>
        <w:tc>
          <w:tcPr>
            <w:tcW w:w="3743" w:type="dxa"/>
            <w:tcBorders>
              <w:top w:val="single" w:color="auto" w:sz="4" w:space="0"/>
              <w:left w:val="single" w:color="auto" w:sz="4" w:space="0"/>
              <w:bottom w:val="single" w:color="auto" w:sz="4" w:space="0"/>
            </w:tcBorders>
          </w:tcPr>
          <w:p w:rsidRPr="00BE3F89" w:rsidR="00316E8B" w:rsidP="00A174C7" w:rsidRDefault="00316E8B" w14:paraId="165BBBB7" w14:textId="77777777">
            <w:pPr>
              <w:jc w:val="center"/>
            </w:pPr>
            <w:r w:rsidRPr="00BE3F89">
              <w:t>5</w:t>
            </w:r>
          </w:p>
        </w:tc>
      </w:tr>
      <w:tr w:rsidRPr="00BE3F89" w:rsidR="00BE3F89" w:rsidTr="32A2E772" w14:paraId="30AD2E79" w14:textId="77777777">
        <w:tc>
          <w:tcPr>
            <w:tcW w:w="14658" w:type="dxa"/>
            <w:gridSpan w:val="5"/>
            <w:tcBorders>
              <w:left w:val="single" w:color="000000" w:themeColor="text1" w:sz="6" w:space="0"/>
              <w:bottom w:val="single" w:color="auto" w:sz="4" w:space="0"/>
            </w:tcBorders>
          </w:tcPr>
          <w:p w:rsidRPr="00BE3F89" w:rsidR="00316E8B" w:rsidP="00A174C7" w:rsidRDefault="00316E8B" w14:paraId="3DBDAD46" w14:textId="77777777">
            <w:pPr>
              <w:jc w:val="center"/>
              <w:rPr>
                <w:b/>
                <w:bCs/>
              </w:rPr>
            </w:pPr>
            <w:bookmarkStart w:name="_Hlk27570323" w:id="0"/>
            <w:r w:rsidRPr="00BE3F89">
              <w:rPr>
                <w:b/>
                <w:bCs/>
              </w:rPr>
              <w:t>Tieslietu ministrija</w:t>
            </w:r>
          </w:p>
        </w:tc>
      </w:tr>
      <w:bookmarkEnd w:id="0"/>
      <w:tr w:rsidRPr="00BE3F89" w:rsidR="00BE3F89" w:rsidTr="002018DC" w14:paraId="493B9A5A" w14:textId="77777777">
        <w:trPr>
          <w:trHeight w:val="2567"/>
        </w:trPr>
        <w:tc>
          <w:tcPr>
            <w:tcW w:w="568" w:type="dxa"/>
            <w:tcBorders>
              <w:left w:val="single" w:color="000000" w:themeColor="text1" w:sz="6" w:space="0"/>
              <w:bottom w:val="single" w:color="auto" w:sz="4" w:space="0"/>
              <w:right w:val="single" w:color="000000" w:themeColor="text1" w:sz="6" w:space="0"/>
            </w:tcBorders>
          </w:tcPr>
          <w:p w:rsidRPr="00BE3F89" w:rsidR="00316E8B" w:rsidP="00F05E4F" w:rsidRDefault="00F05E4F" w14:paraId="7EDC9BD7" w14:textId="4E46E782">
            <w:r w:rsidRPr="00BE3F89">
              <w:t>1.</w:t>
            </w:r>
          </w:p>
        </w:tc>
        <w:tc>
          <w:tcPr>
            <w:tcW w:w="2551" w:type="dxa"/>
            <w:tcBorders>
              <w:left w:val="single" w:color="000000" w:themeColor="text1" w:sz="6" w:space="0"/>
              <w:bottom w:val="single" w:color="auto" w:sz="4" w:space="0"/>
              <w:right w:val="single" w:color="000000" w:themeColor="text1" w:sz="6" w:space="0"/>
            </w:tcBorders>
          </w:tcPr>
          <w:p w:rsidRPr="00BE3F89" w:rsidR="00F05E4F" w:rsidP="00E2153C" w:rsidRDefault="00F05E4F" w14:paraId="705376AC" w14:textId="32EFF2F8">
            <w:pPr>
              <w:ind w:right="12"/>
              <w:jc w:val="center"/>
              <w:rPr>
                <w:highlight w:val="yellow"/>
              </w:rPr>
            </w:pPr>
          </w:p>
        </w:tc>
        <w:tc>
          <w:tcPr>
            <w:tcW w:w="4111" w:type="dxa"/>
            <w:tcBorders>
              <w:left w:val="single" w:color="000000" w:themeColor="text1" w:sz="6" w:space="0"/>
              <w:bottom w:val="single" w:color="auto" w:sz="4" w:space="0"/>
              <w:right w:val="single" w:color="000000" w:themeColor="text1" w:sz="6" w:space="0"/>
            </w:tcBorders>
          </w:tcPr>
          <w:p w:rsidRPr="00BE3F89" w:rsidR="00667FAE" w:rsidP="0001078A" w:rsidRDefault="001E610A" w14:paraId="79FF5F7B" w14:textId="369D2F07">
            <w:pPr>
              <w:jc w:val="both"/>
            </w:pPr>
            <w:r w:rsidRPr="00BE3F89">
              <w:t>1.</w:t>
            </w:r>
            <w:r w:rsidRPr="00BE3F89">
              <w:tab/>
              <w:t>Anotācijas pielikuma 151. rindā ir iekļauta zemes vienība ar kadastra apzīmējumu 27000190008, kura ir ierakstīta zemesgrāmatā Satiksmes ministrijas personā. Tādejādi tās atsavināšanai nepieciešams rast citu risinājumu, kas atšķiras no Ministru kabineta sēdes protokollēmuma projekta 3. punktā paredzētā uzdevuma.</w:t>
            </w:r>
          </w:p>
        </w:tc>
        <w:tc>
          <w:tcPr>
            <w:tcW w:w="3685" w:type="dxa"/>
            <w:tcBorders>
              <w:left w:val="single" w:color="000000" w:themeColor="text1" w:sz="6" w:space="0"/>
              <w:bottom w:val="single" w:color="auto" w:sz="4" w:space="0"/>
              <w:right w:val="single" w:color="000000" w:themeColor="text1" w:sz="6" w:space="0"/>
            </w:tcBorders>
          </w:tcPr>
          <w:p w:rsidRPr="00BE3F89" w:rsidR="0062619B" w:rsidP="00F136C3" w:rsidRDefault="0062619B" w14:paraId="49A6C132" w14:textId="39632AA1">
            <w:pPr>
              <w:autoSpaceDE w:val="0"/>
              <w:autoSpaceDN w:val="0"/>
              <w:adjustRightInd w:val="0"/>
              <w:jc w:val="both"/>
              <w:rPr>
                <w:b/>
                <w:bCs/>
              </w:rPr>
            </w:pPr>
            <w:r w:rsidRPr="00BE3F89">
              <w:rPr>
                <w:b/>
                <w:bCs/>
              </w:rPr>
              <w:t>Iebildums ņemts vērā.</w:t>
            </w:r>
          </w:p>
          <w:p w:rsidRPr="00BE3F89" w:rsidR="00DB60B8" w:rsidP="00F136C3" w:rsidRDefault="00DB60B8" w14:paraId="4DCC8AF0" w14:textId="55AE39D8">
            <w:pPr>
              <w:autoSpaceDE w:val="0"/>
              <w:autoSpaceDN w:val="0"/>
              <w:adjustRightInd w:val="0"/>
              <w:jc w:val="both"/>
              <w:rPr>
                <w:b/>
                <w:bCs/>
              </w:rPr>
            </w:pPr>
          </w:p>
        </w:tc>
        <w:tc>
          <w:tcPr>
            <w:tcW w:w="3743" w:type="dxa"/>
            <w:tcBorders>
              <w:top w:val="single" w:color="auto" w:sz="4" w:space="0"/>
              <w:left w:val="single" w:color="auto" w:sz="4" w:space="0"/>
              <w:bottom w:val="single" w:color="auto" w:sz="4" w:space="0"/>
            </w:tcBorders>
          </w:tcPr>
          <w:p w:rsidRPr="00BE3F89" w:rsidR="00316E8B" w:rsidP="00E2153C" w:rsidRDefault="0062619B" w14:paraId="358EEB33" w14:textId="554EC6D4">
            <w:pPr>
              <w:jc w:val="center"/>
            </w:pPr>
            <w:r w:rsidRPr="00BE3F89">
              <w:t>Papildināts anotācijas IV.sadaļas 1.punkts ar jaunu saistīto tiesību akta projektu:</w:t>
            </w:r>
          </w:p>
          <w:p w:rsidRPr="00BE3F89" w:rsidR="0062619B" w:rsidP="0062619B" w:rsidRDefault="0062619B" w14:paraId="3AFAF952" w14:textId="6C09F94F">
            <w:pPr>
              <w:jc w:val="both"/>
              <w:rPr>
                <w:b/>
                <w:bCs/>
              </w:rPr>
            </w:pPr>
            <w:r w:rsidRPr="00BE3F89">
              <w:t xml:space="preserve">2. Ministru kabineta rīkojums par zemes vienības ar kadastra apzīmējumu 27000190008 nodošanu Ventspils pilsētas pašvaldībai pēc Ventpils pilsētas pašvaldības lēmuma par nekustamā īpašuma pārņemšanu. </w:t>
            </w:r>
          </w:p>
        </w:tc>
      </w:tr>
      <w:tr w:rsidRPr="00BE3F89" w:rsidR="00BE3F89" w:rsidTr="002018DC" w14:paraId="797E4952" w14:textId="77777777">
        <w:trPr>
          <w:trHeight w:val="2258"/>
        </w:trPr>
        <w:tc>
          <w:tcPr>
            <w:tcW w:w="568" w:type="dxa"/>
            <w:tcBorders>
              <w:left w:val="single" w:color="000000" w:themeColor="text1" w:sz="6" w:space="0"/>
              <w:bottom w:val="single" w:color="auto" w:sz="4" w:space="0"/>
              <w:right w:val="single" w:color="000000" w:themeColor="text1" w:sz="6" w:space="0"/>
            </w:tcBorders>
          </w:tcPr>
          <w:p w:rsidRPr="00BE3F89" w:rsidR="00316E8B" w:rsidP="006B30BB" w:rsidRDefault="006B30BB" w14:paraId="0E9D4730" w14:textId="3D24CB57">
            <w:r w:rsidRPr="00BE3F89">
              <w:t>2.</w:t>
            </w:r>
          </w:p>
        </w:tc>
        <w:tc>
          <w:tcPr>
            <w:tcW w:w="2551" w:type="dxa"/>
            <w:tcBorders>
              <w:left w:val="single" w:color="000000" w:themeColor="text1" w:sz="6" w:space="0"/>
              <w:bottom w:val="single" w:color="auto" w:sz="4" w:space="0"/>
              <w:right w:val="single" w:color="000000" w:themeColor="text1" w:sz="6" w:space="0"/>
            </w:tcBorders>
          </w:tcPr>
          <w:p w:rsidRPr="00BE3F89" w:rsidR="00316E8B" w:rsidP="000D1A72" w:rsidRDefault="00316E8B" w14:paraId="42C0C3C5" w14:textId="5AE5FA48">
            <w:pPr>
              <w:ind w:firstLine="720"/>
              <w:jc w:val="both"/>
            </w:pPr>
          </w:p>
        </w:tc>
        <w:tc>
          <w:tcPr>
            <w:tcW w:w="4111" w:type="dxa"/>
            <w:tcBorders>
              <w:left w:val="single" w:color="000000" w:themeColor="text1" w:sz="6" w:space="0"/>
              <w:bottom w:val="single" w:color="auto" w:sz="4" w:space="0"/>
              <w:right w:val="single" w:color="000000" w:themeColor="text1" w:sz="6" w:space="0"/>
            </w:tcBorders>
          </w:tcPr>
          <w:p w:rsidRPr="00BE3F89" w:rsidR="00316E8B" w:rsidP="00F11B8E" w:rsidRDefault="001E610A" w14:paraId="0D3C810F" w14:textId="2008FBCA">
            <w:pPr>
              <w:widowControl w:val="0"/>
              <w:ind w:right="12"/>
              <w:jc w:val="both"/>
              <w:rPr>
                <w:lang w:eastAsia="en-US"/>
              </w:rPr>
            </w:pPr>
            <w:r w:rsidRPr="00BE3F89">
              <w:rPr>
                <w:lang w:eastAsia="en-US"/>
              </w:rPr>
              <w:t>2.</w:t>
            </w:r>
            <w:r w:rsidRPr="00BE3F89">
              <w:rPr>
                <w:lang w:eastAsia="en-US"/>
              </w:rPr>
              <w:tab/>
              <w:t>Anotācijas pielikumā uzskaitītas gan Nekustamā īpašuma valsts kadastra informācijas sistēmā reģistrētas, gan tajā nereģistrētas būves, bet anotācijā nav iekļauta informācija par tālāko rīcību ar tām. Lūdzam anotācijā iekļaut informāciju par tālāku rīcību ar tām, jo tieši būvju piederība atsevišķos gadījumos ir noteicošā rīcībai ar zemes vienību, lai novērstu piespiedu nomas gadījumus.</w:t>
            </w:r>
          </w:p>
        </w:tc>
        <w:tc>
          <w:tcPr>
            <w:tcW w:w="3685" w:type="dxa"/>
            <w:tcBorders>
              <w:left w:val="single" w:color="000000" w:themeColor="text1" w:sz="6" w:space="0"/>
              <w:bottom w:val="single" w:color="auto" w:sz="4" w:space="0"/>
              <w:right w:val="single" w:color="000000" w:themeColor="text1" w:sz="6" w:space="0"/>
            </w:tcBorders>
            <w:shd w:val="clear" w:color="auto" w:fill="auto"/>
          </w:tcPr>
          <w:p w:rsidRPr="00BE3F89" w:rsidR="00AE2EB2" w:rsidP="007F13C6" w:rsidRDefault="00AE2EB2" w14:paraId="553DAB34" w14:textId="188F5C11">
            <w:pPr>
              <w:autoSpaceDE w:val="0"/>
              <w:autoSpaceDN w:val="0"/>
              <w:adjustRightInd w:val="0"/>
              <w:jc w:val="center"/>
              <w:rPr>
                <w:b/>
                <w:bCs/>
              </w:rPr>
            </w:pPr>
            <w:r w:rsidRPr="00BE3F89">
              <w:rPr>
                <w:b/>
                <w:bCs/>
              </w:rPr>
              <w:t xml:space="preserve">Iebildums ņemts vērā. </w:t>
            </w:r>
          </w:p>
          <w:p w:rsidRPr="00BE3F89" w:rsidR="00AE2EB2" w:rsidP="007F13C6" w:rsidRDefault="00AE2EB2" w14:paraId="0E45909B" w14:textId="6334C9B9">
            <w:pPr>
              <w:autoSpaceDE w:val="0"/>
              <w:autoSpaceDN w:val="0"/>
              <w:adjustRightInd w:val="0"/>
              <w:jc w:val="center"/>
            </w:pPr>
            <w:r w:rsidRPr="00BE3F89">
              <w:t>Uz slēgtajā sliežu ceļa posmā esošās zemes esošās ēkas un būves</w:t>
            </w:r>
            <w:r w:rsidRPr="00BE3F89" w:rsidR="00FE0693">
              <w:t>, kuru īpašuma piederība nav noskaidrota,</w:t>
            </w:r>
            <w:r w:rsidRPr="00BE3F89">
              <w:t xml:space="preserve"> paredzēts nodot pašvaldībām kā zemes vienības daļu atbilstoši Civillikuma 968.pantam. </w:t>
            </w:r>
          </w:p>
          <w:p w:rsidRPr="00BE3F89" w:rsidR="00563435" w:rsidP="007F13C6" w:rsidRDefault="00563435" w14:paraId="652FC356" w14:textId="0DF1E502">
            <w:pPr>
              <w:autoSpaceDE w:val="0"/>
              <w:autoSpaceDN w:val="0"/>
              <w:adjustRightInd w:val="0"/>
              <w:jc w:val="center"/>
              <w:rPr>
                <w:b/>
                <w:bCs/>
              </w:rPr>
            </w:pPr>
          </w:p>
        </w:tc>
        <w:tc>
          <w:tcPr>
            <w:tcW w:w="3743" w:type="dxa"/>
            <w:tcBorders>
              <w:top w:val="single" w:color="auto" w:sz="4" w:space="0"/>
              <w:left w:val="single" w:color="auto" w:sz="4" w:space="0"/>
              <w:bottom w:val="single" w:color="auto" w:sz="4" w:space="0"/>
            </w:tcBorders>
          </w:tcPr>
          <w:p w:rsidRPr="00BE3F89" w:rsidR="00A6427D" w:rsidP="001237BE" w:rsidRDefault="00AE2EB2" w14:paraId="5BA3F851" w14:textId="77777777">
            <w:pPr>
              <w:ind w:firstLine="720"/>
              <w:jc w:val="both"/>
              <w:rPr>
                <w:szCs w:val="28"/>
              </w:rPr>
            </w:pPr>
            <w:r w:rsidRPr="00255F3C">
              <w:rPr>
                <w:szCs w:val="28"/>
              </w:rPr>
              <w:t xml:space="preserve">Papildināts anotācijas I.sadaļas 2.punkts. </w:t>
            </w:r>
            <w:r w:rsidRPr="00BE3F89" w:rsidR="00761945">
              <w:rPr>
                <w:szCs w:val="28"/>
              </w:rPr>
              <w:t xml:space="preserve"> </w:t>
            </w:r>
          </w:p>
          <w:p w:rsidRPr="00BE3F89" w:rsidR="00A40305" w:rsidP="001237BE" w:rsidRDefault="00A40305" w14:paraId="3BAF5A21" w14:textId="77777777">
            <w:pPr>
              <w:ind w:firstLine="720"/>
              <w:jc w:val="both"/>
              <w:rPr>
                <w:szCs w:val="28"/>
              </w:rPr>
            </w:pPr>
          </w:p>
          <w:p w:rsidRPr="00BE3F89" w:rsidR="00FE0693" w:rsidP="00FE0693" w:rsidRDefault="00FE0693" w14:paraId="1E5C690A" w14:textId="77777777">
            <w:pPr>
              <w:ind w:firstLine="720"/>
              <w:contextualSpacing/>
              <w:jc w:val="both"/>
            </w:pPr>
            <w:r w:rsidRPr="00BE3F89">
              <w:t xml:space="preserve">Par rīcību ar būvēm, kas atrodas uz valstij piekritīgās zemes un kuru īpašnieks ir LDz. </w:t>
            </w:r>
          </w:p>
          <w:p w:rsidRPr="00BE3F89" w:rsidR="00FE0693" w:rsidP="00FE0693" w:rsidRDefault="00FE0693" w14:paraId="5A36799A" w14:textId="282644CB">
            <w:pPr>
              <w:ind w:firstLine="720"/>
              <w:contextualSpacing/>
              <w:jc w:val="both"/>
            </w:pPr>
            <w:r w:rsidRPr="00BE3F89">
              <w:t>Dzelzceļa iecirkņa posmā esošās inženierbūves - zemes klātni, tiltus un caurtekas - LDz neplāno nojaukt, šīs inženierbūves paredzēts nodot to publisko personu rīcībā, kuru valdījumā tiks nodotas zemes vienības, publiskās infrastruktūras objektu ierīkošanai un uzturēšanai vai pašvaldību autonomo funkciju veikšanai.</w:t>
            </w:r>
          </w:p>
          <w:p w:rsidRPr="00BE3F89" w:rsidR="00FE0693" w:rsidP="00FE0693" w:rsidRDefault="00FE0693" w14:paraId="76E3E208" w14:textId="4710C32F">
            <w:pPr>
              <w:ind w:firstLine="720"/>
              <w:contextualSpacing/>
              <w:jc w:val="both"/>
            </w:pPr>
            <w:r w:rsidRPr="00BE3F89">
              <w:t xml:space="preserve">LDz </w:t>
            </w:r>
            <w:r w:rsidR="001D78FE">
              <w:t>ir veikusi</w:t>
            </w:r>
            <w:r w:rsidRPr="00BE3F89">
              <w:t xml:space="preserve"> Nekustamā īpašuma valsts kadastra informācijas </w:t>
            </w:r>
            <w:r w:rsidRPr="00BE3F89">
              <w:lastRenderedPageBreak/>
              <w:t>sistēmas  datu aktualizāciju par ēkām Dzelzceļa iecirknī.  Uz attiecīgajām zemes vienībām atrodas 11 ēkas, kuru īpašuma tiesības nav noskaidrotas, šīs ēkas nav reģistrētas LDz pamatlīdzekļu uzskaitē (izņemot būvi (pamati) ar kadadastra apzīmējumu 64860050089003). Trīs no ēkām dabā vairs nav saglabājušās, bet piecas izmanto Pāvilostas novada pašvaldībai piederošo ēku iedzīvotāji. LDz pamatlīdzekļu uzskaitē esošo ēku ar kadastra apzīmējumu  64860050089003 plāno nojaukt un dzēst no Nekustmā īpašuma valsts kadastra informācijas sistēmas.</w:t>
            </w:r>
          </w:p>
          <w:p w:rsidRPr="00BE3F89" w:rsidR="00FE0693" w:rsidP="00255F3C" w:rsidRDefault="00FE0693" w14:paraId="557587F1" w14:textId="40E53068">
            <w:pPr>
              <w:ind w:firstLine="720"/>
              <w:contextualSpacing/>
              <w:jc w:val="both"/>
            </w:pPr>
            <w:r w:rsidRPr="00BE3F89">
              <w:t xml:space="preserve">Savukārt uz slēgtajā sliežu ceļa posmā esošās zemes esošās ēkas un būves, kuru īpašuma piederība nav noskaidrota, paredzēts nodot pašvaldībām kā zemes vienības daļu atbilstoši Civillikuma 968.pantam. </w:t>
            </w:r>
          </w:p>
          <w:p w:rsidRPr="00BE3F89" w:rsidR="00A40305" w:rsidP="001237BE" w:rsidRDefault="00A40305" w14:paraId="74659E7E" w14:textId="1A5B4D40">
            <w:pPr>
              <w:ind w:firstLine="720"/>
              <w:jc w:val="both"/>
              <w:rPr>
                <w:szCs w:val="28"/>
              </w:rPr>
            </w:pPr>
          </w:p>
        </w:tc>
      </w:tr>
      <w:tr w:rsidRPr="00BE3F89" w:rsidR="00BE3F89" w:rsidTr="002018DC" w14:paraId="41A7A537" w14:textId="77777777">
        <w:trPr>
          <w:trHeight w:val="840"/>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BE3F89" w:rsidR="00316E8B" w:rsidP="006B30BB" w:rsidRDefault="00316E8B" w14:paraId="232C9F64" w14:textId="77777777">
            <w:pPr>
              <w:jc w:val="both"/>
            </w:pPr>
          </w:p>
          <w:p w:rsidRPr="00BE3F89" w:rsidR="001A790B" w:rsidP="001A790B" w:rsidRDefault="006B30BB" w14:paraId="7CCFD13C" w14:textId="3D7BA6A4">
            <w:r w:rsidRPr="00BE3F89">
              <w:t>3</w:t>
            </w:r>
            <w:r w:rsidRPr="00BE3F89" w:rsidR="001A790B">
              <w:t>.</w:t>
            </w:r>
          </w:p>
        </w:tc>
        <w:tc>
          <w:tcPr>
            <w:tcW w:w="2551" w:type="dxa"/>
            <w:tcBorders>
              <w:top w:val="single" w:color="auto" w:sz="4" w:space="0"/>
              <w:left w:val="single" w:color="000000" w:themeColor="text1" w:sz="6" w:space="0"/>
              <w:bottom w:val="single" w:color="auto" w:sz="4" w:space="0"/>
              <w:right w:val="single" w:color="000000" w:themeColor="text1" w:sz="6" w:space="0"/>
            </w:tcBorders>
          </w:tcPr>
          <w:p w:rsidRPr="00BE3F89" w:rsidR="00316E8B" w:rsidP="00F136C3" w:rsidRDefault="004477D1" w14:paraId="3103C267" w14:textId="77777777">
            <w:pPr>
              <w:jc w:val="both"/>
            </w:pPr>
            <w:r w:rsidRPr="00BE3F89">
              <w:t>Anotācijas II sadaļa</w:t>
            </w:r>
          </w:p>
          <w:p w:rsidRPr="00BE3F89" w:rsidR="004477D1" w:rsidP="004477D1" w:rsidRDefault="004477D1" w14:paraId="0A500C36" w14:textId="112CC4BA">
            <w:pPr>
              <w:jc w:val="both"/>
            </w:pPr>
            <w:r w:rsidRPr="00BE3F89">
              <w:t>1.punkts</w:t>
            </w:r>
          </w:p>
          <w:p w:rsidRPr="00BE3F89" w:rsidR="004477D1" w:rsidP="004477D1" w:rsidRDefault="004477D1" w14:paraId="7E66D06A" w14:textId="49567FBF">
            <w:pPr>
              <w:jc w:val="both"/>
              <w:rPr>
                <w:iCs/>
              </w:rPr>
            </w:pPr>
            <w:r w:rsidRPr="00BE3F89">
              <w:rPr>
                <w:iCs/>
              </w:rPr>
              <w:t xml:space="preserve">Personas, kuras izmanto nekustamos īpašumus dzelzceļa līnijās, kurās kustība ir slēgta. </w:t>
            </w:r>
          </w:p>
          <w:p w:rsidRPr="00BE3F89" w:rsidR="004477D1" w:rsidP="004477D1" w:rsidRDefault="004477D1" w14:paraId="166FAB5D" w14:textId="77777777">
            <w:pPr>
              <w:jc w:val="both"/>
              <w:rPr>
                <w:iCs/>
              </w:rPr>
            </w:pPr>
          </w:p>
          <w:p w:rsidRPr="00BE3F89" w:rsidR="004477D1" w:rsidP="004477D1" w:rsidRDefault="004477D1" w14:paraId="535D95F1" w14:textId="77777777">
            <w:pPr>
              <w:jc w:val="both"/>
            </w:pPr>
            <w:r w:rsidRPr="00BE3F89">
              <w:t>2.punkts</w:t>
            </w:r>
          </w:p>
          <w:p w:rsidRPr="00BE3F89" w:rsidR="004477D1" w:rsidP="004477D1" w:rsidRDefault="004477D1" w14:paraId="484E2820" w14:textId="77777777">
            <w:pPr>
              <w:jc w:val="both"/>
            </w:pPr>
            <w:r w:rsidRPr="00BE3F89">
              <w:t xml:space="preserve">Ministru kabineta rīkojuma projekts nemaina tiesisko regulējumu vai pienākumus attiecībā uz </w:t>
            </w:r>
            <w:r w:rsidRPr="00BE3F89">
              <w:lastRenderedPageBreak/>
              <w:t>tautsaimniecību, kā arī nepalielina administratīvo slogu.</w:t>
            </w:r>
          </w:p>
          <w:p w:rsidRPr="00BE3F89" w:rsidR="004477D1" w:rsidP="004477D1" w:rsidRDefault="004477D1" w14:paraId="008EA9FE" w14:textId="77777777">
            <w:pPr>
              <w:ind w:left="360"/>
              <w:jc w:val="both"/>
            </w:pPr>
          </w:p>
          <w:p w:rsidRPr="00BE3F89" w:rsidR="007A6F4E" w:rsidP="007A6F4E" w:rsidRDefault="007A6F4E" w14:paraId="61E568E8" w14:textId="77777777">
            <w:pPr>
              <w:jc w:val="both"/>
              <w:rPr>
                <w:iCs/>
              </w:rPr>
            </w:pPr>
            <w:r w:rsidRPr="00BE3F89">
              <w:rPr>
                <w:iCs/>
              </w:rPr>
              <w:t>3.punkts</w:t>
            </w:r>
          </w:p>
          <w:p w:rsidRPr="00BE3F89" w:rsidR="007A6F4E" w:rsidP="007A6F4E" w:rsidRDefault="007A6F4E" w14:paraId="4B9AF424" w14:textId="78EE1D42">
            <w:pPr>
              <w:jc w:val="both"/>
            </w:pPr>
            <w:r w:rsidRPr="00BE3F89">
              <w:rPr>
                <w:iCs/>
              </w:rPr>
              <w:t>Projekts šo jomu neskar.</w:t>
            </w:r>
          </w:p>
        </w:tc>
        <w:tc>
          <w:tcPr>
            <w:tcW w:w="4111" w:type="dxa"/>
            <w:tcBorders>
              <w:top w:val="single" w:color="auto" w:sz="4" w:space="0"/>
              <w:left w:val="single" w:color="000000" w:themeColor="text1" w:sz="6" w:space="0"/>
              <w:bottom w:val="single" w:color="auto" w:sz="4" w:space="0"/>
              <w:right w:val="single" w:color="000000" w:themeColor="text1" w:sz="6" w:space="0"/>
            </w:tcBorders>
          </w:tcPr>
          <w:p w:rsidRPr="00BE3F89" w:rsidR="00316E8B" w:rsidP="00F37984" w:rsidRDefault="001E610A" w14:paraId="0970753B" w14:textId="59BE6B9E">
            <w:pPr>
              <w:ind w:right="12" w:firstLine="567"/>
              <w:jc w:val="both"/>
            </w:pPr>
            <w:r w:rsidRPr="00BE3F89">
              <w:lastRenderedPageBreak/>
              <w:t>3.</w:t>
            </w:r>
            <w:r w:rsidRPr="00BE3F89">
              <w:tab/>
              <w:t xml:space="preserve">Atbilstoši Ministru kabineta 2009. gada 15. decembra instrukcijas Nr. 19 "Tiesību akta projekta sākotnējās ietekmes izvērtēšanas kārtība" (turpmāk – Instrukcija Nr. 19) 20. punktam anotācijas II sadaļas 1. punktā norāda visas sabiedrības mērķgrupas, uz kurām attiecināms projekta tiesiskais regulējums tiešā un netiešā veidā, t.i., kuru tiesības, pienākumus, finanses vai iespējas projekts ietekmē vai varētu ietekmēt. Ar sabiedrības mērķgrupu </w:t>
            </w:r>
            <w:r w:rsidRPr="00BE3F89">
              <w:lastRenderedPageBreak/>
              <w:t xml:space="preserve">saprot jebkuru fizisku vai juridisku personu grupu (tai skaitā valsts un pašvaldību iestādēs nodarbinātos), kuru skar projektā paredzētais regulējums. Lūdzam precizēt anotācijas II sadaļas 1. punktu, jo rīkojuma projekts ietekmēs arī pašvaldības, valsts akciju sabiedrību "Latvijas dzelzceļš", Zemkopības ministriju, kā arī Satiksmes ministriju. </w:t>
            </w:r>
            <w:bookmarkStart w:name="_Hlk63864564" w:id="1"/>
            <w:r w:rsidRPr="00BE3F89">
              <w:t>Attiecīgi lūdzam precizēt anotācijas II sadaļas 2. un 3. punktu atbilstoši Instrukcijas Nr. 19 22., 24. un 25. punktam, norādot, kāda būs rīkojuma projekta ietekme uz sabiedrības mērķgrupām, kā arī, kādas administratīvās izmaksas varētu rasties.</w:t>
            </w:r>
            <w:bookmarkEnd w:id="1"/>
          </w:p>
        </w:tc>
        <w:tc>
          <w:tcPr>
            <w:tcW w:w="3685" w:type="dxa"/>
            <w:tcBorders>
              <w:top w:val="single" w:color="auto" w:sz="4" w:space="0"/>
              <w:left w:val="single" w:color="000000" w:themeColor="text1" w:sz="6" w:space="0"/>
              <w:bottom w:val="single" w:color="auto" w:sz="4" w:space="0"/>
              <w:right w:val="single" w:color="000000" w:themeColor="text1" w:sz="6" w:space="0"/>
            </w:tcBorders>
          </w:tcPr>
          <w:p w:rsidRPr="00BE3F89" w:rsidR="00AE2EB2" w:rsidP="00AE2EB2" w:rsidRDefault="00AE2EB2" w14:paraId="6B77B316" w14:textId="77777777">
            <w:pPr>
              <w:autoSpaceDE w:val="0"/>
              <w:autoSpaceDN w:val="0"/>
              <w:adjustRightInd w:val="0"/>
              <w:jc w:val="center"/>
              <w:rPr>
                <w:b/>
                <w:bCs/>
              </w:rPr>
            </w:pPr>
            <w:r w:rsidRPr="00BE3F89">
              <w:rPr>
                <w:b/>
                <w:bCs/>
              </w:rPr>
              <w:lastRenderedPageBreak/>
              <w:t xml:space="preserve">Iebildums ņemts vērā. </w:t>
            </w:r>
          </w:p>
          <w:p w:rsidRPr="00BE3F89" w:rsidR="00AE2EB2" w:rsidP="0009405D" w:rsidRDefault="00AE2EB2" w14:paraId="7A4CB2E3" w14:textId="77777777">
            <w:pPr>
              <w:rPr>
                <w:highlight w:val="yellow"/>
              </w:rPr>
            </w:pPr>
          </w:p>
          <w:p w:rsidRPr="00BE3F89" w:rsidR="00CF2742" w:rsidP="0009405D" w:rsidRDefault="00CF2742" w14:paraId="51B6970D" w14:textId="657B38F4"/>
        </w:tc>
        <w:tc>
          <w:tcPr>
            <w:tcW w:w="3743" w:type="dxa"/>
            <w:tcBorders>
              <w:top w:val="single" w:color="auto" w:sz="4" w:space="0"/>
              <w:left w:val="single" w:color="auto" w:sz="4" w:space="0"/>
              <w:bottom w:val="single" w:color="auto" w:sz="4" w:space="0"/>
            </w:tcBorders>
          </w:tcPr>
          <w:p w:rsidRPr="00073CEE" w:rsidR="00AE2EB2" w:rsidP="00F014C6" w:rsidRDefault="00AE2EB2" w14:paraId="25961781" w14:textId="425C3933">
            <w:pPr>
              <w:jc w:val="both"/>
            </w:pPr>
            <w:r w:rsidRPr="00255F3C">
              <w:t>Papildināt</w:t>
            </w:r>
            <w:r w:rsidRPr="00BE3F89" w:rsidR="00BE3F89">
              <w:t>s</w:t>
            </w:r>
            <w:r w:rsidRPr="00073CEE">
              <w:t xml:space="preserve"> anotācijas II.sadaļa</w:t>
            </w:r>
            <w:r w:rsidRPr="00BE3F89" w:rsidR="00BE3F89">
              <w:t>s:</w:t>
            </w:r>
          </w:p>
          <w:p w:rsidRPr="00073CEE" w:rsidR="004477D1" w:rsidP="00F014C6" w:rsidRDefault="004477D1" w14:paraId="799684F9" w14:textId="1372B79D">
            <w:pPr>
              <w:jc w:val="both"/>
            </w:pPr>
            <w:r w:rsidRPr="00073CEE">
              <w:t>1.punkts</w:t>
            </w:r>
          </w:p>
          <w:p w:rsidRPr="00BE3F89" w:rsidR="004477D1" w:rsidP="004477D1" w:rsidRDefault="004477D1" w14:paraId="57431210" w14:textId="3206A29C">
            <w:pPr>
              <w:jc w:val="both"/>
              <w:rPr>
                <w:iCs/>
              </w:rPr>
            </w:pPr>
            <w:r w:rsidRPr="00BE3F89">
              <w:rPr>
                <w:iCs/>
              </w:rPr>
              <w:t xml:space="preserve">Personas, kuras izmanto nekustamos īpašumus dzelzceļa līnijā, kurā kustība ir slēgta. </w:t>
            </w:r>
          </w:p>
          <w:p w:rsidRPr="00BE3F89" w:rsidR="00761945" w:rsidP="004477D1" w:rsidRDefault="004477D1" w14:paraId="0EA29655" w14:textId="426D45B9">
            <w:pPr>
              <w:jc w:val="both"/>
            </w:pPr>
            <w:r w:rsidRPr="00BE3F89">
              <w:t>Pašvaldības, valsts akciju sabiedrības "Latvijas dzelzceļš", Zemkopības ministrijas (VAS “Latvijas Valsts meži”), kā arī Satiksmes ministrijas, VAS “Latvijas Valsts ceļi” nodarbinātie.</w:t>
            </w:r>
          </w:p>
          <w:p w:rsidRPr="00BE3F89" w:rsidR="007A6F4E" w:rsidP="004477D1" w:rsidRDefault="007A6F4E" w14:paraId="75189F9F" w14:textId="77777777">
            <w:pPr>
              <w:jc w:val="both"/>
            </w:pPr>
          </w:p>
          <w:p w:rsidRPr="00BE3F89" w:rsidR="004477D1" w:rsidP="004477D1" w:rsidRDefault="004477D1" w14:paraId="1863A2A3" w14:textId="77777777">
            <w:pPr>
              <w:jc w:val="both"/>
            </w:pPr>
            <w:r w:rsidRPr="00BE3F89">
              <w:t>2.punkts</w:t>
            </w:r>
          </w:p>
          <w:p w:rsidRPr="00BE3F89" w:rsidR="00BE3F89" w:rsidP="00BE3F89" w:rsidRDefault="00BE3F89" w14:paraId="031FC862" w14:textId="77777777">
            <w:pPr>
              <w:shd w:val="clear" w:color="auto" w:fill="FFFFFF"/>
              <w:jc w:val="both"/>
            </w:pPr>
            <w:r w:rsidRPr="00BE3F89">
              <w:lastRenderedPageBreak/>
              <w:t>Ministru kabineta rīkojuma projekts nemaina tiesisko regulējumu vai pienākumus, tam nav ietekmes uz tautsaimniecību, kā arī tas nepalielina administratīvo slogu.</w:t>
            </w:r>
          </w:p>
          <w:p w:rsidRPr="00BE3F89" w:rsidR="004477D1" w:rsidP="004477D1" w:rsidRDefault="004477D1" w14:paraId="0A5D03E0" w14:textId="38F676E8">
            <w:pPr>
              <w:jc w:val="both"/>
            </w:pPr>
            <w:r w:rsidRPr="00BE3F89">
              <w:t>Institūcijas, kuras pārņems valdījumā un pārvaldījumā nekustamos īpašumus, nodrošinās nekustamā īpašuma pārvaldīšanu.</w:t>
            </w:r>
          </w:p>
          <w:p w:rsidRPr="00BE3F89" w:rsidR="007A6F4E" w:rsidP="004477D1" w:rsidRDefault="007A6F4E" w14:paraId="623C67F6" w14:textId="77777777">
            <w:pPr>
              <w:jc w:val="both"/>
            </w:pPr>
          </w:p>
          <w:p w:rsidRPr="00BE3F89" w:rsidR="007A6F4E" w:rsidP="004477D1" w:rsidRDefault="007A6F4E" w14:paraId="142398BE" w14:textId="77777777">
            <w:pPr>
              <w:jc w:val="both"/>
            </w:pPr>
            <w:r w:rsidRPr="00BE3F89">
              <w:t>3.punkts</w:t>
            </w:r>
          </w:p>
          <w:p w:rsidRPr="00BE3F89" w:rsidR="007A6F4E" w:rsidP="007A6F4E" w:rsidRDefault="007A6F4E" w14:paraId="34A75CC8" w14:textId="77777777">
            <w:pPr>
              <w:jc w:val="both"/>
              <w:rPr>
                <w:iCs/>
              </w:rPr>
            </w:pPr>
            <w:r w:rsidRPr="00BE3F89">
              <w:rPr>
                <w:iCs/>
              </w:rPr>
              <w:t xml:space="preserve">Ja institūcija pārņems valdījumā un pārvaldījumā atsevišķus nekustamos īpašumus, tad nav paredzams būtisks administratīvo izmaksu pieaugums. Savukārt līdzekļi, kas saistīti ar nekustamā īpašuma pārņemšanu un  ierakstīšanu zemesgrāmatā, tiks segti no attiecīgās institūcijas budžetā paredzētajiem līdzekļiem. </w:t>
            </w:r>
          </w:p>
          <w:p w:rsidRPr="00BE3F89" w:rsidR="007A6F4E" w:rsidP="007A6F4E" w:rsidRDefault="007A6F4E" w14:paraId="64CDAE61" w14:textId="139F417F">
            <w:pPr>
              <w:jc w:val="both"/>
            </w:pPr>
            <w:r w:rsidRPr="00BE3F89">
              <w:rPr>
                <w:iCs/>
              </w:rPr>
              <w:t>Pašvaldībām, pārņemot valdījumā un pārvaldījumā lielāku skaitu nekustamo īpašumu, palielināsies ar īpašuma pārvaldīšanu saistītās administratīvās izmaksas, tomēr precīzus aprēķinus šobrīd nav iespējams veikt.</w:t>
            </w:r>
          </w:p>
        </w:tc>
      </w:tr>
      <w:tr w:rsidRPr="00BE3F89" w:rsidR="00BE3F89" w:rsidTr="002018DC" w14:paraId="2AB81CC3" w14:textId="77777777">
        <w:trPr>
          <w:trHeight w:val="1124"/>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BE3F89" w:rsidR="00B0021C" w:rsidP="006B30BB" w:rsidRDefault="00154068" w14:paraId="3D781613" w14:textId="67883F47">
            <w:pPr>
              <w:jc w:val="both"/>
            </w:pPr>
            <w:bookmarkStart w:name="_Hlk63864698" w:id="2"/>
            <w:r w:rsidRPr="00BE3F89">
              <w:lastRenderedPageBreak/>
              <w:t>4.</w:t>
            </w:r>
          </w:p>
        </w:tc>
        <w:tc>
          <w:tcPr>
            <w:tcW w:w="2551" w:type="dxa"/>
            <w:tcBorders>
              <w:top w:val="single" w:color="auto" w:sz="4" w:space="0"/>
              <w:left w:val="single" w:color="000000" w:themeColor="text1" w:sz="6" w:space="0"/>
              <w:bottom w:val="single" w:color="auto" w:sz="4" w:space="0"/>
              <w:right w:val="single" w:color="000000" w:themeColor="text1" w:sz="6" w:space="0"/>
            </w:tcBorders>
          </w:tcPr>
          <w:p w:rsidRPr="00BE3F89" w:rsidR="004D52E9" w:rsidP="00875830" w:rsidRDefault="004D52E9" w14:paraId="6025CAD1" w14:textId="680EBFA3">
            <w:pPr>
              <w:pStyle w:val="NoSpacing"/>
              <w:tabs>
                <w:tab w:val="left" w:pos="4529"/>
              </w:tabs>
              <w:jc w:val="both"/>
              <w:rPr>
                <w:rFonts w:ascii="Times New Roman" w:hAnsi="Times New Roman" w:cs="Times New Roman"/>
                <w:iCs/>
                <w:sz w:val="24"/>
                <w:szCs w:val="24"/>
                <w:lang w:eastAsia="lv-LV"/>
              </w:rPr>
            </w:pPr>
            <w:r w:rsidRPr="00BE3F89">
              <w:rPr>
                <w:rFonts w:ascii="Times New Roman" w:hAnsi="Times New Roman" w:cs="Times New Roman"/>
                <w:iCs/>
                <w:sz w:val="24"/>
                <w:szCs w:val="24"/>
                <w:lang w:eastAsia="lv-LV"/>
              </w:rPr>
              <w:t>Anotācijas IV.sadaļas 1.punkts</w:t>
            </w:r>
          </w:p>
          <w:p w:rsidRPr="00BE3F89" w:rsidR="004D52E9" w:rsidP="00875830" w:rsidRDefault="004D52E9" w14:paraId="18DAC4BB" w14:textId="77777777">
            <w:pPr>
              <w:pStyle w:val="NoSpacing"/>
              <w:tabs>
                <w:tab w:val="left" w:pos="4529"/>
              </w:tabs>
              <w:jc w:val="both"/>
              <w:rPr>
                <w:rFonts w:ascii="Times New Roman" w:hAnsi="Times New Roman" w:cs="Times New Roman"/>
                <w:iCs/>
                <w:sz w:val="24"/>
                <w:szCs w:val="24"/>
                <w:lang w:eastAsia="lv-LV"/>
              </w:rPr>
            </w:pPr>
          </w:p>
          <w:p w:rsidRPr="00BE3F89" w:rsidR="00875830" w:rsidP="00875830" w:rsidRDefault="00875830" w14:paraId="5105B856" w14:textId="0D611315">
            <w:pPr>
              <w:pStyle w:val="NoSpacing"/>
              <w:tabs>
                <w:tab w:val="left" w:pos="4529"/>
              </w:tabs>
              <w:jc w:val="both"/>
              <w:rPr>
                <w:rFonts w:ascii="Times New Roman" w:hAnsi="Times New Roman" w:cs="Times New Roman"/>
                <w:iCs/>
                <w:sz w:val="24"/>
                <w:szCs w:val="24"/>
                <w:lang w:eastAsia="lv-LV"/>
              </w:rPr>
            </w:pPr>
            <w:r w:rsidRPr="00BE3F89">
              <w:rPr>
                <w:rFonts w:ascii="Times New Roman" w:hAnsi="Times New Roman" w:cs="Times New Roman"/>
                <w:iCs/>
                <w:sz w:val="24"/>
                <w:szCs w:val="24"/>
                <w:lang w:eastAsia="lv-LV"/>
              </w:rPr>
              <w:t xml:space="preserve">Grozījumi Ministru kabineta 2010.gada 31.maija rīkojumā Nr.297 “Par zemes vienību piederību vai piekritību valstij un nostiprināšanu </w:t>
            </w:r>
            <w:r w:rsidRPr="00BE3F89">
              <w:rPr>
                <w:rFonts w:ascii="Times New Roman" w:hAnsi="Times New Roman" w:cs="Times New Roman"/>
                <w:iCs/>
                <w:sz w:val="24"/>
                <w:szCs w:val="24"/>
                <w:lang w:eastAsia="lv-LV"/>
              </w:rPr>
              <w:lastRenderedPageBreak/>
              <w:t>zemesgrāmatā uz valsts vārda attiecīgās ministrijas vai valsts akciju sabiedrības "Privatizācijas aģentūra" personā”.</w:t>
            </w:r>
          </w:p>
          <w:p w:rsidRPr="00BE3F89" w:rsidR="00B0021C" w:rsidP="00D50128" w:rsidRDefault="00B0021C" w14:paraId="42F3BDEE" w14:textId="77777777">
            <w:pPr>
              <w:ind w:firstLine="720"/>
              <w:jc w:val="both"/>
            </w:pPr>
          </w:p>
        </w:tc>
        <w:tc>
          <w:tcPr>
            <w:tcW w:w="4111" w:type="dxa"/>
            <w:tcBorders>
              <w:top w:val="single" w:color="auto" w:sz="4" w:space="0"/>
              <w:left w:val="single" w:color="000000" w:themeColor="text1" w:sz="6" w:space="0"/>
              <w:bottom w:val="single" w:color="auto" w:sz="4" w:space="0"/>
              <w:right w:val="single" w:color="000000" w:themeColor="text1" w:sz="6" w:space="0"/>
            </w:tcBorders>
          </w:tcPr>
          <w:p w:rsidRPr="00BE3F89" w:rsidR="001E610A" w:rsidP="001E610A" w:rsidRDefault="001E610A" w14:paraId="5E4EA00E" w14:textId="61C3ABF7">
            <w:pPr>
              <w:widowControl w:val="0"/>
              <w:tabs>
                <w:tab w:val="left" w:pos="993"/>
              </w:tabs>
              <w:suppressAutoHyphens/>
              <w:ind w:right="12"/>
              <w:contextualSpacing/>
              <w:jc w:val="both"/>
              <w:outlineLvl w:val="0"/>
              <w:rPr>
                <w:bCs/>
                <w:lang w:eastAsia="zh-CN"/>
              </w:rPr>
            </w:pPr>
            <w:r w:rsidRPr="00BE3F89">
              <w:rPr>
                <w:bCs/>
                <w:lang w:eastAsia="zh-CN"/>
              </w:rPr>
              <w:lastRenderedPageBreak/>
              <w:t xml:space="preserve">4. Lūdzam precizēt anotācijas IV sadaļas 1. punktu atbilstoši Instrukcijas Nr. 19 </w:t>
            </w:r>
            <w:r w:rsidRPr="00BE3F89">
              <w:rPr>
                <w:rFonts w:eastAsia="Calibri"/>
                <w:shd w:val="clear" w:color="auto" w:fill="FFFFFF"/>
                <w:lang w:eastAsia="en-US"/>
              </w:rPr>
              <w:t xml:space="preserve">54.2. apakšpunktam, skaidrojot grozījumu nepieciešamību </w:t>
            </w:r>
            <w:r w:rsidRPr="00BE3F89">
              <w:rPr>
                <w:rFonts w:eastAsia="Calibri"/>
                <w:iCs/>
              </w:rPr>
              <w:t xml:space="preserve">Ministru kabineta 2010. gada 31. maija rīkojumā Nr. 297 </w:t>
            </w:r>
            <w:r w:rsidRPr="00BE3F89">
              <w:rPr>
                <w:lang w:eastAsia="zh-CN"/>
              </w:rPr>
              <w:t>"</w:t>
            </w:r>
            <w:r w:rsidRPr="00BE3F89">
              <w:rPr>
                <w:rFonts w:eastAsia="Calibri"/>
                <w:iCs/>
              </w:rPr>
              <w:t>Par zemes vienību piederību vai piekritību valstij un nostiprināšanu zemesgrāmatā uz valsts vārda attiecīgās ministrijas vai valsts akciju sabiedrības "Privatizācijas aģentūra" personā</w:t>
            </w:r>
            <w:r w:rsidRPr="00BE3F89">
              <w:rPr>
                <w:lang w:eastAsia="zh-CN"/>
              </w:rPr>
              <w:t>"</w:t>
            </w:r>
            <w:r w:rsidRPr="00BE3F89">
              <w:rPr>
                <w:rFonts w:eastAsia="Calibri"/>
                <w:iCs/>
              </w:rPr>
              <w:t>.</w:t>
            </w:r>
          </w:p>
          <w:p w:rsidRPr="00BE3F89" w:rsidR="008C65F3" w:rsidP="00F014C6" w:rsidRDefault="008C65F3" w14:paraId="1BCA23F0" w14:textId="3CDAA958">
            <w:pPr>
              <w:jc w:val="both"/>
              <w:rPr>
                <w:i/>
                <w:iCs/>
              </w:rPr>
            </w:pPr>
          </w:p>
        </w:tc>
        <w:tc>
          <w:tcPr>
            <w:tcW w:w="3685" w:type="dxa"/>
            <w:tcBorders>
              <w:top w:val="single" w:color="auto" w:sz="4" w:space="0"/>
              <w:left w:val="single" w:color="000000" w:themeColor="text1" w:sz="6" w:space="0"/>
              <w:bottom w:val="single" w:color="auto" w:sz="4" w:space="0"/>
              <w:right w:val="single" w:color="000000" w:themeColor="text1" w:sz="6" w:space="0"/>
            </w:tcBorders>
          </w:tcPr>
          <w:p w:rsidRPr="00BE3F89" w:rsidR="00A64242" w:rsidP="00A64242" w:rsidRDefault="00A64242" w14:paraId="6349A1AF" w14:textId="77777777">
            <w:pPr>
              <w:autoSpaceDE w:val="0"/>
              <w:autoSpaceDN w:val="0"/>
              <w:adjustRightInd w:val="0"/>
              <w:jc w:val="center"/>
              <w:rPr>
                <w:b/>
                <w:bCs/>
              </w:rPr>
            </w:pPr>
            <w:r w:rsidRPr="00BE3F89">
              <w:rPr>
                <w:b/>
                <w:bCs/>
              </w:rPr>
              <w:lastRenderedPageBreak/>
              <w:t xml:space="preserve">Iebildums ņemts vērā. </w:t>
            </w:r>
          </w:p>
          <w:p w:rsidRPr="00BE3F89" w:rsidR="00B0021C" w:rsidP="00E9021A" w:rsidRDefault="00B0021C" w14:paraId="34D164D0" w14:textId="43BF7A57">
            <w:pPr>
              <w:pStyle w:val="naisc"/>
              <w:spacing w:before="0" w:after="0"/>
              <w:ind w:left="34"/>
              <w:rPr>
                <w:b/>
                <w:bCs/>
              </w:rPr>
            </w:pPr>
          </w:p>
        </w:tc>
        <w:tc>
          <w:tcPr>
            <w:tcW w:w="3743" w:type="dxa"/>
            <w:tcBorders>
              <w:top w:val="single" w:color="auto" w:sz="4" w:space="0"/>
              <w:left w:val="single" w:color="auto" w:sz="4" w:space="0"/>
              <w:bottom w:val="single" w:color="auto" w:sz="4" w:space="0"/>
            </w:tcBorders>
          </w:tcPr>
          <w:p w:rsidRPr="00073CEE" w:rsidR="00761945" w:rsidP="00F014C6" w:rsidRDefault="00BE3F89" w14:paraId="2D7F2B90" w14:textId="4398FE68">
            <w:pPr>
              <w:jc w:val="both"/>
              <w:rPr>
                <w:lang w:eastAsia="en-US"/>
              </w:rPr>
            </w:pPr>
            <w:r w:rsidRPr="00BE3F89">
              <w:rPr>
                <w:lang w:eastAsia="en-US"/>
              </w:rPr>
              <w:t>Precizēts a</w:t>
            </w:r>
            <w:r w:rsidRPr="00073CEE" w:rsidR="00761945">
              <w:rPr>
                <w:lang w:eastAsia="en-US"/>
              </w:rPr>
              <w:t>notācijas IV.sadaļas 1.punkts</w:t>
            </w:r>
          </w:p>
          <w:p w:rsidRPr="00073CEE" w:rsidR="004D52E9" w:rsidP="00F014C6" w:rsidRDefault="004D52E9" w14:paraId="496DA8F1" w14:textId="77777777">
            <w:pPr>
              <w:jc w:val="both"/>
              <w:rPr>
                <w:lang w:eastAsia="en-US"/>
              </w:rPr>
            </w:pPr>
          </w:p>
          <w:p w:rsidRPr="00BE3F89" w:rsidR="0065280D" w:rsidP="0065280D" w:rsidRDefault="0065280D" w14:paraId="4B59A4A7" w14:textId="066FDE0B">
            <w:pPr>
              <w:pStyle w:val="NoSpacing"/>
              <w:tabs>
                <w:tab w:val="left" w:pos="4529"/>
              </w:tabs>
              <w:jc w:val="both"/>
              <w:rPr>
                <w:rFonts w:ascii="Times New Roman" w:hAnsi="Times New Roman" w:cs="Times New Roman"/>
                <w:iCs/>
                <w:sz w:val="24"/>
                <w:szCs w:val="24"/>
                <w:lang w:eastAsia="lv-LV"/>
              </w:rPr>
            </w:pPr>
            <w:r w:rsidRPr="00BE3F89">
              <w:rPr>
                <w:iCs/>
                <w:lang w:eastAsia="lv-LV"/>
              </w:rPr>
              <w:t>1</w:t>
            </w:r>
            <w:r w:rsidRPr="00BE3F89">
              <w:rPr>
                <w:rFonts w:ascii="Times New Roman" w:hAnsi="Times New Roman" w:cs="Times New Roman"/>
                <w:iCs/>
                <w:sz w:val="24"/>
                <w:szCs w:val="24"/>
                <w:lang w:eastAsia="lv-LV"/>
              </w:rPr>
              <w:t xml:space="preserve">. Grozījumi Ministru kabineta 2010.gada 31.maija rīkojumā Nr.297 “Par zemes vienību piederību vai piekritību valstij un nostiprināšanu zemesgrāmatā uz valsts vārda attiecīgās ministrijas vai valsts akciju sabiedrības "Privatizācijas aģentūra" </w:t>
            </w:r>
            <w:r w:rsidRPr="00BE3F89">
              <w:rPr>
                <w:rFonts w:ascii="Times New Roman" w:hAnsi="Times New Roman" w:cs="Times New Roman"/>
                <w:iCs/>
                <w:sz w:val="24"/>
                <w:szCs w:val="24"/>
                <w:lang w:eastAsia="lv-LV"/>
              </w:rPr>
              <w:lastRenderedPageBreak/>
              <w:t>personā”, precizējot piekritību tām zemes vienībām, kas nepieciešamas valsts funkciju nodrošināšanai, kā arī svītrojot tās zemes vienības, uz kurām atrodas slēgtā dzelzceļa līnija Liepāja-Ventspils un kuras nav nepieciešamas valsts funkciju nodrošināšanai.</w:t>
            </w:r>
          </w:p>
          <w:p w:rsidRPr="00BE3F89" w:rsidR="00D577C1" w:rsidP="00D577C1" w:rsidRDefault="00D577C1" w14:paraId="28A537F5" w14:textId="77777777">
            <w:pPr>
              <w:pStyle w:val="NoSpacing"/>
              <w:tabs>
                <w:tab w:val="left" w:pos="4529"/>
              </w:tabs>
              <w:jc w:val="both"/>
              <w:rPr>
                <w:rFonts w:ascii="Times New Roman" w:hAnsi="Times New Roman" w:cs="Times New Roman"/>
                <w:iCs/>
                <w:sz w:val="24"/>
                <w:szCs w:val="24"/>
                <w:lang w:eastAsia="lv-LV"/>
              </w:rPr>
            </w:pPr>
            <w:r w:rsidRPr="00BE3F89">
              <w:rPr>
                <w:rFonts w:ascii="Times New Roman" w:hAnsi="Times New Roman" w:cs="Times New Roman"/>
                <w:iCs/>
                <w:sz w:val="24"/>
                <w:szCs w:val="24"/>
                <w:lang w:eastAsia="lv-LV"/>
              </w:rPr>
              <w:t xml:space="preserve">2. </w:t>
            </w:r>
            <w:r w:rsidRPr="00BE3F89">
              <w:rPr>
                <w:rFonts w:ascii="Times New Roman" w:hAnsi="Times New Roman" w:cs="Times New Roman"/>
                <w:sz w:val="24"/>
                <w:szCs w:val="24"/>
              </w:rPr>
              <w:t>Ministru kabineta rīkojums par zemes vienības ar kadastra apzīmējumu 27000190008 nodošanu Ventspils pilsētas pašvaldībai pēc Ventpils pilsētas pašvaldības lēmuma par nekustamā īpašuma pārņemšanu pieņemšanas.</w:t>
            </w:r>
          </w:p>
          <w:p w:rsidRPr="00BE3F89" w:rsidR="00B0021C" w:rsidP="00F014C6" w:rsidRDefault="00B0021C" w14:paraId="601542FF" w14:textId="4E9BD57B">
            <w:pPr>
              <w:jc w:val="both"/>
            </w:pPr>
          </w:p>
        </w:tc>
      </w:tr>
      <w:bookmarkEnd w:id="2"/>
      <w:tr w:rsidRPr="00BE3F89" w:rsidR="00BE3F89" w:rsidTr="001E610A" w14:paraId="54960C24" w14:textId="77777777">
        <w:trPr>
          <w:trHeight w:val="698"/>
        </w:trPr>
        <w:tc>
          <w:tcPr>
            <w:tcW w:w="14658" w:type="dxa"/>
            <w:gridSpan w:val="5"/>
            <w:tcBorders>
              <w:top w:val="single" w:color="auto" w:sz="4" w:space="0"/>
              <w:left w:val="single" w:color="000000" w:themeColor="text1" w:sz="6" w:space="0"/>
              <w:bottom w:val="single" w:color="auto" w:sz="4" w:space="0"/>
            </w:tcBorders>
          </w:tcPr>
          <w:p w:rsidRPr="00BE3F89" w:rsidR="001E610A" w:rsidP="00960527" w:rsidRDefault="001E610A" w14:paraId="71FC791A" w14:textId="77777777">
            <w:pPr>
              <w:ind w:left="644"/>
              <w:jc w:val="both"/>
              <w:rPr>
                <w:b/>
                <w:bCs/>
              </w:rPr>
            </w:pPr>
          </w:p>
          <w:p w:rsidRPr="00BE3F89" w:rsidR="001E610A" w:rsidP="001E610A" w:rsidRDefault="001E610A" w14:paraId="2A81E760" w14:textId="584B89F7">
            <w:pPr>
              <w:jc w:val="center"/>
            </w:pPr>
            <w:r w:rsidRPr="00BE3F89">
              <w:rPr>
                <w:b/>
                <w:bCs/>
              </w:rPr>
              <w:t>Finanšu ministrija</w:t>
            </w:r>
          </w:p>
        </w:tc>
      </w:tr>
      <w:tr w:rsidRPr="00BE3F89" w:rsidR="00BE3F89" w:rsidTr="002018DC" w14:paraId="7B09C864" w14:textId="77777777">
        <w:trPr>
          <w:trHeight w:val="70"/>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BE3F89" w:rsidR="00960527" w:rsidP="00914170" w:rsidRDefault="00914170" w14:paraId="238A5FB3" w14:textId="78078553">
            <w:pPr>
              <w:jc w:val="both"/>
            </w:pPr>
            <w:r w:rsidRPr="00BE3F89">
              <w:t>6.</w:t>
            </w:r>
          </w:p>
        </w:tc>
        <w:tc>
          <w:tcPr>
            <w:tcW w:w="2551" w:type="dxa"/>
            <w:tcBorders>
              <w:top w:val="single" w:color="auto" w:sz="4" w:space="0"/>
              <w:left w:val="single" w:color="000000" w:themeColor="text1" w:sz="6" w:space="0"/>
              <w:bottom w:val="single" w:color="auto" w:sz="4" w:space="0"/>
              <w:right w:val="single" w:color="000000" w:themeColor="text1" w:sz="6" w:space="0"/>
            </w:tcBorders>
          </w:tcPr>
          <w:p w:rsidRPr="00BE3F89" w:rsidR="00960527" w:rsidP="00EF51E2" w:rsidRDefault="00960527" w14:paraId="0E861F50" w14:textId="77777777">
            <w:pPr>
              <w:ind w:firstLine="720"/>
              <w:jc w:val="both"/>
            </w:pPr>
          </w:p>
        </w:tc>
        <w:tc>
          <w:tcPr>
            <w:tcW w:w="4111" w:type="dxa"/>
            <w:tcBorders>
              <w:top w:val="single" w:color="auto" w:sz="4" w:space="0"/>
              <w:left w:val="single" w:color="000000" w:themeColor="text1" w:sz="6" w:space="0"/>
              <w:bottom w:val="single" w:color="auto" w:sz="4" w:space="0"/>
              <w:right w:val="single" w:color="000000" w:themeColor="text1" w:sz="6" w:space="0"/>
            </w:tcBorders>
          </w:tcPr>
          <w:p w:rsidRPr="00BE3F89" w:rsidR="008013A3" w:rsidP="008013A3" w:rsidRDefault="008013A3" w14:paraId="2F725378" w14:textId="77777777">
            <w:pPr>
              <w:ind w:firstLine="720"/>
              <w:jc w:val="both"/>
              <w:rPr>
                <w:lang w:eastAsia="en-US"/>
              </w:rPr>
            </w:pPr>
            <w:r w:rsidRPr="00BE3F89">
              <w:rPr>
                <w:lang w:eastAsia="en-US"/>
              </w:rPr>
              <w:t xml:space="preserve">Atbilstoši protokollēmuma projekta 3. un 4.punktam tiek paredzēts sagatavot tiesību akta projektu par grozījumiem Ministru kabineta 2010.gada 31.maija rīkojumā Nr.297 “Par zemes vienību piederību vai piekritību valstij un nostiprināšanu zemesgrāmatā uz valsts vārda attiecīgās ministrijas vai valsts akciju sabiedrības “Privatizācijas aģentūra” personā”, precizējot piekritību tām zemes vienībām, kas nepieciešamas valsts funkciju nodrošināšanai, kā arī svītrojot tās zemes vienības, uz kurām atrodas slēgtā dzelzceļa līnija Liepāja-Ventspils un kuras nav nepieciešamas valsts funkciju nodrošināšanai, kā arī paredzēts ieskaitīt rezerves zemes fondā tās zemes </w:t>
            </w:r>
            <w:r w:rsidRPr="00BE3F89">
              <w:rPr>
                <w:lang w:eastAsia="en-US"/>
              </w:rPr>
              <w:lastRenderedPageBreak/>
              <w:t>vienības, uz kurām atrodas slēgtā dzelzceļa līnija Liepāja-Ventspils un kuras nav nepieciešamas valsts funkciju nodrošināšanai.</w:t>
            </w:r>
          </w:p>
          <w:p w:rsidRPr="00BE3F89" w:rsidR="008013A3" w:rsidP="008013A3" w:rsidRDefault="008013A3" w14:paraId="4FF8E0A2" w14:textId="77777777">
            <w:pPr>
              <w:ind w:firstLine="720"/>
              <w:jc w:val="both"/>
              <w:rPr>
                <w:lang w:eastAsia="en-US"/>
              </w:rPr>
            </w:pPr>
            <w:r w:rsidRPr="00BE3F89">
              <w:rPr>
                <w:lang w:eastAsia="en-US"/>
              </w:rPr>
              <w:t xml:space="preserve">Saskaņā ar anotācijas pielikumā pievienoto informāciju uz valstij piekritīgajām zemes vienībām, uz kurām atrodas slēgtā dzelzceļa līnija, atrodas dažādām personām īpašumā vai lietošanā esošas būves (tostarp, šķūņi, noliktavas- garāžas utml.), kā arī būves, kuru īpašuma tiesības nav reģistrētas. </w:t>
            </w:r>
          </w:p>
          <w:p w:rsidRPr="00BE3F89" w:rsidR="008013A3" w:rsidP="008013A3" w:rsidRDefault="008013A3" w14:paraId="19CE8FFB" w14:textId="77777777">
            <w:pPr>
              <w:ind w:firstLine="720"/>
              <w:jc w:val="both"/>
              <w:rPr>
                <w:lang w:eastAsia="en-US"/>
              </w:rPr>
            </w:pPr>
            <w:r w:rsidRPr="00BE3F89">
              <w:rPr>
                <w:lang w:eastAsia="en-US"/>
              </w:rPr>
              <w:t>Tā kā valstij Satiksmes ministrijas personā piekritīgās zemes vienības paredzēts nodot pašvaldībām to funkciju īstenošanai, vai nodot citiem tiesību subjektiem valsts funkciju nodrošināšanai, lūdzam skaidrot paredzēto rīcību ar būvēm, kas atrodas uz valstij piekritīgās zemes. Vēršam uzmanību, ka nebūtu pieļaujams veidot ēkas un zemes piespiedu dalītā īpašuma tiesiskās attiecības.</w:t>
            </w:r>
          </w:p>
          <w:p w:rsidRPr="00BE3F89" w:rsidR="008013A3" w:rsidP="008013A3" w:rsidRDefault="008013A3" w14:paraId="24763D98" w14:textId="77777777">
            <w:pPr>
              <w:jc w:val="both"/>
              <w:rPr>
                <w:lang w:eastAsia="en-US"/>
              </w:rPr>
            </w:pPr>
          </w:p>
          <w:p w:rsidRPr="00BE3F89" w:rsidR="00960527" w:rsidP="00565F4A" w:rsidRDefault="00960527" w14:paraId="4A6BE5E7" w14:textId="090B8027">
            <w:pPr>
              <w:ind w:right="12" w:firstLine="567"/>
              <w:jc w:val="both"/>
            </w:pPr>
          </w:p>
        </w:tc>
        <w:tc>
          <w:tcPr>
            <w:tcW w:w="3685" w:type="dxa"/>
            <w:tcBorders>
              <w:top w:val="single" w:color="auto" w:sz="4" w:space="0"/>
              <w:left w:val="single" w:color="000000" w:themeColor="text1" w:sz="6" w:space="0"/>
              <w:bottom w:val="single" w:color="auto" w:sz="4" w:space="0"/>
              <w:right w:val="single" w:color="000000" w:themeColor="text1" w:sz="6" w:space="0"/>
            </w:tcBorders>
          </w:tcPr>
          <w:p w:rsidRPr="00073CEE" w:rsidR="003B523B" w:rsidP="00073CEE" w:rsidRDefault="0065280D" w14:paraId="512A8828" w14:textId="77777777">
            <w:pPr>
              <w:pStyle w:val="naisc"/>
              <w:spacing w:before="0" w:after="0"/>
              <w:ind w:left="34"/>
              <w:rPr>
                <w:b/>
                <w:bCs/>
              </w:rPr>
            </w:pPr>
            <w:r w:rsidRPr="00073CEE">
              <w:rPr>
                <w:b/>
                <w:bCs/>
              </w:rPr>
              <w:lastRenderedPageBreak/>
              <w:t>Iebildums ņemts vērā.</w:t>
            </w:r>
          </w:p>
          <w:p w:rsidRPr="00BE3F89" w:rsidR="00BE3F89" w:rsidP="00BE3F89" w:rsidRDefault="00BE3F89" w14:paraId="67B64397" w14:textId="77777777">
            <w:pPr>
              <w:autoSpaceDE w:val="0"/>
              <w:autoSpaceDN w:val="0"/>
              <w:adjustRightInd w:val="0"/>
              <w:jc w:val="center"/>
            </w:pPr>
            <w:r w:rsidRPr="00BE3F89">
              <w:t xml:space="preserve">Uz slēgtajā sliežu ceļa posmā esošās zemes esošās ēkas un būves, kuru īpašuma piederība nav noskaidrota, paredzēts nodot pašvaldībām kā zemes vienības daļu atbilstoši Civillikuma 968.pantam. </w:t>
            </w:r>
          </w:p>
          <w:p w:rsidRPr="00BE3F89" w:rsidR="00BE3F89" w:rsidP="00960527" w:rsidRDefault="00BE3F89" w14:paraId="285F9E58" w14:textId="42FBCE6A">
            <w:pPr>
              <w:pStyle w:val="naisc"/>
              <w:spacing w:before="0" w:after="0"/>
              <w:ind w:left="34"/>
              <w:jc w:val="both"/>
            </w:pPr>
          </w:p>
        </w:tc>
        <w:tc>
          <w:tcPr>
            <w:tcW w:w="3743" w:type="dxa"/>
            <w:tcBorders>
              <w:top w:val="single" w:color="auto" w:sz="4" w:space="0"/>
              <w:left w:val="single" w:color="auto" w:sz="4" w:space="0"/>
              <w:bottom w:val="single" w:color="auto" w:sz="4" w:space="0"/>
            </w:tcBorders>
          </w:tcPr>
          <w:p w:rsidRPr="00BE3F89" w:rsidR="00BE3F89" w:rsidP="00BE3F89" w:rsidRDefault="00BE3F89" w14:paraId="66B68128" w14:textId="77777777">
            <w:pPr>
              <w:ind w:firstLine="720"/>
              <w:jc w:val="both"/>
              <w:rPr>
                <w:szCs w:val="28"/>
              </w:rPr>
            </w:pPr>
            <w:r w:rsidRPr="00073CEE">
              <w:rPr>
                <w:szCs w:val="28"/>
              </w:rPr>
              <w:t xml:space="preserve">Papildināts anotācijas I.sadaļas 2.punkts. </w:t>
            </w:r>
            <w:r w:rsidRPr="00BE3F89">
              <w:rPr>
                <w:szCs w:val="28"/>
              </w:rPr>
              <w:t xml:space="preserve"> </w:t>
            </w:r>
          </w:p>
          <w:p w:rsidRPr="00BE3F89" w:rsidR="00BE3F89" w:rsidP="00BE3F89" w:rsidRDefault="00BE3F89" w14:paraId="0285D837" w14:textId="77777777">
            <w:pPr>
              <w:ind w:firstLine="720"/>
              <w:jc w:val="both"/>
              <w:rPr>
                <w:szCs w:val="28"/>
              </w:rPr>
            </w:pPr>
          </w:p>
          <w:p w:rsidRPr="00BE3F89" w:rsidR="00BE3F89" w:rsidP="00BE3F89" w:rsidRDefault="00BE3F89" w14:paraId="63C4730C" w14:textId="77777777">
            <w:pPr>
              <w:ind w:firstLine="720"/>
              <w:contextualSpacing/>
              <w:jc w:val="both"/>
            </w:pPr>
            <w:r w:rsidRPr="00BE3F89">
              <w:t xml:space="preserve">Par rīcību ar būvēm, kas atrodas uz valstij piekritīgās zemes un kuru īpašnieks ir LDz. </w:t>
            </w:r>
          </w:p>
          <w:p w:rsidRPr="00BE3F89" w:rsidR="00BE3F89" w:rsidP="00BE3F89" w:rsidRDefault="00BE3F89" w14:paraId="027E6EA1" w14:textId="7C90CAFE">
            <w:pPr>
              <w:ind w:firstLine="720"/>
              <w:contextualSpacing/>
              <w:jc w:val="both"/>
            </w:pPr>
            <w:r w:rsidRPr="00BE3F89">
              <w:t>Dzelzceļa iecirkņa posmā esošās inženierbūves - zemes klātni, tiltus un caurtekas - LDz neplāno nojaukt, šīs inženierbūves paredzēts nodot to publisko personu rīcībā, kuru valdījumā tiks nodotas zemes vienības, publiskās infrastruktūras objektu ierīkošanai un uzturēšanai vai pašvaldību autonomo funkciju veikšanai.</w:t>
            </w:r>
          </w:p>
          <w:p w:rsidRPr="00BE3F89" w:rsidR="00BE3F89" w:rsidP="00BE3F89" w:rsidRDefault="00BE3F89" w14:paraId="4766C3BF" w14:textId="769BB3FB">
            <w:pPr>
              <w:ind w:firstLine="720"/>
              <w:contextualSpacing/>
              <w:jc w:val="both"/>
            </w:pPr>
            <w:r w:rsidRPr="00BE3F89">
              <w:t xml:space="preserve">LDz </w:t>
            </w:r>
            <w:r w:rsidR="001D78FE">
              <w:t>ir veikusi</w:t>
            </w:r>
            <w:r w:rsidRPr="00BE3F89">
              <w:t xml:space="preserve"> Nekustamā īpašuma valsts kadastra informācijas </w:t>
            </w:r>
            <w:r w:rsidRPr="00BE3F89">
              <w:lastRenderedPageBreak/>
              <w:t>sistēmas  datu aktualizāciju par ēkām Dzelzceļa iecirknī.  Uz attiecīgajām zemes vienībām atrodas 11 ēkas, kuru īpašuma tiesības nav noskaidrotas, šīs ēkas nav reģistrētas LDz pamatlīdzekļu uzskaitē (izņemot būvi (pamati) ar kadadastra apzīmējumu 64860050089003). Trīs no ēkām dabā vairs nav saglabājušās, bet piecas izmanto Pāvilostas novada pašvaldībai piederošo ēku iedzīvotāji. LDz pamatlīdzekļu uzskaitē esošo ēku ar kadastra apzīmējumu  64860050089003 plāno nojaukt un dzēst no Nekustmā īpašuma valsts kadastra informācijas sistēmas.</w:t>
            </w:r>
          </w:p>
          <w:p w:rsidRPr="00BE3F89" w:rsidR="007A6F4E" w:rsidP="007A65C9" w:rsidRDefault="00BE3F89" w14:paraId="774A5E1F" w14:textId="779BEB8D">
            <w:pPr>
              <w:ind w:firstLine="720"/>
              <w:jc w:val="both"/>
              <w:rPr>
                <w:szCs w:val="20"/>
              </w:rPr>
            </w:pPr>
            <w:r w:rsidRPr="00BE3F89">
              <w:t xml:space="preserve">Savukārt uz slēgtajā sliežu ceļa posmā esošās zemes esošās ēkas un būves, kuru īpašuma piederība nav noskaidrota, paredzēts nodot pašvaldībām kā zemes vienības daļu atbilstoši Civillikuma 968.pantam. </w:t>
            </w:r>
          </w:p>
        </w:tc>
      </w:tr>
      <w:tr w:rsidRPr="00BE3F89" w:rsidR="00BE3F89" w:rsidTr="000448A0" w14:paraId="3F3AB5CC" w14:textId="77777777">
        <w:trPr>
          <w:trHeight w:val="70"/>
        </w:trPr>
        <w:tc>
          <w:tcPr>
            <w:tcW w:w="14658" w:type="dxa"/>
            <w:gridSpan w:val="5"/>
            <w:tcBorders>
              <w:top w:val="single" w:color="auto" w:sz="4" w:space="0"/>
              <w:left w:val="single" w:color="000000" w:themeColor="text1" w:sz="6" w:space="0"/>
              <w:bottom w:val="single" w:color="auto" w:sz="4" w:space="0"/>
            </w:tcBorders>
          </w:tcPr>
          <w:p w:rsidRPr="00255F3C" w:rsidR="00A64242" w:rsidP="00A64242" w:rsidRDefault="00A64242" w14:paraId="539611EE" w14:textId="265F94EC">
            <w:pPr>
              <w:ind w:firstLine="720"/>
              <w:jc w:val="center"/>
              <w:rPr>
                <w:b/>
                <w:bCs/>
                <w:szCs w:val="28"/>
              </w:rPr>
            </w:pPr>
            <w:r w:rsidRPr="00BE3F89">
              <w:rPr>
                <w:b/>
                <w:bCs/>
              </w:rPr>
              <w:lastRenderedPageBreak/>
              <w:t>Zemkopības ministrija</w:t>
            </w:r>
          </w:p>
        </w:tc>
      </w:tr>
      <w:tr w:rsidRPr="00BE3F89" w:rsidR="00BE3F89" w:rsidTr="002018DC" w14:paraId="4FFD6C93" w14:textId="77777777">
        <w:trPr>
          <w:trHeight w:val="70"/>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BE3F89" w:rsidR="00A64242" w:rsidP="00914170" w:rsidRDefault="00A64242" w14:paraId="5A7DD1FA" w14:textId="77777777">
            <w:pPr>
              <w:jc w:val="both"/>
            </w:pPr>
          </w:p>
        </w:tc>
        <w:tc>
          <w:tcPr>
            <w:tcW w:w="2551" w:type="dxa"/>
            <w:tcBorders>
              <w:top w:val="single" w:color="auto" w:sz="4" w:space="0"/>
              <w:left w:val="single" w:color="000000" w:themeColor="text1" w:sz="6" w:space="0"/>
              <w:bottom w:val="single" w:color="auto" w:sz="4" w:space="0"/>
              <w:right w:val="single" w:color="000000" w:themeColor="text1" w:sz="6" w:space="0"/>
            </w:tcBorders>
          </w:tcPr>
          <w:p w:rsidRPr="00BE3F89" w:rsidR="00A64242" w:rsidP="00EF51E2" w:rsidRDefault="00A64242" w14:paraId="27ED4CDF" w14:textId="77777777">
            <w:pPr>
              <w:ind w:firstLine="720"/>
              <w:jc w:val="both"/>
            </w:pPr>
          </w:p>
        </w:tc>
        <w:tc>
          <w:tcPr>
            <w:tcW w:w="4111" w:type="dxa"/>
            <w:tcBorders>
              <w:top w:val="single" w:color="auto" w:sz="4" w:space="0"/>
              <w:left w:val="single" w:color="000000" w:themeColor="text1" w:sz="6" w:space="0"/>
              <w:bottom w:val="single" w:color="auto" w:sz="4" w:space="0"/>
              <w:right w:val="single" w:color="000000" w:themeColor="text1" w:sz="6" w:space="0"/>
            </w:tcBorders>
          </w:tcPr>
          <w:p w:rsidRPr="00BE3F89" w:rsidR="00A64242" w:rsidP="004D52E9" w:rsidRDefault="00A64242" w14:paraId="468B41E1" w14:textId="77777777">
            <w:pPr>
              <w:jc w:val="both"/>
              <w:rPr>
                <w:szCs w:val="22"/>
              </w:rPr>
            </w:pPr>
            <w:r w:rsidRPr="00BE3F89">
              <w:t>Zemkopības ministrija savas kompetences ietvaros izvērtēja 2020.gada 26.novembrī Valsts sekretāru sanāksmē izsludināto Ministru kabineta rīkojuma projektu "Par sliežu ceļa posma Liepāja-Ventspils slēgšanu", tā sākotnējās ietekmes novērtējuma ziņojumu (anotācija) un protokollēmumu, VSS-1024 (prot.47, 18.§), un atbalsta tā tālāku virzību bez iebildumiem.</w:t>
            </w:r>
          </w:p>
          <w:p w:rsidRPr="00BE3F89" w:rsidR="00A64242" w:rsidP="004D52E9" w:rsidRDefault="00A64242" w14:paraId="676B207D" w14:textId="77777777">
            <w:pPr>
              <w:jc w:val="both"/>
            </w:pPr>
            <w:r w:rsidRPr="00BE3F89">
              <w:lastRenderedPageBreak/>
              <w:t>Vienlaikus, tiesiskas skaidrības nolūkā, lūdzam precizēt anotācijas I.sadaļas 2.punkta 5.lappusē trešo rindkopu - informāciju par zemes vienībām, kas paredzētas nodot Zemkopības ministrijai valdījumā un akciju sabiedrībai “Latvijas valsts meži” pārvaldīšanā, to izsakot šādā redakcijā:</w:t>
            </w:r>
          </w:p>
          <w:p w:rsidRPr="00BE3F89" w:rsidR="00A64242" w:rsidP="004D52E9" w:rsidRDefault="00A64242" w14:paraId="13CA4DC1" w14:textId="77777777">
            <w:pPr>
              <w:jc w:val="both"/>
            </w:pPr>
            <w:r w:rsidRPr="00BE3F89">
              <w:t>“</w:t>
            </w:r>
            <w:bookmarkStart w:name="_Hlk58507899" w:id="3"/>
            <w:r w:rsidRPr="00BE3F89">
              <w:t xml:space="preserve">AS “Latvijas valsts meži” informē, ka uztur lūgumu par atsevišķu zemes vienību </w:t>
            </w:r>
            <w:r w:rsidRPr="00BE3F89">
              <w:rPr>
                <w:i/>
                <w:iCs/>
              </w:rPr>
              <w:t>vai to daļu</w:t>
            </w:r>
            <w:r w:rsidRPr="00BE3F89">
              <w:t xml:space="preserve"> zem bijušās dzelzceļa līnijas Ventspils – Liepāja nodošanu Zemkopības ministrijas valdījumā, lai tās tālāk tiktu nodotas LVM pārvaldīšanā valsts meža īpašuma apsaimniekošanai, </w:t>
            </w:r>
            <w:r w:rsidRPr="00BE3F89">
              <w:rPr>
                <w:i/>
                <w:iCs/>
              </w:rPr>
              <w:t>nekustamos īpašumus ar šādiem kad.nr</w:t>
            </w:r>
            <w:r w:rsidRPr="00BE3F89">
              <w:t xml:space="preserve">.: 98780040194 </w:t>
            </w:r>
            <w:r w:rsidRPr="00BE3F89">
              <w:rPr>
                <w:i/>
                <w:iCs/>
              </w:rPr>
              <w:t>(</w:t>
            </w:r>
            <w:bookmarkEnd w:id="3"/>
            <w:r w:rsidRPr="00BE3F89">
              <w:rPr>
                <w:i/>
                <w:iCs/>
              </w:rPr>
              <w:t>īpašuma sastāvā ietilpstošo zemes vienību ar kadastra apzīmējumu 98780040194)</w:t>
            </w:r>
            <w:r w:rsidRPr="00BE3F89">
              <w:t xml:space="preserve">, 98840070138 </w:t>
            </w:r>
            <w:r w:rsidRPr="00BE3F89">
              <w:rPr>
                <w:i/>
                <w:iCs/>
              </w:rPr>
              <w:t>(īpašuma sastāvā ietilpstošās zemes vienības ar kadastra apzīmējumiem 98840110053, 98840130119 un 98840140298)</w:t>
            </w:r>
            <w:r w:rsidRPr="00BE3F89">
              <w:t xml:space="preserve">, 62420020099 </w:t>
            </w:r>
            <w:r w:rsidRPr="00BE3F89">
              <w:rPr>
                <w:i/>
                <w:iCs/>
              </w:rPr>
              <w:t>(īpašuma sastāvā ietilpstošo zemes vienību ar kadastra apzīmējumu 62420100134)</w:t>
            </w:r>
            <w:r w:rsidRPr="00BE3F89">
              <w:t xml:space="preserve">, 64960060033 </w:t>
            </w:r>
            <w:r w:rsidRPr="00BE3F89">
              <w:rPr>
                <w:i/>
                <w:iCs/>
              </w:rPr>
              <w:t>(īpašuma sastāvā ietilpstošo zemes vienību ar kadastra apzīmējumu 64960020008 un zemes vienības ar kadastra apzīmējumu 64960030250 daļu ~ 13.75ha platībā)</w:t>
            </w:r>
            <w:r w:rsidRPr="00BE3F89">
              <w:t xml:space="preserve">, 64860050089 </w:t>
            </w:r>
            <w:r w:rsidRPr="00BE3F89">
              <w:rPr>
                <w:i/>
                <w:iCs/>
              </w:rPr>
              <w:t>(īpašuma sastāvā ietilpstošās zemes vienības ar kadastra apzīmējumu 64860040142 daļu ~ 6.91ha platībā)</w:t>
            </w:r>
            <w:r w:rsidRPr="00BE3F89">
              <w:t xml:space="preserve">, 64760040171 </w:t>
            </w:r>
            <w:r w:rsidRPr="00BE3F89">
              <w:rPr>
                <w:i/>
                <w:iCs/>
              </w:rPr>
              <w:t xml:space="preserve">(īpašuma sastāvā ietilpstošās zemes vienības ar kadastra </w:t>
            </w:r>
            <w:r w:rsidRPr="00BE3F89">
              <w:rPr>
                <w:i/>
                <w:iCs/>
              </w:rPr>
              <w:lastRenderedPageBreak/>
              <w:t>apzīmējumu 64760010136 daļu ~ 9.60ha platībā).”</w:t>
            </w:r>
          </w:p>
          <w:p w:rsidRPr="00BE3F89" w:rsidR="00A64242" w:rsidP="008013A3" w:rsidRDefault="00A64242" w14:paraId="55AAD3D0" w14:textId="77777777">
            <w:pPr>
              <w:ind w:firstLine="720"/>
              <w:jc w:val="both"/>
              <w:rPr>
                <w:lang w:eastAsia="en-US"/>
              </w:rPr>
            </w:pPr>
          </w:p>
        </w:tc>
        <w:tc>
          <w:tcPr>
            <w:tcW w:w="3685" w:type="dxa"/>
            <w:tcBorders>
              <w:top w:val="single" w:color="auto" w:sz="4" w:space="0"/>
              <w:left w:val="single" w:color="000000" w:themeColor="text1" w:sz="6" w:space="0"/>
              <w:bottom w:val="single" w:color="auto" w:sz="4" w:space="0"/>
              <w:right w:val="single" w:color="000000" w:themeColor="text1" w:sz="6" w:space="0"/>
            </w:tcBorders>
          </w:tcPr>
          <w:p w:rsidRPr="00BE3F89" w:rsidR="00A64242" w:rsidP="00A64242" w:rsidRDefault="00A64242" w14:paraId="1ACC9789" w14:textId="7CF0F536">
            <w:pPr>
              <w:autoSpaceDE w:val="0"/>
              <w:autoSpaceDN w:val="0"/>
              <w:adjustRightInd w:val="0"/>
              <w:jc w:val="center"/>
              <w:rPr>
                <w:b/>
                <w:bCs/>
              </w:rPr>
            </w:pPr>
            <w:r w:rsidRPr="00BE3F89">
              <w:rPr>
                <w:b/>
                <w:bCs/>
              </w:rPr>
              <w:lastRenderedPageBreak/>
              <w:t xml:space="preserve">Priekšlikums ņemts vērā. </w:t>
            </w:r>
          </w:p>
          <w:p w:rsidRPr="00BE3F89" w:rsidR="00A64242" w:rsidP="00960527" w:rsidRDefault="00A64242" w14:paraId="158CB35F" w14:textId="77777777">
            <w:pPr>
              <w:pStyle w:val="naisc"/>
              <w:spacing w:before="0" w:after="0"/>
              <w:ind w:left="34"/>
              <w:jc w:val="both"/>
            </w:pPr>
          </w:p>
        </w:tc>
        <w:tc>
          <w:tcPr>
            <w:tcW w:w="3743" w:type="dxa"/>
            <w:tcBorders>
              <w:top w:val="single" w:color="auto" w:sz="4" w:space="0"/>
              <w:left w:val="single" w:color="auto" w:sz="4" w:space="0"/>
              <w:bottom w:val="single" w:color="auto" w:sz="4" w:space="0"/>
            </w:tcBorders>
          </w:tcPr>
          <w:p w:rsidRPr="00BE3F89" w:rsidR="00A64242" w:rsidP="007A65C9" w:rsidRDefault="00A64242" w14:paraId="1E0A2811" w14:textId="77777777">
            <w:pPr>
              <w:ind w:firstLine="720"/>
              <w:jc w:val="both"/>
            </w:pPr>
            <w:r w:rsidRPr="00BE3F89">
              <w:t>Papildināts anotācijas I.sadaļas 2.punkts</w:t>
            </w:r>
          </w:p>
          <w:p w:rsidRPr="00255F3C" w:rsidR="00A64242" w:rsidP="007A65C9" w:rsidRDefault="00A64242" w14:paraId="51CA1110" w14:textId="24C46958">
            <w:pPr>
              <w:ind w:firstLine="720"/>
              <w:jc w:val="both"/>
              <w:rPr>
                <w:szCs w:val="28"/>
              </w:rPr>
            </w:pPr>
          </w:p>
        </w:tc>
      </w:tr>
    </w:tbl>
    <w:p w:rsidRPr="00BE3F89" w:rsidR="00565F4A" w:rsidP="00B06CC0" w:rsidRDefault="00565F4A" w14:paraId="28C4C4F2" w14:textId="77777777">
      <w:pPr>
        <w:ind w:left="3600" w:hanging="3600"/>
        <w:jc w:val="both"/>
      </w:pPr>
    </w:p>
    <w:p w:rsidRPr="00BE3F89" w:rsidR="00316E8B" w:rsidP="00B06CC0" w:rsidRDefault="00316E8B" w14:paraId="67079DCD" w14:textId="2A9ECA54">
      <w:pPr>
        <w:ind w:left="3600" w:hanging="3600"/>
        <w:jc w:val="both"/>
      </w:pPr>
      <w:r w:rsidRPr="00BE3F89">
        <w:t xml:space="preserve">Atbildīgā amatpersona       </w:t>
      </w:r>
      <w:r w:rsidRPr="00BE3F89" w:rsidR="003D406D">
        <w:t xml:space="preserve">                                                                                                                                P.Markēvičs</w:t>
      </w:r>
    </w:p>
    <w:p w:rsidRPr="00BE3F89" w:rsidR="00266177" w:rsidP="00266177" w:rsidRDefault="00266177" w14:paraId="7CFFA1E3" w14:textId="77777777">
      <w:pPr>
        <w:ind w:left="3600" w:hanging="3600"/>
        <w:jc w:val="both"/>
      </w:pPr>
      <w:r w:rsidRPr="00BE3F89">
        <w:t>Patriks Markēvičs</w:t>
      </w:r>
    </w:p>
    <w:p w:rsidRPr="00BE3F89" w:rsidR="00266177" w:rsidP="00266177" w:rsidRDefault="00266177" w14:paraId="75F27A8C" w14:textId="77777777">
      <w:pPr>
        <w:ind w:left="3600" w:hanging="3600"/>
        <w:jc w:val="both"/>
      </w:pPr>
      <w:r w:rsidRPr="00BE3F89">
        <w:t>Satiksmes ministrijas</w:t>
      </w:r>
    </w:p>
    <w:p w:rsidR="00CC2889" w:rsidP="00CC2889" w:rsidRDefault="00CC2889" w14:paraId="3BF7EEBE" w14:textId="77777777">
      <w:bookmarkStart w:name="_Hlk58423733" w:id="4"/>
      <w:r w:rsidRPr="001D61AC">
        <w:t>Dzelzceļa politikas un infrastruktūras departament</w:t>
      </w:r>
      <w:bookmarkEnd w:id="4"/>
      <w:r w:rsidRPr="001D61AC">
        <w:t>a</w:t>
      </w:r>
      <w:r w:rsidRPr="001D61AC">
        <w:rPr>
          <w:lang w:eastAsia="en-US"/>
        </w:rPr>
        <w:t xml:space="preserve"> </w:t>
      </w:r>
      <w:r w:rsidRPr="00D95843">
        <w:t>direktora vietniek</w:t>
      </w:r>
      <w:r>
        <w:t>s,</w:t>
      </w:r>
    </w:p>
    <w:p w:rsidRPr="00BC256D" w:rsidR="00CC2889" w:rsidP="00CC2889" w:rsidRDefault="00CC2889" w14:paraId="50AD84B1" w14:textId="318ED560">
      <w:pPr>
        <w:rPr>
          <w:lang w:eastAsia="en-US"/>
        </w:rPr>
      </w:pPr>
      <w:r w:rsidRPr="00D95843">
        <w:t>Dzelzceļa nodaļas vadītāj</w:t>
      </w:r>
      <w:r>
        <w:t>s</w:t>
      </w:r>
      <w:r>
        <w:rPr>
          <w:lang w:eastAsia="en-US"/>
        </w:rPr>
        <w:t xml:space="preserve"> </w:t>
      </w:r>
      <w:r w:rsidRPr="00BC256D">
        <w:rPr>
          <w:lang w:eastAsia="en-US"/>
        </w:rPr>
        <w:t>Patriks Markēvičs.</w:t>
      </w:r>
    </w:p>
    <w:p w:rsidRPr="00BE3F89" w:rsidR="00266177" w:rsidP="00266177" w:rsidRDefault="00266177" w14:paraId="08B831CE" w14:textId="0CDB3B5D">
      <w:pPr>
        <w:ind w:left="3600" w:hanging="3600"/>
        <w:jc w:val="both"/>
      </w:pPr>
      <w:r w:rsidRPr="00BE3F89">
        <w:t>tālr. 67028192 , patriks.markevics@sam.gov.lv</w:t>
      </w:r>
    </w:p>
    <w:p w:rsidRPr="00BE3F89" w:rsidR="003D406D" w:rsidP="00266177" w:rsidRDefault="003D406D" w14:paraId="5CF27505" w14:textId="2FA2843F">
      <w:pPr>
        <w:ind w:left="3600" w:hanging="3600"/>
        <w:jc w:val="both"/>
      </w:pPr>
    </w:p>
    <w:sectPr w:rsidRPr="00BE3F89" w:rsidR="003D406D" w:rsidSect="009701DC">
      <w:headerReference w:type="even" r:id="rId8"/>
      <w:headerReference w:type="default" r:id="rId9"/>
      <w:footerReference w:type="default" r:id="rId10"/>
      <w:footerReference w:type="first" r:id="rId11"/>
      <w:pgSz w:w="16838" w:h="11906" w:orient="landscape" w:code="9"/>
      <w:pgMar w:top="0" w:right="1134" w:bottom="284" w:left="1701" w:header="709"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CD4F" w14:textId="77777777" w:rsidR="00902E7B" w:rsidRDefault="00902E7B">
      <w:r>
        <w:separator/>
      </w:r>
    </w:p>
  </w:endnote>
  <w:endnote w:type="continuationSeparator" w:id="0">
    <w:p w14:paraId="148EA5FD" w14:textId="77777777" w:rsidR="00902E7B" w:rsidRDefault="0090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C50B" w14:textId="324B7173" w:rsidR="001E610A" w:rsidRPr="00900FD7" w:rsidRDefault="001E610A" w:rsidP="001E610A">
    <w:pPr>
      <w:pStyle w:val="Footer"/>
      <w:rPr>
        <w:sz w:val="20"/>
        <w:szCs w:val="20"/>
      </w:rPr>
    </w:pPr>
    <w:r w:rsidRPr="00DD337A">
      <w:rPr>
        <w:sz w:val="20"/>
        <w:szCs w:val="20"/>
      </w:rPr>
      <w:t>SMIzz_</w:t>
    </w:r>
    <w:r w:rsidR="00BA66D5">
      <w:rPr>
        <w:sz w:val="20"/>
        <w:szCs w:val="20"/>
      </w:rPr>
      <w:t>0704</w:t>
    </w:r>
    <w:r>
      <w:rPr>
        <w:sz w:val="20"/>
        <w:szCs w:val="20"/>
      </w:rPr>
      <w:t>21</w:t>
    </w:r>
    <w:r w:rsidRPr="00DD337A">
      <w:rPr>
        <w:sz w:val="20"/>
        <w:szCs w:val="20"/>
      </w:rPr>
      <w:t>_</w:t>
    </w:r>
    <w:r>
      <w:rPr>
        <w:sz w:val="20"/>
        <w:szCs w:val="20"/>
      </w:rPr>
      <w:t>linija</w:t>
    </w:r>
  </w:p>
  <w:p w14:paraId="045E1FA6" w14:textId="46619379" w:rsidR="00316E8B" w:rsidRPr="009201E0" w:rsidRDefault="00316E8B" w:rsidP="008049E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D510" w14:textId="6A9D56EC" w:rsidR="00316E8B" w:rsidRPr="00900FD7" w:rsidRDefault="00900FD7" w:rsidP="00900FD7">
    <w:pPr>
      <w:pStyle w:val="Footer"/>
      <w:rPr>
        <w:sz w:val="20"/>
        <w:szCs w:val="20"/>
      </w:rPr>
    </w:pPr>
    <w:r w:rsidRPr="00DD337A">
      <w:rPr>
        <w:sz w:val="20"/>
        <w:szCs w:val="20"/>
      </w:rPr>
      <w:t>SMIzz_</w:t>
    </w:r>
    <w:r w:rsidR="00BA66D5">
      <w:rPr>
        <w:sz w:val="20"/>
        <w:szCs w:val="20"/>
      </w:rPr>
      <w:t>0704</w:t>
    </w:r>
    <w:r w:rsidR="001E610A">
      <w:rPr>
        <w:sz w:val="20"/>
        <w:szCs w:val="20"/>
      </w:rPr>
      <w:t>21</w:t>
    </w:r>
    <w:r w:rsidRPr="00DD337A">
      <w:rPr>
        <w:sz w:val="20"/>
        <w:szCs w:val="20"/>
      </w:rPr>
      <w:t>_</w:t>
    </w:r>
    <w:r w:rsidR="001E610A">
      <w:rPr>
        <w:sz w:val="20"/>
        <w:szCs w:val="20"/>
      </w:rPr>
      <w:t>linija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0374" w14:textId="77777777" w:rsidR="00902E7B" w:rsidRDefault="00902E7B">
      <w:r>
        <w:separator/>
      </w:r>
    </w:p>
  </w:footnote>
  <w:footnote w:type="continuationSeparator" w:id="0">
    <w:p w14:paraId="34DBD35A" w14:textId="77777777" w:rsidR="00902E7B" w:rsidRDefault="0090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6E8B" w:rsidP="00364BB6" w:rsidRDefault="00316E8B" w14:paraId="44A66DE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E8B" w:rsidRDefault="00316E8B" w14:paraId="3FD34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6E8B" w:rsidP="00364BB6" w:rsidRDefault="00316E8B" w14:paraId="2313464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5A9">
      <w:rPr>
        <w:rStyle w:val="PageNumber"/>
        <w:noProof/>
      </w:rPr>
      <w:t>8</w:t>
    </w:r>
    <w:r>
      <w:rPr>
        <w:rStyle w:val="PageNumber"/>
      </w:rPr>
      <w:fldChar w:fldCharType="end"/>
    </w:r>
  </w:p>
  <w:p w:rsidR="00316E8B" w:rsidP="00266177" w:rsidRDefault="00316E8B" w14:paraId="357CBA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2E343496"/>
    <w:multiLevelType w:val="hybridMultilevel"/>
    <w:tmpl w:val="B9C0995C"/>
    <w:lvl w:ilvl="0" w:tplc="AB94D186">
      <w:start w:val="1"/>
      <w:numFmt w:val="decimal"/>
      <w:lvlText w:val="%1)"/>
      <w:lvlJc w:val="left"/>
      <w:pPr>
        <w:ind w:left="1080" w:hanging="360"/>
      </w:pPr>
      <w:rPr>
        <w:rFonts w:hint="default"/>
        <w:b/>
        <w:bCs w:val="0"/>
        <w:i w:val="0"/>
      </w:rPr>
    </w:lvl>
    <w:lvl w:ilvl="1" w:tplc="AC82AD24" w:tentative="1">
      <w:start w:val="1"/>
      <w:numFmt w:val="lowerLetter"/>
      <w:lvlText w:val="%2."/>
      <w:lvlJc w:val="left"/>
      <w:pPr>
        <w:ind w:left="1800" w:hanging="360"/>
      </w:pPr>
    </w:lvl>
    <w:lvl w:ilvl="2" w:tplc="D5580BA2" w:tentative="1">
      <w:start w:val="1"/>
      <w:numFmt w:val="lowerRoman"/>
      <w:lvlText w:val="%3."/>
      <w:lvlJc w:val="right"/>
      <w:pPr>
        <w:ind w:left="2520" w:hanging="180"/>
      </w:pPr>
    </w:lvl>
    <w:lvl w:ilvl="3" w:tplc="8E7E1646" w:tentative="1">
      <w:start w:val="1"/>
      <w:numFmt w:val="decimal"/>
      <w:lvlText w:val="%4."/>
      <w:lvlJc w:val="left"/>
      <w:pPr>
        <w:ind w:left="3240" w:hanging="360"/>
      </w:pPr>
    </w:lvl>
    <w:lvl w:ilvl="4" w:tplc="DFBE1986" w:tentative="1">
      <w:start w:val="1"/>
      <w:numFmt w:val="lowerLetter"/>
      <w:lvlText w:val="%5."/>
      <w:lvlJc w:val="left"/>
      <w:pPr>
        <w:ind w:left="3960" w:hanging="360"/>
      </w:pPr>
    </w:lvl>
    <w:lvl w:ilvl="5" w:tplc="A4C836D2" w:tentative="1">
      <w:start w:val="1"/>
      <w:numFmt w:val="lowerRoman"/>
      <w:lvlText w:val="%6."/>
      <w:lvlJc w:val="right"/>
      <w:pPr>
        <w:ind w:left="4680" w:hanging="180"/>
      </w:pPr>
    </w:lvl>
    <w:lvl w:ilvl="6" w:tplc="739ECE7A" w:tentative="1">
      <w:start w:val="1"/>
      <w:numFmt w:val="decimal"/>
      <w:lvlText w:val="%7."/>
      <w:lvlJc w:val="left"/>
      <w:pPr>
        <w:ind w:left="5400" w:hanging="360"/>
      </w:pPr>
    </w:lvl>
    <w:lvl w:ilvl="7" w:tplc="942CD2EE" w:tentative="1">
      <w:start w:val="1"/>
      <w:numFmt w:val="lowerLetter"/>
      <w:lvlText w:val="%8."/>
      <w:lvlJc w:val="left"/>
      <w:pPr>
        <w:ind w:left="6120" w:hanging="360"/>
      </w:pPr>
    </w:lvl>
    <w:lvl w:ilvl="8" w:tplc="79C272E8" w:tentative="1">
      <w:start w:val="1"/>
      <w:numFmt w:val="lowerRoman"/>
      <w:lvlText w:val="%9."/>
      <w:lvlJc w:val="right"/>
      <w:pPr>
        <w:ind w:left="6840" w:hanging="180"/>
      </w:pPr>
    </w:lvl>
  </w:abstractNum>
  <w:abstractNum w:abstractNumId="4" w15:restartNumberingAfterBreak="0">
    <w:nsid w:val="2F38341F"/>
    <w:multiLevelType w:val="hybridMultilevel"/>
    <w:tmpl w:val="0AB2C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3E5432"/>
    <w:multiLevelType w:val="hybridMultilevel"/>
    <w:tmpl w:val="DF763520"/>
    <w:lvl w:ilvl="0" w:tplc="8C76FC64">
      <w:start w:val="1"/>
      <w:numFmt w:val="decimal"/>
      <w:lvlText w:val="%1."/>
      <w:lvlJc w:val="left"/>
      <w:pPr>
        <w:ind w:left="927" w:hanging="360"/>
      </w:pPr>
      <w:rPr>
        <w:rFonts w:eastAsia="Calibri" w:hint="default"/>
        <w:color w:val="auto"/>
        <w:sz w:val="26"/>
        <w:szCs w:val="26"/>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2753BF7"/>
    <w:multiLevelType w:val="hybridMultilevel"/>
    <w:tmpl w:val="F420F86E"/>
    <w:lvl w:ilvl="0" w:tplc="1E82A6CE">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641E1"/>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09040D"/>
    <w:multiLevelType w:val="hybridMultilevel"/>
    <w:tmpl w:val="AD2AA4DA"/>
    <w:lvl w:ilvl="0" w:tplc="4C74822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8"/>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23"/>
    <w:rsid w:val="00003299"/>
    <w:rsid w:val="0000333C"/>
    <w:rsid w:val="000036B3"/>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78A"/>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84A"/>
    <w:rsid w:val="00014E37"/>
    <w:rsid w:val="00015531"/>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3AB"/>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AFC"/>
    <w:rsid w:val="00036E20"/>
    <w:rsid w:val="00036E36"/>
    <w:rsid w:val="0003739C"/>
    <w:rsid w:val="000376CD"/>
    <w:rsid w:val="000376D9"/>
    <w:rsid w:val="000376E6"/>
    <w:rsid w:val="00037B68"/>
    <w:rsid w:val="00037C7C"/>
    <w:rsid w:val="000401C5"/>
    <w:rsid w:val="00040302"/>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1C7"/>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3EA2"/>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3CEE"/>
    <w:rsid w:val="0007403D"/>
    <w:rsid w:val="00074E96"/>
    <w:rsid w:val="000753D2"/>
    <w:rsid w:val="000754B7"/>
    <w:rsid w:val="000756C4"/>
    <w:rsid w:val="0007577A"/>
    <w:rsid w:val="00075C5F"/>
    <w:rsid w:val="00075DFD"/>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5D"/>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99E"/>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78E"/>
    <w:rsid w:val="000D1A6F"/>
    <w:rsid w:val="000D1A72"/>
    <w:rsid w:val="000D1C79"/>
    <w:rsid w:val="000D21E4"/>
    <w:rsid w:val="000D226A"/>
    <w:rsid w:val="000D2872"/>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BC4"/>
    <w:rsid w:val="00110D10"/>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8EC"/>
    <w:rsid w:val="001159F9"/>
    <w:rsid w:val="00115DC3"/>
    <w:rsid w:val="00115ED0"/>
    <w:rsid w:val="0011665F"/>
    <w:rsid w:val="001167F3"/>
    <w:rsid w:val="0011683C"/>
    <w:rsid w:val="00117143"/>
    <w:rsid w:val="0011776B"/>
    <w:rsid w:val="001179E8"/>
    <w:rsid w:val="00120209"/>
    <w:rsid w:val="0012021B"/>
    <w:rsid w:val="0012222D"/>
    <w:rsid w:val="001237BE"/>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78B"/>
    <w:rsid w:val="00137857"/>
    <w:rsid w:val="00137995"/>
    <w:rsid w:val="001379A5"/>
    <w:rsid w:val="00137F0C"/>
    <w:rsid w:val="00137F84"/>
    <w:rsid w:val="00140706"/>
    <w:rsid w:val="001409B3"/>
    <w:rsid w:val="00140BDB"/>
    <w:rsid w:val="00140D61"/>
    <w:rsid w:val="00140FB5"/>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AF7"/>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68"/>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5CB"/>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28D5"/>
    <w:rsid w:val="001A3AA3"/>
    <w:rsid w:val="001A3ADA"/>
    <w:rsid w:val="001A3B5C"/>
    <w:rsid w:val="001A4330"/>
    <w:rsid w:val="001A4526"/>
    <w:rsid w:val="001A5FE6"/>
    <w:rsid w:val="001A790B"/>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65E"/>
    <w:rsid w:val="001D6E08"/>
    <w:rsid w:val="001D6FAA"/>
    <w:rsid w:val="001D70FA"/>
    <w:rsid w:val="001D7273"/>
    <w:rsid w:val="001D73D9"/>
    <w:rsid w:val="001D78FE"/>
    <w:rsid w:val="001D7BA9"/>
    <w:rsid w:val="001D7F9D"/>
    <w:rsid w:val="001E02A3"/>
    <w:rsid w:val="001E039D"/>
    <w:rsid w:val="001E0523"/>
    <w:rsid w:val="001E078E"/>
    <w:rsid w:val="001E0C56"/>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99F"/>
    <w:rsid w:val="001E4DDC"/>
    <w:rsid w:val="001E50F3"/>
    <w:rsid w:val="001E610A"/>
    <w:rsid w:val="001E6172"/>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8DC"/>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4D2"/>
    <w:rsid w:val="002056ED"/>
    <w:rsid w:val="00205C3A"/>
    <w:rsid w:val="002068B9"/>
    <w:rsid w:val="002068EC"/>
    <w:rsid w:val="002069E7"/>
    <w:rsid w:val="00207AB3"/>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0BC2"/>
    <w:rsid w:val="0023132F"/>
    <w:rsid w:val="00231805"/>
    <w:rsid w:val="00231943"/>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5"/>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5F3C"/>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2A1"/>
    <w:rsid w:val="00263527"/>
    <w:rsid w:val="00263BF4"/>
    <w:rsid w:val="00263FE3"/>
    <w:rsid w:val="00264A54"/>
    <w:rsid w:val="00264C74"/>
    <w:rsid w:val="00265265"/>
    <w:rsid w:val="002652EC"/>
    <w:rsid w:val="00265593"/>
    <w:rsid w:val="002657B2"/>
    <w:rsid w:val="00265BA5"/>
    <w:rsid w:val="00265EA2"/>
    <w:rsid w:val="00265F40"/>
    <w:rsid w:val="00266177"/>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18C"/>
    <w:rsid w:val="00285819"/>
    <w:rsid w:val="0028581C"/>
    <w:rsid w:val="00285871"/>
    <w:rsid w:val="0028598B"/>
    <w:rsid w:val="00286478"/>
    <w:rsid w:val="0028745E"/>
    <w:rsid w:val="002875FB"/>
    <w:rsid w:val="002876C9"/>
    <w:rsid w:val="00287C25"/>
    <w:rsid w:val="00287DF8"/>
    <w:rsid w:val="00287E89"/>
    <w:rsid w:val="00287EDD"/>
    <w:rsid w:val="00287F31"/>
    <w:rsid w:val="00290259"/>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DF9"/>
    <w:rsid w:val="002B1E12"/>
    <w:rsid w:val="002B207F"/>
    <w:rsid w:val="002B2A48"/>
    <w:rsid w:val="002B2BEE"/>
    <w:rsid w:val="002B2CB9"/>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8B4"/>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095"/>
    <w:rsid w:val="00304607"/>
    <w:rsid w:val="0030467A"/>
    <w:rsid w:val="00304B44"/>
    <w:rsid w:val="00304C64"/>
    <w:rsid w:val="00304D4E"/>
    <w:rsid w:val="00304FFD"/>
    <w:rsid w:val="0030541F"/>
    <w:rsid w:val="00305608"/>
    <w:rsid w:val="00305B72"/>
    <w:rsid w:val="00305D39"/>
    <w:rsid w:val="0030610A"/>
    <w:rsid w:val="003065E2"/>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32E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586D"/>
    <w:rsid w:val="00316465"/>
    <w:rsid w:val="00316530"/>
    <w:rsid w:val="00316616"/>
    <w:rsid w:val="0031678A"/>
    <w:rsid w:val="0031693B"/>
    <w:rsid w:val="003169B6"/>
    <w:rsid w:val="003169CE"/>
    <w:rsid w:val="00316C54"/>
    <w:rsid w:val="00316E8B"/>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0B2"/>
    <w:rsid w:val="00323337"/>
    <w:rsid w:val="00323732"/>
    <w:rsid w:val="00323862"/>
    <w:rsid w:val="00323C2C"/>
    <w:rsid w:val="00323E10"/>
    <w:rsid w:val="0032424A"/>
    <w:rsid w:val="0032425B"/>
    <w:rsid w:val="003243AB"/>
    <w:rsid w:val="003246A9"/>
    <w:rsid w:val="00324D5B"/>
    <w:rsid w:val="00324E07"/>
    <w:rsid w:val="00324E83"/>
    <w:rsid w:val="00324EBA"/>
    <w:rsid w:val="00324F5B"/>
    <w:rsid w:val="00325045"/>
    <w:rsid w:val="00325735"/>
    <w:rsid w:val="00325D91"/>
    <w:rsid w:val="003267B4"/>
    <w:rsid w:val="00326C1A"/>
    <w:rsid w:val="00326CA6"/>
    <w:rsid w:val="00326D4B"/>
    <w:rsid w:val="00327DC4"/>
    <w:rsid w:val="00327DDC"/>
    <w:rsid w:val="00327EC8"/>
    <w:rsid w:val="00327F64"/>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5D45"/>
    <w:rsid w:val="0035612E"/>
    <w:rsid w:val="0035617C"/>
    <w:rsid w:val="003561F1"/>
    <w:rsid w:val="003564D1"/>
    <w:rsid w:val="00356E7E"/>
    <w:rsid w:val="00356EB8"/>
    <w:rsid w:val="00356FE4"/>
    <w:rsid w:val="00357498"/>
    <w:rsid w:val="00357644"/>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5D1B"/>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AF9"/>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2BE"/>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7B2"/>
    <w:rsid w:val="00386902"/>
    <w:rsid w:val="00386A11"/>
    <w:rsid w:val="00386CA8"/>
    <w:rsid w:val="00387187"/>
    <w:rsid w:val="00387477"/>
    <w:rsid w:val="00387501"/>
    <w:rsid w:val="0038750A"/>
    <w:rsid w:val="00387B98"/>
    <w:rsid w:val="00387BE6"/>
    <w:rsid w:val="00387CB2"/>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718"/>
    <w:rsid w:val="003A3C43"/>
    <w:rsid w:val="003A3EFA"/>
    <w:rsid w:val="003A3F4E"/>
    <w:rsid w:val="003A425C"/>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2C86"/>
    <w:rsid w:val="003C3083"/>
    <w:rsid w:val="003C336C"/>
    <w:rsid w:val="003C33DC"/>
    <w:rsid w:val="003C3838"/>
    <w:rsid w:val="003C387E"/>
    <w:rsid w:val="003C3BB2"/>
    <w:rsid w:val="003C3D34"/>
    <w:rsid w:val="003C477D"/>
    <w:rsid w:val="003C4A05"/>
    <w:rsid w:val="003C4DDE"/>
    <w:rsid w:val="003C5247"/>
    <w:rsid w:val="003C542B"/>
    <w:rsid w:val="003C567C"/>
    <w:rsid w:val="003C5810"/>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5F7"/>
    <w:rsid w:val="003D2784"/>
    <w:rsid w:val="003D2AC9"/>
    <w:rsid w:val="003D2CD8"/>
    <w:rsid w:val="003D2F32"/>
    <w:rsid w:val="003D3724"/>
    <w:rsid w:val="003D3D1E"/>
    <w:rsid w:val="003D406D"/>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D74"/>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A7A"/>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0C1"/>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0B69"/>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1D1"/>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7D1"/>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3F7"/>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39D7"/>
    <w:rsid w:val="004C4272"/>
    <w:rsid w:val="004C44C1"/>
    <w:rsid w:val="004C464D"/>
    <w:rsid w:val="004C4C57"/>
    <w:rsid w:val="004C55FE"/>
    <w:rsid w:val="004C57B9"/>
    <w:rsid w:val="004C5BDA"/>
    <w:rsid w:val="004C5EDF"/>
    <w:rsid w:val="004C5FB4"/>
    <w:rsid w:val="004C5FC6"/>
    <w:rsid w:val="004C60DD"/>
    <w:rsid w:val="004C618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2E9"/>
    <w:rsid w:val="004D5453"/>
    <w:rsid w:val="004D5A0F"/>
    <w:rsid w:val="004D6045"/>
    <w:rsid w:val="004D617B"/>
    <w:rsid w:val="004D6201"/>
    <w:rsid w:val="004D65CF"/>
    <w:rsid w:val="004D6622"/>
    <w:rsid w:val="004D68A8"/>
    <w:rsid w:val="004D6EA9"/>
    <w:rsid w:val="004D732E"/>
    <w:rsid w:val="004D7546"/>
    <w:rsid w:val="004D7625"/>
    <w:rsid w:val="004D7EC5"/>
    <w:rsid w:val="004D7F9D"/>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06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42F"/>
    <w:rsid w:val="00531A5D"/>
    <w:rsid w:val="00532132"/>
    <w:rsid w:val="0053253E"/>
    <w:rsid w:val="0053266D"/>
    <w:rsid w:val="00532B17"/>
    <w:rsid w:val="00532CD9"/>
    <w:rsid w:val="0053393A"/>
    <w:rsid w:val="00533B8E"/>
    <w:rsid w:val="00533F09"/>
    <w:rsid w:val="005342E7"/>
    <w:rsid w:val="005342FA"/>
    <w:rsid w:val="00534971"/>
    <w:rsid w:val="00534C50"/>
    <w:rsid w:val="00534DFB"/>
    <w:rsid w:val="00535417"/>
    <w:rsid w:val="00535575"/>
    <w:rsid w:val="00535833"/>
    <w:rsid w:val="005359ED"/>
    <w:rsid w:val="00536649"/>
    <w:rsid w:val="005369E1"/>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8A7"/>
    <w:rsid w:val="00542999"/>
    <w:rsid w:val="00542B91"/>
    <w:rsid w:val="00543283"/>
    <w:rsid w:val="00543437"/>
    <w:rsid w:val="00543448"/>
    <w:rsid w:val="0054364C"/>
    <w:rsid w:val="00543CFC"/>
    <w:rsid w:val="00543DCF"/>
    <w:rsid w:val="00543EB1"/>
    <w:rsid w:val="00544087"/>
    <w:rsid w:val="0054443C"/>
    <w:rsid w:val="0054454A"/>
    <w:rsid w:val="00544760"/>
    <w:rsid w:val="00544BC2"/>
    <w:rsid w:val="00544E43"/>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E3"/>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16E"/>
    <w:rsid w:val="00561BF2"/>
    <w:rsid w:val="00561EA1"/>
    <w:rsid w:val="00562799"/>
    <w:rsid w:val="00563222"/>
    <w:rsid w:val="0056327F"/>
    <w:rsid w:val="00563435"/>
    <w:rsid w:val="005640A4"/>
    <w:rsid w:val="00564217"/>
    <w:rsid w:val="005644D8"/>
    <w:rsid w:val="00564804"/>
    <w:rsid w:val="00564CC9"/>
    <w:rsid w:val="00564FED"/>
    <w:rsid w:val="00565598"/>
    <w:rsid w:val="00565B5A"/>
    <w:rsid w:val="00565C53"/>
    <w:rsid w:val="00565F4A"/>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802"/>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A"/>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2EF8"/>
    <w:rsid w:val="005D31FF"/>
    <w:rsid w:val="005D3392"/>
    <w:rsid w:val="005D38E0"/>
    <w:rsid w:val="005D39D5"/>
    <w:rsid w:val="005D3CA2"/>
    <w:rsid w:val="005D3D4D"/>
    <w:rsid w:val="005D3F32"/>
    <w:rsid w:val="005D436C"/>
    <w:rsid w:val="005D461B"/>
    <w:rsid w:val="005D465A"/>
    <w:rsid w:val="005D4DD7"/>
    <w:rsid w:val="005D4E3E"/>
    <w:rsid w:val="005D4FFF"/>
    <w:rsid w:val="005D553B"/>
    <w:rsid w:val="005D5AF1"/>
    <w:rsid w:val="005D5E92"/>
    <w:rsid w:val="005D67F7"/>
    <w:rsid w:val="005D6B42"/>
    <w:rsid w:val="005D772A"/>
    <w:rsid w:val="005D7B18"/>
    <w:rsid w:val="005D7CB4"/>
    <w:rsid w:val="005D7D7E"/>
    <w:rsid w:val="005E09BA"/>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0F30"/>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AB1"/>
    <w:rsid w:val="005F6D18"/>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19B"/>
    <w:rsid w:val="00626303"/>
    <w:rsid w:val="00626447"/>
    <w:rsid w:val="00626719"/>
    <w:rsid w:val="006267F5"/>
    <w:rsid w:val="00626ABA"/>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C0"/>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915"/>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80D"/>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67FA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5A9"/>
    <w:rsid w:val="00674B3A"/>
    <w:rsid w:val="00674D43"/>
    <w:rsid w:val="006752CA"/>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44"/>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A56"/>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29"/>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BD2"/>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10"/>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0BB"/>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9B9"/>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2"/>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044"/>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4A5"/>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945"/>
    <w:rsid w:val="00761BFD"/>
    <w:rsid w:val="00761D16"/>
    <w:rsid w:val="00761D5C"/>
    <w:rsid w:val="00761EAA"/>
    <w:rsid w:val="00761FE5"/>
    <w:rsid w:val="00762476"/>
    <w:rsid w:val="00762A18"/>
    <w:rsid w:val="00762A9D"/>
    <w:rsid w:val="00762C93"/>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9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5F7"/>
    <w:rsid w:val="007A27BD"/>
    <w:rsid w:val="007A294A"/>
    <w:rsid w:val="007A4084"/>
    <w:rsid w:val="007A45D2"/>
    <w:rsid w:val="007A4769"/>
    <w:rsid w:val="007A4C75"/>
    <w:rsid w:val="007A4C96"/>
    <w:rsid w:val="007A4FF5"/>
    <w:rsid w:val="007A5085"/>
    <w:rsid w:val="007A50D9"/>
    <w:rsid w:val="007A51A6"/>
    <w:rsid w:val="007A523D"/>
    <w:rsid w:val="007A5629"/>
    <w:rsid w:val="007A56E5"/>
    <w:rsid w:val="007A60CA"/>
    <w:rsid w:val="007A65C9"/>
    <w:rsid w:val="007A6768"/>
    <w:rsid w:val="007A6A2F"/>
    <w:rsid w:val="007A6F0F"/>
    <w:rsid w:val="007A6F4E"/>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CF"/>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3C6"/>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3A3"/>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9EC"/>
    <w:rsid w:val="00804BCF"/>
    <w:rsid w:val="00804FA4"/>
    <w:rsid w:val="008050BB"/>
    <w:rsid w:val="00805275"/>
    <w:rsid w:val="00805F77"/>
    <w:rsid w:val="0080617E"/>
    <w:rsid w:val="008065B7"/>
    <w:rsid w:val="00806A62"/>
    <w:rsid w:val="00806C6B"/>
    <w:rsid w:val="00806E55"/>
    <w:rsid w:val="00806F37"/>
    <w:rsid w:val="008075C0"/>
    <w:rsid w:val="008075CE"/>
    <w:rsid w:val="00807776"/>
    <w:rsid w:val="00807AD9"/>
    <w:rsid w:val="0081019B"/>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452"/>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800"/>
    <w:rsid w:val="00830B39"/>
    <w:rsid w:val="00830CB8"/>
    <w:rsid w:val="00831250"/>
    <w:rsid w:val="00831A9A"/>
    <w:rsid w:val="00831D8D"/>
    <w:rsid w:val="00832AF4"/>
    <w:rsid w:val="008333B7"/>
    <w:rsid w:val="00833685"/>
    <w:rsid w:val="008336EC"/>
    <w:rsid w:val="008337B9"/>
    <w:rsid w:val="00833D18"/>
    <w:rsid w:val="00833E61"/>
    <w:rsid w:val="0083463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A7F"/>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5B4"/>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5CF5"/>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830"/>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3EB"/>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514"/>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55B"/>
    <w:rsid w:val="008A7BD2"/>
    <w:rsid w:val="008A7F40"/>
    <w:rsid w:val="008B007B"/>
    <w:rsid w:val="008B04F4"/>
    <w:rsid w:val="008B0EBD"/>
    <w:rsid w:val="008B16DE"/>
    <w:rsid w:val="008B1D11"/>
    <w:rsid w:val="008B1F68"/>
    <w:rsid w:val="008B24ED"/>
    <w:rsid w:val="008B251F"/>
    <w:rsid w:val="008B2602"/>
    <w:rsid w:val="008B26E4"/>
    <w:rsid w:val="008B2727"/>
    <w:rsid w:val="008B27F1"/>
    <w:rsid w:val="008B316B"/>
    <w:rsid w:val="008B3677"/>
    <w:rsid w:val="008B3DC4"/>
    <w:rsid w:val="008B5059"/>
    <w:rsid w:val="008B50DF"/>
    <w:rsid w:val="008B5BF2"/>
    <w:rsid w:val="008B5E49"/>
    <w:rsid w:val="008B6128"/>
    <w:rsid w:val="008B6205"/>
    <w:rsid w:val="008B6934"/>
    <w:rsid w:val="008B6A8C"/>
    <w:rsid w:val="008B6CF8"/>
    <w:rsid w:val="008B6F31"/>
    <w:rsid w:val="008B72F6"/>
    <w:rsid w:val="008B73D6"/>
    <w:rsid w:val="008B7422"/>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4D80"/>
    <w:rsid w:val="008C520E"/>
    <w:rsid w:val="008C535F"/>
    <w:rsid w:val="008C563B"/>
    <w:rsid w:val="008C5664"/>
    <w:rsid w:val="008C567E"/>
    <w:rsid w:val="008C5DEE"/>
    <w:rsid w:val="008C5F22"/>
    <w:rsid w:val="008C6285"/>
    <w:rsid w:val="008C62FF"/>
    <w:rsid w:val="008C65F3"/>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E7ADA"/>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BB9"/>
    <w:rsid w:val="008F5C36"/>
    <w:rsid w:val="008F622B"/>
    <w:rsid w:val="008F6810"/>
    <w:rsid w:val="008F6C2A"/>
    <w:rsid w:val="008F6C4B"/>
    <w:rsid w:val="008F6EAA"/>
    <w:rsid w:val="008F6F89"/>
    <w:rsid w:val="008F769F"/>
    <w:rsid w:val="008F77B1"/>
    <w:rsid w:val="008F7800"/>
    <w:rsid w:val="008F7833"/>
    <w:rsid w:val="008F7BCA"/>
    <w:rsid w:val="008F7CDB"/>
    <w:rsid w:val="008F7DC8"/>
    <w:rsid w:val="00900436"/>
    <w:rsid w:val="00900696"/>
    <w:rsid w:val="0090084E"/>
    <w:rsid w:val="00900F4D"/>
    <w:rsid w:val="00900FD7"/>
    <w:rsid w:val="009011C4"/>
    <w:rsid w:val="0090167B"/>
    <w:rsid w:val="00901C47"/>
    <w:rsid w:val="009024AA"/>
    <w:rsid w:val="00902DEC"/>
    <w:rsid w:val="00902E7B"/>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170"/>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780"/>
    <w:rsid w:val="0092378A"/>
    <w:rsid w:val="00923AF1"/>
    <w:rsid w:val="00923FDC"/>
    <w:rsid w:val="0092514B"/>
    <w:rsid w:val="00925382"/>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098"/>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527"/>
    <w:rsid w:val="00960602"/>
    <w:rsid w:val="00960805"/>
    <w:rsid w:val="00960852"/>
    <w:rsid w:val="00961487"/>
    <w:rsid w:val="0096189D"/>
    <w:rsid w:val="00961A78"/>
    <w:rsid w:val="00961BA7"/>
    <w:rsid w:val="00961F01"/>
    <w:rsid w:val="009620AE"/>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1DC"/>
    <w:rsid w:val="00970595"/>
    <w:rsid w:val="00970912"/>
    <w:rsid w:val="00971116"/>
    <w:rsid w:val="00971125"/>
    <w:rsid w:val="00971BCF"/>
    <w:rsid w:val="00971D7D"/>
    <w:rsid w:val="00971E61"/>
    <w:rsid w:val="00972285"/>
    <w:rsid w:val="0097267E"/>
    <w:rsid w:val="00972D5F"/>
    <w:rsid w:val="00972E28"/>
    <w:rsid w:val="00973030"/>
    <w:rsid w:val="009733B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9DE"/>
    <w:rsid w:val="00981AA9"/>
    <w:rsid w:val="00981C91"/>
    <w:rsid w:val="009822BC"/>
    <w:rsid w:val="00982577"/>
    <w:rsid w:val="00982625"/>
    <w:rsid w:val="00982660"/>
    <w:rsid w:val="00982D11"/>
    <w:rsid w:val="00983132"/>
    <w:rsid w:val="00983314"/>
    <w:rsid w:val="009833E5"/>
    <w:rsid w:val="009838DE"/>
    <w:rsid w:val="00983A6B"/>
    <w:rsid w:val="00983BF7"/>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97D41"/>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A7B31"/>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1E13"/>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4B"/>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D4E"/>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59EE"/>
    <w:rsid w:val="00A35AB7"/>
    <w:rsid w:val="00A36075"/>
    <w:rsid w:val="00A3686F"/>
    <w:rsid w:val="00A36A8E"/>
    <w:rsid w:val="00A36FC3"/>
    <w:rsid w:val="00A372F0"/>
    <w:rsid w:val="00A3769B"/>
    <w:rsid w:val="00A379ED"/>
    <w:rsid w:val="00A40165"/>
    <w:rsid w:val="00A40299"/>
    <w:rsid w:val="00A40305"/>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997"/>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242"/>
    <w:rsid w:val="00A6427D"/>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42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3010"/>
    <w:rsid w:val="00A83BF5"/>
    <w:rsid w:val="00A83DAD"/>
    <w:rsid w:val="00A8443E"/>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97EF7"/>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A55"/>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2D9"/>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EB2"/>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21C"/>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0B7"/>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B1D"/>
    <w:rsid w:val="00B26CBD"/>
    <w:rsid w:val="00B26E2E"/>
    <w:rsid w:val="00B26FB2"/>
    <w:rsid w:val="00B27379"/>
    <w:rsid w:val="00B27421"/>
    <w:rsid w:val="00B275A2"/>
    <w:rsid w:val="00B27ABA"/>
    <w:rsid w:val="00B27AF4"/>
    <w:rsid w:val="00B27DA5"/>
    <w:rsid w:val="00B27E06"/>
    <w:rsid w:val="00B30028"/>
    <w:rsid w:val="00B3035C"/>
    <w:rsid w:val="00B305AD"/>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E32"/>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727"/>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285"/>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6D5"/>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47B"/>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3E92"/>
    <w:rsid w:val="00BD41B6"/>
    <w:rsid w:val="00BD43FC"/>
    <w:rsid w:val="00BD6059"/>
    <w:rsid w:val="00BD60AD"/>
    <w:rsid w:val="00BD66B6"/>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3F89"/>
    <w:rsid w:val="00BE4219"/>
    <w:rsid w:val="00BE4326"/>
    <w:rsid w:val="00BE4DA7"/>
    <w:rsid w:val="00BE56A6"/>
    <w:rsid w:val="00BE59CE"/>
    <w:rsid w:val="00BE5A61"/>
    <w:rsid w:val="00BE5CAF"/>
    <w:rsid w:val="00BE5D58"/>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BA2"/>
    <w:rsid w:val="00BF7F25"/>
    <w:rsid w:val="00C000B3"/>
    <w:rsid w:val="00C00CA3"/>
    <w:rsid w:val="00C01340"/>
    <w:rsid w:val="00C013A8"/>
    <w:rsid w:val="00C0163F"/>
    <w:rsid w:val="00C0233C"/>
    <w:rsid w:val="00C025A5"/>
    <w:rsid w:val="00C026CA"/>
    <w:rsid w:val="00C02924"/>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00"/>
    <w:rsid w:val="00C335DA"/>
    <w:rsid w:val="00C339BB"/>
    <w:rsid w:val="00C33A2F"/>
    <w:rsid w:val="00C33D3E"/>
    <w:rsid w:val="00C33EC4"/>
    <w:rsid w:val="00C34290"/>
    <w:rsid w:val="00C34312"/>
    <w:rsid w:val="00C34347"/>
    <w:rsid w:val="00C346E6"/>
    <w:rsid w:val="00C347C1"/>
    <w:rsid w:val="00C34950"/>
    <w:rsid w:val="00C34C67"/>
    <w:rsid w:val="00C3575C"/>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BAD"/>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405"/>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7C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66E"/>
    <w:rsid w:val="00C87B3F"/>
    <w:rsid w:val="00C87C19"/>
    <w:rsid w:val="00C87E49"/>
    <w:rsid w:val="00C87F1A"/>
    <w:rsid w:val="00C9128B"/>
    <w:rsid w:val="00C9131A"/>
    <w:rsid w:val="00C9174F"/>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889"/>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6743"/>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C76"/>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BA0"/>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742"/>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D81"/>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128"/>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76DD"/>
    <w:rsid w:val="00D577C1"/>
    <w:rsid w:val="00D57CB4"/>
    <w:rsid w:val="00D57DEC"/>
    <w:rsid w:val="00D57E0B"/>
    <w:rsid w:val="00D600C3"/>
    <w:rsid w:val="00D60EE8"/>
    <w:rsid w:val="00D60F21"/>
    <w:rsid w:val="00D61125"/>
    <w:rsid w:val="00D61477"/>
    <w:rsid w:val="00D614D1"/>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B9D"/>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2C"/>
    <w:rsid w:val="00DB5018"/>
    <w:rsid w:val="00DB56B3"/>
    <w:rsid w:val="00DB5B06"/>
    <w:rsid w:val="00DB5B52"/>
    <w:rsid w:val="00DB5DD8"/>
    <w:rsid w:val="00DB5E90"/>
    <w:rsid w:val="00DB5FD0"/>
    <w:rsid w:val="00DB60B8"/>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D53"/>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7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3AE9"/>
    <w:rsid w:val="00DF4C6E"/>
    <w:rsid w:val="00DF51CA"/>
    <w:rsid w:val="00DF58BB"/>
    <w:rsid w:val="00DF6666"/>
    <w:rsid w:val="00DF745E"/>
    <w:rsid w:val="00DF762E"/>
    <w:rsid w:val="00DF77C4"/>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53C"/>
    <w:rsid w:val="00E21A07"/>
    <w:rsid w:val="00E21A4F"/>
    <w:rsid w:val="00E21DCB"/>
    <w:rsid w:val="00E2279E"/>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1F8"/>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6FB"/>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115"/>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6CC"/>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21A"/>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52D"/>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650"/>
    <w:rsid w:val="00ED7783"/>
    <w:rsid w:val="00ED789F"/>
    <w:rsid w:val="00ED7971"/>
    <w:rsid w:val="00ED7A6D"/>
    <w:rsid w:val="00ED7BA7"/>
    <w:rsid w:val="00ED7E9D"/>
    <w:rsid w:val="00ED7FAC"/>
    <w:rsid w:val="00EE02A3"/>
    <w:rsid w:val="00EE0441"/>
    <w:rsid w:val="00EE0521"/>
    <w:rsid w:val="00EE0748"/>
    <w:rsid w:val="00EE09F9"/>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58C"/>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1E2"/>
    <w:rsid w:val="00EF5C82"/>
    <w:rsid w:val="00EF674C"/>
    <w:rsid w:val="00EF6AC4"/>
    <w:rsid w:val="00EF6CBE"/>
    <w:rsid w:val="00EF6FDB"/>
    <w:rsid w:val="00EF70E6"/>
    <w:rsid w:val="00EF72CC"/>
    <w:rsid w:val="00EF7A15"/>
    <w:rsid w:val="00EF7B9B"/>
    <w:rsid w:val="00EF7C5C"/>
    <w:rsid w:val="00F00391"/>
    <w:rsid w:val="00F0142A"/>
    <w:rsid w:val="00F014C6"/>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5E4F"/>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6F6"/>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6BAC"/>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B84"/>
    <w:rsid w:val="00F32D0F"/>
    <w:rsid w:val="00F32E21"/>
    <w:rsid w:val="00F335D6"/>
    <w:rsid w:val="00F33873"/>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984"/>
    <w:rsid w:val="00F37B8E"/>
    <w:rsid w:val="00F37F6D"/>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5F14"/>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4F04"/>
    <w:rsid w:val="00F75415"/>
    <w:rsid w:val="00F7586D"/>
    <w:rsid w:val="00F75880"/>
    <w:rsid w:val="00F75E7D"/>
    <w:rsid w:val="00F76A4A"/>
    <w:rsid w:val="00F773F9"/>
    <w:rsid w:val="00F77B54"/>
    <w:rsid w:val="00F80CA9"/>
    <w:rsid w:val="00F80EBA"/>
    <w:rsid w:val="00F80F4C"/>
    <w:rsid w:val="00F8101C"/>
    <w:rsid w:val="00F81528"/>
    <w:rsid w:val="00F817B9"/>
    <w:rsid w:val="00F81BFB"/>
    <w:rsid w:val="00F81CB7"/>
    <w:rsid w:val="00F81DE7"/>
    <w:rsid w:val="00F82280"/>
    <w:rsid w:val="00F8235F"/>
    <w:rsid w:val="00F82B1C"/>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5E3F"/>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DA4"/>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2C1"/>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33"/>
    <w:rsid w:val="00FE00D9"/>
    <w:rsid w:val="00FE0693"/>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6FC"/>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210"/>
    <w:rsid w:val="00FF6885"/>
    <w:rsid w:val="00FF6946"/>
    <w:rsid w:val="00FF69CE"/>
    <w:rsid w:val="00FF6AD9"/>
    <w:rsid w:val="00FF6C32"/>
    <w:rsid w:val="00FF7325"/>
    <w:rsid w:val="02D1965B"/>
    <w:rsid w:val="04D5BEF2"/>
    <w:rsid w:val="0C1D5B69"/>
    <w:rsid w:val="0E8147C6"/>
    <w:rsid w:val="13CE268B"/>
    <w:rsid w:val="1B310771"/>
    <w:rsid w:val="32A2E772"/>
    <w:rsid w:val="3B1EB143"/>
    <w:rsid w:val="530424A6"/>
    <w:rsid w:val="64EF6F27"/>
    <w:rsid w:val="7BC1C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829D38"/>
  <w15:docId w15:val="{FE5C5CA2-595B-469F-B4E6-894174B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4826"/>
    <w:rPr>
      <w:rFonts w:ascii="Cambria" w:hAnsi="Cambria" w:cs="Cambria"/>
      <w:b/>
      <w:bCs/>
      <w:color w:val="365F91"/>
      <w:sz w:val="28"/>
      <w:szCs w:val="28"/>
    </w:rPr>
  </w:style>
  <w:style w:type="character" w:styleId="Hyperlink">
    <w:name w:val="Hyperlink"/>
    <w:uiPriority w:val="99"/>
    <w:semiHidden/>
    <w:rsid w:val="00944826"/>
    <w:rPr>
      <w:color w:val="0000FF"/>
      <w:u w:val="single"/>
    </w:rPr>
  </w:style>
  <w:style w:type="character" w:styleId="FollowedHyperlink">
    <w:name w:val="FollowedHyperlink"/>
    <w:uiPriority w:val="99"/>
    <w:semiHidden/>
    <w:rsid w:val="00944826"/>
    <w:rPr>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b/>
      <w:bCs/>
    </w:rPr>
  </w:style>
  <w:style w:type="character" w:customStyle="1" w:styleId="th1">
    <w:name w:val="th1"/>
    <w:uiPriority w:val="99"/>
    <w:rsid w:val="00944826"/>
    <w:rPr>
      <w:b/>
      <w:bCs/>
      <w:color w:val="333333"/>
    </w:rPr>
  </w:style>
  <w:style w:type="character" w:styleId="Emphasis">
    <w:name w:val="Emphasis"/>
    <w:uiPriority w:val="99"/>
    <w:qFormat/>
    <w:rsid w:val="00944826"/>
    <w:rPr>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rsid w:val="002308FA"/>
    <w:rPr>
      <w:rFonts w:ascii="Tahoma" w:hAnsi="Tahoma" w:cs="Tahoma"/>
      <w:sz w:val="16"/>
      <w:szCs w:val="16"/>
    </w:rPr>
  </w:style>
  <w:style w:type="table" w:styleId="TableGrid">
    <w:name w:val="Table Grid"/>
    <w:basedOn w:val="TableNormal"/>
    <w:uiPriority w:val="99"/>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rsid w:val="006D24A9"/>
    <w:rPr>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rsid w:val="009A1431"/>
    <w:rPr>
      <w:sz w:val="24"/>
      <w:szCs w:val="24"/>
      <w:lang w:val="lv-LV" w:eastAsia="lv-LV"/>
    </w:rPr>
  </w:style>
  <w:style w:type="character" w:styleId="PageNumber">
    <w:name w:val="page number"/>
    <w:basedOn w:val="DefaultParagraphFont"/>
    <w:uiPriority w:val="99"/>
    <w:rsid w:val="00745496"/>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rsid w:val="009A1431"/>
    <w:rPr>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cs="Calibri"/>
      <w:sz w:val="22"/>
      <w:szCs w:val="22"/>
      <w:lang w:val="en-US" w:eastAsia="en-US"/>
    </w:rPr>
  </w:style>
  <w:style w:type="character" w:styleId="CommentReference">
    <w:name w:val="annotation reference"/>
    <w:uiPriority w:val="99"/>
    <w:semiHidden/>
    <w:rsid w:val="00FE43E7"/>
    <w:rPr>
      <w:sz w:val="16"/>
      <w:szCs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semiHidden/>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
    <w:uiPriority w:val="99"/>
    <w:semiHidden/>
    <w:rsid w:val="00D33CD0"/>
    <w:rPr>
      <w:vertAlign w:val="superscript"/>
    </w:rPr>
  </w:style>
  <w:style w:type="character" w:customStyle="1" w:styleId="spelle">
    <w:name w:val="spelle"/>
    <w:basedOn w:val="DefaultParagraphFont"/>
    <w:uiPriority w:val="99"/>
    <w:rsid w:val="003F512A"/>
  </w:style>
  <w:style w:type="paragraph" w:styleId="BodyText3">
    <w:name w:val="Body Text 3"/>
    <w:basedOn w:val="Normal"/>
    <w:link w:val="BodyText3Char"/>
    <w:uiPriority w:val="99"/>
    <w:rsid w:val="00ED5AD4"/>
    <w:pPr>
      <w:spacing w:after="120"/>
    </w:pPr>
    <w:rPr>
      <w:sz w:val="16"/>
      <w:szCs w:val="16"/>
    </w:rPr>
  </w:style>
  <w:style w:type="character" w:customStyle="1" w:styleId="BodyText3Char">
    <w:name w:val="Body Text 3 Char"/>
    <w:link w:val="BodyText3"/>
    <w:uiPriority w:val="99"/>
    <w:rsid w:val="00ED5AD4"/>
    <w:rPr>
      <w:sz w:val="16"/>
      <w:szCs w:val="16"/>
      <w:lang w:val="lv-LV" w:eastAsia="lv-LV"/>
    </w:rPr>
  </w:style>
  <w:style w:type="paragraph" w:customStyle="1" w:styleId="Parasts">
    <w:name w:val="Parasts"/>
    <w:uiPriority w:val="99"/>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99"/>
    <w:rsid w:val="00D203FD"/>
    <w:rPr>
      <w:rFonts w:ascii="Calibri" w:hAnsi="Calibri" w:cs="Calibri"/>
      <w:sz w:val="22"/>
      <w:szCs w:val="22"/>
      <w:lang w:eastAsia="en-US"/>
    </w:rPr>
  </w:style>
  <w:style w:type="paragraph" w:styleId="PlainText">
    <w:name w:val="Plain Text"/>
    <w:basedOn w:val="Normal"/>
    <w:link w:val="PlainTextChar"/>
    <w:uiPriority w:val="99"/>
    <w:rsid w:val="00EC6859"/>
    <w:rPr>
      <w:rFonts w:ascii="Calibri" w:hAnsi="Calibri" w:cs="Calibri"/>
      <w:sz w:val="22"/>
      <w:szCs w:val="22"/>
    </w:rPr>
  </w:style>
  <w:style w:type="character" w:customStyle="1" w:styleId="PlainTextChar">
    <w:name w:val="Plain Text Char"/>
    <w:link w:val="PlainText"/>
    <w:uiPriority w:val="99"/>
    <w:rsid w:val="00EC6859"/>
    <w:rPr>
      <w:rFonts w:ascii="Calibri" w:eastAsia="Times New Roman" w:hAnsi="Calibri" w:cs="Calibri"/>
      <w:sz w:val="22"/>
      <w:szCs w:val="22"/>
    </w:rPr>
  </w:style>
  <w:style w:type="paragraph" w:styleId="NoSpacing">
    <w:name w:val="No Spacing"/>
    <w:link w:val="NoSpacingChar"/>
    <w:uiPriority w:val="1"/>
    <w:qFormat/>
    <w:rsid w:val="00E17224"/>
    <w:rPr>
      <w:rFonts w:ascii="Calibri" w:hAnsi="Calibri" w:cs="Calibri"/>
      <w:sz w:val="22"/>
      <w:szCs w:val="22"/>
      <w:lang w:eastAsia="en-US"/>
    </w:rPr>
  </w:style>
  <w:style w:type="character" w:customStyle="1" w:styleId="navigatable">
    <w:name w:val="navigatable"/>
    <w:basedOn w:val="DefaultParagraphFont"/>
    <w:uiPriority w:val="99"/>
    <w:rsid w:val="00BB4645"/>
  </w:style>
  <w:style w:type="paragraph" w:customStyle="1" w:styleId="tv2132">
    <w:name w:val="tv2132"/>
    <w:basedOn w:val="Normal"/>
    <w:rsid w:val="00B06CC0"/>
    <w:pPr>
      <w:spacing w:line="360" w:lineRule="auto"/>
      <w:ind w:firstLine="300"/>
    </w:pPr>
    <w:rPr>
      <w:color w:val="414142"/>
      <w:sz w:val="20"/>
      <w:szCs w:val="20"/>
    </w:rPr>
  </w:style>
  <w:style w:type="paragraph" w:customStyle="1" w:styleId="paragraph">
    <w:name w:val="paragraph"/>
    <w:basedOn w:val="Normal"/>
    <w:rsid w:val="00C50BAD"/>
    <w:pPr>
      <w:spacing w:before="100" w:beforeAutospacing="1" w:after="100" w:afterAutospacing="1"/>
    </w:pPr>
  </w:style>
  <w:style w:type="character" w:customStyle="1" w:styleId="normaltextrun">
    <w:name w:val="normaltextrun"/>
    <w:basedOn w:val="DefaultParagraphFont"/>
    <w:rsid w:val="00C50BAD"/>
  </w:style>
  <w:style w:type="character" w:customStyle="1" w:styleId="eop">
    <w:name w:val="eop"/>
    <w:basedOn w:val="DefaultParagraphFont"/>
    <w:rsid w:val="00C50BAD"/>
  </w:style>
  <w:style w:type="character" w:customStyle="1" w:styleId="NoSpacingChar">
    <w:name w:val="No Spacing Char"/>
    <w:basedOn w:val="DefaultParagraphFont"/>
    <w:link w:val="NoSpacing"/>
    <w:uiPriority w:val="1"/>
    <w:locked/>
    <w:rsid w:val="0065280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189968">
      <w:bodyDiv w:val="1"/>
      <w:marLeft w:val="0"/>
      <w:marRight w:val="0"/>
      <w:marTop w:val="0"/>
      <w:marBottom w:val="0"/>
      <w:divBdr>
        <w:top w:val="none" w:sz="0" w:space="0" w:color="auto"/>
        <w:left w:val="none" w:sz="0" w:space="0" w:color="auto"/>
        <w:bottom w:val="none" w:sz="0" w:space="0" w:color="auto"/>
        <w:right w:val="none" w:sz="0" w:space="0" w:color="auto"/>
      </w:divBdr>
      <w:divsChild>
        <w:div w:id="1921518809">
          <w:marLeft w:val="0"/>
          <w:marRight w:val="0"/>
          <w:marTop w:val="0"/>
          <w:marBottom w:val="0"/>
          <w:divBdr>
            <w:top w:val="none" w:sz="0" w:space="0" w:color="auto"/>
            <w:left w:val="none" w:sz="0" w:space="0" w:color="auto"/>
            <w:bottom w:val="none" w:sz="0" w:space="0" w:color="auto"/>
            <w:right w:val="none" w:sz="0" w:space="0" w:color="auto"/>
          </w:divBdr>
        </w:div>
        <w:div w:id="2005157962">
          <w:marLeft w:val="0"/>
          <w:marRight w:val="0"/>
          <w:marTop w:val="0"/>
          <w:marBottom w:val="0"/>
          <w:divBdr>
            <w:top w:val="none" w:sz="0" w:space="0" w:color="auto"/>
            <w:left w:val="none" w:sz="0" w:space="0" w:color="auto"/>
            <w:bottom w:val="none" w:sz="0" w:space="0" w:color="auto"/>
            <w:right w:val="none" w:sz="0" w:space="0" w:color="auto"/>
          </w:divBdr>
        </w:div>
      </w:divsChild>
    </w:div>
    <w:div w:id="1548637982">
      <w:bodyDiv w:val="1"/>
      <w:marLeft w:val="0"/>
      <w:marRight w:val="0"/>
      <w:marTop w:val="0"/>
      <w:marBottom w:val="0"/>
      <w:divBdr>
        <w:top w:val="none" w:sz="0" w:space="0" w:color="auto"/>
        <w:left w:val="none" w:sz="0" w:space="0" w:color="auto"/>
        <w:bottom w:val="none" w:sz="0" w:space="0" w:color="auto"/>
        <w:right w:val="none" w:sz="0" w:space="0" w:color="auto"/>
      </w:divBdr>
    </w:div>
    <w:div w:id="1557160410">
      <w:marLeft w:val="0"/>
      <w:marRight w:val="0"/>
      <w:marTop w:val="0"/>
      <w:marBottom w:val="0"/>
      <w:divBdr>
        <w:top w:val="none" w:sz="0" w:space="0" w:color="auto"/>
        <w:left w:val="none" w:sz="0" w:space="0" w:color="auto"/>
        <w:bottom w:val="none" w:sz="0" w:space="0" w:color="auto"/>
        <w:right w:val="none" w:sz="0" w:space="0" w:color="auto"/>
      </w:divBdr>
    </w:div>
    <w:div w:id="1557160411">
      <w:marLeft w:val="0"/>
      <w:marRight w:val="0"/>
      <w:marTop w:val="0"/>
      <w:marBottom w:val="0"/>
      <w:divBdr>
        <w:top w:val="none" w:sz="0" w:space="0" w:color="auto"/>
        <w:left w:val="none" w:sz="0" w:space="0" w:color="auto"/>
        <w:bottom w:val="none" w:sz="0" w:space="0" w:color="auto"/>
        <w:right w:val="none" w:sz="0" w:space="0" w:color="auto"/>
      </w:divBdr>
    </w:div>
    <w:div w:id="1557160412">
      <w:marLeft w:val="0"/>
      <w:marRight w:val="0"/>
      <w:marTop w:val="0"/>
      <w:marBottom w:val="0"/>
      <w:divBdr>
        <w:top w:val="none" w:sz="0" w:space="0" w:color="auto"/>
        <w:left w:val="none" w:sz="0" w:space="0" w:color="auto"/>
        <w:bottom w:val="none" w:sz="0" w:space="0" w:color="auto"/>
        <w:right w:val="none" w:sz="0" w:space="0" w:color="auto"/>
      </w:divBdr>
    </w:div>
    <w:div w:id="1557160413">
      <w:marLeft w:val="0"/>
      <w:marRight w:val="0"/>
      <w:marTop w:val="0"/>
      <w:marBottom w:val="0"/>
      <w:divBdr>
        <w:top w:val="none" w:sz="0" w:space="0" w:color="auto"/>
        <w:left w:val="none" w:sz="0" w:space="0" w:color="auto"/>
        <w:bottom w:val="none" w:sz="0" w:space="0" w:color="auto"/>
        <w:right w:val="none" w:sz="0" w:space="0" w:color="auto"/>
      </w:divBdr>
    </w:div>
    <w:div w:id="1557160414">
      <w:marLeft w:val="0"/>
      <w:marRight w:val="0"/>
      <w:marTop w:val="0"/>
      <w:marBottom w:val="0"/>
      <w:divBdr>
        <w:top w:val="none" w:sz="0" w:space="0" w:color="auto"/>
        <w:left w:val="none" w:sz="0" w:space="0" w:color="auto"/>
        <w:bottom w:val="none" w:sz="0" w:space="0" w:color="auto"/>
        <w:right w:val="none" w:sz="0" w:space="0" w:color="auto"/>
      </w:divBdr>
    </w:div>
    <w:div w:id="1557160415">
      <w:marLeft w:val="0"/>
      <w:marRight w:val="0"/>
      <w:marTop w:val="0"/>
      <w:marBottom w:val="0"/>
      <w:divBdr>
        <w:top w:val="none" w:sz="0" w:space="0" w:color="auto"/>
        <w:left w:val="none" w:sz="0" w:space="0" w:color="auto"/>
        <w:bottom w:val="none" w:sz="0" w:space="0" w:color="auto"/>
        <w:right w:val="none" w:sz="0" w:space="0" w:color="auto"/>
      </w:divBdr>
    </w:div>
    <w:div w:id="1557160416">
      <w:marLeft w:val="0"/>
      <w:marRight w:val="0"/>
      <w:marTop w:val="0"/>
      <w:marBottom w:val="0"/>
      <w:divBdr>
        <w:top w:val="none" w:sz="0" w:space="0" w:color="auto"/>
        <w:left w:val="none" w:sz="0" w:space="0" w:color="auto"/>
        <w:bottom w:val="none" w:sz="0" w:space="0" w:color="auto"/>
        <w:right w:val="none" w:sz="0" w:space="0" w:color="auto"/>
      </w:divBdr>
    </w:div>
    <w:div w:id="1557160417">
      <w:marLeft w:val="0"/>
      <w:marRight w:val="0"/>
      <w:marTop w:val="0"/>
      <w:marBottom w:val="0"/>
      <w:divBdr>
        <w:top w:val="none" w:sz="0" w:space="0" w:color="auto"/>
        <w:left w:val="none" w:sz="0" w:space="0" w:color="auto"/>
        <w:bottom w:val="none" w:sz="0" w:space="0" w:color="auto"/>
        <w:right w:val="none" w:sz="0" w:space="0" w:color="auto"/>
      </w:divBdr>
    </w:div>
    <w:div w:id="1557160418">
      <w:marLeft w:val="0"/>
      <w:marRight w:val="0"/>
      <w:marTop w:val="0"/>
      <w:marBottom w:val="0"/>
      <w:divBdr>
        <w:top w:val="none" w:sz="0" w:space="0" w:color="auto"/>
        <w:left w:val="none" w:sz="0" w:space="0" w:color="auto"/>
        <w:bottom w:val="none" w:sz="0" w:space="0" w:color="auto"/>
        <w:right w:val="none" w:sz="0" w:space="0" w:color="auto"/>
      </w:divBdr>
    </w:div>
    <w:div w:id="1557160419">
      <w:marLeft w:val="0"/>
      <w:marRight w:val="0"/>
      <w:marTop w:val="0"/>
      <w:marBottom w:val="0"/>
      <w:divBdr>
        <w:top w:val="none" w:sz="0" w:space="0" w:color="auto"/>
        <w:left w:val="none" w:sz="0" w:space="0" w:color="auto"/>
        <w:bottom w:val="none" w:sz="0" w:space="0" w:color="auto"/>
        <w:right w:val="none" w:sz="0" w:space="0" w:color="auto"/>
      </w:divBdr>
    </w:div>
    <w:div w:id="1557160420">
      <w:marLeft w:val="0"/>
      <w:marRight w:val="0"/>
      <w:marTop w:val="0"/>
      <w:marBottom w:val="0"/>
      <w:divBdr>
        <w:top w:val="none" w:sz="0" w:space="0" w:color="auto"/>
        <w:left w:val="none" w:sz="0" w:space="0" w:color="auto"/>
        <w:bottom w:val="none" w:sz="0" w:space="0" w:color="auto"/>
        <w:right w:val="none" w:sz="0" w:space="0" w:color="auto"/>
      </w:divBdr>
    </w:div>
    <w:div w:id="1557160421">
      <w:marLeft w:val="0"/>
      <w:marRight w:val="0"/>
      <w:marTop w:val="0"/>
      <w:marBottom w:val="0"/>
      <w:divBdr>
        <w:top w:val="none" w:sz="0" w:space="0" w:color="auto"/>
        <w:left w:val="none" w:sz="0" w:space="0" w:color="auto"/>
        <w:bottom w:val="none" w:sz="0" w:space="0" w:color="auto"/>
        <w:right w:val="none" w:sz="0" w:space="0" w:color="auto"/>
      </w:divBdr>
    </w:div>
    <w:div w:id="1557160424">
      <w:marLeft w:val="0"/>
      <w:marRight w:val="0"/>
      <w:marTop w:val="0"/>
      <w:marBottom w:val="0"/>
      <w:divBdr>
        <w:top w:val="none" w:sz="0" w:space="0" w:color="auto"/>
        <w:left w:val="none" w:sz="0" w:space="0" w:color="auto"/>
        <w:bottom w:val="none" w:sz="0" w:space="0" w:color="auto"/>
        <w:right w:val="none" w:sz="0" w:space="0" w:color="auto"/>
      </w:divBdr>
    </w:div>
    <w:div w:id="1557160425">
      <w:marLeft w:val="0"/>
      <w:marRight w:val="0"/>
      <w:marTop w:val="0"/>
      <w:marBottom w:val="0"/>
      <w:divBdr>
        <w:top w:val="none" w:sz="0" w:space="0" w:color="auto"/>
        <w:left w:val="none" w:sz="0" w:space="0" w:color="auto"/>
        <w:bottom w:val="none" w:sz="0" w:space="0" w:color="auto"/>
        <w:right w:val="none" w:sz="0" w:space="0" w:color="auto"/>
      </w:divBdr>
    </w:div>
    <w:div w:id="1557160426">
      <w:marLeft w:val="0"/>
      <w:marRight w:val="0"/>
      <w:marTop w:val="0"/>
      <w:marBottom w:val="0"/>
      <w:divBdr>
        <w:top w:val="none" w:sz="0" w:space="0" w:color="auto"/>
        <w:left w:val="none" w:sz="0" w:space="0" w:color="auto"/>
        <w:bottom w:val="none" w:sz="0" w:space="0" w:color="auto"/>
        <w:right w:val="none" w:sz="0" w:space="0" w:color="auto"/>
      </w:divBdr>
      <w:divsChild>
        <w:div w:id="1557160422">
          <w:marLeft w:val="0"/>
          <w:marRight w:val="0"/>
          <w:marTop w:val="0"/>
          <w:marBottom w:val="0"/>
          <w:divBdr>
            <w:top w:val="none" w:sz="0" w:space="0" w:color="auto"/>
            <w:left w:val="none" w:sz="0" w:space="0" w:color="auto"/>
            <w:bottom w:val="none" w:sz="0" w:space="0" w:color="auto"/>
            <w:right w:val="none" w:sz="0" w:space="0" w:color="auto"/>
          </w:divBdr>
        </w:div>
        <w:div w:id="1557160427">
          <w:marLeft w:val="0"/>
          <w:marRight w:val="0"/>
          <w:marTop w:val="0"/>
          <w:marBottom w:val="0"/>
          <w:divBdr>
            <w:top w:val="single" w:sz="12" w:space="0" w:color="8CC4C3"/>
            <w:left w:val="single" w:sz="12" w:space="0" w:color="8CC4C3"/>
            <w:bottom w:val="single" w:sz="12" w:space="0" w:color="8CC4C3"/>
            <w:right w:val="single" w:sz="12" w:space="0" w:color="8CC4C3"/>
          </w:divBdr>
          <w:divsChild>
            <w:div w:id="1557160423">
              <w:marLeft w:val="0"/>
              <w:marRight w:val="0"/>
              <w:marTop w:val="0"/>
              <w:marBottom w:val="0"/>
              <w:divBdr>
                <w:top w:val="none" w:sz="0" w:space="0" w:color="auto"/>
                <w:left w:val="none" w:sz="0" w:space="0" w:color="auto"/>
                <w:bottom w:val="none" w:sz="0" w:space="0" w:color="auto"/>
                <w:right w:val="none" w:sz="0" w:space="0" w:color="auto"/>
              </w:divBdr>
            </w:div>
            <w:div w:id="15571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429">
      <w:marLeft w:val="0"/>
      <w:marRight w:val="0"/>
      <w:marTop w:val="0"/>
      <w:marBottom w:val="0"/>
      <w:divBdr>
        <w:top w:val="none" w:sz="0" w:space="0" w:color="auto"/>
        <w:left w:val="none" w:sz="0" w:space="0" w:color="auto"/>
        <w:bottom w:val="none" w:sz="0" w:space="0" w:color="auto"/>
        <w:right w:val="none" w:sz="0" w:space="0" w:color="auto"/>
      </w:divBdr>
    </w:div>
    <w:div w:id="1557160430">
      <w:marLeft w:val="0"/>
      <w:marRight w:val="0"/>
      <w:marTop w:val="0"/>
      <w:marBottom w:val="0"/>
      <w:divBdr>
        <w:top w:val="none" w:sz="0" w:space="0" w:color="auto"/>
        <w:left w:val="none" w:sz="0" w:space="0" w:color="auto"/>
        <w:bottom w:val="none" w:sz="0" w:space="0" w:color="auto"/>
        <w:right w:val="none" w:sz="0" w:space="0" w:color="auto"/>
      </w:divBdr>
      <w:divsChild>
        <w:div w:id="1557160438">
          <w:marLeft w:val="0"/>
          <w:marRight w:val="0"/>
          <w:marTop w:val="0"/>
          <w:marBottom w:val="0"/>
          <w:divBdr>
            <w:top w:val="none" w:sz="0" w:space="0" w:color="auto"/>
            <w:left w:val="none" w:sz="0" w:space="0" w:color="auto"/>
            <w:bottom w:val="none" w:sz="0" w:space="0" w:color="auto"/>
            <w:right w:val="none" w:sz="0" w:space="0" w:color="auto"/>
          </w:divBdr>
        </w:div>
      </w:divsChild>
    </w:div>
    <w:div w:id="1557160431">
      <w:marLeft w:val="0"/>
      <w:marRight w:val="0"/>
      <w:marTop w:val="0"/>
      <w:marBottom w:val="0"/>
      <w:divBdr>
        <w:top w:val="none" w:sz="0" w:space="0" w:color="auto"/>
        <w:left w:val="none" w:sz="0" w:space="0" w:color="auto"/>
        <w:bottom w:val="none" w:sz="0" w:space="0" w:color="auto"/>
        <w:right w:val="none" w:sz="0" w:space="0" w:color="auto"/>
      </w:divBdr>
    </w:div>
    <w:div w:id="1557160432">
      <w:marLeft w:val="0"/>
      <w:marRight w:val="0"/>
      <w:marTop w:val="0"/>
      <w:marBottom w:val="0"/>
      <w:divBdr>
        <w:top w:val="none" w:sz="0" w:space="0" w:color="auto"/>
        <w:left w:val="none" w:sz="0" w:space="0" w:color="auto"/>
        <w:bottom w:val="none" w:sz="0" w:space="0" w:color="auto"/>
        <w:right w:val="none" w:sz="0" w:space="0" w:color="auto"/>
      </w:divBdr>
    </w:div>
    <w:div w:id="1557160433">
      <w:marLeft w:val="0"/>
      <w:marRight w:val="0"/>
      <w:marTop w:val="0"/>
      <w:marBottom w:val="0"/>
      <w:divBdr>
        <w:top w:val="none" w:sz="0" w:space="0" w:color="auto"/>
        <w:left w:val="none" w:sz="0" w:space="0" w:color="auto"/>
        <w:bottom w:val="none" w:sz="0" w:space="0" w:color="auto"/>
        <w:right w:val="none" w:sz="0" w:space="0" w:color="auto"/>
      </w:divBdr>
    </w:div>
    <w:div w:id="1557160435">
      <w:marLeft w:val="0"/>
      <w:marRight w:val="0"/>
      <w:marTop w:val="0"/>
      <w:marBottom w:val="0"/>
      <w:divBdr>
        <w:top w:val="none" w:sz="0" w:space="0" w:color="auto"/>
        <w:left w:val="none" w:sz="0" w:space="0" w:color="auto"/>
        <w:bottom w:val="none" w:sz="0" w:space="0" w:color="auto"/>
        <w:right w:val="none" w:sz="0" w:space="0" w:color="auto"/>
      </w:divBdr>
    </w:div>
    <w:div w:id="1557160436">
      <w:marLeft w:val="0"/>
      <w:marRight w:val="0"/>
      <w:marTop w:val="0"/>
      <w:marBottom w:val="0"/>
      <w:divBdr>
        <w:top w:val="none" w:sz="0" w:space="0" w:color="auto"/>
        <w:left w:val="none" w:sz="0" w:space="0" w:color="auto"/>
        <w:bottom w:val="none" w:sz="0" w:space="0" w:color="auto"/>
        <w:right w:val="none" w:sz="0" w:space="0" w:color="auto"/>
      </w:divBdr>
    </w:div>
    <w:div w:id="1557160437">
      <w:marLeft w:val="0"/>
      <w:marRight w:val="0"/>
      <w:marTop w:val="0"/>
      <w:marBottom w:val="0"/>
      <w:divBdr>
        <w:top w:val="none" w:sz="0" w:space="0" w:color="auto"/>
        <w:left w:val="none" w:sz="0" w:space="0" w:color="auto"/>
        <w:bottom w:val="none" w:sz="0" w:space="0" w:color="auto"/>
        <w:right w:val="none" w:sz="0" w:space="0" w:color="auto"/>
      </w:divBdr>
      <w:divsChild>
        <w:div w:id="1557160434">
          <w:marLeft w:val="0"/>
          <w:marRight w:val="0"/>
          <w:marTop w:val="0"/>
          <w:marBottom w:val="0"/>
          <w:divBdr>
            <w:top w:val="none" w:sz="0" w:space="0" w:color="auto"/>
            <w:left w:val="none" w:sz="0" w:space="0" w:color="auto"/>
            <w:bottom w:val="none" w:sz="0" w:space="0" w:color="auto"/>
            <w:right w:val="none" w:sz="0" w:space="0" w:color="auto"/>
          </w:divBdr>
        </w:div>
      </w:divsChild>
    </w:div>
    <w:div w:id="1557160439">
      <w:marLeft w:val="0"/>
      <w:marRight w:val="0"/>
      <w:marTop w:val="0"/>
      <w:marBottom w:val="0"/>
      <w:divBdr>
        <w:top w:val="none" w:sz="0" w:space="0" w:color="auto"/>
        <w:left w:val="none" w:sz="0" w:space="0" w:color="auto"/>
        <w:bottom w:val="none" w:sz="0" w:space="0" w:color="auto"/>
        <w:right w:val="none" w:sz="0" w:space="0" w:color="auto"/>
      </w:divBdr>
    </w:div>
    <w:div w:id="1557160440">
      <w:marLeft w:val="0"/>
      <w:marRight w:val="0"/>
      <w:marTop w:val="0"/>
      <w:marBottom w:val="0"/>
      <w:divBdr>
        <w:top w:val="none" w:sz="0" w:space="0" w:color="auto"/>
        <w:left w:val="none" w:sz="0" w:space="0" w:color="auto"/>
        <w:bottom w:val="none" w:sz="0" w:space="0" w:color="auto"/>
        <w:right w:val="none" w:sz="0" w:space="0" w:color="auto"/>
      </w:divBdr>
    </w:div>
    <w:div w:id="1557160441">
      <w:marLeft w:val="0"/>
      <w:marRight w:val="0"/>
      <w:marTop w:val="0"/>
      <w:marBottom w:val="0"/>
      <w:divBdr>
        <w:top w:val="none" w:sz="0" w:space="0" w:color="auto"/>
        <w:left w:val="none" w:sz="0" w:space="0" w:color="auto"/>
        <w:bottom w:val="none" w:sz="0" w:space="0" w:color="auto"/>
        <w:right w:val="none" w:sz="0" w:space="0" w:color="auto"/>
      </w:divBdr>
    </w:div>
    <w:div w:id="1557160442">
      <w:marLeft w:val="0"/>
      <w:marRight w:val="0"/>
      <w:marTop w:val="0"/>
      <w:marBottom w:val="0"/>
      <w:divBdr>
        <w:top w:val="none" w:sz="0" w:space="0" w:color="auto"/>
        <w:left w:val="none" w:sz="0" w:space="0" w:color="auto"/>
        <w:bottom w:val="none" w:sz="0" w:space="0" w:color="auto"/>
        <w:right w:val="none" w:sz="0" w:space="0" w:color="auto"/>
      </w:divBdr>
    </w:div>
    <w:div w:id="1557160443">
      <w:marLeft w:val="0"/>
      <w:marRight w:val="0"/>
      <w:marTop w:val="0"/>
      <w:marBottom w:val="0"/>
      <w:divBdr>
        <w:top w:val="none" w:sz="0" w:space="0" w:color="auto"/>
        <w:left w:val="none" w:sz="0" w:space="0" w:color="auto"/>
        <w:bottom w:val="none" w:sz="0" w:space="0" w:color="auto"/>
        <w:right w:val="none" w:sz="0" w:space="0" w:color="auto"/>
      </w:divBdr>
    </w:div>
    <w:div w:id="1557160444">
      <w:marLeft w:val="0"/>
      <w:marRight w:val="0"/>
      <w:marTop w:val="0"/>
      <w:marBottom w:val="0"/>
      <w:divBdr>
        <w:top w:val="none" w:sz="0" w:space="0" w:color="auto"/>
        <w:left w:val="none" w:sz="0" w:space="0" w:color="auto"/>
        <w:bottom w:val="none" w:sz="0" w:space="0" w:color="auto"/>
        <w:right w:val="none" w:sz="0" w:space="0" w:color="auto"/>
      </w:divBdr>
    </w:div>
    <w:div w:id="1557160445">
      <w:marLeft w:val="0"/>
      <w:marRight w:val="0"/>
      <w:marTop w:val="0"/>
      <w:marBottom w:val="0"/>
      <w:divBdr>
        <w:top w:val="none" w:sz="0" w:space="0" w:color="auto"/>
        <w:left w:val="none" w:sz="0" w:space="0" w:color="auto"/>
        <w:bottom w:val="none" w:sz="0" w:space="0" w:color="auto"/>
        <w:right w:val="none" w:sz="0" w:space="0" w:color="auto"/>
      </w:divBdr>
    </w:div>
    <w:div w:id="1557160446">
      <w:marLeft w:val="0"/>
      <w:marRight w:val="0"/>
      <w:marTop w:val="0"/>
      <w:marBottom w:val="0"/>
      <w:divBdr>
        <w:top w:val="none" w:sz="0" w:space="0" w:color="auto"/>
        <w:left w:val="none" w:sz="0" w:space="0" w:color="auto"/>
        <w:bottom w:val="none" w:sz="0" w:space="0" w:color="auto"/>
        <w:right w:val="none" w:sz="0" w:space="0" w:color="auto"/>
      </w:divBdr>
    </w:div>
    <w:div w:id="1557160447">
      <w:marLeft w:val="0"/>
      <w:marRight w:val="0"/>
      <w:marTop w:val="0"/>
      <w:marBottom w:val="0"/>
      <w:divBdr>
        <w:top w:val="none" w:sz="0" w:space="0" w:color="auto"/>
        <w:left w:val="none" w:sz="0" w:space="0" w:color="auto"/>
        <w:bottom w:val="none" w:sz="0" w:space="0" w:color="auto"/>
        <w:right w:val="none" w:sz="0" w:space="0" w:color="auto"/>
      </w:divBdr>
    </w:div>
    <w:div w:id="1557160448">
      <w:marLeft w:val="0"/>
      <w:marRight w:val="0"/>
      <w:marTop w:val="0"/>
      <w:marBottom w:val="0"/>
      <w:divBdr>
        <w:top w:val="none" w:sz="0" w:space="0" w:color="auto"/>
        <w:left w:val="none" w:sz="0" w:space="0" w:color="auto"/>
        <w:bottom w:val="none" w:sz="0" w:space="0" w:color="auto"/>
        <w:right w:val="none" w:sz="0" w:space="0" w:color="auto"/>
      </w:divBdr>
    </w:div>
    <w:div w:id="1557160449">
      <w:marLeft w:val="0"/>
      <w:marRight w:val="0"/>
      <w:marTop w:val="0"/>
      <w:marBottom w:val="0"/>
      <w:divBdr>
        <w:top w:val="none" w:sz="0" w:space="0" w:color="auto"/>
        <w:left w:val="none" w:sz="0" w:space="0" w:color="auto"/>
        <w:bottom w:val="none" w:sz="0" w:space="0" w:color="auto"/>
        <w:right w:val="none" w:sz="0" w:space="0" w:color="auto"/>
      </w:divBdr>
    </w:div>
    <w:div w:id="1557160450">
      <w:marLeft w:val="0"/>
      <w:marRight w:val="0"/>
      <w:marTop w:val="0"/>
      <w:marBottom w:val="0"/>
      <w:divBdr>
        <w:top w:val="none" w:sz="0" w:space="0" w:color="auto"/>
        <w:left w:val="none" w:sz="0" w:space="0" w:color="auto"/>
        <w:bottom w:val="none" w:sz="0" w:space="0" w:color="auto"/>
        <w:right w:val="none" w:sz="0" w:space="0" w:color="auto"/>
      </w:divBdr>
    </w:div>
    <w:div w:id="1557160451">
      <w:marLeft w:val="0"/>
      <w:marRight w:val="0"/>
      <w:marTop w:val="0"/>
      <w:marBottom w:val="0"/>
      <w:divBdr>
        <w:top w:val="none" w:sz="0" w:space="0" w:color="auto"/>
        <w:left w:val="none" w:sz="0" w:space="0" w:color="auto"/>
        <w:bottom w:val="none" w:sz="0" w:space="0" w:color="auto"/>
        <w:right w:val="none" w:sz="0" w:space="0" w:color="auto"/>
      </w:divBdr>
    </w:div>
    <w:div w:id="1557160452">
      <w:marLeft w:val="0"/>
      <w:marRight w:val="0"/>
      <w:marTop w:val="0"/>
      <w:marBottom w:val="0"/>
      <w:divBdr>
        <w:top w:val="none" w:sz="0" w:space="0" w:color="auto"/>
        <w:left w:val="none" w:sz="0" w:space="0" w:color="auto"/>
        <w:bottom w:val="none" w:sz="0" w:space="0" w:color="auto"/>
        <w:right w:val="none" w:sz="0" w:space="0" w:color="auto"/>
      </w:divBdr>
    </w:div>
    <w:div w:id="1557160453">
      <w:marLeft w:val="0"/>
      <w:marRight w:val="0"/>
      <w:marTop w:val="0"/>
      <w:marBottom w:val="0"/>
      <w:divBdr>
        <w:top w:val="none" w:sz="0" w:space="0" w:color="auto"/>
        <w:left w:val="none" w:sz="0" w:space="0" w:color="auto"/>
        <w:bottom w:val="none" w:sz="0" w:space="0" w:color="auto"/>
        <w:right w:val="none" w:sz="0" w:space="0" w:color="auto"/>
      </w:divBdr>
    </w:div>
    <w:div w:id="1557160454">
      <w:marLeft w:val="0"/>
      <w:marRight w:val="0"/>
      <w:marTop w:val="0"/>
      <w:marBottom w:val="0"/>
      <w:divBdr>
        <w:top w:val="none" w:sz="0" w:space="0" w:color="auto"/>
        <w:left w:val="none" w:sz="0" w:space="0" w:color="auto"/>
        <w:bottom w:val="none" w:sz="0" w:space="0" w:color="auto"/>
        <w:right w:val="none" w:sz="0" w:space="0" w:color="auto"/>
      </w:divBdr>
    </w:div>
    <w:div w:id="1557160455">
      <w:marLeft w:val="0"/>
      <w:marRight w:val="0"/>
      <w:marTop w:val="0"/>
      <w:marBottom w:val="0"/>
      <w:divBdr>
        <w:top w:val="none" w:sz="0" w:space="0" w:color="auto"/>
        <w:left w:val="none" w:sz="0" w:space="0" w:color="auto"/>
        <w:bottom w:val="none" w:sz="0" w:space="0" w:color="auto"/>
        <w:right w:val="none" w:sz="0" w:space="0" w:color="auto"/>
      </w:divBdr>
    </w:div>
    <w:div w:id="1557160456">
      <w:marLeft w:val="0"/>
      <w:marRight w:val="0"/>
      <w:marTop w:val="0"/>
      <w:marBottom w:val="0"/>
      <w:divBdr>
        <w:top w:val="none" w:sz="0" w:space="0" w:color="auto"/>
        <w:left w:val="none" w:sz="0" w:space="0" w:color="auto"/>
        <w:bottom w:val="none" w:sz="0" w:space="0" w:color="auto"/>
        <w:right w:val="none" w:sz="0" w:space="0" w:color="auto"/>
      </w:divBdr>
    </w:div>
    <w:div w:id="1557160457">
      <w:marLeft w:val="0"/>
      <w:marRight w:val="0"/>
      <w:marTop w:val="0"/>
      <w:marBottom w:val="0"/>
      <w:divBdr>
        <w:top w:val="none" w:sz="0" w:space="0" w:color="auto"/>
        <w:left w:val="none" w:sz="0" w:space="0" w:color="auto"/>
        <w:bottom w:val="none" w:sz="0" w:space="0" w:color="auto"/>
        <w:right w:val="none" w:sz="0" w:space="0" w:color="auto"/>
      </w:divBdr>
    </w:div>
    <w:div w:id="1557160458">
      <w:marLeft w:val="0"/>
      <w:marRight w:val="0"/>
      <w:marTop w:val="0"/>
      <w:marBottom w:val="0"/>
      <w:divBdr>
        <w:top w:val="none" w:sz="0" w:space="0" w:color="auto"/>
        <w:left w:val="none" w:sz="0" w:space="0" w:color="auto"/>
        <w:bottom w:val="none" w:sz="0" w:space="0" w:color="auto"/>
        <w:right w:val="none" w:sz="0" w:space="0" w:color="auto"/>
      </w:divBdr>
    </w:div>
    <w:div w:id="1557160459">
      <w:marLeft w:val="0"/>
      <w:marRight w:val="0"/>
      <w:marTop w:val="0"/>
      <w:marBottom w:val="0"/>
      <w:divBdr>
        <w:top w:val="none" w:sz="0" w:space="0" w:color="auto"/>
        <w:left w:val="none" w:sz="0" w:space="0" w:color="auto"/>
        <w:bottom w:val="none" w:sz="0" w:space="0" w:color="auto"/>
        <w:right w:val="none" w:sz="0" w:space="0" w:color="auto"/>
      </w:divBdr>
    </w:div>
    <w:div w:id="1557160460">
      <w:marLeft w:val="0"/>
      <w:marRight w:val="0"/>
      <w:marTop w:val="0"/>
      <w:marBottom w:val="0"/>
      <w:divBdr>
        <w:top w:val="none" w:sz="0" w:space="0" w:color="auto"/>
        <w:left w:val="none" w:sz="0" w:space="0" w:color="auto"/>
        <w:bottom w:val="none" w:sz="0" w:space="0" w:color="auto"/>
        <w:right w:val="none" w:sz="0" w:space="0" w:color="auto"/>
      </w:divBdr>
    </w:div>
    <w:div w:id="1557160461">
      <w:marLeft w:val="0"/>
      <w:marRight w:val="0"/>
      <w:marTop w:val="0"/>
      <w:marBottom w:val="0"/>
      <w:divBdr>
        <w:top w:val="none" w:sz="0" w:space="0" w:color="auto"/>
        <w:left w:val="none" w:sz="0" w:space="0" w:color="auto"/>
        <w:bottom w:val="none" w:sz="0" w:space="0" w:color="auto"/>
        <w:right w:val="none" w:sz="0" w:space="0" w:color="auto"/>
      </w:divBdr>
    </w:div>
    <w:div w:id="1557160462">
      <w:marLeft w:val="0"/>
      <w:marRight w:val="0"/>
      <w:marTop w:val="0"/>
      <w:marBottom w:val="0"/>
      <w:divBdr>
        <w:top w:val="none" w:sz="0" w:space="0" w:color="auto"/>
        <w:left w:val="none" w:sz="0" w:space="0" w:color="auto"/>
        <w:bottom w:val="none" w:sz="0" w:space="0" w:color="auto"/>
        <w:right w:val="none" w:sz="0" w:space="0" w:color="auto"/>
      </w:divBdr>
    </w:div>
    <w:div w:id="1557160463">
      <w:marLeft w:val="0"/>
      <w:marRight w:val="0"/>
      <w:marTop w:val="0"/>
      <w:marBottom w:val="0"/>
      <w:divBdr>
        <w:top w:val="none" w:sz="0" w:space="0" w:color="auto"/>
        <w:left w:val="none" w:sz="0" w:space="0" w:color="auto"/>
        <w:bottom w:val="none" w:sz="0" w:space="0" w:color="auto"/>
        <w:right w:val="none" w:sz="0" w:space="0" w:color="auto"/>
      </w:divBdr>
    </w:div>
    <w:div w:id="1557160464">
      <w:marLeft w:val="0"/>
      <w:marRight w:val="0"/>
      <w:marTop w:val="0"/>
      <w:marBottom w:val="0"/>
      <w:divBdr>
        <w:top w:val="none" w:sz="0" w:space="0" w:color="auto"/>
        <w:left w:val="none" w:sz="0" w:space="0" w:color="auto"/>
        <w:bottom w:val="none" w:sz="0" w:space="0" w:color="auto"/>
        <w:right w:val="none" w:sz="0" w:space="0" w:color="auto"/>
      </w:divBdr>
    </w:div>
    <w:div w:id="1557160465">
      <w:marLeft w:val="0"/>
      <w:marRight w:val="0"/>
      <w:marTop w:val="0"/>
      <w:marBottom w:val="0"/>
      <w:divBdr>
        <w:top w:val="none" w:sz="0" w:space="0" w:color="auto"/>
        <w:left w:val="none" w:sz="0" w:space="0" w:color="auto"/>
        <w:bottom w:val="none" w:sz="0" w:space="0" w:color="auto"/>
        <w:right w:val="none" w:sz="0" w:space="0" w:color="auto"/>
      </w:divBdr>
    </w:div>
    <w:div w:id="1557160466">
      <w:marLeft w:val="0"/>
      <w:marRight w:val="0"/>
      <w:marTop w:val="0"/>
      <w:marBottom w:val="0"/>
      <w:divBdr>
        <w:top w:val="none" w:sz="0" w:space="0" w:color="auto"/>
        <w:left w:val="none" w:sz="0" w:space="0" w:color="auto"/>
        <w:bottom w:val="none" w:sz="0" w:space="0" w:color="auto"/>
        <w:right w:val="none" w:sz="0" w:space="0" w:color="auto"/>
      </w:divBdr>
    </w:div>
    <w:div w:id="1557160467">
      <w:marLeft w:val="0"/>
      <w:marRight w:val="0"/>
      <w:marTop w:val="0"/>
      <w:marBottom w:val="0"/>
      <w:divBdr>
        <w:top w:val="none" w:sz="0" w:space="0" w:color="auto"/>
        <w:left w:val="none" w:sz="0" w:space="0" w:color="auto"/>
        <w:bottom w:val="none" w:sz="0" w:space="0" w:color="auto"/>
        <w:right w:val="none" w:sz="0" w:space="0" w:color="auto"/>
      </w:divBdr>
    </w:div>
    <w:div w:id="1557160468">
      <w:marLeft w:val="0"/>
      <w:marRight w:val="0"/>
      <w:marTop w:val="0"/>
      <w:marBottom w:val="0"/>
      <w:divBdr>
        <w:top w:val="none" w:sz="0" w:space="0" w:color="auto"/>
        <w:left w:val="none" w:sz="0" w:space="0" w:color="auto"/>
        <w:bottom w:val="none" w:sz="0" w:space="0" w:color="auto"/>
        <w:right w:val="none" w:sz="0" w:space="0" w:color="auto"/>
      </w:divBdr>
    </w:div>
    <w:div w:id="1557160469">
      <w:marLeft w:val="0"/>
      <w:marRight w:val="0"/>
      <w:marTop w:val="0"/>
      <w:marBottom w:val="0"/>
      <w:divBdr>
        <w:top w:val="none" w:sz="0" w:space="0" w:color="auto"/>
        <w:left w:val="none" w:sz="0" w:space="0" w:color="auto"/>
        <w:bottom w:val="none" w:sz="0" w:space="0" w:color="auto"/>
        <w:right w:val="none" w:sz="0" w:space="0" w:color="auto"/>
      </w:divBdr>
    </w:div>
    <w:div w:id="1557160470">
      <w:marLeft w:val="0"/>
      <w:marRight w:val="0"/>
      <w:marTop w:val="0"/>
      <w:marBottom w:val="0"/>
      <w:divBdr>
        <w:top w:val="none" w:sz="0" w:space="0" w:color="auto"/>
        <w:left w:val="none" w:sz="0" w:space="0" w:color="auto"/>
        <w:bottom w:val="none" w:sz="0" w:space="0" w:color="auto"/>
        <w:right w:val="none" w:sz="0" w:space="0" w:color="auto"/>
      </w:divBdr>
    </w:div>
    <w:div w:id="1557160471">
      <w:marLeft w:val="0"/>
      <w:marRight w:val="0"/>
      <w:marTop w:val="0"/>
      <w:marBottom w:val="0"/>
      <w:divBdr>
        <w:top w:val="none" w:sz="0" w:space="0" w:color="auto"/>
        <w:left w:val="none" w:sz="0" w:space="0" w:color="auto"/>
        <w:bottom w:val="none" w:sz="0" w:space="0" w:color="auto"/>
        <w:right w:val="none" w:sz="0" w:space="0" w:color="auto"/>
      </w:divBdr>
    </w:div>
    <w:div w:id="1557160472">
      <w:marLeft w:val="0"/>
      <w:marRight w:val="0"/>
      <w:marTop w:val="0"/>
      <w:marBottom w:val="0"/>
      <w:divBdr>
        <w:top w:val="none" w:sz="0" w:space="0" w:color="auto"/>
        <w:left w:val="none" w:sz="0" w:space="0" w:color="auto"/>
        <w:bottom w:val="none" w:sz="0" w:space="0" w:color="auto"/>
        <w:right w:val="none" w:sz="0" w:space="0" w:color="auto"/>
      </w:divBdr>
    </w:div>
    <w:div w:id="1557160473">
      <w:marLeft w:val="0"/>
      <w:marRight w:val="0"/>
      <w:marTop w:val="0"/>
      <w:marBottom w:val="0"/>
      <w:divBdr>
        <w:top w:val="none" w:sz="0" w:space="0" w:color="auto"/>
        <w:left w:val="none" w:sz="0" w:space="0" w:color="auto"/>
        <w:bottom w:val="none" w:sz="0" w:space="0" w:color="auto"/>
        <w:right w:val="none" w:sz="0" w:space="0" w:color="auto"/>
      </w:divBdr>
    </w:div>
    <w:div w:id="1557160474">
      <w:marLeft w:val="0"/>
      <w:marRight w:val="0"/>
      <w:marTop w:val="0"/>
      <w:marBottom w:val="0"/>
      <w:divBdr>
        <w:top w:val="none" w:sz="0" w:space="0" w:color="auto"/>
        <w:left w:val="none" w:sz="0" w:space="0" w:color="auto"/>
        <w:bottom w:val="none" w:sz="0" w:space="0" w:color="auto"/>
        <w:right w:val="none" w:sz="0" w:space="0" w:color="auto"/>
      </w:divBdr>
    </w:div>
    <w:div w:id="1557160475">
      <w:marLeft w:val="0"/>
      <w:marRight w:val="0"/>
      <w:marTop w:val="0"/>
      <w:marBottom w:val="0"/>
      <w:divBdr>
        <w:top w:val="none" w:sz="0" w:space="0" w:color="auto"/>
        <w:left w:val="none" w:sz="0" w:space="0" w:color="auto"/>
        <w:bottom w:val="none" w:sz="0" w:space="0" w:color="auto"/>
        <w:right w:val="none" w:sz="0" w:space="0" w:color="auto"/>
      </w:divBdr>
    </w:div>
    <w:div w:id="1557160476">
      <w:marLeft w:val="0"/>
      <w:marRight w:val="0"/>
      <w:marTop w:val="0"/>
      <w:marBottom w:val="0"/>
      <w:divBdr>
        <w:top w:val="none" w:sz="0" w:space="0" w:color="auto"/>
        <w:left w:val="none" w:sz="0" w:space="0" w:color="auto"/>
        <w:bottom w:val="none" w:sz="0" w:space="0" w:color="auto"/>
        <w:right w:val="none" w:sz="0" w:space="0" w:color="auto"/>
      </w:divBdr>
    </w:div>
    <w:div w:id="1557160477">
      <w:marLeft w:val="0"/>
      <w:marRight w:val="0"/>
      <w:marTop w:val="0"/>
      <w:marBottom w:val="0"/>
      <w:divBdr>
        <w:top w:val="none" w:sz="0" w:space="0" w:color="auto"/>
        <w:left w:val="none" w:sz="0" w:space="0" w:color="auto"/>
        <w:bottom w:val="none" w:sz="0" w:space="0" w:color="auto"/>
        <w:right w:val="none" w:sz="0" w:space="0" w:color="auto"/>
      </w:divBdr>
    </w:div>
    <w:div w:id="1557160478">
      <w:marLeft w:val="0"/>
      <w:marRight w:val="0"/>
      <w:marTop w:val="0"/>
      <w:marBottom w:val="0"/>
      <w:divBdr>
        <w:top w:val="none" w:sz="0" w:space="0" w:color="auto"/>
        <w:left w:val="none" w:sz="0" w:space="0" w:color="auto"/>
        <w:bottom w:val="none" w:sz="0" w:space="0" w:color="auto"/>
        <w:right w:val="none" w:sz="0" w:space="0" w:color="auto"/>
      </w:divBdr>
    </w:div>
    <w:div w:id="1557160479">
      <w:marLeft w:val="0"/>
      <w:marRight w:val="0"/>
      <w:marTop w:val="0"/>
      <w:marBottom w:val="0"/>
      <w:divBdr>
        <w:top w:val="none" w:sz="0" w:space="0" w:color="auto"/>
        <w:left w:val="none" w:sz="0" w:space="0" w:color="auto"/>
        <w:bottom w:val="none" w:sz="0" w:space="0" w:color="auto"/>
        <w:right w:val="none" w:sz="0" w:space="0" w:color="auto"/>
      </w:divBdr>
    </w:div>
    <w:div w:id="1557160480">
      <w:marLeft w:val="0"/>
      <w:marRight w:val="0"/>
      <w:marTop w:val="0"/>
      <w:marBottom w:val="0"/>
      <w:divBdr>
        <w:top w:val="none" w:sz="0" w:space="0" w:color="auto"/>
        <w:left w:val="none" w:sz="0" w:space="0" w:color="auto"/>
        <w:bottom w:val="none" w:sz="0" w:space="0" w:color="auto"/>
        <w:right w:val="none" w:sz="0" w:space="0" w:color="auto"/>
      </w:divBdr>
    </w:div>
    <w:div w:id="1557160481">
      <w:marLeft w:val="0"/>
      <w:marRight w:val="0"/>
      <w:marTop w:val="0"/>
      <w:marBottom w:val="0"/>
      <w:divBdr>
        <w:top w:val="none" w:sz="0" w:space="0" w:color="auto"/>
        <w:left w:val="none" w:sz="0" w:space="0" w:color="auto"/>
        <w:bottom w:val="none" w:sz="0" w:space="0" w:color="auto"/>
        <w:right w:val="none" w:sz="0" w:space="0" w:color="auto"/>
      </w:divBdr>
    </w:div>
    <w:div w:id="1557160482">
      <w:marLeft w:val="0"/>
      <w:marRight w:val="0"/>
      <w:marTop w:val="0"/>
      <w:marBottom w:val="0"/>
      <w:divBdr>
        <w:top w:val="none" w:sz="0" w:space="0" w:color="auto"/>
        <w:left w:val="none" w:sz="0" w:space="0" w:color="auto"/>
        <w:bottom w:val="none" w:sz="0" w:space="0" w:color="auto"/>
        <w:right w:val="none" w:sz="0" w:space="0" w:color="auto"/>
      </w:divBdr>
    </w:div>
    <w:div w:id="1652707059">
      <w:bodyDiv w:val="1"/>
      <w:marLeft w:val="0"/>
      <w:marRight w:val="0"/>
      <w:marTop w:val="0"/>
      <w:marBottom w:val="0"/>
      <w:divBdr>
        <w:top w:val="none" w:sz="0" w:space="0" w:color="auto"/>
        <w:left w:val="none" w:sz="0" w:space="0" w:color="auto"/>
        <w:bottom w:val="none" w:sz="0" w:space="0" w:color="auto"/>
        <w:right w:val="none" w:sz="0" w:space="0" w:color="auto"/>
      </w:divBdr>
      <w:divsChild>
        <w:div w:id="1302077551">
          <w:marLeft w:val="0"/>
          <w:marRight w:val="0"/>
          <w:marTop w:val="0"/>
          <w:marBottom w:val="0"/>
          <w:divBdr>
            <w:top w:val="none" w:sz="0" w:space="0" w:color="auto"/>
            <w:left w:val="none" w:sz="0" w:space="0" w:color="auto"/>
            <w:bottom w:val="none" w:sz="0" w:space="0" w:color="auto"/>
            <w:right w:val="none" w:sz="0" w:space="0" w:color="auto"/>
          </w:divBdr>
        </w:div>
        <w:div w:id="1096829516">
          <w:marLeft w:val="0"/>
          <w:marRight w:val="0"/>
          <w:marTop w:val="0"/>
          <w:marBottom w:val="0"/>
          <w:divBdr>
            <w:top w:val="none" w:sz="0" w:space="0" w:color="auto"/>
            <w:left w:val="none" w:sz="0" w:space="0" w:color="auto"/>
            <w:bottom w:val="none" w:sz="0" w:space="0" w:color="auto"/>
            <w:right w:val="none" w:sz="0" w:space="0" w:color="auto"/>
          </w:divBdr>
        </w:div>
        <w:div w:id="1808930657">
          <w:marLeft w:val="0"/>
          <w:marRight w:val="0"/>
          <w:marTop w:val="0"/>
          <w:marBottom w:val="0"/>
          <w:divBdr>
            <w:top w:val="none" w:sz="0" w:space="0" w:color="auto"/>
            <w:left w:val="none" w:sz="0" w:space="0" w:color="auto"/>
            <w:bottom w:val="none" w:sz="0" w:space="0" w:color="auto"/>
            <w:right w:val="none" w:sz="0" w:space="0" w:color="auto"/>
          </w:divBdr>
        </w:div>
        <w:div w:id="1751197201">
          <w:marLeft w:val="0"/>
          <w:marRight w:val="0"/>
          <w:marTop w:val="0"/>
          <w:marBottom w:val="0"/>
          <w:divBdr>
            <w:top w:val="none" w:sz="0" w:space="0" w:color="auto"/>
            <w:left w:val="none" w:sz="0" w:space="0" w:color="auto"/>
            <w:bottom w:val="none" w:sz="0" w:space="0" w:color="auto"/>
            <w:right w:val="none" w:sz="0" w:space="0" w:color="auto"/>
          </w:divBdr>
        </w:div>
        <w:div w:id="2112049524">
          <w:marLeft w:val="0"/>
          <w:marRight w:val="0"/>
          <w:marTop w:val="0"/>
          <w:marBottom w:val="0"/>
          <w:divBdr>
            <w:top w:val="none" w:sz="0" w:space="0" w:color="auto"/>
            <w:left w:val="none" w:sz="0" w:space="0" w:color="auto"/>
            <w:bottom w:val="none" w:sz="0" w:space="0" w:color="auto"/>
            <w:right w:val="none" w:sz="0" w:space="0" w:color="auto"/>
          </w:divBdr>
        </w:div>
      </w:divsChild>
    </w:div>
    <w:div w:id="1833372432">
      <w:bodyDiv w:val="1"/>
      <w:marLeft w:val="0"/>
      <w:marRight w:val="0"/>
      <w:marTop w:val="0"/>
      <w:marBottom w:val="0"/>
      <w:divBdr>
        <w:top w:val="none" w:sz="0" w:space="0" w:color="auto"/>
        <w:left w:val="none" w:sz="0" w:space="0" w:color="auto"/>
        <w:bottom w:val="none" w:sz="0" w:space="0" w:color="auto"/>
        <w:right w:val="none" w:sz="0" w:space="0" w:color="auto"/>
      </w:divBdr>
    </w:div>
    <w:div w:id="1879202435">
      <w:bodyDiv w:val="1"/>
      <w:marLeft w:val="0"/>
      <w:marRight w:val="0"/>
      <w:marTop w:val="0"/>
      <w:marBottom w:val="0"/>
      <w:divBdr>
        <w:top w:val="none" w:sz="0" w:space="0" w:color="auto"/>
        <w:left w:val="none" w:sz="0" w:space="0" w:color="auto"/>
        <w:bottom w:val="none" w:sz="0" w:space="0" w:color="auto"/>
        <w:right w:val="none" w:sz="0" w:space="0" w:color="auto"/>
      </w:divBdr>
      <w:divsChild>
        <w:div w:id="572355862">
          <w:marLeft w:val="0"/>
          <w:marRight w:val="0"/>
          <w:marTop w:val="0"/>
          <w:marBottom w:val="0"/>
          <w:divBdr>
            <w:top w:val="none" w:sz="0" w:space="0" w:color="auto"/>
            <w:left w:val="none" w:sz="0" w:space="0" w:color="auto"/>
            <w:bottom w:val="none" w:sz="0" w:space="0" w:color="auto"/>
            <w:right w:val="none" w:sz="0" w:space="0" w:color="auto"/>
          </w:divBdr>
          <w:divsChild>
            <w:div w:id="367032639">
              <w:marLeft w:val="0"/>
              <w:marRight w:val="0"/>
              <w:marTop w:val="0"/>
              <w:marBottom w:val="0"/>
              <w:divBdr>
                <w:top w:val="none" w:sz="0" w:space="0" w:color="auto"/>
                <w:left w:val="none" w:sz="0" w:space="0" w:color="auto"/>
                <w:bottom w:val="none" w:sz="0" w:space="0" w:color="auto"/>
                <w:right w:val="none" w:sz="0" w:space="0" w:color="auto"/>
              </w:divBdr>
              <w:divsChild>
                <w:div w:id="1818574830">
                  <w:marLeft w:val="0"/>
                  <w:marRight w:val="0"/>
                  <w:marTop w:val="0"/>
                  <w:marBottom w:val="0"/>
                  <w:divBdr>
                    <w:top w:val="none" w:sz="0" w:space="0" w:color="auto"/>
                    <w:left w:val="none" w:sz="0" w:space="0" w:color="auto"/>
                    <w:bottom w:val="none" w:sz="0" w:space="0" w:color="auto"/>
                    <w:right w:val="none" w:sz="0" w:space="0" w:color="auto"/>
                  </w:divBdr>
                  <w:divsChild>
                    <w:div w:id="791679056">
                      <w:marLeft w:val="0"/>
                      <w:marRight w:val="0"/>
                      <w:marTop w:val="0"/>
                      <w:marBottom w:val="0"/>
                      <w:divBdr>
                        <w:top w:val="none" w:sz="0" w:space="0" w:color="auto"/>
                        <w:left w:val="none" w:sz="0" w:space="0" w:color="auto"/>
                        <w:bottom w:val="none" w:sz="0" w:space="0" w:color="auto"/>
                        <w:right w:val="none" w:sz="0" w:space="0" w:color="auto"/>
                      </w:divBdr>
                      <w:divsChild>
                        <w:div w:id="785857598">
                          <w:marLeft w:val="0"/>
                          <w:marRight w:val="0"/>
                          <w:marTop w:val="0"/>
                          <w:marBottom w:val="0"/>
                          <w:divBdr>
                            <w:top w:val="none" w:sz="0" w:space="0" w:color="auto"/>
                            <w:left w:val="none" w:sz="0" w:space="0" w:color="auto"/>
                            <w:bottom w:val="none" w:sz="0" w:space="0" w:color="auto"/>
                            <w:right w:val="none" w:sz="0" w:space="0" w:color="auto"/>
                          </w:divBdr>
                          <w:divsChild>
                            <w:div w:id="6477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00331">
      <w:bodyDiv w:val="1"/>
      <w:marLeft w:val="0"/>
      <w:marRight w:val="0"/>
      <w:marTop w:val="0"/>
      <w:marBottom w:val="0"/>
      <w:divBdr>
        <w:top w:val="none" w:sz="0" w:space="0" w:color="auto"/>
        <w:left w:val="none" w:sz="0" w:space="0" w:color="auto"/>
        <w:bottom w:val="none" w:sz="0" w:space="0" w:color="auto"/>
        <w:right w:val="none" w:sz="0" w:space="0" w:color="auto"/>
      </w:divBdr>
    </w:div>
    <w:div w:id="2121994337">
      <w:bodyDiv w:val="1"/>
      <w:marLeft w:val="0"/>
      <w:marRight w:val="0"/>
      <w:marTop w:val="0"/>
      <w:marBottom w:val="0"/>
      <w:divBdr>
        <w:top w:val="none" w:sz="0" w:space="0" w:color="auto"/>
        <w:left w:val="none" w:sz="0" w:space="0" w:color="auto"/>
        <w:bottom w:val="none" w:sz="0" w:space="0" w:color="auto"/>
        <w:right w:val="none" w:sz="0" w:space="0" w:color="auto"/>
      </w:divBdr>
      <w:divsChild>
        <w:div w:id="547230400">
          <w:marLeft w:val="0"/>
          <w:marRight w:val="0"/>
          <w:marTop w:val="0"/>
          <w:marBottom w:val="0"/>
          <w:divBdr>
            <w:top w:val="none" w:sz="0" w:space="0" w:color="auto"/>
            <w:left w:val="none" w:sz="0" w:space="0" w:color="auto"/>
            <w:bottom w:val="none" w:sz="0" w:space="0" w:color="auto"/>
            <w:right w:val="none" w:sz="0" w:space="0" w:color="auto"/>
          </w:divBdr>
        </w:div>
        <w:div w:id="1608191584">
          <w:marLeft w:val="0"/>
          <w:marRight w:val="0"/>
          <w:marTop w:val="0"/>
          <w:marBottom w:val="0"/>
          <w:divBdr>
            <w:top w:val="none" w:sz="0" w:space="0" w:color="auto"/>
            <w:left w:val="none" w:sz="0" w:space="0" w:color="auto"/>
            <w:bottom w:val="none" w:sz="0" w:space="0" w:color="auto"/>
            <w:right w:val="none" w:sz="0" w:space="0" w:color="auto"/>
          </w:divBdr>
        </w:div>
        <w:div w:id="72092342">
          <w:marLeft w:val="0"/>
          <w:marRight w:val="0"/>
          <w:marTop w:val="0"/>
          <w:marBottom w:val="0"/>
          <w:divBdr>
            <w:top w:val="none" w:sz="0" w:space="0" w:color="auto"/>
            <w:left w:val="none" w:sz="0" w:space="0" w:color="auto"/>
            <w:bottom w:val="none" w:sz="0" w:space="0" w:color="auto"/>
            <w:right w:val="none" w:sz="0" w:space="0" w:color="auto"/>
          </w:divBdr>
        </w:div>
        <w:div w:id="1629819176">
          <w:marLeft w:val="0"/>
          <w:marRight w:val="0"/>
          <w:marTop w:val="0"/>
          <w:marBottom w:val="0"/>
          <w:divBdr>
            <w:top w:val="none" w:sz="0" w:space="0" w:color="auto"/>
            <w:left w:val="none" w:sz="0" w:space="0" w:color="auto"/>
            <w:bottom w:val="none" w:sz="0" w:space="0" w:color="auto"/>
            <w:right w:val="none" w:sz="0" w:space="0" w:color="auto"/>
          </w:divBdr>
        </w:div>
        <w:div w:id="92839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56DB-3EA6-492C-9261-A5D18CC0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1612</Words>
  <Characters>11708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Izziņa par atzinumos sniegtajiem iebildumiem par</vt:lpstr>
    </vt:vector>
  </TitlesOfParts>
  <Company>Vides aizsardzības un reģionālās attīstības ministrija</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projektu“Par sliežu ceļa posma Liepāja-Ventspils slēgšanu”</dc:title>
  <dc:subject>Izziņa</dc:subject>
  <dc:creator>Kristīne Grīnvalde</dc:creator>
  <cp:keywords>Izziņa</cp:keywords>
  <dc:description>K.Grīnvalde 67028073, kristine.grinvalde@sam.gov.lv</dc:description>
  <cp:lastModifiedBy>Baiba Jirgena</cp:lastModifiedBy>
  <cp:revision>5</cp:revision>
  <cp:lastPrinted>2020-02-14T09:55:00Z</cp:lastPrinted>
  <dcterms:created xsi:type="dcterms:W3CDTF">2021-04-08T08:43:00Z</dcterms:created>
  <dcterms:modified xsi:type="dcterms:W3CDTF">2021-04-13T08:51:00Z</dcterms:modified>
</cp:coreProperties>
</file>